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72A" w:rsidRPr="00200263" w:rsidRDefault="005F572A" w:rsidP="005F572A">
      <w:pPr>
        <w:pStyle w:val="1f0"/>
      </w:pPr>
      <w:r w:rsidRPr="00200263">
        <w:t xml:space="preserve">ФЕДЕРАЛЬНОЕ </w:t>
      </w:r>
      <w:r w:rsidRPr="00AF1B19">
        <w:t>КАЗНАЧЕЙСТВО</w:t>
      </w:r>
      <w:r w:rsidRPr="00200263">
        <w:t xml:space="preserve"> (КАЗНАЧЕЙСТВО РОССИИ)</w:t>
      </w:r>
    </w:p>
    <w:p w:rsidR="005F572A" w:rsidRPr="00D56992" w:rsidRDefault="005F572A" w:rsidP="005F572A"/>
    <w:tbl>
      <w:tblPr>
        <w:tblW w:w="9889" w:type="dxa"/>
        <w:jc w:val="center"/>
        <w:tblLayout w:type="fixed"/>
        <w:tblLook w:val="0000" w:firstRow="0" w:lastRow="0" w:firstColumn="0" w:lastColumn="0" w:noHBand="0" w:noVBand="0"/>
      </w:tblPr>
      <w:tblGrid>
        <w:gridCol w:w="4360"/>
        <w:gridCol w:w="951"/>
        <w:gridCol w:w="4578"/>
      </w:tblGrid>
      <w:tr w:rsidR="005F572A" w:rsidRPr="00D56992" w:rsidTr="00731AF9">
        <w:trPr>
          <w:trHeight w:val="20"/>
          <w:jc w:val="center"/>
        </w:trPr>
        <w:tc>
          <w:tcPr>
            <w:tcW w:w="4360" w:type="dxa"/>
          </w:tcPr>
          <w:p w:rsidR="005F572A" w:rsidRPr="00D56992" w:rsidRDefault="005F572A" w:rsidP="00731AF9">
            <w:pPr>
              <w:pStyle w:val="3f0"/>
            </w:pPr>
            <w:r w:rsidRPr="00AF1B19">
              <w:t>УТВЕРЖДАЮ</w:t>
            </w:r>
          </w:p>
        </w:tc>
        <w:tc>
          <w:tcPr>
            <w:tcW w:w="951" w:type="dxa"/>
          </w:tcPr>
          <w:p w:rsidR="005F572A" w:rsidRPr="00D56992" w:rsidRDefault="005F572A" w:rsidP="00731AF9">
            <w:pPr>
              <w:pStyle w:val="-1"/>
            </w:pPr>
          </w:p>
        </w:tc>
        <w:tc>
          <w:tcPr>
            <w:tcW w:w="4578" w:type="dxa"/>
          </w:tcPr>
          <w:p w:rsidR="005F572A" w:rsidRPr="00D56992" w:rsidRDefault="005F572A" w:rsidP="00731AF9">
            <w:pPr>
              <w:pStyle w:val="3f0"/>
              <w:rPr>
                <w:rFonts w:ascii="Times New Roman" w:hAnsi="Times New Roman" w:cs="Times New Roman"/>
              </w:rPr>
            </w:pPr>
          </w:p>
        </w:tc>
      </w:tr>
      <w:tr w:rsidR="005F572A" w:rsidRPr="00D56992" w:rsidTr="00731AF9">
        <w:trPr>
          <w:trHeight w:val="20"/>
          <w:jc w:val="center"/>
        </w:trPr>
        <w:tc>
          <w:tcPr>
            <w:tcW w:w="4360" w:type="dxa"/>
          </w:tcPr>
          <w:p w:rsidR="005F572A" w:rsidRPr="00AF1B19" w:rsidRDefault="005F572A" w:rsidP="00731AF9">
            <w:pPr>
              <w:pStyle w:val="-1"/>
            </w:pPr>
            <w:r w:rsidRPr="00AF1B19">
              <w:t xml:space="preserve">От Федерального казначейства </w:t>
            </w:r>
          </w:p>
        </w:tc>
        <w:tc>
          <w:tcPr>
            <w:tcW w:w="951" w:type="dxa"/>
          </w:tcPr>
          <w:p w:rsidR="005F572A" w:rsidRPr="00D56992" w:rsidRDefault="005F572A" w:rsidP="00731AF9">
            <w:pPr>
              <w:pStyle w:val="-1"/>
            </w:pPr>
          </w:p>
        </w:tc>
        <w:tc>
          <w:tcPr>
            <w:tcW w:w="4578" w:type="dxa"/>
          </w:tcPr>
          <w:p w:rsidR="005F572A" w:rsidRPr="00D56992" w:rsidRDefault="005F572A" w:rsidP="00731AF9">
            <w:pPr>
              <w:pStyle w:val="-1"/>
            </w:pPr>
          </w:p>
        </w:tc>
      </w:tr>
      <w:tr w:rsidR="005F572A" w:rsidRPr="00D56992" w:rsidTr="00731AF9">
        <w:trPr>
          <w:trHeight w:val="20"/>
          <w:jc w:val="center"/>
        </w:trPr>
        <w:tc>
          <w:tcPr>
            <w:tcW w:w="4360" w:type="dxa"/>
            <w:vAlign w:val="bottom"/>
          </w:tcPr>
          <w:p w:rsidR="005F572A" w:rsidRPr="00D56992" w:rsidRDefault="005F572A" w:rsidP="00731AF9">
            <w:pPr>
              <w:pStyle w:val="-1"/>
            </w:pP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rPr>
                <w:rStyle w:val="afff5"/>
              </w:rPr>
            </w:pPr>
          </w:p>
        </w:tc>
      </w:tr>
      <w:tr w:rsidR="005F572A" w:rsidRPr="00D56992" w:rsidTr="00731AF9">
        <w:trPr>
          <w:trHeight w:val="20"/>
          <w:jc w:val="center"/>
        </w:trPr>
        <w:tc>
          <w:tcPr>
            <w:tcW w:w="4360" w:type="dxa"/>
            <w:vAlign w:val="bottom"/>
          </w:tcPr>
          <w:p w:rsidR="005F572A" w:rsidRPr="00D56992" w:rsidRDefault="005F572A" w:rsidP="00731AF9">
            <w:pPr>
              <w:pStyle w:val="-1"/>
            </w:pPr>
            <w:r w:rsidRPr="00D56992">
              <w:t>_________________/__________</w:t>
            </w: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p>
        </w:tc>
      </w:tr>
      <w:tr w:rsidR="005F572A" w:rsidRPr="00D56992" w:rsidTr="00731AF9">
        <w:trPr>
          <w:trHeight w:val="20"/>
          <w:jc w:val="center"/>
        </w:trPr>
        <w:tc>
          <w:tcPr>
            <w:tcW w:w="4360" w:type="dxa"/>
            <w:vAlign w:val="bottom"/>
          </w:tcPr>
          <w:p w:rsidR="005F572A" w:rsidRPr="00D56992" w:rsidRDefault="005F572A" w:rsidP="00731AF9">
            <w:pPr>
              <w:pStyle w:val="-1"/>
            </w:pP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p>
        </w:tc>
      </w:tr>
      <w:tr w:rsidR="005F572A" w:rsidRPr="00D56992" w:rsidTr="00731AF9">
        <w:trPr>
          <w:trHeight w:val="20"/>
          <w:jc w:val="center"/>
        </w:trPr>
        <w:tc>
          <w:tcPr>
            <w:tcW w:w="4360" w:type="dxa"/>
            <w:vAlign w:val="bottom"/>
          </w:tcPr>
          <w:p w:rsidR="005F572A" w:rsidRPr="00D56992" w:rsidRDefault="005F572A" w:rsidP="002D4531">
            <w:pPr>
              <w:pStyle w:val="-1"/>
            </w:pPr>
            <w:r w:rsidRPr="00D56992">
              <w:t>«</w:t>
            </w:r>
            <w:r w:rsidRPr="00D56992">
              <w:rPr>
                <w:rStyle w:val="afff5"/>
              </w:rPr>
              <w:t xml:space="preserve">         </w:t>
            </w:r>
            <w:r w:rsidRPr="00D56992">
              <w:t>»</w:t>
            </w:r>
            <w:r w:rsidRPr="00D56992">
              <w:rPr>
                <w:rStyle w:val="afff5"/>
              </w:rPr>
              <w:t xml:space="preserve">                                 </w:t>
            </w:r>
            <w:r w:rsidRPr="00D56992">
              <w:t>202</w:t>
            </w:r>
            <w:r w:rsidR="002D4531">
              <w:t>2</w:t>
            </w:r>
            <w:r w:rsidRPr="00D56992">
              <w:t>г.</w:t>
            </w: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p>
        </w:tc>
      </w:tr>
    </w:tbl>
    <w:p w:rsidR="005F572A" w:rsidRPr="00D56992" w:rsidRDefault="005F572A" w:rsidP="005F572A">
      <w:pPr>
        <w:pStyle w:val="ac"/>
      </w:pPr>
    </w:p>
    <w:p w:rsidR="005F572A" w:rsidRPr="00C501ED" w:rsidRDefault="005F572A" w:rsidP="005F572A">
      <w:pPr>
        <w:pStyle w:val="aff3"/>
        <w:rPr>
          <w:rFonts w:ascii="Arial" w:hAnsi="Arial"/>
          <w:b/>
          <w:sz w:val="36"/>
        </w:rPr>
      </w:pPr>
      <w:r w:rsidRPr="00C501ED">
        <w:rPr>
          <w:rFonts w:ascii="Arial" w:hAnsi="Arial"/>
          <w:b/>
          <w:sz w:val="36"/>
        </w:rPr>
        <w:t>Государственная интегрированная информационная система управления общественными финансами «Электронный бюджет»</w:t>
      </w:r>
    </w:p>
    <w:p w:rsidR="005F572A" w:rsidRPr="00C501ED" w:rsidRDefault="005F572A" w:rsidP="005F572A">
      <w:pPr>
        <w:pStyle w:val="aff3"/>
        <w:rPr>
          <w:rFonts w:ascii="Arial" w:hAnsi="Arial"/>
          <w:b/>
          <w:sz w:val="36"/>
        </w:rPr>
      </w:pPr>
    </w:p>
    <w:p w:rsidR="005F572A" w:rsidRPr="00C501ED" w:rsidRDefault="005F572A" w:rsidP="005F572A">
      <w:pPr>
        <w:pStyle w:val="-3"/>
      </w:pPr>
      <w:r w:rsidRPr="00C501ED">
        <w:t>Подсистема информационно-аналитического обеспечения</w:t>
      </w:r>
    </w:p>
    <w:p w:rsidR="005F572A" w:rsidRPr="00C501ED" w:rsidRDefault="005F572A" w:rsidP="005F572A">
      <w:pPr>
        <w:pStyle w:val="aff3"/>
      </w:pPr>
    </w:p>
    <w:p w:rsidR="005F572A" w:rsidRPr="00D56992" w:rsidRDefault="005F572A" w:rsidP="005F572A">
      <w:pPr>
        <w:pStyle w:val="-4"/>
        <w:rPr>
          <w:rFonts w:ascii="Times New Roman" w:hAnsi="Times New Roman"/>
        </w:rPr>
      </w:pPr>
      <w:r w:rsidRPr="00C501ED">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p w:rsidR="005F572A" w:rsidRPr="00D56992" w:rsidRDefault="005F572A" w:rsidP="005F572A">
      <w:pPr>
        <w:pStyle w:val="aff3"/>
      </w:pPr>
    </w:p>
    <w:p w:rsidR="005F572A" w:rsidRPr="00200263" w:rsidRDefault="005F572A" w:rsidP="005F572A">
      <w:pPr>
        <w:pStyle w:val="-4"/>
      </w:pPr>
      <w:r w:rsidRPr="00200263">
        <w:t>Лист утверждения</w:t>
      </w:r>
    </w:p>
    <w:p w:rsidR="005F572A" w:rsidRPr="00D56992" w:rsidRDefault="005F572A" w:rsidP="005F572A">
      <w:pPr>
        <w:pStyle w:val="aff3"/>
      </w:pPr>
      <w:r w:rsidRPr="00D56992">
        <w:t xml:space="preserve">Код документа: </w:t>
      </w:r>
      <w:bookmarkStart w:id="0" w:name="kod_doc"/>
      <w:r w:rsidRPr="00D56992">
        <w:t>30275697.20.11,00.</w:t>
      </w:r>
      <w:r w:rsidRPr="00D56992">
        <w:rPr>
          <w:rStyle w:val="afff3"/>
          <w:b w:val="0"/>
        </w:rPr>
        <w:t>ЭБ26</w:t>
      </w:r>
      <w:r w:rsidRPr="00D56992">
        <w:t>.</w:t>
      </w:r>
      <w:bookmarkEnd w:id="0"/>
      <w:r w:rsidR="00BB1EB6">
        <w:t>001-0</w:t>
      </w:r>
      <w:r w:rsidR="00EA7BB4">
        <w:t>5</w:t>
      </w:r>
      <w:r w:rsidR="00BB1EB6">
        <w:t>.0</w:t>
      </w:r>
      <w:r w:rsidR="00255CE5">
        <w:t>1</w:t>
      </w:r>
      <w:r w:rsidRPr="00D56992">
        <w:t xml:space="preserve"> </w:t>
      </w:r>
      <w:r>
        <w:t>9</w:t>
      </w:r>
      <w:r w:rsidRPr="00D56992">
        <w:t>-ЛУ</w:t>
      </w:r>
    </w:p>
    <w:p w:rsidR="005F572A" w:rsidRPr="00D56992" w:rsidRDefault="005F572A" w:rsidP="005F572A">
      <w:pPr>
        <w:pStyle w:val="aff3"/>
      </w:pPr>
    </w:p>
    <w:p w:rsidR="005F572A" w:rsidRPr="00D56992" w:rsidRDefault="005F572A" w:rsidP="005F572A">
      <w:pPr>
        <w:pStyle w:val="aff3"/>
      </w:pPr>
      <w:r w:rsidRPr="00D56992">
        <w:t xml:space="preserve">Государственный контракт </w:t>
      </w:r>
      <w:r w:rsidR="00EA7BB4" w:rsidRPr="00EA7BB4">
        <w:t>т 30.05.2022 № ФКУ0212/05/2022/РИС</w:t>
      </w:r>
    </w:p>
    <w:p w:rsidR="005F572A" w:rsidRDefault="005F572A" w:rsidP="005F572A">
      <w:pPr>
        <w:pStyle w:val="aff3"/>
      </w:pPr>
    </w:p>
    <w:p w:rsidR="00FE6728" w:rsidRPr="00D56992" w:rsidRDefault="00FE6728" w:rsidP="005F572A">
      <w:pPr>
        <w:pStyle w:val="aff3"/>
      </w:pPr>
    </w:p>
    <w:tbl>
      <w:tblPr>
        <w:tblW w:w="9889" w:type="dxa"/>
        <w:jc w:val="center"/>
        <w:tblLayout w:type="fixed"/>
        <w:tblLook w:val="0000" w:firstRow="0" w:lastRow="0" w:firstColumn="0" w:lastColumn="0" w:noHBand="0" w:noVBand="0"/>
      </w:tblPr>
      <w:tblGrid>
        <w:gridCol w:w="4360"/>
        <w:gridCol w:w="951"/>
        <w:gridCol w:w="4578"/>
      </w:tblGrid>
      <w:tr w:rsidR="005F572A" w:rsidRPr="00D56992" w:rsidTr="00731AF9">
        <w:trPr>
          <w:trHeight w:val="20"/>
          <w:jc w:val="center"/>
        </w:trPr>
        <w:tc>
          <w:tcPr>
            <w:tcW w:w="4360" w:type="dxa"/>
          </w:tcPr>
          <w:p w:rsidR="005F572A" w:rsidRPr="00D56992" w:rsidRDefault="005F572A" w:rsidP="00731AF9">
            <w:pPr>
              <w:pStyle w:val="3f0"/>
            </w:pPr>
            <w:r w:rsidRPr="00AF1B19">
              <w:t>СОГЛАСОВАНО</w:t>
            </w:r>
          </w:p>
        </w:tc>
        <w:tc>
          <w:tcPr>
            <w:tcW w:w="951" w:type="dxa"/>
          </w:tcPr>
          <w:p w:rsidR="005F572A" w:rsidRPr="00D56992" w:rsidRDefault="005F572A" w:rsidP="00731AF9">
            <w:pPr>
              <w:pStyle w:val="-1"/>
            </w:pPr>
          </w:p>
        </w:tc>
        <w:tc>
          <w:tcPr>
            <w:tcW w:w="4578" w:type="dxa"/>
          </w:tcPr>
          <w:p w:rsidR="005F572A" w:rsidRPr="00D56992" w:rsidRDefault="005F572A" w:rsidP="00731AF9">
            <w:pPr>
              <w:pStyle w:val="3f0"/>
            </w:pPr>
            <w:r w:rsidRPr="00AF1B19">
              <w:t>СОГЛАСОВАНО</w:t>
            </w:r>
          </w:p>
        </w:tc>
      </w:tr>
      <w:tr w:rsidR="005F572A" w:rsidRPr="00D56992" w:rsidTr="00731AF9">
        <w:trPr>
          <w:trHeight w:val="20"/>
          <w:jc w:val="center"/>
        </w:trPr>
        <w:tc>
          <w:tcPr>
            <w:tcW w:w="4360" w:type="dxa"/>
          </w:tcPr>
          <w:p w:rsidR="00E37E3A" w:rsidRPr="00AF1B19" w:rsidRDefault="00E37E3A" w:rsidP="00E37E3A">
            <w:pPr>
              <w:pStyle w:val="-1"/>
            </w:pPr>
            <w:r w:rsidRPr="006D4004">
              <w:t>От Федерального казенного учреждения «Центр по обеспечению деятельности Казначейства России»</w:t>
            </w:r>
          </w:p>
          <w:p w:rsidR="005F572A" w:rsidRPr="00D56992" w:rsidRDefault="005F572A" w:rsidP="00731AF9">
            <w:pPr>
              <w:pStyle w:val="-1"/>
            </w:pPr>
          </w:p>
        </w:tc>
        <w:tc>
          <w:tcPr>
            <w:tcW w:w="951" w:type="dxa"/>
          </w:tcPr>
          <w:p w:rsidR="005F572A" w:rsidRPr="00D56992" w:rsidRDefault="005F572A" w:rsidP="00731AF9">
            <w:pPr>
              <w:pStyle w:val="-1"/>
            </w:pPr>
          </w:p>
        </w:tc>
        <w:tc>
          <w:tcPr>
            <w:tcW w:w="4578" w:type="dxa"/>
          </w:tcPr>
          <w:p w:rsidR="005F572A" w:rsidRPr="00AF1B19" w:rsidRDefault="005F572A" w:rsidP="00731AF9">
            <w:pPr>
              <w:pStyle w:val="-1"/>
            </w:pPr>
            <w:r w:rsidRPr="00AF1B19">
              <w:t>От ООО «НПО «Криста»</w:t>
            </w:r>
          </w:p>
          <w:p w:rsidR="005F572A" w:rsidRPr="00D56992" w:rsidRDefault="005F572A" w:rsidP="00731AF9">
            <w:pPr>
              <w:pStyle w:val="-1"/>
            </w:pPr>
            <w:r w:rsidRPr="00AF1B19">
              <w:t>Генеральный директор</w:t>
            </w:r>
          </w:p>
        </w:tc>
      </w:tr>
      <w:tr w:rsidR="005F572A" w:rsidRPr="00D56992" w:rsidTr="00731AF9">
        <w:trPr>
          <w:trHeight w:val="20"/>
          <w:jc w:val="center"/>
        </w:trPr>
        <w:tc>
          <w:tcPr>
            <w:tcW w:w="4360" w:type="dxa"/>
            <w:vAlign w:val="bottom"/>
          </w:tcPr>
          <w:p w:rsidR="005F572A" w:rsidRPr="00D56992" w:rsidRDefault="005F572A" w:rsidP="00731AF9">
            <w:pPr>
              <w:pStyle w:val="-1"/>
            </w:pP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p>
        </w:tc>
      </w:tr>
      <w:tr w:rsidR="005F572A" w:rsidRPr="00D56992" w:rsidTr="00731AF9">
        <w:trPr>
          <w:trHeight w:val="20"/>
          <w:jc w:val="center"/>
        </w:trPr>
        <w:tc>
          <w:tcPr>
            <w:tcW w:w="4360" w:type="dxa"/>
            <w:vAlign w:val="bottom"/>
          </w:tcPr>
          <w:p w:rsidR="005F572A" w:rsidRPr="00D56992" w:rsidRDefault="005F572A" w:rsidP="00731AF9">
            <w:pPr>
              <w:pStyle w:val="-1"/>
            </w:pPr>
            <w:r w:rsidRPr="00D56992">
              <w:t>__________________/__________</w:t>
            </w: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r w:rsidRPr="00D56992">
              <w:rPr>
                <w:rStyle w:val="afff5"/>
              </w:rPr>
              <w:t xml:space="preserve">                                      </w:t>
            </w:r>
            <w:r w:rsidRPr="00D56992">
              <w:t>Ю.А. Черных</w:t>
            </w:r>
          </w:p>
        </w:tc>
      </w:tr>
      <w:tr w:rsidR="005F572A" w:rsidRPr="00D56992" w:rsidTr="00731AF9">
        <w:trPr>
          <w:trHeight w:val="20"/>
          <w:jc w:val="center"/>
        </w:trPr>
        <w:tc>
          <w:tcPr>
            <w:tcW w:w="4360" w:type="dxa"/>
            <w:vAlign w:val="bottom"/>
          </w:tcPr>
          <w:p w:rsidR="005F572A" w:rsidRPr="00D56992" w:rsidRDefault="005F572A" w:rsidP="00731AF9">
            <w:pPr>
              <w:pStyle w:val="-1"/>
            </w:pP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731AF9">
            <w:pPr>
              <w:pStyle w:val="-1"/>
            </w:pPr>
          </w:p>
        </w:tc>
      </w:tr>
      <w:tr w:rsidR="005F572A" w:rsidRPr="00D56992" w:rsidTr="00731AF9">
        <w:trPr>
          <w:trHeight w:val="20"/>
          <w:jc w:val="center"/>
        </w:trPr>
        <w:tc>
          <w:tcPr>
            <w:tcW w:w="4360" w:type="dxa"/>
            <w:vAlign w:val="bottom"/>
          </w:tcPr>
          <w:p w:rsidR="005F572A" w:rsidRPr="00D56992" w:rsidRDefault="005F572A" w:rsidP="002D4531">
            <w:pPr>
              <w:pStyle w:val="-1"/>
            </w:pPr>
            <w:r w:rsidRPr="00D56992">
              <w:t>«</w:t>
            </w:r>
            <w:r w:rsidRPr="00D56992">
              <w:rPr>
                <w:rStyle w:val="afff5"/>
              </w:rPr>
              <w:t xml:space="preserve">         </w:t>
            </w:r>
            <w:r w:rsidRPr="00D56992">
              <w:t>»</w:t>
            </w:r>
            <w:r w:rsidRPr="00D56992">
              <w:rPr>
                <w:rStyle w:val="afff5"/>
              </w:rPr>
              <w:t xml:space="preserve">                           </w:t>
            </w:r>
            <w:r w:rsidRPr="00D56992">
              <w:rPr>
                <w:rStyle w:val="afff5"/>
                <w:lang w:val="en-US"/>
              </w:rPr>
              <w:t xml:space="preserve"> </w:t>
            </w:r>
            <w:r w:rsidRPr="00D56992">
              <w:rPr>
                <w:rStyle w:val="afff5"/>
              </w:rPr>
              <w:t xml:space="preserve">       </w:t>
            </w:r>
            <w:r w:rsidRPr="00D56992">
              <w:t>202</w:t>
            </w:r>
            <w:r w:rsidR="002D4531">
              <w:t>2</w:t>
            </w:r>
            <w:r w:rsidRPr="00D56992">
              <w:t>г.</w:t>
            </w:r>
          </w:p>
        </w:tc>
        <w:tc>
          <w:tcPr>
            <w:tcW w:w="951" w:type="dxa"/>
            <w:vAlign w:val="bottom"/>
          </w:tcPr>
          <w:p w:rsidR="005F572A" w:rsidRPr="00D56992" w:rsidRDefault="005F572A" w:rsidP="00731AF9">
            <w:pPr>
              <w:pStyle w:val="-1"/>
            </w:pPr>
          </w:p>
        </w:tc>
        <w:tc>
          <w:tcPr>
            <w:tcW w:w="4578" w:type="dxa"/>
            <w:vAlign w:val="bottom"/>
          </w:tcPr>
          <w:p w:rsidR="005F572A" w:rsidRPr="00D56992" w:rsidRDefault="005F572A" w:rsidP="002D4531">
            <w:pPr>
              <w:pStyle w:val="-1"/>
            </w:pPr>
            <w:r w:rsidRPr="00D56992">
              <w:t>«</w:t>
            </w:r>
            <w:r w:rsidRPr="00D56992">
              <w:rPr>
                <w:rStyle w:val="afff5"/>
              </w:rPr>
              <w:t xml:space="preserve">         </w:t>
            </w:r>
            <w:r w:rsidRPr="00D56992">
              <w:t>»</w:t>
            </w:r>
            <w:r w:rsidRPr="00D56992">
              <w:rPr>
                <w:rStyle w:val="afff5"/>
              </w:rPr>
              <w:t xml:space="preserve">                            </w:t>
            </w:r>
            <w:r w:rsidRPr="00D56992">
              <w:rPr>
                <w:rStyle w:val="afff5"/>
                <w:lang w:val="en-US"/>
              </w:rPr>
              <w:t xml:space="preserve"> </w:t>
            </w:r>
            <w:r w:rsidRPr="00D56992">
              <w:rPr>
                <w:rStyle w:val="afff5"/>
              </w:rPr>
              <w:t xml:space="preserve">         </w:t>
            </w:r>
            <w:r w:rsidRPr="00D56992">
              <w:t>202</w:t>
            </w:r>
            <w:r w:rsidR="002D4531">
              <w:t>2</w:t>
            </w:r>
            <w:r w:rsidRPr="00D56992">
              <w:t>г.</w:t>
            </w:r>
          </w:p>
        </w:tc>
      </w:tr>
    </w:tbl>
    <w:p w:rsidR="00FF409A" w:rsidRPr="00E06755" w:rsidRDefault="00FF409A" w:rsidP="00FF409A">
      <w:pPr>
        <w:jc w:val="center"/>
        <w:sectPr w:rsidR="00FF409A" w:rsidRPr="00E06755" w:rsidSect="006A50CF">
          <w:headerReference w:type="default" r:id="rId9"/>
          <w:headerReference w:type="first" r:id="rId10"/>
          <w:pgSz w:w="11906" w:h="16838" w:code="9"/>
          <w:pgMar w:top="851" w:right="851" w:bottom="1418" w:left="1418" w:header="0" w:footer="493" w:gutter="0"/>
          <w:cols w:space="708"/>
          <w:titlePg/>
          <w:docGrid w:linePitch="360"/>
        </w:sectPr>
      </w:pPr>
    </w:p>
    <w:p w:rsidR="005F572A" w:rsidRPr="00D56992" w:rsidRDefault="005F572A" w:rsidP="005F572A">
      <w:pPr>
        <w:pStyle w:val="1f0"/>
      </w:pPr>
      <w:r w:rsidRPr="00D56992">
        <w:lastRenderedPageBreak/>
        <w:t xml:space="preserve">ФЕДЕРАЛЬНОЕ </w:t>
      </w:r>
      <w:r w:rsidRPr="001B5323">
        <w:t>КАЗНАЧЕЙСТВО</w:t>
      </w:r>
      <w:r w:rsidRPr="00D56992">
        <w:t xml:space="preserve"> (КАЗНАЧЕЙСТВО РОССИИ)</w:t>
      </w:r>
    </w:p>
    <w:p w:rsidR="005F572A" w:rsidRPr="00D56992" w:rsidRDefault="005F572A" w:rsidP="005F572A"/>
    <w:p w:rsidR="005F572A" w:rsidRPr="00D56992" w:rsidRDefault="005F572A" w:rsidP="005F572A">
      <w:pPr>
        <w:rPr>
          <w:b/>
          <w:sz w:val="28"/>
          <w:szCs w:val="28"/>
        </w:rPr>
      </w:pPr>
      <w:r w:rsidRPr="00D56992">
        <w:rPr>
          <w:b/>
          <w:sz w:val="28"/>
          <w:szCs w:val="28"/>
        </w:rPr>
        <w:t>УТВЕРЖДЕН</w:t>
      </w:r>
    </w:p>
    <w:p w:rsidR="005F572A" w:rsidRPr="00D56992" w:rsidRDefault="005F572A" w:rsidP="005F572A">
      <w:pPr>
        <w:rPr>
          <w:sz w:val="28"/>
          <w:szCs w:val="28"/>
        </w:rPr>
      </w:pPr>
      <w:r w:rsidRPr="00D56992">
        <w:rPr>
          <w:sz w:val="28"/>
          <w:szCs w:val="28"/>
        </w:rPr>
        <w:t>30275697.20.11,00.ЭБ26.</w:t>
      </w:r>
      <w:r w:rsidR="00BB1EB6">
        <w:rPr>
          <w:sz w:val="28"/>
          <w:szCs w:val="28"/>
        </w:rPr>
        <w:t>001-0</w:t>
      </w:r>
      <w:r w:rsidR="00EA7BB4">
        <w:rPr>
          <w:sz w:val="28"/>
          <w:szCs w:val="28"/>
        </w:rPr>
        <w:t>5</w:t>
      </w:r>
      <w:r w:rsidR="00BB1EB6">
        <w:rPr>
          <w:sz w:val="28"/>
          <w:szCs w:val="28"/>
        </w:rPr>
        <w:t>.0</w:t>
      </w:r>
      <w:r w:rsidR="00255CE5">
        <w:rPr>
          <w:sz w:val="28"/>
          <w:szCs w:val="28"/>
        </w:rPr>
        <w:t>1</w:t>
      </w:r>
      <w:r w:rsidRPr="00D56992">
        <w:rPr>
          <w:sz w:val="28"/>
          <w:szCs w:val="28"/>
        </w:rPr>
        <w:t xml:space="preserve"> </w:t>
      </w:r>
      <w:r>
        <w:rPr>
          <w:sz w:val="28"/>
          <w:szCs w:val="28"/>
        </w:rPr>
        <w:t>9</w:t>
      </w:r>
      <w:r w:rsidRPr="00D56992">
        <w:rPr>
          <w:sz w:val="28"/>
          <w:szCs w:val="28"/>
        </w:rPr>
        <w:t>-ЛУ</w:t>
      </w:r>
    </w:p>
    <w:p w:rsidR="005F572A" w:rsidRPr="00D56992" w:rsidRDefault="005F572A" w:rsidP="005F572A">
      <w:pPr>
        <w:pStyle w:val="ac"/>
      </w:pPr>
    </w:p>
    <w:p w:rsidR="005F572A" w:rsidRPr="00D56992" w:rsidRDefault="005F572A" w:rsidP="005F572A">
      <w:pPr>
        <w:pStyle w:val="ac"/>
      </w:pPr>
    </w:p>
    <w:p w:rsidR="005F572A" w:rsidRPr="00D56992" w:rsidRDefault="005F572A" w:rsidP="005F572A">
      <w:pPr>
        <w:pStyle w:val="ac"/>
      </w:pPr>
    </w:p>
    <w:p w:rsidR="005F572A" w:rsidRPr="00D56992" w:rsidRDefault="005F572A" w:rsidP="005F572A">
      <w:pPr>
        <w:pStyle w:val="ac"/>
      </w:pPr>
    </w:p>
    <w:p w:rsidR="005F572A" w:rsidRPr="00D56992" w:rsidRDefault="005F572A" w:rsidP="005F572A">
      <w:pPr>
        <w:pStyle w:val="ac"/>
      </w:pPr>
    </w:p>
    <w:p w:rsidR="005F572A" w:rsidRPr="001B5323" w:rsidRDefault="005F572A" w:rsidP="005F572A">
      <w:pPr>
        <w:pStyle w:val="aff3"/>
        <w:rPr>
          <w:rFonts w:ascii="Arial" w:hAnsi="Arial" w:cs="Arial"/>
          <w:b/>
          <w:sz w:val="36"/>
          <w:szCs w:val="36"/>
        </w:rPr>
      </w:pPr>
      <w:r w:rsidRPr="001B5323">
        <w:rPr>
          <w:rFonts w:ascii="Arial" w:hAnsi="Arial" w:cs="Arial"/>
          <w:b/>
          <w:sz w:val="36"/>
          <w:szCs w:val="36"/>
        </w:rPr>
        <w:t>Государственная интегрированная информационная система управления общественными финансами «Электронный бюджет»</w:t>
      </w:r>
    </w:p>
    <w:p w:rsidR="005F572A" w:rsidRPr="00C501ED" w:rsidRDefault="005F572A" w:rsidP="005F572A">
      <w:pPr>
        <w:pStyle w:val="aff3"/>
        <w:rPr>
          <w:rFonts w:ascii="Arial" w:hAnsi="Arial"/>
          <w:b/>
          <w:sz w:val="36"/>
        </w:rPr>
      </w:pPr>
    </w:p>
    <w:p w:rsidR="005F572A" w:rsidRPr="00C501ED" w:rsidRDefault="005F572A" w:rsidP="005F572A">
      <w:pPr>
        <w:pStyle w:val="-3"/>
      </w:pPr>
      <w:r w:rsidRPr="00C501ED">
        <w:t>Подсистема информационно-аналитического обеспечения</w:t>
      </w:r>
    </w:p>
    <w:p w:rsidR="005F572A" w:rsidRPr="00C501ED" w:rsidRDefault="005F572A" w:rsidP="005F572A">
      <w:pPr>
        <w:pStyle w:val="aff3"/>
      </w:pPr>
    </w:p>
    <w:p w:rsidR="005F572A" w:rsidRPr="00D56992" w:rsidRDefault="005F572A" w:rsidP="005F572A">
      <w:pPr>
        <w:pStyle w:val="-4"/>
        <w:rPr>
          <w:rFonts w:ascii="Times New Roman" w:hAnsi="Times New Roman"/>
        </w:rPr>
      </w:pPr>
      <w:r w:rsidRPr="00C501ED">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p w:rsidR="005F572A" w:rsidRDefault="005F572A" w:rsidP="005F572A">
      <w:pPr>
        <w:pStyle w:val="aff3"/>
      </w:pPr>
    </w:p>
    <w:p w:rsidR="005F572A" w:rsidRPr="00D56992" w:rsidRDefault="005F572A" w:rsidP="005F572A">
      <w:pPr>
        <w:pStyle w:val="aff3"/>
      </w:pPr>
    </w:p>
    <w:p w:rsidR="005F572A" w:rsidRPr="00D56992" w:rsidRDefault="005F572A" w:rsidP="005F572A">
      <w:pPr>
        <w:pStyle w:val="aff3"/>
      </w:pPr>
      <w:r w:rsidRPr="00D56992">
        <w:t>Код документа: 30275697.20.11,00.</w:t>
      </w:r>
      <w:r w:rsidRPr="00D56992">
        <w:rPr>
          <w:rStyle w:val="afff3"/>
          <w:b w:val="0"/>
        </w:rPr>
        <w:t>ЭБ26.</w:t>
      </w:r>
      <w:r w:rsidR="00BB1EB6">
        <w:rPr>
          <w:rStyle w:val="afff3"/>
          <w:b w:val="0"/>
        </w:rPr>
        <w:t>001-0</w:t>
      </w:r>
      <w:r w:rsidR="00EA7BB4">
        <w:rPr>
          <w:rStyle w:val="afff3"/>
          <w:b w:val="0"/>
        </w:rPr>
        <w:t>5</w:t>
      </w:r>
      <w:r w:rsidR="00BB1EB6">
        <w:rPr>
          <w:rStyle w:val="afff3"/>
          <w:b w:val="0"/>
        </w:rPr>
        <w:t>.0</w:t>
      </w:r>
      <w:r w:rsidR="00255CE5">
        <w:rPr>
          <w:rStyle w:val="afff3"/>
          <w:b w:val="0"/>
        </w:rPr>
        <w:t>1</w:t>
      </w:r>
      <w:r w:rsidRPr="00D56992">
        <w:t xml:space="preserve"> </w:t>
      </w:r>
      <w:r>
        <w:t>9</w:t>
      </w:r>
    </w:p>
    <w:p w:rsidR="005F572A" w:rsidRPr="00D56992" w:rsidRDefault="005F572A" w:rsidP="005F572A">
      <w:pPr>
        <w:pStyle w:val="aff3"/>
      </w:pPr>
    </w:p>
    <w:p w:rsidR="005F572A" w:rsidRPr="00D56992" w:rsidRDefault="005F572A" w:rsidP="005F572A">
      <w:pPr>
        <w:pStyle w:val="aff3"/>
      </w:pPr>
    </w:p>
    <w:p w:rsidR="005F572A" w:rsidRDefault="001F44DA" w:rsidP="005F572A">
      <w:pPr>
        <w:pStyle w:val="aff3"/>
        <w:rPr>
          <w:noProof/>
        </w:rPr>
        <w:sectPr w:rsidR="005F572A" w:rsidSect="0093787F">
          <w:headerReference w:type="default" r:id="rId11"/>
          <w:pgSz w:w="11906" w:h="16838" w:code="9"/>
          <w:pgMar w:top="851" w:right="851" w:bottom="1418" w:left="1418" w:header="850" w:footer="850" w:gutter="0"/>
          <w:pgNumType w:start="1"/>
          <w:cols w:space="708"/>
          <w:titlePg/>
          <w:docGrid w:linePitch="360"/>
        </w:sectPr>
      </w:pPr>
      <w:r w:rsidRPr="00E06755">
        <w:t xml:space="preserve">Листов: </w:t>
      </w:r>
      <w:fldSimple w:instr=" PAGEREF  str  \* MERGEFORMAT ">
        <w:r w:rsidR="00B4435E">
          <w:rPr>
            <w:noProof/>
          </w:rPr>
          <w:t>908</w:t>
        </w:r>
      </w:fldSimple>
    </w:p>
    <w:p w:rsidR="00D55811" w:rsidRPr="00E06755" w:rsidRDefault="00D55811" w:rsidP="001B08AA">
      <w:pPr>
        <w:pStyle w:val="af6"/>
      </w:pPr>
      <w:bookmarkStart w:id="1" w:name="_Toc119585009"/>
      <w:r w:rsidRPr="00E06755">
        <w:lastRenderedPageBreak/>
        <w:t>Аннотация</w:t>
      </w:r>
      <w:bookmarkEnd w:id="1"/>
    </w:p>
    <w:p w:rsidR="001B08AA" w:rsidRDefault="001B08AA" w:rsidP="001B08AA">
      <w:pPr>
        <w:pStyle w:val="af0"/>
      </w:pPr>
      <w:r w:rsidRPr="00E06755">
        <w:t xml:space="preserve">Настоящий документ «Руководство работников (представителей) участников системы «Электронный бюджет» по работе с подсистемой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предназначен для </w:t>
      </w:r>
      <w:r w:rsidRPr="00E06755">
        <w:rPr>
          <w:color w:val="auto"/>
        </w:rPr>
        <w:t>редакторского персонала</w:t>
      </w:r>
      <w:r w:rsidRPr="00E06755">
        <w:t xml:space="preserve"> </w:t>
      </w:r>
      <w:r w:rsidRPr="00E06755">
        <w:rPr>
          <w:rFonts w:eastAsiaTheme="minorHAnsi"/>
          <w:snapToGrid/>
          <w:lang w:eastAsia="en-US"/>
        </w:rPr>
        <w:t>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sidRPr="00E06755">
        <w:t xml:space="preserve"> (далее –</w:t>
      </w:r>
      <w:r w:rsidR="0001043A" w:rsidRPr="00E06755">
        <w:t xml:space="preserve"> </w:t>
      </w:r>
      <w:r w:rsidRPr="00E06755">
        <w:t>Подсистема</w:t>
      </w:r>
      <w:r w:rsidR="0001043A" w:rsidRPr="00E06755">
        <w:t>, ПИАО</w:t>
      </w:r>
      <w:r w:rsidRPr="00E06755">
        <w:t>).</w:t>
      </w:r>
    </w:p>
    <w:p w:rsidR="009A61AE" w:rsidRDefault="009A61AE" w:rsidP="001B08AA">
      <w:pPr>
        <w:pStyle w:val="af0"/>
      </w:pPr>
      <w:r>
        <w:t xml:space="preserve">Документ актуализирован в </w:t>
      </w:r>
      <w:r w:rsidRPr="008B2837">
        <w:t xml:space="preserve">рамках Государственного контракта </w:t>
      </w:r>
      <w:r w:rsidR="00EA7BB4" w:rsidRPr="00EA7BB4">
        <w:t>№ ФКУ0212/05/2022/РИС от 30.05.2022</w:t>
      </w:r>
      <w:r w:rsidRPr="008B2837">
        <w:t xml:space="preserve"> (Период </w:t>
      </w:r>
      <w:r w:rsidR="00EA7BB4">
        <w:t>1</w:t>
      </w:r>
      <w:r w:rsidRPr="008B2837">
        <w:t>) на</w:t>
      </w:r>
      <w:r w:rsidR="0093787F">
        <w:t xml:space="preserve"> выполнение работ по развитию</w:t>
      </w:r>
      <w:r w:rsidRPr="008B2837">
        <w:t xml:space="preserve"> </w:t>
      </w:r>
      <w:r>
        <w:t>Подсистемы.</w:t>
      </w:r>
    </w:p>
    <w:p w:rsidR="00CE2CD2" w:rsidRDefault="00CE2CD2" w:rsidP="00CE2CD2">
      <w:pPr>
        <w:pStyle w:val="af0"/>
      </w:pPr>
      <w:r>
        <w:t>П</w:t>
      </w:r>
      <w:r w:rsidRPr="003D0EA0">
        <w:t xml:space="preserve">еречень подсистем (компонентов, модулей) информационной системы, для которых был создан </w:t>
      </w:r>
      <w:r>
        <w:t>документ:</w:t>
      </w:r>
    </w:p>
    <w:p w:rsidR="00CE2CD2" w:rsidRDefault="00CE2CD2" w:rsidP="00CE2CD2">
      <w:pPr>
        <w:pStyle w:val="13"/>
      </w:pPr>
      <w:r w:rsidRPr="00E134AE">
        <w:t>11</w:t>
      </w:r>
      <w:r w:rsidRPr="0039749A">
        <w:t>,00</w:t>
      </w:r>
      <w:r>
        <w:t xml:space="preserve"> – документ предназначен для Подсистемы</w:t>
      </w:r>
      <w:r w:rsidRPr="0039749A">
        <w:t xml:space="preserve"> информационно-аналитического обеспечения</w:t>
      </w:r>
      <w:r>
        <w:t xml:space="preserve"> </w:t>
      </w:r>
      <w:r w:rsidRPr="00E353E8">
        <w:t>государственной интегрированной информационной системы управления общественными финансами «Электронный бюджет»</w:t>
      </w:r>
      <w:r>
        <w:t>.</w:t>
      </w:r>
    </w:p>
    <w:p w:rsidR="00CE2CD2" w:rsidRPr="00314D7D" w:rsidRDefault="00CE2CD2" w:rsidP="00CE2CD2">
      <w:pPr>
        <w:spacing w:line="360" w:lineRule="exact"/>
        <w:ind w:firstLine="567"/>
        <w:rPr>
          <w:sz w:val="28"/>
        </w:rPr>
      </w:pPr>
      <w:r w:rsidRPr="00314D7D">
        <w:rPr>
          <w:sz w:val="28"/>
        </w:rPr>
        <w:t>Перечень областей применения документа:</w:t>
      </w:r>
    </w:p>
    <w:p w:rsidR="00CE2CD2" w:rsidRPr="00E06755" w:rsidRDefault="00CE2CD2" w:rsidP="00CE2CD2">
      <w:pPr>
        <w:pStyle w:val="13"/>
      </w:pPr>
      <w:r>
        <w:t>9</w:t>
      </w:r>
      <w:r w:rsidRPr="002F55FD">
        <w:t xml:space="preserve"> – Применение для </w:t>
      </w:r>
      <w:r>
        <w:t>всех пользователей.</w:t>
      </w:r>
    </w:p>
    <w:p w:rsidR="00D55811" w:rsidRPr="00E06755" w:rsidRDefault="00D55811" w:rsidP="000F161A">
      <w:pPr>
        <w:pStyle w:val="1f8"/>
      </w:pPr>
      <w:r w:rsidRPr="00E06755">
        <w:br w:type="page"/>
      </w:r>
      <w:r w:rsidRPr="00E06755">
        <w:lastRenderedPageBreak/>
        <w:t>Содержание</w:t>
      </w:r>
    </w:p>
    <w:p w:rsidR="00DD2822" w:rsidRDefault="000F161A">
      <w:pPr>
        <w:pStyle w:val="19"/>
        <w:rPr>
          <w:rFonts w:asciiTheme="minorHAnsi" w:eastAsiaTheme="minorEastAsia" w:hAnsiTheme="minorHAnsi" w:cstheme="minorBidi"/>
          <w:b w:val="0"/>
          <w:sz w:val="22"/>
          <w:szCs w:val="22"/>
          <w:lang w:eastAsia="ru-RU"/>
        </w:rPr>
      </w:pPr>
      <w:r>
        <w:rPr>
          <w:rFonts w:ascii="Times New Roman" w:hAnsi="Times New Roman"/>
          <w:bCs/>
        </w:rPr>
        <w:fldChar w:fldCharType="begin"/>
      </w:r>
      <w:r>
        <w:rPr>
          <w:rFonts w:ascii="Times New Roman" w:hAnsi="Times New Roman"/>
          <w:bCs/>
        </w:rPr>
        <w:instrText xml:space="preserve"> TOC \o "2-3" \h \z \t "Заголовок 1;1;Заголовки без нумерации;1;Заголовок приложения;1;Заголовок_1;1;OTR_Heading_1;1;Head 1;1;Приложение 1;1;_Заг.1;1;ГОСТ_Заголовок_1;1" </w:instrText>
      </w:r>
      <w:r>
        <w:rPr>
          <w:rFonts w:ascii="Times New Roman" w:hAnsi="Times New Roman"/>
          <w:bCs/>
        </w:rPr>
        <w:fldChar w:fldCharType="separate"/>
      </w:r>
      <w:hyperlink w:anchor="_Toc119585009" w:history="1">
        <w:r w:rsidR="00DD2822" w:rsidRPr="00B44B9B">
          <w:rPr>
            <w:rStyle w:val="af5"/>
          </w:rPr>
          <w:t>Аннотация</w:t>
        </w:r>
        <w:r w:rsidR="00DD2822">
          <w:rPr>
            <w:webHidden/>
          </w:rPr>
          <w:tab/>
        </w:r>
        <w:r w:rsidR="00DD2822">
          <w:rPr>
            <w:webHidden/>
          </w:rPr>
          <w:fldChar w:fldCharType="begin"/>
        </w:r>
        <w:r w:rsidR="00DD2822">
          <w:rPr>
            <w:webHidden/>
          </w:rPr>
          <w:instrText xml:space="preserve"> PAGEREF _Toc119585009 \h </w:instrText>
        </w:r>
        <w:r w:rsidR="00DD2822">
          <w:rPr>
            <w:webHidden/>
          </w:rPr>
        </w:r>
        <w:r w:rsidR="00DD2822">
          <w:rPr>
            <w:webHidden/>
          </w:rPr>
          <w:fldChar w:fldCharType="separate"/>
        </w:r>
        <w:r w:rsidR="00DD2822">
          <w:rPr>
            <w:webHidden/>
          </w:rPr>
          <w:t>2</w:t>
        </w:r>
        <w:r w:rsidR="00DD2822">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0" w:history="1">
        <w:r w:rsidRPr="00B44B9B">
          <w:rPr>
            <w:rStyle w:val="af5"/>
          </w:rPr>
          <w:t>Перечень таблиц</w:t>
        </w:r>
        <w:r>
          <w:rPr>
            <w:webHidden/>
          </w:rPr>
          <w:tab/>
        </w:r>
        <w:r>
          <w:rPr>
            <w:webHidden/>
          </w:rPr>
          <w:fldChar w:fldCharType="begin"/>
        </w:r>
        <w:r>
          <w:rPr>
            <w:webHidden/>
          </w:rPr>
          <w:instrText xml:space="preserve"> PAGEREF _Toc119585010 \h </w:instrText>
        </w:r>
        <w:r>
          <w:rPr>
            <w:webHidden/>
          </w:rPr>
        </w:r>
        <w:r>
          <w:rPr>
            <w:webHidden/>
          </w:rPr>
          <w:fldChar w:fldCharType="separate"/>
        </w:r>
        <w:r>
          <w:rPr>
            <w:webHidden/>
          </w:rPr>
          <w:t>9</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1" w:history="1">
        <w:r w:rsidRPr="00B44B9B">
          <w:rPr>
            <w:rStyle w:val="af5"/>
          </w:rPr>
          <w:t>Перечень рисунков</w:t>
        </w:r>
        <w:r>
          <w:rPr>
            <w:webHidden/>
          </w:rPr>
          <w:tab/>
        </w:r>
        <w:r>
          <w:rPr>
            <w:webHidden/>
          </w:rPr>
          <w:fldChar w:fldCharType="begin"/>
        </w:r>
        <w:r>
          <w:rPr>
            <w:webHidden/>
          </w:rPr>
          <w:instrText xml:space="preserve"> PAGEREF _Toc119585011 \h </w:instrText>
        </w:r>
        <w:r>
          <w:rPr>
            <w:webHidden/>
          </w:rPr>
        </w:r>
        <w:r>
          <w:rPr>
            <w:webHidden/>
          </w:rPr>
          <w:fldChar w:fldCharType="separate"/>
        </w:r>
        <w:r>
          <w:rPr>
            <w:webHidden/>
          </w:rPr>
          <w:t>12</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2" w:history="1">
        <w:r w:rsidRPr="00B44B9B">
          <w:rPr>
            <w:rStyle w:val="af5"/>
          </w:rPr>
          <w:t>Перечень сокращений</w:t>
        </w:r>
        <w:r>
          <w:rPr>
            <w:webHidden/>
          </w:rPr>
          <w:tab/>
        </w:r>
        <w:r>
          <w:rPr>
            <w:webHidden/>
          </w:rPr>
          <w:fldChar w:fldCharType="begin"/>
        </w:r>
        <w:r>
          <w:rPr>
            <w:webHidden/>
          </w:rPr>
          <w:instrText xml:space="preserve"> PAGEREF _Toc119585012 \h </w:instrText>
        </w:r>
        <w:r>
          <w:rPr>
            <w:webHidden/>
          </w:rPr>
        </w:r>
        <w:r>
          <w:rPr>
            <w:webHidden/>
          </w:rPr>
          <w:fldChar w:fldCharType="separate"/>
        </w:r>
        <w:r>
          <w:rPr>
            <w:webHidden/>
          </w:rPr>
          <w:t>42</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3" w:history="1">
        <w:r w:rsidRPr="00B44B9B">
          <w:rPr>
            <w:rStyle w:val="af5"/>
          </w:rPr>
          <w:t>Перечень терминов</w:t>
        </w:r>
        <w:r>
          <w:rPr>
            <w:webHidden/>
          </w:rPr>
          <w:tab/>
        </w:r>
        <w:r>
          <w:rPr>
            <w:webHidden/>
          </w:rPr>
          <w:fldChar w:fldCharType="begin"/>
        </w:r>
        <w:r>
          <w:rPr>
            <w:webHidden/>
          </w:rPr>
          <w:instrText xml:space="preserve"> PAGEREF _Toc119585013 \h </w:instrText>
        </w:r>
        <w:r>
          <w:rPr>
            <w:webHidden/>
          </w:rPr>
        </w:r>
        <w:r>
          <w:rPr>
            <w:webHidden/>
          </w:rPr>
          <w:fldChar w:fldCharType="separate"/>
        </w:r>
        <w:r>
          <w:rPr>
            <w:webHidden/>
          </w:rPr>
          <w:t>44</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4" w:history="1">
        <w:r w:rsidRPr="00B44B9B">
          <w:rPr>
            <w:rStyle w:val="af5"/>
          </w:rPr>
          <w:t>Перечень ссылочных документов</w:t>
        </w:r>
        <w:r>
          <w:rPr>
            <w:webHidden/>
          </w:rPr>
          <w:tab/>
        </w:r>
        <w:r>
          <w:rPr>
            <w:webHidden/>
          </w:rPr>
          <w:fldChar w:fldCharType="begin"/>
        </w:r>
        <w:r>
          <w:rPr>
            <w:webHidden/>
          </w:rPr>
          <w:instrText xml:space="preserve"> PAGEREF _Toc119585014 \h </w:instrText>
        </w:r>
        <w:r>
          <w:rPr>
            <w:webHidden/>
          </w:rPr>
        </w:r>
        <w:r>
          <w:rPr>
            <w:webHidden/>
          </w:rPr>
          <w:fldChar w:fldCharType="separate"/>
        </w:r>
        <w:r>
          <w:rPr>
            <w:webHidden/>
          </w:rPr>
          <w:t>45</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15" w:history="1">
        <w:r w:rsidRPr="00B44B9B">
          <w:rPr>
            <w:rStyle w:val="af5"/>
          </w:rPr>
          <w:t>1 Общие положения</w:t>
        </w:r>
        <w:r>
          <w:rPr>
            <w:webHidden/>
          </w:rPr>
          <w:tab/>
        </w:r>
        <w:r>
          <w:rPr>
            <w:webHidden/>
          </w:rPr>
          <w:fldChar w:fldCharType="begin"/>
        </w:r>
        <w:r>
          <w:rPr>
            <w:webHidden/>
          </w:rPr>
          <w:instrText xml:space="preserve"> PAGEREF _Toc119585015 \h </w:instrText>
        </w:r>
        <w:r>
          <w:rPr>
            <w:webHidden/>
          </w:rPr>
        </w:r>
        <w:r>
          <w:rPr>
            <w:webHidden/>
          </w:rPr>
          <w:fldChar w:fldCharType="separate"/>
        </w:r>
        <w:r>
          <w:rPr>
            <w:webHidden/>
          </w:rPr>
          <w:t>46</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16" w:history="1">
        <w:r w:rsidRPr="00B44B9B">
          <w:rPr>
            <w:rStyle w:val="af5"/>
          </w:rPr>
          <w:t>1.1 Назначение Подсистемы</w:t>
        </w:r>
        <w:r>
          <w:rPr>
            <w:webHidden/>
          </w:rPr>
          <w:tab/>
        </w:r>
        <w:r>
          <w:rPr>
            <w:webHidden/>
          </w:rPr>
          <w:fldChar w:fldCharType="begin"/>
        </w:r>
        <w:r>
          <w:rPr>
            <w:webHidden/>
          </w:rPr>
          <w:instrText xml:space="preserve"> PAGEREF _Toc119585016 \h </w:instrText>
        </w:r>
        <w:r>
          <w:rPr>
            <w:webHidden/>
          </w:rPr>
        </w:r>
        <w:r>
          <w:rPr>
            <w:webHidden/>
          </w:rPr>
          <w:fldChar w:fldCharType="separate"/>
        </w:r>
        <w:r>
          <w:rPr>
            <w:webHidden/>
          </w:rPr>
          <w:t>46</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17" w:history="1">
        <w:r w:rsidRPr="00B44B9B">
          <w:rPr>
            <w:rStyle w:val="af5"/>
          </w:rPr>
          <w:t>1.2 Функциональные роли, выполняемые пользователем</w:t>
        </w:r>
        <w:r>
          <w:rPr>
            <w:webHidden/>
          </w:rPr>
          <w:tab/>
        </w:r>
        <w:r>
          <w:rPr>
            <w:webHidden/>
          </w:rPr>
          <w:fldChar w:fldCharType="begin"/>
        </w:r>
        <w:r>
          <w:rPr>
            <w:webHidden/>
          </w:rPr>
          <w:instrText xml:space="preserve"> PAGEREF _Toc119585017 \h </w:instrText>
        </w:r>
        <w:r>
          <w:rPr>
            <w:webHidden/>
          </w:rPr>
        </w:r>
        <w:r>
          <w:rPr>
            <w:webHidden/>
          </w:rPr>
          <w:fldChar w:fldCharType="separate"/>
        </w:r>
        <w:r>
          <w:rPr>
            <w:webHidden/>
          </w:rPr>
          <w:t>47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18" w:history="1">
        <w:r w:rsidRPr="00B44B9B">
          <w:rPr>
            <w:rStyle w:val="af5"/>
          </w:rPr>
          <w:t>1.2.1 Пользователи Подсистемы</w:t>
        </w:r>
        <w:r>
          <w:rPr>
            <w:webHidden/>
          </w:rPr>
          <w:tab/>
        </w:r>
        <w:r>
          <w:rPr>
            <w:webHidden/>
          </w:rPr>
          <w:fldChar w:fldCharType="begin"/>
        </w:r>
        <w:r>
          <w:rPr>
            <w:webHidden/>
          </w:rPr>
          <w:instrText xml:space="preserve"> PAGEREF _Toc119585018 \h </w:instrText>
        </w:r>
        <w:r>
          <w:rPr>
            <w:webHidden/>
          </w:rPr>
        </w:r>
        <w:r>
          <w:rPr>
            <w:webHidden/>
          </w:rPr>
          <w:fldChar w:fldCharType="separate"/>
        </w:r>
        <w:r>
          <w:rPr>
            <w:webHidden/>
          </w:rPr>
          <w:t>47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19" w:history="1">
        <w:r w:rsidRPr="00B44B9B">
          <w:rPr>
            <w:rStyle w:val="af5"/>
          </w:rPr>
          <w:t>1.2.2 Пользователи мобильного приложения</w:t>
        </w:r>
        <w:r>
          <w:rPr>
            <w:webHidden/>
          </w:rPr>
          <w:tab/>
        </w:r>
        <w:r>
          <w:rPr>
            <w:webHidden/>
          </w:rPr>
          <w:fldChar w:fldCharType="begin"/>
        </w:r>
        <w:r>
          <w:rPr>
            <w:webHidden/>
          </w:rPr>
          <w:instrText xml:space="preserve"> PAGEREF _Toc119585019 \h </w:instrText>
        </w:r>
        <w:r>
          <w:rPr>
            <w:webHidden/>
          </w:rPr>
        </w:r>
        <w:r>
          <w:rPr>
            <w:webHidden/>
          </w:rPr>
          <w:fldChar w:fldCharType="separate"/>
        </w:r>
        <w:r>
          <w:rPr>
            <w:webHidden/>
          </w:rPr>
          <w:t>51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20" w:history="1">
        <w:r w:rsidRPr="00B44B9B">
          <w:rPr>
            <w:rStyle w:val="af5"/>
          </w:rPr>
          <w:t>1.2.3 Администраторы Подсистемы</w:t>
        </w:r>
        <w:r>
          <w:rPr>
            <w:webHidden/>
          </w:rPr>
          <w:tab/>
        </w:r>
        <w:r>
          <w:rPr>
            <w:webHidden/>
          </w:rPr>
          <w:fldChar w:fldCharType="begin"/>
        </w:r>
        <w:r>
          <w:rPr>
            <w:webHidden/>
          </w:rPr>
          <w:instrText xml:space="preserve"> PAGEREF _Toc119585020 \h </w:instrText>
        </w:r>
        <w:r>
          <w:rPr>
            <w:webHidden/>
          </w:rPr>
        </w:r>
        <w:r>
          <w:rPr>
            <w:webHidden/>
          </w:rPr>
          <w:fldChar w:fldCharType="separate"/>
        </w:r>
        <w:r>
          <w:rPr>
            <w:webHidden/>
          </w:rPr>
          <w:t>51</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1" w:history="1">
        <w:r w:rsidRPr="00B44B9B">
          <w:rPr>
            <w:rStyle w:val="af5"/>
          </w:rPr>
          <w:t>1.3 Необходимый уровень подготовки пользователя</w:t>
        </w:r>
        <w:r>
          <w:rPr>
            <w:webHidden/>
          </w:rPr>
          <w:tab/>
        </w:r>
        <w:r>
          <w:rPr>
            <w:webHidden/>
          </w:rPr>
          <w:fldChar w:fldCharType="begin"/>
        </w:r>
        <w:r>
          <w:rPr>
            <w:webHidden/>
          </w:rPr>
          <w:instrText xml:space="preserve"> PAGEREF _Toc119585021 \h </w:instrText>
        </w:r>
        <w:r>
          <w:rPr>
            <w:webHidden/>
          </w:rPr>
        </w:r>
        <w:r>
          <w:rPr>
            <w:webHidden/>
          </w:rPr>
          <w:fldChar w:fldCharType="separate"/>
        </w:r>
        <w:r>
          <w:rPr>
            <w:webHidden/>
          </w:rPr>
          <w:t>51</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2" w:history="1">
        <w:r w:rsidRPr="00B44B9B">
          <w:rPr>
            <w:rStyle w:val="af5"/>
          </w:rPr>
          <w:t>1.4 Перечень документации, с которой необходимо ознакомиться пользователю</w:t>
        </w:r>
        <w:r>
          <w:rPr>
            <w:webHidden/>
          </w:rPr>
          <w:tab/>
        </w:r>
        <w:r>
          <w:rPr>
            <w:webHidden/>
          </w:rPr>
          <w:fldChar w:fldCharType="begin"/>
        </w:r>
        <w:r>
          <w:rPr>
            <w:webHidden/>
          </w:rPr>
          <w:instrText xml:space="preserve"> PAGEREF _Toc119585022 \h </w:instrText>
        </w:r>
        <w:r>
          <w:rPr>
            <w:webHidden/>
          </w:rPr>
        </w:r>
        <w:r>
          <w:rPr>
            <w:webHidden/>
          </w:rPr>
          <w:fldChar w:fldCharType="separate"/>
        </w:r>
        <w:r>
          <w:rPr>
            <w:webHidden/>
          </w:rPr>
          <w:t>51</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3" w:history="1">
        <w:r w:rsidRPr="00B44B9B">
          <w:rPr>
            <w:rStyle w:val="af5"/>
          </w:rPr>
          <w:t>1.5 Условия, соблюдение которых обеспечивает возможность использования функций Подсистемы пользователем</w:t>
        </w:r>
        <w:r>
          <w:rPr>
            <w:webHidden/>
          </w:rPr>
          <w:tab/>
        </w:r>
        <w:r>
          <w:rPr>
            <w:webHidden/>
          </w:rPr>
          <w:fldChar w:fldCharType="begin"/>
        </w:r>
        <w:r>
          <w:rPr>
            <w:webHidden/>
          </w:rPr>
          <w:instrText xml:space="preserve"> PAGEREF _Toc119585023 \h </w:instrText>
        </w:r>
        <w:r>
          <w:rPr>
            <w:webHidden/>
          </w:rPr>
        </w:r>
        <w:r>
          <w:rPr>
            <w:webHidden/>
          </w:rPr>
          <w:fldChar w:fldCharType="separate"/>
        </w:r>
        <w:r>
          <w:rPr>
            <w:webHidden/>
          </w:rPr>
          <w:t>52</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24" w:history="1">
        <w:r w:rsidRPr="00B44B9B">
          <w:rPr>
            <w:rStyle w:val="af5"/>
          </w:rPr>
          <w:t>2 Подготовка к работе</w:t>
        </w:r>
        <w:r>
          <w:rPr>
            <w:webHidden/>
          </w:rPr>
          <w:tab/>
        </w:r>
        <w:r>
          <w:rPr>
            <w:webHidden/>
          </w:rPr>
          <w:fldChar w:fldCharType="begin"/>
        </w:r>
        <w:r>
          <w:rPr>
            <w:webHidden/>
          </w:rPr>
          <w:instrText xml:space="preserve"> PAGEREF _Toc119585024 \h </w:instrText>
        </w:r>
        <w:r>
          <w:rPr>
            <w:webHidden/>
          </w:rPr>
        </w:r>
        <w:r>
          <w:rPr>
            <w:webHidden/>
          </w:rPr>
          <w:fldChar w:fldCharType="separate"/>
        </w:r>
        <w:r>
          <w:rPr>
            <w:webHidden/>
          </w:rPr>
          <w:t>54</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5" w:history="1">
        <w:r w:rsidRPr="00B44B9B">
          <w:rPr>
            <w:rStyle w:val="af5"/>
          </w:rPr>
          <w:t>2.1 Порядок подключения пользователей к Подсистеме</w:t>
        </w:r>
        <w:r>
          <w:rPr>
            <w:webHidden/>
          </w:rPr>
          <w:tab/>
        </w:r>
        <w:r>
          <w:rPr>
            <w:webHidden/>
          </w:rPr>
          <w:fldChar w:fldCharType="begin"/>
        </w:r>
        <w:r>
          <w:rPr>
            <w:webHidden/>
          </w:rPr>
          <w:instrText xml:space="preserve"> PAGEREF _Toc119585025 \h </w:instrText>
        </w:r>
        <w:r>
          <w:rPr>
            <w:webHidden/>
          </w:rPr>
        </w:r>
        <w:r>
          <w:rPr>
            <w:webHidden/>
          </w:rPr>
          <w:fldChar w:fldCharType="separate"/>
        </w:r>
        <w:r>
          <w:rPr>
            <w:webHidden/>
          </w:rPr>
          <w:t>54</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6" w:history="1">
        <w:r w:rsidRPr="00B44B9B">
          <w:rPr>
            <w:rStyle w:val="af5"/>
          </w:rPr>
          <w:t>2.2 Порядок базовой проверки работоспособности ИС</w:t>
        </w:r>
        <w:r>
          <w:rPr>
            <w:webHidden/>
          </w:rPr>
          <w:tab/>
        </w:r>
        <w:r>
          <w:rPr>
            <w:webHidden/>
          </w:rPr>
          <w:fldChar w:fldCharType="begin"/>
        </w:r>
        <w:r>
          <w:rPr>
            <w:webHidden/>
          </w:rPr>
          <w:instrText xml:space="preserve"> PAGEREF _Toc119585026 \h </w:instrText>
        </w:r>
        <w:r>
          <w:rPr>
            <w:webHidden/>
          </w:rPr>
        </w:r>
        <w:r>
          <w:rPr>
            <w:webHidden/>
          </w:rPr>
          <w:fldChar w:fldCharType="separate"/>
        </w:r>
        <w:r>
          <w:rPr>
            <w:webHidden/>
          </w:rPr>
          <w:t>57</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27" w:history="1">
        <w:r w:rsidRPr="00B44B9B">
          <w:rPr>
            <w:rStyle w:val="af5"/>
          </w:rPr>
          <w:t xml:space="preserve">2.3 Настройка доступа к ГИИС «Электронный Бюджет» в ОС </w:t>
        </w:r>
        <w:r w:rsidRPr="00B44B9B">
          <w:rPr>
            <w:rStyle w:val="af5"/>
            <w:lang w:val="en-US"/>
          </w:rPr>
          <w:t>GosLinux</w:t>
        </w:r>
        <w:r>
          <w:rPr>
            <w:webHidden/>
          </w:rPr>
          <w:tab/>
        </w:r>
        <w:r>
          <w:rPr>
            <w:webHidden/>
          </w:rPr>
          <w:fldChar w:fldCharType="begin"/>
        </w:r>
        <w:r>
          <w:rPr>
            <w:webHidden/>
          </w:rPr>
          <w:instrText xml:space="preserve"> PAGEREF _Toc119585027 \h </w:instrText>
        </w:r>
        <w:r>
          <w:rPr>
            <w:webHidden/>
          </w:rPr>
        </w:r>
        <w:r>
          <w:rPr>
            <w:webHidden/>
          </w:rPr>
          <w:fldChar w:fldCharType="separate"/>
        </w:r>
        <w:r>
          <w:rPr>
            <w:webHidden/>
          </w:rPr>
          <w:t>58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28" w:history="1">
        <w:r w:rsidRPr="00B44B9B">
          <w:rPr>
            <w:rStyle w:val="af5"/>
          </w:rPr>
          <w:t>2.3.1 Требования к АРМ</w:t>
        </w:r>
        <w:r>
          <w:rPr>
            <w:webHidden/>
          </w:rPr>
          <w:tab/>
        </w:r>
        <w:r>
          <w:rPr>
            <w:webHidden/>
          </w:rPr>
          <w:fldChar w:fldCharType="begin"/>
        </w:r>
        <w:r>
          <w:rPr>
            <w:webHidden/>
          </w:rPr>
          <w:instrText xml:space="preserve"> PAGEREF _Toc119585028 \h </w:instrText>
        </w:r>
        <w:r>
          <w:rPr>
            <w:webHidden/>
          </w:rPr>
        </w:r>
        <w:r>
          <w:rPr>
            <w:webHidden/>
          </w:rPr>
          <w:fldChar w:fldCharType="separate"/>
        </w:r>
        <w:r>
          <w:rPr>
            <w:webHidden/>
          </w:rPr>
          <w:t>58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29" w:history="1">
        <w:r w:rsidRPr="00B44B9B">
          <w:rPr>
            <w:rStyle w:val="af5"/>
          </w:rPr>
          <w:t>2.3.2 Приведение ОС в актуальное состояние</w:t>
        </w:r>
        <w:r>
          <w:rPr>
            <w:webHidden/>
          </w:rPr>
          <w:tab/>
        </w:r>
        <w:r>
          <w:rPr>
            <w:webHidden/>
          </w:rPr>
          <w:fldChar w:fldCharType="begin"/>
        </w:r>
        <w:r>
          <w:rPr>
            <w:webHidden/>
          </w:rPr>
          <w:instrText xml:space="preserve"> PAGEREF _Toc119585029 \h </w:instrText>
        </w:r>
        <w:r>
          <w:rPr>
            <w:webHidden/>
          </w:rPr>
        </w:r>
        <w:r>
          <w:rPr>
            <w:webHidden/>
          </w:rPr>
          <w:fldChar w:fldCharType="separate"/>
        </w:r>
        <w:r>
          <w:rPr>
            <w:webHidden/>
          </w:rPr>
          <w:t>58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30" w:history="1">
        <w:r w:rsidRPr="00B44B9B">
          <w:rPr>
            <w:rStyle w:val="af5"/>
          </w:rPr>
          <w:t>2.3.3 Установка</w:t>
        </w:r>
        <w:r w:rsidRPr="00B44B9B">
          <w:rPr>
            <w:rStyle w:val="af5"/>
            <w:lang w:val="en-US"/>
          </w:rPr>
          <w:t xml:space="preserve"> Chromium-gost, CryptoPro, CryptoPro Browser plugin</w:t>
        </w:r>
        <w:r>
          <w:rPr>
            <w:webHidden/>
          </w:rPr>
          <w:tab/>
        </w:r>
        <w:r>
          <w:rPr>
            <w:webHidden/>
          </w:rPr>
          <w:fldChar w:fldCharType="begin"/>
        </w:r>
        <w:r>
          <w:rPr>
            <w:webHidden/>
          </w:rPr>
          <w:instrText xml:space="preserve"> PAGEREF _Toc119585030 \h </w:instrText>
        </w:r>
        <w:r>
          <w:rPr>
            <w:webHidden/>
          </w:rPr>
        </w:r>
        <w:r>
          <w:rPr>
            <w:webHidden/>
          </w:rPr>
          <w:fldChar w:fldCharType="separate"/>
        </w:r>
        <w:r>
          <w:rPr>
            <w:webHidden/>
          </w:rPr>
          <w:t>59</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31" w:history="1">
        <w:r w:rsidRPr="00B44B9B">
          <w:rPr>
            <w:rStyle w:val="af5"/>
          </w:rPr>
          <w:t>3 Описание функций</w:t>
        </w:r>
        <w:r>
          <w:rPr>
            <w:webHidden/>
          </w:rPr>
          <w:tab/>
        </w:r>
        <w:r>
          <w:rPr>
            <w:webHidden/>
          </w:rPr>
          <w:fldChar w:fldCharType="begin"/>
        </w:r>
        <w:r>
          <w:rPr>
            <w:webHidden/>
          </w:rPr>
          <w:instrText xml:space="preserve"> PAGEREF _Toc119585031 \h </w:instrText>
        </w:r>
        <w:r>
          <w:rPr>
            <w:webHidden/>
          </w:rPr>
        </w:r>
        <w:r>
          <w:rPr>
            <w:webHidden/>
          </w:rPr>
          <w:fldChar w:fldCharType="separate"/>
        </w:r>
        <w:r>
          <w:rPr>
            <w:webHidden/>
          </w:rPr>
          <w:t>60</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2" w:history="1">
        <w:r w:rsidRPr="00B44B9B">
          <w:rPr>
            <w:rStyle w:val="af5"/>
          </w:rPr>
          <w:t>3.1 Перечень функциональных областей Подсистемы</w:t>
        </w:r>
        <w:r>
          <w:rPr>
            <w:webHidden/>
          </w:rPr>
          <w:tab/>
        </w:r>
        <w:r>
          <w:rPr>
            <w:webHidden/>
          </w:rPr>
          <w:fldChar w:fldCharType="begin"/>
        </w:r>
        <w:r>
          <w:rPr>
            <w:webHidden/>
          </w:rPr>
          <w:instrText xml:space="preserve"> PAGEREF _Toc119585032 \h </w:instrText>
        </w:r>
        <w:r>
          <w:rPr>
            <w:webHidden/>
          </w:rPr>
        </w:r>
        <w:r>
          <w:rPr>
            <w:webHidden/>
          </w:rPr>
          <w:fldChar w:fldCharType="separate"/>
        </w:r>
        <w:r>
          <w:rPr>
            <w:webHidden/>
          </w:rPr>
          <w:t>60</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3" w:history="1">
        <w:r w:rsidRPr="00B44B9B">
          <w:rPr>
            <w:rStyle w:val="af5"/>
          </w:rPr>
          <w:t>3.2 Перечень автоматизируемых функций, входящих в функциональные области.</w:t>
        </w:r>
        <w:r>
          <w:rPr>
            <w:webHidden/>
          </w:rPr>
          <w:tab/>
        </w:r>
        <w:r>
          <w:rPr>
            <w:webHidden/>
          </w:rPr>
          <w:fldChar w:fldCharType="begin"/>
        </w:r>
        <w:r>
          <w:rPr>
            <w:webHidden/>
          </w:rPr>
          <w:instrText xml:space="preserve"> PAGEREF _Toc119585033 \h </w:instrText>
        </w:r>
        <w:r>
          <w:rPr>
            <w:webHidden/>
          </w:rPr>
        </w:r>
        <w:r>
          <w:rPr>
            <w:webHidden/>
          </w:rPr>
          <w:fldChar w:fldCharType="separate"/>
        </w:r>
        <w:r>
          <w:rPr>
            <w:webHidden/>
          </w:rPr>
          <w:t>62</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34" w:history="1">
        <w:r w:rsidRPr="00B44B9B">
          <w:rPr>
            <w:rStyle w:val="af5"/>
          </w:rPr>
          <w:t>4 Информационное взаимодействие Подсистемы с другими системами</w:t>
        </w:r>
        <w:r>
          <w:rPr>
            <w:webHidden/>
          </w:rPr>
          <w:tab/>
        </w:r>
        <w:r>
          <w:rPr>
            <w:webHidden/>
          </w:rPr>
          <w:fldChar w:fldCharType="begin"/>
        </w:r>
        <w:r>
          <w:rPr>
            <w:webHidden/>
          </w:rPr>
          <w:instrText xml:space="preserve"> PAGEREF _Toc119585034 \h </w:instrText>
        </w:r>
        <w:r>
          <w:rPr>
            <w:webHidden/>
          </w:rPr>
        </w:r>
        <w:r>
          <w:rPr>
            <w:webHidden/>
          </w:rPr>
          <w:fldChar w:fldCharType="separate"/>
        </w:r>
        <w:r>
          <w:rPr>
            <w:webHidden/>
          </w:rPr>
          <w:t>72</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35" w:history="1">
        <w:r w:rsidRPr="00B44B9B">
          <w:rPr>
            <w:rStyle w:val="af5"/>
          </w:rPr>
          <w:t>5 Описание интерфейса и управляющих элементов Подсистемы</w:t>
        </w:r>
        <w:r>
          <w:rPr>
            <w:webHidden/>
          </w:rPr>
          <w:tab/>
        </w:r>
        <w:r>
          <w:rPr>
            <w:webHidden/>
          </w:rPr>
          <w:fldChar w:fldCharType="begin"/>
        </w:r>
        <w:r>
          <w:rPr>
            <w:webHidden/>
          </w:rPr>
          <w:instrText xml:space="preserve"> PAGEREF _Toc119585035 \h </w:instrText>
        </w:r>
        <w:r>
          <w:rPr>
            <w:webHidden/>
          </w:rPr>
        </w:r>
        <w:r>
          <w:rPr>
            <w:webHidden/>
          </w:rPr>
          <w:fldChar w:fldCharType="separate"/>
        </w:r>
        <w:r>
          <w:rPr>
            <w:webHidden/>
          </w:rPr>
          <w:t>75</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6" w:history="1">
        <w:r w:rsidRPr="00B44B9B">
          <w:rPr>
            <w:rStyle w:val="af5"/>
          </w:rPr>
          <w:t>5.1 Интерфейс консоли ПИАО</w:t>
        </w:r>
        <w:r>
          <w:rPr>
            <w:webHidden/>
          </w:rPr>
          <w:tab/>
        </w:r>
        <w:r>
          <w:rPr>
            <w:webHidden/>
          </w:rPr>
          <w:fldChar w:fldCharType="begin"/>
        </w:r>
        <w:r>
          <w:rPr>
            <w:webHidden/>
          </w:rPr>
          <w:instrText xml:space="preserve"> PAGEREF _Toc119585036 \h </w:instrText>
        </w:r>
        <w:r>
          <w:rPr>
            <w:webHidden/>
          </w:rPr>
        </w:r>
        <w:r>
          <w:rPr>
            <w:webHidden/>
          </w:rPr>
          <w:fldChar w:fldCharType="separate"/>
        </w:r>
        <w:r>
          <w:rPr>
            <w:webHidden/>
          </w:rPr>
          <w:t>75</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7" w:history="1">
        <w:r w:rsidRPr="00B44B9B">
          <w:rPr>
            <w:rStyle w:val="af5"/>
          </w:rPr>
          <w:t>5.2 Боковое меню консоли ПИАО</w:t>
        </w:r>
        <w:r>
          <w:rPr>
            <w:webHidden/>
          </w:rPr>
          <w:tab/>
        </w:r>
        <w:r>
          <w:rPr>
            <w:webHidden/>
          </w:rPr>
          <w:fldChar w:fldCharType="begin"/>
        </w:r>
        <w:r>
          <w:rPr>
            <w:webHidden/>
          </w:rPr>
          <w:instrText xml:space="preserve"> PAGEREF _Toc119585037 \h </w:instrText>
        </w:r>
        <w:r>
          <w:rPr>
            <w:webHidden/>
          </w:rPr>
        </w:r>
        <w:r>
          <w:rPr>
            <w:webHidden/>
          </w:rPr>
          <w:fldChar w:fldCharType="separate"/>
        </w:r>
        <w:r>
          <w:rPr>
            <w:webHidden/>
          </w:rPr>
          <w:t>76</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8" w:history="1">
        <w:r w:rsidRPr="00B44B9B">
          <w:rPr>
            <w:rStyle w:val="af5"/>
          </w:rPr>
          <w:t>5.3 Интерфейс «Информационные панели»</w:t>
        </w:r>
        <w:r>
          <w:rPr>
            <w:webHidden/>
          </w:rPr>
          <w:tab/>
        </w:r>
        <w:r>
          <w:rPr>
            <w:webHidden/>
          </w:rPr>
          <w:fldChar w:fldCharType="begin"/>
        </w:r>
        <w:r>
          <w:rPr>
            <w:webHidden/>
          </w:rPr>
          <w:instrText xml:space="preserve"> PAGEREF _Toc119585038 \h </w:instrText>
        </w:r>
        <w:r>
          <w:rPr>
            <w:webHidden/>
          </w:rPr>
        </w:r>
        <w:r>
          <w:rPr>
            <w:webHidden/>
          </w:rPr>
          <w:fldChar w:fldCharType="separate"/>
        </w:r>
        <w:r>
          <w:rPr>
            <w:webHidden/>
          </w:rPr>
          <w:t>77</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39" w:history="1">
        <w:r w:rsidRPr="00B44B9B">
          <w:rPr>
            <w:rStyle w:val="af5"/>
          </w:rPr>
          <w:t>5.4 Интерфейс «Витрины»</w:t>
        </w:r>
        <w:r>
          <w:rPr>
            <w:webHidden/>
          </w:rPr>
          <w:tab/>
        </w:r>
        <w:r>
          <w:rPr>
            <w:webHidden/>
          </w:rPr>
          <w:fldChar w:fldCharType="begin"/>
        </w:r>
        <w:r>
          <w:rPr>
            <w:webHidden/>
          </w:rPr>
          <w:instrText xml:space="preserve"> PAGEREF _Toc119585039 \h </w:instrText>
        </w:r>
        <w:r>
          <w:rPr>
            <w:webHidden/>
          </w:rPr>
        </w:r>
        <w:r>
          <w:rPr>
            <w:webHidden/>
          </w:rPr>
          <w:fldChar w:fldCharType="separate"/>
        </w:r>
        <w:r>
          <w:rPr>
            <w:webHidden/>
          </w:rPr>
          <w:t>78</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0" w:history="1">
        <w:r w:rsidRPr="00B44B9B">
          <w:rPr>
            <w:rStyle w:val="af5"/>
          </w:rPr>
          <w:t>5.5 Интерфейс «Избранное» (Быстрый доступ)</w:t>
        </w:r>
        <w:r>
          <w:rPr>
            <w:webHidden/>
          </w:rPr>
          <w:tab/>
        </w:r>
        <w:r>
          <w:rPr>
            <w:webHidden/>
          </w:rPr>
          <w:fldChar w:fldCharType="begin"/>
        </w:r>
        <w:r>
          <w:rPr>
            <w:webHidden/>
          </w:rPr>
          <w:instrText xml:space="preserve"> PAGEREF _Toc119585040 \h </w:instrText>
        </w:r>
        <w:r>
          <w:rPr>
            <w:webHidden/>
          </w:rPr>
        </w:r>
        <w:r>
          <w:rPr>
            <w:webHidden/>
          </w:rPr>
          <w:fldChar w:fldCharType="separate"/>
        </w:r>
        <w:r>
          <w:rPr>
            <w:webHidden/>
          </w:rPr>
          <w:t>81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41" w:history="1">
        <w:r w:rsidRPr="00B44B9B">
          <w:rPr>
            <w:rStyle w:val="af5"/>
          </w:rPr>
          <w:t>5.5.1 Интерфейс быстрого доступа</w:t>
        </w:r>
        <w:r>
          <w:rPr>
            <w:webHidden/>
          </w:rPr>
          <w:tab/>
        </w:r>
        <w:r>
          <w:rPr>
            <w:webHidden/>
          </w:rPr>
          <w:fldChar w:fldCharType="begin"/>
        </w:r>
        <w:r>
          <w:rPr>
            <w:webHidden/>
          </w:rPr>
          <w:instrText xml:space="preserve"> PAGEREF _Toc119585041 \h </w:instrText>
        </w:r>
        <w:r>
          <w:rPr>
            <w:webHidden/>
          </w:rPr>
        </w:r>
        <w:r>
          <w:rPr>
            <w:webHidden/>
          </w:rPr>
          <w:fldChar w:fldCharType="separate"/>
        </w:r>
        <w:r>
          <w:rPr>
            <w:webHidden/>
          </w:rPr>
          <w:t>81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42" w:history="1">
        <w:r w:rsidRPr="00B44B9B">
          <w:rPr>
            <w:rStyle w:val="af5"/>
          </w:rPr>
          <w:t>5.5.2 Добавление элементов в «Избранное».</w:t>
        </w:r>
        <w:r>
          <w:rPr>
            <w:webHidden/>
          </w:rPr>
          <w:tab/>
        </w:r>
        <w:r>
          <w:rPr>
            <w:webHidden/>
          </w:rPr>
          <w:fldChar w:fldCharType="begin"/>
        </w:r>
        <w:r>
          <w:rPr>
            <w:webHidden/>
          </w:rPr>
          <w:instrText xml:space="preserve"> PAGEREF _Toc119585042 \h </w:instrText>
        </w:r>
        <w:r>
          <w:rPr>
            <w:webHidden/>
          </w:rPr>
        </w:r>
        <w:r>
          <w:rPr>
            <w:webHidden/>
          </w:rPr>
          <w:fldChar w:fldCharType="separate"/>
        </w:r>
        <w:r>
          <w:rPr>
            <w:webHidden/>
          </w:rPr>
          <w:t>81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43" w:history="1">
        <w:r w:rsidRPr="00B44B9B">
          <w:rPr>
            <w:rStyle w:val="af5"/>
          </w:rPr>
          <w:t>5.5.3 Удаление элементов из «Избранное».</w:t>
        </w:r>
        <w:r>
          <w:rPr>
            <w:webHidden/>
          </w:rPr>
          <w:tab/>
        </w:r>
        <w:r>
          <w:rPr>
            <w:webHidden/>
          </w:rPr>
          <w:fldChar w:fldCharType="begin"/>
        </w:r>
        <w:r>
          <w:rPr>
            <w:webHidden/>
          </w:rPr>
          <w:instrText xml:space="preserve"> PAGEREF _Toc119585043 \h </w:instrText>
        </w:r>
        <w:r>
          <w:rPr>
            <w:webHidden/>
          </w:rPr>
        </w:r>
        <w:r>
          <w:rPr>
            <w:webHidden/>
          </w:rPr>
          <w:fldChar w:fldCharType="separate"/>
        </w:r>
        <w:r>
          <w:rPr>
            <w:webHidden/>
          </w:rPr>
          <w:t>84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44" w:history="1">
        <w:r w:rsidRPr="00B44B9B">
          <w:rPr>
            <w:rStyle w:val="af5"/>
          </w:rPr>
          <w:t>5.5.4 Настройка разделов быстрого доступа (Избранного)</w:t>
        </w:r>
        <w:r>
          <w:rPr>
            <w:webHidden/>
          </w:rPr>
          <w:tab/>
        </w:r>
        <w:r>
          <w:rPr>
            <w:webHidden/>
          </w:rPr>
          <w:fldChar w:fldCharType="begin"/>
        </w:r>
        <w:r>
          <w:rPr>
            <w:webHidden/>
          </w:rPr>
          <w:instrText xml:space="preserve"> PAGEREF _Toc119585044 \h </w:instrText>
        </w:r>
        <w:r>
          <w:rPr>
            <w:webHidden/>
          </w:rPr>
        </w:r>
        <w:r>
          <w:rPr>
            <w:webHidden/>
          </w:rPr>
          <w:fldChar w:fldCharType="separate"/>
        </w:r>
        <w:r>
          <w:rPr>
            <w:webHidden/>
          </w:rPr>
          <w:t>86</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5" w:history="1">
        <w:r w:rsidRPr="00B44B9B">
          <w:rPr>
            <w:rStyle w:val="af5"/>
          </w:rPr>
          <w:t>5.6 Интерфейс «Репозиторий содержимого»</w:t>
        </w:r>
        <w:r>
          <w:rPr>
            <w:webHidden/>
          </w:rPr>
          <w:tab/>
        </w:r>
        <w:r>
          <w:rPr>
            <w:webHidden/>
          </w:rPr>
          <w:fldChar w:fldCharType="begin"/>
        </w:r>
        <w:r>
          <w:rPr>
            <w:webHidden/>
          </w:rPr>
          <w:instrText xml:space="preserve"> PAGEREF _Toc119585045 \h </w:instrText>
        </w:r>
        <w:r>
          <w:rPr>
            <w:webHidden/>
          </w:rPr>
        </w:r>
        <w:r>
          <w:rPr>
            <w:webHidden/>
          </w:rPr>
          <w:fldChar w:fldCharType="separate"/>
        </w:r>
        <w:r>
          <w:rPr>
            <w:webHidden/>
          </w:rPr>
          <w:t>88</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6" w:history="1">
        <w:r w:rsidRPr="00B44B9B">
          <w:rPr>
            <w:rStyle w:val="af5"/>
          </w:rPr>
          <w:t>5.7 Поисково-аналитическая функция</w:t>
        </w:r>
        <w:r>
          <w:rPr>
            <w:webHidden/>
          </w:rPr>
          <w:tab/>
        </w:r>
        <w:r>
          <w:rPr>
            <w:webHidden/>
          </w:rPr>
          <w:fldChar w:fldCharType="begin"/>
        </w:r>
        <w:r>
          <w:rPr>
            <w:webHidden/>
          </w:rPr>
          <w:instrText xml:space="preserve"> PAGEREF _Toc119585046 \h </w:instrText>
        </w:r>
        <w:r>
          <w:rPr>
            <w:webHidden/>
          </w:rPr>
        </w:r>
        <w:r>
          <w:rPr>
            <w:webHidden/>
          </w:rPr>
          <w:fldChar w:fldCharType="separate"/>
        </w:r>
        <w:r>
          <w:rPr>
            <w:webHidden/>
          </w:rPr>
          <w:t>89</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7" w:history="1">
        <w:r w:rsidRPr="00B44B9B">
          <w:rPr>
            <w:rStyle w:val="af5"/>
          </w:rPr>
          <w:t>5.8 Конструктор отчетов</w:t>
        </w:r>
        <w:r>
          <w:rPr>
            <w:webHidden/>
          </w:rPr>
          <w:tab/>
        </w:r>
        <w:r>
          <w:rPr>
            <w:webHidden/>
          </w:rPr>
          <w:fldChar w:fldCharType="begin"/>
        </w:r>
        <w:r>
          <w:rPr>
            <w:webHidden/>
          </w:rPr>
          <w:instrText xml:space="preserve"> PAGEREF _Toc119585047 \h </w:instrText>
        </w:r>
        <w:r>
          <w:rPr>
            <w:webHidden/>
          </w:rPr>
        </w:r>
        <w:r>
          <w:rPr>
            <w:webHidden/>
          </w:rPr>
          <w:fldChar w:fldCharType="separate"/>
        </w:r>
        <w:r>
          <w:rPr>
            <w:webHidden/>
          </w:rPr>
          <w:t>90</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8" w:history="1">
        <w:r w:rsidRPr="00B44B9B">
          <w:rPr>
            <w:rStyle w:val="af5"/>
          </w:rPr>
          <w:t>5.9 Очередь загрузок</w:t>
        </w:r>
        <w:r>
          <w:rPr>
            <w:webHidden/>
          </w:rPr>
          <w:tab/>
        </w:r>
        <w:r>
          <w:rPr>
            <w:webHidden/>
          </w:rPr>
          <w:fldChar w:fldCharType="begin"/>
        </w:r>
        <w:r>
          <w:rPr>
            <w:webHidden/>
          </w:rPr>
          <w:instrText xml:space="preserve"> PAGEREF _Toc119585048 \h </w:instrText>
        </w:r>
        <w:r>
          <w:rPr>
            <w:webHidden/>
          </w:rPr>
        </w:r>
        <w:r>
          <w:rPr>
            <w:webHidden/>
          </w:rPr>
          <w:fldChar w:fldCharType="separate"/>
        </w:r>
        <w:r>
          <w:rPr>
            <w:webHidden/>
          </w:rPr>
          <w:t>91</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49" w:history="1">
        <w:r w:rsidRPr="00B44B9B">
          <w:rPr>
            <w:rStyle w:val="af5"/>
          </w:rPr>
          <w:t>5.10 Настройки пользователя</w:t>
        </w:r>
        <w:r>
          <w:rPr>
            <w:webHidden/>
          </w:rPr>
          <w:tab/>
        </w:r>
        <w:r>
          <w:rPr>
            <w:webHidden/>
          </w:rPr>
          <w:fldChar w:fldCharType="begin"/>
        </w:r>
        <w:r>
          <w:rPr>
            <w:webHidden/>
          </w:rPr>
          <w:instrText xml:space="preserve"> PAGEREF _Toc119585049 \h </w:instrText>
        </w:r>
        <w:r>
          <w:rPr>
            <w:webHidden/>
          </w:rPr>
        </w:r>
        <w:r>
          <w:rPr>
            <w:webHidden/>
          </w:rPr>
          <w:fldChar w:fldCharType="separate"/>
        </w:r>
        <w:r>
          <w:rPr>
            <w:webHidden/>
          </w:rPr>
          <w:t>92</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50" w:history="1">
        <w:r w:rsidRPr="00B44B9B">
          <w:rPr>
            <w:rStyle w:val="af5"/>
          </w:rPr>
          <w:t>5.11 О системе</w:t>
        </w:r>
        <w:r>
          <w:rPr>
            <w:webHidden/>
          </w:rPr>
          <w:tab/>
        </w:r>
        <w:r>
          <w:rPr>
            <w:webHidden/>
          </w:rPr>
          <w:fldChar w:fldCharType="begin"/>
        </w:r>
        <w:r>
          <w:rPr>
            <w:webHidden/>
          </w:rPr>
          <w:instrText xml:space="preserve"> PAGEREF _Toc119585050 \h </w:instrText>
        </w:r>
        <w:r>
          <w:rPr>
            <w:webHidden/>
          </w:rPr>
        </w:r>
        <w:r>
          <w:rPr>
            <w:webHidden/>
          </w:rPr>
          <w:fldChar w:fldCharType="separate"/>
        </w:r>
        <w:r>
          <w:rPr>
            <w:webHidden/>
          </w:rPr>
          <w:t>94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1" w:history="1">
        <w:r w:rsidRPr="00B44B9B">
          <w:rPr>
            <w:rStyle w:val="af5"/>
          </w:rPr>
          <w:t>5.11.1 Порядок действий по внесению информации о версии ППО</w:t>
        </w:r>
        <w:r>
          <w:rPr>
            <w:webHidden/>
          </w:rPr>
          <w:tab/>
        </w:r>
        <w:r>
          <w:rPr>
            <w:webHidden/>
          </w:rPr>
          <w:fldChar w:fldCharType="begin"/>
        </w:r>
        <w:r>
          <w:rPr>
            <w:webHidden/>
          </w:rPr>
          <w:instrText xml:space="preserve"> PAGEREF _Toc119585051 \h </w:instrText>
        </w:r>
        <w:r>
          <w:rPr>
            <w:webHidden/>
          </w:rPr>
        </w:r>
        <w:r>
          <w:rPr>
            <w:webHidden/>
          </w:rPr>
          <w:fldChar w:fldCharType="separate"/>
        </w:r>
        <w:r>
          <w:rPr>
            <w:webHidden/>
          </w:rPr>
          <w:t>94</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52" w:history="1">
        <w:r w:rsidRPr="00B44B9B">
          <w:rPr>
            <w:rStyle w:val="af5"/>
          </w:rPr>
          <w:t>6 Описание функционала работы с аналитическими отчетами</w:t>
        </w:r>
        <w:r>
          <w:rPr>
            <w:webHidden/>
          </w:rPr>
          <w:tab/>
        </w:r>
        <w:r>
          <w:rPr>
            <w:webHidden/>
          </w:rPr>
          <w:fldChar w:fldCharType="begin"/>
        </w:r>
        <w:r>
          <w:rPr>
            <w:webHidden/>
          </w:rPr>
          <w:instrText xml:space="preserve"> PAGEREF _Toc119585052 \h </w:instrText>
        </w:r>
        <w:r>
          <w:rPr>
            <w:webHidden/>
          </w:rPr>
        </w:r>
        <w:r>
          <w:rPr>
            <w:webHidden/>
          </w:rPr>
          <w:fldChar w:fldCharType="separate"/>
        </w:r>
        <w:r>
          <w:rPr>
            <w:webHidden/>
          </w:rPr>
          <w:t>97</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53" w:history="1">
        <w:r w:rsidRPr="00B44B9B">
          <w:rPr>
            <w:rStyle w:val="af5"/>
          </w:rPr>
          <w:t>6.1 Навигация по отчетам</w:t>
        </w:r>
        <w:r>
          <w:rPr>
            <w:webHidden/>
          </w:rPr>
          <w:tab/>
        </w:r>
        <w:r>
          <w:rPr>
            <w:webHidden/>
          </w:rPr>
          <w:fldChar w:fldCharType="begin"/>
        </w:r>
        <w:r>
          <w:rPr>
            <w:webHidden/>
          </w:rPr>
          <w:instrText xml:space="preserve"> PAGEREF _Toc119585053 \h </w:instrText>
        </w:r>
        <w:r>
          <w:rPr>
            <w:webHidden/>
          </w:rPr>
        </w:r>
        <w:r>
          <w:rPr>
            <w:webHidden/>
          </w:rPr>
          <w:fldChar w:fldCharType="separate"/>
        </w:r>
        <w:r>
          <w:rPr>
            <w:webHidden/>
          </w:rPr>
          <w:t>97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4" w:history="1">
        <w:r w:rsidRPr="00B44B9B">
          <w:rPr>
            <w:rStyle w:val="af5"/>
          </w:rPr>
          <w:t>6.1.1 Переход к отчетам из интерфейса «Витрины»</w:t>
        </w:r>
        <w:r>
          <w:rPr>
            <w:webHidden/>
          </w:rPr>
          <w:tab/>
        </w:r>
        <w:r>
          <w:rPr>
            <w:webHidden/>
          </w:rPr>
          <w:fldChar w:fldCharType="begin"/>
        </w:r>
        <w:r>
          <w:rPr>
            <w:webHidden/>
          </w:rPr>
          <w:instrText xml:space="preserve"> PAGEREF _Toc119585054 \h </w:instrText>
        </w:r>
        <w:r>
          <w:rPr>
            <w:webHidden/>
          </w:rPr>
        </w:r>
        <w:r>
          <w:rPr>
            <w:webHidden/>
          </w:rPr>
          <w:fldChar w:fldCharType="separate"/>
        </w:r>
        <w:r>
          <w:rPr>
            <w:webHidden/>
          </w:rPr>
          <w:t>97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5" w:history="1">
        <w:r w:rsidRPr="00B44B9B">
          <w:rPr>
            <w:rStyle w:val="af5"/>
          </w:rPr>
          <w:t>6.1.2 Переход между представлениями отчета</w:t>
        </w:r>
        <w:r>
          <w:rPr>
            <w:webHidden/>
          </w:rPr>
          <w:tab/>
        </w:r>
        <w:r>
          <w:rPr>
            <w:webHidden/>
          </w:rPr>
          <w:fldChar w:fldCharType="begin"/>
        </w:r>
        <w:r>
          <w:rPr>
            <w:webHidden/>
          </w:rPr>
          <w:instrText xml:space="preserve"> PAGEREF _Toc119585055 \h </w:instrText>
        </w:r>
        <w:r>
          <w:rPr>
            <w:webHidden/>
          </w:rPr>
        </w:r>
        <w:r>
          <w:rPr>
            <w:webHidden/>
          </w:rPr>
          <w:fldChar w:fldCharType="separate"/>
        </w:r>
        <w:r>
          <w:rPr>
            <w:webHidden/>
          </w:rPr>
          <w:t>98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6" w:history="1">
        <w:r w:rsidRPr="00B44B9B">
          <w:rPr>
            <w:rStyle w:val="af5"/>
          </w:rPr>
          <w:t>6.1.3 Переход на детализирующие отчеты</w:t>
        </w:r>
        <w:r>
          <w:rPr>
            <w:webHidden/>
          </w:rPr>
          <w:tab/>
        </w:r>
        <w:r>
          <w:rPr>
            <w:webHidden/>
          </w:rPr>
          <w:fldChar w:fldCharType="begin"/>
        </w:r>
        <w:r>
          <w:rPr>
            <w:webHidden/>
          </w:rPr>
          <w:instrText xml:space="preserve"> PAGEREF _Toc119585056 \h </w:instrText>
        </w:r>
        <w:r>
          <w:rPr>
            <w:webHidden/>
          </w:rPr>
        </w:r>
        <w:r>
          <w:rPr>
            <w:webHidden/>
          </w:rPr>
          <w:fldChar w:fldCharType="separate"/>
        </w:r>
        <w:r>
          <w:rPr>
            <w:webHidden/>
          </w:rPr>
          <w:t>99</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7" w:history="1">
        <w:r w:rsidRPr="00B44B9B">
          <w:rPr>
            <w:rStyle w:val="af5"/>
          </w:rPr>
          <w:t>6.1.4 Навигационная цепочка ссылок</w:t>
        </w:r>
        <w:r>
          <w:rPr>
            <w:webHidden/>
          </w:rPr>
          <w:tab/>
        </w:r>
        <w:r>
          <w:rPr>
            <w:webHidden/>
          </w:rPr>
          <w:fldChar w:fldCharType="begin"/>
        </w:r>
        <w:r>
          <w:rPr>
            <w:webHidden/>
          </w:rPr>
          <w:instrText xml:space="preserve"> PAGEREF _Toc119585057 \h </w:instrText>
        </w:r>
        <w:r>
          <w:rPr>
            <w:webHidden/>
          </w:rPr>
        </w:r>
        <w:r>
          <w:rPr>
            <w:webHidden/>
          </w:rPr>
          <w:fldChar w:fldCharType="separate"/>
        </w:r>
        <w:r>
          <w:rPr>
            <w:webHidden/>
          </w:rPr>
          <w:t>99</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58" w:history="1">
        <w:r w:rsidRPr="00B44B9B">
          <w:rPr>
            <w:rStyle w:val="af5"/>
          </w:rPr>
          <w:t>6.1.5 Блок «Интерфейсы»</w:t>
        </w:r>
        <w:r>
          <w:rPr>
            <w:webHidden/>
          </w:rPr>
          <w:tab/>
        </w:r>
        <w:r>
          <w:rPr>
            <w:webHidden/>
          </w:rPr>
          <w:fldChar w:fldCharType="begin"/>
        </w:r>
        <w:r>
          <w:rPr>
            <w:webHidden/>
          </w:rPr>
          <w:instrText xml:space="preserve"> PAGEREF _Toc119585058 \h </w:instrText>
        </w:r>
        <w:r>
          <w:rPr>
            <w:webHidden/>
          </w:rPr>
        </w:r>
        <w:r>
          <w:rPr>
            <w:webHidden/>
          </w:rPr>
          <w:fldChar w:fldCharType="separate"/>
        </w:r>
        <w:r>
          <w:rPr>
            <w:webHidden/>
          </w:rPr>
          <w:t>100</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59" w:history="1">
        <w:r w:rsidRPr="00B44B9B">
          <w:rPr>
            <w:rStyle w:val="af5"/>
          </w:rPr>
          <w:t>6.2 Функциональные кнопки в отчете</w:t>
        </w:r>
        <w:r>
          <w:rPr>
            <w:webHidden/>
          </w:rPr>
          <w:tab/>
        </w:r>
        <w:r>
          <w:rPr>
            <w:webHidden/>
          </w:rPr>
          <w:fldChar w:fldCharType="begin"/>
        </w:r>
        <w:r>
          <w:rPr>
            <w:webHidden/>
          </w:rPr>
          <w:instrText xml:space="preserve"> PAGEREF _Toc119585059 \h </w:instrText>
        </w:r>
        <w:r>
          <w:rPr>
            <w:webHidden/>
          </w:rPr>
        </w:r>
        <w:r>
          <w:rPr>
            <w:webHidden/>
          </w:rPr>
          <w:fldChar w:fldCharType="separate"/>
        </w:r>
        <w:r>
          <w:rPr>
            <w:webHidden/>
          </w:rPr>
          <w:t>100</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0" w:history="1">
        <w:r w:rsidRPr="00B44B9B">
          <w:rPr>
            <w:rStyle w:val="af5"/>
          </w:rPr>
          <w:t>6.2.1 Добавить в Избранное</w:t>
        </w:r>
        <w:r>
          <w:rPr>
            <w:webHidden/>
          </w:rPr>
          <w:tab/>
        </w:r>
        <w:r>
          <w:rPr>
            <w:webHidden/>
          </w:rPr>
          <w:fldChar w:fldCharType="begin"/>
        </w:r>
        <w:r>
          <w:rPr>
            <w:webHidden/>
          </w:rPr>
          <w:instrText xml:space="preserve"> PAGEREF _Toc119585060 \h </w:instrText>
        </w:r>
        <w:r>
          <w:rPr>
            <w:webHidden/>
          </w:rPr>
        </w:r>
        <w:r>
          <w:rPr>
            <w:webHidden/>
          </w:rPr>
          <w:fldChar w:fldCharType="separate"/>
        </w:r>
        <w:r>
          <w:rPr>
            <w:webHidden/>
          </w:rPr>
          <w:t>101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1" w:history="1">
        <w:r w:rsidRPr="00B44B9B">
          <w:rPr>
            <w:rStyle w:val="af5"/>
          </w:rPr>
          <w:t>6.2.2 Разместить на стартовой странице</w:t>
        </w:r>
        <w:r>
          <w:rPr>
            <w:webHidden/>
          </w:rPr>
          <w:tab/>
        </w:r>
        <w:r>
          <w:rPr>
            <w:webHidden/>
          </w:rPr>
          <w:fldChar w:fldCharType="begin"/>
        </w:r>
        <w:r>
          <w:rPr>
            <w:webHidden/>
          </w:rPr>
          <w:instrText xml:space="preserve"> PAGEREF _Toc119585061 \h </w:instrText>
        </w:r>
        <w:r>
          <w:rPr>
            <w:webHidden/>
          </w:rPr>
        </w:r>
        <w:r>
          <w:rPr>
            <w:webHidden/>
          </w:rPr>
          <w:fldChar w:fldCharType="separate"/>
        </w:r>
        <w:r>
          <w:rPr>
            <w:webHidden/>
          </w:rPr>
          <w:t>102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2" w:history="1">
        <w:r w:rsidRPr="00B44B9B">
          <w:rPr>
            <w:rStyle w:val="af5"/>
          </w:rPr>
          <w:t>6.2.3 Редактировать копию</w:t>
        </w:r>
        <w:r>
          <w:rPr>
            <w:webHidden/>
          </w:rPr>
          <w:tab/>
        </w:r>
        <w:r>
          <w:rPr>
            <w:webHidden/>
          </w:rPr>
          <w:fldChar w:fldCharType="begin"/>
        </w:r>
        <w:r>
          <w:rPr>
            <w:webHidden/>
          </w:rPr>
          <w:instrText xml:space="preserve"> PAGEREF _Toc119585062 \h </w:instrText>
        </w:r>
        <w:r>
          <w:rPr>
            <w:webHidden/>
          </w:rPr>
        </w:r>
        <w:r>
          <w:rPr>
            <w:webHidden/>
          </w:rPr>
          <w:fldChar w:fldCharType="separate"/>
        </w:r>
        <w:r>
          <w:rPr>
            <w:webHidden/>
          </w:rPr>
          <w:t>104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3" w:history="1">
        <w:r w:rsidRPr="00B44B9B">
          <w:rPr>
            <w:rStyle w:val="af5"/>
          </w:rPr>
          <w:t>6.2.4 Очистить фильтры</w:t>
        </w:r>
        <w:r>
          <w:rPr>
            <w:webHidden/>
          </w:rPr>
          <w:tab/>
        </w:r>
        <w:r>
          <w:rPr>
            <w:webHidden/>
          </w:rPr>
          <w:fldChar w:fldCharType="begin"/>
        </w:r>
        <w:r>
          <w:rPr>
            <w:webHidden/>
          </w:rPr>
          <w:instrText xml:space="preserve"> PAGEREF _Toc119585063 \h </w:instrText>
        </w:r>
        <w:r>
          <w:rPr>
            <w:webHidden/>
          </w:rPr>
        </w:r>
        <w:r>
          <w:rPr>
            <w:webHidden/>
          </w:rPr>
          <w:fldChar w:fldCharType="separate"/>
        </w:r>
        <w:r>
          <w:rPr>
            <w:webHidden/>
          </w:rPr>
          <w:t>106</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4" w:history="1">
        <w:r w:rsidRPr="00B44B9B">
          <w:rPr>
            <w:rStyle w:val="af5"/>
          </w:rPr>
          <w:t>6.2.5 Справка</w:t>
        </w:r>
        <w:r>
          <w:rPr>
            <w:webHidden/>
          </w:rPr>
          <w:tab/>
        </w:r>
        <w:r>
          <w:rPr>
            <w:webHidden/>
          </w:rPr>
          <w:fldChar w:fldCharType="begin"/>
        </w:r>
        <w:r>
          <w:rPr>
            <w:webHidden/>
          </w:rPr>
          <w:instrText xml:space="preserve"> PAGEREF _Toc119585064 \h </w:instrText>
        </w:r>
        <w:r>
          <w:rPr>
            <w:webHidden/>
          </w:rPr>
        </w:r>
        <w:r>
          <w:rPr>
            <w:webHidden/>
          </w:rPr>
          <w:fldChar w:fldCharType="separate"/>
        </w:r>
        <w:r>
          <w:rPr>
            <w:webHidden/>
          </w:rPr>
          <w:t>107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5" w:history="1">
        <w:r w:rsidRPr="00B44B9B">
          <w:rPr>
            <w:rStyle w:val="af5"/>
          </w:rPr>
          <w:t>6.2.6 Скачать (экспорт отчета)</w:t>
        </w:r>
        <w:r>
          <w:rPr>
            <w:webHidden/>
          </w:rPr>
          <w:tab/>
        </w:r>
        <w:r>
          <w:rPr>
            <w:webHidden/>
          </w:rPr>
          <w:fldChar w:fldCharType="begin"/>
        </w:r>
        <w:r>
          <w:rPr>
            <w:webHidden/>
          </w:rPr>
          <w:instrText xml:space="preserve"> PAGEREF _Toc119585065 \h </w:instrText>
        </w:r>
        <w:r>
          <w:rPr>
            <w:webHidden/>
          </w:rPr>
        </w:r>
        <w:r>
          <w:rPr>
            <w:webHidden/>
          </w:rPr>
          <w:fldChar w:fldCharType="separate"/>
        </w:r>
        <w:r>
          <w:rPr>
            <w:webHidden/>
          </w:rPr>
          <w:t>108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6" w:history="1">
        <w:r w:rsidRPr="00B44B9B">
          <w:rPr>
            <w:rStyle w:val="af5"/>
          </w:rPr>
          <w:t>6.2.7 Панель фильтров и параметров</w:t>
        </w:r>
        <w:r>
          <w:rPr>
            <w:webHidden/>
          </w:rPr>
          <w:tab/>
        </w:r>
        <w:r>
          <w:rPr>
            <w:webHidden/>
          </w:rPr>
          <w:fldChar w:fldCharType="begin"/>
        </w:r>
        <w:r>
          <w:rPr>
            <w:webHidden/>
          </w:rPr>
          <w:instrText xml:space="preserve"> PAGEREF _Toc119585066 \h </w:instrText>
        </w:r>
        <w:r>
          <w:rPr>
            <w:webHidden/>
          </w:rPr>
        </w:r>
        <w:r>
          <w:rPr>
            <w:webHidden/>
          </w:rPr>
          <w:fldChar w:fldCharType="separate"/>
        </w:r>
        <w:r>
          <w:rPr>
            <w:webHidden/>
          </w:rPr>
          <w:t>110</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067" w:history="1">
        <w:r w:rsidRPr="00B44B9B">
          <w:rPr>
            <w:rStyle w:val="af5"/>
          </w:rPr>
          <w:t>7 Описание витрин Подсистемы</w:t>
        </w:r>
        <w:r>
          <w:rPr>
            <w:webHidden/>
          </w:rPr>
          <w:tab/>
        </w:r>
        <w:r>
          <w:rPr>
            <w:webHidden/>
          </w:rPr>
          <w:fldChar w:fldCharType="begin"/>
        </w:r>
        <w:r>
          <w:rPr>
            <w:webHidden/>
          </w:rPr>
          <w:instrText xml:space="preserve"> PAGEREF _Toc119585067 \h </w:instrText>
        </w:r>
        <w:r>
          <w:rPr>
            <w:webHidden/>
          </w:rPr>
        </w:r>
        <w:r>
          <w:rPr>
            <w:webHidden/>
          </w:rPr>
          <w:fldChar w:fldCharType="separate"/>
        </w:r>
        <w:r>
          <w:rPr>
            <w:webHidden/>
          </w:rPr>
          <w:t>113</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68" w:history="1">
        <w:r w:rsidRPr="00B44B9B">
          <w:rPr>
            <w:rStyle w:val="af5"/>
          </w:rPr>
          <w:t>7.1 Витрина «</w:t>
        </w:r>
        <w:r w:rsidRPr="00B44B9B">
          <w:rPr>
            <w:rStyle w:val="af5"/>
            <w:rFonts w:eastAsia="Calibri"/>
          </w:rPr>
          <w:t>Кассовое планирование и прогнозирование исполнения федерального бюджета</w:t>
        </w:r>
        <w:r w:rsidRPr="00B44B9B">
          <w:rPr>
            <w:rStyle w:val="af5"/>
          </w:rPr>
          <w:t>»</w:t>
        </w:r>
        <w:r>
          <w:rPr>
            <w:webHidden/>
          </w:rPr>
          <w:tab/>
        </w:r>
        <w:r>
          <w:rPr>
            <w:webHidden/>
          </w:rPr>
          <w:fldChar w:fldCharType="begin"/>
        </w:r>
        <w:r>
          <w:rPr>
            <w:webHidden/>
          </w:rPr>
          <w:instrText xml:space="preserve"> PAGEREF _Toc119585068 \h </w:instrText>
        </w:r>
        <w:r>
          <w:rPr>
            <w:webHidden/>
          </w:rPr>
        </w:r>
        <w:r>
          <w:rPr>
            <w:webHidden/>
          </w:rPr>
          <w:fldChar w:fldCharType="separate"/>
        </w:r>
        <w:r>
          <w:rPr>
            <w:webHidden/>
          </w:rPr>
          <w:t>114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69" w:history="1">
        <w:r w:rsidRPr="00B44B9B">
          <w:rPr>
            <w:rStyle w:val="af5"/>
          </w:rPr>
          <w:t>7.1.1 Отчет «Плановые и фактические показатели исполнения федерального бюджета» (PIAO_114_001_report)</w:t>
        </w:r>
        <w:r>
          <w:rPr>
            <w:webHidden/>
          </w:rPr>
          <w:tab/>
        </w:r>
        <w:r>
          <w:rPr>
            <w:webHidden/>
          </w:rPr>
          <w:fldChar w:fldCharType="begin"/>
        </w:r>
        <w:r>
          <w:rPr>
            <w:webHidden/>
          </w:rPr>
          <w:instrText xml:space="preserve"> PAGEREF _Toc119585069 \h </w:instrText>
        </w:r>
        <w:r>
          <w:rPr>
            <w:webHidden/>
          </w:rPr>
        </w:r>
        <w:r>
          <w:rPr>
            <w:webHidden/>
          </w:rPr>
          <w:fldChar w:fldCharType="separate"/>
        </w:r>
        <w:r>
          <w:rPr>
            <w:webHidden/>
          </w:rPr>
          <w:t>115</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0" w:history="1">
        <w:r w:rsidRPr="00B44B9B">
          <w:rPr>
            <w:rStyle w:val="af5"/>
          </w:rPr>
          <w:t>7.1.2 Отчет «Прогноз кассовых поступлений по доходам федерального бюджета» (</w:t>
        </w:r>
        <w:r w:rsidRPr="00B44B9B">
          <w:rPr>
            <w:rStyle w:val="af5"/>
            <w:lang w:val="en-US"/>
          </w:rPr>
          <w:t>PIAO</w:t>
        </w:r>
        <w:r w:rsidRPr="00B44B9B">
          <w:rPr>
            <w:rStyle w:val="af5"/>
          </w:rPr>
          <w:t>_105_001_</w:t>
        </w:r>
        <w:r w:rsidRPr="00B44B9B">
          <w:rPr>
            <w:rStyle w:val="af5"/>
            <w:lang w:val="en-US"/>
          </w:rPr>
          <w:t>report</w:t>
        </w:r>
        <w:r w:rsidRPr="00B44B9B">
          <w:rPr>
            <w:rStyle w:val="af5"/>
          </w:rPr>
          <w:t>)</w:t>
        </w:r>
        <w:r>
          <w:rPr>
            <w:webHidden/>
          </w:rPr>
          <w:tab/>
        </w:r>
        <w:r>
          <w:rPr>
            <w:webHidden/>
          </w:rPr>
          <w:fldChar w:fldCharType="begin"/>
        </w:r>
        <w:r>
          <w:rPr>
            <w:webHidden/>
          </w:rPr>
          <w:instrText xml:space="preserve"> PAGEREF _Toc119585070 \h </w:instrText>
        </w:r>
        <w:r>
          <w:rPr>
            <w:webHidden/>
          </w:rPr>
        </w:r>
        <w:r>
          <w:rPr>
            <w:webHidden/>
          </w:rPr>
          <w:fldChar w:fldCharType="separate"/>
        </w:r>
        <w:r>
          <w:rPr>
            <w:webHidden/>
          </w:rPr>
          <w:t>128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1" w:history="1">
        <w:r w:rsidRPr="00B44B9B">
          <w:rPr>
            <w:rStyle w:val="af5"/>
          </w:rPr>
          <w:t>7.1.3 Отчет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w:t>
        </w:r>
        <w:r w:rsidRPr="00B44B9B">
          <w:rPr>
            <w:rStyle w:val="af5"/>
            <w:lang w:val="en-US"/>
          </w:rPr>
          <w:t>PIAO</w:t>
        </w:r>
        <w:r w:rsidRPr="00B44B9B">
          <w:rPr>
            <w:rStyle w:val="af5"/>
          </w:rPr>
          <w:t>_110_001_</w:t>
        </w:r>
        <w:r w:rsidRPr="00B44B9B">
          <w:rPr>
            <w:rStyle w:val="af5"/>
            <w:lang w:val="en-US"/>
          </w:rPr>
          <w:t>report</w:t>
        </w:r>
        <w:r w:rsidRPr="00B44B9B">
          <w:rPr>
            <w:rStyle w:val="af5"/>
          </w:rPr>
          <w:t>)</w:t>
        </w:r>
        <w:r>
          <w:rPr>
            <w:webHidden/>
          </w:rPr>
          <w:tab/>
        </w:r>
        <w:r>
          <w:rPr>
            <w:webHidden/>
          </w:rPr>
          <w:fldChar w:fldCharType="begin"/>
        </w:r>
        <w:r>
          <w:rPr>
            <w:webHidden/>
          </w:rPr>
          <w:instrText xml:space="preserve"> PAGEREF _Toc119585071 \h </w:instrText>
        </w:r>
        <w:r>
          <w:rPr>
            <w:webHidden/>
          </w:rPr>
        </w:r>
        <w:r>
          <w:rPr>
            <w:webHidden/>
          </w:rPr>
          <w:fldChar w:fldCharType="separate"/>
        </w:r>
        <w:r>
          <w:rPr>
            <w:webHidden/>
          </w:rPr>
          <w:t>139</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72" w:history="1">
        <w:r w:rsidRPr="00B44B9B">
          <w:rPr>
            <w:rStyle w:val="af5"/>
          </w:rPr>
          <w:t>7.2 Витрина «Исполнение бюджетов бюджетной системы Российской Федерации»</w:t>
        </w:r>
        <w:r>
          <w:rPr>
            <w:webHidden/>
          </w:rPr>
          <w:tab/>
        </w:r>
        <w:r>
          <w:rPr>
            <w:webHidden/>
          </w:rPr>
          <w:fldChar w:fldCharType="begin"/>
        </w:r>
        <w:r>
          <w:rPr>
            <w:webHidden/>
          </w:rPr>
          <w:instrText xml:space="preserve"> PAGEREF _Toc119585072 \h </w:instrText>
        </w:r>
        <w:r>
          <w:rPr>
            <w:webHidden/>
          </w:rPr>
        </w:r>
        <w:r>
          <w:rPr>
            <w:webHidden/>
          </w:rPr>
          <w:fldChar w:fldCharType="separate"/>
        </w:r>
        <w:r>
          <w:rPr>
            <w:webHidden/>
          </w:rPr>
          <w:t>150</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3" w:history="1">
        <w:r w:rsidRPr="00B44B9B">
          <w:rPr>
            <w:rStyle w:val="af5"/>
          </w:rPr>
          <w:t>7.2.1 Отчет «Информация о кассовых поступлениях в консолидированные бюджеты субъектов Российской Федерации, администрируемых Федеральной налоговой службой»          (PIAO_172_001_report)</w:t>
        </w:r>
        <w:r>
          <w:rPr>
            <w:webHidden/>
          </w:rPr>
          <w:tab/>
        </w:r>
        <w:r>
          <w:rPr>
            <w:webHidden/>
          </w:rPr>
          <w:fldChar w:fldCharType="begin"/>
        </w:r>
        <w:r>
          <w:rPr>
            <w:webHidden/>
          </w:rPr>
          <w:instrText xml:space="preserve"> PAGEREF _Toc119585073 \h </w:instrText>
        </w:r>
        <w:r>
          <w:rPr>
            <w:webHidden/>
          </w:rPr>
        </w:r>
        <w:r>
          <w:rPr>
            <w:webHidden/>
          </w:rPr>
          <w:fldChar w:fldCharType="separate"/>
        </w:r>
        <w:r>
          <w:rPr>
            <w:webHidden/>
          </w:rPr>
          <w:t>158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4" w:history="1">
        <w:r w:rsidRPr="00B44B9B">
          <w:rPr>
            <w:rStyle w:val="af5"/>
          </w:rPr>
          <w:t>7.2.2 Отчет «Информация об объемах налога на добавленную стоимость в разрезе территорий» (PIAO_151_002_report)</w:t>
        </w:r>
        <w:r>
          <w:rPr>
            <w:webHidden/>
          </w:rPr>
          <w:tab/>
        </w:r>
        <w:r>
          <w:rPr>
            <w:webHidden/>
          </w:rPr>
          <w:fldChar w:fldCharType="begin"/>
        </w:r>
        <w:r>
          <w:rPr>
            <w:webHidden/>
          </w:rPr>
          <w:instrText xml:space="preserve"> PAGEREF _Toc119585074 \h </w:instrText>
        </w:r>
        <w:r>
          <w:rPr>
            <w:webHidden/>
          </w:rPr>
        </w:r>
        <w:r>
          <w:rPr>
            <w:webHidden/>
          </w:rPr>
          <w:fldChar w:fldCharType="separate"/>
        </w:r>
        <w:r>
          <w:rPr>
            <w:webHidden/>
          </w:rPr>
          <w:t>162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5" w:history="1">
        <w:r w:rsidRPr="00B44B9B">
          <w:rPr>
            <w:rStyle w:val="af5"/>
          </w:rPr>
          <w:t>7.2.3 Отчет «Сведения о бюджетных и денежных обязательствах» (PIAO_104_001_report)</w:t>
        </w:r>
        <w:r>
          <w:rPr>
            <w:webHidden/>
          </w:rPr>
          <w:tab/>
        </w:r>
        <w:r>
          <w:rPr>
            <w:webHidden/>
          </w:rPr>
          <w:fldChar w:fldCharType="begin"/>
        </w:r>
        <w:r>
          <w:rPr>
            <w:webHidden/>
          </w:rPr>
          <w:instrText xml:space="preserve"> PAGEREF _Toc119585075 \h </w:instrText>
        </w:r>
        <w:r>
          <w:rPr>
            <w:webHidden/>
          </w:rPr>
        </w:r>
        <w:r>
          <w:rPr>
            <w:webHidden/>
          </w:rPr>
          <w:fldChar w:fldCharType="separate"/>
        </w:r>
        <w:r>
          <w:rPr>
            <w:webHidden/>
          </w:rPr>
          <w:t>169</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6" w:history="1">
        <w:r w:rsidRPr="00B44B9B">
          <w:rPr>
            <w:rStyle w:val="af5"/>
          </w:rPr>
          <w:t>7.2.4 Отчет «Исполнение ФБ по расходам в разрезе бюджетополучателей» (PIAO_173_001_report)</w:t>
        </w:r>
        <w:r>
          <w:rPr>
            <w:webHidden/>
          </w:rPr>
          <w:tab/>
        </w:r>
        <w:r>
          <w:rPr>
            <w:webHidden/>
          </w:rPr>
          <w:fldChar w:fldCharType="begin"/>
        </w:r>
        <w:r>
          <w:rPr>
            <w:webHidden/>
          </w:rPr>
          <w:instrText xml:space="preserve"> PAGEREF _Toc119585076 \h </w:instrText>
        </w:r>
        <w:r>
          <w:rPr>
            <w:webHidden/>
          </w:rPr>
        </w:r>
        <w:r>
          <w:rPr>
            <w:webHidden/>
          </w:rPr>
          <w:fldChar w:fldCharType="separate"/>
        </w:r>
        <w:r>
          <w:rPr>
            <w:webHidden/>
          </w:rPr>
          <w:t>178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7" w:history="1">
        <w:r w:rsidRPr="00B44B9B">
          <w:rPr>
            <w:rStyle w:val="af5"/>
          </w:rPr>
          <w:t>7.2.5 Отчет «Калькулятор нефтегазовых доходов» (PIAO_106_000_report)</w:t>
        </w:r>
        <w:r>
          <w:rPr>
            <w:webHidden/>
          </w:rPr>
          <w:tab/>
        </w:r>
        <w:r>
          <w:rPr>
            <w:webHidden/>
          </w:rPr>
          <w:fldChar w:fldCharType="begin"/>
        </w:r>
        <w:r>
          <w:rPr>
            <w:webHidden/>
          </w:rPr>
          <w:instrText xml:space="preserve"> PAGEREF _Toc119585077 \h </w:instrText>
        </w:r>
        <w:r>
          <w:rPr>
            <w:webHidden/>
          </w:rPr>
        </w:r>
        <w:r>
          <w:rPr>
            <w:webHidden/>
          </w:rPr>
          <w:fldChar w:fldCharType="separate"/>
        </w:r>
        <w:r>
          <w:rPr>
            <w:webHidden/>
          </w:rPr>
          <w:t>183</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8" w:history="1">
        <w:r w:rsidRPr="00B44B9B">
          <w:rPr>
            <w:rStyle w:val="af5"/>
          </w:rPr>
          <w:t>7.2.6 Отчет «Информация о поступлении от организаций и осуществлении выплат в адрес организаций (в разрезе территорий, организаций)» (PIAO_129_009_report)</w:t>
        </w:r>
        <w:r>
          <w:rPr>
            <w:webHidden/>
          </w:rPr>
          <w:tab/>
        </w:r>
        <w:r>
          <w:rPr>
            <w:webHidden/>
          </w:rPr>
          <w:fldChar w:fldCharType="begin"/>
        </w:r>
        <w:r>
          <w:rPr>
            <w:webHidden/>
          </w:rPr>
          <w:instrText xml:space="preserve"> PAGEREF _Toc119585078 \h </w:instrText>
        </w:r>
        <w:r>
          <w:rPr>
            <w:webHidden/>
          </w:rPr>
        </w:r>
        <w:r>
          <w:rPr>
            <w:webHidden/>
          </w:rPr>
          <w:fldChar w:fldCharType="separate"/>
        </w:r>
        <w:r>
          <w:rPr>
            <w:webHidden/>
          </w:rPr>
          <w:t>191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79" w:history="1">
        <w:r w:rsidRPr="00B44B9B">
          <w:rPr>
            <w:rStyle w:val="af5"/>
          </w:rPr>
          <w:t>7.2.7 Отчет «Мониторинг загрузки в ПИАО данных из АСФК по описям платежных документов» (PIAO_129_013_report)</w:t>
        </w:r>
        <w:r>
          <w:rPr>
            <w:webHidden/>
          </w:rPr>
          <w:tab/>
        </w:r>
        <w:r>
          <w:rPr>
            <w:webHidden/>
          </w:rPr>
          <w:fldChar w:fldCharType="begin"/>
        </w:r>
        <w:r>
          <w:rPr>
            <w:webHidden/>
          </w:rPr>
          <w:instrText xml:space="preserve"> PAGEREF _Toc119585079 \h </w:instrText>
        </w:r>
        <w:r>
          <w:rPr>
            <w:webHidden/>
          </w:rPr>
        </w:r>
        <w:r>
          <w:rPr>
            <w:webHidden/>
          </w:rPr>
          <w:fldChar w:fldCharType="separate"/>
        </w:r>
        <w:r>
          <w:rPr>
            <w:webHidden/>
          </w:rPr>
          <w:t>195</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0" w:history="1">
        <w:r w:rsidRPr="00B44B9B">
          <w:rPr>
            <w:rStyle w:val="af5"/>
          </w:rPr>
          <w:t>7.2.8 Отчет «Информация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собственности» (PIAO_129_014_report)</w:t>
        </w:r>
        <w:r>
          <w:rPr>
            <w:webHidden/>
          </w:rPr>
          <w:tab/>
        </w:r>
        <w:r>
          <w:rPr>
            <w:webHidden/>
          </w:rPr>
          <w:fldChar w:fldCharType="begin"/>
        </w:r>
        <w:r>
          <w:rPr>
            <w:webHidden/>
          </w:rPr>
          <w:instrText xml:space="preserve"> PAGEREF _Toc119585080 \h </w:instrText>
        </w:r>
        <w:r>
          <w:rPr>
            <w:webHidden/>
          </w:rPr>
        </w:r>
        <w:r>
          <w:rPr>
            <w:webHidden/>
          </w:rPr>
          <w:fldChar w:fldCharType="separate"/>
        </w:r>
        <w:r>
          <w:rPr>
            <w:webHidden/>
          </w:rPr>
          <w:t>202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1" w:history="1">
        <w:r w:rsidRPr="00B44B9B">
          <w:rPr>
            <w:rStyle w:val="af5"/>
          </w:rPr>
          <w:t>7.2.9 Отчет «Мониторинг объектов капитального строительства в рамках реализации федеральной адресной инвестиционной программы» (PIAO_164_001_report)</w:t>
        </w:r>
        <w:r>
          <w:rPr>
            <w:webHidden/>
          </w:rPr>
          <w:tab/>
        </w:r>
        <w:r>
          <w:rPr>
            <w:webHidden/>
          </w:rPr>
          <w:fldChar w:fldCharType="begin"/>
        </w:r>
        <w:r>
          <w:rPr>
            <w:webHidden/>
          </w:rPr>
          <w:instrText xml:space="preserve"> PAGEREF _Toc119585081 \h </w:instrText>
        </w:r>
        <w:r>
          <w:rPr>
            <w:webHidden/>
          </w:rPr>
        </w:r>
        <w:r>
          <w:rPr>
            <w:webHidden/>
          </w:rPr>
          <w:fldChar w:fldCharType="separate"/>
        </w:r>
        <w:r>
          <w:rPr>
            <w:webHidden/>
          </w:rPr>
          <w:t>205</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2" w:history="1">
        <w:r w:rsidRPr="00B44B9B">
          <w:rPr>
            <w:rStyle w:val="af5"/>
          </w:rPr>
          <w:t>7.2.10 Аналитический отчет «Мониторинг качества данных отчета по исполнению ФАИП и ОКС» (PIAO_164_003_report)</w:t>
        </w:r>
        <w:r>
          <w:rPr>
            <w:webHidden/>
          </w:rPr>
          <w:tab/>
        </w:r>
        <w:r>
          <w:rPr>
            <w:webHidden/>
          </w:rPr>
          <w:fldChar w:fldCharType="begin"/>
        </w:r>
        <w:r>
          <w:rPr>
            <w:webHidden/>
          </w:rPr>
          <w:instrText xml:space="preserve"> PAGEREF _Toc119585082 \h </w:instrText>
        </w:r>
        <w:r>
          <w:rPr>
            <w:webHidden/>
          </w:rPr>
        </w:r>
        <w:r>
          <w:rPr>
            <w:webHidden/>
          </w:rPr>
          <w:fldChar w:fldCharType="separate"/>
        </w:r>
        <w:r>
          <w:rPr>
            <w:webHidden/>
          </w:rPr>
          <w:t>216</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3" w:history="1">
        <w:r w:rsidRPr="00B44B9B">
          <w:rPr>
            <w:rStyle w:val="af5"/>
          </w:rPr>
          <w:t>7.2.11 Дашборд «Бюджет» (PIAO_170_001_report)</w:t>
        </w:r>
        <w:r>
          <w:rPr>
            <w:webHidden/>
          </w:rPr>
          <w:tab/>
        </w:r>
        <w:r>
          <w:rPr>
            <w:webHidden/>
          </w:rPr>
          <w:fldChar w:fldCharType="begin"/>
        </w:r>
        <w:r>
          <w:rPr>
            <w:webHidden/>
          </w:rPr>
          <w:instrText xml:space="preserve"> PAGEREF _Toc119585083 \h </w:instrText>
        </w:r>
        <w:r>
          <w:rPr>
            <w:webHidden/>
          </w:rPr>
        </w:r>
        <w:r>
          <w:rPr>
            <w:webHidden/>
          </w:rPr>
          <w:fldChar w:fldCharType="separate"/>
        </w:r>
        <w:r>
          <w:rPr>
            <w:webHidden/>
          </w:rPr>
          <w:t>222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4" w:history="1">
        <w:r w:rsidRPr="00B44B9B">
          <w:rPr>
            <w:rStyle w:val="af5"/>
          </w:rPr>
          <w:t>7.2.12 Отчет «Закупка товаров, работ, услуг Свод» (</w:t>
        </w:r>
        <w:r w:rsidRPr="00B44B9B">
          <w:rPr>
            <w:rStyle w:val="af5"/>
            <w:lang w:val="en-US"/>
          </w:rPr>
          <w:t>PIAO</w:t>
        </w:r>
        <w:r w:rsidRPr="00B44B9B">
          <w:rPr>
            <w:rStyle w:val="af5"/>
          </w:rPr>
          <w:t>_180_102_</w:t>
        </w:r>
        <w:r w:rsidRPr="00B44B9B">
          <w:rPr>
            <w:rStyle w:val="af5"/>
            <w:lang w:val="en-US"/>
          </w:rPr>
          <w:t>report</w:t>
        </w:r>
        <w:r w:rsidRPr="00B44B9B">
          <w:rPr>
            <w:rStyle w:val="af5"/>
          </w:rPr>
          <w:t>)</w:t>
        </w:r>
        <w:r>
          <w:rPr>
            <w:webHidden/>
          </w:rPr>
          <w:tab/>
        </w:r>
        <w:r>
          <w:rPr>
            <w:webHidden/>
          </w:rPr>
          <w:fldChar w:fldCharType="begin"/>
        </w:r>
        <w:r>
          <w:rPr>
            <w:webHidden/>
          </w:rPr>
          <w:instrText xml:space="preserve"> PAGEREF _Toc119585084 \h </w:instrText>
        </w:r>
        <w:r>
          <w:rPr>
            <w:webHidden/>
          </w:rPr>
        </w:r>
        <w:r>
          <w:rPr>
            <w:webHidden/>
          </w:rPr>
          <w:fldChar w:fldCharType="separate"/>
        </w:r>
        <w:r>
          <w:rPr>
            <w:webHidden/>
          </w:rPr>
          <w:t>262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5" w:history="1">
        <w:r w:rsidRPr="00B44B9B">
          <w:rPr>
            <w:rStyle w:val="af5"/>
          </w:rPr>
          <w:t>7.2.13 Отчет «Закупка товаров, работ, услуг» по данным ЕИС Мониторинг (</w:t>
        </w:r>
        <w:r w:rsidRPr="00B44B9B">
          <w:rPr>
            <w:rStyle w:val="af5"/>
            <w:lang w:val="en-US"/>
          </w:rPr>
          <w:t>PIAO</w:t>
        </w:r>
        <w:r w:rsidRPr="00B44B9B">
          <w:rPr>
            <w:rStyle w:val="af5"/>
          </w:rPr>
          <w:t>_180_102_</w:t>
        </w:r>
        <w:r w:rsidRPr="00B44B9B">
          <w:rPr>
            <w:rStyle w:val="af5"/>
            <w:lang w:val="en-US"/>
          </w:rPr>
          <w:t>report</w:t>
        </w:r>
        <w:r w:rsidRPr="00B44B9B">
          <w:rPr>
            <w:rStyle w:val="af5"/>
          </w:rPr>
          <w:t>)</w:t>
        </w:r>
        <w:r>
          <w:rPr>
            <w:webHidden/>
          </w:rPr>
          <w:tab/>
        </w:r>
        <w:r>
          <w:rPr>
            <w:webHidden/>
          </w:rPr>
          <w:fldChar w:fldCharType="begin"/>
        </w:r>
        <w:r>
          <w:rPr>
            <w:webHidden/>
          </w:rPr>
          <w:instrText xml:space="preserve"> PAGEREF _Toc119585085 \h </w:instrText>
        </w:r>
        <w:r>
          <w:rPr>
            <w:webHidden/>
          </w:rPr>
        </w:r>
        <w:r>
          <w:rPr>
            <w:webHidden/>
          </w:rPr>
          <w:fldChar w:fldCharType="separate"/>
        </w:r>
        <w:r>
          <w:rPr>
            <w:webHidden/>
          </w:rPr>
          <w:t>269</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6" w:history="1">
        <w:r w:rsidRPr="00B44B9B">
          <w:rPr>
            <w:rStyle w:val="af5"/>
          </w:rPr>
          <w:t>7.2.14 Отчет «Расходы федерального бюджета» (PIAO_169_001_report)</w:t>
        </w:r>
        <w:r>
          <w:rPr>
            <w:webHidden/>
          </w:rPr>
          <w:tab/>
        </w:r>
        <w:r>
          <w:rPr>
            <w:webHidden/>
          </w:rPr>
          <w:fldChar w:fldCharType="begin"/>
        </w:r>
        <w:r>
          <w:rPr>
            <w:webHidden/>
          </w:rPr>
          <w:instrText xml:space="preserve"> PAGEREF _Toc119585086 \h </w:instrText>
        </w:r>
        <w:r>
          <w:rPr>
            <w:webHidden/>
          </w:rPr>
        </w:r>
        <w:r>
          <w:rPr>
            <w:webHidden/>
          </w:rPr>
          <w:fldChar w:fldCharType="separate"/>
        </w:r>
        <w:r>
          <w:rPr>
            <w:webHidden/>
          </w:rPr>
          <w:t>275</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87" w:history="1">
        <w:r w:rsidRPr="00B44B9B">
          <w:rPr>
            <w:rStyle w:val="af5"/>
          </w:rPr>
          <w:t>7.3 Витрина «Национальные (федеральные) проекты и государственные программы»</w:t>
        </w:r>
        <w:r>
          <w:rPr>
            <w:webHidden/>
          </w:rPr>
          <w:tab/>
        </w:r>
        <w:r>
          <w:rPr>
            <w:webHidden/>
          </w:rPr>
          <w:fldChar w:fldCharType="begin"/>
        </w:r>
        <w:r>
          <w:rPr>
            <w:webHidden/>
          </w:rPr>
          <w:instrText xml:space="preserve"> PAGEREF _Toc119585087 \h </w:instrText>
        </w:r>
        <w:r>
          <w:rPr>
            <w:webHidden/>
          </w:rPr>
        </w:r>
        <w:r>
          <w:rPr>
            <w:webHidden/>
          </w:rPr>
          <w:fldChar w:fldCharType="separate"/>
        </w:r>
        <w:r>
          <w:rPr>
            <w:webHidden/>
          </w:rPr>
          <w:t>300</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8" w:history="1">
        <w:r w:rsidRPr="00B44B9B">
          <w:rPr>
            <w:rStyle w:val="af5"/>
          </w:rPr>
          <w:t>7.3.1 Отчет «Информация об исполнении национальных (федеральных) проектов в разрезе бюджетов бюджетной системы Российской Федерации» (PIAO_158_BO_natprojects_report)</w:t>
        </w:r>
        <w:r>
          <w:rPr>
            <w:webHidden/>
          </w:rPr>
          <w:tab/>
        </w:r>
        <w:r>
          <w:rPr>
            <w:webHidden/>
          </w:rPr>
          <w:fldChar w:fldCharType="begin"/>
        </w:r>
        <w:r>
          <w:rPr>
            <w:webHidden/>
          </w:rPr>
          <w:instrText xml:space="preserve"> PAGEREF _Toc119585088 \h </w:instrText>
        </w:r>
        <w:r>
          <w:rPr>
            <w:webHidden/>
          </w:rPr>
        </w:r>
        <w:r>
          <w:rPr>
            <w:webHidden/>
          </w:rPr>
          <w:fldChar w:fldCharType="separate"/>
        </w:r>
        <w:r>
          <w:rPr>
            <w:webHidden/>
          </w:rPr>
          <w:t>301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89" w:history="1">
        <w:r w:rsidRPr="00B44B9B">
          <w:rPr>
            <w:rStyle w:val="af5"/>
          </w:rPr>
          <w:t>7.3.2 Отчет «Исполнение национальных (федеральных) проектов БУ и АУ (ф. 0503738-НП)» (PIAO_167_001_report)</w:t>
        </w:r>
        <w:r>
          <w:rPr>
            <w:webHidden/>
          </w:rPr>
          <w:tab/>
        </w:r>
        <w:r>
          <w:rPr>
            <w:webHidden/>
          </w:rPr>
          <w:fldChar w:fldCharType="begin"/>
        </w:r>
        <w:r>
          <w:rPr>
            <w:webHidden/>
          </w:rPr>
          <w:instrText xml:space="preserve"> PAGEREF _Toc119585089 \h </w:instrText>
        </w:r>
        <w:r>
          <w:rPr>
            <w:webHidden/>
          </w:rPr>
        </w:r>
        <w:r>
          <w:rPr>
            <w:webHidden/>
          </w:rPr>
          <w:fldChar w:fldCharType="separate"/>
        </w:r>
        <w:r>
          <w:rPr>
            <w:webHidden/>
          </w:rPr>
          <w:t>327</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0" w:history="1">
        <w:r w:rsidRPr="00B44B9B">
          <w:rPr>
            <w:rStyle w:val="af5"/>
          </w:rPr>
          <w:t>7.3.3 Отчет «Информация об исполнении бюджетов бюджетной системы Российской Федерации по национальным (федеральным) проектам» (PIAO_160_001_report)</w:t>
        </w:r>
        <w:r>
          <w:rPr>
            <w:webHidden/>
          </w:rPr>
          <w:tab/>
        </w:r>
        <w:r>
          <w:rPr>
            <w:webHidden/>
          </w:rPr>
          <w:fldChar w:fldCharType="begin"/>
        </w:r>
        <w:r>
          <w:rPr>
            <w:webHidden/>
          </w:rPr>
          <w:instrText xml:space="preserve"> PAGEREF _Toc119585090 \h </w:instrText>
        </w:r>
        <w:r>
          <w:rPr>
            <w:webHidden/>
          </w:rPr>
        </w:r>
        <w:r>
          <w:rPr>
            <w:webHidden/>
          </w:rPr>
          <w:fldChar w:fldCharType="separate"/>
        </w:r>
        <w:r>
          <w:rPr>
            <w:webHidden/>
          </w:rPr>
          <w:t>342</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91" w:history="1">
        <w:r w:rsidRPr="00B44B9B">
          <w:rPr>
            <w:rStyle w:val="af5"/>
          </w:rPr>
          <w:t>7.4 Витрина «Ведение перечней и реестров»</w:t>
        </w:r>
        <w:r>
          <w:rPr>
            <w:webHidden/>
          </w:rPr>
          <w:tab/>
        </w:r>
        <w:r>
          <w:rPr>
            <w:webHidden/>
          </w:rPr>
          <w:fldChar w:fldCharType="begin"/>
        </w:r>
        <w:r>
          <w:rPr>
            <w:webHidden/>
          </w:rPr>
          <w:instrText xml:space="preserve"> PAGEREF _Toc119585091 \h </w:instrText>
        </w:r>
        <w:r>
          <w:rPr>
            <w:webHidden/>
          </w:rPr>
        </w:r>
        <w:r>
          <w:rPr>
            <w:webHidden/>
          </w:rPr>
          <w:fldChar w:fldCharType="separate"/>
        </w:r>
        <w:r>
          <w:rPr>
            <w:webHidden/>
          </w:rPr>
          <w:t>361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2" w:history="1">
        <w:r w:rsidRPr="00B44B9B">
          <w:rPr>
            <w:rStyle w:val="af5"/>
          </w:rPr>
          <w:t>7.4.1 Отчет «Мониторинг ведения реестра соглашений» (PIAO_107_003_report)</w:t>
        </w:r>
        <w:r>
          <w:rPr>
            <w:webHidden/>
          </w:rPr>
          <w:tab/>
        </w:r>
        <w:r>
          <w:rPr>
            <w:webHidden/>
          </w:rPr>
          <w:fldChar w:fldCharType="begin"/>
        </w:r>
        <w:r>
          <w:rPr>
            <w:webHidden/>
          </w:rPr>
          <w:instrText xml:space="preserve"> PAGEREF _Toc119585092 \h </w:instrText>
        </w:r>
        <w:r>
          <w:rPr>
            <w:webHidden/>
          </w:rPr>
        </w:r>
        <w:r>
          <w:rPr>
            <w:webHidden/>
          </w:rPr>
          <w:fldChar w:fldCharType="separate"/>
        </w:r>
        <w:r>
          <w:rPr>
            <w:webHidden/>
          </w:rPr>
          <w:t>364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3" w:history="1">
        <w:r w:rsidRPr="00B44B9B">
          <w:rPr>
            <w:rStyle w:val="af5"/>
          </w:rPr>
          <w:t>7.4.2 Отчет «Мониторинг качества распространения данных реестра соглашений на ЕПБС» (PIAO_107_007_report)</w:t>
        </w:r>
        <w:r>
          <w:rPr>
            <w:webHidden/>
          </w:rPr>
          <w:tab/>
        </w:r>
        <w:r>
          <w:rPr>
            <w:webHidden/>
          </w:rPr>
          <w:fldChar w:fldCharType="begin"/>
        </w:r>
        <w:r>
          <w:rPr>
            <w:webHidden/>
          </w:rPr>
          <w:instrText xml:space="preserve"> PAGEREF _Toc119585093 \h </w:instrText>
        </w:r>
        <w:r>
          <w:rPr>
            <w:webHidden/>
          </w:rPr>
        </w:r>
        <w:r>
          <w:rPr>
            <w:webHidden/>
          </w:rPr>
          <w:fldChar w:fldCharType="separate"/>
        </w:r>
        <w:r>
          <w:rPr>
            <w:webHidden/>
          </w:rPr>
          <w:t>382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4" w:history="1">
        <w:r w:rsidRPr="00B44B9B">
          <w:rPr>
            <w:rStyle w:val="af5"/>
          </w:rPr>
          <w:t>7.4.3 Отчет «Реестр соглашений о предоставлении субсидий из федерального бюджета (бюджетов субъектов Российской Федерации, местных бюджетов)» (</w:t>
        </w:r>
        <w:r w:rsidRPr="00B44B9B">
          <w:rPr>
            <w:rStyle w:val="af5"/>
            <w:lang w:val="en-US"/>
          </w:rPr>
          <w:t>PIAO</w:t>
        </w:r>
        <w:r w:rsidRPr="00B44B9B">
          <w:rPr>
            <w:rStyle w:val="af5"/>
          </w:rPr>
          <w:t>_107_009_</w:t>
        </w:r>
        <w:r w:rsidRPr="00B44B9B">
          <w:rPr>
            <w:rStyle w:val="af5"/>
            <w:lang w:val="en-US"/>
          </w:rPr>
          <w:t>report</w:t>
        </w:r>
        <w:r w:rsidRPr="00B44B9B">
          <w:rPr>
            <w:rStyle w:val="af5"/>
          </w:rPr>
          <w:t>)</w:t>
        </w:r>
        <w:r>
          <w:rPr>
            <w:webHidden/>
          </w:rPr>
          <w:tab/>
        </w:r>
        <w:r>
          <w:rPr>
            <w:webHidden/>
          </w:rPr>
          <w:fldChar w:fldCharType="begin"/>
        </w:r>
        <w:r>
          <w:rPr>
            <w:webHidden/>
          </w:rPr>
          <w:instrText xml:space="preserve"> PAGEREF _Toc119585094 \h </w:instrText>
        </w:r>
        <w:r>
          <w:rPr>
            <w:webHidden/>
          </w:rPr>
        </w:r>
        <w:r>
          <w:rPr>
            <w:webHidden/>
          </w:rPr>
          <w:fldChar w:fldCharType="separate"/>
        </w:r>
        <w:r>
          <w:rPr>
            <w:webHidden/>
          </w:rPr>
          <w:t>444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5" w:history="1">
        <w:r w:rsidRPr="00B44B9B">
          <w:rPr>
            <w:rStyle w:val="af5"/>
          </w:rPr>
          <w:t>7.4.4 Отчет «Перечни (классификаторы) государственных и муниципальных услуг и работ» (PIAO_111_001_report)</w:t>
        </w:r>
        <w:r>
          <w:rPr>
            <w:webHidden/>
          </w:rPr>
          <w:tab/>
        </w:r>
        <w:r>
          <w:rPr>
            <w:webHidden/>
          </w:rPr>
          <w:fldChar w:fldCharType="begin"/>
        </w:r>
        <w:r>
          <w:rPr>
            <w:webHidden/>
          </w:rPr>
          <w:instrText xml:space="preserve"> PAGEREF _Toc119585095 \h </w:instrText>
        </w:r>
        <w:r>
          <w:rPr>
            <w:webHidden/>
          </w:rPr>
        </w:r>
        <w:r>
          <w:rPr>
            <w:webHidden/>
          </w:rPr>
          <w:fldChar w:fldCharType="separate"/>
        </w:r>
        <w:r>
          <w:rPr>
            <w:webHidden/>
          </w:rPr>
          <w:t>550</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6" w:history="1">
        <w:r w:rsidRPr="00B44B9B">
          <w:rPr>
            <w:rStyle w:val="af5"/>
          </w:rPr>
          <w:t>7.4.5 Отчет «Услуги и работы общероссийских и федеральных перечней (классификаторов) государственных и муниципальных услуг и работ» (PIAO_111_002_report)</w:t>
        </w:r>
        <w:r>
          <w:rPr>
            <w:webHidden/>
          </w:rPr>
          <w:tab/>
        </w:r>
        <w:r>
          <w:rPr>
            <w:webHidden/>
          </w:rPr>
          <w:fldChar w:fldCharType="begin"/>
        </w:r>
        <w:r>
          <w:rPr>
            <w:webHidden/>
          </w:rPr>
          <w:instrText xml:space="preserve"> PAGEREF _Toc119585096 \h </w:instrText>
        </w:r>
        <w:r>
          <w:rPr>
            <w:webHidden/>
          </w:rPr>
        </w:r>
        <w:r>
          <w:rPr>
            <w:webHidden/>
          </w:rPr>
          <w:fldChar w:fldCharType="separate"/>
        </w:r>
        <w:r>
          <w:rPr>
            <w:webHidden/>
          </w:rPr>
          <w:t>551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7" w:history="1">
        <w:r w:rsidRPr="00B44B9B">
          <w:rPr>
            <w:rStyle w:val="af5"/>
          </w:rPr>
          <w:t>7.4.6 Отчет «</w:t>
        </w:r>
        <w:r w:rsidRPr="00B44B9B">
          <w:rPr>
            <w:rStyle w:val="af5"/>
            <w:shd w:val="clear" w:color="auto" w:fill="FFFFFF"/>
          </w:rPr>
          <w:t>Реестровые записи общероссийских и федеральных перечней (классификаторов) государственных и муниципальных услуг и работ</w:t>
        </w:r>
        <w:r w:rsidRPr="00B44B9B">
          <w:rPr>
            <w:rStyle w:val="af5"/>
          </w:rPr>
          <w:t>» (PIAO_111_003_report)</w:t>
        </w:r>
        <w:r>
          <w:rPr>
            <w:webHidden/>
          </w:rPr>
          <w:tab/>
        </w:r>
        <w:r>
          <w:rPr>
            <w:webHidden/>
          </w:rPr>
          <w:fldChar w:fldCharType="begin"/>
        </w:r>
        <w:r>
          <w:rPr>
            <w:webHidden/>
          </w:rPr>
          <w:instrText xml:space="preserve"> PAGEREF _Toc119585097 \h </w:instrText>
        </w:r>
        <w:r>
          <w:rPr>
            <w:webHidden/>
          </w:rPr>
        </w:r>
        <w:r>
          <w:rPr>
            <w:webHidden/>
          </w:rPr>
          <w:fldChar w:fldCharType="separate"/>
        </w:r>
        <w:r>
          <w:rPr>
            <w:webHidden/>
          </w:rPr>
          <w:t>553</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098" w:history="1">
        <w:r w:rsidRPr="00B44B9B">
          <w:rPr>
            <w:rStyle w:val="af5"/>
          </w:rPr>
          <w:t>7.4.7 Отчет «Мониторинг предоставления УФК и загрузки в ПИАО реестров конечных получателей субсидий» (PIAO_150_002_report)</w:t>
        </w:r>
        <w:r>
          <w:rPr>
            <w:webHidden/>
          </w:rPr>
          <w:tab/>
        </w:r>
        <w:r>
          <w:rPr>
            <w:webHidden/>
          </w:rPr>
          <w:fldChar w:fldCharType="begin"/>
        </w:r>
        <w:r>
          <w:rPr>
            <w:webHidden/>
          </w:rPr>
          <w:instrText xml:space="preserve"> PAGEREF _Toc119585098 \h </w:instrText>
        </w:r>
        <w:r>
          <w:rPr>
            <w:webHidden/>
          </w:rPr>
        </w:r>
        <w:r>
          <w:rPr>
            <w:webHidden/>
          </w:rPr>
          <w:fldChar w:fldCharType="separate"/>
        </w:r>
        <w:r>
          <w:rPr>
            <w:webHidden/>
          </w:rPr>
          <w:t>555</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099" w:history="1">
        <w:r w:rsidRPr="00B44B9B">
          <w:rPr>
            <w:rStyle w:val="af5"/>
          </w:rPr>
          <w:t>7.5 Витрина «Анализ закупок товаров, работ, услуг»</w:t>
        </w:r>
        <w:r>
          <w:rPr>
            <w:webHidden/>
          </w:rPr>
          <w:tab/>
        </w:r>
        <w:r>
          <w:rPr>
            <w:webHidden/>
          </w:rPr>
          <w:fldChar w:fldCharType="begin"/>
        </w:r>
        <w:r>
          <w:rPr>
            <w:webHidden/>
          </w:rPr>
          <w:instrText xml:space="preserve"> PAGEREF _Toc119585099 \h </w:instrText>
        </w:r>
        <w:r>
          <w:rPr>
            <w:webHidden/>
          </w:rPr>
        </w:r>
        <w:r>
          <w:rPr>
            <w:webHidden/>
          </w:rPr>
          <w:fldChar w:fldCharType="separate"/>
        </w:r>
        <w:r>
          <w:rPr>
            <w:webHidden/>
          </w:rPr>
          <w:t>559</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0" w:history="1">
        <w:r w:rsidRPr="00B44B9B">
          <w:rPr>
            <w:rStyle w:val="af5"/>
          </w:rPr>
          <w:t>7.5.1 Отчет «Анализ реестра контрактов и их исполнения» (FEDOOS_CONTRREG_001_001_report)</w:t>
        </w:r>
        <w:r>
          <w:rPr>
            <w:webHidden/>
          </w:rPr>
          <w:tab/>
        </w:r>
        <w:r>
          <w:rPr>
            <w:webHidden/>
          </w:rPr>
          <w:fldChar w:fldCharType="begin"/>
        </w:r>
        <w:r>
          <w:rPr>
            <w:webHidden/>
          </w:rPr>
          <w:instrText xml:space="preserve"> PAGEREF _Toc119585100 \h </w:instrText>
        </w:r>
        <w:r>
          <w:rPr>
            <w:webHidden/>
          </w:rPr>
        </w:r>
        <w:r>
          <w:rPr>
            <w:webHidden/>
          </w:rPr>
          <w:fldChar w:fldCharType="separate"/>
        </w:r>
        <w:r>
          <w:rPr>
            <w:webHidden/>
          </w:rPr>
          <w:t>560</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1" w:history="1">
        <w:r w:rsidRPr="00B44B9B">
          <w:rPr>
            <w:rStyle w:val="af5"/>
          </w:rPr>
          <w:t>7.5.2 Отчет «Планирование в сфере закупок» (FEDOOS_CONTRREG_002_001_report)</w:t>
        </w:r>
        <w:r>
          <w:rPr>
            <w:webHidden/>
          </w:rPr>
          <w:tab/>
        </w:r>
        <w:r>
          <w:rPr>
            <w:webHidden/>
          </w:rPr>
          <w:fldChar w:fldCharType="begin"/>
        </w:r>
        <w:r>
          <w:rPr>
            <w:webHidden/>
          </w:rPr>
          <w:instrText xml:space="preserve"> PAGEREF _Toc119585101 \h </w:instrText>
        </w:r>
        <w:r>
          <w:rPr>
            <w:webHidden/>
          </w:rPr>
        </w:r>
        <w:r>
          <w:rPr>
            <w:webHidden/>
          </w:rPr>
          <w:fldChar w:fldCharType="separate"/>
        </w:r>
        <w:r>
          <w:rPr>
            <w:webHidden/>
          </w:rPr>
          <w:t>572</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2" w:history="1">
        <w:r w:rsidRPr="00B44B9B">
          <w:rPr>
            <w:rStyle w:val="af5"/>
          </w:rPr>
          <w:t>7.5.3 Отчет «Мониторинговый отчет о контрактах в разрезе БО» (PIAO_180_110_report)</w:t>
        </w:r>
        <w:r>
          <w:rPr>
            <w:webHidden/>
          </w:rPr>
          <w:tab/>
        </w:r>
        <w:r>
          <w:rPr>
            <w:webHidden/>
          </w:rPr>
          <w:fldChar w:fldCharType="begin"/>
        </w:r>
        <w:r>
          <w:rPr>
            <w:webHidden/>
          </w:rPr>
          <w:instrText xml:space="preserve"> PAGEREF _Toc119585102 \h </w:instrText>
        </w:r>
        <w:r>
          <w:rPr>
            <w:webHidden/>
          </w:rPr>
        </w:r>
        <w:r>
          <w:rPr>
            <w:webHidden/>
          </w:rPr>
          <w:fldChar w:fldCharType="separate"/>
        </w:r>
        <w:r>
          <w:rPr>
            <w:webHidden/>
          </w:rPr>
          <w:t>578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3" w:history="1">
        <w:r w:rsidRPr="00B44B9B">
          <w:rPr>
            <w:rStyle w:val="af5"/>
          </w:rPr>
          <w:t>7.5.4 Принципы работы фильтров, используемых во всех отчетах витрины</w:t>
        </w:r>
        <w:r>
          <w:rPr>
            <w:webHidden/>
          </w:rPr>
          <w:tab/>
        </w:r>
        <w:r>
          <w:rPr>
            <w:webHidden/>
          </w:rPr>
          <w:fldChar w:fldCharType="begin"/>
        </w:r>
        <w:r>
          <w:rPr>
            <w:webHidden/>
          </w:rPr>
          <w:instrText xml:space="preserve"> PAGEREF _Toc119585103 \h </w:instrText>
        </w:r>
        <w:r>
          <w:rPr>
            <w:webHidden/>
          </w:rPr>
        </w:r>
        <w:r>
          <w:rPr>
            <w:webHidden/>
          </w:rPr>
          <w:fldChar w:fldCharType="separate"/>
        </w:r>
        <w:r>
          <w:rPr>
            <w:webHidden/>
          </w:rPr>
          <w:t>588</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4" w:history="1">
        <w:r w:rsidRPr="00B44B9B">
          <w:rPr>
            <w:rStyle w:val="af5"/>
          </w:rPr>
          <w:t>7.5.5 Принципы работы фильтров, используемых в отчетах группы «Анализ реестра контрактов и их исполнения»</w:t>
        </w:r>
        <w:r>
          <w:rPr>
            <w:webHidden/>
          </w:rPr>
          <w:tab/>
        </w:r>
        <w:r>
          <w:rPr>
            <w:webHidden/>
          </w:rPr>
          <w:fldChar w:fldCharType="begin"/>
        </w:r>
        <w:r>
          <w:rPr>
            <w:webHidden/>
          </w:rPr>
          <w:instrText xml:space="preserve"> PAGEREF _Toc119585104 \h </w:instrText>
        </w:r>
        <w:r>
          <w:rPr>
            <w:webHidden/>
          </w:rPr>
        </w:r>
        <w:r>
          <w:rPr>
            <w:webHidden/>
          </w:rPr>
          <w:fldChar w:fldCharType="separate"/>
        </w:r>
        <w:r>
          <w:rPr>
            <w:webHidden/>
          </w:rPr>
          <w:t>604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5" w:history="1">
        <w:r w:rsidRPr="00B44B9B">
          <w:rPr>
            <w:rStyle w:val="af5"/>
          </w:rPr>
          <w:t>7.5.6 Принципы работы фильтров, используемых в отчетах группы «Планирование в сфере закупок»</w:t>
        </w:r>
        <w:r>
          <w:rPr>
            <w:webHidden/>
          </w:rPr>
          <w:tab/>
        </w:r>
        <w:r>
          <w:rPr>
            <w:webHidden/>
          </w:rPr>
          <w:fldChar w:fldCharType="begin"/>
        </w:r>
        <w:r>
          <w:rPr>
            <w:webHidden/>
          </w:rPr>
          <w:instrText xml:space="preserve"> PAGEREF _Toc119585105 \h </w:instrText>
        </w:r>
        <w:r>
          <w:rPr>
            <w:webHidden/>
          </w:rPr>
        </w:r>
        <w:r>
          <w:rPr>
            <w:webHidden/>
          </w:rPr>
          <w:fldChar w:fldCharType="separate"/>
        </w:r>
        <w:r>
          <w:rPr>
            <w:webHidden/>
          </w:rPr>
          <w:t>612</w:t>
        </w:r>
        <w:r>
          <w:rPr>
            <w:webHidden/>
          </w:rPr>
          <w:fldChar w:fldCharType="end"/>
        </w:r>
      </w:hyperlink>
    </w:p>
    <w:p w:rsidR="00DD2822" w:rsidRDefault="00DD2822">
      <w:pPr>
        <w:pStyle w:val="2f"/>
        <w:rPr>
          <w:rFonts w:asciiTheme="minorHAnsi" w:eastAsiaTheme="minorEastAsia" w:hAnsiTheme="minorHAnsi" w:cstheme="minorBidi"/>
          <w:sz w:val="22"/>
          <w:szCs w:val="22"/>
        </w:rPr>
      </w:pPr>
      <w:hyperlink w:anchor="_Toc119585106" w:history="1">
        <w:r w:rsidRPr="00B44B9B">
          <w:rPr>
            <w:rStyle w:val="af5"/>
          </w:rPr>
          <w:t>7.6 Витрина «Бюджетный (бухгалтерский) учет»</w:t>
        </w:r>
        <w:r>
          <w:rPr>
            <w:webHidden/>
          </w:rPr>
          <w:tab/>
        </w:r>
        <w:r>
          <w:rPr>
            <w:webHidden/>
          </w:rPr>
          <w:fldChar w:fldCharType="begin"/>
        </w:r>
        <w:r>
          <w:rPr>
            <w:webHidden/>
          </w:rPr>
          <w:instrText xml:space="preserve"> PAGEREF _Toc119585106 \h </w:instrText>
        </w:r>
        <w:r>
          <w:rPr>
            <w:webHidden/>
          </w:rPr>
        </w:r>
        <w:r>
          <w:rPr>
            <w:webHidden/>
          </w:rPr>
          <w:fldChar w:fldCharType="separate"/>
        </w:r>
        <w:r>
          <w:rPr>
            <w:webHidden/>
          </w:rPr>
          <w:t>613</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7" w:history="1">
        <w:r w:rsidRPr="00B44B9B">
          <w:rPr>
            <w:rStyle w:val="af5"/>
          </w:rPr>
          <w:t>7.6.1 Отчет «Сведения о ФХД ФОИВ» (PIAO_103_003_mainBookAccreditationReport)</w:t>
        </w:r>
        <w:r>
          <w:rPr>
            <w:webHidden/>
          </w:rPr>
          <w:tab/>
        </w:r>
        <w:r>
          <w:rPr>
            <w:webHidden/>
          </w:rPr>
          <w:fldChar w:fldCharType="begin"/>
        </w:r>
        <w:r>
          <w:rPr>
            <w:webHidden/>
          </w:rPr>
          <w:instrText xml:space="preserve"> PAGEREF _Toc119585107 \h </w:instrText>
        </w:r>
        <w:r>
          <w:rPr>
            <w:webHidden/>
          </w:rPr>
        </w:r>
        <w:r>
          <w:rPr>
            <w:webHidden/>
          </w:rPr>
          <w:fldChar w:fldCharType="separate"/>
        </w:r>
        <w:r>
          <w:rPr>
            <w:webHidden/>
          </w:rPr>
          <w:t>615</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8" w:history="1">
        <w:r w:rsidRPr="00B44B9B">
          <w:rPr>
            <w:rStyle w:val="af5"/>
          </w:rPr>
          <w:t>7.6.2 Отчет «Сведения о ФХД ФОИВ. Качество данных» (PIAO_103_003_mainBookDataQualityReport)</w:t>
        </w:r>
        <w:r>
          <w:rPr>
            <w:webHidden/>
          </w:rPr>
          <w:tab/>
        </w:r>
        <w:r>
          <w:rPr>
            <w:webHidden/>
          </w:rPr>
          <w:fldChar w:fldCharType="begin"/>
        </w:r>
        <w:r>
          <w:rPr>
            <w:webHidden/>
          </w:rPr>
          <w:instrText xml:space="preserve"> PAGEREF _Toc119585108 \h </w:instrText>
        </w:r>
        <w:r>
          <w:rPr>
            <w:webHidden/>
          </w:rPr>
        </w:r>
        <w:r>
          <w:rPr>
            <w:webHidden/>
          </w:rPr>
          <w:fldChar w:fldCharType="separate"/>
        </w:r>
        <w:r>
          <w:rPr>
            <w:webHidden/>
          </w:rPr>
          <w:t>651</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09" w:history="1">
        <w:r w:rsidRPr="00B44B9B">
          <w:rPr>
            <w:rStyle w:val="af5"/>
          </w:rPr>
          <w:t>7.6.3 Отчет «Дебиторская и кредиторская задолженность» (PIAO_103_003_mainBookDKZ)</w:t>
        </w:r>
        <w:r>
          <w:rPr>
            <w:webHidden/>
          </w:rPr>
          <w:tab/>
        </w:r>
        <w:r>
          <w:rPr>
            <w:webHidden/>
          </w:rPr>
          <w:fldChar w:fldCharType="begin"/>
        </w:r>
        <w:r>
          <w:rPr>
            <w:webHidden/>
          </w:rPr>
          <w:instrText xml:space="preserve"> PAGEREF _Toc119585109 \h </w:instrText>
        </w:r>
        <w:r>
          <w:rPr>
            <w:webHidden/>
          </w:rPr>
        </w:r>
        <w:r>
          <w:rPr>
            <w:webHidden/>
          </w:rPr>
          <w:fldChar w:fldCharType="separate"/>
        </w:r>
        <w:r>
          <w:rPr>
            <w:webHidden/>
          </w:rPr>
          <w:t>674</w:t>
        </w:r>
        <w:r>
          <w:rPr>
            <w:webHidden/>
          </w:rPr>
          <w:fldChar w:fldCharType="end"/>
        </w:r>
      </w:hyperlink>
    </w:p>
    <w:p w:rsidR="00DD2822" w:rsidRDefault="00DD2822">
      <w:pPr>
        <w:pStyle w:val="3d"/>
        <w:rPr>
          <w:rFonts w:asciiTheme="minorHAnsi" w:eastAsiaTheme="minorEastAsia" w:hAnsiTheme="minorHAnsi" w:cstheme="minorBidi"/>
          <w:sz w:val="22"/>
          <w:szCs w:val="22"/>
          <w:lang w:eastAsia="ru-RU"/>
        </w:rPr>
      </w:pPr>
      <w:hyperlink w:anchor="_Toc119585110" w:history="1">
        <w:r w:rsidRPr="00B44B9B">
          <w:rPr>
            <w:rStyle w:val="af5"/>
          </w:rPr>
          <w:t>7.6.4 Отчет «Сведения о ФОТ ФОИВ» (PIAO_103_001_Analiz_FOTReport_82_view_CH)</w:t>
        </w:r>
        <w:r>
          <w:rPr>
            <w:webHidden/>
          </w:rPr>
          <w:tab/>
        </w:r>
        <w:r>
          <w:rPr>
            <w:webHidden/>
          </w:rPr>
          <w:fldChar w:fldCharType="begin"/>
        </w:r>
        <w:r>
          <w:rPr>
            <w:webHidden/>
          </w:rPr>
          <w:instrText xml:space="preserve"> PAGEREF _Toc119585110 \h </w:instrText>
        </w:r>
        <w:r>
          <w:rPr>
            <w:webHidden/>
          </w:rPr>
        </w:r>
        <w:r>
          <w:rPr>
            <w:webHidden/>
          </w:rPr>
          <w:fldChar w:fldCharType="separate"/>
        </w:r>
        <w:r>
          <w:rPr>
            <w:webHidden/>
          </w:rPr>
          <w:t>683</w:t>
        </w:r>
        <w:r>
          <w:rPr>
            <w:webHidden/>
          </w:rPr>
          <w:fldChar w:fldCharType="end"/>
        </w:r>
      </w:hyperlink>
    </w:p>
    <w:p w:rsidR="00DD2822" w:rsidRDefault="00DD2822">
      <w:pPr>
        <w:pStyle w:val="2f"/>
        <w:tabs>
          <w:tab w:val="left" w:pos="960"/>
        </w:tabs>
        <w:rPr>
          <w:rFonts w:asciiTheme="minorHAnsi" w:eastAsiaTheme="minorEastAsia" w:hAnsiTheme="minorHAnsi" w:cstheme="minorBidi"/>
          <w:sz w:val="22"/>
          <w:szCs w:val="22"/>
        </w:rPr>
      </w:pPr>
      <w:hyperlink w:anchor="_Toc119585111" w:history="1">
        <w:r w:rsidRPr="00B44B9B">
          <w:rPr>
            <w:rStyle w:val="af5"/>
          </w:rPr>
          <w:t>7.6</w:t>
        </w:r>
        <w:r>
          <w:rPr>
            <w:rFonts w:asciiTheme="minorHAnsi" w:eastAsiaTheme="minorEastAsia" w:hAnsiTheme="minorHAnsi" w:cstheme="minorBidi"/>
            <w:sz w:val="22"/>
            <w:szCs w:val="22"/>
          </w:rPr>
          <w:tab/>
        </w:r>
        <w:r w:rsidRPr="00B44B9B">
          <w:rPr>
            <w:rStyle w:val="af5"/>
          </w:rPr>
          <w:t>Витрина «Контроль и надзор в финансово-бюджетной сфере»</w:t>
        </w:r>
        <w:r>
          <w:rPr>
            <w:webHidden/>
          </w:rPr>
          <w:tab/>
        </w:r>
        <w:r>
          <w:rPr>
            <w:webHidden/>
          </w:rPr>
          <w:fldChar w:fldCharType="begin"/>
        </w:r>
        <w:r>
          <w:rPr>
            <w:webHidden/>
          </w:rPr>
          <w:instrText xml:space="preserve"> PAGEREF _Toc119585111 \h </w:instrText>
        </w:r>
        <w:r>
          <w:rPr>
            <w:webHidden/>
          </w:rPr>
        </w:r>
        <w:r>
          <w:rPr>
            <w:webHidden/>
          </w:rPr>
          <w:fldChar w:fldCharType="separate"/>
        </w:r>
        <w:r>
          <w:rPr>
            <w:webHidden/>
          </w:rPr>
          <w:t>726</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2" w:history="1">
        <w:r w:rsidRPr="00B44B9B">
          <w:rPr>
            <w:rStyle w:val="af5"/>
          </w:rPr>
          <w:t>7.6.4</w:t>
        </w:r>
        <w:r>
          <w:rPr>
            <w:rFonts w:asciiTheme="minorHAnsi" w:eastAsiaTheme="minorEastAsia" w:hAnsiTheme="minorHAnsi" w:cstheme="minorBidi"/>
            <w:sz w:val="22"/>
            <w:szCs w:val="22"/>
            <w:lang w:eastAsia="ru-RU"/>
          </w:rPr>
          <w:tab/>
        </w:r>
        <w:r w:rsidRPr="00B44B9B">
          <w:rPr>
            <w:rStyle w:val="af5"/>
          </w:rPr>
          <w:t>Отчет «Паспорт объекта контроля» (PIAO_162_001_report)</w:t>
        </w:r>
        <w:r>
          <w:rPr>
            <w:webHidden/>
          </w:rPr>
          <w:tab/>
        </w:r>
        <w:r>
          <w:rPr>
            <w:webHidden/>
          </w:rPr>
          <w:fldChar w:fldCharType="begin"/>
        </w:r>
        <w:r>
          <w:rPr>
            <w:webHidden/>
          </w:rPr>
          <w:instrText xml:space="preserve"> PAGEREF _Toc119585112 \h </w:instrText>
        </w:r>
        <w:r>
          <w:rPr>
            <w:webHidden/>
          </w:rPr>
        </w:r>
        <w:r>
          <w:rPr>
            <w:webHidden/>
          </w:rPr>
          <w:fldChar w:fldCharType="separate"/>
        </w:r>
        <w:r>
          <w:rPr>
            <w:webHidden/>
          </w:rPr>
          <w:t>730</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3" w:history="1">
        <w:r w:rsidRPr="00B44B9B">
          <w:rPr>
            <w:rStyle w:val="af5"/>
          </w:rPr>
          <w:t>7.6.5</w:t>
        </w:r>
        <w:r>
          <w:rPr>
            <w:rFonts w:asciiTheme="minorHAnsi" w:eastAsiaTheme="minorEastAsia" w:hAnsiTheme="minorHAnsi" w:cstheme="minorBidi"/>
            <w:sz w:val="22"/>
            <w:szCs w:val="22"/>
            <w:lang w:eastAsia="ru-RU"/>
          </w:rPr>
          <w:tab/>
        </w:r>
        <w:r w:rsidRPr="00B44B9B">
          <w:rPr>
            <w:rStyle w:val="af5"/>
          </w:rPr>
          <w:t>Отчет «Реестр паспортов объектов контроля» (PIAO_162_002_report )</w:t>
        </w:r>
        <w:r>
          <w:rPr>
            <w:webHidden/>
          </w:rPr>
          <w:tab/>
        </w:r>
        <w:r>
          <w:rPr>
            <w:webHidden/>
          </w:rPr>
          <w:fldChar w:fldCharType="begin"/>
        </w:r>
        <w:r>
          <w:rPr>
            <w:webHidden/>
          </w:rPr>
          <w:instrText xml:space="preserve"> PAGEREF _Toc119585113 \h </w:instrText>
        </w:r>
        <w:r>
          <w:rPr>
            <w:webHidden/>
          </w:rPr>
        </w:r>
        <w:r>
          <w:rPr>
            <w:webHidden/>
          </w:rPr>
          <w:fldChar w:fldCharType="separate"/>
        </w:r>
        <w:r>
          <w:rPr>
            <w:webHidden/>
          </w:rPr>
          <w:t>752</w:t>
        </w:r>
        <w:r>
          <w:rPr>
            <w:webHidden/>
          </w:rPr>
          <w:fldChar w:fldCharType="end"/>
        </w:r>
      </w:hyperlink>
    </w:p>
    <w:p w:rsidR="00DD2822" w:rsidRDefault="00DD2822">
      <w:pPr>
        <w:pStyle w:val="2f"/>
        <w:tabs>
          <w:tab w:val="left" w:pos="960"/>
        </w:tabs>
        <w:rPr>
          <w:rFonts w:asciiTheme="minorHAnsi" w:eastAsiaTheme="minorEastAsia" w:hAnsiTheme="minorHAnsi" w:cstheme="minorBidi"/>
          <w:sz w:val="22"/>
          <w:szCs w:val="22"/>
        </w:rPr>
      </w:pPr>
      <w:hyperlink w:anchor="_Toc119585114" w:history="1">
        <w:r w:rsidRPr="00B44B9B">
          <w:rPr>
            <w:rStyle w:val="af5"/>
          </w:rPr>
          <w:t>7.7</w:t>
        </w:r>
        <w:r>
          <w:rPr>
            <w:rFonts w:asciiTheme="minorHAnsi" w:eastAsiaTheme="minorEastAsia" w:hAnsiTheme="minorHAnsi" w:cstheme="minorBidi"/>
            <w:sz w:val="22"/>
            <w:szCs w:val="22"/>
          </w:rPr>
          <w:tab/>
        </w:r>
        <w:r w:rsidRPr="00B44B9B">
          <w:rPr>
            <w:rStyle w:val="af5"/>
          </w:rPr>
          <w:t>Витрина «Казначейское сопровождение»</w:t>
        </w:r>
        <w:r>
          <w:rPr>
            <w:webHidden/>
          </w:rPr>
          <w:tab/>
        </w:r>
        <w:r>
          <w:rPr>
            <w:webHidden/>
          </w:rPr>
          <w:fldChar w:fldCharType="begin"/>
        </w:r>
        <w:r>
          <w:rPr>
            <w:webHidden/>
          </w:rPr>
          <w:instrText xml:space="preserve"> PAGEREF _Toc119585114 \h </w:instrText>
        </w:r>
        <w:r>
          <w:rPr>
            <w:webHidden/>
          </w:rPr>
        </w:r>
        <w:r>
          <w:rPr>
            <w:webHidden/>
          </w:rPr>
          <w:fldChar w:fldCharType="separate"/>
        </w:r>
        <w:r>
          <w:rPr>
            <w:webHidden/>
          </w:rPr>
          <w:t>762</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5" w:history="1">
        <w:r w:rsidRPr="00B44B9B">
          <w:rPr>
            <w:rStyle w:val="af5"/>
          </w:rPr>
          <w:t>7.7.4</w:t>
        </w:r>
        <w:r>
          <w:rPr>
            <w:rFonts w:asciiTheme="minorHAnsi" w:eastAsiaTheme="minorEastAsia" w:hAnsiTheme="minorHAnsi" w:cstheme="minorBidi"/>
            <w:sz w:val="22"/>
            <w:szCs w:val="22"/>
            <w:lang w:eastAsia="ru-RU"/>
          </w:rPr>
          <w:tab/>
        </w:r>
        <w:r w:rsidRPr="00B44B9B">
          <w:rPr>
            <w:rStyle w:val="af5"/>
          </w:rPr>
          <w:t>Отчет «Анализ и оценка структуры цены» (PIAO_100_004_report)</w:t>
        </w:r>
        <w:r>
          <w:rPr>
            <w:webHidden/>
          </w:rPr>
          <w:tab/>
        </w:r>
        <w:r>
          <w:rPr>
            <w:webHidden/>
          </w:rPr>
          <w:fldChar w:fldCharType="begin"/>
        </w:r>
        <w:r>
          <w:rPr>
            <w:webHidden/>
          </w:rPr>
          <w:instrText xml:space="preserve"> PAGEREF _Toc119585115 \h </w:instrText>
        </w:r>
        <w:r>
          <w:rPr>
            <w:webHidden/>
          </w:rPr>
        </w:r>
        <w:r>
          <w:rPr>
            <w:webHidden/>
          </w:rPr>
          <w:fldChar w:fldCharType="separate"/>
        </w:r>
        <w:r>
          <w:rPr>
            <w:webHidden/>
          </w:rPr>
          <w:t>765</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6" w:history="1">
        <w:r w:rsidRPr="00B44B9B">
          <w:rPr>
            <w:rStyle w:val="af5"/>
          </w:rPr>
          <w:t>7.7.5</w:t>
        </w:r>
        <w:r>
          <w:rPr>
            <w:rFonts w:asciiTheme="minorHAnsi" w:eastAsiaTheme="minorEastAsia" w:hAnsiTheme="minorHAnsi" w:cstheme="minorBidi"/>
            <w:sz w:val="22"/>
            <w:szCs w:val="22"/>
            <w:lang w:eastAsia="ru-RU"/>
          </w:rPr>
          <w:tab/>
        </w:r>
        <w:r w:rsidRPr="00B44B9B">
          <w:rPr>
            <w:rStyle w:val="af5"/>
          </w:rPr>
          <w:t>Отчет «Приостановление по ГОЗ» (PIAO_100_013_report)</w:t>
        </w:r>
        <w:r>
          <w:rPr>
            <w:webHidden/>
          </w:rPr>
          <w:tab/>
        </w:r>
        <w:r>
          <w:rPr>
            <w:webHidden/>
          </w:rPr>
          <w:fldChar w:fldCharType="begin"/>
        </w:r>
        <w:r>
          <w:rPr>
            <w:webHidden/>
          </w:rPr>
          <w:instrText xml:space="preserve"> PAGEREF _Toc119585116 \h </w:instrText>
        </w:r>
        <w:r>
          <w:rPr>
            <w:webHidden/>
          </w:rPr>
        </w:r>
        <w:r>
          <w:rPr>
            <w:webHidden/>
          </w:rPr>
          <w:fldChar w:fldCharType="separate"/>
        </w:r>
        <w:r>
          <w:rPr>
            <w:webHidden/>
          </w:rPr>
          <w:t>770</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7" w:history="1">
        <w:r w:rsidRPr="00B44B9B">
          <w:rPr>
            <w:rStyle w:val="af5"/>
          </w:rPr>
          <w:t>7.7.6</w:t>
        </w:r>
        <w:r>
          <w:rPr>
            <w:rFonts w:asciiTheme="minorHAnsi" w:eastAsiaTheme="minorEastAsia" w:hAnsiTheme="minorHAnsi" w:cstheme="minorBidi"/>
            <w:sz w:val="22"/>
            <w:szCs w:val="22"/>
            <w:lang w:eastAsia="ru-RU"/>
          </w:rPr>
          <w:tab/>
        </w:r>
        <w:r w:rsidRPr="00B44B9B">
          <w:rPr>
            <w:rStyle w:val="af5"/>
          </w:rPr>
          <w:t>Отчет «Цепочка контрактов» (PIAO_100_002_report)</w:t>
        </w:r>
        <w:r>
          <w:rPr>
            <w:webHidden/>
          </w:rPr>
          <w:tab/>
        </w:r>
        <w:r>
          <w:rPr>
            <w:webHidden/>
          </w:rPr>
          <w:fldChar w:fldCharType="begin"/>
        </w:r>
        <w:r>
          <w:rPr>
            <w:webHidden/>
          </w:rPr>
          <w:instrText xml:space="preserve"> PAGEREF _Toc119585117 \h </w:instrText>
        </w:r>
        <w:r>
          <w:rPr>
            <w:webHidden/>
          </w:rPr>
        </w:r>
        <w:r>
          <w:rPr>
            <w:webHidden/>
          </w:rPr>
          <w:fldChar w:fldCharType="separate"/>
        </w:r>
        <w:r>
          <w:rPr>
            <w:webHidden/>
          </w:rPr>
          <w:t>772</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18" w:history="1">
        <w:r w:rsidRPr="00B44B9B">
          <w:rPr>
            <w:rStyle w:val="af5"/>
          </w:rPr>
          <w:t>7.7.7</w:t>
        </w:r>
        <w:r>
          <w:rPr>
            <w:rFonts w:asciiTheme="minorHAnsi" w:eastAsiaTheme="minorEastAsia" w:hAnsiTheme="minorHAnsi" w:cstheme="minorBidi"/>
            <w:sz w:val="22"/>
            <w:szCs w:val="22"/>
            <w:lang w:eastAsia="ru-RU"/>
          </w:rPr>
          <w:tab/>
        </w:r>
        <w:r w:rsidRPr="00B44B9B">
          <w:rPr>
            <w:rStyle w:val="af5"/>
          </w:rPr>
          <w:t>Отчет «Казначейское сопровождение средств БС/МБ» (PIAO_100_016_report)</w:t>
        </w:r>
        <w:r>
          <w:rPr>
            <w:webHidden/>
          </w:rPr>
          <w:tab/>
        </w:r>
        <w:r>
          <w:rPr>
            <w:webHidden/>
          </w:rPr>
          <w:fldChar w:fldCharType="begin"/>
        </w:r>
        <w:r>
          <w:rPr>
            <w:webHidden/>
          </w:rPr>
          <w:instrText xml:space="preserve"> PAGEREF _Toc119585118 \h </w:instrText>
        </w:r>
        <w:r>
          <w:rPr>
            <w:webHidden/>
          </w:rPr>
        </w:r>
        <w:r>
          <w:rPr>
            <w:webHidden/>
          </w:rPr>
          <w:fldChar w:fldCharType="separate"/>
        </w:r>
        <w:r>
          <w:rPr>
            <w:webHidden/>
          </w:rPr>
          <w:t>786</w:t>
        </w:r>
        <w:r>
          <w:rPr>
            <w:webHidden/>
          </w:rPr>
          <w:fldChar w:fldCharType="end"/>
        </w:r>
      </w:hyperlink>
    </w:p>
    <w:p w:rsidR="00DD2822" w:rsidRDefault="00DD2822">
      <w:pPr>
        <w:pStyle w:val="2f"/>
        <w:tabs>
          <w:tab w:val="left" w:pos="960"/>
        </w:tabs>
        <w:rPr>
          <w:rFonts w:asciiTheme="minorHAnsi" w:eastAsiaTheme="minorEastAsia" w:hAnsiTheme="minorHAnsi" w:cstheme="minorBidi"/>
          <w:sz w:val="22"/>
          <w:szCs w:val="22"/>
        </w:rPr>
      </w:pPr>
      <w:hyperlink w:anchor="_Toc119585119" w:history="1">
        <w:r w:rsidRPr="00B44B9B">
          <w:rPr>
            <w:rStyle w:val="af5"/>
          </w:rPr>
          <w:t>7.8</w:t>
        </w:r>
        <w:r>
          <w:rPr>
            <w:rFonts w:asciiTheme="minorHAnsi" w:eastAsiaTheme="minorEastAsia" w:hAnsiTheme="minorHAnsi" w:cstheme="minorBidi"/>
            <w:sz w:val="22"/>
            <w:szCs w:val="22"/>
          </w:rPr>
          <w:tab/>
        </w:r>
        <w:r w:rsidRPr="00B44B9B">
          <w:rPr>
            <w:rStyle w:val="af5"/>
          </w:rPr>
          <w:t>Витрина «</w:t>
        </w:r>
        <w:r w:rsidRPr="00B44B9B">
          <w:rPr>
            <w:rStyle w:val="af5"/>
            <w:rFonts w:eastAsia="Calibri"/>
          </w:rPr>
          <w:t>Статистика государственных финансов</w:t>
        </w:r>
        <w:r w:rsidRPr="00B44B9B">
          <w:rPr>
            <w:rStyle w:val="af5"/>
          </w:rPr>
          <w:t>»</w:t>
        </w:r>
        <w:r>
          <w:rPr>
            <w:webHidden/>
          </w:rPr>
          <w:tab/>
        </w:r>
        <w:r>
          <w:rPr>
            <w:webHidden/>
          </w:rPr>
          <w:fldChar w:fldCharType="begin"/>
        </w:r>
        <w:r>
          <w:rPr>
            <w:webHidden/>
          </w:rPr>
          <w:instrText xml:space="preserve"> PAGEREF _Toc119585119 \h </w:instrText>
        </w:r>
        <w:r>
          <w:rPr>
            <w:webHidden/>
          </w:rPr>
        </w:r>
        <w:r>
          <w:rPr>
            <w:webHidden/>
          </w:rPr>
          <w:fldChar w:fldCharType="separate"/>
        </w:r>
        <w:r>
          <w:rPr>
            <w:webHidden/>
          </w:rPr>
          <w:t>811</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0" w:history="1">
        <w:r w:rsidRPr="00B44B9B">
          <w:rPr>
            <w:rStyle w:val="af5"/>
          </w:rPr>
          <w:t>7.8.4</w:t>
        </w:r>
        <w:r>
          <w:rPr>
            <w:rFonts w:asciiTheme="minorHAnsi" w:eastAsiaTheme="minorEastAsia" w:hAnsiTheme="minorHAnsi" w:cstheme="minorBidi"/>
            <w:sz w:val="22"/>
            <w:szCs w:val="22"/>
            <w:lang w:eastAsia="ru-RU"/>
          </w:rPr>
          <w:tab/>
        </w:r>
        <w:r w:rsidRPr="00B44B9B">
          <w:rPr>
            <w:rStyle w:val="af5"/>
          </w:rPr>
          <w:t>Отчет «Информация по статистике государственных финансов Российской Федерации» (PIAO_155_001_report)</w:t>
        </w:r>
        <w:r>
          <w:rPr>
            <w:webHidden/>
          </w:rPr>
          <w:tab/>
        </w:r>
        <w:r>
          <w:rPr>
            <w:webHidden/>
          </w:rPr>
          <w:fldChar w:fldCharType="begin"/>
        </w:r>
        <w:r>
          <w:rPr>
            <w:webHidden/>
          </w:rPr>
          <w:instrText xml:space="preserve"> PAGEREF _Toc119585120 \h </w:instrText>
        </w:r>
        <w:r>
          <w:rPr>
            <w:webHidden/>
          </w:rPr>
        </w:r>
        <w:r>
          <w:rPr>
            <w:webHidden/>
          </w:rPr>
          <w:fldChar w:fldCharType="separate"/>
        </w:r>
        <w:r>
          <w:rPr>
            <w:webHidden/>
          </w:rPr>
          <w:t>813</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1" w:history="1">
        <w:r w:rsidRPr="00B44B9B">
          <w:rPr>
            <w:rStyle w:val="af5"/>
          </w:rPr>
          <w:t>7.8.5</w:t>
        </w:r>
        <w:r>
          <w:rPr>
            <w:rFonts w:asciiTheme="minorHAnsi" w:eastAsiaTheme="minorEastAsia" w:hAnsiTheme="minorHAnsi" w:cstheme="minorBidi"/>
            <w:sz w:val="22"/>
            <w:szCs w:val="22"/>
            <w:lang w:eastAsia="ru-RU"/>
          </w:rPr>
          <w:tab/>
        </w:r>
        <w:r w:rsidRPr="00B44B9B">
          <w:rPr>
            <w:rStyle w:val="af5"/>
          </w:rPr>
          <w:t>Отчет «Сектор государственных нефинансовых корпораций» (PIAO_155_005_report)</w:t>
        </w:r>
        <w:r>
          <w:rPr>
            <w:webHidden/>
          </w:rPr>
          <w:tab/>
        </w:r>
        <w:r>
          <w:rPr>
            <w:webHidden/>
          </w:rPr>
          <w:fldChar w:fldCharType="begin"/>
        </w:r>
        <w:r>
          <w:rPr>
            <w:webHidden/>
          </w:rPr>
          <w:instrText xml:space="preserve"> PAGEREF _Toc119585121 \h </w:instrText>
        </w:r>
        <w:r>
          <w:rPr>
            <w:webHidden/>
          </w:rPr>
        </w:r>
        <w:r>
          <w:rPr>
            <w:webHidden/>
          </w:rPr>
          <w:fldChar w:fldCharType="separate"/>
        </w:r>
        <w:r>
          <w:rPr>
            <w:webHidden/>
          </w:rPr>
          <w:t>839</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2" w:history="1">
        <w:r w:rsidRPr="00B44B9B">
          <w:rPr>
            <w:rStyle w:val="af5"/>
          </w:rPr>
          <w:t>7.8.6</w:t>
        </w:r>
        <w:r>
          <w:rPr>
            <w:rFonts w:asciiTheme="minorHAnsi" w:eastAsiaTheme="minorEastAsia" w:hAnsiTheme="minorHAnsi" w:cstheme="minorBidi"/>
            <w:sz w:val="22"/>
            <w:szCs w:val="22"/>
            <w:lang w:eastAsia="ru-RU"/>
          </w:rPr>
          <w:tab/>
        </w:r>
        <w:r w:rsidRPr="00B44B9B">
          <w:rPr>
            <w:rStyle w:val="af5"/>
          </w:rPr>
          <w:t>Отчет «Бухгалтерский баланс» (PIAO_155_002_report)</w:t>
        </w:r>
        <w:r>
          <w:rPr>
            <w:webHidden/>
          </w:rPr>
          <w:tab/>
        </w:r>
        <w:r>
          <w:rPr>
            <w:webHidden/>
          </w:rPr>
          <w:fldChar w:fldCharType="begin"/>
        </w:r>
        <w:r>
          <w:rPr>
            <w:webHidden/>
          </w:rPr>
          <w:instrText xml:space="preserve"> PAGEREF _Toc119585122 \h </w:instrText>
        </w:r>
        <w:r>
          <w:rPr>
            <w:webHidden/>
          </w:rPr>
        </w:r>
        <w:r>
          <w:rPr>
            <w:webHidden/>
          </w:rPr>
          <w:fldChar w:fldCharType="separate"/>
        </w:r>
        <w:r>
          <w:rPr>
            <w:webHidden/>
          </w:rPr>
          <w:t>853</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3" w:history="1">
        <w:r w:rsidRPr="00B44B9B">
          <w:rPr>
            <w:rStyle w:val="af5"/>
          </w:rPr>
          <w:t>7.8.7</w:t>
        </w:r>
        <w:r>
          <w:rPr>
            <w:rFonts w:asciiTheme="minorHAnsi" w:eastAsiaTheme="minorEastAsia" w:hAnsiTheme="minorHAnsi" w:cstheme="minorBidi"/>
            <w:sz w:val="22"/>
            <w:szCs w:val="22"/>
            <w:lang w:eastAsia="ru-RU"/>
          </w:rPr>
          <w:tab/>
        </w:r>
        <w:r w:rsidRPr="00B44B9B">
          <w:rPr>
            <w:rStyle w:val="af5"/>
          </w:rPr>
          <w:t>Отчет «Отчет о финансовых результатах» (PIAO_155_003_report)</w:t>
        </w:r>
        <w:r>
          <w:rPr>
            <w:webHidden/>
          </w:rPr>
          <w:tab/>
        </w:r>
        <w:r>
          <w:rPr>
            <w:webHidden/>
          </w:rPr>
          <w:fldChar w:fldCharType="begin"/>
        </w:r>
        <w:r>
          <w:rPr>
            <w:webHidden/>
          </w:rPr>
          <w:instrText xml:space="preserve"> PAGEREF _Toc119585123 \h </w:instrText>
        </w:r>
        <w:r>
          <w:rPr>
            <w:webHidden/>
          </w:rPr>
        </w:r>
        <w:r>
          <w:rPr>
            <w:webHidden/>
          </w:rPr>
          <w:fldChar w:fldCharType="separate"/>
        </w:r>
        <w:r>
          <w:rPr>
            <w:webHidden/>
          </w:rPr>
          <w:t>860</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4" w:history="1">
        <w:r w:rsidRPr="00B44B9B">
          <w:rPr>
            <w:rStyle w:val="af5"/>
          </w:rPr>
          <w:t>7.8.8</w:t>
        </w:r>
        <w:r>
          <w:rPr>
            <w:rFonts w:asciiTheme="minorHAnsi" w:eastAsiaTheme="minorEastAsia" w:hAnsiTheme="minorHAnsi" w:cstheme="minorBidi"/>
            <w:sz w:val="22"/>
            <w:szCs w:val="22"/>
            <w:lang w:eastAsia="ru-RU"/>
          </w:rPr>
          <w:tab/>
        </w:r>
        <w:r w:rsidRPr="00B44B9B">
          <w:rPr>
            <w:rStyle w:val="af5"/>
          </w:rPr>
          <w:t>Отчет «Отчет об изменениях капитала» (PIAO_155_006_report)</w:t>
        </w:r>
        <w:r>
          <w:rPr>
            <w:webHidden/>
          </w:rPr>
          <w:tab/>
        </w:r>
        <w:r>
          <w:rPr>
            <w:webHidden/>
          </w:rPr>
          <w:fldChar w:fldCharType="begin"/>
        </w:r>
        <w:r>
          <w:rPr>
            <w:webHidden/>
          </w:rPr>
          <w:instrText xml:space="preserve"> PAGEREF _Toc119585124 \h </w:instrText>
        </w:r>
        <w:r>
          <w:rPr>
            <w:webHidden/>
          </w:rPr>
        </w:r>
        <w:r>
          <w:rPr>
            <w:webHidden/>
          </w:rPr>
          <w:fldChar w:fldCharType="separate"/>
        </w:r>
        <w:r>
          <w:rPr>
            <w:webHidden/>
          </w:rPr>
          <w:t>872</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5" w:history="1">
        <w:r w:rsidRPr="00B44B9B">
          <w:rPr>
            <w:rStyle w:val="af5"/>
          </w:rPr>
          <w:t>7.8.9</w:t>
        </w:r>
        <w:r>
          <w:rPr>
            <w:rFonts w:asciiTheme="minorHAnsi" w:eastAsiaTheme="minorEastAsia" w:hAnsiTheme="minorHAnsi" w:cstheme="minorBidi"/>
            <w:sz w:val="22"/>
            <w:szCs w:val="22"/>
            <w:lang w:eastAsia="ru-RU"/>
          </w:rPr>
          <w:tab/>
        </w:r>
        <w:r w:rsidRPr="00B44B9B">
          <w:rPr>
            <w:rStyle w:val="af5"/>
          </w:rPr>
          <w:t>Отчет «Отчет о движении денежных средств»</w:t>
        </w:r>
        <w:r>
          <w:rPr>
            <w:webHidden/>
          </w:rPr>
          <w:tab/>
        </w:r>
        <w:r>
          <w:rPr>
            <w:webHidden/>
          </w:rPr>
          <w:fldChar w:fldCharType="begin"/>
        </w:r>
        <w:r>
          <w:rPr>
            <w:webHidden/>
          </w:rPr>
          <w:instrText xml:space="preserve"> PAGEREF _Toc119585125 \h </w:instrText>
        </w:r>
        <w:r>
          <w:rPr>
            <w:webHidden/>
          </w:rPr>
        </w:r>
        <w:r>
          <w:rPr>
            <w:webHidden/>
          </w:rPr>
          <w:fldChar w:fldCharType="separate"/>
        </w:r>
        <w:r>
          <w:rPr>
            <w:webHidden/>
          </w:rPr>
          <w:t>878</w:t>
        </w:r>
        <w:r>
          <w:rPr>
            <w:webHidden/>
          </w:rPr>
          <w:fldChar w:fldCharType="end"/>
        </w:r>
      </w:hyperlink>
    </w:p>
    <w:p w:rsidR="00DD2822" w:rsidRDefault="00DD2822">
      <w:pPr>
        <w:pStyle w:val="2f"/>
        <w:tabs>
          <w:tab w:val="left" w:pos="960"/>
        </w:tabs>
        <w:rPr>
          <w:rFonts w:asciiTheme="minorHAnsi" w:eastAsiaTheme="minorEastAsia" w:hAnsiTheme="minorHAnsi" w:cstheme="minorBidi"/>
          <w:sz w:val="22"/>
          <w:szCs w:val="22"/>
        </w:rPr>
      </w:pPr>
      <w:hyperlink w:anchor="_Toc119585126" w:history="1">
        <w:r w:rsidRPr="00B44B9B">
          <w:rPr>
            <w:rStyle w:val="af5"/>
          </w:rPr>
          <w:t>7.9</w:t>
        </w:r>
        <w:r>
          <w:rPr>
            <w:rFonts w:asciiTheme="minorHAnsi" w:eastAsiaTheme="minorEastAsia" w:hAnsiTheme="minorHAnsi" w:cstheme="minorBidi"/>
            <w:sz w:val="22"/>
            <w:szCs w:val="22"/>
          </w:rPr>
          <w:tab/>
        </w:r>
        <w:r w:rsidRPr="00B44B9B">
          <w:rPr>
            <w:rStyle w:val="af5"/>
          </w:rPr>
          <w:t>Аналитические отчеты, включенные в Архив</w:t>
        </w:r>
        <w:r>
          <w:rPr>
            <w:webHidden/>
          </w:rPr>
          <w:tab/>
        </w:r>
        <w:r>
          <w:rPr>
            <w:webHidden/>
          </w:rPr>
          <w:fldChar w:fldCharType="begin"/>
        </w:r>
        <w:r>
          <w:rPr>
            <w:webHidden/>
          </w:rPr>
          <w:instrText xml:space="preserve"> PAGEREF _Toc119585126 \h </w:instrText>
        </w:r>
        <w:r>
          <w:rPr>
            <w:webHidden/>
          </w:rPr>
        </w:r>
        <w:r>
          <w:rPr>
            <w:webHidden/>
          </w:rPr>
          <w:fldChar w:fldCharType="separate"/>
        </w:r>
        <w:r>
          <w:rPr>
            <w:webHidden/>
          </w:rPr>
          <w:t>883</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7" w:history="1">
        <w:r w:rsidRPr="00B44B9B">
          <w:rPr>
            <w:rStyle w:val="af5"/>
          </w:rPr>
          <w:t>7.9.4</w:t>
        </w:r>
        <w:r>
          <w:rPr>
            <w:rFonts w:asciiTheme="minorHAnsi" w:eastAsiaTheme="minorEastAsia" w:hAnsiTheme="minorHAnsi" w:cstheme="minorBidi"/>
            <w:sz w:val="22"/>
            <w:szCs w:val="22"/>
            <w:lang w:eastAsia="ru-RU"/>
          </w:rPr>
          <w:tab/>
        </w:r>
        <w:r w:rsidRPr="00B44B9B">
          <w:rPr>
            <w:rStyle w:val="af5"/>
          </w:rPr>
          <w:t>Отчет «Базовые (отраслевые) и ведомственные перечни государственных и муниципальных услуг и работ»</w:t>
        </w:r>
        <w:r>
          <w:rPr>
            <w:webHidden/>
          </w:rPr>
          <w:tab/>
        </w:r>
        <w:r>
          <w:rPr>
            <w:webHidden/>
          </w:rPr>
          <w:fldChar w:fldCharType="begin"/>
        </w:r>
        <w:r>
          <w:rPr>
            <w:webHidden/>
          </w:rPr>
          <w:instrText xml:space="preserve"> PAGEREF _Toc119585127 \h </w:instrText>
        </w:r>
        <w:r>
          <w:rPr>
            <w:webHidden/>
          </w:rPr>
        </w:r>
        <w:r>
          <w:rPr>
            <w:webHidden/>
          </w:rPr>
          <w:fldChar w:fldCharType="separate"/>
        </w:r>
        <w:r>
          <w:rPr>
            <w:webHidden/>
          </w:rPr>
          <w:t>884</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8" w:history="1">
        <w:r w:rsidRPr="00B44B9B">
          <w:rPr>
            <w:rStyle w:val="af5"/>
          </w:rPr>
          <w:t>7.9.5</w:t>
        </w:r>
        <w:r>
          <w:rPr>
            <w:rFonts w:asciiTheme="minorHAnsi" w:eastAsiaTheme="minorEastAsia" w:hAnsiTheme="minorHAnsi" w:cstheme="minorBidi"/>
            <w:sz w:val="22"/>
            <w:szCs w:val="22"/>
            <w:lang w:eastAsia="ru-RU"/>
          </w:rPr>
          <w:tab/>
        </w:r>
        <w:r w:rsidRPr="00B44B9B">
          <w:rPr>
            <w:rStyle w:val="af5"/>
          </w:rPr>
          <w:t>Отчет «Информация об уплате налога на добычу полезных ископаемых в разрезе налогоплательщиков»</w:t>
        </w:r>
        <w:r>
          <w:rPr>
            <w:webHidden/>
          </w:rPr>
          <w:tab/>
        </w:r>
        <w:r>
          <w:rPr>
            <w:webHidden/>
          </w:rPr>
          <w:fldChar w:fldCharType="begin"/>
        </w:r>
        <w:r>
          <w:rPr>
            <w:webHidden/>
          </w:rPr>
          <w:instrText xml:space="preserve"> PAGEREF _Toc119585128 \h </w:instrText>
        </w:r>
        <w:r>
          <w:rPr>
            <w:webHidden/>
          </w:rPr>
        </w:r>
        <w:r>
          <w:rPr>
            <w:webHidden/>
          </w:rPr>
          <w:fldChar w:fldCharType="separate"/>
        </w:r>
        <w:r>
          <w:rPr>
            <w:webHidden/>
          </w:rPr>
          <w:t>887</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29" w:history="1">
        <w:r w:rsidRPr="00B44B9B">
          <w:rPr>
            <w:rStyle w:val="af5"/>
          </w:rPr>
          <w:t>7.9.6</w:t>
        </w:r>
        <w:r>
          <w:rPr>
            <w:rFonts w:asciiTheme="minorHAnsi" w:eastAsiaTheme="minorEastAsia" w:hAnsiTheme="minorHAnsi" w:cstheme="minorBidi"/>
            <w:sz w:val="22"/>
            <w:szCs w:val="22"/>
            <w:lang w:eastAsia="ru-RU"/>
          </w:rPr>
          <w:tab/>
        </w:r>
        <w:r w:rsidRPr="00B44B9B">
          <w:rPr>
            <w:rStyle w:val="af5"/>
          </w:rPr>
          <w:t>Отчет «Информация о поступлении и возмещении НДС в разрезе налогоплательщиков»</w:t>
        </w:r>
        <w:r>
          <w:rPr>
            <w:webHidden/>
          </w:rPr>
          <w:tab/>
        </w:r>
        <w:r>
          <w:rPr>
            <w:webHidden/>
          </w:rPr>
          <w:fldChar w:fldCharType="begin"/>
        </w:r>
        <w:r>
          <w:rPr>
            <w:webHidden/>
          </w:rPr>
          <w:instrText xml:space="preserve"> PAGEREF _Toc119585129 \h </w:instrText>
        </w:r>
        <w:r>
          <w:rPr>
            <w:webHidden/>
          </w:rPr>
        </w:r>
        <w:r>
          <w:rPr>
            <w:webHidden/>
          </w:rPr>
          <w:fldChar w:fldCharType="separate"/>
        </w:r>
        <w:r>
          <w:rPr>
            <w:webHidden/>
          </w:rPr>
          <w:t>889</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30" w:history="1">
        <w:r w:rsidRPr="00B44B9B">
          <w:rPr>
            <w:rStyle w:val="af5"/>
          </w:rPr>
          <w:t>7.9.7</w:t>
        </w:r>
        <w:r>
          <w:rPr>
            <w:rFonts w:asciiTheme="minorHAnsi" w:eastAsiaTheme="minorEastAsia" w:hAnsiTheme="minorHAnsi" w:cstheme="minorBidi"/>
            <w:sz w:val="22"/>
            <w:szCs w:val="22"/>
            <w:lang w:eastAsia="ru-RU"/>
          </w:rPr>
          <w:tab/>
        </w:r>
        <w:r w:rsidRPr="00B44B9B">
          <w:rPr>
            <w:rStyle w:val="af5"/>
          </w:rPr>
          <w:t>Отчет «Информация о предоставлении субсидий в разрезе сельхозтоваропроизводителей»</w:t>
        </w:r>
        <w:r>
          <w:rPr>
            <w:webHidden/>
          </w:rPr>
          <w:tab/>
        </w:r>
        <w:r>
          <w:rPr>
            <w:webHidden/>
          </w:rPr>
          <w:fldChar w:fldCharType="begin"/>
        </w:r>
        <w:r>
          <w:rPr>
            <w:webHidden/>
          </w:rPr>
          <w:instrText xml:space="preserve"> PAGEREF _Toc119585130 \h </w:instrText>
        </w:r>
        <w:r>
          <w:rPr>
            <w:webHidden/>
          </w:rPr>
        </w:r>
        <w:r>
          <w:rPr>
            <w:webHidden/>
          </w:rPr>
          <w:fldChar w:fldCharType="separate"/>
        </w:r>
        <w:r>
          <w:rPr>
            <w:webHidden/>
          </w:rPr>
          <w:t>890</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31" w:history="1">
        <w:r w:rsidRPr="00B44B9B">
          <w:rPr>
            <w:rStyle w:val="af5"/>
          </w:rPr>
          <w:t>7.9.8</w:t>
        </w:r>
        <w:r>
          <w:rPr>
            <w:rFonts w:asciiTheme="minorHAnsi" w:eastAsiaTheme="minorEastAsia" w:hAnsiTheme="minorHAnsi" w:cstheme="minorBidi"/>
            <w:sz w:val="22"/>
            <w:szCs w:val="22"/>
            <w:lang w:eastAsia="ru-RU"/>
          </w:rPr>
          <w:tab/>
        </w:r>
        <w:r w:rsidRPr="00B44B9B">
          <w:rPr>
            <w:rStyle w:val="af5"/>
          </w:rPr>
          <w:t>Отчет «Информация о расходах федерального бюджета в разрезе объектов ФАИП»</w:t>
        </w:r>
        <w:r>
          <w:rPr>
            <w:webHidden/>
          </w:rPr>
          <w:tab/>
        </w:r>
        <w:r>
          <w:rPr>
            <w:webHidden/>
          </w:rPr>
          <w:fldChar w:fldCharType="begin"/>
        </w:r>
        <w:r>
          <w:rPr>
            <w:webHidden/>
          </w:rPr>
          <w:instrText xml:space="preserve"> PAGEREF _Toc119585131 \h </w:instrText>
        </w:r>
        <w:r>
          <w:rPr>
            <w:webHidden/>
          </w:rPr>
        </w:r>
        <w:r>
          <w:rPr>
            <w:webHidden/>
          </w:rPr>
          <w:fldChar w:fldCharType="separate"/>
        </w:r>
        <w:r>
          <w:rPr>
            <w:webHidden/>
          </w:rPr>
          <w:t>892</w:t>
        </w:r>
        <w:r>
          <w:rPr>
            <w:webHidden/>
          </w:rPr>
          <w:fldChar w:fldCharType="end"/>
        </w:r>
      </w:hyperlink>
    </w:p>
    <w:p w:rsidR="00DD2822" w:rsidRDefault="00DD2822">
      <w:pPr>
        <w:pStyle w:val="3d"/>
        <w:tabs>
          <w:tab w:val="left" w:pos="1440"/>
        </w:tabs>
        <w:rPr>
          <w:rFonts w:asciiTheme="minorHAnsi" w:eastAsiaTheme="minorEastAsia" w:hAnsiTheme="minorHAnsi" w:cstheme="minorBidi"/>
          <w:sz w:val="22"/>
          <w:szCs w:val="22"/>
          <w:lang w:eastAsia="ru-RU"/>
        </w:rPr>
      </w:pPr>
      <w:hyperlink w:anchor="_Toc119585132" w:history="1">
        <w:r w:rsidRPr="00B44B9B">
          <w:rPr>
            <w:rStyle w:val="af5"/>
          </w:rPr>
          <w:t>7.9.9</w:t>
        </w:r>
        <w:r>
          <w:rPr>
            <w:rFonts w:asciiTheme="minorHAnsi" w:eastAsiaTheme="minorEastAsia" w:hAnsiTheme="minorHAnsi" w:cstheme="minorBidi"/>
            <w:sz w:val="22"/>
            <w:szCs w:val="22"/>
            <w:lang w:eastAsia="ru-RU"/>
          </w:rPr>
          <w:tab/>
        </w:r>
        <w:r w:rsidRPr="00B44B9B">
          <w:rPr>
            <w:rStyle w:val="af5"/>
          </w:rPr>
          <w:t>Отчет «Информация о доходах ФБ от возврата бюджетами бюджетной системы РФ МБТ, имеющих целевое назначение, прошлых лет»</w:t>
        </w:r>
        <w:r>
          <w:rPr>
            <w:webHidden/>
          </w:rPr>
          <w:tab/>
        </w:r>
        <w:r>
          <w:rPr>
            <w:webHidden/>
          </w:rPr>
          <w:fldChar w:fldCharType="begin"/>
        </w:r>
        <w:r>
          <w:rPr>
            <w:webHidden/>
          </w:rPr>
          <w:instrText xml:space="preserve"> PAGEREF _Toc119585132 \h </w:instrText>
        </w:r>
        <w:r>
          <w:rPr>
            <w:webHidden/>
          </w:rPr>
        </w:r>
        <w:r>
          <w:rPr>
            <w:webHidden/>
          </w:rPr>
          <w:fldChar w:fldCharType="separate"/>
        </w:r>
        <w:r>
          <w:rPr>
            <w:webHidden/>
          </w:rPr>
          <w:t>893</w:t>
        </w:r>
        <w:r>
          <w:rPr>
            <w:webHidden/>
          </w:rPr>
          <w:fldChar w:fldCharType="end"/>
        </w:r>
      </w:hyperlink>
    </w:p>
    <w:p w:rsidR="00DD2822" w:rsidRDefault="00DD2822">
      <w:pPr>
        <w:pStyle w:val="3d"/>
        <w:tabs>
          <w:tab w:val="left" w:pos="1680"/>
        </w:tabs>
        <w:rPr>
          <w:rFonts w:asciiTheme="minorHAnsi" w:eastAsiaTheme="minorEastAsia" w:hAnsiTheme="minorHAnsi" w:cstheme="minorBidi"/>
          <w:sz w:val="22"/>
          <w:szCs w:val="22"/>
          <w:lang w:eastAsia="ru-RU"/>
        </w:rPr>
      </w:pPr>
      <w:hyperlink w:anchor="_Toc119585133" w:history="1">
        <w:r w:rsidRPr="00B44B9B">
          <w:rPr>
            <w:rStyle w:val="af5"/>
          </w:rPr>
          <w:t>7.9.10</w:t>
        </w:r>
        <w:r>
          <w:rPr>
            <w:rFonts w:asciiTheme="minorHAnsi" w:eastAsiaTheme="minorEastAsia" w:hAnsiTheme="minorHAnsi" w:cstheme="minorBidi"/>
            <w:sz w:val="22"/>
            <w:szCs w:val="22"/>
            <w:lang w:eastAsia="ru-RU"/>
          </w:rPr>
          <w:tab/>
        </w:r>
        <w:r w:rsidRPr="00B44B9B">
          <w:rPr>
            <w:rStyle w:val="af5"/>
          </w:rPr>
          <w:t>Отчет «Информация о возврате доходов ФБ от возврата бюджетами бюджетной системы РФ МБТ, имеющих целевое назначение, прошлых лет»</w:t>
        </w:r>
        <w:r>
          <w:rPr>
            <w:webHidden/>
          </w:rPr>
          <w:tab/>
        </w:r>
        <w:r>
          <w:rPr>
            <w:webHidden/>
          </w:rPr>
          <w:fldChar w:fldCharType="begin"/>
        </w:r>
        <w:r>
          <w:rPr>
            <w:webHidden/>
          </w:rPr>
          <w:instrText xml:space="preserve"> PAGEREF _Toc119585133 \h </w:instrText>
        </w:r>
        <w:r>
          <w:rPr>
            <w:webHidden/>
          </w:rPr>
        </w:r>
        <w:r>
          <w:rPr>
            <w:webHidden/>
          </w:rPr>
          <w:fldChar w:fldCharType="separate"/>
        </w:r>
        <w:r>
          <w:rPr>
            <w:webHidden/>
          </w:rPr>
          <w:t>895</w:t>
        </w:r>
        <w:r>
          <w:rPr>
            <w:webHidden/>
          </w:rPr>
          <w:fldChar w:fldCharType="end"/>
        </w:r>
      </w:hyperlink>
    </w:p>
    <w:p w:rsidR="00DD2822" w:rsidRDefault="00DD2822">
      <w:pPr>
        <w:pStyle w:val="3d"/>
        <w:tabs>
          <w:tab w:val="left" w:pos="1680"/>
        </w:tabs>
        <w:rPr>
          <w:rFonts w:asciiTheme="minorHAnsi" w:eastAsiaTheme="minorEastAsia" w:hAnsiTheme="minorHAnsi" w:cstheme="minorBidi"/>
          <w:sz w:val="22"/>
          <w:szCs w:val="22"/>
          <w:lang w:eastAsia="ru-RU"/>
        </w:rPr>
      </w:pPr>
      <w:hyperlink w:anchor="_Toc119585134" w:history="1">
        <w:r w:rsidRPr="00B44B9B">
          <w:rPr>
            <w:rStyle w:val="af5"/>
          </w:rPr>
          <w:t>7.9.11</w:t>
        </w:r>
        <w:r>
          <w:rPr>
            <w:rFonts w:asciiTheme="minorHAnsi" w:eastAsiaTheme="minorEastAsia" w:hAnsiTheme="minorHAnsi" w:cstheme="minorBidi"/>
            <w:sz w:val="22"/>
            <w:szCs w:val="22"/>
            <w:lang w:eastAsia="ru-RU"/>
          </w:rPr>
          <w:tab/>
        </w:r>
        <w:r w:rsidRPr="00B44B9B">
          <w:rPr>
            <w:rStyle w:val="af5"/>
          </w:rPr>
          <w:t>Отчет «Информация о движении МБТ представленных из ФБ бюджетам субъектов РФ на модернизацию дошкольного образования»</w:t>
        </w:r>
        <w:r>
          <w:rPr>
            <w:webHidden/>
          </w:rPr>
          <w:tab/>
        </w:r>
        <w:r>
          <w:rPr>
            <w:webHidden/>
          </w:rPr>
          <w:fldChar w:fldCharType="begin"/>
        </w:r>
        <w:r>
          <w:rPr>
            <w:webHidden/>
          </w:rPr>
          <w:instrText xml:space="preserve"> PAGEREF _Toc119585134 \h </w:instrText>
        </w:r>
        <w:r>
          <w:rPr>
            <w:webHidden/>
          </w:rPr>
        </w:r>
        <w:r>
          <w:rPr>
            <w:webHidden/>
          </w:rPr>
          <w:fldChar w:fldCharType="separate"/>
        </w:r>
        <w:r>
          <w:rPr>
            <w:webHidden/>
          </w:rPr>
          <w:t>897</w:t>
        </w:r>
        <w:r>
          <w:rPr>
            <w:webHidden/>
          </w:rPr>
          <w:fldChar w:fldCharType="end"/>
        </w:r>
      </w:hyperlink>
    </w:p>
    <w:p w:rsidR="00DD2822" w:rsidRDefault="00DD2822">
      <w:pPr>
        <w:pStyle w:val="3d"/>
        <w:tabs>
          <w:tab w:val="left" w:pos="1680"/>
        </w:tabs>
        <w:rPr>
          <w:rFonts w:asciiTheme="minorHAnsi" w:eastAsiaTheme="minorEastAsia" w:hAnsiTheme="minorHAnsi" w:cstheme="minorBidi"/>
          <w:sz w:val="22"/>
          <w:szCs w:val="22"/>
          <w:lang w:eastAsia="ru-RU"/>
        </w:rPr>
      </w:pPr>
      <w:hyperlink w:anchor="_Toc119585135" w:history="1">
        <w:r w:rsidRPr="00B44B9B">
          <w:rPr>
            <w:rStyle w:val="af5"/>
          </w:rPr>
          <w:t>7.9.12</w:t>
        </w:r>
        <w:r>
          <w:rPr>
            <w:rFonts w:asciiTheme="minorHAnsi" w:eastAsiaTheme="minorEastAsia" w:hAnsiTheme="minorHAnsi" w:cstheme="minorBidi"/>
            <w:sz w:val="22"/>
            <w:szCs w:val="22"/>
            <w:lang w:eastAsia="ru-RU"/>
          </w:rPr>
          <w:tab/>
        </w:r>
        <w:r w:rsidRPr="00B44B9B">
          <w:rPr>
            <w:rStyle w:val="af5"/>
          </w:rPr>
          <w:t>Отчет «Суммы выбытия свыше 1 млрд. руб.»</w:t>
        </w:r>
        <w:r>
          <w:rPr>
            <w:webHidden/>
          </w:rPr>
          <w:tab/>
        </w:r>
        <w:r>
          <w:rPr>
            <w:webHidden/>
          </w:rPr>
          <w:fldChar w:fldCharType="begin"/>
        </w:r>
        <w:r>
          <w:rPr>
            <w:webHidden/>
          </w:rPr>
          <w:instrText xml:space="preserve"> PAGEREF _Toc119585135 \h </w:instrText>
        </w:r>
        <w:r>
          <w:rPr>
            <w:webHidden/>
          </w:rPr>
        </w:r>
        <w:r>
          <w:rPr>
            <w:webHidden/>
          </w:rPr>
          <w:fldChar w:fldCharType="separate"/>
        </w:r>
        <w:r>
          <w:rPr>
            <w:webHidden/>
          </w:rPr>
          <w:t>898</w:t>
        </w:r>
        <w:r>
          <w:rPr>
            <w:webHidden/>
          </w:rPr>
          <w:fldChar w:fldCharType="end"/>
        </w:r>
      </w:hyperlink>
    </w:p>
    <w:p w:rsidR="00DD2822" w:rsidRDefault="00DD2822">
      <w:pPr>
        <w:pStyle w:val="3d"/>
        <w:tabs>
          <w:tab w:val="left" w:pos="1680"/>
        </w:tabs>
        <w:rPr>
          <w:rFonts w:asciiTheme="minorHAnsi" w:eastAsiaTheme="minorEastAsia" w:hAnsiTheme="minorHAnsi" w:cstheme="minorBidi"/>
          <w:sz w:val="22"/>
          <w:szCs w:val="22"/>
          <w:lang w:eastAsia="ru-RU"/>
        </w:rPr>
      </w:pPr>
      <w:hyperlink w:anchor="_Toc119585136" w:history="1">
        <w:r w:rsidRPr="00B44B9B">
          <w:rPr>
            <w:rStyle w:val="af5"/>
          </w:rPr>
          <w:t>7.9.13</w:t>
        </w:r>
        <w:r>
          <w:rPr>
            <w:rFonts w:asciiTheme="minorHAnsi" w:eastAsiaTheme="minorEastAsia" w:hAnsiTheme="minorHAnsi" w:cstheme="minorBidi"/>
            <w:sz w:val="22"/>
            <w:szCs w:val="22"/>
            <w:lang w:eastAsia="ru-RU"/>
          </w:rPr>
          <w:tab/>
        </w:r>
        <w:r w:rsidRPr="00B44B9B">
          <w:rPr>
            <w:rStyle w:val="af5"/>
          </w:rPr>
          <w:t>Отчет «Формирование и представление консолидированной отчетности в ПУиО»</w:t>
        </w:r>
        <w:r>
          <w:rPr>
            <w:webHidden/>
          </w:rPr>
          <w:tab/>
        </w:r>
        <w:r>
          <w:rPr>
            <w:webHidden/>
          </w:rPr>
          <w:fldChar w:fldCharType="begin"/>
        </w:r>
        <w:r>
          <w:rPr>
            <w:webHidden/>
          </w:rPr>
          <w:instrText xml:space="preserve"> PAGEREF _Toc119585136 \h </w:instrText>
        </w:r>
        <w:r>
          <w:rPr>
            <w:webHidden/>
          </w:rPr>
        </w:r>
        <w:r>
          <w:rPr>
            <w:webHidden/>
          </w:rPr>
          <w:fldChar w:fldCharType="separate"/>
        </w:r>
        <w:r>
          <w:rPr>
            <w:webHidden/>
          </w:rPr>
          <w:t>900</w:t>
        </w:r>
        <w:r>
          <w:rPr>
            <w:webHidden/>
          </w:rPr>
          <w:fldChar w:fldCharType="end"/>
        </w:r>
      </w:hyperlink>
    </w:p>
    <w:p w:rsidR="00DD2822" w:rsidRDefault="00DD2822">
      <w:pPr>
        <w:pStyle w:val="19"/>
        <w:tabs>
          <w:tab w:val="left" w:pos="629"/>
        </w:tabs>
        <w:rPr>
          <w:rFonts w:asciiTheme="minorHAnsi" w:eastAsiaTheme="minorEastAsia" w:hAnsiTheme="minorHAnsi" w:cstheme="minorBidi"/>
          <w:b w:val="0"/>
          <w:sz w:val="22"/>
          <w:szCs w:val="22"/>
          <w:lang w:eastAsia="ru-RU"/>
        </w:rPr>
      </w:pPr>
      <w:hyperlink w:anchor="_Toc119585137" w:history="1">
        <w:r w:rsidRPr="00B44B9B">
          <w:rPr>
            <w:rStyle w:val="af5"/>
          </w:rPr>
          <w:t>8.</w:t>
        </w:r>
        <w:r>
          <w:rPr>
            <w:rFonts w:asciiTheme="minorHAnsi" w:eastAsiaTheme="minorEastAsia" w:hAnsiTheme="minorHAnsi" w:cstheme="minorBidi"/>
            <w:b w:val="0"/>
            <w:sz w:val="22"/>
            <w:szCs w:val="22"/>
            <w:lang w:eastAsia="ru-RU"/>
          </w:rPr>
          <w:tab/>
        </w:r>
        <w:r w:rsidRPr="00B44B9B">
          <w:rPr>
            <w:rStyle w:val="af5"/>
          </w:rPr>
          <w:t>Действия в случае аварийных ситуаций</w:t>
        </w:r>
        <w:r>
          <w:rPr>
            <w:webHidden/>
          </w:rPr>
          <w:tab/>
        </w:r>
        <w:r>
          <w:rPr>
            <w:webHidden/>
          </w:rPr>
          <w:fldChar w:fldCharType="begin"/>
        </w:r>
        <w:r>
          <w:rPr>
            <w:webHidden/>
          </w:rPr>
          <w:instrText xml:space="preserve"> PAGEREF _Toc119585137 \h </w:instrText>
        </w:r>
        <w:r>
          <w:rPr>
            <w:webHidden/>
          </w:rPr>
        </w:r>
        <w:r>
          <w:rPr>
            <w:webHidden/>
          </w:rPr>
          <w:fldChar w:fldCharType="separate"/>
        </w:r>
        <w:r>
          <w:rPr>
            <w:webHidden/>
          </w:rPr>
          <w:t>902</w:t>
        </w:r>
        <w:r>
          <w:rPr>
            <w:webHidden/>
          </w:rPr>
          <w:fldChar w:fldCharType="end"/>
        </w:r>
      </w:hyperlink>
    </w:p>
    <w:p w:rsidR="00DD2822" w:rsidRDefault="00DD2822">
      <w:pPr>
        <w:pStyle w:val="19"/>
        <w:tabs>
          <w:tab w:val="left" w:pos="629"/>
        </w:tabs>
        <w:rPr>
          <w:rFonts w:asciiTheme="minorHAnsi" w:eastAsiaTheme="minorEastAsia" w:hAnsiTheme="minorHAnsi" w:cstheme="minorBidi"/>
          <w:b w:val="0"/>
          <w:sz w:val="22"/>
          <w:szCs w:val="22"/>
          <w:lang w:eastAsia="ru-RU"/>
        </w:rPr>
      </w:pPr>
      <w:hyperlink w:anchor="_Toc119585138" w:history="1">
        <w:r w:rsidRPr="00B44B9B">
          <w:rPr>
            <w:rStyle w:val="af5"/>
          </w:rPr>
          <w:t>9.</w:t>
        </w:r>
        <w:r>
          <w:rPr>
            <w:rFonts w:asciiTheme="minorHAnsi" w:eastAsiaTheme="minorEastAsia" w:hAnsiTheme="minorHAnsi" w:cstheme="minorBidi"/>
            <w:b w:val="0"/>
            <w:sz w:val="22"/>
            <w:szCs w:val="22"/>
            <w:lang w:eastAsia="ru-RU"/>
          </w:rPr>
          <w:tab/>
        </w:r>
        <w:r w:rsidRPr="00B44B9B">
          <w:rPr>
            <w:rStyle w:val="af5"/>
          </w:rPr>
          <w:t>Рекомендации по освоению</w:t>
        </w:r>
        <w:r>
          <w:rPr>
            <w:webHidden/>
          </w:rPr>
          <w:tab/>
        </w:r>
        <w:r>
          <w:rPr>
            <w:webHidden/>
          </w:rPr>
          <w:fldChar w:fldCharType="begin"/>
        </w:r>
        <w:r>
          <w:rPr>
            <w:webHidden/>
          </w:rPr>
          <w:instrText xml:space="preserve"> PAGEREF _Toc119585138 \h </w:instrText>
        </w:r>
        <w:r>
          <w:rPr>
            <w:webHidden/>
          </w:rPr>
        </w:r>
        <w:r>
          <w:rPr>
            <w:webHidden/>
          </w:rPr>
          <w:fldChar w:fldCharType="separate"/>
        </w:r>
        <w:r>
          <w:rPr>
            <w:webHidden/>
          </w:rPr>
          <w:t>903</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139" w:history="1">
        <w:r w:rsidRPr="00B44B9B">
          <w:rPr>
            <w:rStyle w:val="af5"/>
          </w:rPr>
          <w:t>Составили</w:t>
        </w:r>
        <w:r>
          <w:rPr>
            <w:webHidden/>
          </w:rPr>
          <w:tab/>
        </w:r>
        <w:r>
          <w:rPr>
            <w:webHidden/>
          </w:rPr>
          <w:fldChar w:fldCharType="begin"/>
        </w:r>
        <w:r>
          <w:rPr>
            <w:webHidden/>
          </w:rPr>
          <w:instrText xml:space="preserve"> PAGEREF _Toc119585139 \h </w:instrText>
        </w:r>
        <w:r>
          <w:rPr>
            <w:webHidden/>
          </w:rPr>
        </w:r>
        <w:r>
          <w:rPr>
            <w:webHidden/>
          </w:rPr>
          <w:fldChar w:fldCharType="separate"/>
        </w:r>
        <w:r>
          <w:rPr>
            <w:webHidden/>
          </w:rPr>
          <w:t>904</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140" w:history="1">
        <w:r w:rsidRPr="00B44B9B">
          <w:rPr>
            <w:rStyle w:val="af5"/>
          </w:rPr>
          <w:t>Согласовано</w:t>
        </w:r>
        <w:r>
          <w:rPr>
            <w:webHidden/>
          </w:rPr>
          <w:tab/>
        </w:r>
        <w:r>
          <w:rPr>
            <w:webHidden/>
          </w:rPr>
          <w:fldChar w:fldCharType="begin"/>
        </w:r>
        <w:r>
          <w:rPr>
            <w:webHidden/>
          </w:rPr>
          <w:instrText xml:space="preserve"> PAGEREF _Toc119585140 \h </w:instrText>
        </w:r>
        <w:r>
          <w:rPr>
            <w:webHidden/>
          </w:rPr>
        </w:r>
        <w:r>
          <w:rPr>
            <w:webHidden/>
          </w:rPr>
          <w:fldChar w:fldCharType="separate"/>
        </w:r>
        <w:r>
          <w:rPr>
            <w:webHidden/>
          </w:rPr>
          <w:t>905</w:t>
        </w:r>
        <w:r>
          <w:rPr>
            <w:webHidden/>
          </w:rPr>
          <w:fldChar w:fldCharType="end"/>
        </w:r>
      </w:hyperlink>
    </w:p>
    <w:p w:rsidR="00DD2822" w:rsidRDefault="00DD2822">
      <w:pPr>
        <w:pStyle w:val="19"/>
        <w:rPr>
          <w:rFonts w:asciiTheme="minorHAnsi" w:eastAsiaTheme="minorEastAsia" w:hAnsiTheme="minorHAnsi" w:cstheme="minorBidi"/>
          <w:b w:val="0"/>
          <w:sz w:val="22"/>
          <w:szCs w:val="22"/>
          <w:lang w:eastAsia="ru-RU"/>
        </w:rPr>
      </w:pPr>
      <w:hyperlink w:anchor="_Toc119585141" w:history="1">
        <w:r w:rsidRPr="00B44B9B">
          <w:rPr>
            <w:rStyle w:val="af5"/>
          </w:rPr>
          <w:t>Лист регистрации изменений</w:t>
        </w:r>
        <w:r>
          <w:rPr>
            <w:webHidden/>
          </w:rPr>
          <w:tab/>
        </w:r>
        <w:r>
          <w:rPr>
            <w:webHidden/>
          </w:rPr>
          <w:fldChar w:fldCharType="begin"/>
        </w:r>
        <w:r>
          <w:rPr>
            <w:webHidden/>
          </w:rPr>
          <w:instrText xml:space="preserve"> PAGEREF _Toc119585141 \h </w:instrText>
        </w:r>
        <w:r>
          <w:rPr>
            <w:webHidden/>
          </w:rPr>
        </w:r>
        <w:r>
          <w:rPr>
            <w:webHidden/>
          </w:rPr>
          <w:fldChar w:fldCharType="separate"/>
        </w:r>
        <w:r>
          <w:rPr>
            <w:webHidden/>
          </w:rPr>
          <w:t>906</w:t>
        </w:r>
        <w:r>
          <w:rPr>
            <w:webHidden/>
          </w:rPr>
          <w:fldChar w:fldCharType="end"/>
        </w:r>
      </w:hyperlink>
    </w:p>
    <w:p w:rsidR="00A245C1" w:rsidRPr="00E06755" w:rsidRDefault="000F161A" w:rsidP="000F161A">
      <w:pPr>
        <w:pStyle w:val="af6"/>
      </w:pPr>
      <w:r>
        <w:rPr>
          <w:rFonts w:ascii="Times New Roman" w:hAnsi="Times New Roman"/>
          <w:bCs w:val="0"/>
          <w:noProof/>
          <w:snapToGrid/>
          <w:color w:val="auto"/>
          <w:sz w:val="28"/>
          <w:lang w:eastAsia="en-US"/>
        </w:rPr>
        <w:fldChar w:fldCharType="end"/>
      </w:r>
      <w:r w:rsidR="00D55811" w:rsidRPr="00E06755">
        <w:br w:type="page"/>
      </w:r>
      <w:bookmarkStart w:id="2" w:name="_Toc119585010"/>
      <w:r w:rsidR="00A245C1" w:rsidRPr="000F161A">
        <w:t>Перечень</w:t>
      </w:r>
      <w:r w:rsidR="00A245C1" w:rsidRPr="00E06755">
        <w:t xml:space="preserve"> таблиц</w:t>
      </w:r>
      <w:bookmarkStart w:id="3" w:name="_GoBack"/>
      <w:bookmarkEnd w:id="2"/>
      <w:bookmarkEnd w:id="3"/>
    </w:p>
    <w:p w:rsidR="00DD2822" w:rsidRDefault="00DD5520">
      <w:pPr>
        <w:pStyle w:val="aff7"/>
        <w:rPr>
          <w:rFonts w:asciiTheme="minorHAnsi" w:eastAsiaTheme="minorEastAsia" w:hAnsiTheme="minorHAnsi" w:cstheme="minorBidi"/>
          <w:snapToGrid/>
          <w:color w:val="auto"/>
          <w:sz w:val="22"/>
          <w:szCs w:val="22"/>
        </w:rPr>
      </w:pPr>
      <w:r w:rsidRPr="00E06755">
        <w:fldChar w:fldCharType="begin"/>
      </w:r>
      <w:r w:rsidR="00A245C1" w:rsidRPr="00E06755">
        <w:instrText xml:space="preserve"> TOC \h \z \c "Таблица" </w:instrText>
      </w:r>
      <w:r w:rsidRPr="00E06755">
        <w:fldChar w:fldCharType="separate"/>
      </w:r>
      <w:hyperlink w:anchor="_Toc119585142" w:history="1">
        <w:r w:rsidR="00DD2822" w:rsidRPr="00F84421">
          <w:rPr>
            <w:rStyle w:val="af5"/>
          </w:rPr>
          <w:t>Таблица 1 – Описание функциональных кнопок бокового меню консоли</w:t>
        </w:r>
        <w:r w:rsidR="00DD2822">
          <w:rPr>
            <w:webHidden/>
          </w:rPr>
          <w:tab/>
        </w:r>
        <w:r w:rsidR="00DD2822">
          <w:rPr>
            <w:webHidden/>
          </w:rPr>
          <w:fldChar w:fldCharType="begin"/>
        </w:r>
        <w:r w:rsidR="00DD2822">
          <w:rPr>
            <w:webHidden/>
          </w:rPr>
          <w:instrText xml:space="preserve"> PAGEREF _Toc119585142 \h </w:instrText>
        </w:r>
        <w:r w:rsidR="00DD2822">
          <w:rPr>
            <w:webHidden/>
          </w:rPr>
        </w:r>
        <w:r w:rsidR="00DD2822">
          <w:rPr>
            <w:webHidden/>
          </w:rPr>
          <w:fldChar w:fldCharType="separate"/>
        </w:r>
        <w:r w:rsidR="00DD2822">
          <w:rPr>
            <w:webHidden/>
          </w:rPr>
          <w:t>76</w:t>
        </w:r>
        <w:r w:rsidR="00DD2822">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3" w:history="1">
        <w:r w:rsidRPr="00F84421">
          <w:rPr>
            <w:rStyle w:val="af5"/>
          </w:rPr>
          <w:t>Таблица 2 – Перечень аналитических отчетов витрины «Кассовое планирование и прогнозирование исполнения федерального бюджета» и соответствующих таблиц БД</w:t>
        </w:r>
        <w:r>
          <w:rPr>
            <w:webHidden/>
          </w:rPr>
          <w:tab/>
        </w:r>
        <w:r>
          <w:rPr>
            <w:webHidden/>
          </w:rPr>
          <w:fldChar w:fldCharType="begin"/>
        </w:r>
        <w:r>
          <w:rPr>
            <w:webHidden/>
          </w:rPr>
          <w:instrText xml:space="preserve"> PAGEREF _Toc119585143 \h </w:instrText>
        </w:r>
        <w:r>
          <w:rPr>
            <w:webHidden/>
          </w:rPr>
        </w:r>
        <w:r>
          <w:rPr>
            <w:webHidden/>
          </w:rPr>
          <w:fldChar w:fldCharType="separate"/>
        </w:r>
        <w:r>
          <w:rPr>
            <w:webHidden/>
          </w:rPr>
          <w:t>114</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4" w:history="1">
        <w:r w:rsidRPr="00F84421">
          <w:rPr>
            <w:rStyle w:val="af5"/>
          </w:rPr>
          <w:t>Таблица 3 – Перечень аналитических отчетов витрины «Исполнение федерального бюджета» и соответствующих таблиц БД</w:t>
        </w:r>
        <w:r>
          <w:rPr>
            <w:webHidden/>
          </w:rPr>
          <w:tab/>
        </w:r>
        <w:r>
          <w:rPr>
            <w:webHidden/>
          </w:rPr>
          <w:fldChar w:fldCharType="begin"/>
        </w:r>
        <w:r>
          <w:rPr>
            <w:webHidden/>
          </w:rPr>
          <w:instrText xml:space="preserve"> PAGEREF _Toc119585144 \h </w:instrText>
        </w:r>
        <w:r>
          <w:rPr>
            <w:webHidden/>
          </w:rPr>
        </w:r>
        <w:r>
          <w:rPr>
            <w:webHidden/>
          </w:rPr>
          <w:fldChar w:fldCharType="separate"/>
        </w:r>
        <w:r>
          <w:rPr>
            <w:webHidden/>
          </w:rPr>
          <w:t>151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5" w:history="1">
        <w:r w:rsidRPr="00F84421">
          <w:rPr>
            <w:rStyle w:val="af5"/>
          </w:rPr>
          <w:t>Таблица 4 – Перечень граф отчета «Исполнение федерального бюджета по расходам в разрезе бюджетополучателей»</w:t>
        </w:r>
        <w:r>
          <w:rPr>
            <w:webHidden/>
          </w:rPr>
          <w:tab/>
        </w:r>
        <w:r>
          <w:rPr>
            <w:webHidden/>
          </w:rPr>
          <w:fldChar w:fldCharType="begin"/>
        </w:r>
        <w:r>
          <w:rPr>
            <w:webHidden/>
          </w:rPr>
          <w:instrText xml:space="preserve"> PAGEREF _Toc119585145 \h </w:instrText>
        </w:r>
        <w:r>
          <w:rPr>
            <w:webHidden/>
          </w:rPr>
        </w:r>
        <w:r>
          <w:rPr>
            <w:webHidden/>
          </w:rPr>
          <w:fldChar w:fldCharType="separate"/>
        </w:r>
        <w:r>
          <w:rPr>
            <w:webHidden/>
          </w:rPr>
          <w:t>180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6" w:history="1">
        <w:r w:rsidRPr="00F84421">
          <w:rPr>
            <w:rStyle w:val="af5"/>
          </w:rPr>
          <w:t>Таблица 5 – Правила заполнения «Мониторинг описей (Свод)»:</w:t>
        </w:r>
        <w:r>
          <w:rPr>
            <w:webHidden/>
          </w:rPr>
          <w:tab/>
        </w:r>
        <w:r>
          <w:rPr>
            <w:webHidden/>
          </w:rPr>
          <w:fldChar w:fldCharType="begin"/>
        </w:r>
        <w:r>
          <w:rPr>
            <w:webHidden/>
          </w:rPr>
          <w:instrText xml:space="preserve"> PAGEREF _Toc119585146 \h </w:instrText>
        </w:r>
        <w:r>
          <w:rPr>
            <w:webHidden/>
          </w:rPr>
        </w:r>
        <w:r>
          <w:rPr>
            <w:webHidden/>
          </w:rPr>
          <w:fldChar w:fldCharType="separate"/>
        </w:r>
        <w:r>
          <w:rPr>
            <w:webHidden/>
          </w:rPr>
          <w:t>196</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7" w:history="1">
        <w:r w:rsidRPr="00F84421">
          <w:rPr>
            <w:rStyle w:val="af5"/>
          </w:rPr>
          <w:t>Таблица 6 – Правила заполнения «Мониторинг описей (Детализация)»:</w:t>
        </w:r>
        <w:r>
          <w:rPr>
            <w:webHidden/>
          </w:rPr>
          <w:tab/>
        </w:r>
        <w:r>
          <w:rPr>
            <w:webHidden/>
          </w:rPr>
          <w:fldChar w:fldCharType="begin"/>
        </w:r>
        <w:r>
          <w:rPr>
            <w:webHidden/>
          </w:rPr>
          <w:instrText xml:space="preserve"> PAGEREF _Toc119585147 \h </w:instrText>
        </w:r>
        <w:r>
          <w:rPr>
            <w:webHidden/>
          </w:rPr>
        </w:r>
        <w:r>
          <w:rPr>
            <w:webHidden/>
          </w:rPr>
          <w:fldChar w:fldCharType="separate"/>
        </w:r>
        <w:r>
          <w:rPr>
            <w:webHidden/>
          </w:rPr>
          <w:t>199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8" w:history="1">
        <w:r w:rsidRPr="00F84421">
          <w:rPr>
            <w:rStyle w:val="af5"/>
          </w:rPr>
          <w:t>Таблица 7 – Правила заполнения «Мониторинг типов документов»:</w:t>
        </w:r>
        <w:r>
          <w:rPr>
            <w:webHidden/>
          </w:rPr>
          <w:tab/>
        </w:r>
        <w:r>
          <w:rPr>
            <w:webHidden/>
          </w:rPr>
          <w:fldChar w:fldCharType="begin"/>
        </w:r>
        <w:r>
          <w:rPr>
            <w:webHidden/>
          </w:rPr>
          <w:instrText xml:space="preserve"> PAGEREF _Toc119585148 \h </w:instrText>
        </w:r>
        <w:r>
          <w:rPr>
            <w:webHidden/>
          </w:rPr>
        </w:r>
        <w:r>
          <w:rPr>
            <w:webHidden/>
          </w:rPr>
          <w:fldChar w:fldCharType="separate"/>
        </w:r>
        <w:r>
          <w:rPr>
            <w:webHidden/>
          </w:rPr>
          <w:t>200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49" w:history="1">
        <w:r w:rsidRPr="00F84421">
          <w:rPr>
            <w:rStyle w:val="af5"/>
          </w:rPr>
          <w:t>Таблица 8 – Правила заполнения «Мониторинг в разрезе КБК»:</w:t>
        </w:r>
        <w:r>
          <w:rPr>
            <w:webHidden/>
          </w:rPr>
          <w:tab/>
        </w:r>
        <w:r>
          <w:rPr>
            <w:webHidden/>
          </w:rPr>
          <w:fldChar w:fldCharType="begin"/>
        </w:r>
        <w:r>
          <w:rPr>
            <w:webHidden/>
          </w:rPr>
          <w:instrText xml:space="preserve"> PAGEREF _Toc119585149 \h </w:instrText>
        </w:r>
        <w:r>
          <w:rPr>
            <w:webHidden/>
          </w:rPr>
        </w:r>
        <w:r>
          <w:rPr>
            <w:webHidden/>
          </w:rPr>
          <w:fldChar w:fldCharType="separate"/>
        </w:r>
        <w:r>
          <w:rPr>
            <w:webHidden/>
          </w:rPr>
          <w:t>201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0" w:history="1">
        <w:r w:rsidRPr="00F84421">
          <w:rPr>
            <w:rStyle w:val="af5"/>
          </w:rPr>
          <w:t>Таблица 9 – Правила формирования таблицы представления «Общая информация (с плановыми периодами/ без плановых периодов)»</w:t>
        </w:r>
        <w:r>
          <w:rPr>
            <w:webHidden/>
          </w:rPr>
          <w:tab/>
        </w:r>
        <w:r>
          <w:rPr>
            <w:webHidden/>
          </w:rPr>
          <w:fldChar w:fldCharType="begin"/>
        </w:r>
        <w:r>
          <w:rPr>
            <w:webHidden/>
          </w:rPr>
          <w:instrText xml:space="preserve"> PAGEREF _Toc119585150 \h </w:instrText>
        </w:r>
        <w:r>
          <w:rPr>
            <w:webHidden/>
          </w:rPr>
        </w:r>
        <w:r>
          <w:rPr>
            <w:webHidden/>
          </w:rPr>
          <w:fldChar w:fldCharType="separate"/>
        </w:r>
        <w:r>
          <w:rPr>
            <w:webHidden/>
          </w:rPr>
          <w:t>207</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1" w:history="1">
        <w:r w:rsidRPr="00F84421">
          <w:rPr>
            <w:rStyle w:val="af5"/>
          </w:rPr>
          <w:t>Таблица 10 – Правила формирования таблицы представления «По объектам ФАИП/ОКС (с плановыми периодами/ без плановых периодов)»</w:t>
        </w:r>
        <w:r>
          <w:rPr>
            <w:webHidden/>
          </w:rPr>
          <w:tab/>
        </w:r>
        <w:r>
          <w:rPr>
            <w:webHidden/>
          </w:rPr>
          <w:fldChar w:fldCharType="begin"/>
        </w:r>
        <w:r>
          <w:rPr>
            <w:webHidden/>
          </w:rPr>
          <w:instrText xml:space="preserve"> PAGEREF _Toc119585151 \h </w:instrText>
        </w:r>
        <w:r>
          <w:rPr>
            <w:webHidden/>
          </w:rPr>
        </w:r>
        <w:r>
          <w:rPr>
            <w:webHidden/>
          </w:rPr>
          <w:fldChar w:fldCharType="separate"/>
        </w:r>
        <w:r>
          <w:rPr>
            <w:webHidden/>
          </w:rPr>
          <w:t>210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2" w:history="1">
        <w:r w:rsidRPr="00F84421">
          <w:rPr>
            <w:rStyle w:val="af5"/>
          </w:rPr>
          <w:t>Таблица 11 – Правила формирования таблицы представления «Информация по ОКС в разрезе субъектов РФ»</w:t>
        </w:r>
        <w:r>
          <w:rPr>
            <w:webHidden/>
          </w:rPr>
          <w:tab/>
        </w:r>
        <w:r>
          <w:rPr>
            <w:webHidden/>
          </w:rPr>
          <w:fldChar w:fldCharType="begin"/>
        </w:r>
        <w:r>
          <w:rPr>
            <w:webHidden/>
          </w:rPr>
          <w:instrText xml:space="preserve"> PAGEREF _Toc119585152 \h </w:instrText>
        </w:r>
        <w:r>
          <w:rPr>
            <w:webHidden/>
          </w:rPr>
        </w:r>
        <w:r>
          <w:rPr>
            <w:webHidden/>
          </w:rPr>
          <w:fldChar w:fldCharType="separate"/>
        </w:r>
        <w:r>
          <w:rPr>
            <w:webHidden/>
          </w:rPr>
          <w:t>213</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3" w:history="1">
        <w:r w:rsidRPr="00F84421">
          <w:rPr>
            <w:rStyle w:val="af5"/>
          </w:rPr>
          <w:t>Таблица 12 – Правила формирования таблицы представления «Информация по ОКС в разрезе субъектов РФ»</w:t>
        </w:r>
        <w:r>
          <w:rPr>
            <w:webHidden/>
          </w:rPr>
          <w:tab/>
        </w:r>
        <w:r>
          <w:rPr>
            <w:webHidden/>
          </w:rPr>
          <w:fldChar w:fldCharType="begin"/>
        </w:r>
        <w:r>
          <w:rPr>
            <w:webHidden/>
          </w:rPr>
          <w:instrText xml:space="preserve"> PAGEREF _Toc119585153 \h </w:instrText>
        </w:r>
        <w:r>
          <w:rPr>
            <w:webHidden/>
          </w:rPr>
        </w:r>
        <w:r>
          <w:rPr>
            <w:webHidden/>
          </w:rPr>
          <w:fldChar w:fldCharType="separate"/>
        </w:r>
        <w:r>
          <w:rPr>
            <w:webHidden/>
          </w:rPr>
          <w:t>218</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4" w:history="1">
        <w:r w:rsidRPr="00F84421">
          <w:rPr>
            <w:rStyle w:val="af5"/>
          </w:rPr>
          <w:t>Таблица 13 – Контроли в отчете «Мониторинг качества данных отчета по исполнению ФАИП и ОКС»</w:t>
        </w:r>
        <w:r>
          <w:rPr>
            <w:webHidden/>
          </w:rPr>
          <w:tab/>
        </w:r>
        <w:r>
          <w:rPr>
            <w:webHidden/>
          </w:rPr>
          <w:fldChar w:fldCharType="begin"/>
        </w:r>
        <w:r>
          <w:rPr>
            <w:webHidden/>
          </w:rPr>
          <w:instrText xml:space="preserve"> PAGEREF _Toc119585154 \h </w:instrText>
        </w:r>
        <w:r>
          <w:rPr>
            <w:webHidden/>
          </w:rPr>
        </w:r>
        <w:r>
          <w:rPr>
            <w:webHidden/>
          </w:rPr>
          <w:fldChar w:fldCharType="separate"/>
        </w:r>
        <w:r>
          <w:rPr>
            <w:webHidden/>
          </w:rPr>
          <w:t>221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5" w:history="1">
        <w:r w:rsidRPr="00F84421">
          <w:rPr>
            <w:rStyle w:val="af5"/>
          </w:rPr>
          <w:t>Таблица 14 – Показатели блока «Доходы федерального бюджета»</w:t>
        </w:r>
        <w:r>
          <w:rPr>
            <w:webHidden/>
          </w:rPr>
          <w:tab/>
        </w:r>
        <w:r>
          <w:rPr>
            <w:webHidden/>
          </w:rPr>
          <w:fldChar w:fldCharType="begin"/>
        </w:r>
        <w:r>
          <w:rPr>
            <w:webHidden/>
          </w:rPr>
          <w:instrText xml:space="preserve"> PAGEREF _Toc119585155 \h </w:instrText>
        </w:r>
        <w:r>
          <w:rPr>
            <w:webHidden/>
          </w:rPr>
        </w:r>
        <w:r>
          <w:rPr>
            <w:webHidden/>
          </w:rPr>
          <w:fldChar w:fldCharType="separate"/>
        </w:r>
        <w:r>
          <w:rPr>
            <w:webHidden/>
          </w:rPr>
          <w:t>225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6" w:history="1">
        <w:r w:rsidRPr="00F84421">
          <w:rPr>
            <w:rStyle w:val="af5"/>
          </w:rPr>
          <w:t>Таблица 15 – Показатели блока «Расходы федерального бюджета»</w:t>
        </w:r>
        <w:r>
          <w:rPr>
            <w:webHidden/>
          </w:rPr>
          <w:tab/>
        </w:r>
        <w:r>
          <w:rPr>
            <w:webHidden/>
          </w:rPr>
          <w:fldChar w:fldCharType="begin"/>
        </w:r>
        <w:r>
          <w:rPr>
            <w:webHidden/>
          </w:rPr>
          <w:instrText xml:space="preserve"> PAGEREF _Toc119585156 \h </w:instrText>
        </w:r>
        <w:r>
          <w:rPr>
            <w:webHidden/>
          </w:rPr>
        </w:r>
        <w:r>
          <w:rPr>
            <w:webHidden/>
          </w:rPr>
          <w:fldChar w:fldCharType="separate"/>
        </w:r>
        <w:r>
          <w:rPr>
            <w:webHidden/>
          </w:rPr>
          <w:t>226</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7" w:history="1">
        <w:r w:rsidRPr="00F84421">
          <w:rPr>
            <w:rStyle w:val="af5"/>
          </w:rPr>
          <w:t>Таблица 16 – Показатели блока «Дефицит/профицит бюджета»</w:t>
        </w:r>
        <w:r>
          <w:rPr>
            <w:webHidden/>
          </w:rPr>
          <w:tab/>
        </w:r>
        <w:r>
          <w:rPr>
            <w:webHidden/>
          </w:rPr>
          <w:fldChar w:fldCharType="begin"/>
        </w:r>
        <w:r>
          <w:rPr>
            <w:webHidden/>
          </w:rPr>
          <w:instrText xml:space="preserve"> PAGEREF _Toc119585157 \h </w:instrText>
        </w:r>
        <w:r>
          <w:rPr>
            <w:webHidden/>
          </w:rPr>
        </w:r>
        <w:r>
          <w:rPr>
            <w:webHidden/>
          </w:rPr>
          <w:fldChar w:fldCharType="separate"/>
        </w:r>
        <w:r>
          <w:rPr>
            <w:webHidden/>
          </w:rPr>
          <w:t>227</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8" w:history="1">
        <w:r w:rsidRPr="00F84421">
          <w:rPr>
            <w:rStyle w:val="af5"/>
          </w:rPr>
          <w:t>Таблица 17 – Показатели блока «Риски по доходам»</w:t>
        </w:r>
        <w:r>
          <w:rPr>
            <w:webHidden/>
          </w:rPr>
          <w:tab/>
        </w:r>
        <w:r>
          <w:rPr>
            <w:webHidden/>
          </w:rPr>
          <w:fldChar w:fldCharType="begin"/>
        </w:r>
        <w:r>
          <w:rPr>
            <w:webHidden/>
          </w:rPr>
          <w:instrText xml:space="preserve"> PAGEREF _Toc119585158 \h </w:instrText>
        </w:r>
        <w:r>
          <w:rPr>
            <w:webHidden/>
          </w:rPr>
        </w:r>
        <w:r>
          <w:rPr>
            <w:webHidden/>
          </w:rPr>
          <w:fldChar w:fldCharType="separate"/>
        </w:r>
        <w:r>
          <w:rPr>
            <w:webHidden/>
          </w:rPr>
          <w:t>228</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59" w:history="1">
        <w:r w:rsidRPr="00F84421">
          <w:rPr>
            <w:rStyle w:val="af5"/>
          </w:rPr>
          <w:t>Таблица 18 – Блок «Риски по расходам» (открытые данные)</w:t>
        </w:r>
        <w:r>
          <w:rPr>
            <w:webHidden/>
          </w:rPr>
          <w:tab/>
        </w:r>
        <w:r>
          <w:rPr>
            <w:webHidden/>
          </w:rPr>
          <w:fldChar w:fldCharType="begin"/>
        </w:r>
        <w:r>
          <w:rPr>
            <w:webHidden/>
          </w:rPr>
          <w:instrText xml:space="preserve"> PAGEREF _Toc119585159 \h </w:instrText>
        </w:r>
        <w:r>
          <w:rPr>
            <w:webHidden/>
          </w:rPr>
        </w:r>
        <w:r>
          <w:rPr>
            <w:webHidden/>
          </w:rPr>
          <w:fldChar w:fldCharType="separate"/>
        </w:r>
        <w:r>
          <w:rPr>
            <w:webHidden/>
          </w:rPr>
          <w:t>228</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0" w:history="1">
        <w:r w:rsidRPr="00F84421">
          <w:rPr>
            <w:rStyle w:val="af5"/>
          </w:rPr>
          <w:t>Таблица 19 – Показатели блока «Отклонение от прогноза по доходам»</w:t>
        </w:r>
        <w:r>
          <w:rPr>
            <w:webHidden/>
          </w:rPr>
          <w:tab/>
        </w:r>
        <w:r>
          <w:rPr>
            <w:webHidden/>
          </w:rPr>
          <w:fldChar w:fldCharType="begin"/>
        </w:r>
        <w:r>
          <w:rPr>
            <w:webHidden/>
          </w:rPr>
          <w:instrText xml:space="preserve"> PAGEREF _Toc119585160 \h </w:instrText>
        </w:r>
        <w:r>
          <w:rPr>
            <w:webHidden/>
          </w:rPr>
        </w:r>
        <w:r>
          <w:rPr>
            <w:webHidden/>
          </w:rPr>
          <w:fldChar w:fldCharType="separate"/>
        </w:r>
        <w:r>
          <w:rPr>
            <w:webHidden/>
          </w:rPr>
          <w:t>229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1" w:history="1">
        <w:r w:rsidRPr="00F84421">
          <w:rPr>
            <w:rStyle w:val="af5"/>
          </w:rPr>
          <w:t>Таблица 20 – Показатели блока «Отклонение от росписи по расходам)</w:t>
        </w:r>
        <w:r>
          <w:rPr>
            <w:webHidden/>
          </w:rPr>
          <w:tab/>
        </w:r>
        <w:r>
          <w:rPr>
            <w:webHidden/>
          </w:rPr>
          <w:fldChar w:fldCharType="begin"/>
        </w:r>
        <w:r>
          <w:rPr>
            <w:webHidden/>
          </w:rPr>
          <w:instrText xml:space="preserve"> PAGEREF _Toc119585161 \h </w:instrText>
        </w:r>
        <w:r>
          <w:rPr>
            <w:webHidden/>
          </w:rPr>
        </w:r>
        <w:r>
          <w:rPr>
            <w:webHidden/>
          </w:rPr>
          <w:fldChar w:fldCharType="separate"/>
        </w:r>
        <w:r>
          <w:rPr>
            <w:webHidden/>
          </w:rPr>
          <w:t>229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2" w:history="1">
        <w:r w:rsidRPr="00F84421">
          <w:rPr>
            <w:rStyle w:val="af5"/>
          </w:rPr>
          <w:t>Таблица 21 – Показатели блока «ФИО вице-премьера» или блок «Иное»</w:t>
        </w:r>
        <w:r>
          <w:rPr>
            <w:webHidden/>
          </w:rPr>
          <w:tab/>
        </w:r>
        <w:r>
          <w:rPr>
            <w:webHidden/>
          </w:rPr>
          <w:fldChar w:fldCharType="begin"/>
        </w:r>
        <w:r>
          <w:rPr>
            <w:webHidden/>
          </w:rPr>
          <w:instrText xml:space="preserve"> PAGEREF _Toc119585162 \h </w:instrText>
        </w:r>
        <w:r>
          <w:rPr>
            <w:webHidden/>
          </w:rPr>
        </w:r>
        <w:r>
          <w:rPr>
            <w:webHidden/>
          </w:rPr>
          <w:fldChar w:fldCharType="separate"/>
        </w:r>
        <w:r>
          <w:rPr>
            <w:webHidden/>
          </w:rPr>
          <w:t>231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3" w:history="1">
        <w:r w:rsidRPr="00F84421">
          <w:rPr>
            <w:rStyle w:val="af5"/>
          </w:rPr>
          <w:t>Таблица 22 – Показатели представления «По ГАБС - Расходы»</w:t>
        </w:r>
        <w:r>
          <w:rPr>
            <w:webHidden/>
          </w:rPr>
          <w:tab/>
        </w:r>
        <w:r>
          <w:rPr>
            <w:webHidden/>
          </w:rPr>
          <w:fldChar w:fldCharType="begin"/>
        </w:r>
        <w:r>
          <w:rPr>
            <w:webHidden/>
          </w:rPr>
          <w:instrText xml:space="preserve"> PAGEREF _Toc119585163 \h </w:instrText>
        </w:r>
        <w:r>
          <w:rPr>
            <w:webHidden/>
          </w:rPr>
        </w:r>
        <w:r>
          <w:rPr>
            <w:webHidden/>
          </w:rPr>
          <w:fldChar w:fldCharType="separate"/>
        </w:r>
        <w:r>
          <w:rPr>
            <w:webHidden/>
          </w:rPr>
          <w:t>234</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4" w:history="1">
        <w:r w:rsidRPr="00F84421">
          <w:rPr>
            <w:rStyle w:val="af5"/>
          </w:rPr>
          <w:t>Таблица 23 – Показатели представление «По ГАБС - Доходы»</w:t>
        </w:r>
        <w:r>
          <w:rPr>
            <w:webHidden/>
          </w:rPr>
          <w:tab/>
        </w:r>
        <w:r>
          <w:rPr>
            <w:webHidden/>
          </w:rPr>
          <w:fldChar w:fldCharType="begin"/>
        </w:r>
        <w:r>
          <w:rPr>
            <w:webHidden/>
          </w:rPr>
          <w:instrText xml:space="preserve"> PAGEREF _Toc119585164 \h </w:instrText>
        </w:r>
        <w:r>
          <w:rPr>
            <w:webHidden/>
          </w:rPr>
        </w:r>
        <w:r>
          <w:rPr>
            <w:webHidden/>
          </w:rPr>
          <w:fldChar w:fldCharType="separate"/>
        </w:r>
        <w:r>
          <w:rPr>
            <w:webHidden/>
          </w:rPr>
          <w:t>241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5" w:history="1">
        <w:r w:rsidRPr="00F84421">
          <w:rPr>
            <w:rStyle w:val="af5"/>
          </w:rPr>
          <w:t>Таблица 24 – Параметры блока &lt;Наименование по группе видов расходов&gt;</w:t>
        </w:r>
        <w:r>
          <w:rPr>
            <w:webHidden/>
          </w:rPr>
          <w:tab/>
        </w:r>
        <w:r>
          <w:rPr>
            <w:webHidden/>
          </w:rPr>
          <w:fldChar w:fldCharType="begin"/>
        </w:r>
        <w:r>
          <w:rPr>
            <w:webHidden/>
          </w:rPr>
          <w:instrText xml:space="preserve"> PAGEREF _Toc119585165 \h </w:instrText>
        </w:r>
        <w:r>
          <w:rPr>
            <w:webHidden/>
          </w:rPr>
        </w:r>
        <w:r>
          <w:rPr>
            <w:webHidden/>
          </w:rPr>
          <w:fldChar w:fldCharType="separate"/>
        </w:r>
        <w:r>
          <w:rPr>
            <w:webHidden/>
          </w:rPr>
          <w:t>245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6" w:history="1">
        <w:r w:rsidRPr="00F84421">
          <w:rPr>
            <w:rStyle w:val="af5"/>
          </w:rPr>
          <w:t>Таблица 25 – Показатели представления «По этапам - Расходы»</w:t>
        </w:r>
        <w:r>
          <w:rPr>
            <w:webHidden/>
          </w:rPr>
          <w:tab/>
        </w:r>
        <w:r>
          <w:rPr>
            <w:webHidden/>
          </w:rPr>
          <w:fldChar w:fldCharType="begin"/>
        </w:r>
        <w:r>
          <w:rPr>
            <w:webHidden/>
          </w:rPr>
          <w:instrText xml:space="preserve"> PAGEREF _Toc119585166 \h </w:instrText>
        </w:r>
        <w:r>
          <w:rPr>
            <w:webHidden/>
          </w:rPr>
        </w:r>
        <w:r>
          <w:rPr>
            <w:webHidden/>
          </w:rPr>
          <w:fldChar w:fldCharType="separate"/>
        </w:r>
        <w:r>
          <w:rPr>
            <w:webHidden/>
          </w:rPr>
          <w:t>250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7" w:history="1">
        <w:r w:rsidRPr="00F84421">
          <w:rPr>
            <w:rStyle w:val="af5"/>
          </w:rPr>
          <w:t>Таблица 26 – Показатели Представления «По этапам - Доходы»</w:t>
        </w:r>
        <w:r>
          <w:rPr>
            <w:webHidden/>
          </w:rPr>
          <w:tab/>
        </w:r>
        <w:r>
          <w:rPr>
            <w:webHidden/>
          </w:rPr>
          <w:fldChar w:fldCharType="begin"/>
        </w:r>
        <w:r>
          <w:rPr>
            <w:webHidden/>
          </w:rPr>
          <w:instrText xml:space="preserve"> PAGEREF _Toc119585167 \h </w:instrText>
        </w:r>
        <w:r>
          <w:rPr>
            <w:webHidden/>
          </w:rPr>
        </w:r>
        <w:r>
          <w:rPr>
            <w:webHidden/>
          </w:rPr>
          <w:fldChar w:fldCharType="separate"/>
        </w:r>
        <w:r>
          <w:rPr>
            <w:webHidden/>
          </w:rPr>
          <w:t>261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8" w:history="1">
        <w:r w:rsidRPr="00F84421">
          <w:rPr>
            <w:rStyle w:val="af5"/>
          </w:rPr>
          <w:t>Таблица 27 – Перечень параметров отчета «Закупка товаров, работ, услуг Свод»</w:t>
        </w:r>
        <w:r>
          <w:rPr>
            <w:webHidden/>
          </w:rPr>
          <w:tab/>
        </w:r>
        <w:r>
          <w:rPr>
            <w:webHidden/>
          </w:rPr>
          <w:fldChar w:fldCharType="begin"/>
        </w:r>
        <w:r>
          <w:rPr>
            <w:webHidden/>
          </w:rPr>
          <w:instrText xml:space="preserve"> PAGEREF _Toc119585168 \h </w:instrText>
        </w:r>
        <w:r>
          <w:rPr>
            <w:webHidden/>
          </w:rPr>
        </w:r>
        <w:r>
          <w:rPr>
            <w:webHidden/>
          </w:rPr>
          <w:fldChar w:fldCharType="separate"/>
        </w:r>
        <w:r>
          <w:rPr>
            <w:webHidden/>
          </w:rPr>
          <w:t>263</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69" w:history="1">
        <w:r w:rsidRPr="00F84421">
          <w:rPr>
            <w:rStyle w:val="af5"/>
          </w:rPr>
          <w:t>Таблица 28 – Перечень граф отчета «Закупка товаров, работ, услуг Свод»</w:t>
        </w:r>
        <w:r>
          <w:rPr>
            <w:webHidden/>
          </w:rPr>
          <w:tab/>
        </w:r>
        <w:r>
          <w:rPr>
            <w:webHidden/>
          </w:rPr>
          <w:fldChar w:fldCharType="begin"/>
        </w:r>
        <w:r>
          <w:rPr>
            <w:webHidden/>
          </w:rPr>
          <w:instrText xml:space="preserve"> PAGEREF _Toc119585169 \h </w:instrText>
        </w:r>
        <w:r>
          <w:rPr>
            <w:webHidden/>
          </w:rPr>
        </w:r>
        <w:r>
          <w:rPr>
            <w:webHidden/>
          </w:rPr>
          <w:fldChar w:fldCharType="separate"/>
        </w:r>
        <w:r>
          <w:rPr>
            <w:webHidden/>
          </w:rPr>
          <w:t>265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0" w:history="1">
        <w:r w:rsidRPr="00F84421">
          <w:rPr>
            <w:rStyle w:val="af5"/>
          </w:rPr>
          <w:t>Таблица 29 – Перечень параметров отчета «Закупка товаров, работ, услуг» (по данным системы ЕИС Мониторинг)</w:t>
        </w:r>
        <w:r>
          <w:rPr>
            <w:webHidden/>
          </w:rPr>
          <w:tab/>
        </w:r>
        <w:r>
          <w:rPr>
            <w:webHidden/>
          </w:rPr>
          <w:fldChar w:fldCharType="begin"/>
        </w:r>
        <w:r>
          <w:rPr>
            <w:webHidden/>
          </w:rPr>
          <w:instrText xml:space="preserve"> PAGEREF _Toc119585170 \h </w:instrText>
        </w:r>
        <w:r>
          <w:rPr>
            <w:webHidden/>
          </w:rPr>
        </w:r>
        <w:r>
          <w:rPr>
            <w:webHidden/>
          </w:rPr>
          <w:fldChar w:fldCharType="separate"/>
        </w:r>
        <w:r>
          <w:rPr>
            <w:webHidden/>
          </w:rPr>
          <w:t>270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1" w:history="1">
        <w:r w:rsidRPr="00F84421">
          <w:rPr>
            <w:rStyle w:val="af5"/>
          </w:rPr>
          <w:t>Таблица 30 – Перечень граф отчета «Закупка товаров, работ, услуг» (по данным системы ЕИС Мониторинг)</w:t>
        </w:r>
        <w:r>
          <w:rPr>
            <w:webHidden/>
          </w:rPr>
          <w:tab/>
        </w:r>
        <w:r>
          <w:rPr>
            <w:webHidden/>
          </w:rPr>
          <w:fldChar w:fldCharType="begin"/>
        </w:r>
        <w:r>
          <w:rPr>
            <w:webHidden/>
          </w:rPr>
          <w:instrText xml:space="preserve"> PAGEREF _Toc119585171 \h </w:instrText>
        </w:r>
        <w:r>
          <w:rPr>
            <w:webHidden/>
          </w:rPr>
        </w:r>
        <w:r>
          <w:rPr>
            <w:webHidden/>
          </w:rPr>
          <w:fldChar w:fldCharType="separate"/>
        </w:r>
        <w:r>
          <w:rPr>
            <w:webHidden/>
          </w:rPr>
          <w:t>272</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2" w:history="1">
        <w:r w:rsidRPr="00F84421">
          <w:rPr>
            <w:rStyle w:val="af5"/>
          </w:rPr>
          <w:t>Таблица 31 – Показатели отчета «Расходы федерального проекта»</w:t>
        </w:r>
        <w:r>
          <w:rPr>
            <w:webHidden/>
          </w:rPr>
          <w:tab/>
        </w:r>
        <w:r>
          <w:rPr>
            <w:webHidden/>
          </w:rPr>
          <w:fldChar w:fldCharType="begin"/>
        </w:r>
        <w:r>
          <w:rPr>
            <w:webHidden/>
          </w:rPr>
          <w:instrText xml:space="preserve"> PAGEREF _Toc119585172 \h </w:instrText>
        </w:r>
        <w:r>
          <w:rPr>
            <w:webHidden/>
          </w:rPr>
        </w:r>
        <w:r>
          <w:rPr>
            <w:webHidden/>
          </w:rPr>
          <w:fldChar w:fldCharType="separate"/>
        </w:r>
        <w:r>
          <w:rPr>
            <w:webHidden/>
          </w:rPr>
          <w:t>279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3" w:history="1">
        <w:r w:rsidRPr="00F84421">
          <w:rPr>
            <w:rStyle w:val="af5"/>
          </w:rPr>
          <w:t>Таблица 32 – Показатели «Не распределено в срок», «Не принятые БО в срок», «Не исполнено в срок»</w:t>
        </w:r>
        <w:r>
          <w:rPr>
            <w:webHidden/>
          </w:rPr>
          <w:tab/>
        </w:r>
        <w:r>
          <w:rPr>
            <w:webHidden/>
          </w:rPr>
          <w:fldChar w:fldCharType="begin"/>
        </w:r>
        <w:r>
          <w:rPr>
            <w:webHidden/>
          </w:rPr>
          <w:instrText xml:space="preserve"> PAGEREF _Toc119585173 \h </w:instrText>
        </w:r>
        <w:r>
          <w:rPr>
            <w:webHidden/>
          </w:rPr>
        </w:r>
        <w:r>
          <w:rPr>
            <w:webHidden/>
          </w:rPr>
          <w:fldChar w:fldCharType="separate"/>
        </w:r>
        <w:r>
          <w:rPr>
            <w:webHidden/>
          </w:rPr>
          <w:t>291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4" w:history="1">
        <w:r w:rsidRPr="00F84421">
          <w:rPr>
            <w:rStyle w:val="af5"/>
          </w:rPr>
          <w:t>Таблица 33 – Группировка субсидий федерального бюджета</w:t>
        </w:r>
        <w:r>
          <w:rPr>
            <w:webHidden/>
          </w:rPr>
          <w:tab/>
        </w:r>
        <w:r>
          <w:rPr>
            <w:webHidden/>
          </w:rPr>
          <w:fldChar w:fldCharType="begin"/>
        </w:r>
        <w:r>
          <w:rPr>
            <w:webHidden/>
          </w:rPr>
          <w:instrText xml:space="preserve"> PAGEREF _Toc119585174 \h </w:instrText>
        </w:r>
        <w:r>
          <w:rPr>
            <w:webHidden/>
          </w:rPr>
        </w:r>
        <w:r>
          <w:rPr>
            <w:webHidden/>
          </w:rPr>
          <w:fldChar w:fldCharType="separate"/>
        </w:r>
        <w:r>
          <w:rPr>
            <w:webHidden/>
          </w:rPr>
          <w:t>294</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5" w:history="1">
        <w:r w:rsidRPr="00F84421">
          <w:rPr>
            <w:rStyle w:val="af5"/>
          </w:rPr>
          <w:t xml:space="preserve">Таблица 34 – </w:t>
        </w:r>
        <w:r w:rsidRPr="00F84421">
          <w:rPr>
            <w:rStyle w:val="af5"/>
            <w:lang w:eastAsia="x-none"/>
          </w:rPr>
          <w:t>Перечень социально-значимых мероприятий</w:t>
        </w:r>
        <w:r>
          <w:rPr>
            <w:webHidden/>
          </w:rPr>
          <w:tab/>
        </w:r>
        <w:r>
          <w:rPr>
            <w:webHidden/>
          </w:rPr>
          <w:fldChar w:fldCharType="begin"/>
        </w:r>
        <w:r>
          <w:rPr>
            <w:webHidden/>
          </w:rPr>
          <w:instrText xml:space="preserve"> PAGEREF _Toc119585175 \h </w:instrText>
        </w:r>
        <w:r>
          <w:rPr>
            <w:webHidden/>
          </w:rPr>
        </w:r>
        <w:r>
          <w:rPr>
            <w:webHidden/>
          </w:rPr>
          <w:fldChar w:fldCharType="separate"/>
        </w:r>
        <w:r>
          <w:rPr>
            <w:webHidden/>
          </w:rPr>
          <w:t>295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6" w:history="1">
        <w:r w:rsidRPr="00F84421">
          <w:rPr>
            <w:rStyle w:val="af5"/>
          </w:rPr>
          <w:t>Таблица 35 – Перечень аналитических отчетов витрины «Национальные (федеральные) проекты и государственные программы» и соответствующих таблиц БД</w:t>
        </w:r>
        <w:r>
          <w:rPr>
            <w:webHidden/>
          </w:rPr>
          <w:tab/>
        </w:r>
        <w:r>
          <w:rPr>
            <w:webHidden/>
          </w:rPr>
          <w:fldChar w:fldCharType="begin"/>
        </w:r>
        <w:r>
          <w:rPr>
            <w:webHidden/>
          </w:rPr>
          <w:instrText xml:space="preserve"> PAGEREF _Toc119585176 \h </w:instrText>
        </w:r>
        <w:r>
          <w:rPr>
            <w:webHidden/>
          </w:rPr>
        </w:r>
        <w:r>
          <w:rPr>
            <w:webHidden/>
          </w:rPr>
          <w:fldChar w:fldCharType="separate"/>
        </w:r>
        <w:r>
          <w:rPr>
            <w:webHidden/>
          </w:rPr>
          <w:t>300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7" w:history="1">
        <w:r w:rsidRPr="00F84421">
          <w:rPr>
            <w:rStyle w:val="af5"/>
          </w:rPr>
          <w:t>Таблица 36 – Перечень аналитических отчетов витрины «Ведение перечней и реестров» и соответствующих таблиц БД</w:t>
        </w:r>
        <w:r>
          <w:rPr>
            <w:webHidden/>
          </w:rPr>
          <w:tab/>
        </w:r>
        <w:r>
          <w:rPr>
            <w:webHidden/>
          </w:rPr>
          <w:fldChar w:fldCharType="begin"/>
        </w:r>
        <w:r>
          <w:rPr>
            <w:webHidden/>
          </w:rPr>
          <w:instrText xml:space="preserve"> PAGEREF _Toc119585177 \h </w:instrText>
        </w:r>
        <w:r>
          <w:rPr>
            <w:webHidden/>
          </w:rPr>
        </w:r>
        <w:r>
          <w:rPr>
            <w:webHidden/>
          </w:rPr>
          <w:fldChar w:fldCharType="separate"/>
        </w:r>
        <w:r>
          <w:rPr>
            <w:webHidden/>
          </w:rPr>
          <w:t>361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8" w:history="1">
        <w:r w:rsidRPr="00F84421">
          <w:rPr>
            <w:rStyle w:val="af5"/>
          </w:rPr>
          <w:t>Таблица 37 – Значение индикаторов по показателям</w:t>
        </w:r>
        <w:r>
          <w:rPr>
            <w:webHidden/>
          </w:rPr>
          <w:tab/>
        </w:r>
        <w:r>
          <w:rPr>
            <w:webHidden/>
          </w:rPr>
          <w:fldChar w:fldCharType="begin"/>
        </w:r>
        <w:r>
          <w:rPr>
            <w:webHidden/>
          </w:rPr>
          <w:instrText xml:space="preserve"> PAGEREF _Toc119585178 \h </w:instrText>
        </w:r>
        <w:r>
          <w:rPr>
            <w:webHidden/>
          </w:rPr>
        </w:r>
        <w:r>
          <w:rPr>
            <w:webHidden/>
          </w:rPr>
          <w:fldChar w:fldCharType="separate"/>
        </w:r>
        <w:r>
          <w:rPr>
            <w:webHidden/>
          </w:rPr>
          <w:t>399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79" w:history="1">
        <w:r w:rsidRPr="00F84421">
          <w:rPr>
            <w:rStyle w:val="af5"/>
          </w:rPr>
          <w:t>Таблица 38 – Перечень аналитических отчетов витрины «Анализ закупок товаров, работ, услуг» и соответствующих таблиц БД</w:t>
        </w:r>
        <w:r>
          <w:rPr>
            <w:webHidden/>
          </w:rPr>
          <w:tab/>
        </w:r>
        <w:r>
          <w:rPr>
            <w:webHidden/>
          </w:rPr>
          <w:fldChar w:fldCharType="begin"/>
        </w:r>
        <w:r>
          <w:rPr>
            <w:webHidden/>
          </w:rPr>
          <w:instrText xml:space="preserve"> PAGEREF _Toc119585179 \h </w:instrText>
        </w:r>
        <w:r>
          <w:rPr>
            <w:webHidden/>
          </w:rPr>
        </w:r>
        <w:r>
          <w:rPr>
            <w:webHidden/>
          </w:rPr>
          <w:fldChar w:fldCharType="separate"/>
        </w:r>
        <w:r>
          <w:rPr>
            <w:webHidden/>
          </w:rPr>
          <w:t>560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0" w:history="1">
        <w:r w:rsidRPr="00F84421">
          <w:rPr>
            <w:rStyle w:val="af5"/>
          </w:rPr>
          <w:t>Таблица 39 – Перечень граф и параметров представления «По контрактам ЕИС-По контрактам»</w:t>
        </w:r>
        <w:r>
          <w:rPr>
            <w:webHidden/>
          </w:rPr>
          <w:tab/>
        </w:r>
        <w:r>
          <w:rPr>
            <w:webHidden/>
          </w:rPr>
          <w:fldChar w:fldCharType="begin"/>
        </w:r>
        <w:r>
          <w:rPr>
            <w:webHidden/>
          </w:rPr>
          <w:instrText xml:space="preserve"> PAGEREF _Toc119585180 \h </w:instrText>
        </w:r>
        <w:r>
          <w:rPr>
            <w:webHidden/>
          </w:rPr>
        </w:r>
        <w:r>
          <w:rPr>
            <w:webHidden/>
          </w:rPr>
          <w:fldChar w:fldCharType="separate"/>
        </w:r>
        <w:r>
          <w:rPr>
            <w:webHidden/>
          </w:rPr>
          <w:t>579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1" w:history="1">
        <w:r w:rsidRPr="00F84421">
          <w:rPr>
            <w:rStyle w:val="af5"/>
          </w:rPr>
          <w:t>Таблица 40 – Перечень граф и параметров представления «По КБК»</w:t>
        </w:r>
        <w:r>
          <w:rPr>
            <w:webHidden/>
          </w:rPr>
          <w:tab/>
        </w:r>
        <w:r>
          <w:rPr>
            <w:webHidden/>
          </w:rPr>
          <w:fldChar w:fldCharType="begin"/>
        </w:r>
        <w:r>
          <w:rPr>
            <w:webHidden/>
          </w:rPr>
          <w:instrText xml:space="preserve"> PAGEREF _Toc119585181 \h </w:instrText>
        </w:r>
        <w:r>
          <w:rPr>
            <w:webHidden/>
          </w:rPr>
        </w:r>
        <w:r>
          <w:rPr>
            <w:webHidden/>
          </w:rPr>
          <w:fldChar w:fldCharType="separate"/>
        </w:r>
        <w:r>
          <w:rPr>
            <w:webHidden/>
          </w:rPr>
          <w:t>582</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2" w:history="1">
        <w:r w:rsidRPr="00F84421">
          <w:rPr>
            <w:rStyle w:val="af5"/>
          </w:rPr>
          <w:t>Таблица 41 – Перечень граф и параметров представления «По малым закупкам»</w:t>
        </w:r>
        <w:r>
          <w:rPr>
            <w:webHidden/>
          </w:rPr>
          <w:tab/>
        </w:r>
        <w:r>
          <w:rPr>
            <w:webHidden/>
          </w:rPr>
          <w:fldChar w:fldCharType="begin"/>
        </w:r>
        <w:r>
          <w:rPr>
            <w:webHidden/>
          </w:rPr>
          <w:instrText xml:space="preserve"> PAGEREF _Toc119585182 \h </w:instrText>
        </w:r>
        <w:r>
          <w:rPr>
            <w:webHidden/>
          </w:rPr>
        </w:r>
        <w:r>
          <w:rPr>
            <w:webHidden/>
          </w:rPr>
          <w:fldChar w:fldCharType="separate"/>
        </w:r>
        <w:r>
          <w:rPr>
            <w:webHidden/>
          </w:rPr>
          <w:t>586</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3" w:history="1">
        <w:r w:rsidRPr="00F84421">
          <w:rPr>
            <w:rStyle w:val="af5"/>
          </w:rPr>
          <w:t>Таблица 42 – Перечень аналитических отчетов витрины «Бюджетный (бухгалтерский) учет» и соответствующих таблиц БД</w:t>
        </w:r>
        <w:r>
          <w:rPr>
            <w:webHidden/>
          </w:rPr>
          <w:tab/>
        </w:r>
        <w:r>
          <w:rPr>
            <w:webHidden/>
          </w:rPr>
          <w:fldChar w:fldCharType="begin"/>
        </w:r>
        <w:r>
          <w:rPr>
            <w:webHidden/>
          </w:rPr>
          <w:instrText xml:space="preserve"> PAGEREF _Toc119585183 \h </w:instrText>
        </w:r>
        <w:r>
          <w:rPr>
            <w:webHidden/>
          </w:rPr>
        </w:r>
        <w:r>
          <w:rPr>
            <w:webHidden/>
          </w:rPr>
          <w:fldChar w:fldCharType="separate"/>
        </w:r>
        <w:r>
          <w:rPr>
            <w:webHidden/>
          </w:rPr>
          <w:t>614</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4" w:history="1">
        <w:r w:rsidRPr="00F84421">
          <w:rPr>
            <w:rStyle w:val="af5"/>
          </w:rPr>
          <w:t>Таблица 43 – Перечень граф и параметров представления «Исполнение бюджета» – «Доходы»</w:t>
        </w:r>
        <w:r>
          <w:rPr>
            <w:webHidden/>
          </w:rPr>
          <w:tab/>
        </w:r>
        <w:r>
          <w:rPr>
            <w:webHidden/>
          </w:rPr>
          <w:fldChar w:fldCharType="begin"/>
        </w:r>
        <w:r>
          <w:rPr>
            <w:webHidden/>
          </w:rPr>
          <w:instrText xml:space="preserve"> PAGEREF _Toc119585184 \h </w:instrText>
        </w:r>
        <w:r>
          <w:rPr>
            <w:webHidden/>
          </w:rPr>
        </w:r>
        <w:r>
          <w:rPr>
            <w:webHidden/>
          </w:rPr>
          <w:fldChar w:fldCharType="separate"/>
        </w:r>
        <w:r>
          <w:rPr>
            <w:webHidden/>
          </w:rPr>
          <w:t>635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5" w:history="1">
        <w:r w:rsidRPr="00F84421">
          <w:rPr>
            <w:rStyle w:val="af5"/>
          </w:rPr>
          <w:t>Таблица 44 – Перечень граф и параметров отчета «Исполнение бюджета – Расходы»</w:t>
        </w:r>
        <w:r>
          <w:rPr>
            <w:webHidden/>
          </w:rPr>
          <w:tab/>
        </w:r>
        <w:r>
          <w:rPr>
            <w:webHidden/>
          </w:rPr>
          <w:fldChar w:fldCharType="begin"/>
        </w:r>
        <w:r>
          <w:rPr>
            <w:webHidden/>
          </w:rPr>
          <w:instrText xml:space="preserve"> PAGEREF _Toc119585185 \h </w:instrText>
        </w:r>
        <w:r>
          <w:rPr>
            <w:webHidden/>
          </w:rPr>
        </w:r>
        <w:r>
          <w:rPr>
            <w:webHidden/>
          </w:rPr>
          <w:fldChar w:fldCharType="separate"/>
        </w:r>
        <w:r>
          <w:rPr>
            <w:webHidden/>
          </w:rPr>
          <w:t>640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6" w:history="1">
        <w:r w:rsidRPr="00F84421">
          <w:rPr>
            <w:rStyle w:val="af5"/>
          </w:rPr>
          <w:t>Таблица 45 – Перечень граф и параметров представления «Исполнение бюджета» – «Источники»</w:t>
        </w:r>
        <w:r>
          <w:rPr>
            <w:webHidden/>
          </w:rPr>
          <w:tab/>
        </w:r>
        <w:r>
          <w:rPr>
            <w:webHidden/>
          </w:rPr>
          <w:fldChar w:fldCharType="begin"/>
        </w:r>
        <w:r>
          <w:rPr>
            <w:webHidden/>
          </w:rPr>
          <w:instrText xml:space="preserve"> PAGEREF _Toc119585186 \h </w:instrText>
        </w:r>
        <w:r>
          <w:rPr>
            <w:webHidden/>
          </w:rPr>
        </w:r>
        <w:r>
          <w:rPr>
            <w:webHidden/>
          </w:rPr>
          <w:fldChar w:fldCharType="separate"/>
        </w:r>
        <w:r>
          <w:rPr>
            <w:webHidden/>
          </w:rPr>
          <w:t>649</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7" w:history="1">
        <w:r w:rsidRPr="00F84421">
          <w:rPr>
            <w:rStyle w:val="af5"/>
          </w:rPr>
          <w:t>Таблица 46 – Алгоритм расчета основных показателей отчета «Корректность ДКЗ»</w:t>
        </w:r>
        <w:r>
          <w:rPr>
            <w:webHidden/>
          </w:rPr>
          <w:tab/>
        </w:r>
        <w:r>
          <w:rPr>
            <w:webHidden/>
          </w:rPr>
          <w:fldChar w:fldCharType="begin"/>
        </w:r>
        <w:r>
          <w:rPr>
            <w:webHidden/>
          </w:rPr>
          <w:instrText xml:space="preserve"> PAGEREF _Toc119585187 \h </w:instrText>
        </w:r>
        <w:r>
          <w:rPr>
            <w:webHidden/>
          </w:rPr>
        </w:r>
        <w:r>
          <w:rPr>
            <w:webHidden/>
          </w:rPr>
          <w:fldChar w:fldCharType="separate"/>
        </w:r>
        <w:r>
          <w:rPr>
            <w:webHidden/>
          </w:rPr>
          <w:t>655</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8" w:history="1">
        <w:r w:rsidRPr="00F84421">
          <w:rPr>
            <w:rStyle w:val="af5"/>
          </w:rPr>
          <w:t>Таблица 47 – Алгоритм расчета основных показателей отчета «Корректность ДКЗ по КБК</w:t>
        </w:r>
        <w:r>
          <w:rPr>
            <w:webHidden/>
          </w:rPr>
          <w:tab/>
        </w:r>
        <w:r>
          <w:rPr>
            <w:webHidden/>
          </w:rPr>
          <w:fldChar w:fldCharType="begin"/>
        </w:r>
        <w:r>
          <w:rPr>
            <w:webHidden/>
          </w:rPr>
          <w:instrText xml:space="preserve"> PAGEREF _Toc119585188 \h </w:instrText>
        </w:r>
        <w:r>
          <w:rPr>
            <w:webHidden/>
          </w:rPr>
        </w:r>
        <w:r>
          <w:rPr>
            <w:webHidden/>
          </w:rPr>
          <w:fldChar w:fldCharType="separate"/>
        </w:r>
        <w:r>
          <w:rPr>
            <w:webHidden/>
          </w:rPr>
          <w:t>658</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89" w:history="1">
        <w:r w:rsidRPr="00F84421">
          <w:rPr>
            <w:rStyle w:val="af5"/>
          </w:rPr>
          <w:t>Таблица 48 – Алгоритм расчета основных показателей отчета "Разделение ДКЗ"</w:t>
        </w:r>
        <w:r>
          <w:rPr>
            <w:webHidden/>
          </w:rPr>
          <w:tab/>
        </w:r>
        <w:r>
          <w:rPr>
            <w:webHidden/>
          </w:rPr>
          <w:fldChar w:fldCharType="begin"/>
        </w:r>
        <w:r>
          <w:rPr>
            <w:webHidden/>
          </w:rPr>
          <w:instrText xml:space="preserve"> PAGEREF _Toc119585189 \h </w:instrText>
        </w:r>
        <w:r>
          <w:rPr>
            <w:webHidden/>
          </w:rPr>
        </w:r>
        <w:r>
          <w:rPr>
            <w:webHidden/>
          </w:rPr>
          <w:fldChar w:fldCharType="separate"/>
        </w:r>
        <w:r>
          <w:rPr>
            <w:webHidden/>
          </w:rPr>
          <w:t>661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0" w:history="1">
        <w:r w:rsidRPr="00F84421">
          <w:rPr>
            <w:rStyle w:val="af5"/>
          </w:rPr>
          <w:t>Таблица 49 – Алгоритм расчета основных показателей отчета "Незакрытые остатки ДКЗ"</w:t>
        </w:r>
        <w:r>
          <w:rPr>
            <w:webHidden/>
          </w:rPr>
          <w:tab/>
        </w:r>
        <w:r>
          <w:rPr>
            <w:webHidden/>
          </w:rPr>
          <w:fldChar w:fldCharType="begin"/>
        </w:r>
        <w:r>
          <w:rPr>
            <w:webHidden/>
          </w:rPr>
          <w:instrText xml:space="preserve"> PAGEREF _Toc119585190 \h </w:instrText>
        </w:r>
        <w:r>
          <w:rPr>
            <w:webHidden/>
          </w:rPr>
        </w:r>
        <w:r>
          <w:rPr>
            <w:webHidden/>
          </w:rPr>
          <w:fldChar w:fldCharType="separate"/>
        </w:r>
        <w:r>
          <w:rPr>
            <w:webHidden/>
          </w:rPr>
          <w:t>664</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1" w:history="1">
        <w:r w:rsidRPr="00F84421">
          <w:rPr>
            <w:rStyle w:val="af5"/>
          </w:rPr>
          <w:t>Таблица 50 – Алгоритм расчета основных показателей отчета «Применение классификаторов и счетов учета»</w:t>
        </w:r>
        <w:r>
          <w:rPr>
            <w:webHidden/>
          </w:rPr>
          <w:tab/>
        </w:r>
        <w:r>
          <w:rPr>
            <w:webHidden/>
          </w:rPr>
          <w:fldChar w:fldCharType="begin"/>
        </w:r>
        <w:r>
          <w:rPr>
            <w:webHidden/>
          </w:rPr>
          <w:instrText xml:space="preserve"> PAGEREF _Toc119585191 \h </w:instrText>
        </w:r>
        <w:r>
          <w:rPr>
            <w:webHidden/>
          </w:rPr>
        </w:r>
        <w:r>
          <w:rPr>
            <w:webHidden/>
          </w:rPr>
          <w:fldChar w:fldCharType="separate"/>
        </w:r>
        <w:r>
          <w:rPr>
            <w:webHidden/>
          </w:rPr>
          <w:t>668</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2" w:history="1">
        <w:r w:rsidRPr="00F84421">
          <w:rPr>
            <w:rStyle w:val="af5"/>
          </w:rPr>
          <w:t>Таблица 51 – Перечень аналитических отчетов витрины «Контроль и надзор в финансово-бюджетной сфере» и соответствующих таблиц БД</w:t>
        </w:r>
        <w:r>
          <w:rPr>
            <w:webHidden/>
          </w:rPr>
          <w:tab/>
        </w:r>
        <w:r>
          <w:rPr>
            <w:webHidden/>
          </w:rPr>
          <w:fldChar w:fldCharType="begin"/>
        </w:r>
        <w:r>
          <w:rPr>
            <w:webHidden/>
          </w:rPr>
          <w:instrText xml:space="preserve"> PAGEREF _Toc119585192 \h </w:instrText>
        </w:r>
        <w:r>
          <w:rPr>
            <w:webHidden/>
          </w:rPr>
        </w:r>
        <w:r>
          <w:rPr>
            <w:webHidden/>
          </w:rPr>
          <w:fldChar w:fldCharType="separate"/>
        </w:r>
        <w:r>
          <w:rPr>
            <w:webHidden/>
          </w:rPr>
          <w:t>726</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3" w:history="1">
        <w:r w:rsidRPr="00F84421">
          <w:rPr>
            <w:rStyle w:val="af5"/>
          </w:rPr>
          <w:t>Таблица 52 – Соответствие типа объекта контроля и разделов паспорта</w:t>
        </w:r>
        <w:r>
          <w:rPr>
            <w:webHidden/>
          </w:rPr>
          <w:tab/>
        </w:r>
        <w:r>
          <w:rPr>
            <w:webHidden/>
          </w:rPr>
          <w:fldChar w:fldCharType="begin"/>
        </w:r>
        <w:r>
          <w:rPr>
            <w:webHidden/>
          </w:rPr>
          <w:instrText xml:space="preserve"> PAGEREF _Toc119585193 \h </w:instrText>
        </w:r>
        <w:r>
          <w:rPr>
            <w:webHidden/>
          </w:rPr>
        </w:r>
        <w:r>
          <w:rPr>
            <w:webHidden/>
          </w:rPr>
          <w:fldChar w:fldCharType="separate"/>
        </w:r>
        <w:r>
          <w:rPr>
            <w:webHidden/>
          </w:rPr>
          <w:t>746</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4" w:history="1">
        <w:r w:rsidRPr="00F84421">
          <w:rPr>
            <w:rStyle w:val="af5"/>
          </w:rPr>
          <w:t>Таблица 53 – Перечень аналитических отчетов витрины «Казначейское сопровождение» и соответствующих таблиц БД</w:t>
        </w:r>
        <w:r>
          <w:rPr>
            <w:webHidden/>
          </w:rPr>
          <w:tab/>
        </w:r>
        <w:r>
          <w:rPr>
            <w:webHidden/>
          </w:rPr>
          <w:fldChar w:fldCharType="begin"/>
        </w:r>
        <w:r>
          <w:rPr>
            <w:webHidden/>
          </w:rPr>
          <w:instrText xml:space="preserve"> PAGEREF _Toc119585194 \h </w:instrText>
        </w:r>
        <w:r>
          <w:rPr>
            <w:webHidden/>
          </w:rPr>
        </w:r>
        <w:r>
          <w:rPr>
            <w:webHidden/>
          </w:rPr>
          <w:fldChar w:fldCharType="separate"/>
        </w:r>
        <w:r>
          <w:rPr>
            <w:webHidden/>
          </w:rPr>
          <w:t>763</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5" w:history="1">
        <w:r w:rsidRPr="00F84421">
          <w:rPr>
            <w:rStyle w:val="af5"/>
          </w:rPr>
          <w:t>Таблица 54 – Перечень аналитических отчетов витрины «Статистика государственных финансов» и соответствующих таблиц БД</w:t>
        </w:r>
        <w:r>
          <w:rPr>
            <w:webHidden/>
          </w:rPr>
          <w:tab/>
        </w:r>
        <w:r>
          <w:rPr>
            <w:webHidden/>
          </w:rPr>
          <w:fldChar w:fldCharType="begin"/>
        </w:r>
        <w:r>
          <w:rPr>
            <w:webHidden/>
          </w:rPr>
          <w:instrText xml:space="preserve"> PAGEREF _Toc119585195 \h </w:instrText>
        </w:r>
        <w:r>
          <w:rPr>
            <w:webHidden/>
          </w:rPr>
        </w:r>
        <w:r>
          <w:rPr>
            <w:webHidden/>
          </w:rPr>
          <w:fldChar w:fldCharType="separate"/>
        </w:r>
        <w:r>
          <w:rPr>
            <w:webHidden/>
          </w:rPr>
          <w:t>811</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6" w:history="1">
        <w:r w:rsidRPr="00F84421">
          <w:rPr>
            <w:rStyle w:val="af5"/>
          </w:rPr>
          <w:t>Таблица 55 – Переходная таблица по расширенному сектору государственного управления и сектору государственных нефинансовых корпораций</w:t>
        </w:r>
        <w:r>
          <w:rPr>
            <w:webHidden/>
          </w:rPr>
          <w:tab/>
        </w:r>
        <w:r>
          <w:rPr>
            <w:webHidden/>
          </w:rPr>
          <w:fldChar w:fldCharType="begin"/>
        </w:r>
        <w:r>
          <w:rPr>
            <w:webHidden/>
          </w:rPr>
          <w:instrText xml:space="preserve"> PAGEREF _Toc119585196 \h </w:instrText>
        </w:r>
        <w:r>
          <w:rPr>
            <w:webHidden/>
          </w:rPr>
        </w:r>
        <w:r>
          <w:rPr>
            <w:webHidden/>
          </w:rPr>
          <w:fldChar w:fldCharType="separate"/>
        </w:r>
        <w:r>
          <w:rPr>
            <w:webHidden/>
          </w:rPr>
          <w:t>840</w:t>
        </w:r>
        <w:r>
          <w:rPr>
            <w:webHidden/>
          </w:rPr>
          <w:fldChar w:fldCharType="end"/>
        </w:r>
      </w:hyperlink>
    </w:p>
    <w:p w:rsidR="00DD2822" w:rsidRDefault="00DD2822">
      <w:pPr>
        <w:pStyle w:val="aff7"/>
        <w:rPr>
          <w:rFonts w:asciiTheme="minorHAnsi" w:eastAsiaTheme="minorEastAsia" w:hAnsiTheme="minorHAnsi" w:cstheme="minorBidi"/>
          <w:snapToGrid/>
          <w:color w:val="auto"/>
          <w:sz w:val="22"/>
          <w:szCs w:val="22"/>
        </w:rPr>
      </w:pPr>
      <w:hyperlink w:anchor="_Toc119585197" w:history="1">
        <w:r w:rsidRPr="00F84421">
          <w:rPr>
            <w:rStyle w:val="af5"/>
          </w:rPr>
          <w:t>Таблица 56 – Перечень аналитических отчетов, перемещенных в Архив</w:t>
        </w:r>
        <w:r>
          <w:rPr>
            <w:webHidden/>
          </w:rPr>
          <w:tab/>
        </w:r>
        <w:r>
          <w:rPr>
            <w:webHidden/>
          </w:rPr>
          <w:fldChar w:fldCharType="begin"/>
        </w:r>
        <w:r>
          <w:rPr>
            <w:webHidden/>
          </w:rPr>
          <w:instrText xml:space="preserve"> PAGEREF _Toc119585197 \h </w:instrText>
        </w:r>
        <w:r>
          <w:rPr>
            <w:webHidden/>
          </w:rPr>
        </w:r>
        <w:r>
          <w:rPr>
            <w:webHidden/>
          </w:rPr>
          <w:fldChar w:fldCharType="separate"/>
        </w:r>
        <w:r>
          <w:rPr>
            <w:webHidden/>
          </w:rPr>
          <w:t>883</w:t>
        </w:r>
        <w:r>
          <w:rPr>
            <w:webHidden/>
          </w:rPr>
          <w:fldChar w:fldCharType="end"/>
        </w:r>
      </w:hyperlink>
    </w:p>
    <w:p w:rsidR="00A245C1" w:rsidRPr="00E06755" w:rsidRDefault="00DD5520" w:rsidP="00A245C1">
      <w:pPr>
        <w:spacing w:after="200" w:line="276" w:lineRule="auto"/>
        <w:jc w:val="left"/>
        <w:rPr>
          <w:b/>
          <w:bCs/>
          <w:sz w:val="36"/>
        </w:rPr>
      </w:pPr>
      <w:r w:rsidRPr="00E06755">
        <w:fldChar w:fldCharType="end"/>
      </w:r>
      <w:r w:rsidR="00A245C1" w:rsidRPr="00E06755">
        <w:br w:type="page"/>
      </w:r>
    </w:p>
    <w:p w:rsidR="00D55811" w:rsidRPr="00E06755" w:rsidRDefault="00D55811" w:rsidP="00332717">
      <w:pPr>
        <w:pStyle w:val="af6"/>
        <w:tabs>
          <w:tab w:val="right" w:leader="dot" w:pos="9639"/>
        </w:tabs>
        <w:jc w:val="both"/>
      </w:pPr>
      <w:bookmarkStart w:id="4" w:name="_Toc119585011"/>
      <w:r w:rsidRPr="00E06755">
        <w:t>Перечень рисунков</w:t>
      </w:r>
      <w:bookmarkEnd w:id="4"/>
    </w:p>
    <w:p w:rsidR="00907E43" w:rsidRDefault="00DD5520">
      <w:pPr>
        <w:pStyle w:val="aff7"/>
        <w:rPr>
          <w:rFonts w:asciiTheme="minorHAnsi" w:eastAsiaTheme="minorEastAsia" w:hAnsiTheme="minorHAnsi" w:cstheme="minorBidi"/>
          <w:snapToGrid/>
          <w:color w:val="auto"/>
          <w:sz w:val="22"/>
          <w:szCs w:val="22"/>
        </w:rPr>
      </w:pPr>
      <w:r w:rsidRPr="00E06755">
        <w:fldChar w:fldCharType="begin"/>
      </w:r>
      <w:r w:rsidR="0002160B" w:rsidRPr="00E06755">
        <w:instrText xml:space="preserve"> TOC \h \z \c "Рисунок" </w:instrText>
      </w:r>
      <w:r w:rsidRPr="00E06755">
        <w:fldChar w:fldCharType="separate"/>
      </w:r>
      <w:hyperlink w:anchor="_Toc119584188" w:history="1">
        <w:r w:rsidR="00907E43" w:rsidRPr="008E79CA">
          <w:rPr>
            <w:rStyle w:val="af5"/>
          </w:rPr>
          <w:t>Рисунок 1 - Диалоговое окно выбора сертификата пользователя</w:t>
        </w:r>
        <w:r w:rsidR="00907E43">
          <w:rPr>
            <w:webHidden/>
          </w:rPr>
          <w:tab/>
        </w:r>
        <w:r w:rsidR="00907E43">
          <w:rPr>
            <w:webHidden/>
          </w:rPr>
          <w:fldChar w:fldCharType="begin"/>
        </w:r>
        <w:r w:rsidR="00907E43">
          <w:rPr>
            <w:webHidden/>
          </w:rPr>
          <w:instrText xml:space="preserve"> PAGEREF _Toc119584188 \h </w:instrText>
        </w:r>
        <w:r w:rsidR="00907E43">
          <w:rPr>
            <w:webHidden/>
          </w:rPr>
        </w:r>
        <w:r w:rsidR="00907E43">
          <w:rPr>
            <w:webHidden/>
          </w:rPr>
          <w:fldChar w:fldCharType="separate"/>
        </w:r>
        <w:r w:rsidR="00907E43">
          <w:rPr>
            <w:webHidden/>
          </w:rPr>
          <w:t>55</w:t>
        </w:r>
        <w:r w:rsidR="00907E43">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89" w:history="1">
        <w:r w:rsidRPr="008E79CA">
          <w:rPr>
            <w:rStyle w:val="af5"/>
          </w:rPr>
          <w:t>Рисунок 2 – Главное окно Системы «Электронный бюджет»</w:t>
        </w:r>
        <w:r>
          <w:rPr>
            <w:webHidden/>
          </w:rPr>
          <w:tab/>
        </w:r>
        <w:r>
          <w:rPr>
            <w:webHidden/>
          </w:rPr>
          <w:fldChar w:fldCharType="begin"/>
        </w:r>
        <w:r>
          <w:rPr>
            <w:webHidden/>
          </w:rPr>
          <w:instrText xml:space="preserve"> PAGEREF _Toc119584189 \h </w:instrText>
        </w:r>
        <w:r>
          <w:rPr>
            <w:webHidden/>
          </w:rPr>
        </w:r>
        <w:r>
          <w:rPr>
            <w:webHidden/>
          </w:rPr>
          <w:fldChar w:fldCharType="separate"/>
        </w:r>
        <w:r>
          <w:rPr>
            <w:webHidden/>
          </w:rPr>
          <w:t>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0" w:history="1">
        <w:r w:rsidRPr="008E79CA">
          <w:rPr>
            <w:rStyle w:val="af5"/>
          </w:rPr>
          <w:t>Рисунок 3 – Пункт меню ПИАО в Личном кабинете «Электронный бюджет»</w:t>
        </w:r>
        <w:r>
          <w:rPr>
            <w:webHidden/>
          </w:rPr>
          <w:tab/>
        </w:r>
        <w:r>
          <w:rPr>
            <w:webHidden/>
          </w:rPr>
          <w:fldChar w:fldCharType="begin"/>
        </w:r>
        <w:r>
          <w:rPr>
            <w:webHidden/>
          </w:rPr>
          <w:instrText xml:space="preserve"> PAGEREF _Toc119584190 \h </w:instrText>
        </w:r>
        <w:r>
          <w:rPr>
            <w:webHidden/>
          </w:rPr>
        </w:r>
        <w:r>
          <w:rPr>
            <w:webHidden/>
          </w:rPr>
          <w:fldChar w:fldCharType="separate"/>
        </w:r>
        <w:r>
          <w:rPr>
            <w:webHidden/>
          </w:rPr>
          <w:t>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1" w:history="1">
        <w:r w:rsidRPr="008E79CA">
          <w:rPr>
            <w:rStyle w:val="af5"/>
          </w:rPr>
          <w:t>Рисунок 4 – Главная страница ПИАО при переходе через Личный кабинет «Электронного бюджета»</w:t>
        </w:r>
        <w:r>
          <w:rPr>
            <w:webHidden/>
          </w:rPr>
          <w:tab/>
        </w:r>
        <w:r>
          <w:rPr>
            <w:webHidden/>
          </w:rPr>
          <w:fldChar w:fldCharType="begin"/>
        </w:r>
        <w:r>
          <w:rPr>
            <w:webHidden/>
          </w:rPr>
          <w:instrText xml:space="preserve"> PAGEREF _Toc119584191 \h </w:instrText>
        </w:r>
        <w:r>
          <w:rPr>
            <w:webHidden/>
          </w:rPr>
        </w:r>
        <w:r>
          <w:rPr>
            <w:webHidden/>
          </w:rPr>
          <w:fldChar w:fldCharType="separate"/>
        </w:r>
        <w:r>
          <w:rPr>
            <w:webHidden/>
          </w:rPr>
          <w:t>57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2" w:history="1">
        <w:r w:rsidRPr="008E79CA">
          <w:rPr>
            <w:rStyle w:val="af5"/>
          </w:rPr>
          <w:t>Рисунок 5 – Главная страница ПИАО при переходе по прямой ссылке</w:t>
        </w:r>
        <w:r>
          <w:rPr>
            <w:webHidden/>
          </w:rPr>
          <w:tab/>
        </w:r>
        <w:r>
          <w:rPr>
            <w:webHidden/>
          </w:rPr>
          <w:fldChar w:fldCharType="begin"/>
        </w:r>
        <w:r>
          <w:rPr>
            <w:webHidden/>
          </w:rPr>
          <w:instrText xml:space="preserve"> PAGEREF _Toc119584192 \h </w:instrText>
        </w:r>
        <w:r>
          <w:rPr>
            <w:webHidden/>
          </w:rPr>
        </w:r>
        <w:r>
          <w:rPr>
            <w:webHidden/>
          </w:rPr>
          <w:fldChar w:fldCharType="separate"/>
        </w:r>
        <w:r>
          <w:rPr>
            <w:webHidden/>
          </w:rPr>
          <w:t>57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3" w:history="1">
        <w:r w:rsidRPr="008E79CA">
          <w:rPr>
            <w:rStyle w:val="af5"/>
          </w:rPr>
          <w:t>Рисунок 6 – Схема функциональной структуры ПИАО</w:t>
        </w:r>
        <w:r>
          <w:rPr>
            <w:webHidden/>
          </w:rPr>
          <w:tab/>
        </w:r>
        <w:r>
          <w:rPr>
            <w:webHidden/>
          </w:rPr>
          <w:fldChar w:fldCharType="begin"/>
        </w:r>
        <w:r>
          <w:rPr>
            <w:webHidden/>
          </w:rPr>
          <w:instrText xml:space="preserve"> PAGEREF _Toc119584193 \h </w:instrText>
        </w:r>
        <w:r>
          <w:rPr>
            <w:webHidden/>
          </w:rPr>
        </w:r>
        <w:r>
          <w:rPr>
            <w:webHidden/>
          </w:rPr>
          <w:fldChar w:fldCharType="separate"/>
        </w:r>
        <w:r>
          <w:rPr>
            <w:webHidden/>
          </w:rPr>
          <w:t>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4" w:history="1">
        <w:r w:rsidRPr="008E79CA">
          <w:rPr>
            <w:rStyle w:val="af5"/>
          </w:rPr>
          <w:t>Рисунок 7 – Схема информационного взаимодействия Подсистемы с другими системами</w:t>
        </w:r>
        <w:r>
          <w:rPr>
            <w:webHidden/>
          </w:rPr>
          <w:tab/>
        </w:r>
        <w:r>
          <w:rPr>
            <w:webHidden/>
          </w:rPr>
          <w:fldChar w:fldCharType="begin"/>
        </w:r>
        <w:r>
          <w:rPr>
            <w:webHidden/>
          </w:rPr>
          <w:instrText xml:space="preserve"> PAGEREF _Toc119584194 \h </w:instrText>
        </w:r>
        <w:r>
          <w:rPr>
            <w:webHidden/>
          </w:rPr>
        </w:r>
        <w:r>
          <w:rPr>
            <w:webHidden/>
          </w:rPr>
          <w:fldChar w:fldCharType="separate"/>
        </w:r>
        <w:r>
          <w:rPr>
            <w:webHidden/>
          </w:rPr>
          <w:t>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5" w:history="1">
        <w:r w:rsidRPr="008E79CA">
          <w:rPr>
            <w:rStyle w:val="af5"/>
          </w:rPr>
          <w:t>Рисунок 8 – Интерфейс главной страницы ПИАО</w:t>
        </w:r>
        <w:r>
          <w:rPr>
            <w:webHidden/>
          </w:rPr>
          <w:tab/>
        </w:r>
        <w:r>
          <w:rPr>
            <w:webHidden/>
          </w:rPr>
          <w:fldChar w:fldCharType="begin"/>
        </w:r>
        <w:r>
          <w:rPr>
            <w:webHidden/>
          </w:rPr>
          <w:instrText xml:space="preserve"> PAGEREF _Toc119584195 \h </w:instrText>
        </w:r>
        <w:r>
          <w:rPr>
            <w:webHidden/>
          </w:rPr>
        </w:r>
        <w:r>
          <w:rPr>
            <w:webHidden/>
          </w:rPr>
          <w:fldChar w:fldCharType="separate"/>
        </w:r>
        <w:r>
          <w:rPr>
            <w:webHidden/>
          </w:rPr>
          <w:t>76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6" w:history="1">
        <w:r w:rsidRPr="008E79CA">
          <w:rPr>
            <w:rStyle w:val="af5"/>
          </w:rPr>
          <w:t>Рисунок 9 – Значок «Скрыть боковое меню»</w:t>
        </w:r>
        <w:r>
          <w:rPr>
            <w:webHidden/>
          </w:rPr>
          <w:tab/>
        </w:r>
        <w:r>
          <w:rPr>
            <w:webHidden/>
          </w:rPr>
          <w:fldChar w:fldCharType="begin"/>
        </w:r>
        <w:r>
          <w:rPr>
            <w:webHidden/>
          </w:rPr>
          <w:instrText xml:space="preserve"> PAGEREF _Toc119584196 \h </w:instrText>
        </w:r>
        <w:r>
          <w:rPr>
            <w:webHidden/>
          </w:rPr>
        </w:r>
        <w:r>
          <w:rPr>
            <w:webHidden/>
          </w:rPr>
          <w:fldChar w:fldCharType="separate"/>
        </w:r>
        <w:r>
          <w:rPr>
            <w:webHidden/>
          </w:rPr>
          <w:t>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7" w:history="1">
        <w:r w:rsidRPr="008E79CA">
          <w:rPr>
            <w:rStyle w:val="af5"/>
          </w:rPr>
          <w:t>Рисунок 10 – Интерфейс главной страницы ПИАО со скрытым боковым меню</w:t>
        </w:r>
        <w:r>
          <w:rPr>
            <w:webHidden/>
          </w:rPr>
          <w:tab/>
        </w:r>
        <w:r>
          <w:rPr>
            <w:webHidden/>
          </w:rPr>
          <w:fldChar w:fldCharType="begin"/>
        </w:r>
        <w:r>
          <w:rPr>
            <w:webHidden/>
          </w:rPr>
          <w:instrText xml:space="preserve"> PAGEREF _Toc119584197 \h </w:instrText>
        </w:r>
        <w:r>
          <w:rPr>
            <w:webHidden/>
          </w:rPr>
        </w:r>
        <w:r>
          <w:rPr>
            <w:webHidden/>
          </w:rPr>
          <w:fldChar w:fldCharType="separate"/>
        </w:r>
        <w:r>
          <w:rPr>
            <w:webHidden/>
          </w:rPr>
          <w:t>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8" w:history="1">
        <w:r w:rsidRPr="008E79CA">
          <w:rPr>
            <w:rStyle w:val="af5"/>
          </w:rPr>
          <w:t>Рисунок 11 – Интерфейс «Информационные панели»</w:t>
        </w:r>
        <w:r>
          <w:rPr>
            <w:webHidden/>
          </w:rPr>
          <w:tab/>
        </w:r>
        <w:r>
          <w:rPr>
            <w:webHidden/>
          </w:rPr>
          <w:fldChar w:fldCharType="begin"/>
        </w:r>
        <w:r>
          <w:rPr>
            <w:webHidden/>
          </w:rPr>
          <w:instrText xml:space="preserve"> PAGEREF _Toc119584198 \h </w:instrText>
        </w:r>
        <w:r>
          <w:rPr>
            <w:webHidden/>
          </w:rPr>
        </w:r>
        <w:r>
          <w:rPr>
            <w:webHidden/>
          </w:rPr>
          <w:fldChar w:fldCharType="separate"/>
        </w:r>
        <w:r>
          <w:rPr>
            <w:webHidden/>
          </w:rPr>
          <w:t>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199" w:history="1">
        <w:r w:rsidRPr="008E79CA">
          <w:rPr>
            <w:rStyle w:val="af5"/>
          </w:rPr>
          <w:t>Рисунок 12 – Строка заголовков информационных панелей</w:t>
        </w:r>
        <w:r>
          <w:rPr>
            <w:webHidden/>
          </w:rPr>
          <w:tab/>
        </w:r>
        <w:r>
          <w:rPr>
            <w:webHidden/>
          </w:rPr>
          <w:fldChar w:fldCharType="begin"/>
        </w:r>
        <w:r>
          <w:rPr>
            <w:webHidden/>
          </w:rPr>
          <w:instrText xml:space="preserve"> PAGEREF _Toc119584199 \h </w:instrText>
        </w:r>
        <w:r>
          <w:rPr>
            <w:webHidden/>
          </w:rPr>
        </w:r>
        <w:r>
          <w:rPr>
            <w:webHidden/>
          </w:rPr>
          <w:fldChar w:fldCharType="separate"/>
        </w:r>
        <w:r>
          <w:rPr>
            <w:webHidden/>
          </w:rPr>
          <w:t>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0" w:history="1">
        <w:r w:rsidRPr="008E79CA">
          <w:rPr>
            <w:rStyle w:val="af5"/>
          </w:rPr>
          <w:t>Рисунок 13 – Фильтрация контента Подсистемы</w:t>
        </w:r>
        <w:r>
          <w:rPr>
            <w:webHidden/>
          </w:rPr>
          <w:tab/>
        </w:r>
        <w:r>
          <w:rPr>
            <w:webHidden/>
          </w:rPr>
          <w:fldChar w:fldCharType="begin"/>
        </w:r>
        <w:r>
          <w:rPr>
            <w:webHidden/>
          </w:rPr>
          <w:instrText xml:space="preserve"> PAGEREF _Toc119584200 \h </w:instrText>
        </w:r>
        <w:r>
          <w:rPr>
            <w:webHidden/>
          </w:rPr>
        </w:r>
        <w:r>
          <w:rPr>
            <w:webHidden/>
          </w:rPr>
          <w:fldChar w:fldCharType="separate"/>
        </w:r>
        <w:r>
          <w:rPr>
            <w:webHidden/>
          </w:rPr>
          <w:t>79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1" w:history="1">
        <w:r w:rsidRPr="008E79CA">
          <w:rPr>
            <w:rStyle w:val="af5"/>
          </w:rPr>
          <w:t>Рисунок 14 – Элементы навигации</w:t>
        </w:r>
        <w:r>
          <w:rPr>
            <w:webHidden/>
          </w:rPr>
          <w:tab/>
        </w:r>
        <w:r>
          <w:rPr>
            <w:webHidden/>
          </w:rPr>
          <w:fldChar w:fldCharType="begin"/>
        </w:r>
        <w:r>
          <w:rPr>
            <w:webHidden/>
          </w:rPr>
          <w:instrText xml:space="preserve"> PAGEREF _Toc119584201 \h </w:instrText>
        </w:r>
        <w:r>
          <w:rPr>
            <w:webHidden/>
          </w:rPr>
        </w:r>
        <w:r>
          <w:rPr>
            <w:webHidden/>
          </w:rPr>
          <w:fldChar w:fldCharType="separate"/>
        </w:r>
        <w:r>
          <w:rPr>
            <w:webHidden/>
          </w:rPr>
          <w:t>79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2" w:history="1">
        <w:r w:rsidRPr="008E79CA">
          <w:rPr>
            <w:rStyle w:val="af5"/>
          </w:rPr>
          <w:t>Рисунок 15 – Представление контента в виде карточек</w:t>
        </w:r>
        <w:r>
          <w:rPr>
            <w:webHidden/>
          </w:rPr>
          <w:tab/>
        </w:r>
        <w:r>
          <w:rPr>
            <w:webHidden/>
          </w:rPr>
          <w:fldChar w:fldCharType="begin"/>
        </w:r>
        <w:r>
          <w:rPr>
            <w:webHidden/>
          </w:rPr>
          <w:instrText xml:space="preserve"> PAGEREF _Toc119584202 \h </w:instrText>
        </w:r>
        <w:r>
          <w:rPr>
            <w:webHidden/>
          </w:rPr>
        </w:r>
        <w:r>
          <w:rPr>
            <w:webHidden/>
          </w:rPr>
          <w:fldChar w:fldCharType="separate"/>
        </w:r>
        <w:r>
          <w:rPr>
            <w:webHidden/>
          </w:rPr>
          <w:t>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3" w:history="1">
        <w:r w:rsidRPr="008E79CA">
          <w:rPr>
            <w:rStyle w:val="af5"/>
          </w:rPr>
          <w:t>Рисунок 16 – Представление контента в виде дерева</w:t>
        </w:r>
        <w:r>
          <w:rPr>
            <w:webHidden/>
          </w:rPr>
          <w:tab/>
        </w:r>
        <w:r>
          <w:rPr>
            <w:webHidden/>
          </w:rPr>
          <w:fldChar w:fldCharType="begin"/>
        </w:r>
        <w:r>
          <w:rPr>
            <w:webHidden/>
          </w:rPr>
          <w:instrText xml:space="preserve"> PAGEREF _Toc119584203 \h </w:instrText>
        </w:r>
        <w:r>
          <w:rPr>
            <w:webHidden/>
          </w:rPr>
        </w:r>
        <w:r>
          <w:rPr>
            <w:webHidden/>
          </w:rPr>
          <w:fldChar w:fldCharType="separate"/>
        </w:r>
        <w:r>
          <w:rPr>
            <w:webHidden/>
          </w:rPr>
          <w:t>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4" w:history="1">
        <w:r w:rsidRPr="008E79CA">
          <w:rPr>
            <w:rStyle w:val="af5"/>
          </w:rPr>
          <w:t>Рисунок 17 – Кнопки переключения режима отображения</w:t>
        </w:r>
        <w:r>
          <w:rPr>
            <w:webHidden/>
          </w:rPr>
          <w:tab/>
        </w:r>
        <w:r>
          <w:rPr>
            <w:webHidden/>
          </w:rPr>
          <w:fldChar w:fldCharType="begin"/>
        </w:r>
        <w:r>
          <w:rPr>
            <w:webHidden/>
          </w:rPr>
          <w:instrText xml:space="preserve"> PAGEREF _Toc119584204 \h </w:instrText>
        </w:r>
        <w:r>
          <w:rPr>
            <w:webHidden/>
          </w:rPr>
        </w:r>
        <w:r>
          <w:rPr>
            <w:webHidden/>
          </w:rPr>
          <w:fldChar w:fldCharType="separate"/>
        </w:r>
        <w:r>
          <w:rPr>
            <w:webHidden/>
          </w:rPr>
          <w:t>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5" w:history="1">
        <w:r w:rsidRPr="008E79CA">
          <w:rPr>
            <w:rStyle w:val="af5"/>
          </w:rPr>
          <w:t>Рисунок 18 – Блок «Избранное» без включенных в него отчетов</w:t>
        </w:r>
        <w:r>
          <w:rPr>
            <w:webHidden/>
          </w:rPr>
          <w:tab/>
        </w:r>
        <w:r>
          <w:rPr>
            <w:webHidden/>
          </w:rPr>
          <w:fldChar w:fldCharType="begin"/>
        </w:r>
        <w:r>
          <w:rPr>
            <w:webHidden/>
          </w:rPr>
          <w:instrText xml:space="preserve"> PAGEREF _Toc119584205 \h </w:instrText>
        </w:r>
        <w:r>
          <w:rPr>
            <w:webHidden/>
          </w:rPr>
        </w:r>
        <w:r>
          <w:rPr>
            <w:webHidden/>
          </w:rPr>
          <w:fldChar w:fldCharType="separate"/>
        </w:r>
        <w:r>
          <w:rPr>
            <w:webHidden/>
          </w:rPr>
          <w:t>81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6" w:history="1">
        <w:r w:rsidRPr="008E79CA">
          <w:rPr>
            <w:rStyle w:val="af5"/>
          </w:rPr>
          <w:t>Рисунок 19 – Добавление отчета в «Избранное»</w:t>
        </w:r>
        <w:r>
          <w:rPr>
            <w:webHidden/>
          </w:rPr>
          <w:tab/>
        </w:r>
        <w:r>
          <w:rPr>
            <w:webHidden/>
          </w:rPr>
          <w:fldChar w:fldCharType="begin"/>
        </w:r>
        <w:r>
          <w:rPr>
            <w:webHidden/>
          </w:rPr>
          <w:instrText xml:space="preserve"> PAGEREF _Toc119584206 \h </w:instrText>
        </w:r>
        <w:r>
          <w:rPr>
            <w:webHidden/>
          </w:rPr>
        </w:r>
        <w:r>
          <w:rPr>
            <w:webHidden/>
          </w:rPr>
          <w:fldChar w:fldCharType="separate"/>
        </w:r>
        <w:r>
          <w:rPr>
            <w:webHidden/>
          </w:rPr>
          <w:t>82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7" w:history="1">
        <w:r w:rsidRPr="008E79CA">
          <w:rPr>
            <w:rStyle w:val="af5"/>
          </w:rPr>
          <w:t>Рисунок 20 – Панель «Избранное» с перечнем отчетов</w:t>
        </w:r>
        <w:r>
          <w:rPr>
            <w:webHidden/>
          </w:rPr>
          <w:tab/>
        </w:r>
        <w:r>
          <w:rPr>
            <w:webHidden/>
          </w:rPr>
          <w:fldChar w:fldCharType="begin"/>
        </w:r>
        <w:r>
          <w:rPr>
            <w:webHidden/>
          </w:rPr>
          <w:instrText xml:space="preserve"> PAGEREF _Toc119584207 \h </w:instrText>
        </w:r>
        <w:r>
          <w:rPr>
            <w:webHidden/>
          </w:rPr>
        </w:r>
        <w:r>
          <w:rPr>
            <w:webHidden/>
          </w:rPr>
          <w:fldChar w:fldCharType="separate"/>
        </w:r>
        <w:r>
          <w:rPr>
            <w:webHidden/>
          </w:rPr>
          <w:t>82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8" w:history="1">
        <w:r w:rsidRPr="008E79CA">
          <w:rPr>
            <w:rStyle w:val="af5"/>
          </w:rPr>
          <w:t>Рисунок 21 – Добавление элемента в «Избранное» через навигационное меню информационной витрины</w:t>
        </w:r>
        <w:r>
          <w:rPr>
            <w:webHidden/>
          </w:rPr>
          <w:tab/>
        </w:r>
        <w:r>
          <w:rPr>
            <w:webHidden/>
          </w:rPr>
          <w:fldChar w:fldCharType="begin"/>
        </w:r>
        <w:r>
          <w:rPr>
            <w:webHidden/>
          </w:rPr>
          <w:instrText xml:space="preserve"> PAGEREF _Toc119584208 \h </w:instrText>
        </w:r>
        <w:r>
          <w:rPr>
            <w:webHidden/>
          </w:rPr>
        </w:r>
        <w:r>
          <w:rPr>
            <w:webHidden/>
          </w:rPr>
          <w:fldChar w:fldCharType="separate"/>
        </w:r>
        <w:r>
          <w:rPr>
            <w:webHidden/>
          </w:rPr>
          <w:t>83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09" w:history="1">
        <w:r w:rsidRPr="008E79CA">
          <w:rPr>
            <w:rStyle w:val="af5"/>
          </w:rPr>
          <w:t>Рисунок 22 – Репозиторий содержимого пользователя Подсистемы</w:t>
        </w:r>
        <w:r>
          <w:rPr>
            <w:webHidden/>
          </w:rPr>
          <w:tab/>
        </w:r>
        <w:r>
          <w:rPr>
            <w:webHidden/>
          </w:rPr>
          <w:fldChar w:fldCharType="begin"/>
        </w:r>
        <w:r>
          <w:rPr>
            <w:webHidden/>
          </w:rPr>
          <w:instrText xml:space="preserve"> PAGEREF _Toc119584209 \h </w:instrText>
        </w:r>
        <w:r>
          <w:rPr>
            <w:webHidden/>
          </w:rPr>
        </w:r>
        <w:r>
          <w:rPr>
            <w:webHidden/>
          </w:rPr>
          <w:fldChar w:fldCharType="separate"/>
        </w:r>
        <w:r>
          <w:rPr>
            <w:webHidden/>
          </w:rPr>
          <w:t>84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0" w:history="1">
        <w:r w:rsidRPr="008E79CA">
          <w:rPr>
            <w:rStyle w:val="af5"/>
          </w:rPr>
          <w:t>Рисунок 23 – Удаление элемента из избранного с помощью интерфейса «Избранное»</w:t>
        </w:r>
        <w:r>
          <w:rPr>
            <w:webHidden/>
          </w:rPr>
          <w:tab/>
        </w:r>
        <w:r>
          <w:rPr>
            <w:webHidden/>
          </w:rPr>
          <w:fldChar w:fldCharType="begin"/>
        </w:r>
        <w:r>
          <w:rPr>
            <w:webHidden/>
          </w:rPr>
          <w:instrText xml:space="preserve"> PAGEREF _Toc119584210 \h </w:instrText>
        </w:r>
        <w:r>
          <w:rPr>
            <w:webHidden/>
          </w:rPr>
        </w:r>
        <w:r>
          <w:rPr>
            <w:webHidden/>
          </w:rPr>
          <w:fldChar w:fldCharType="separate"/>
        </w:r>
        <w:r>
          <w:rPr>
            <w:webHidden/>
          </w:rPr>
          <w:t>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1" w:history="1">
        <w:r w:rsidRPr="008E79CA">
          <w:rPr>
            <w:rStyle w:val="af5"/>
          </w:rPr>
          <w:t>Рисунок 24 – Удаление отчета из перечня избранных через отчет</w:t>
        </w:r>
        <w:r>
          <w:rPr>
            <w:webHidden/>
          </w:rPr>
          <w:tab/>
        </w:r>
        <w:r>
          <w:rPr>
            <w:webHidden/>
          </w:rPr>
          <w:fldChar w:fldCharType="begin"/>
        </w:r>
        <w:r>
          <w:rPr>
            <w:webHidden/>
          </w:rPr>
          <w:instrText xml:space="preserve"> PAGEREF _Toc119584211 \h </w:instrText>
        </w:r>
        <w:r>
          <w:rPr>
            <w:webHidden/>
          </w:rPr>
        </w:r>
        <w:r>
          <w:rPr>
            <w:webHidden/>
          </w:rPr>
          <w:fldChar w:fldCharType="separate"/>
        </w:r>
        <w:r>
          <w:rPr>
            <w:webHidden/>
          </w:rPr>
          <w:t>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2" w:history="1">
        <w:r w:rsidRPr="008E79CA">
          <w:rPr>
            <w:rStyle w:val="af5"/>
          </w:rPr>
          <w:t>Рисунок 25 – Исключение элемента из избранного через навигационное меню информационного витрины</w:t>
        </w:r>
        <w:r>
          <w:rPr>
            <w:webHidden/>
          </w:rPr>
          <w:tab/>
        </w:r>
        <w:r>
          <w:rPr>
            <w:webHidden/>
          </w:rPr>
          <w:fldChar w:fldCharType="begin"/>
        </w:r>
        <w:r>
          <w:rPr>
            <w:webHidden/>
          </w:rPr>
          <w:instrText xml:space="preserve"> PAGEREF _Toc119584212 \h </w:instrText>
        </w:r>
        <w:r>
          <w:rPr>
            <w:webHidden/>
          </w:rPr>
        </w:r>
        <w:r>
          <w:rPr>
            <w:webHidden/>
          </w:rPr>
          <w:fldChar w:fldCharType="separate"/>
        </w:r>
        <w:r>
          <w:rPr>
            <w:webHidden/>
          </w:rPr>
          <w:t>86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3" w:history="1">
        <w:r w:rsidRPr="008E79CA">
          <w:rPr>
            <w:rStyle w:val="af5"/>
          </w:rPr>
          <w:t>Рисунок 26 – Добавление нового раздела в Избранное</w:t>
        </w:r>
        <w:r>
          <w:rPr>
            <w:webHidden/>
          </w:rPr>
          <w:tab/>
        </w:r>
        <w:r>
          <w:rPr>
            <w:webHidden/>
          </w:rPr>
          <w:fldChar w:fldCharType="begin"/>
        </w:r>
        <w:r>
          <w:rPr>
            <w:webHidden/>
          </w:rPr>
          <w:instrText xml:space="preserve"> PAGEREF _Toc119584213 \h </w:instrText>
        </w:r>
        <w:r>
          <w:rPr>
            <w:webHidden/>
          </w:rPr>
        </w:r>
        <w:r>
          <w:rPr>
            <w:webHidden/>
          </w:rPr>
          <w:fldChar w:fldCharType="separate"/>
        </w:r>
        <w:r>
          <w:rPr>
            <w:webHidden/>
          </w:rPr>
          <w:t>87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4" w:history="1">
        <w:r w:rsidRPr="008E79CA">
          <w:rPr>
            <w:rStyle w:val="af5"/>
          </w:rPr>
          <w:t>Рисунок 27 – Результат добавления нового раздела в Избранное</w:t>
        </w:r>
        <w:r>
          <w:rPr>
            <w:webHidden/>
          </w:rPr>
          <w:tab/>
        </w:r>
        <w:r>
          <w:rPr>
            <w:webHidden/>
          </w:rPr>
          <w:fldChar w:fldCharType="begin"/>
        </w:r>
        <w:r>
          <w:rPr>
            <w:webHidden/>
          </w:rPr>
          <w:instrText xml:space="preserve"> PAGEREF _Toc119584214 \h </w:instrText>
        </w:r>
        <w:r>
          <w:rPr>
            <w:webHidden/>
          </w:rPr>
        </w:r>
        <w:r>
          <w:rPr>
            <w:webHidden/>
          </w:rPr>
          <w:fldChar w:fldCharType="separate"/>
        </w:r>
        <w:r>
          <w:rPr>
            <w:webHidden/>
          </w:rPr>
          <w:t>87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5" w:history="1">
        <w:r w:rsidRPr="008E79CA">
          <w:rPr>
            <w:rStyle w:val="af5"/>
          </w:rPr>
          <w:t>Рисунок 28 – Личная папка пользователя Подсистемы в репозитории содержимого</w:t>
        </w:r>
        <w:r>
          <w:rPr>
            <w:webHidden/>
          </w:rPr>
          <w:tab/>
        </w:r>
        <w:r>
          <w:rPr>
            <w:webHidden/>
          </w:rPr>
          <w:fldChar w:fldCharType="begin"/>
        </w:r>
        <w:r>
          <w:rPr>
            <w:webHidden/>
          </w:rPr>
          <w:instrText xml:space="preserve"> PAGEREF _Toc119584215 \h </w:instrText>
        </w:r>
        <w:r>
          <w:rPr>
            <w:webHidden/>
          </w:rPr>
        </w:r>
        <w:r>
          <w:rPr>
            <w:webHidden/>
          </w:rPr>
          <w:fldChar w:fldCharType="separate"/>
        </w:r>
        <w:r>
          <w:rPr>
            <w:webHidden/>
          </w:rPr>
          <w:t>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6" w:history="1">
        <w:r w:rsidRPr="008E79CA">
          <w:rPr>
            <w:rStyle w:val="af5"/>
          </w:rPr>
          <w:t>Рисунок 29 – Интерфейс расширенного поиска</w:t>
        </w:r>
        <w:r>
          <w:rPr>
            <w:webHidden/>
          </w:rPr>
          <w:tab/>
        </w:r>
        <w:r>
          <w:rPr>
            <w:webHidden/>
          </w:rPr>
          <w:fldChar w:fldCharType="begin"/>
        </w:r>
        <w:r>
          <w:rPr>
            <w:webHidden/>
          </w:rPr>
          <w:instrText xml:space="preserve"> PAGEREF _Toc119584216 \h </w:instrText>
        </w:r>
        <w:r>
          <w:rPr>
            <w:webHidden/>
          </w:rPr>
        </w:r>
        <w:r>
          <w:rPr>
            <w:webHidden/>
          </w:rPr>
          <w:fldChar w:fldCharType="separate"/>
        </w:r>
        <w:r>
          <w:rPr>
            <w:webHidden/>
          </w:rPr>
          <w:t>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7" w:history="1">
        <w:r w:rsidRPr="008E79CA">
          <w:rPr>
            <w:rStyle w:val="af5"/>
          </w:rPr>
          <w:t>Рисунок 30 – Результаты поиска в интерфейсе Подсистемы</w:t>
        </w:r>
        <w:r>
          <w:rPr>
            <w:webHidden/>
          </w:rPr>
          <w:tab/>
        </w:r>
        <w:r>
          <w:rPr>
            <w:webHidden/>
          </w:rPr>
          <w:fldChar w:fldCharType="begin"/>
        </w:r>
        <w:r>
          <w:rPr>
            <w:webHidden/>
          </w:rPr>
          <w:instrText xml:space="preserve"> PAGEREF _Toc119584217 \h </w:instrText>
        </w:r>
        <w:r>
          <w:rPr>
            <w:webHidden/>
          </w:rPr>
        </w:r>
        <w:r>
          <w:rPr>
            <w:webHidden/>
          </w:rPr>
          <w:fldChar w:fldCharType="separate"/>
        </w:r>
        <w:r>
          <w:rPr>
            <w:webHidden/>
          </w:rPr>
          <w:t>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8" w:history="1">
        <w:r w:rsidRPr="008E79CA">
          <w:rPr>
            <w:rStyle w:val="af5"/>
          </w:rPr>
          <w:t>Рисунок 31 – Интерфейс «Конструктор отчетов»</w:t>
        </w:r>
        <w:r>
          <w:rPr>
            <w:webHidden/>
          </w:rPr>
          <w:tab/>
        </w:r>
        <w:r>
          <w:rPr>
            <w:webHidden/>
          </w:rPr>
          <w:fldChar w:fldCharType="begin"/>
        </w:r>
        <w:r>
          <w:rPr>
            <w:webHidden/>
          </w:rPr>
          <w:instrText xml:space="preserve"> PAGEREF _Toc119584218 \h </w:instrText>
        </w:r>
        <w:r>
          <w:rPr>
            <w:webHidden/>
          </w:rPr>
        </w:r>
        <w:r>
          <w:rPr>
            <w:webHidden/>
          </w:rPr>
          <w:fldChar w:fldCharType="separate"/>
        </w:r>
        <w:r>
          <w:rPr>
            <w:webHidden/>
          </w:rPr>
          <w:t>91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19" w:history="1">
        <w:r w:rsidRPr="008E79CA">
          <w:rPr>
            <w:rStyle w:val="af5"/>
          </w:rPr>
          <w:t>Рисунок 32 – Очередь загрузок</w:t>
        </w:r>
        <w:r>
          <w:rPr>
            <w:webHidden/>
          </w:rPr>
          <w:tab/>
        </w:r>
        <w:r>
          <w:rPr>
            <w:webHidden/>
          </w:rPr>
          <w:fldChar w:fldCharType="begin"/>
        </w:r>
        <w:r>
          <w:rPr>
            <w:webHidden/>
          </w:rPr>
          <w:instrText xml:space="preserve"> PAGEREF _Toc119584219 \h </w:instrText>
        </w:r>
        <w:r>
          <w:rPr>
            <w:webHidden/>
          </w:rPr>
        </w:r>
        <w:r>
          <w:rPr>
            <w:webHidden/>
          </w:rPr>
          <w:fldChar w:fldCharType="separate"/>
        </w:r>
        <w:r>
          <w:rPr>
            <w:webHidden/>
          </w:rPr>
          <w:t>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0" w:history="1">
        <w:r w:rsidRPr="008E79CA">
          <w:rPr>
            <w:rStyle w:val="af5"/>
          </w:rPr>
          <w:t>Рисунок 33 – Панель «Настройки пользователя»</w:t>
        </w:r>
        <w:r>
          <w:rPr>
            <w:webHidden/>
          </w:rPr>
          <w:tab/>
        </w:r>
        <w:r>
          <w:rPr>
            <w:webHidden/>
          </w:rPr>
          <w:fldChar w:fldCharType="begin"/>
        </w:r>
        <w:r>
          <w:rPr>
            <w:webHidden/>
          </w:rPr>
          <w:instrText xml:space="preserve"> PAGEREF _Toc119584220 \h </w:instrText>
        </w:r>
        <w:r>
          <w:rPr>
            <w:webHidden/>
          </w:rPr>
        </w:r>
        <w:r>
          <w:rPr>
            <w:webHidden/>
          </w:rPr>
          <w:fldChar w:fldCharType="separate"/>
        </w:r>
        <w:r>
          <w:rPr>
            <w:webHidden/>
          </w:rPr>
          <w:t>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1" w:history="1">
        <w:r w:rsidRPr="008E79CA">
          <w:rPr>
            <w:rStyle w:val="af5"/>
          </w:rPr>
          <w:t>Рисунок 34 – Информация о текущей версии ППО</w:t>
        </w:r>
        <w:r>
          <w:rPr>
            <w:webHidden/>
          </w:rPr>
          <w:tab/>
        </w:r>
        <w:r>
          <w:rPr>
            <w:webHidden/>
          </w:rPr>
          <w:fldChar w:fldCharType="begin"/>
        </w:r>
        <w:r>
          <w:rPr>
            <w:webHidden/>
          </w:rPr>
          <w:instrText xml:space="preserve"> PAGEREF _Toc119584221 \h </w:instrText>
        </w:r>
        <w:r>
          <w:rPr>
            <w:webHidden/>
          </w:rPr>
        </w:r>
        <w:r>
          <w:rPr>
            <w:webHidden/>
          </w:rPr>
          <w:fldChar w:fldCharType="separate"/>
        </w:r>
        <w:r>
          <w:rPr>
            <w:webHidden/>
          </w:rPr>
          <w:t>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2" w:history="1">
        <w:r w:rsidRPr="008E79CA">
          <w:rPr>
            <w:rStyle w:val="af5"/>
          </w:rPr>
          <w:t>Рисунок 35 – Каталог «Конфигурация портала»</w:t>
        </w:r>
        <w:r>
          <w:rPr>
            <w:webHidden/>
          </w:rPr>
          <w:tab/>
        </w:r>
        <w:r>
          <w:rPr>
            <w:webHidden/>
          </w:rPr>
          <w:fldChar w:fldCharType="begin"/>
        </w:r>
        <w:r>
          <w:rPr>
            <w:webHidden/>
          </w:rPr>
          <w:instrText xml:space="preserve"> PAGEREF _Toc119584222 \h </w:instrText>
        </w:r>
        <w:r>
          <w:rPr>
            <w:webHidden/>
          </w:rPr>
        </w:r>
        <w:r>
          <w:rPr>
            <w:webHidden/>
          </w:rPr>
          <w:fldChar w:fldCharType="separate"/>
        </w:r>
        <w:r>
          <w:rPr>
            <w:webHidden/>
          </w:rPr>
          <w:t>95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3" w:history="1">
        <w:r w:rsidRPr="008E79CA">
          <w:rPr>
            <w:rStyle w:val="af5"/>
          </w:rPr>
          <w:t>Рисунок 36 – Отчет портала ПИАО «</w:t>
        </w:r>
        <w:r w:rsidRPr="008E79CA">
          <w:rPr>
            <w:rStyle w:val="af5"/>
            <w:lang w:val="en-US"/>
          </w:rPr>
          <w:t>portalReport</w:t>
        </w:r>
        <w:r w:rsidRPr="008E79CA">
          <w:rPr>
            <w:rStyle w:val="af5"/>
          </w:rPr>
          <w:t>». Взятие на редактирование</w:t>
        </w:r>
        <w:r>
          <w:rPr>
            <w:webHidden/>
          </w:rPr>
          <w:tab/>
        </w:r>
        <w:r>
          <w:rPr>
            <w:webHidden/>
          </w:rPr>
          <w:fldChar w:fldCharType="begin"/>
        </w:r>
        <w:r>
          <w:rPr>
            <w:webHidden/>
          </w:rPr>
          <w:instrText xml:space="preserve"> PAGEREF _Toc119584223 \h </w:instrText>
        </w:r>
        <w:r>
          <w:rPr>
            <w:webHidden/>
          </w:rPr>
        </w:r>
        <w:r>
          <w:rPr>
            <w:webHidden/>
          </w:rPr>
          <w:fldChar w:fldCharType="separate"/>
        </w:r>
        <w:r>
          <w:rPr>
            <w:webHidden/>
          </w:rPr>
          <w:t>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4" w:history="1">
        <w:r w:rsidRPr="008E79CA">
          <w:rPr>
            <w:rStyle w:val="af5"/>
          </w:rPr>
          <w:t>Рисунок 37 – Функция «Показать код узла» для Отчета портала ПИАО</w:t>
        </w:r>
        <w:r>
          <w:rPr>
            <w:webHidden/>
          </w:rPr>
          <w:tab/>
        </w:r>
        <w:r>
          <w:rPr>
            <w:webHidden/>
          </w:rPr>
          <w:fldChar w:fldCharType="begin"/>
        </w:r>
        <w:r>
          <w:rPr>
            <w:webHidden/>
          </w:rPr>
          <w:instrText xml:space="preserve"> PAGEREF _Toc119584224 \h </w:instrText>
        </w:r>
        <w:r>
          <w:rPr>
            <w:webHidden/>
          </w:rPr>
        </w:r>
        <w:r>
          <w:rPr>
            <w:webHidden/>
          </w:rPr>
          <w:fldChar w:fldCharType="separate"/>
        </w:r>
        <w:r>
          <w:rPr>
            <w:webHidden/>
          </w:rPr>
          <w:t>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5" w:history="1">
        <w:r w:rsidRPr="008E79CA">
          <w:rPr>
            <w:rStyle w:val="af5"/>
          </w:rPr>
          <w:t>Рисунок 38 – Строка с номером версии портала в коде узла отчета портала</w:t>
        </w:r>
        <w:r>
          <w:rPr>
            <w:webHidden/>
          </w:rPr>
          <w:tab/>
        </w:r>
        <w:r>
          <w:rPr>
            <w:webHidden/>
          </w:rPr>
          <w:fldChar w:fldCharType="begin"/>
        </w:r>
        <w:r>
          <w:rPr>
            <w:webHidden/>
          </w:rPr>
          <w:instrText xml:space="preserve"> PAGEREF _Toc119584225 \h </w:instrText>
        </w:r>
        <w:r>
          <w:rPr>
            <w:webHidden/>
          </w:rPr>
        </w:r>
        <w:r>
          <w:rPr>
            <w:webHidden/>
          </w:rPr>
          <w:fldChar w:fldCharType="separate"/>
        </w:r>
        <w:r>
          <w:rPr>
            <w:webHidden/>
          </w:rPr>
          <w:t>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6" w:history="1">
        <w:r w:rsidRPr="008E79CA">
          <w:rPr>
            <w:rStyle w:val="af5"/>
          </w:rPr>
          <w:t>Рисунок 39 – Переход к аналитическому отчету из интерфейса «Витрины»</w:t>
        </w:r>
        <w:r>
          <w:rPr>
            <w:webHidden/>
          </w:rPr>
          <w:tab/>
        </w:r>
        <w:r>
          <w:rPr>
            <w:webHidden/>
          </w:rPr>
          <w:fldChar w:fldCharType="begin"/>
        </w:r>
        <w:r>
          <w:rPr>
            <w:webHidden/>
          </w:rPr>
          <w:instrText xml:space="preserve"> PAGEREF _Toc119584226 \h </w:instrText>
        </w:r>
        <w:r>
          <w:rPr>
            <w:webHidden/>
          </w:rPr>
        </w:r>
        <w:r>
          <w:rPr>
            <w:webHidden/>
          </w:rPr>
          <w:fldChar w:fldCharType="separate"/>
        </w:r>
        <w:r>
          <w:rPr>
            <w:webHidden/>
          </w:rPr>
          <w:t>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7" w:history="1">
        <w:r w:rsidRPr="008E79CA">
          <w:rPr>
            <w:rStyle w:val="af5"/>
          </w:rPr>
          <w:t>Рисунок 40 – Кнопки переключения представлений отчета</w:t>
        </w:r>
        <w:r>
          <w:rPr>
            <w:webHidden/>
          </w:rPr>
          <w:tab/>
        </w:r>
        <w:r>
          <w:rPr>
            <w:webHidden/>
          </w:rPr>
          <w:fldChar w:fldCharType="begin"/>
        </w:r>
        <w:r>
          <w:rPr>
            <w:webHidden/>
          </w:rPr>
          <w:instrText xml:space="preserve"> PAGEREF _Toc119584227 \h </w:instrText>
        </w:r>
        <w:r>
          <w:rPr>
            <w:webHidden/>
          </w:rPr>
        </w:r>
        <w:r>
          <w:rPr>
            <w:webHidden/>
          </w:rPr>
          <w:fldChar w:fldCharType="separate"/>
        </w:r>
        <w:r>
          <w:rPr>
            <w:webHidden/>
          </w:rPr>
          <w:t>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8" w:history="1">
        <w:r w:rsidRPr="008E79CA">
          <w:rPr>
            <w:rStyle w:val="af5"/>
          </w:rPr>
          <w:t>Рисунок 41 – Ссылки для перехода на детализирующие отчеты</w:t>
        </w:r>
        <w:r>
          <w:rPr>
            <w:webHidden/>
          </w:rPr>
          <w:tab/>
        </w:r>
        <w:r>
          <w:rPr>
            <w:webHidden/>
          </w:rPr>
          <w:fldChar w:fldCharType="begin"/>
        </w:r>
        <w:r>
          <w:rPr>
            <w:webHidden/>
          </w:rPr>
          <w:instrText xml:space="preserve"> PAGEREF _Toc119584228 \h </w:instrText>
        </w:r>
        <w:r>
          <w:rPr>
            <w:webHidden/>
          </w:rPr>
        </w:r>
        <w:r>
          <w:rPr>
            <w:webHidden/>
          </w:rPr>
          <w:fldChar w:fldCharType="separate"/>
        </w:r>
        <w:r>
          <w:rPr>
            <w:webHidden/>
          </w:rPr>
          <w:t>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29" w:history="1">
        <w:r w:rsidRPr="008E79CA">
          <w:rPr>
            <w:rStyle w:val="af5"/>
          </w:rPr>
          <w:t>Рисунок 42 – Навигационная цепочка ссылок</w:t>
        </w:r>
        <w:r>
          <w:rPr>
            <w:webHidden/>
          </w:rPr>
          <w:tab/>
        </w:r>
        <w:r>
          <w:rPr>
            <w:webHidden/>
          </w:rPr>
          <w:fldChar w:fldCharType="begin"/>
        </w:r>
        <w:r>
          <w:rPr>
            <w:webHidden/>
          </w:rPr>
          <w:instrText xml:space="preserve"> PAGEREF _Toc119584229 \h </w:instrText>
        </w:r>
        <w:r>
          <w:rPr>
            <w:webHidden/>
          </w:rPr>
        </w:r>
        <w:r>
          <w:rPr>
            <w:webHidden/>
          </w:rPr>
          <w:fldChar w:fldCharType="separate"/>
        </w:r>
        <w:r>
          <w:rPr>
            <w:webHidden/>
          </w:rPr>
          <w:t>100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0" w:history="1">
        <w:r w:rsidRPr="008E79CA">
          <w:rPr>
            <w:rStyle w:val="af5"/>
          </w:rPr>
          <w:t>Рисунок 43 – Блок «Интерфейсы» в раскрытом виде</w:t>
        </w:r>
        <w:r>
          <w:rPr>
            <w:webHidden/>
          </w:rPr>
          <w:tab/>
        </w:r>
        <w:r>
          <w:rPr>
            <w:webHidden/>
          </w:rPr>
          <w:fldChar w:fldCharType="begin"/>
        </w:r>
        <w:r>
          <w:rPr>
            <w:webHidden/>
          </w:rPr>
          <w:instrText xml:space="preserve"> PAGEREF _Toc119584230 \h </w:instrText>
        </w:r>
        <w:r>
          <w:rPr>
            <w:webHidden/>
          </w:rPr>
        </w:r>
        <w:r>
          <w:rPr>
            <w:webHidden/>
          </w:rPr>
          <w:fldChar w:fldCharType="separate"/>
        </w:r>
        <w:r>
          <w:rPr>
            <w:webHidden/>
          </w:rPr>
          <w:t>100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1" w:history="1">
        <w:r w:rsidRPr="008E79CA">
          <w:rPr>
            <w:rStyle w:val="af5"/>
          </w:rPr>
          <w:t>Рисунок 44 – Функциональные кнопки в отчете</w:t>
        </w:r>
        <w:r>
          <w:rPr>
            <w:webHidden/>
          </w:rPr>
          <w:tab/>
        </w:r>
        <w:r>
          <w:rPr>
            <w:webHidden/>
          </w:rPr>
          <w:fldChar w:fldCharType="begin"/>
        </w:r>
        <w:r>
          <w:rPr>
            <w:webHidden/>
          </w:rPr>
          <w:instrText xml:space="preserve"> PAGEREF _Toc119584231 \h </w:instrText>
        </w:r>
        <w:r>
          <w:rPr>
            <w:webHidden/>
          </w:rPr>
        </w:r>
        <w:r>
          <w:rPr>
            <w:webHidden/>
          </w:rPr>
          <w:fldChar w:fldCharType="separate"/>
        </w:r>
        <w:r>
          <w:rPr>
            <w:webHidden/>
          </w:rPr>
          <w:t>101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2" w:history="1">
        <w:r w:rsidRPr="008E79CA">
          <w:rPr>
            <w:rStyle w:val="af5"/>
          </w:rPr>
          <w:t>Рисунок 45 – Кнопка «Добавить в Избранное» непосредственно из отчета</w:t>
        </w:r>
        <w:r>
          <w:rPr>
            <w:webHidden/>
          </w:rPr>
          <w:tab/>
        </w:r>
        <w:r>
          <w:rPr>
            <w:webHidden/>
          </w:rPr>
          <w:fldChar w:fldCharType="begin"/>
        </w:r>
        <w:r>
          <w:rPr>
            <w:webHidden/>
          </w:rPr>
          <w:instrText xml:space="preserve"> PAGEREF _Toc119584232 \h </w:instrText>
        </w:r>
        <w:r>
          <w:rPr>
            <w:webHidden/>
          </w:rPr>
        </w:r>
        <w:r>
          <w:rPr>
            <w:webHidden/>
          </w:rPr>
          <w:fldChar w:fldCharType="separate"/>
        </w:r>
        <w:r>
          <w:rPr>
            <w:webHidden/>
          </w:rPr>
          <w:t>101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3" w:history="1">
        <w:r w:rsidRPr="008E79CA">
          <w:rPr>
            <w:rStyle w:val="af5"/>
          </w:rPr>
          <w:t>Рисунок 46 – Кнопка «Исключить из Избранного» непосредственно из отчета</w:t>
        </w:r>
        <w:r>
          <w:rPr>
            <w:webHidden/>
          </w:rPr>
          <w:tab/>
        </w:r>
        <w:r>
          <w:rPr>
            <w:webHidden/>
          </w:rPr>
          <w:fldChar w:fldCharType="begin"/>
        </w:r>
        <w:r>
          <w:rPr>
            <w:webHidden/>
          </w:rPr>
          <w:instrText xml:space="preserve"> PAGEREF _Toc119584233 \h </w:instrText>
        </w:r>
        <w:r>
          <w:rPr>
            <w:webHidden/>
          </w:rPr>
        </w:r>
        <w:r>
          <w:rPr>
            <w:webHidden/>
          </w:rPr>
          <w:fldChar w:fldCharType="separate"/>
        </w:r>
        <w:r>
          <w:rPr>
            <w:webHidden/>
          </w:rPr>
          <w:t>102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4" w:history="1">
        <w:r w:rsidRPr="008E79CA">
          <w:rPr>
            <w:rStyle w:val="af5"/>
          </w:rPr>
          <w:t>Рисунок 47 – Кнопка «Разместить на стартовой странице»</w:t>
        </w:r>
        <w:r>
          <w:rPr>
            <w:webHidden/>
          </w:rPr>
          <w:tab/>
        </w:r>
        <w:r>
          <w:rPr>
            <w:webHidden/>
          </w:rPr>
          <w:fldChar w:fldCharType="begin"/>
        </w:r>
        <w:r>
          <w:rPr>
            <w:webHidden/>
          </w:rPr>
          <w:instrText xml:space="preserve"> PAGEREF _Toc119584234 \h </w:instrText>
        </w:r>
        <w:r>
          <w:rPr>
            <w:webHidden/>
          </w:rPr>
        </w:r>
        <w:r>
          <w:rPr>
            <w:webHidden/>
          </w:rPr>
          <w:fldChar w:fldCharType="separate"/>
        </w:r>
        <w:r>
          <w:rPr>
            <w:webHidden/>
          </w:rPr>
          <w:t>103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5" w:history="1">
        <w:r w:rsidRPr="008E79CA">
          <w:rPr>
            <w:rStyle w:val="af5"/>
          </w:rPr>
          <w:t>Рисунок 48 – Иконка «Главный отчет» на панели инструментов</w:t>
        </w:r>
        <w:r>
          <w:rPr>
            <w:webHidden/>
          </w:rPr>
          <w:tab/>
        </w:r>
        <w:r>
          <w:rPr>
            <w:webHidden/>
          </w:rPr>
          <w:fldChar w:fldCharType="begin"/>
        </w:r>
        <w:r>
          <w:rPr>
            <w:webHidden/>
          </w:rPr>
          <w:instrText xml:space="preserve"> PAGEREF _Toc119584235 \h </w:instrText>
        </w:r>
        <w:r>
          <w:rPr>
            <w:webHidden/>
          </w:rPr>
        </w:r>
        <w:r>
          <w:rPr>
            <w:webHidden/>
          </w:rPr>
          <w:fldChar w:fldCharType="separate"/>
        </w:r>
        <w:r>
          <w:rPr>
            <w:webHidden/>
          </w:rPr>
          <w:t>103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6" w:history="1">
        <w:r w:rsidRPr="008E79CA">
          <w:rPr>
            <w:rStyle w:val="af5"/>
          </w:rPr>
          <w:t>Рисунок 49 – Кнопка «Исключить со стартовой страницы»</w:t>
        </w:r>
        <w:r>
          <w:rPr>
            <w:webHidden/>
          </w:rPr>
          <w:tab/>
        </w:r>
        <w:r>
          <w:rPr>
            <w:webHidden/>
          </w:rPr>
          <w:fldChar w:fldCharType="begin"/>
        </w:r>
        <w:r>
          <w:rPr>
            <w:webHidden/>
          </w:rPr>
          <w:instrText xml:space="preserve"> PAGEREF _Toc119584236 \h </w:instrText>
        </w:r>
        <w:r>
          <w:rPr>
            <w:webHidden/>
          </w:rPr>
        </w:r>
        <w:r>
          <w:rPr>
            <w:webHidden/>
          </w:rPr>
          <w:fldChar w:fldCharType="separate"/>
        </w:r>
        <w:r>
          <w:rPr>
            <w:webHidden/>
          </w:rPr>
          <w:t>104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7" w:history="1">
        <w:r w:rsidRPr="008E79CA">
          <w:rPr>
            <w:rStyle w:val="af5"/>
          </w:rPr>
          <w:t>Рисунок 50 – Кнопка «Редактировать копию»</w:t>
        </w:r>
        <w:r>
          <w:rPr>
            <w:webHidden/>
          </w:rPr>
          <w:tab/>
        </w:r>
        <w:r>
          <w:rPr>
            <w:webHidden/>
          </w:rPr>
          <w:fldChar w:fldCharType="begin"/>
        </w:r>
        <w:r>
          <w:rPr>
            <w:webHidden/>
          </w:rPr>
          <w:instrText xml:space="preserve"> PAGEREF _Toc119584237 \h </w:instrText>
        </w:r>
        <w:r>
          <w:rPr>
            <w:webHidden/>
          </w:rPr>
        </w:r>
        <w:r>
          <w:rPr>
            <w:webHidden/>
          </w:rPr>
          <w:fldChar w:fldCharType="separate"/>
        </w:r>
        <w:r>
          <w:rPr>
            <w:webHidden/>
          </w:rPr>
          <w:t>105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8" w:history="1">
        <w:r w:rsidRPr="008E79CA">
          <w:rPr>
            <w:rStyle w:val="af5"/>
          </w:rPr>
          <w:t>Рисунок 51 – Копия аналитического отчета, открытая для редактирования с помощью функции «Редактировать отчет»</w:t>
        </w:r>
        <w:r>
          <w:rPr>
            <w:webHidden/>
          </w:rPr>
          <w:tab/>
        </w:r>
        <w:r>
          <w:rPr>
            <w:webHidden/>
          </w:rPr>
          <w:fldChar w:fldCharType="begin"/>
        </w:r>
        <w:r>
          <w:rPr>
            <w:webHidden/>
          </w:rPr>
          <w:instrText xml:space="preserve"> PAGEREF _Toc119584238 \h </w:instrText>
        </w:r>
        <w:r>
          <w:rPr>
            <w:webHidden/>
          </w:rPr>
        </w:r>
        <w:r>
          <w:rPr>
            <w:webHidden/>
          </w:rPr>
          <w:fldChar w:fldCharType="separate"/>
        </w:r>
        <w:r>
          <w:rPr>
            <w:webHidden/>
          </w:rPr>
          <w:t>105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39" w:history="1">
        <w:r w:rsidRPr="008E79CA">
          <w:rPr>
            <w:rStyle w:val="af5"/>
          </w:rPr>
          <w:t>Рисунок 52 – Кнопка «Очистить фильтры»</w:t>
        </w:r>
        <w:r>
          <w:rPr>
            <w:webHidden/>
          </w:rPr>
          <w:tab/>
        </w:r>
        <w:r>
          <w:rPr>
            <w:webHidden/>
          </w:rPr>
          <w:fldChar w:fldCharType="begin"/>
        </w:r>
        <w:r>
          <w:rPr>
            <w:webHidden/>
          </w:rPr>
          <w:instrText xml:space="preserve"> PAGEREF _Toc119584239 \h </w:instrText>
        </w:r>
        <w:r>
          <w:rPr>
            <w:webHidden/>
          </w:rPr>
        </w:r>
        <w:r>
          <w:rPr>
            <w:webHidden/>
          </w:rPr>
          <w:fldChar w:fldCharType="separate"/>
        </w:r>
        <w:r>
          <w:rPr>
            <w:webHidden/>
          </w:rPr>
          <w:t>106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0" w:history="1">
        <w:r w:rsidRPr="008E79CA">
          <w:rPr>
            <w:rStyle w:val="af5"/>
          </w:rPr>
          <w:t>Рисунок 53 – Кнопка «Справка»</w:t>
        </w:r>
        <w:r>
          <w:rPr>
            <w:webHidden/>
          </w:rPr>
          <w:tab/>
        </w:r>
        <w:r>
          <w:rPr>
            <w:webHidden/>
          </w:rPr>
          <w:fldChar w:fldCharType="begin"/>
        </w:r>
        <w:r>
          <w:rPr>
            <w:webHidden/>
          </w:rPr>
          <w:instrText xml:space="preserve"> PAGEREF _Toc119584240 \h </w:instrText>
        </w:r>
        <w:r>
          <w:rPr>
            <w:webHidden/>
          </w:rPr>
        </w:r>
        <w:r>
          <w:rPr>
            <w:webHidden/>
          </w:rPr>
          <w:fldChar w:fldCharType="separate"/>
        </w:r>
        <w:r>
          <w:rPr>
            <w:webHidden/>
          </w:rPr>
          <w:t>107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1" w:history="1">
        <w:r w:rsidRPr="008E79CA">
          <w:rPr>
            <w:rStyle w:val="af5"/>
          </w:rPr>
          <w:t>Рисунок 54 – Справка отчета</w:t>
        </w:r>
        <w:r>
          <w:rPr>
            <w:webHidden/>
          </w:rPr>
          <w:tab/>
        </w:r>
        <w:r>
          <w:rPr>
            <w:webHidden/>
          </w:rPr>
          <w:fldChar w:fldCharType="begin"/>
        </w:r>
        <w:r>
          <w:rPr>
            <w:webHidden/>
          </w:rPr>
          <w:instrText xml:space="preserve"> PAGEREF _Toc119584241 \h </w:instrText>
        </w:r>
        <w:r>
          <w:rPr>
            <w:webHidden/>
          </w:rPr>
        </w:r>
        <w:r>
          <w:rPr>
            <w:webHidden/>
          </w:rPr>
          <w:fldChar w:fldCharType="separate"/>
        </w:r>
        <w:r>
          <w:rPr>
            <w:webHidden/>
          </w:rPr>
          <w:t>107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2" w:history="1">
        <w:r w:rsidRPr="008E79CA">
          <w:rPr>
            <w:rStyle w:val="af5"/>
          </w:rPr>
          <w:t>Рисунок 55 – Кнопка «Скачать»</w:t>
        </w:r>
        <w:r>
          <w:rPr>
            <w:webHidden/>
          </w:rPr>
          <w:tab/>
        </w:r>
        <w:r>
          <w:rPr>
            <w:webHidden/>
          </w:rPr>
          <w:fldChar w:fldCharType="begin"/>
        </w:r>
        <w:r>
          <w:rPr>
            <w:webHidden/>
          </w:rPr>
          <w:instrText xml:space="preserve"> PAGEREF _Toc119584242 \h </w:instrText>
        </w:r>
        <w:r>
          <w:rPr>
            <w:webHidden/>
          </w:rPr>
        </w:r>
        <w:r>
          <w:rPr>
            <w:webHidden/>
          </w:rPr>
          <w:fldChar w:fldCharType="separate"/>
        </w:r>
        <w:r>
          <w:rPr>
            <w:webHidden/>
          </w:rPr>
          <w:t>108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3" w:history="1">
        <w:r w:rsidRPr="008E79CA">
          <w:rPr>
            <w:rStyle w:val="af5"/>
          </w:rPr>
          <w:t>Рисунок 56 – Форматы экспорта отчета</w:t>
        </w:r>
        <w:r>
          <w:rPr>
            <w:webHidden/>
          </w:rPr>
          <w:tab/>
        </w:r>
        <w:r>
          <w:rPr>
            <w:webHidden/>
          </w:rPr>
          <w:fldChar w:fldCharType="begin"/>
        </w:r>
        <w:r>
          <w:rPr>
            <w:webHidden/>
          </w:rPr>
          <w:instrText xml:space="preserve"> PAGEREF _Toc119584243 \h </w:instrText>
        </w:r>
        <w:r>
          <w:rPr>
            <w:webHidden/>
          </w:rPr>
        </w:r>
        <w:r>
          <w:rPr>
            <w:webHidden/>
          </w:rPr>
          <w:fldChar w:fldCharType="separate"/>
        </w:r>
        <w:r>
          <w:rPr>
            <w:webHidden/>
          </w:rPr>
          <w:t>108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4" w:history="1">
        <w:r w:rsidRPr="008E79CA">
          <w:rPr>
            <w:rStyle w:val="af5"/>
          </w:rPr>
          <w:t>Рисунок 57 – Информационное сообщение «Добавлен в очередь загрузки»</w:t>
        </w:r>
        <w:r>
          <w:rPr>
            <w:webHidden/>
          </w:rPr>
          <w:tab/>
        </w:r>
        <w:r>
          <w:rPr>
            <w:webHidden/>
          </w:rPr>
          <w:fldChar w:fldCharType="begin"/>
        </w:r>
        <w:r>
          <w:rPr>
            <w:webHidden/>
          </w:rPr>
          <w:instrText xml:space="preserve"> PAGEREF _Toc119584244 \h </w:instrText>
        </w:r>
        <w:r>
          <w:rPr>
            <w:webHidden/>
          </w:rPr>
        </w:r>
        <w:r>
          <w:rPr>
            <w:webHidden/>
          </w:rPr>
          <w:fldChar w:fldCharType="separate"/>
        </w:r>
        <w:r>
          <w:rPr>
            <w:webHidden/>
          </w:rPr>
          <w:t>109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5" w:history="1">
        <w:r w:rsidRPr="008E79CA">
          <w:rPr>
            <w:rStyle w:val="af5"/>
          </w:rPr>
          <w:t>Рисунок 58 – Информационное сообщение о выполнении экспорта отчета</w:t>
        </w:r>
        <w:r>
          <w:rPr>
            <w:webHidden/>
          </w:rPr>
          <w:tab/>
        </w:r>
        <w:r>
          <w:rPr>
            <w:webHidden/>
          </w:rPr>
          <w:fldChar w:fldCharType="begin"/>
        </w:r>
        <w:r>
          <w:rPr>
            <w:webHidden/>
          </w:rPr>
          <w:instrText xml:space="preserve"> PAGEREF _Toc119584245 \h </w:instrText>
        </w:r>
        <w:r>
          <w:rPr>
            <w:webHidden/>
          </w:rPr>
        </w:r>
        <w:r>
          <w:rPr>
            <w:webHidden/>
          </w:rPr>
          <w:fldChar w:fldCharType="separate"/>
        </w:r>
        <w:r>
          <w:rPr>
            <w:webHidden/>
          </w:rPr>
          <w:t>109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6" w:history="1">
        <w:r w:rsidRPr="008E79CA">
          <w:rPr>
            <w:rStyle w:val="af5"/>
          </w:rPr>
          <w:t>Рисунок 59 – Кнопка «Панель фильтров и параметров»</w:t>
        </w:r>
        <w:r>
          <w:rPr>
            <w:webHidden/>
          </w:rPr>
          <w:tab/>
        </w:r>
        <w:r>
          <w:rPr>
            <w:webHidden/>
          </w:rPr>
          <w:fldChar w:fldCharType="begin"/>
        </w:r>
        <w:r>
          <w:rPr>
            <w:webHidden/>
          </w:rPr>
          <w:instrText xml:space="preserve"> PAGEREF _Toc119584246 \h </w:instrText>
        </w:r>
        <w:r>
          <w:rPr>
            <w:webHidden/>
          </w:rPr>
        </w:r>
        <w:r>
          <w:rPr>
            <w:webHidden/>
          </w:rPr>
          <w:fldChar w:fldCharType="separate"/>
        </w:r>
        <w:r>
          <w:rPr>
            <w:webHidden/>
          </w:rPr>
          <w:t>110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7" w:history="1">
        <w:r w:rsidRPr="008E79CA">
          <w:rPr>
            <w:rStyle w:val="af5"/>
          </w:rPr>
          <w:t>Рисунок 60 – Панель «Фильтры и параметры» - «Основные»</w:t>
        </w:r>
        <w:r>
          <w:rPr>
            <w:webHidden/>
          </w:rPr>
          <w:tab/>
        </w:r>
        <w:r>
          <w:rPr>
            <w:webHidden/>
          </w:rPr>
          <w:fldChar w:fldCharType="begin"/>
        </w:r>
        <w:r>
          <w:rPr>
            <w:webHidden/>
          </w:rPr>
          <w:instrText xml:space="preserve"> PAGEREF _Toc119584247 \h </w:instrText>
        </w:r>
        <w:r>
          <w:rPr>
            <w:webHidden/>
          </w:rPr>
        </w:r>
        <w:r>
          <w:rPr>
            <w:webHidden/>
          </w:rPr>
          <w:fldChar w:fldCharType="separate"/>
        </w:r>
        <w:r>
          <w:rPr>
            <w:webHidden/>
          </w:rPr>
          <w:t>110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8" w:history="1">
        <w:r w:rsidRPr="008E79CA">
          <w:rPr>
            <w:rStyle w:val="af5"/>
          </w:rPr>
          <w:t>Рисунок 61 – Панель «Фильтры и параметры» - «Дополнительные»</w:t>
        </w:r>
        <w:r>
          <w:rPr>
            <w:webHidden/>
          </w:rPr>
          <w:tab/>
        </w:r>
        <w:r>
          <w:rPr>
            <w:webHidden/>
          </w:rPr>
          <w:fldChar w:fldCharType="begin"/>
        </w:r>
        <w:r>
          <w:rPr>
            <w:webHidden/>
          </w:rPr>
          <w:instrText xml:space="preserve"> PAGEREF _Toc119584248 \h </w:instrText>
        </w:r>
        <w:r>
          <w:rPr>
            <w:webHidden/>
          </w:rPr>
        </w:r>
        <w:r>
          <w:rPr>
            <w:webHidden/>
          </w:rPr>
          <w:fldChar w:fldCharType="separate"/>
        </w:r>
        <w:r>
          <w:rPr>
            <w:webHidden/>
          </w:rPr>
          <w:t>111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49" w:history="1">
        <w:r w:rsidRPr="008E79CA">
          <w:rPr>
            <w:rStyle w:val="af5"/>
          </w:rPr>
          <w:t>Рисунок 62 – Множественный визуальный фильтр</w:t>
        </w:r>
        <w:r>
          <w:rPr>
            <w:webHidden/>
          </w:rPr>
          <w:tab/>
        </w:r>
        <w:r>
          <w:rPr>
            <w:webHidden/>
          </w:rPr>
          <w:fldChar w:fldCharType="begin"/>
        </w:r>
        <w:r>
          <w:rPr>
            <w:webHidden/>
          </w:rPr>
          <w:instrText xml:space="preserve"> PAGEREF _Toc119584249 \h </w:instrText>
        </w:r>
        <w:r>
          <w:rPr>
            <w:webHidden/>
          </w:rPr>
        </w:r>
        <w:r>
          <w:rPr>
            <w:webHidden/>
          </w:rPr>
          <w:fldChar w:fldCharType="separate"/>
        </w:r>
        <w:r>
          <w:rPr>
            <w:webHidden/>
          </w:rPr>
          <w:t>112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0" w:history="1">
        <w:r w:rsidRPr="008E79CA">
          <w:rPr>
            <w:rStyle w:val="af5"/>
          </w:rPr>
          <w:t>Рисунок 63 – Единичный визуальный фильтр</w:t>
        </w:r>
        <w:r>
          <w:rPr>
            <w:webHidden/>
          </w:rPr>
          <w:tab/>
        </w:r>
        <w:r>
          <w:rPr>
            <w:webHidden/>
          </w:rPr>
          <w:fldChar w:fldCharType="begin"/>
        </w:r>
        <w:r>
          <w:rPr>
            <w:webHidden/>
          </w:rPr>
          <w:instrText xml:space="preserve"> PAGEREF _Toc119584250 \h </w:instrText>
        </w:r>
        <w:r>
          <w:rPr>
            <w:webHidden/>
          </w:rPr>
        </w:r>
        <w:r>
          <w:rPr>
            <w:webHidden/>
          </w:rPr>
          <w:fldChar w:fldCharType="separate"/>
        </w:r>
        <w:r>
          <w:rPr>
            <w:webHidden/>
          </w:rPr>
          <w:t>113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1" w:history="1">
        <w:r w:rsidRPr="008E79CA">
          <w:rPr>
            <w:rStyle w:val="af5"/>
          </w:rPr>
          <w:t>Рисунок 64 – Плашка для перехода к отчету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_Toc119584251 \h </w:instrText>
        </w:r>
        <w:r>
          <w:rPr>
            <w:webHidden/>
          </w:rPr>
        </w:r>
        <w:r>
          <w:rPr>
            <w:webHidden/>
          </w:rPr>
          <w:fldChar w:fldCharType="separate"/>
        </w:r>
        <w:r>
          <w:rPr>
            <w:webHidden/>
          </w:rPr>
          <w:t>116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2" w:history="1">
        <w:r w:rsidRPr="008E79CA">
          <w:rPr>
            <w:rStyle w:val="af5"/>
          </w:rPr>
          <w:t>Рисунок 65 – Макет отчета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_Toc119584252 \h </w:instrText>
        </w:r>
        <w:r>
          <w:rPr>
            <w:webHidden/>
          </w:rPr>
        </w:r>
        <w:r>
          <w:rPr>
            <w:webHidden/>
          </w:rPr>
          <w:fldChar w:fldCharType="separate"/>
        </w:r>
        <w:r>
          <w:rPr>
            <w:webHidden/>
          </w:rPr>
          <w:t>117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3" w:history="1">
        <w:r w:rsidRPr="008E79CA">
          <w:rPr>
            <w:rStyle w:val="af5"/>
            <w:rFonts w:eastAsia="Calibri"/>
          </w:rPr>
          <w:t xml:space="preserve">Рисунок </w:t>
        </w:r>
        <w:r w:rsidRPr="008E79CA">
          <w:rPr>
            <w:rStyle w:val="af5"/>
          </w:rPr>
          <w:t>66</w:t>
        </w:r>
        <w:r w:rsidRPr="008E79CA">
          <w:rPr>
            <w:rStyle w:val="af5"/>
            <w:rFonts w:eastAsia="Calibri"/>
          </w:rPr>
          <w:t xml:space="preserve"> – Макет т</w:t>
        </w:r>
        <w:r w:rsidRPr="008E79CA">
          <w:rPr>
            <w:rStyle w:val="af5"/>
          </w:rPr>
          <w:t>аблицы «Сводная информация по исполнению федерального бюджета» отчета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_Toc119584253 \h </w:instrText>
        </w:r>
        <w:r>
          <w:rPr>
            <w:webHidden/>
          </w:rPr>
        </w:r>
        <w:r>
          <w:rPr>
            <w:webHidden/>
          </w:rPr>
          <w:fldChar w:fldCharType="separate"/>
        </w:r>
        <w:r>
          <w:rPr>
            <w:webHidden/>
          </w:rPr>
          <w:t>118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4" w:history="1">
        <w:r w:rsidRPr="008E79CA">
          <w:rPr>
            <w:rStyle w:val="af5"/>
          </w:rPr>
          <w:t>Рисунок 67 – Макет отчета «Показатели, предусмотренные (учтенные при формировании) федеральным законом о федеральном бюджете»</w:t>
        </w:r>
        <w:r>
          <w:rPr>
            <w:webHidden/>
          </w:rPr>
          <w:tab/>
        </w:r>
        <w:r>
          <w:rPr>
            <w:webHidden/>
          </w:rPr>
          <w:fldChar w:fldCharType="begin"/>
        </w:r>
        <w:r>
          <w:rPr>
            <w:webHidden/>
          </w:rPr>
          <w:instrText xml:space="preserve"> PAGEREF _Toc119584254 \h </w:instrText>
        </w:r>
        <w:r>
          <w:rPr>
            <w:webHidden/>
          </w:rPr>
        </w:r>
        <w:r>
          <w:rPr>
            <w:webHidden/>
          </w:rPr>
          <w:fldChar w:fldCharType="separate"/>
        </w:r>
        <w:r>
          <w:rPr>
            <w:webHidden/>
          </w:rPr>
          <w:t>119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5" w:history="1">
        <w:r w:rsidRPr="008E79CA">
          <w:rPr>
            <w:rStyle w:val="af5"/>
          </w:rPr>
          <w:t>Рисунок 68 – Макет отчета отчету «Прогноз кассовых выплат по расходам федерального бюджета»</w:t>
        </w:r>
        <w:r>
          <w:rPr>
            <w:webHidden/>
          </w:rPr>
          <w:tab/>
        </w:r>
        <w:r>
          <w:rPr>
            <w:webHidden/>
          </w:rPr>
          <w:fldChar w:fldCharType="begin"/>
        </w:r>
        <w:r>
          <w:rPr>
            <w:webHidden/>
          </w:rPr>
          <w:instrText xml:space="preserve"> PAGEREF _Toc119584255 \h </w:instrText>
        </w:r>
        <w:r>
          <w:rPr>
            <w:webHidden/>
          </w:rPr>
        </w:r>
        <w:r>
          <w:rPr>
            <w:webHidden/>
          </w:rPr>
          <w:fldChar w:fldCharType="separate"/>
        </w:r>
        <w:r>
          <w:rPr>
            <w:webHidden/>
          </w:rPr>
          <w:t>120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6" w:history="1">
        <w:r w:rsidRPr="008E79CA">
          <w:rPr>
            <w:rStyle w:val="af5"/>
          </w:rPr>
          <w:t>Рисунок 69 – Макет отчета «Сводная информация по исполнению федерального бюджета»</w:t>
        </w:r>
        <w:r>
          <w:rPr>
            <w:webHidden/>
          </w:rPr>
          <w:tab/>
        </w:r>
        <w:r>
          <w:rPr>
            <w:webHidden/>
          </w:rPr>
          <w:fldChar w:fldCharType="begin"/>
        </w:r>
        <w:r>
          <w:rPr>
            <w:webHidden/>
          </w:rPr>
          <w:instrText xml:space="preserve"> PAGEREF _Toc119584256 \h </w:instrText>
        </w:r>
        <w:r>
          <w:rPr>
            <w:webHidden/>
          </w:rPr>
        </w:r>
        <w:r>
          <w:rPr>
            <w:webHidden/>
          </w:rPr>
          <w:fldChar w:fldCharType="separate"/>
        </w:r>
        <w:r>
          <w:rPr>
            <w:webHidden/>
          </w:rPr>
          <w:t>120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7" w:history="1">
        <w:r w:rsidRPr="008E79CA">
          <w:rPr>
            <w:rStyle w:val="af5"/>
          </w:rPr>
          <w:t>Рисунок 70 – Макет отчета «Оперативная информация о кассовых поступлениях и выплатах федерального бюджета»</w:t>
        </w:r>
        <w:r>
          <w:rPr>
            <w:webHidden/>
          </w:rPr>
          <w:tab/>
        </w:r>
        <w:r>
          <w:rPr>
            <w:webHidden/>
          </w:rPr>
          <w:fldChar w:fldCharType="begin"/>
        </w:r>
        <w:r>
          <w:rPr>
            <w:webHidden/>
          </w:rPr>
          <w:instrText xml:space="preserve"> PAGEREF _Toc119584257 \h </w:instrText>
        </w:r>
        <w:r>
          <w:rPr>
            <w:webHidden/>
          </w:rPr>
        </w:r>
        <w:r>
          <w:rPr>
            <w:webHidden/>
          </w:rPr>
          <w:fldChar w:fldCharType="separate"/>
        </w:r>
        <w:r>
          <w:rPr>
            <w:webHidden/>
          </w:rPr>
          <w:t>121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8" w:history="1">
        <w:r w:rsidRPr="008E79CA">
          <w:rPr>
            <w:rStyle w:val="af5"/>
          </w:rPr>
          <w:t>Рисунок 71 – Макет таблицы «Качество кассового планирования» отчета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_Toc119584258 \h </w:instrText>
        </w:r>
        <w:r>
          <w:rPr>
            <w:webHidden/>
          </w:rPr>
        </w:r>
        <w:r>
          <w:rPr>
            <w:webHidden/>
          </w:rPr>
          <w:fldChar w:fldCharType="separate"/>
        </w:r>
        <w:r>
          <w:rPr>
            <w:webHidden/>
          </w:rPr>
          <w:t>122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59" w:history="1">
        <w:r w:rsidRPr="008E79CA">
          <w:rPr>
            <w:rStyle w:val="af5"/>
          </w:rPr>
          <w:t>Рисунок 72 – Макет таблицы «Предельные объемы финансирования расходов» отчета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_Toc119584259 \h </w:instrText>
        </w:r>
        <w:r>
          <w:rPr>
            <w:webHidden/>
          </w:rPr>
        </w:r>
        <w:r>
          <w:rPr>
            <w:webHidden/>
          </w:rPr>
          <w:fldChar w:fldCharType="separate"/>
        </w:r>
        <w:r>
          <w:rPr>
            <w:webHidden/>
          </w:rPr>
          <w:t>123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0" w:history="1">
        <w:r w:rsidRPr="008E79CA">
          <w:rPr>
            <w:rStyle w:val="af5"/>
          </w:rPr>
          <w:t>Рисунок 73 – Макет таблицы «Нарушение сроков предоставления сведений для формирования кассового плана исполнения федерального бюджета» отчета «Плановые и фактические показатели исполнения федерального бюджета»</w:t>
        </w:r>
        <w:r>
          <w:rPr>
            <w:webHidden/>
          </w:rPr>
          <w:tab/>
        </w:r>
        <w:r>
          <w:rPr>
            <w:webHidden/>
          </w:rPr>
          <w:fldChar w:fldCharType="begin"/>
        </w:r>
        <w:r>
          <w:rPr>
            <w:webHidden/>
          </w:rPr>
          <w:instrText xml:space="preserve"> PAGEREF _Toc119584260 \h </w:instrText>
        </w:r>
        <w:r>
          <w:rPr>
            <w:webHidden/>
          </w:rPr>
        </w:r>
        <w:r>
          <w:rPr>
            <w:webHidden/>
          </w:rPr>
          <w:fldChar w:fldCharType="separate"/>
        </w:r>
        <w:r>
          <w:rPr>
            <w:webHidden/>
          </w:rPr>
          <w:t>125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1" w:history="1">
        <w:r w:rsidRPr="008E79CA">
          <w:rPr>
            <w:rStyle w:val="af5"/>
          </w:rPr>
          <w:t>Рисунок 74 – Отчет «Нарушение сроков предоставления сведений для формирования кассового плана исполнения федерального бюджета» без нарушений со стороны главного администратора ФБ</w:t>
        </w:r>
        <w:r>
          <w:rPr>
            <w:webHidden/>
          </w:rPr>
          <w:tab/>
        </w:r>
        <w:r>
          <w:rPr>
            <w:webHidden/>
          </w:rPr>
          <w:fldChar w:fldCharType="begin"/>
        </w:r>
        <w:r>
          <w:rPr>
            <w:webHidden/>
          </w:rPr>
          <w:instrText xml:space="preserve"> PAGEREF _Toc119584261 \h </w:instrText>
        </w:r>
        <w:r>
          <w:rPr>
            <w:webHidden/>
          </w:rPr>
        </w:r>
        <w:r>
          <w:rPr>
            <w:webHidden/>
          </w:rPr>
          <w:fldChar w:fldCharType="separate"/>
        </w:r>
        <w:r>
          <w:rPr>
            <w:webHidden/>
          </w:rPr>
          <w:t>126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2" w:history="1">
        <w:r w:rsidRPr="008E79CA">
          <w:rPr>
            <w:rStyle w:val="af5"/>
          </w:rPr>
          <w:t>Рисунок 75 – Отчет «Нарушение сроков предоставления сведений для формирования кассового плана исполнения федерального бюджета» с перечнем главных администраторов ФБ, нарушивших сроки предоставления сведений</w:t>
        </w:r>
        <w:r>
          <w:rPr>
            <w:webHidden/>
          </w:rPr>
          <w:tab/>
        </w:r>
        <w:r>
          <w:rPr>
            <w:webHidden/>
          </w:rPr>
          <w:fldChar w:fldCharType="begin"/>
        </w:r>
        <w:r>
          <w:rPr>
            <w:webHidden/>
          </w:rPr>
          <w:instrText xml:space="preserve"> PAGEREF _Toc119584262 \h </w:instrText>
        </w:r>
        <w:r>
          <w:rPr>
            <w:webHidden/>
          </w:rPr>
        </w:r>
        <w:r>
          <w:rPr>
            <w:webHidden/>
          </w:rPr>
          <w:fldChar w:fldCharType="separate"/>
        </w:r>
        <w:r>
          <w:rPr>
            <w:webHidden/>
          </w:rPr>
          <w:t>126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3" w:history="1">
        <w:r w:rsidRPr="008E79CA">
          <w:rPr>
            <w:rStyle w:val="af5"/>
          </w:rPr>
          <w:t>Рисунок 76 – Плашка для перехода к отчету «Прогноз кассовых поступлений по доходам федерального бюджета»</w:t>
        </w:r>
        <w:r>
          <w:rPr>
            <w:webHidden/>
          </w:rPr>
          <w:tab/>
        </w:r>
        <w:r>
          <w:rPr>
            <w:webHidden/>
          </w:rPr>
          <w:fldChar w:fldCharType="begin"/>
        </w:r>
        <w:r>
          <w:rPr>
            <w:webHidden/>
          </w:rPr>
          <w:instrText xml:space="preserve"> PAGEREF _Toc119584263 \h </w:instrText>
        </w:r>
        <w:r>
          <w:rPr>
            <w:webHidden/>
          </w:rPr>
        </w:r>
        <w:r>
          <w:rPr>
            <w:webHidden/>
          </w:rPr>
          <w:fldChar w:fldCharType="separate"/>
        </w:r>
        <w:r>
          <w:rPr>
            <w:webHidden/>
          </w:rPr>
          <w:t>128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4" w:history="1">
        <w:r w:rsidRPr="008E79CA">
          <w:rPr>
            <w:rStyle w:val="af5"/>
          </w:rPr>
          <w:t>Рисунок 77 – Макет отчета «Прогноз кассовых поступлений по доходам федерального бюджета». Представление «По доходным источникам» - «Таблица»</w:t>
        </w:r>
        <w:r>
          <w:rPr>
            <w:webHidden/>
          </w:rPr>
          <w:tab/>
        </w:r>
        <w:r>
          <w:rPr>
            <w:webHidden/>
          </w:rPr>
          <w:fldChar w:fldCharType="begin"/>
        </w:r>
        <w:r>
          <w:rPr>
            <w:webHidden/>
          </w:rPr>
          <w:instrText xml:space="preserve"> PAGEREF _Toc119584264 \h </w:instrText>
        </w:r>
        <w:r>
          <w:rPr>
            <w:webHidden/>
          </w:rPr>
        </w:r>
        <w:r>
          <w:rPr>
            <w:webHidden/>
          </w:rPr>
          <w:fldChar w:fldCharType="separate"/>
        </w:r>
        <w:r>
          <w:rPr>
            <w:webHidden/>
          </w:rPr>
          <w:t>129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5" w:history="1">
        <w:r w:rsidRPr="008E79CA">
          <w:rPr>
            <w:rStyle w:val="af5"/>
          </w:rPr>
          <w:t>Рисунок 78 – Макет отчета «Прогноз кассовых поступлений по доходам федерального бюджета». Представление «По ГАДБ» - «Таблица»</w:t>
        </w:r>
        <w:r>
          <w:rPr>
            <w:webHidden/>
          </w:rPr>
          <w:tab/>
        </w:r>
        <w:r>
          <w:rPr>
            <w:webHidden/>
          </w:rPr>
          <w:fldChar w:fldCharType="begin"/>
        </w:r>
        <w:r>
          <w:rPr>
            <w:webHidden/>
          </w:rPr>
          <w:instrText xml:space="preserve"> PAGEREF _Toc119584265 \h </w:instrText>
        </w:r>
        <w:r>
          <w:rPr>
            <w:webHidden/>
          </w:rPr>
        </w:r>
        <w:r>
          <w:rPr>
            <w:webHidden/>
          </w:rPr>
          <w:fldChar w:fldCharType="separate"/>
        </w:r>
        <w:r>
          <w:rPr>
            <w:webHidden/>
          </w:rPr>
          <w:t>130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6" w:history="1">
        <w:r w:rsidRPr="008E79CA">
          <w:rPr>
            <w:rStyle w:val="af5"/>
          </w:rPr>
          <w:t>Рисунок 79 – Макет отчета «Прогноз кассовых поступлений по доходам федерального бюджета». Представление «По доходным источникам» - «Диаграммы» - «Все доходы» - «Структура»</w:t>
        </w:r>
        <w:r>
          <w:rPr>
            <w:webHidden/>
          </w:rPr>
          <w:tab/>
        </w:r>
        <w:r>
          <w:rPr>
            <w:webHidden/>
          </w:rPr>
          <w:fldChar w:fldCharType="begin"/>
        </w:r>
        <w:r>
          <w:rPr>
            <w:webHidden/>
          </w:rPr>
          <w:instrText xml:space="preserve"> PAGEREF _Toc119584266 \h </w:instrText>
        </w:r>
        <w:r>
          <w:rPr>
            <w:webHidden/>
          </w:rPr>
        </w:r>
        <w:r>
          <w:rPr>
            <w:webHidden/>
          </w:rPr>
          <w:fldChar w:fldCharType="separate"/>
        </w:r>
        <w:r>
          <w:rPr>
            <w:webHidden/>
          </w:rPr>
          <w:t>131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7" w:history="1">
        <w:r w:rsidRPr="008E79CA">
          <w:rPr>
            <w:rStyle w:val="af5"/>
          </w:rPr>
          <w:t>Рисунок 80 – Макет отчета «Прогноз кассовых поступлений по доходам федерального бюджета». Представление «По доходным источникам» - «Диаграммы» - «Все доходы» - «Суммы»</w:t>
        </w:r>
        <w:r>
          <w:rPr>
            <w:webHidden/>
          </w:rPr>
          <w:tab/>
        </w:r>
        <w:r>
          <w:rPr>
            <w:webHidden/>
          </w:rPr>
          <w:fldChar w:fldCharType="begin"/>
        </w:r>
        <w:r>
          <w:rPr>
            <w:webHidden/>
          </w:rPr>
          <w:instrText xml:space="preserve"> PAGEREF _Toc119584267 \h </w:instrText>
        </w:r>
        <w:r>
          <w:rPr>
            <w:webHidden/>
          </w:rPr>
        </w:r>
        <w:r>
          <w:rPr>
            <w:webHidden/>
          </w:rPr>
          <w:fldChar w:fldCharType="separate"/>
        </w:r>
        <w:r>
          <w:rPr>
            <w:webHidden/>
          </w:rPr>
          <w:t>132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8" w:history="1">
        <w:r w:rsidRPr="008E79CA">
          <w:rPr>
            <w:rStyle w:val="af5"/>
          </w:rPr>
          <w:t>Рисунок 81 – Макет отчета «Прогноз кассовых поступлений по доходам федерального бюджета». Представление «По доходным источникам» - «Диаграммы» - «Нефтегазовые доходы» - «Структура»</w:t>
        </w:r>
        <w:r>
          <w:rPr>
            <w:webHidden/>
          </w:rPr>
          <w:tab/>
        </w:r>
        <w:r>
          <w:rPr>
            <w:webHidden/>
          </w:rPr>
          <w:fldChar w:fldCharType="begin"/>
        </w:r>
        <w:r>
          <w:rPr>
            <w:webHidden/>
          </w:rPr>
          <w:instrText xml:space="preserve"> PAGEREF _Toc119584268 \h </w:instrText>
        </w:r>
        <w:r>
          <w:rPr>
            <w:webHidden/>
          </w:rPr>
        </w:r>
        <w:r>
          <w:rPr>
            <w:webHidden/>
          </w:rPr>
          <w:fldChar w:fldCharType="separate"/>
        </w:r>
        <w:r>
          <w:rPr>
            <w:webHidden/>
          </w:rPr>
          <w:t>133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69" w:history="1">
        <w:r w:rsidRPr="008E79CA">
          <w:rPr>
            <w:rStyle w:val="af5"/>
          </w:rPr>
          <w:t>Рисунок 82 – Макет отчета «Прогноз кассовых поступлений по доходам федерального бюджета». Представление «По доходным источникам» - «Диаграммы» - «Нефтегазовые доходы» - «Суммы»</w:t>
        </w:r>
        <w:r>
          <w:rPr>
            <w:webHidden/>
          </w:rPr>
          <w:tab/>
        </w:r>
        <w:r>
          <w:rPr>
            <w:webHidden/>
          </w:rPr>
          <w:fldChar w:fldCharType="begin"/>
        </w:r>
        <w:r>
          <w:rPr>
            <w:webHidden/>
          </w:rPr>
          <w:instrText xml:space="preserve"> PAGEREF _Toc119584269 \h </w:instrText>
        </w:r>
        <w:r>
          <w:rPr>
            <w:webHidden/>
          </w:rPr>
        </w:r>
        <w:r>
          <w:rPr>
            <w:webHidden/>
          </w:rPr>
          <w:fldChar w:fldCharType="separate"/>
        </w:r>
        <w:r>
          <w:rPr>
            <w:webHidden/>
          </w:rPr>
          <w:t>133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0" w:history="1">
        <w:r w:rsidRPr="008E79CA">
          <w:rPr>
            <w:rStyle w:val="af5"/>
          </w:rPr>
          <w:t>Рисунок 83 – Макет отчета «Прогноз кассовых поступлений по доходам федерального бюджета». Представление «По ГАДБ» - «Диаграммы» - «Крупнейшие ГАДБ»</w:t>
        </w:r>
        <w:r>
          <w:rPr>
            <w:webHidden/>
          </w:rPr>
          <w:tab/>
        </w:r>
        <w:r>
          <w:rPr>
            <w:webHidden/>
          </w:rPr>
          <w:fldChar w:fldCharType="begin"/>
        </w:r>
        <w:r>
          <w:rPr>
            <w:webHidden/>
          </w:rPr>
          <w:instrText xml:space="preserve"> PAGEREF _Toc119584270 \h </w:instrText>
        </w:r>
        <w:r>
          <w:rPr>
            <w:webHidden/>
          </w:rPr>
        </w:r>
        <w:r>
          <w:rPr>
            <w:webHidden/>
          </w:rPr>
          <w:fldChar w:fldCharType="separate"/>
        </w:r>
        <w:r>
          <w:rPr>
            <w:webHidden/>
          </w:rPr>
          <w:t>135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1" w:history="1">
        <w:r w:rsidRPr="008E79CA">
          <w:rPr>
            <w:rStyle w:val="af5"/>
          </w:rPr>
          <w:t>Рисунок 84 – Макет отчета «Прогноз кассовых поступлений по доходам федерального бюджета». Представление «По ГАДБ» - «Диаграммы» - «Прочие»</w:t>
        </w:r>
        <w:r>
          <w:rPr>
            <w:webHidden/>
          </w:rPr>
          <w:tab/>
        </w:r>
        <w:r>
          <w:rPr>
            <w:webHidden/>
          </w:rPr>
          <w:fldChar w:fldCharType="begin"/>
        </w:r>
        <w:r>
          <w:rPr>
            <w:webHidden/>
          </w:rPr>
          <w:instrText xml:space="preserve"> PAGEREF _Toc119584271 \h </w:instrText>
        </w:r>
        <w:r>
          <w:rPr>
            <w:webHidden/>
          </w:rPr>
        </w:r>
        <w:r>
          <w:rPr>
            <w:webHidden/>
          </w:rPr>
          <w:fldChar w:fldCharType="separate"/>
        </w:r>
        <w:r>
          <w:rPr>
            <w:webHidden/>
          </w:rPr>
          <w:t>136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2" w:history="1">
        <w:r w:rsidRPr="008E79CA">
          <w:rPr>
            <w:rStyle w:val="af5"/>
          </w:rPr>
          <w:t>Рисунок 85 – Отчет «Прогноз кассовых поступлений по доходам федерального бюджета». Представление «По ГАДБ» - «Диаграммы» - «Прочие». Выделение диапазона главных администраторов на гистограмме</w:t>
        </w:r>
        <w:r>
          <w:rPr>
            <w:webHidden/>
          </w:rPr>
          <w:tab/>
        </w:r>
        <w:r>
          <w:rPr>
            <w:webHidden/>
          </w:rPr>
          <w:fldChar w:fldCharType="begin"/>
        </w:r>
        <w:r>
          <w:rPr>
            <w:webHidden/>
          </w:rPr>
          <w:instrText xml:space="preserve"> PAGEREF _Toc119584272 \h </w:instrText>
        </w:r>
        <w:r>
          <w:rPr>
            <w:webHidden/>
          </w:rPr>
        </w:r>
        <w:r>
          <w:rPr>
            <w:webHidden/>
          </w:rPr>
          <w:fldChar w:fldCharType="separate"/>
        </w:r>
        <w:r>
          <w:rPr>
            <w:webHidden/>
          </w:rPr>
          <w:t>137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3" w:history="1">
        <w:r w:rsidRPr="008E79CA">
          <w:rPr>
            <w:rStyle w:val="af5"/>
          </w:rPr>
          <w:t>Рисунок 86 – Отчет «Прогноз кассовых поступлений по доходам федерального бюджета». Представление «По ГАДБ» - «Диаграммы» - «Прочие». Укрупненный масштаб выбранного диапазона главных администраторов</w:t>
        </w:r>
        <w:r>
          <w:rPr>
            <w:webHidden/>
          </w:rPr>
          <w:tab/>
        </w:r>
        <w:r>
          <w:rPr>
            <w:webHidden/>
          </w:rPr>
          <w:fldChar w:fldCharType="begin"/>
        </w:r>
        <w:r>
          <w:rPr>
            <w:webHidden/>
          </w:rPr>
          <w:instrText xml:space="preserve"> PAGEREF _Toc119584273 \h </w:instrText>
        </w:r>
        <w:r>
          <w:rPr>
            <w:webHidden/>
          </w:rPr>
        </w:r>
        <w:r>
          <w:rPr>
            <w:webHidden/>
          </w:rPr>
          <w:fldChar w:fldCharType="separate"/>
        </w:r>
        <w:r>
          <w:rPr>
            <w:webHidden/>
          </w:rPr>
          <w:t>138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4" w:history="1">
        <w:r w:rsidRPr="008E79CA">
          <w:rPr>
            <w:rStyle w:val="af5"/>
          </w:rPr>
          <w:t>Рисунок 87 – Плашка для перехода к отчету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Pr>
            <w:webHidden/>
          </w:rPr>
          <w:tab/>
        </w:r>
        <w:r>
          <w:rPr>
            <w:webHidden/>
          </w:rPr>
          <w:fldChar w:fldCharType="begin"/>
        </w:r>
        <w:r>
          <w:rPr>
            <w:webHidden/>
          </w:rPr>
          <w:instrText xml:space="preserve"> PAGEREF _Toc119584274 \h </w:instrText>
        </w:r>
        <w:r>
          <w:rPr>
            <w:webHidden/>
          </w:rPr>
        </w:r>
        <w:r>
          <w:rPr>
            <w:webHidden/>
          </w:rPr>
          <w:fldChar w:fldCharType="separate"/>
        </w:r>
        <w:r>
          <w:rPr>
            <w:webHidden/>
          </w:rPr>
          <w:t>139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5" w:history="1">
        <w:r w:rsidRPr="008E79CA">
          <w:rPr>
            <w:rStyle w:val="af5"/>
          </w:rPr>
          <w:t>Рисунок 88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доходным источникам» - «Таблица» - «По КД»</w:t>
        </w:r>
        <w:r>
          <w:rPr>
            <w:webHidden/>
          </w:rPr>
          <w:tab/>
        </w:r>
        <w:r>
          <w:rPr>
            <w:webHidden/>
          </w:rPr>
          <w:fldChar w:fldCharType="begin"/>
        </w:r>
        <w:r>
          <w:rPr>
            <w:webHidden/>
          </w:rPr>
          <w:instrText xml:space="preserve"> PAGEREF _Toc119584275 \h </w:instrText>
        </w:r>
        <w:r>
          <w:rPr>
            <w:webHidden/>
          </w:rPr>
        </w:r>
        <w:r>
          <w:rPr>
            <w:webHidden/>
          </w:rPr>
          <w:fldChar w:fldCharType="separate"/>
        </w:r>
        <w:r>
          <w:rPr>
            <w:webHidden/>
          </w:rPr>
          <w:t>140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6" w:history="1">
        <w:r w:rsidRPr="008E79CA">
          <w:rPr>
            <w:rStyle w:val="af5"/>
          </w:rPr>
          <w:t>Рисунок 89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доходным источникам» - «Таблица» - «По категориям доходов»</w:t>
        </w:r>
        <w:r>
          <w:rPr>
            <w:webHidden/>
          </w:rPr>
          <w:tab/>
        </w:r>
        <w:r>
          <w:rPr>
            <w:webHidden/>
          </w:rPr>
          <w:fldChar w:fldCharType="begin"/>
        </w:r>
        <w:r>
          <w:rPr>
            <w:webHidden/>
          </w:rPr>
          <w:instrText xml:space="preserve"> PAGEREF _Toc119584276 \h </w:instrText>
        </w:r>
        <w:r>
          <w:rPr>
            <w:webHidden/>
          </w:rPr>
        </w:r>
        <w:r>
          <w:rPr>
            <w:webHidden/>
          </w:rPr>
          <w:fldChar w:fldCharType="separate"/>
        </w:r>
        <w:r>
          <w:rPr>
            <w:webHidden/>
          </w:rPr>
          <w:t>141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7" w:history="1">
        <w:r w:rsidRPr="008E79CA">
          <w:rPr>
            <w:rStyle w:val="af5"/>
          </w:rPr>
          <w:t>Рисунок 90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ГАДБ» - «Таблица»</w:t>
        </w:r>
        <w:r>
          <w:rPr>
            <w:webHidden/>
          </w:rPr>
          <w:tab/>
        </w:r>
        <w:r>
          <w:rPr>
            <w:webHidden/>
          </w:rPr>
          <w:fldChar w:fldCharType="begin"/>
        </w:r>
        <w:r>
          <w:rPr>
            <w:webHidden/>
          </w:rPr>
          <w:instrText xml:space="preserve"> PAGEREF _Toc119584277 \h </w:instrText>
        </w:r>
        <w:r>
          <w:rPr>
            <w:webHidden/>
          </w:rPr>
        </w:r>
        <w:r>
          <w:rPr>
            <w:webHidden/>
          </w:rPr>
          <w:fldChar w:fldCharType="separate"/>
        </w:r>
        <w:r>
          <w:rPr>
            <w:webHidden/>
          </w:rPr>
          <w:t>142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8" w:history="1">
        <w:r w:rsidRPr="008E79CA">
          <w:rPr>
            <w:rStyle w:val="af5"/>
          </w:rPr>
          <w:t>Рисунок 91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доходным источникам» - «Диаграмма» - «Дискретный»</w:t>
        </w:r>
        <w:r>
          <w:rPr>
            <w:webHidden/>
          </w:rPr>
          <w:tab/>
        </w:r>
        <w:r>
          <w:rPr>
            <w:webHidden/>
          </w:rPr>
          <w:fldChar w:fldCharType="begin"/>
        </w:r>
        <w:r>
          <w:rPr>
            <w:webHidden/>
          </w:rPr>
          <w:instrText xml:space="preserve"> PAGEREF _Toc119584278 \h </w:instrText>
        </w:r>
        <w:r>
          <w:rPr>
            <w:webHidden/>
          </w:rPr>
        </w:r>
        <w:r>
          <w:rPr>
            <w:webHidden/>
          </w:rPr>
          <w:fldChar w:fldCharType="separate"/>
        </w:r>
        <w:r>
          <w:rPr>
            <w:webHidden/>
          </w:rPr>
          <w:t>144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79" w:history="1">
        <w:r w:rsidRPr="008E79CA">
          <w:rPr>
            <w:rStyle w:val="af5"/>
          </w:rPr>
          <w:t>Рисунок 92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доходным источникам» - «Диаграмма» - «С начала года»</w:t>
        </w:r>
        <w:r>
          <w:rPr>
            <w:webHidden/>
          </w:rPr>
          <w:tab/>
        </w:r>
        <w:r>
          <w:rPr>
            <w:webHidden/>
          </w:rPr>
          <w:fldChar w:fldCharType="begin"/>
        </w:r>
        <w:r>
          <w:rPr>
            <w:webHidden/>
          </w:rPr>
          <w:instrText xml:space="preserve"> PAGEREF _Toc119584279 \h </w:instrText>
        </w:r>
        <w:r>
          <w:rPr>
            <w:webHidden/>
          </w:rPr>
        </w:r>
        <w:r>
          <w:rPr>
            <w:webHidden/>
          </w:rPr>
          <w:fldChar w:fldCharType="separate"/>
        </w:r>
        <w:r>
          <w:rPr>
            <w:webHidden/>
          </w:rPr>
          <w:t>144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0" w:history="1">
        <w:r w:rsidRPr="008E79CA">
          <w:rPr>
            <w:rStyle w:val="af5"/>
          </w:rPr>
          <w:t>Рисунок 93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ГАДБ» - «Диаграммы» - «Крупнейшие ГАДБ» - «С начала года»</w:t>
        </w:r>
        <w:r>
          <w:rPr>
            <w:webHidden/>
          </w:rPr>
          <w:tab/>
        </w:r>
        <w:r>
          <w:rPr>
            <w:webHidden/>
          </w:rPr>
          <w:fldChar w:fldCharType="begin"/>
        </w:r>
        <w:r>
          <w:rPr>
            <w:webHidden/>
          </w:rPr>
          <w:instrText xml:space="preserve"> PAGEREF _Toc119584280 \h </w:instrText>
        </w:r>
        <w:r>
          <w:rPr>
            <w:webHidden/>
          </w:rPr>
        </w:r>
        <w:r>
          <w:rPr>
            <w:webHidden/>
          </w:rPr>
          <w:fldChar w:fldCharType="separate"/>
        </w:r>
        <w:r>
          <w:rPr>
            <w:webHidden/>
          </w:rPr>
          <w:t>147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1" w:history="1">
        <w:r w:rsidRPr="008E79CA">
          <w:rPr>
            <w:rStyle w:val="af5"/>
          </w:rPr>
          <w:t>Рисунок 94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ГАДБ» - «Диаграммы» - «Крупнейшие ГАДБ» - «За месяц»</w:t>
        </w:r>
        <w:r>
          <w:rPr>
            <w:webHidden/>
          </w:rPr>
          <w:tab/>
        </w:r>
        <w:r>
          <w:rPr>
            <w:webHidden/>
          </w:rPr>
          <w:fldChar w:fldCharType="begin"/>
        </w:r>
        <w:r>
          <w:rPr>
            <w:webHidden/>
          </w:rPr>
          <w:instrText xml:space="preserve"> PAGEREF _Toc119584281 \h </w:instrText>
        </w:r>
        <w:r>
          <w:rPr>
            <w:webHidden/>
          </w:rPr>
        </w:r>
        <w:r>
          <w:rPr>
            <w:webHidden/>
          </w:rPr>
          <w:fldChar w:fldCharType="separate"/>
        </w:r>
        <w:r>
          <w:rPr>
            <w:webHidden/>
          </w:rPr>
          <w:t>147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2" w:history="1">
        <w:r w:rsidRPr="008E79CA">
          <w:rPr>
            <w:rStyle w:val="af5"/>
          </w:rPr>
          <w:t>Рисунок 95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ГАДБ» - «Диаграммы» - «Прочие» - «С начала года»</w:t>
        </w:r>
        <w:r>
          <w:rPr>
            <w:webHidden/>
          </w:rPr>
          <w:tab/>
        </w:r>
        <w:r>
          <w:rPr>
            <w:webHidden/>
          </w:rPr>
          <w:fldChar w:fldCharType="begin"/>
        </w:r>
        <w:r>
          <w:rPr>
            <w:webHidden/>
          </w:rPr>
          <w:instrText xml:space="preserve"> PAGEREF _Toc119584282 \h </w:instrText>
        </w:r>
        <w:r>
          <w:rPr>
            <w:webHidden/>
          </w:rPr>
        </w:r>
        <w:r>
          <w:rPr>
            <w:webHidden/>
          </w:rPr>
          <w:fldChar w:fldCharType="separate"/>
        </w:r>
        <w:r>
          <w:rPr>
            <w:webHidden/>
          </w:rPr>
          <w:t>149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3" w:history="1">
        <w:r w:rsidRPr="008E79CA">
          <w:rPr>
            <w:rStyle w:val="af5"/>
          </w:rPr>
          <w:t>Рисунок 96 – Макет отчета «Исполнение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 Представление «По ГАДБ» - «Диаграммы» - «Прочие» - «За месяц»</w:t>
        </w:r>
        <w:r>
          <w:rPr>
            <w:webHidden/>
          </w:rPr>
          <w:tab/>
        </w:r>
        <w:r>
          <w:rPr>
            <w:webHidden/>
          </w:rPr>
          <w:fldChar w:fldCharType="begin"/>
        </w:r>
        <w:r>
          <w:rPr>
            <w:webHidden/>
          </w:rPr>
          <w:instrText xml:space="preserve"> PAGEREF _Toc119584283 \h </w:instrText>
        </w:r>
        <w:r>
          <w:rPr>
            <w:webHidden/>
          </w:rPr>
        </w:r>
        <w:r>
          <w:rPr>
            <w:webHidden/>
          </w:rPr>
          <w:fldChar w:fldCharType="separate"/>
        </w:r>
        <w:r>
          <w:rPr>
            <w:webHidden/>
          </w:rPr>
          <w:t>149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4" w:history="1">
        <w:r w:rsidRPr="008E79CA">
          <w:rPr>
            <w:rStyle w:val="af5"/>
          </w:rPr>
          <w:t>Рисунок 97 – Переход к отчету «Информация о кассовых поступлениях в консолидированные бюджеты субъектов Российской Федерации, администрируемых Федеральной налоговой службой»</w:t>
        </w:r>
        <w:r>
          <w:rPr>
            <w:webHidden/>
          </w:rPr>
          <w:tab/>
        </w:r>
        <w:r>
          <w:rPr>
            <w:webHidden/>
          </w:rPr>
          <w:fldChar w:fldCharType="begin"/>
        </w:r>
        <w:r>
          <w:rPr>
            <w:webHidden/>
          </w:rPr>
          <w:instrText xml:space="preserve"> PAGEREF _Toc119584284 \h </w:instrText>
        </w:r>
        <w:r>
          <w:rPr>
            <w:webHidden/>
          </w:rPr>
        </w:r>
        <w:r>
          <w:rPr>
            <w:webHidden/>
          </w:rPr>
          <w:fldChar w:fldCharType="separate"/>
        </w:r>
        <w:r>
          <w:rPr>
            <w:webHidden/>
          </w:rPr>
          <w:t>158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5" w:history="1">
        <w:r w:rsidRPr="008E79CA">
          <w:rPr>
            <w:rStyle w:val="af5"/>
          </w:rPr>
          <w:t>Рисунок 98 – 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 - «По доходным источникам»</w:t>
        </w:r>
        <w:r>
          <w:rPr>
            <w:webHidden/>
          </w:rPr>
          <w:tab/>
        </w:r>
        <w:r>
          <w:rPr>
            <w:webHidden/>
          </w:rPr>
          <w:fldChar w:fldCharType="begin"/>
        </w:r>
        <w:r>
          <w:rPr>
            <w:webHidden/>
          </w:rPr>
          <w:instrText xml:space="preserve"> PAGEREF _Toc119584285 \h </w:instrText>
        </w:r>
        <w:r>
          <w:rPr>
            <w:webHidden/>
          </w:rPr>
        </w:r>
        <w:r>
          <w:rPr>
            <w:webHidden/>
          </w:rPr>
          <w:fldChar w:fldCharType="separate"/>
        </w:r>
        <w:r>
          <w:rPr>
            <w:webHidden/>
          </w:rPr>
          <w:t>159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6" w:history="1">
        <w:r w:rsidRPr="008E79CA">
          <w:rPr>
            <w:rStyle w:val="af5"/>
          </w:rPr>
          <w:t>Рисунок 99 – 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 - «По субъектам»</w:t>
        </w:r>
        <w:r>
          <w:rPr>
            <w:webHidden/>
          </w:rPr>
          <w:tab/>
        </w:r>
        <w:r>
          <w:rPr>
            <w:webHidden/>
          </w:rPr>
          <w:fldChar w:fldCharType="begin"/>
        </w:r>
        <w:r>
          <w:rPr>
            <w:webHidden/>
          </w:rPr>
          <w:instrText xml:space="preserve"> PAGEREF _Toc119584286 \h </w:instrText>
        </w:r>
        <w:r>
          <w:rPr>
            <w:webHidden/>
          </w:rPr>
        </w:r>
        <w:r>
          <w:rPr>
            <w:webHidden/>
          </w:rPr>
          <w:fldChar w:fldCharType="separate"/>
        </w:r>
        <w:r>
          <w:rPr>
            <w:webHidden/>
          </w:rPr>
          <w:t>161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7" w:history="1">
        <w:r w:rsidRPr="008E79CA">
          <w:rPr>
            <w:rStyle w:val="af5"/>
          </w:rPr>
          <w:t>Рисунок 100 – 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 - «Карта»</w:t>
        </w:r>
        <w:r>
          <w:rPr>
            <w:webHidden/>
          </w:rPr>
          <w:tab/>
        </w:r>
        <w:r>
          <w:rPr>
            <w:webHidden/>
          </w:rPr>
          <w:fldChar w:fldCharType="begin"/>
        </w:r>
        <w:r>
          <w:rPr>
            <w:webHidden/>
          </w:rPr>
          <w:instrText xml:space="preserve"> PAGEREF _Toc119584287 \h </w:instrText>
        </w:r>
        <w:r>
          <w:rPr>
            <w:webHidden/>
          </w:rPr>
        </w:r>
        <w:r>
          <w:rPr>
            <w:webHidden/>
          </w:rPr>
          <w:fldChar w:fldCharType="separate"/>
        </w:r>
        <w:r>
          <w:rPr>
            <w:webHidden/>
          </w:rPr>
          <w:t>162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8" w:history="1">
        <w:r w:rsidRPr="008E79CA">
          <w:rPr>
            <w:rStyle w:val="af5"/>
            <w:rFonts w:eastAsia="Calibri"/>
          </w:rPr>
          <w:t>Рисунок 101</w:t>
        </w:r>
        <w:r w:rsidRPr="008E79CA">
          <w:rPr>
            <w:rStyle w:val="af5"/>
          </w:rPr>
          <w:t>– Переход к отчету «Информация об объемах налога на добавленную стоимость в разрезе территорий»</w:t>
        </w:r>
        <w:r>
          <w:rPr>
            <w:webHidden/>
          </w:rPr>
          <w:tab/>
        </w:r>
        <w:r>
          <w:rPr>
            <w:webHidden/>
          </w:rPr>
          <w:fldChar w:fldCharType="begin"/>
        </w:r>
        <w:r>
          <w:rPr>
            <w:webHidden/>
          </w:rPr>
          <w:instrText xml:space="preserve"> PAGEREF _Toc119584288 \h </w:instrText>
        </w:r>
        <w:r>
          <w:rPr>
            <w:webHidden/>
          </w:rPr>
        </w:r>
        <w:r>
          <w:rPr>
            <w:webHidden/>
          </w:rPr>
          <w:fldChar w:fldCharType="separate"/>
        </w:r>
        <w:r>
          <w:rPr>
            <w:webHidden/>
          </w:rPr>
          <w:t>162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89" w:history="1">
        <w:r w:rsidRPr="008E79CA">
          <w:rPr>
            <w:rStyle w:val="af5"/>
            <w:rFonts w:eastAsia="Calibri"/>
          </w:rPr>
          <w:t>Рисунок</w:t>
        </w:r>
        <w:r w:rsidRPr="008E79CA">
          <w:rPr>
            <w:rStyle w:val="af5"/>
          </w:rPr>
          <w:t xml:space="preserve"> 102 – Макет аналитического отчета «Информация об объемах налога на добавленную стоимость в разрезе территорий» представление  «Таблица»</w:t>
        </w:r>
        <w:r>
          <w:rPr>
            <w:webHidden/>
          </w:rPr>
          <w:tab/>
        </w:r>
        <w:r>
          <w:rPr>
            <w:webHidden/>
          </w:rPr>
          <w:fldChar w:fldCharType="begin"/>
        </w:r>
        <w:r>
          <w:rPr>
            <w:webHidden/>
          </w:rPr>
          <w:instrText xml:space="preserve"> PAGEREF _Toc119584289 \h </w:instrText>
        </w:r>
        <w:r>
          <w:rPr>
            <w:webHidden/>
          </w:rPr>
        </w:r>
        <w:r>
          <w:rPr>
            <w:webHidden/>
          </w:rPr>
          <w:fldChar w:fldCharType="separate"/>
        </w:r>
        <w:r>
          <w:rPr>
            <w:webHidden/>
          </w:rPr>
          <w:t>163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0" w:history="1">
        <w:r w:rsidRPr="008E79CA">
          <w:rPr>
            <w:rStyle w:val="af5"/>
          </w:rPr>
          <w:t>Рисунок 103 – Макет аналитического отчета «Информация об объемах налога на добавленную стоимость в разрезе территорий» представление  «По ОРФК»</w:t>
        </w:r>
        <w:r>
          <w:rPr>
            <w:webHidden/>
          </w:rPr>
          <w:tab/>
        </w:r>
        <w:r>
          <w:rPr>
            <w:webHidden/>
          </w:rPr>
          <w:fldChar w:fldCharType="begin"/>
        </w:r>
        <w:r>
          <w:rPr>
            <w:webHidden/>
          </w:rPr>
          <w:instrText xml:space="preserve"> PAGEREF _Toc119584290 \h </w:instrText>
        </w:r>
        <w:r>
          <w:rPr>
            <w:webHidden/>
          </w:rPr>
        </w:r>
        <w:r>
          <w:rPr>
            <w:webHidden/>
          </w:rPr>
          <w:fldChar w:fldCharType="separate"/>
        </w:r>
        <w:r>
          <w:rPr>
            <w:webHidden/>
          </w:rPr>
          <w:t>165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1" w:history="1">
        <w:r w:rsidRPr="008E79CA">
          <w:rPr>
            <w:rStyle w:val="af5"/>
          </w:rPr>
          <w:t>Рисунок 104 – Макет аналитического отчета «Информация об объемах налога на добавленную стоимость в разрезе территорий» представление  «Карта»</w:t>
        </w:r>
        <w:r>
          <w:rPr>
            <w:webHidden/>
          </w:rPr>
          <w:tab/>
        </w:r>
        <w:r>
          <w:rPr>
            <w:webHidden/>
          </w:rPr>
          <w:fldChar w:fldCharType="begin"/>
        </w:r>
        <w:r>
          <w:rPr>
            <w:webHidden/>
          </w:rPr>
          <w:instrText xml:space="preserve"> PAGEREF _Toc119584291 \h </w:instrText>
        </w:r>
        <w:r>
          <w:rPr>
            <w:webHidden/>
          </w:rPr>
        </w:r>
        <w:r>
          <w:rPr>
            <w:webHidden/>
          </w:rPr>
          <w:fldChar w:fldCharType="separate"/>
        </w:r>
        <w:r>
          <w:rPr>
            <w:webHidden/>
          </w:rPr>
          <w:t>166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2" w:history="1">
        <w:r w:rsidRPr="008E79CA">
          <w:rPr>
            <w:rStyle w:val="af5"/>
          </w:rPr>
          <w:t>Рисунок 105 – Макет аналитического отчета «Информация об объемах налога на добавленную стоимость в разрезе территорий» представление  «Диаграмма»</w:t>
        </w:r>
        <w:r>
          <w:rPr>
            <w:webHidden/>
          </w:rPr>
          <w:tab/>
        </w:r>
        <w:r>
          <w:rPr>
            <w:webHidden/>
          </w:rPr>
          <w:fldChar w:fldCharType="begin"/>
        </w:r>
        <w:r>
          <w:rPr>
            <w:webHidden/>
          </w:rPr>
          <w:instrText xml:space="preserve"> PAGEREF _Toc119584292 \h </w:instrText>
        </w:r>
        <w:r>
          <w:rPr>
            <w:webHidden/>
          </w:rPr>
        </w:r>
        <w:r>
          <w:rPr>
            <w:webHidden/>
          </w:rPr>
          <w:fldChar w:fldCharType="separate"/>
        </w:r>
        <w:r>
          <w:rPr>
            <w:webHidden/>
          </w:rPr>
          <w:t>168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3" w:history="1">
        <w:r w:rsidRPr="008E79CA">
          <w:rPr>
            <w:rStyle w:val="af5"/>
          </w:rPr>
          <w:t>Рисунок 106 – Переход к отчету «Сведения о бюджетных и денежных обязательствах»</w:t>
        </w:r>
        <w:r>
          <w:rPr>
            <w:webHidden/>
          </w:rPr>
          <w:tab/>
        </w:r>
        <w:r>
          <w:rPr>
            <w:webHidden/>
          </w:rPr>
          <w:fldChar w:fldCharType="begin"/>
        </w:r>
        <w:r>
          <w:rPr>
            <w:webHidden/>
          </w:rPr>
          <w:instrText xml:space="preserve"> PAGEREF _Toc119584293 \h </w:instrText>
        </w:r>
        <w:r>
          <w:rPr>
            <w:webHidden/>
          </w:rPr>
        </w:r>
        <w:r>
          <w:rPr>
            <w:webHidden/>
          </w:rPr>
          <w:fldChar w:fldCharType="separate"/>
        </w:r>
        <w:r>
          <w:rPr>
            <w:webHidden/>
          </w:rPr>
          <w:t>169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4" w:history="1">
        <w:r w:rsidRPr="008E79CA">
          <w:rPr>
            <w:rStyle w:val="af5"/>
          </w:rPr>
          <w:t>Рисунок 107 – Макет аналитического отчета «Сведения о бюджетных и денежных обязательствах» представление « По ГРБС»</w:t>
        </w:r>
        <w:r>
          <w:rPr>
            <w:webHidden/>
          </w:rPr>
          <w:tab/>
        </w:r>
        <w:r>
          <w:rPr>
            <w:webHidden/>
          </w:rPr>
          <w:fldChar w:fldCharType="begin"/>
        </w:r>
        <w:r>
          <w:rPr>
            <w:webHidden/>
          </w:rPr>
          <w:instrText xml:space="preserve"> PAGEREF _Toc119584294 \h </w:instrText>
        </w:r>
        <w:r>
          <w:rPr>
            <w:webHidden/>
          </w:rPr>
        </w:r>
        <w:r>
          <w:rPr>
            <w:webHidden/>
          </w:rPr>
          <w:fldChar w:fldCharType="separate"/>
        </w:r>
        <w:r>
          <w:rPr>
            <w:webHidden/>
          </w:rPr>
          <w:t>170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5" w:history="1">
        <w:r w:rsidRPr="008E79CA">
          <w:rPr>
            <w:rStyle w:val="af5"/>
          </w:rPr>
          <w:t>Рисунок 108 – Макет аналитического отчета «Сведения о бюджетных и денежных обязательствах» представление « По ГРБС»</w:t>
        </w:r>
        <w:r>
          <w:rPr>
            <w:webHidden/>
          </w:rPr>
          <w:tab/>
        </w:r>
        <w:r>
          <w:rPr>
            <w:webHidden/>
          </w:rPr>
          <w:fldChar w:fldCharType="begin"/>
        </w:r>
        <w:r>
          <w:rPr>
            <w:webHidden/>
          </w:rPr>
          <w:instrText xml:space="preserve"> PAGEREF _Toc119584295 \h </w:instrText>
        </w:r>
        <w:r>
          <w:rPr>
            <w:webHidden/>
          </w:rPr>
        </w:r>
        <w:r>
          <w:rPr>
            <w:webHidden/>
          </w:rPr>
          <w:fldChar w:fldCharType="separate"/>
        </w:r>
        <w:r>
          <w:rPr>
            <w:webHidden/>
          </w:rPr>
          <w:t>171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6" w:history="1">
        <w:r w:rsidRPr="008E79CA">
          <w:rPr>
            <w:rStyle w:val="af5"/>
          </w:rPr>
          <w:t>Рисунок 109 – Макет аналитического отчета «Сведения о бюджетных и денежных обязательствах» представление « БО»</w:t>
        </w:r>
        <w:r>
          <w:rPr>
            <w:webHidden/>
          </w:rPr>
          <w:tab/>
        </w:r>
        <w:r>
          <w:rPr>
            <w:webHidden/>
          </w:rPr>
          <w:fldChar w:fldCharType="begin"/>
        </w:r>
        <w:r>
          <w:rPr>
            <w:webHidden/>
          </w:rPr>
          <w:instrText xml:space="preserve"> PAGEREF _Toc119584296 \h </w:instrText>
        </w:r>
        <w:r>
          <w:rPr>
            <w:webHidden/>
          </w:rPr>
        </w:r>
        <w:r>
          <w:rPr>
            <w:webHidden/>
          </w:rPr>
          <w:fldChar w:fldCharType="separate"/>
        </w:r>
        <w:r>
          <w:rPr>
            <w:webHidden/>
          </w:rPr>
          <w:t>173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7" w:history="1">
        <w:r w:rsidRPr="008E79CA">
          <w:rPr>
            <w:rStyle w:val="af5"/>
          </w:rPr>
          <w:t>Рисунок 110 – Макет аналитического отчета «Сведения о бюджетных и денежных обязательствах» представление « ДО»</w:t>
        </w:r>
        <w:r>
          <w:rPr>
            <w:webHidden/>
          </w:rPr>
          <w:tab/>
        </w:r>
        <w:r>
          <w:rPr>
            <w:webHidden/>
          </w:rPr>
          <w:fldChar w:fldCharType="begin"/>
        </w:r>
        <w:r>
          <w:rPr>
            <w:webHidden/>
          </w:rPr>
          <w:instrText xml:space="preserve"> PAGEREF _Toc119584297 \h </w:instrText>
        </w:r>
        <w:r>
          <w:rPr>
            <w:webHidden/>
          </w:rPr>
        </w:r>
        <w:r>
          <w:rPr>
            <w:webHidden/>
          </w:rPr>
          <w:fldChar w:fldCharType="separate"/>
        </w:r>
        <w:r>
          <w:rPr>
            <w:webHidden/>
          </w:rPr>
          <w:t>176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8" w:history="1">
        <w:r w:rsidRPr="008E79CA">
          <w:rPr>
            <w:rStyle w:val="af5"/>
          </w:rPr>
          <w:t>Рисунок 111 – Переход к отчету «Исполнение ФБ по расходам в разрезе бюджетополучателей»</w:t>
        </w:r>
        <w:r>
          <w:rPr>
            <w:webHidden/>
          </w:rPr>
          <w:tab/>
        </w:r>
        <w:r>
          <w:rPr>
            <w:webHidden/>
          </w:rPr>
          <w:fldChar w:fldCharType="begin"/>
        </w:r>
        <w:r>
          <w:rPr>
            <w:webHidden/>
          </w:rPr>
          <w:instrText xml:space="preserve"> PAGEREF _Toc119584298 \h </w:instrText>
        </w:r>
        <w:r>
          <w:rPr>
            <w:webHidden/>
          </w:rPr>
        </w:r>
        <w:r>
          <w:rPr>
            <w:webHidden/>
          </w:rPr>
          <w:fldChar w:fldCharType="separate"/>
        </w:r>
        <w:r>
          <w:rPr>
            <w:webHidden/>
          </w:rPr>
          <w:t>178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299" w:history="1">
        <w:r w:rsidRPr="008E79CA">
          <w:rPr>
            <w:rStyle w:val="af5"/>
          </w:rPr>
          <w:t>Рисунок 112 – Макет отчета «Исполнение ФБ по расходам в разрезе бюджетополучателей», представление «Текущий год (без плановых периодов)»</w:t>
        </w:r>
        <w:r>
          <w:rPr>
            <w:webHidden/>
          </w:rPr>
          <w:tab/>
        </w:r>
        <w:r>
          <w:rPr>
            <w:webHidden/>
          </w:rPr>
          <w:fldChar w:fldCharType="begin"/>
        </w:r>
        <w:r>
          <w:rPr>
            <w:webHidden/>
          </w:rPr>
          <w:instrText xml:space="preserve"> PAGEREF _Toc119584299 \h </w:instrText>
        </w:r>
        <w:r>
          <w:rPr>
            <w:webHidden/>
          </w:rPr>
        </w:r>
        <w:r>
          <w:rPr>
            <w:webHidden/>
          </w:rPr>
          <w:fldChar w:fldCharType="separate"/>
        </w:r>
        <w:r>
          <w:rPr>
            <w:webHidden/>
          </w:rPr>
          <w:t>179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0" w:history="1">
        <w:r w:rsidRPr="008E79CA">
          <w:rPr>
            <w:rStyle w:val="af5"/>
          </w:rPr>
          <w:t>Рисунок 113 – Макет отчета «Исполнение ФБ по расходам в разрезе бюджетополучателей», представление «С плановыми периодами»</w:t>
        </w:r>
        <w:r>
          <w:rPr>
            <w:webHidden/>
          </w:rPr>
          <w:tab/>
        </w:r>
        <w:r>
          <w:rPr>
            <w:webHidden/>
          </w:rPr>
          <w:fldChar w:fldCharType="begin"/>
        </w:r>
        <w:r>
          <w:rPr>
            <w:webHidden/>
          </w:rPr>
          <w:instrText xml:space="preserve"> PAGEREF _Toc119584300 \h </w:instrText>
        </w:r>
        <w:r>
          <w:rPr>
            <w:webHidden/>
          </w:rPr>
        </w:r>
        <w:r>
          <w:rPr>
            <w:webHidden/>
          </w:rPr>
          <w:fldChar w:fldCharType="separate"/>
        </w:r>
        <w:r>
          <w:rPr>
            <w:webHidden/>
          </w:rPr>
          <w:t>179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1" w:history="1">
        <w:r w:rsidRPr="008E79CA">
          <w:rPr>
            <w:rStyle w:val="af5"/>
            <w:rFonts w:eastAsia="Calibri"/>
          </w:rPr>
          <w:t>Рисунок</w:t>
        </w:r>
        <w:r w:rsidRPr="008E79CA">
          <w:rPr>
            <w:rStyle w:val="af5"/>
          </w:rPr>
          <w:t xml:space="preserve"> 114 </w:t>
        </w:r>
        <w:r w:rsidRPr="008E79CA">
          <w:rPr>
            <w:rStyle w:val="af5"/>
            <w:rFonts w:eastAsia="Calibri"/>
          </w:rPr>
          <w:t xml:space="preserve">– </w:t>
        </w:r>
        <w:r w:rsidRPr="008E79CA">
          <w:rPr>
            <w:rStyle w:val="af5"/>
          </w:rPr>
          <w:t>Плашка для перехода к отчету «Калькулятор нефтегазовых доходов»</w:t>
        </w:r>
        <w:r>
          <w:rPr>
            <w:webHidden/>
          </w:rPr>
          <w:tab/>
        </w:r>
        <w:r>
          <w:rPr>
            <w:webHidden/>
          </w:rPr>
          <w:fldChar w:fldCharType="begin"/>
        </w:r>
        <w:r>
          <w:rPr>
            <w:webHidden/>
          </w:rPr>
          <w:instrText xml:space="preserve"> PAGEREF _Toc119584301 \h </w:instrText>
        </w:r>
        <w:r>
          <w:rPr>
            <w:webHidden/>
          </w:rPr>
        </w:r>
        <w:r>
          <w:rPr>
            <w:webHidden/>
          </w:rPr>
          <w:fldChar w:fldCharType="separate"/>
        </w:r>
        <w:r>
          <w:rPr>
            <w:webHidden/>
          </w:rPr>
          <w:t>183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2" w:history="1">
        <w:r w:rsidRPr="008E79CA">
          <w:rPr>
            <w:rStyle w:val="af5"/>
          </w:rPr>
          <w:t>Рисунок 115 – Макет отчета «Калькулятор нефтегазовых доходов». Представление «Таблица»</w:t>
        </w:r>
        <w:r>
          <w:rPr>
            <w:webHidden/>
          </w:rPr>
          <w:tab/>
        </w:r>
        <w:r>
          <w:rPr>
            <w:webHidden/>
          </w:rPr>
          <w:fldChar w:fldCharType="begin"/>
        </w:r>
        <w:r>
          <w:rPr>
            <w:webHidden/>
          </w:rPr>
          <w:instrText xml:space="preserve"> PAGEREF _Toc119584302 \h </w:instrText>
        </w:r>
        <w:r>
          <w:rPr>
            <w:webHidden/>
          </w:rPr>
        </w:r>
        <w:r>
          <w:rPr>
            <w:webHidden/>
          </w:rPr>
          <w:fldChar w:fldCharType="separate"/>
        </w:r>
        <w:r>
          <w:rPr>
            <w:webHidden/>
          </w:rPr>
          <w:t>184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3" w:history="1">
        <w:r w:rsidRPr="008E79CA">
          <w:rPr>
            <w:rStyle w:val="af5"/>
          </w:rPr>
          <w:t>Рисунок 116 – Макет отчета «Калькулятор нефтегазовых доходов». Представление «Таблица». Расчетный инструментарий</w:t>
        </w:r>
        <w:r>
          <w:rPr>
            <w:webHidden/>
          </w:rPr>
          <w:tab/>
        </w:r>
        <w:r>
          <w:rPr>
            <w:webHidden/>
          </w:rPr>
          <w:fldChar w:fldCharType="begin"/>
        </w:r>
        <w:r>
          <w:rPr>
            <w:webHidden/>
          </w:rPr>
          <w:instrText xml:space="preserve"> PAGEREF _Toc119584303 \h </w:instrText>
        </w:r>
        <w:r>
          <w:rPr>
            <w:webHidden/>
          </w:rPr>
        </w:r>
        <w:r>
          <w:rPr>
            <w:webHidden/>
          </w:rPr>
          <w:fldChar w:fldCharType="separate"/>
        </w:r>
        <w:r>
          <w:rPr>
            <w:webHidden/>
          </w:rPr>
          <w:t>185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4" w:history="1">
        <w:r w:rsidRPr="008E79CA">
          <w:rPr>
            <w:rStyle w:val="af5"/>
          </w:rPr>
          <w:t>Рисунок 117 – Отчет «Калькулятор нефтегазовых доходов». Представление «Таблица». Ячейки для ввода значений курса доллара и стоимости нефти</w:t>
        </w:r>
        <w:r>
          <w:rPr>
            <w:webHidden/>
          </w:rPr>
          <w:tab/>
        </w:r>
        <w:r>
          <w:rPr>
            <w:webHidden/>
          </w:rPr>
          <w:fldChar w:fldCharType="begin"/>
        </w:r>
        <w:r>
          <w:rPr>
            <w:webHidden/>
          </w:rPr>
          <w:instrText xml:space="preserve"> PAGEREF _Toc119584304 \h </w:instrText>
        </w:r>
        <w:r>
          <w:rPr>
            <w:webHidden/>
          </w:rPr>
        </w:r>
        <w:r>
          <w:rPr>
            <w:webHidden/>
          </w:rPr>
          <w:fldChar w:fldCharType="separate"/>
        </w:r>
        <w:r>
          <w:rPr>
            <w:webHidden/>
          </w:rPr>
          <w:t>186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5" w:history="1">
        <w:r w:rsidRPr="008E79CA">
          <w:rPr>
            <w:rStyle w:val="af5"/>
          </w:rPr>
          <w:t>Рисунок 118 – Макет отчета «Калькулятор нефтегазовых доходов». Представление «Сценарий колебаний фондового рынка»</w:t>
        </w:r>
        <w:r>
          <w:rPr>
            <w:webHidden/>
          </w:rPr>
          <w:tab/>
        </w:r>
        <w:r>
          <w:rPr>
            <w:webHidden/>
          </w:rPr>
          <w:fldChar w:fldCharType="begin"/>
        </w:r>
        <w:r>
          <w:rPr>
            <w:webHidden/>
          </w:rPr>
          <w:instrText xml:space="preserve"> PAGEREF _Toc119584305 \h </w:instrText>
        </w:r>
        <w:r>
          <w:rPr>
            <w:webHidden/>
          </w:rPr>
        </w:r>
        <w:r>
          <w:rPr>
            <w:webHidden/>
          </w:rPr>
          <w:fldChar w:fldCharType="separate"/>
        </w:r>
        <w:r>
          <w:rPr>
            <w:webHidden/>
          </w:rPr>
          <w:t>187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6" w:history="1">
        <w:r w:rsidRPr="008E79CA">
          <w:rPr>
            <w:rStyle w:val="af5"/>
          </w:rPr>
          <w:t>Рисунок 119 – Макет отчета «Калькулятор нефтегазовых доходов». Представление «Диаграмма» - «Дискретный»</w:t>
        </w:r>
        <w:r>
          <w:rPr>
            <w:webHidden/>
          </w:rPr>
          <w:tab/>
        </w:r>
        <w:r>
          <w:rPr>
            <w:webHidden/>
          </w:rPr>
          <w:fldChar w:fldCharType="begin"/>
        </w:r>
        <w:r>
          <w:rPr>
            <w:webHidden/>
          </w:rPr>
          <w:instrText xml:space="preserve"> PAGEREF _Toc119584306 \h </w:instrText>
        </w:r>
        <w:r>
          <w:rPr>
            <w:webHidden/>
          </w:rPr>
        </w:r>
        <w:r>
          <w:rPr>
            <w:webHidden/>
          </w:rPr>
          <w:fldChar w:fldCharType="separate"/>
        </w:r>
        <w:r>
          <w:rPr>
            <w:webHidden/>
          </w:rPr>
          <w:t>189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7" w:history="1">
        <w:r w:rsidRPr="008E79CA">
          <w:rPr>
            <w:rStyle w:val="af5"/>
          </w:rPr>
          <w:t>Рисунок 120 – Макет отчета «Калькулятор нефтегазовых доходов». Представление «Диаграмма» - «С начала года»</w:t>
        </w:r>
        <w:r>
          <w:rPr>
            <w:webHidden/>
          </w:rPr>
          <w:tab/>
        </w:r>
        <w:r>
          <w:rPr>
            <w:webHidden/>
          </w:rPr>
          <w:fldChar w:fldCharType="begin"/>
        </w:r>
        <w:r>
          <w:rPr>
            <w:webHidden/>
          </w:rPr>
          <w:instrText xml:space="preserve"> PAGEREF _Toc119584307 \h </w:instrText>
        </w:r>
        <w:r>
          <w:rPr>
            <w:webHidden/>
          </w:rPr>
        </w:r>
        <w:r>
          <w:rPr>
            <w:webHidden/>
          </w:rPr>
          <w:fldChar w:fldCharType="separate"/>
        </w:r>
        <w:r>
          <w:rPr>
            <w:webHidden/>
          </w:rPr>
          <w:t>189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8" w:history="1">
        <w:r w:rsidRPr="008E79CA">
          <w:rPr>
            <w:rStyle w:val="af5"/>
            <w:rFonts w:eastAsia="Calibri"/>
          </w:rPr>
          <w:t xml:space="preserve">Рисунок </w:t>
        </w:r>
        <w:r w:rsidRPr="008E79CA">
          <w:rPr>
            <w:rStyle w:val="af5"/>
          </w:rPr>
          <w:t>121</w:t>
        </w:r>
        <w:r w:rsidRPr="008E79CA">
          <w:rPr>
            <w:rStyle w:val="af5"/>
            <w:rFonts w:eastAsia="Calibri"/>
          </w:rPr>
          <w:t xml:space="preserve"> – Каталог «Отчеты по плательщикам и получателям»</w:t>
        </w:r>
        <w:r>
          <w:rPr>
            <w:webHidden/>
          </w:rPr>
          <w:tab/>
        </w:r>
        <w:r>
          <w:rPr>
            <w:webHidden/>
          </w:rPr>
          <w:fldChar w:fldCharType="begin"/>
        </w:r>
        <w:r>
          <w:rPr>
            <w:webHidden/>
          </w:rPr>
          <w:instrText xml:space="preserve"> PAGEREF _Toc119584308 \h </w:instrText>
        </w:r>
        <w:r>
          <w:rPr>
            <w:webHidden/>
          </w:rPr>
        </w:r>
        <w:r>
          <w:rPr>
            <w:webHidden/>
          </w:rPr>
          <w:fldChar w:fldCharType="separate"/>
        </w:r>
        <w:r>
          <w:rPr>
            <w:webHidden/>
          </w:rPr>
          <w:t>191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09" w:history="1">
        <w:r w:rsidRPr="008E79CA">
          <w:rPr>
            <w:rStyle w:val="af5"/>
          </w:rPr>
          <w:t>Рисунок 122 – Переход к отчету «Информация о поступлении доходов от организаций и осуществлении выплат в адрес организаций (в разрезе территорий, организаций)»</w:t>
        </w:r>
        <w:r>
          <w:rPr>
            <w:webHidden/>
          </w:rPr>
          <w:tab/>
        </w:r>
        <w:r>
          <w:rPr>
            <w:webHidden/>
          </w:rPr>
          <w:fldChar w:fldCharType="begin"/>
        </w:r>
        <w:r>
          <w:rPr>
            <w:webHidden/>
          </w:rPr>
          <w:instrText xml:space="preserve"> PAGEREF _Toc119584309 \h </w:instrText>
        </w:r>
        <w:r>
          <w:rPr>
            <w:webHidden/>
          </w:rPr>
        </w:r>
        <w:r>
          <w:rPr>
            <w:webHidden/>
          </w:rPr>
          <w:fldChar w:fldCharType="separate"/>
        </w:r>
        <w:r>
          <w:rPr>
            <w:webHidden/>
          </w:rPr>
          <w:t>192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0" w:history="1">
        <w:r w:rsidRPr="008E79CA">
          <w:rPr>
            <w:rStyle w:val="af5"/>
          </w:rPr>
          <w:t>Рисунок 123 – Макет отчета «Информация о поступлении доходов от организаций и осуществлении выплат в адрес организаций (в разрезе территорий, организаций)». Представление «Доходы»</w:t>
        </w:r>
        <w:r>
          <w:rPr>
            <w:webHidden/>
          </w:rPr>
          <w:tab/>
        </w:r>
        <w:r>
          <w:rPr>
            <w:webHidden/>
          </w:rPr>
          <w:fldChar w:fldCharType="begin"/>
        </w:r>
        <w:r>
          <w:rPr>
            <w:webHidden/>
          </w:rPr>
          <w:instrText xml:space="preserve"> PAGEREF _Toc119584310 \h </w:instrText>
        </w:r>
        <w:r>
          <w:rPr>
            <w:webHidden/>
          </w:rPr>
        </w:r>
        <w:r>
          <w:rPr>
            <w:webHidden/>
          </w:rPr>
          <w:fldChar w:fldCharType="separate"/>
        </w:r>
        <w:r>
          <w:rPr>
            <w:webHidden/>
          </w:rPr>
          <w:t>193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1" w:history="1">
        <w:r w:rsidRPr="008E79CA">
          <w:rPr>
            <w:rStyle w:val="af5"/>
          </w:rPr>
          <w:t>Рисунок 124 – Макет отчета «Информация о поступлении доходов от организаций и осуществлении выплат в адрес организаций (в разрезе территорий, организаций)». Представление «Расходы»</w:t>
        </w:r>
        <w:r>
          <w:rPr>
            <w:webHidden/>
          </w:rPr>
          <w:tab/>
        </w:r>
        <w:r>
          <w:rPr>
            <w:webHidden/>
          </w:rPr>
          <w:fldChar w:fldCharType="begin"/>
        </w:r>
        <w:r>
          <w:rPr>
            <w:webHidden/>
          </w:rPr>
          <w:instrText xml:space="preserve"> PAGEREF _Toc119584311 \h </w:instrText>
        </w:r>
        <w:r>
          <w:rPr>
            <w:webHidden/>
          </w:rPr>
        </w:r>
        <w:r>
          <w:rPr>
            <w:webHidden/>
          </w:rPr>
          <w:fldChar w:fldCharType="separate"/>
        </w:r>
        <w:r>
          <w:rPr>
            <w:webHidden/>
          </w:rPr>
          <w:t>193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2" w:history="1">
        <w:r w:rsidRPr="008E79CA">
          <w:rPr>
            <w:rStyle w:val="af5"/>
          </w:rPr>
          <w:t>Рисунок 125 – Макет отчета «Информация о поступлении доходов от организаций и осуществлении выплат в адрес организаций (в разрезе территорий, организаций)». Представление «Источники финансирования дефицита бюджета»</w:t>
        </w:r>
        <w:r>
          <w:rPr>
            <w:webHidden/>
          </w:rPr>
          <w:tab/>
        </w:r>
        <w:r>
          <w:rPr>
            <w:webHidden/>
          </w:rPr>
          <w:fldChar w:fldCharType="begin"/>
        </w:r>
        <w:r>
          <w:rPr>
            <w:webHidden/>
          </w:rPr>
          <w:instrText xml:space="preserve"> PAGEREF _Toc119584312 \h </w:instrText>
        </w:r>
        <w:r>
          <w:rPr>
            <w:webHidden/>
          </w:rPr>
        </w:r>
        <w:r>
          <w:rPr>
            <w:webHidden/>
          </w:rPr>
          <w:fldChar w:fldCharType="separate"/>
        </w:r>
        <w:r>
          <w:rPr>
            <w:webHidden/>
          </w:rPr>
          <w:t>194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3" w:history="1">
        <w:r w:rsidRPr="008E79CA">
          <w:rPr>
            <w:rStyle w:val="af5"/>
          </w:rPr>
          <w:t>Рисунок 126 – Переход к отчету «Мониторинг загрузки в ПИАО данных из АСФК по описям платежных документов»</w:t>
        </w:r>
        <w:r>
          <w:rPr>
            <w:webHidden/>
          </w:rPr>
          <w:tab/>
        </w:r>
        <w:r>
          <w:rPr>
            <w:webHidden/>
          </w:rPr>
          <w:fldChar w:fldCharType="begin"/>
        </w:r>
        <w:r>
          <w:rPr>
            <w:webHidden/>
          </w:rPr>
          <w:instrText xml:space="preserve"> PAGEREF _Toc119584313 \h </w:instrText>
        </w:r>
        <w:r>
          <w:rPr>
            <w:webHidden/>
          </w:rPr>
        </w:r>
        <w:r>
          <w:rPr>
            <w:webHidden/>
          </w:rPr>
          <w:fldChar w:fldCharType="separate"/>
        </w:r>
        <w:r>
          <w:rPr>
            <w:webHidden/>
          </w:rPr>
          <w:t>195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4" w:history="1">
        <w:r w:rsidRPr="008E79CA">
          <w:rPr>
            <w:rStyle w:val="af5"/>
          </w:rPr>
          <w:t>Рисунок 127 – Макет отчета «Мониторинг загрузки в ПИАО данных из АСФК по описям платежных документов». Представление «Мониторинг описей (Свод)»</w:t>
        </w:r>
        <w:r>
          <w:rPr>
            <w:webHidden/>
          </w:rPr>
          <w:tab/>
        </w:r>
        <w:r>
          <w:rPr>
            <w:webHidden/>
          </w:rPr>
          <w:fldChar w:fldCharType="begin"/>
        </w:r>
        <w:r>
          <w:rPr>
            <w:webHidden/>
          </w:rPr>
          <w:instrText xml:space="preserve"> PAGEREF _Toc119584314 \h </w:instrText>
        </w:r>
        <w:r>
          <w:rPr>
            <w:webHidden/>
          </w:rPr>
        </w:r>
        <w:r>
          <w:rPr>
            <w:webHidden/>
          </w:rPr>
          <w:fldChar w:fldCharType="separate"/>
        </w:r>
        <w:r>
          <w:rPr>
            <w:webHidden/>
          </w:rPr>
          <w:t>196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5" w:history="1">
        <w:r w:rsidRPr="008E79CA">
          <w:rPr>
            <w:rStyle w:val="af5"/>
          </w:rPr>
          <w:t>Рисунок 128 – Макет отчета «Мониторинг загрузки в ПИАО данных из АСФК по описям платежных документов». Представление «Мониторинг описей (Детализация)»</w:t>
        </w:r>
        <w:r>
          <w:rPr>
            <w:webHidden/>
          </w:rPr>
          <w:tab/>
        </w:r>
        <w:r>
          <w:rPr>
            <w:webHidden/>
          </w:rPr>
          <w:fldChar w:fldCharType="begin"/>
        </w:r>
        <w:r>
          <w:rPr>
            <w:webHidden/>
          </w:rPr>
          <w:instrText xml:space="preserve"> PAGEREF _Toc119584315 \h </w:instrText>
        </w:r>
        <w:r>
          <w:rPr>
            <w:webHidden/>
          </w:rPr>
        </w:r>
        <w:r>
          <w:rPr>
            <w:webHidden/>
          </w:rPr>
          <w:fldChar w:fldCharType="separate"/>
        </w:r>
        <w:r>
          <w:rPr>
            <w:webHidden/>
          </w:rPr>
          <w:t>198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6" w:history="1">
        <w:r w:rsidRPr="008E79CA">
          <w:rPr>
            <w:rStyle w:val="af5"/>
          </w:rPr>
          <w:t>Рисунок 129 – Макет отчета «Мониторинг загрузки в ПИАО данных из АСФК по описям платежных документов». Представление «Мониторинг типов документов»</w:t>
        </w:r>
        <w:r>
          <w:rPr>
            <w:webHidden/>
          </w:rPr>
          <w:tab/>
        </w:r>
        <w:r>
          <w:rPr>
            <w:webHidden/>
          </w:rPr>
          <w:fldChar w:fldCharType="begin"/>
        </w:r>
        <w:r>
          <w:rPr>
            <w:webHidden/>
          </w:rPr>
          <w:instrText xml:space="preserve"> PAGEREF _Toc119584316 \h </w:instrText>
        </w:r>
        <w:r>
          <w:rPr>
            <w:webHidden/>
          </w:rPr>
        </w:r>
        <w:r>
          <w:rPr>
            <w:webHidden/>
          </w:rPr>
          <w:fldChar w:fldCharType="separate"/>
        </w:r>
        <w:r>
          <w:rPr>
            <w:webHidden/>
          </w:rPr>
          <w:t>199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7" w:history="1">
        <w:r w:rsidRPr="008E79CA">
          <w:rPr>
            <w:rStyle w:val="af5"/>
          </w:rPr>
          <w:t>Рисунок 130 – Макет отчета «Мониторинг загрузки в ПИАО данных из АСФК по описям платежных документов». Представление «Мониторинг в разрезе КБК»</w:t>
        </w:r>
        <w:r>
          <w:rPr>
            <w:webHidden/>
          </w:rPr>
          <w:tab/>
        </w:r>
        <w:r>
          <w:rPr>
            <w:webHidden/>
          </w:rPr>
          <w:fldChar w:fldCharType="begin"/>
        </w:r>
        <w:r>
          <w:rPr>
            <w:webHidden/>
          </w:rPr>
          <w:instrText xml:space="preserve"> PAGEREF _Toc119584317 \h </w:instrText>
        </w:r>
        <w:r>
          <w:rPr>
            <w:webHidden/>
          </w:rPr>
        </w:r>
        <w:r>
          <w:rPr>
            <w:webHidden/>
          </w:rPr>
          <w:fldChar w:fldCharType="separate"/>
        </w:r>
        <w:r>
          <w:rPr>
            <w:webHidden/>
          </w:rPr>
          <w:t>200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8" w:history="1">
        <w:r w:rsidRPr="008E79CA">
          <w:rPr>
            <w:rStyle w:val="af5"/>
          </w:rPr>
          <w:t>Рисунок 131 – Переход к отчету «Доходы от использования имущества, находящегося в государственной собственности»</w:t>
        </w:r>
        <w:r>
          <w:rPr>
            <w:webHidden/>
          </w:rPr>
          <w:tab/>
        </w:r>
        <w:r>
          <w:rPr>
            <w:webHidden/>
          </w:rPr>
          <w:fldChar w:fldCharType="begin"/>
        </w:r>
        <w:r>
          <w:rPr>
            <w:webHidden/>
          </w:rPr>
          <w:instrText xml:space="preserve"> PAGEREF _Toc119584318 \h </w:instrText>
        </w:r>
        <w:r>
          <w:rPr>
            <w:webHidden/>
          </w:rPr>
        </w:r>
        <w:r>
          <w:rPr>
            <w:webHidden/>
          </w:rPr>
          <w:fldChar w:fldCharType="separate"/>
        </w:r>
        <w:r>
          <w:rPr>
            <w:webHidden/>
          </w:rPr>
          <w:t>202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19" w:history="1">
        <w:r w:rsidRPr="008E79CA">
          <w:rPr>
            <w:rStyle w:val="af5"/>
          </w:rPr>
          <w:t>Рисунок 132 – Макет аналитического отчета «Информация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собственности», представление «В разрезе КБК»</w:t>
        </w:r>
        <w:r>
          <w:rPr>
            <w:webHidden/>
          </w:rPr>
          <w:tab/>
        </w:r>
        <w:r>
          <w:rPr>
            <w:webHidden/>
          </w:rPr>
          <w:fldChar w:fldCharType="begin"/>
        </w:r>
        <w:r>
          <w:rPr>
            <w:webHidden/>
          </w:rPr>
          <w:instrText xml:space="preserve"> PAGEREF _Toc119584319 \h </w:instrText>
        </w:r>
        <w:r>
          <w:rPr>
            <w:webHidden/>
          </w:rPr>
        </w:r>
        <w:r>
          <w:rPr>
            <w:webHidden/>
          </w:rPr>
          <w:fldChar w:fldCharType="separate"/>
        </w:r>
        <w:r>
          <w:rPr>
            <w:webHidden/>
          </w:rPr>
          <w:t>203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0" w:history="1">
        <w:r w:rsidRPr="008E79CA">
          <w:rPr>
            <w:rStyle w:val="af5"/>
          </w:rPr>
          <w:t>Рисунок 133 – Макет представления «В разрезе ТОФК»</w:t>
        </w:r>
        <w:r>
          <w:rPr>
            <w:webHidden/>
          </w:rPr>
          <w:tab/>
        </w:r>
        <w:r>
          <w:rPr>
            <w:webHidden/>
          </w:rPr>
          <w:fldChar w:fldCharType="begin"/>
        </w:r>
        <w:r>
          <w:rPr>
            <w:webHidden/>
          </w:rPr>
          <w:instrText xml:space="preserve"> PAGEREF _Toc119584320 \h </w:instrText>
        </w:r>
        <w:r>
          <w:rPr>
            <w:webHidden/>
          </w:rPr>
        </w:r>
        <w:r>
          <w:rPr>
            <w:webHidden/>
          </w:rPr>
          <w:fldChar w:fldCharType="separate"/>
        </w:r>
        <w:r>
          <w:rPr>
            <w:webHidden/>
          </w:rPr>
          <w:t>204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1" w:history="1">
        <w:r w:rsidRPr="008E79CA">
          <w:rPr>
            <w:rStyle w:val="af5"/>
          </w:rPr>
          <w:t>Рисунок 134 – Макет представления «Платежные документы»</w:t>
        </w:r>
        <w:r>
          <w:rPr>
            <w:webHidden/>
          </w:rPr>
          <w:tab/>
        </w:r>
        <w:r>
          <w:rPr>
            <w:webHidden/>
          </w:rPr>
          <w:fldChar w:fldCharType="begin"/>
        </w:r>
        <w:r>
          <w:rPr>
            <w:webHidden/>
          </w:rPr>
          <w:instrText xml:space="preserve"> PAGEREF _Toc119584321 \h </w:instrText>
        </w:r>
        <w:r>
          <w:rPr>
            <w:webHidden/>
          </w:rPr>
        </w:r>
        <w:r>
          <w:rPr>
            <w:webHidden/>
          </w:rPr>
          <w:fldChar w:fldCharType="separate"/>
        </w:r>
        <w:r>
          <w:rPr>
            <w:webHidden/>
          </w:rPr>
          <w:t>205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2" w:history="1">
        <w:r w:rsidRPr="008E79CA">
          <w:rPr>
            <w:rStyle w:val="af5"/>
          </w:rPr>
          <w:t>Рисунок 135 – Переход к отчету «Мониторинг объектов капитального строительства в рамках реализации федеральной адресной инвестиционной программы»</w:t>
        </w:r>
        <w:r>
          <w:rPr>
            <w:webHidden/>
          </w:rPr>
          <w:tab/>
        </w:r>
        <w:r>
          <w:rPr>
            <w:webHidden/>
          </w:rPr>
          <w:fldChar w:fldCharType="begin"/>
        </w:r>
        <w:r>
          <w:rPr>
            <w:webHidden/>
          </w:rPr>
          <w:instrText xml:space="preserve"> PAGEREF _Toc119584322 \h </w:instrText>
        </w:r>
        <w:r>
          <w:rPr>
            <w:webHidden/>
          </w:rPr>
        </w:r>
        <w:r>
          <w:rPr>
            <w:webHidden/>
          </w:rPr>
          <w:fldChar w:fldCharType="separate"/>
        </w:r>
        <w:r>
          <w:rPr>
            <w:webHidden/>
          </w:rPr>
          <w:t>206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3" w:history="1">
        <w:r w:rsidRPr="008E79CA">
          <w:rPr>
            <w:rStyle w:val="af5"/>
          </w:rPr>
          <w:t>Рисунок 136 – Макет отчета «Мониторинг объектов капитального строительства в рамках реализации федеральной адресной инвестиционной программы», представление «Общая информация»</w:t>
        </w:r>
        <w:r>
          <w:rPr>
            <w:webHidden/>
          </w:rPr>
          <w:tab/>
        </w:r>
        <w:r>
          <w:rPr>
            <w:webHidden/>
          </w:rPr>
          <w:fldChar w:fldCharType="begin"/>
        </w:r>
        <w:r>
          <w:rPr>
            <w:webHidden/>
          </w:rPr>
          <w:instrText xml:space="preserve"> PAGEREF _Toc119584323 \h </w:instrText>
        </w:r>
        <w:r>
          <w:rPr>
            <w:webHidden/>
          </w:rPr>
        </w:r>
        <w:r>
          <w:rPr>
            <w:webHidden/>
          </w:rPr>
          <w:fldChar w:fldCharType="separate"/>
        </w:r>
        <w:r>
          <w:rPr>
            <w:webHidden/>
          </w:rPr>
          <w:t>207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4" w:history="1">
        <w:r w:rsidRPr="008E79CA">
          <w:rPr>
            <w:rStyle w:val="af5"/>
          </w:rPr>
          <w:t>Рисунок 137 – Макет отчета «Мониторинг объектов капитального строительства в рамках реализации федеральной адресной инвестиционной программы», представление «По объектам ФАИП/ОКС (с плановыми периодами/ без плановых периодов)»</w:t>
        </w:r>
        <w:r>
          <w:rPr>
            <w:webHidden/>
          </w:rPr>
          <w:tab/>
        </w:r>
        <w:r>
          <w:rPr>
            <w:webHidden/>
          </w:rPr>
          <w:fldChar w:fldCharType="begin"/>
        </w:r>
        <w:r>
          <w:rPr>
            <w:webHidden/>
          </w:rPr>
          <w:instrText xml:space="preserve"> PAGEREF _Toc119584324 \h </w:instrText>
        </w:r>
        <w:r>
          <w:rPr>
            <w:webHidden/>
          </w:rPr>
        </w:r>
        <w:r>
          <w:rPr>
            <w:webHidden/>
          </w:rPr>
          <w:fldChar w:fldCharType="separate"/>
        </w:r>
        <w:r>
          <w:rPr>
            <w:webHidden/>
          </w:rPr>
          <w:t>210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5" w:history="1">
        <w:r w:rsidRPr="008E79CA">
          <w:rPr>
            <w:rStyle w:val="af5"/>
          </w:rPr>
          <w:t>Рисунок 138 – Макет отчета «Мониторинг объектов капитального строительства в рамках реализации федеральной адресной инвестиционной программы», представление «Информация по ОКС в разрезе субъектов РФ»</w:t>
        </w:r>
        <w:r>
          <w:rPr>
            <w:webHidden/>
          </w:rPr>
          <w:tab/>
        </w:r>
        <w:r>
          <w:rPr>
            <w:webHidden/>
          </w:rPr>
          <w:fldChar w:fldCharType="begin"/>
        </w:r>
        <w:r>
          <w:rPr>
            <w:webHidden/>
          </w:rPr>
          <w:instrText xml:space="preserve"> PAGEREF _Toc119584325 \h </w:instrText>
        </w:r>
        <w:r>
          <w:rPr>
            <w:webHidden/>
          </w:rPr>
        </w:r>
        <w:r>
          <w:rPr>
            <w:webHidden/>
          </w:rPr>
          <w:fldChar w:fldCharType="separate"/>
        </w:r>
        <w:r>
          <w:rPr>
            <w:webHidden/>
          </w:rPr>
          <w:t>213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6" w:history="1">
        <w:r w:rsidRPr="008E79CA">
          <w:rPr>
            <w:rStyle w:val="af5"/>
          </w:rPr>
          <w:t>Рисунок 139 – Макет борда «Бюджет», представление «По РФ»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_Toc119584326 \h </w:instrText>
        </w:r>
        <w:r>
          <w:rPr>
            <w:webHidden/>
          </w:rPr>
        </w:r>
        <w:r>
          <w:rPr>
            <w:webHidden/>
          </w:rPr>
          <w:fldChar w:fldCharType="separate"/>
        </w:r>
        <w:r>
          <w:rPr>
            <w:webHidden/>
          </w:rPr>
          <w:t>224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7" w:history="1">
        <w:r w:rsidRPr="008E79CA">
          <w:rPr>
            <w:rStyle w:val="af5"/>
          </w:rPr>
          <w:t>Рисунок 140 – Макет борда «Бюджет», представление «По РФ» (в параметре «По состоянию на» выбрано значение 01.01.ГГГГ)</w:t>
        </w:r>
        <w:r>
          <w:rPr>
            <w:webHidden/>
          </w:rPr>
          <w:tab/>
        </w:r>
        <w:r>
          <w:rPr>
            <w:webHidden/>
          </w:rPr>
          <w:fldChar w:fldCharType="begin"/>
        </w:r>
        <w:r>
          <w:rPr>
            <w:webHidden/>
          </w:rPr>
          <w:instrText xml:space="preserve"> PAGEREF _Toc119584327 \h </w:instrText>
        </w:r>
        <w:r>
          <w:rPr>
            <w:webHidden/>
          </w:rPr>
        </w:r>
        <w:r>
          <w:rPr>
            <w:webHidden/>
          </w:rPr>
          <w:fldChar w:fldCharType="separate"/>
        </w:r>
        <w:r>
          <w:rPr>
            <w:webHidden/>
          </w:rPr>
          <w:t>224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8" w:history="1">
        <w:r w:rsidRPr="008E79CA">
          <w:rPr>
            <w:rStyle w:val="af5"/>
          </w:rPr>
          <w:t>Рисунок 141 – Макет борда «Бюджет», представление «По вице-премьерам»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_Toc119584328 \h </w:instrText>
        </w:r>
        <w:r>
          <w:rPr>
            <w:webHidden/>
          </w:rPr>
        </w:r>
        <w:r>
          <w:rPr>
            <w:webHidden/>
          </w:rPr>
          <w:fldChar w:fldCharType="separate"/>
        </w:r>
        <w:r>
          <w:rPr>
            <w:webHidden/>
          </w:rPr>
          <w:t>230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29" w:history="1">
        <w:r w:rsidRPr="008E79CA">
          <w:rPr>
            <w:rStyle w:val="af5"/>
          </w:rPr>
          <w:t>Рисунок 142 – Макет борда «Бюджет», представление «По вице-премьерам» (в параметре «По состоянию на» выбрано значение 01.01.ГГГГ)</w:t>
        </w:r>
        <w:r>
          <w:rPr>
            <w:webHidden/>
          </w:rPr>
          <w:tab/>
        </w:r>
        <w:r>
          <w:rPr>
            <w:webHidden/>
          </w:rPr>
          <w:fldChar w:fldCharType="begin"/>
        </w:r>
        <w:r>
          <w:rPr>
            <w:webHidden/>
          </w:rPr>
          <w:instrText xml:space="preserve"> PAGEREF _Toc119584329 \h </w:instrText>
        </w:r>
        <w:r>
          <w:rPr>
            <w:webHidden/>
          </w:rPr>
        </w:r>
        <w:r>
          <w:rPr>
            <w:webHidden/>
          </w:rPr>
          <w:fldChar w:fldCharType="separate"/>
        </w:r>
        <w:r>
          <w:rPr>
            <w:webHidden/>
          </w:rPr>
          <w:t>231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0" w:history="1">
        <w:r w:rsidRPr="008E79CA">
          <w:rPr>
            <w:rStyle w:val="af5"/>
          </w:rPr>
          <w:t>Рисунок 143 – Макет борда «Бюджет», представление «По ГАБС - Расходы»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_Toc119584330 \h </w:instrText>
        </w:r>
        <w:r>
          <w:rPr>
            <w:webHidden/>
          </w:rPr>
        </w:r>
        <w:r>
          <w:rPr>
            <w:webHidden/>
          </w:rPr>
          <w:fldChar w:fldCharType="separate"/>
        </w:r>
        <w:r>
          <w:rPr>
            <w:webHidden/>
          </w:rPr>
          <w:t>233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1" w:history="1">
        <w:r w:rsidRPr="008E79CA">
          <w:rPr>
            <w:rStyle w:val="af5"/>
          </w:rPr>
          <w:t>Рисунок 144 – Макет борда «Бюджет», представление «По ГАБС - Расходы» (в параметре «По состоянию на» выбрано значение 01.01.ГГГГ)</w:t>
        </w:r>
        <w:r>
          <w:rPr>
            <w:webHidden/>
          </w:rPr>
          <w:tab/>
        </w:r>
        <w:r>
          <w:rPr>
            <w:webHidden/>
          </w:rPr>
          <w:fldChar w:fldCharType="begin"/>
        </w:r>
        <w:r>
          <w:rPr>
            <w:webHidden/>
          </w:rPr>
          <w:instrText xml:space="preserve"> PAGEREF _Toc119584331 \h </w:instrText>
        </w:r>
        <w:r>
          <w:rPr>
            <w:webHidden/>
          </w:rPr>
        </w:r>
        <w:r>
          <w:rPr>
            <w:webHidden/>
          </w:rPr>
          <w:fldChar w:fldCharType="separate"/>
        </w:r>
        <w:r>
          <w:rPr>
            <w:webHidden/>
          </w:rPr>
          <w:t>234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2" w:history="1">
        <w:r w:rsidRPr="008E79CA">
          <w:rPr>
            <w:rStyle w:val="af5"/>
          </w:rPr>
          <w:t>Рисунок 145 – Макет борда «Бюджет», представление «По ГАБС - Доходы»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_Toc119584332 \h </w:instrText>
        </w:r>
        <w:r>
          <w:rPr>
            <w:webHidden/>
          </w:rPr>
        </w:r>
        <w:r>
          <w:rPr>
            <w:webHidden/>
          </w:rPr>
          <w:fldChar w:fldCharType="separate"/>
        </w:r>
        <w:r>
          <w:rPr>
            <w:webHidden/>
          </w:rPr>
          <w:t>240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3" w:history="1">
        <w:r w:rsidRPr="008E79CA">
          <w:rPr>
            <w:rStyle w:val="af5"/>
          </w:rPr>
          <w:t>Рисунок 146 – Макет борда «Бюджет», представление «По ГАБС - Доходы» (в параметре «По состоянию на» выбрано значение 01.01.ГГГГ)</w:t>
        </w:r>
        <w:r>
          <w:rPr>
            <w:webHidden/>
          </w:rPr>
          <w:tab/>
        </w:r>
        <w:r>
          <w:rPr>
            <w:webHidden/>
          </w:rPr>
          <w:fldChar w:fldCharType="begin"/>
        </w:r>
        <w:r>
          <w:rPr>
            <w:webHidden/>
          </w:rPr>
          <w:instrText xml:space="preserve"> PAGEREF _Toc119584333 \h </w:instrText>
        </w:r>
        <w:r>
          <w:rPr>
            <w:webHidden/>
          </w:rPr>
        </w:r>
        <w:r>
          <w:rPr>
            <w:webHidden/>
          </w:rPr>
          <w:fldChar w:fldCharType="separate"/>
        </w:r>
        <w:r>
          <w:rPr>
            <w:webHidden/>
          </w:rPr>
          <w:t>240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4" w:history="1">
        <w:r w:rsidRPr="008E79CA">
          <w:rPr>
            <w:rStyle w:val="af5"/>
          </w:rPr>
          <w:t>Рисунок 147 – Макет борда «Бюджет», представление «По видам расходов»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_Toc119584334 \h </w:instrText>
        </w:r>
        <w:r>
          <w:rPr>
            <w:webHidden/>
          </w:rPr>
        </w:r>
        <w:r>
          <w:rPr>
            <w:webHidden/>
          </w:rPr>
          <w:fldChar w:fldCharType="separate"/>
        </w:r>
        <w:r>
          <w:rPr>
            <w:webHidden/>
          </w:rPr>
          <w:t>244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5" w:history="1">
        <w:r w:rsidRPr="008E79CA">
          <w:rPr>
            <w:rStyle w:val="af5"/>
          </w:rPr>
          <w:t>Рисунок 148 – Макет борда «Бюджет», представление «По видам расходов» (в параметре «По состоянию на» выбрано значение 01.01.ГГГГ)</w:t>
        </w:r>
        <w:r>
          <w:rPr>
            <w:webHidden/>
          </w:rPr>
          <w:tab/>
        </w:r>
        <w:r>
          <w:rPr>
            <w:webHidden/>
          </w:rPr>
          <w:fldChar w:fldCharType="begin"/>
        </w:r>
        <w:r>
          <w:rPr>
            <w:webHidden/>
          </w:rPr>
          <w:instrText xml:space="preserve"> PAGEREF _Toc119584335 \h </w:instrText>
        </w:r>
        <w:r>
          <w:rPr>
            <w:webHidden/>
          </w:rPr>
        </w:r>
        <w:r>
          <w:rPr>
            <w:webHidden/>
          </w:rPr>
          <w:fldChar w:fldCharType="separate"/>
        </w:r>
        <w:r>
          <w:rPr>
            <w:webHidden/>
          </w:rPr>
          <w:t>244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6" w:history="1">
        <w:r w:rsidRPr="008E79CA">
          <w:rPr>
            <w:rStyle w:val="af5"/>
          </w:rPr>
          <w:t>Рисунок 149 – Макет борда «Бюджет», представление «По этапам - Расходы» (в параметре «По состоянию на» выбрано значение не равное значению 01.01.ГГГГ)</w:t>
        </w:r>
        <w:r>
          <w:rPr>
            <w:webHidden/>
          </w:rPr>
          <w:tab/>
        </w:r>
        <w:r>
          <w:rPr>
            <w:webHidden/>
          </w:rPr>
          <w:fldChar w:fldCharType="begin"/>
        </w:r>
        <w:r>
          <w:rPr>
            <w:webHidden/>
          </w:rPr>
          <w:instrText xml:space="preserve"> PAGEREF _Toc119584336 \h </w:instrText>
        </w:r>
        <w:r>
          <w:rPr>
            <w:webHidden/>
          </w:rPr>
        </w:r>
        <w:r>
          <w:rPr>
            <w:webHidden/>
          </w:rPr>
          <w:fldChar w:fldCharType="separate"/>
        </w:r>
        <w:r>
          <w:rPr>
            <w:webHidden/>
          </w:rPr>
          <w:t>247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7" w:history="1">
        <w:r w:rsidRPr="008E79CA">
          <w:rPr>
            <w:rStyle w:val="af5"/>
          </w:rPr>
          <w:t>Рисунок 150 – Макет борда «Бюджет», представление «По этапам - Расходы» (в параметре «По состоянию на» выбрано значение 01.01.ГГГГ)</w:t>
        </w:r>
        <w:r>
          <w:rPr>
            <w:webHidden/>
          </w:rPr>
          <w:tab/>
        </w:r>
        <w:r>
          <w:rPr>
            <w:webHidden/>
          </w:rPr>
          <w:fldChar w:fldCharType="begin"/>
        </w:r>
        <w:r>
          <w:rPr>
            <w:webHidden/>
          </w:rPr>
          <w:instrText xml:space="preserve"> PAGEREF _Toc119584337 \h </w:instrText>
        </w:r>
        <w:r>
          <w:rPr>
            <w:webHidden/>
          </w:rPr>
        </w:r>
        <w:r>
          <w:rPr>
            <w:webHidden/>
          </w:rPr>
          <w:fldChar w:fldCharType="separate"/>
        </w:r>
        <w:r>
          <w:rPr>
            <w:webHidden/>
          </w:rPr>
          <w:t>249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8" w:history="1">
        <w:r w:rsidRPr="008E79CA">
          <w:rPr>
            <w:rStyle w:val="af5"/>
          </w:rPr>
          <w:t>Рисунок 151 – Макет борда «Бюджет», представление «По этапам - Доходы»</w:t>
        </w:r>
        <w:r>
          <w:rPr>
            <w:webHidden/>
          </w:rPr>
          <w:tab/>
        </w:r>
        <w:r>
          <w:rPr>
            <w:webHidden/>
          </w:rPr>
          <w:fldChar w:fldCharType="begin"/>
        </w:r>
        <w:r>
          <w:rPr>
            <w:webHidden/>
          </w:rPr>
          <w:instrText xml:space="preserve"> PAGEREF _Toc119584338 \h </w:instrText>
        </w:r>
        <w:r>
          <w:rPr>
            <w:webHidden/>
          </w:rPr>
        </w:r>
        <w:r>
          <w:rPr>
            <w:webHidden/>
          </w:rPr>
          <w:fldChar w:fldCharType="separate"/>
        </w:r>
        <w:r>
          <w:rPr>
            <w:webHidden/>
          </w:rPr>
          <w:t>261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39" w:history="1">
        <w:r w:rsidRPr="008E79CA">
          <w:rPr>
            <w:rStyle w:val="af5"/>
          </w:rPr>
          <w:t>Рисунок 152 – Макет отчета «Закупка товаров, работ, услуг Свод».</w:t>
        </w:r>
        <w:r>
          <w:rPr>
            <w:webHidden/>
          </w:rPr>
          <w:tab/>
        </w:r>
        <w:r>
          <w:rPr>
            <w:webHidden/>
          </w:rPr>
          <w:fldChar w:fldCharType="begin"/>
        </w:r>
        <w:r>
          <w:rPr>
            <w:webHidden/>
          </w:rPr>
          <w:instrText xml:space="preserve"> PAGEREF _Toc119584339 \h </w:instrText>
        </w:r>
        <w:r>
          <w:rPr>
            <w:webHidden/>
          </w:rPr>
        </w:r>
        <w:r>
          <w:rPr>
            <w:webHidden/>
          </w:rPr>
          <w:fldChar w:fldCharType="separate"/>
        </w:r>
        <w:r>
          <w:rPr>
            <w:webHidden/>
          </w:rPr>
          <w:t>269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0" w:history="1">
        <w:r w:rsidRPr="008E79CA">
          <w:rPr>
            <w:rStyle w:val="af5"/>
          </w:rPr>
          <w:t>Рисунок 153 – Макет отчета «Закупка товаров, работ, услуг». По данным системы ЕИС Мониторинг</w:t>
        </w:r>
        <w:r>
          <w:rPr>
            <w:webHidden/>
          </w:rPr>
          <w:tab/>
        </w:r>
        <w:r>
          <w:rPr>
            <w:webHidden/>
          </w:rPr>
          <w:fldChar w:fldCharType="begin"/>
        </w:r>
        <w:r>
          <w:rPr>
            <w:webHidden/>
          </w:rPr>
          <w:instrText xml:space="preserve"> PAGEREF _Toc119584340 \h </w:instrText>
        </w:r>
        <w:r>
          <w:rPr>
            <w:webHidden/>
          </w:rPr>
        </w:r>
        <w:r>
          <w:rPr>
            <w:webHidden/>
          </w:rPr>
          <w:fldChar w:fldCharType="separate"/>
        </w:r>
        <w:r>
          <w:rPr>
            <w:webHidden/>
          </w:rPr>
          <w:t>274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1" w:history="1">
        <w:r w:rsidRPr="008E79CA">
          <w:rPr>
            <w:rStyle w:val="af5"/>
          </w:rPr>
          <w:t>Рисунок 154 – Макет отчета «Расходы федерального бюджета»</w:t>
        </w:r>
        <w:r>
          <w:rPr>
            <w:webHidden/>
          </w:rPr>
          <w:tab/>
        </w:r>
        <w:r>
          <w:rPr>
            <w:webHidden/>
          </w:rPr>
          <w:fldChar w:fldCharType="begin"/>
        </w:r>
        <w:r>
          <w:rPr>
            <w:webHidden/>
          </w:rPr>
          <w:instrText xml:space="preserve"> PAGEREF _Toc119584341 \h </w:instrText>
        </w:r>
        <w:r>
          <w:rPr>
            <w:webHidden/>
          </w:rPr>
        </w:r>
        <w:r>
          <w:rPr>
            <w:webHidden/>
          </w:rPr>
          <w:fldChar w:fldCharType="separate"/>
        </w:r>
        <w:r>
          <w:rPr>
            <w:webHidden/>
          </w:rPr>
          <w:t>277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2" w:history="1">
        <w:r w:rsidRPr="008E79CA">
          <w:rPr>
            <w:rStyle w:val="af5"/>
          </w:rPr>
          <w:t>Рисунок 155 – Плашка для перехода к отчету «Информация об исполнении национальных (федеральных) проектов в разрезе бюджетов бюджетной системы Российской Федерации»</w:t>
        </w:r>
        <w:r>
          <w:rPr>
            <w:webHidden/>
          </w:rPr>
          <w:tab/>
        </w:r>
        <w:r>
          <w:rPr>
            <w:webHidden/>
          </w:rPr>
          <w:fldChar w:fldCharType="begin"/>
        </w:r>
        <w:r>
          <w:rPr>
            <w:webHidden/>
          </w:rPr>
          <w:instrText xml:space="preserve"> PAGEREF _Toc119584342 \h </w:instrText>
        </w:r>
        <w:r>
          <w:rPr>
            <w:webHidden/>
          </w:rPr>
        </w:r>
        <w:r>
          <w:rPr>
            <w:webHidden/>
          </w:rPr>
          <w:fldChar w:fldCharType="separate"/>
        </w:r>
        <w:r>
          <w:rPr>
            <w:webHidden/>
          </w:rPr>
          <w:t>302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3" w:history="1">
        <w:r w:rsidRPr="008E79CA">
          <w:rPr>
            <w:rStyle w:val="af5"/>
          </w:rPr>
          <w:t>Рисунок 156 – Макет отчета «ФБ – Общая информация»</w:t>
        </w:r>
        <w:r>
          <w:rPr>
            <w:webHidden/>
          </w:rPr>
          <w:tab/>
        </w:r>
        <w:r>
          <w:rPr>
            <w:webHidden/>
          </w:rPr>
          <w:fldChar w:fldCharType="begin"/>
        </w:r>
        <w:r>
          <w:rPr>
            <w:webHidden/>
          </w:rPr>
          <w:instrText xml:space="preserve"> PAGEREF _Toc119584343 \h </w:instrText>
        </w:r>
        <w:r>
          <w:rPr>
            <w:webHidden/>
          </w:rPr>
        </w:r>
        <w:r>
          <w:rPr>
            <w:webHidden/>
          </w:rPr>
          <w:fldChar w:fldCharType="separate"/>
        </w:r>
        <w:r>
          <w:rPr>
            <w:webHidden/>
          </w:rPr>
          <w:t>304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4" w:history="1">
        <w:r w:rsidRPr="008E79CA">
          <w:rPr>
            <w:rStyle w:val="af5"/>
          </w:rPr>
          <w:t>Рисунок 157 – Макет отчета «ФБ – Детализация»</w:t>
        </w:r>
        <w:r>
          <w:rPr>
            <w:webHidden/>
          </w:rPr>
          <w:tab/>
        </w:r>
        <w:r>
          <w:rPr>
            <w:webHidden/>
          </w:rPr>
          <w:fldChar w:fldCharType="begin"/>
        </w:r>
        <w:r>
          <w:rPr>
            <w:webHidden/>
          </w:rPr>
          <w:instrText xml:space="preserve"> PAGEREF _Toc119584344 \h </w:instrText>
        </w:r>
        <w:r>
          <w:rPr>
            <w:webHidden/>
          </w:rPr>
        </w:r>
        <w:r>
          <w:rPr>
            <w:webHidden/>
          </w:rPr>
          <w:fldChar w:fldCharType="separate"/>
        </w:r>
        <w:r>
          <w:rPr>
            <w:webHidden/>
          </w:rPr>
          <w:t>306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5" w:history="1">
        <w:r w:rsidRPr="008E79CA">
          <w:rPr>
            <w:rStyle w:val="af5"/>
          </w:rPr>
          <w:t>Рисунок 158 – Макет отчета «Субъект РФ – Общая информация»</w:t>
        </w:r>
        <w:r>
          <w:rPr>
            <w:webHidden/>
          </w:rPr>
          <w:tab/>
        </w:r>
        <w:r>
          <w:rPr>
            <w:webHidden/>
          </w:rPr>
          <w:fldChar w:fldCharType="begin"/>
        </w:r>
        <w:r>
          <w:rPr>
            <w:webHidden/>
          </w:rPr>
          <w:instrText xml:space="preserve"> PAGEREF _Toc119584345 \h </w:instrText>
        </w:r>
        <w:r>
          <w:rPr>
            <w:webHidden/>
          </w:rPr>
        </w:r>
        <w:r>
          <w:rPr>
            <w:webHidden/>
          </w:rPr>
          <w:fldChar w:fldCharType="separate"/>
        </w:r>
        <w:r>
          <w:rPr>
            <w:webHidden/>
          </w:rPr>
          <w:t>308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6" w:history="1">
        <w:r w:rsidRPr="008E79CA">
          <w:rPr>
            <w:rStyle w:val="af5"/>
          </w:rPr>
          <w:t>Рисунок 159 – Макет отчета «Субъект РФ – Детализация»</w:t>
        </w:r>
        <w:r>
          <w:rPr>
            <w:webHidden/>
          </w:rPr>
          <w:tab/>
        </w:r>
        <w:r>
          <w:rPr>
            <w:webHidden/>
          </w:rPr>
          <w:fldChar w:fldCharType="begin"/>
        </w:r>
        <w:r>
          <w:rPr>
            <w:webHidden/>
          </w:rPr>
          <w:instrText xml:space="preserve"> PAGEREF _Toc119584346 \h </w:instrText>
        </w:r>
        <w:r>
          <w:rPr>
            <w:webHidden/>
          </w:rPr>
        </w:r>
        <w:r>
          <w:rPr>
            <w:webHidden/>
          </w:rPr>
          <w:fldChar w:fldCharType="separate"/>
        </w:r>
        <w:r>
          <w:rPr>
            <w:webHidden/>
          </w:rPr>
          <w:t>310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7" w:history="1">
        <w:r w:rsidRPr="008E79CA">
          <w:rPr>
            <w:rStyle w:val="af5"/>
          </w:rPr>
          <w:t>Рисунок 160 – Макет отчета «Субъект РФ – Инфографика»</w:t>
        </w:r>
        <w:r>
          <w:rPr>
            <w:webHidden/>
          </w:rPr>
          <w:tab/>
        </w:r>
        <w:r>
          <w:rPr>
            <w:webHidden/>
          </w:rPr>
          <w:fldChar w:fldCharType="begin"/>
        </w:r>
        <w:r>
          <w:rPr>
            <w:webHidden/>
          </w:rPr>
          <w:instrText xml:space="preserve"> PAGEREF _Toc119584347 \h </w:instrText>
        </w:r>
        <w:r>
          <w:rPr>
            <w:webHidden/>
          </w:rPr>
        </w:r>
        <w:r>
          <w:rPr>
            <w:webHidden/>
          </w:rPr>
          <w:fldChar w:fldCharType="separate"/>
        </w:r>
        <w:r>
          <w:rPr>
            <w:webHidden/>
          </w:rPr>
          <w:t>311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8" w:history="1">
        <w:r w:rsidRPr="008E79CA">
          <w:rPr>
            <w:rStyle w:val="af5"/>
          </w:rPr>
          <w:t>Рисунок 161 – Макет отчета «МО – Общая информация»</w:t>
        </w:r>
        <w:r>
          <w:rPr>
            <w:webHidden/>
          </w:rPr>
          <w:tab/>
        </w:r>
        <w:r>
          <w:rPr>
            <w:webHidden/>
          </w:rPr>
          <w:fldChar w:fldCharType="begin"/>
        </w:r>
        <w:r>
          <w:rPr>
            <w:webHidden/>
          </w:rPr>
          <w:instrText xml:space="preserve"> PAGEREF _Toc119584348 \h </w:instrText>
        </w:r>
        <w:r>
          <w:rPr>
            <w:webHidden/>
          </w:rPr>
        </w:r>
        <w:r>
          <w:rPr>
            <w:webHidden/>
          </w:rPr>
          <w:fldChar w:fldCharType="separate"/>
        </w:r>
        <w:r>
          <w:rPr>
            <w:webHidden/>
          </w:rPr>
          <w:t>313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49" w:history="1">
        <w:r w:rsidRPr="008E79CA">
          <w:rPr>
            <w:rStyle w:val="af5"/>
          </w:rPr>
          <w:t>Рисунок 162 – Макет отчета «МО – Детализация»</w:t>
        </w:r>
        <w:r>
          <w:rPr>
            <w:webHidden/>
          </w:rPr>
          <w:tab/>
        </w:r>
        <w:r>
          <w:rPr>
            <w:webHidden/>
          </w:rPr>
          <w:fldChar w:fldCharType="begin"/>
        </w:r>
        <w:r>
          <w:rPr>
            <w:webHidden/>
          </w:rPr>
          <w:instrText xml:space="preserve"> PAGEREF _Toc119584349 \h </w:instrText>
        </w:r>
        <w:r>
          <w:rPr>
            <w:webHidden/>
          </w:rPr>
        </w:r>
        <w:r>
          <w:rPr>
            <w:webHidden/>
          </w:rPr>
          <w:fldChar w:fldCharType="separate"/>
        </w:r>
        <w:r>
          <w:rPr>
            <w:webHidden/>
          </w:rPr>
          <w:t>315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0" w:history="1">
        <w:r w:rsidRPr="008E79CA">
          <w:rPr>
            <w:rStyle w:val="af5"/>
          </w:rPr>
          <w:t>Рисунок 163 – Макет отчета «МО – Инфографика»</w:t>
        </w:r>
        <w:r>
          <w:rPr>
            <w:webHidden/>
          </w:rPr>
          <w:tab/>
        </w:r>
        <w:r>
          <w:rPr>
            <w:webHidden/>
          </w:rPr>
          <w:fldChar w:fldCharType="begin"/>
        </w:r>
        <w:r>
          <w:rPr>
            <w:webHidden/>
          </w:rPr>
          <w:instrText xml:space="preserve"> PAGEREF _Toc119584350 \h </w:instrText>
        </w:r>
        <w:r>
          <w:rPr>
            <w:webHidden/>
          </w:rPr>
        </w:r>
        <w:r>
          <w:rPr>
            <w:webHidden/>
          </w:rPr>
          <w:fldChar w:fldCharType="separate"/>
        </w:r>
        <w:r>
          <w:rPr>
            <w:webHidden/>
          </w:rPr>
          <w:t>317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1" w:history="1">
        <w:r w:rsidRPr="008E79CA">
          <w:rPr>
            <w:rStyle w:val="af5"/>
          </w:rPr>
          <w:t>Рисунок 164 – Макет отчета «ГВБФ – Общая информация»</w:t>
        </w:r>
        <w:r>
          <w:rPr>
            <w:webHidden/>
          </w:rPr>
          <w:tab/>
        </w:r>
        <w:r>
          <w:rPr>
            <w:webHidden/>
          </w:rPr>
          <w:fldChar w:fldCharType="begin"/>
        </w:r>
        <w:r>
          <w:rPr>
            <w:webHidden/>
          </w:rPr>
          <w:instrText xml:space="preserve"> PAGEREF _Toc119584351 \h </w:instrText>
        </w:r>
        <w:r>
          <w:rPr>
            <w:webHidden/>
          </w:rPr>
        </w:r>
        <w:r>
          <w:rPr>
            <w:webHidden/>
          </w:rPr>
          <w:fldChar w:fldCharType="separate"/>
        </w:r>
        <w:r>
          <w:rPr>
            <w:webHidden/>
          </w:rPr>
          <w:t>319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2" w:history="1">
        <w:r w:rsidRPr="008E79CA">
          <w:rPr>
            <w:rStyle w:val="af5"/>
          </w:rPr>
          <w:t>Рисунок 165 – Макет отчета «ГВБФ – Детализация»</w:t>
        </w:r>
        <w:r>
          <w:rPr>
            <w:webHidden/>
          </w:rPr>
          <w:tab/>
        </w:r>
        <w:r>
          <w:rPr>
            <w:webHidden/>
          </w:rPr>
          <w:fldChar w:fldCharType="begin"/>
        </w:r>
        <w:r>
          <w:rPr>
            <w:webHidden/>
          </w:rPr>
          <w:instrText xml:space="preserve"> PAGEREF _Toc119584352 \h </w:instrText>
        </w:r>
        <w:r>
          <w:rPr>
            <w:webHidden/>
          </w:rPr>
        </w:r>
        <w:r>
          <w:rPr>
            <w:webHidden/>
          </w:rPr>
          <w:fldChar w:fldCharType="separate"/>
        </w:r>
        <w:r>
          <w:rPr>
            <w:webHidden/>
          </w:rPr>
          <w:t>321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3" w:history="1">
        <w:r w:rsidRPr="008E79CA">
          <w:rPr>
            <w:rStyle w:val="af5"/>
          </w:rPr>
          <w:t>Рисунок 166 – Макет отчета «Тер. фонды – Общая информация»</w:t>
        </w:r>
        <w:r>
          <w:rPr>
            <w:webHidden/>
          </w:rPr>
          <w:tab/>
        </w:r>
        <w:r>
          <w:rPr>
            <w:webHidden/>
          </w:rPr>
          <w:fldChar w:fldCharType="begin"/>
        </w:r>
        <w:r>
          <w:rPr>
            <w:webHidden/>
          </w:rPr>
          <w:instrText xml:space="preserve"> PAGEREF _Toc119584353 \h </w:instrText>
        </w:r>
        <w:r>
          <w:rPr>
            <w:webHidden/>
          </w:rPr>
        </w:r>
        <w:r>
          <w:rPr>
            <w:webHidden/>
          </w:rPr>
          <w:fldChar w:fldCharType="separate"/>
        </w:r>
        <w:r>
          <w:rPr>
            <w:webHidden/>
          </w:rPr>
          <w:t>323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4" w:history="1">
        <w:r w:rsidRPr="008E79CA">
          <w:rPr>
            <w:rStyle w:val="af5"/>
          </w:rPr>
          <w:t>Рисунок 167 – Макет отчета «Тер.фонды – Детализация»</w:t>
        </w:r>
        <w:r>
          <w:rPr>
            <w:webHidden/>
          </w:rPr>
          <w:tab/>
        </w:r>
        <w:r>
          <w:rPr>
            <w:webHidden/>
          </w:rPr>
          <w:fldChar w:fldCharType="begin"/>
        </w:r>
        <w:r>
          <w:rPr>
            <w:webHidden/>
          </w:rPr>
          <w:instrText xml:space="preserve"> PAGEREF _Toc119584354 \h </w:instrText>
        </w:r>
        <w:r>
          <w:rPr>
            <w:webHidden/>
          </w:rPr>
        </w:r>
        <w:r>
          <w:rPr>
            <w:webHidden/>
          </w:rPr>
          <w:fldChar w:fldCharType="separate"/>
        </w:r>
        <w:r>
          <w:rPr>
            <w:webHidden/>
          </w:rPr>
          <w:t>325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5" w:history="1">
        <w:r w:rsidRPr="008E79CA">
          <w:rPr>
            <w:rStyle w:val="af5"/>
          </w:rPr>
          <w:t>Рисунок 168 – Макет отчета «Тер. фонды – Инфографика»</w:t>
        </w:r>
        <w:r>
          <w:rPr>
            <w:webHidden/>
          </w:rPr>
          <w:tab/>
        </w:r>
        <w:r>
          <w:rPr>
            <w:webHidden/>
          </w:rPr>
          <w:fldChar w:fldCharType="begin"/>
        </w:r>
        <w:r>
          <w:rPr>
            <w:webHidden/>
          </w:rPr>
          <w:instrText xml:space="preserve"> PAGEREF _Toc119584355 \h </w:instrText>
        </w:r>
        <w:r>
          <w:rPr>
            <w:webHidden/>
          </w:rPr>
        </w:r>
        <w:r>
          <w:rPr>
            <w:webHidden/>
          </w:rPr>
          <w:fldChar w:fldCharType="separate"/>
        </w:r>
        <w:r>
          <w:rPr>
            <w:webHidden/>
          </w:rPr>
          <w:t>326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6" w:history="1">
        <w:r w:rsidRPr="008E79CA">
          <w:rPr>
            <w:rStyle w:val="af5"/>
            <w:rFonts w:eastAsia="Calibri"/>
          </w:rPr>
          <w:t xml:space="preserve">Рисунок 169 – </w:t>
        </w:r>
        <w:r w:rsidRPr="008E79CA">
          <w:rPr>
            <w:rStyle w:val="af5"/>
          </w:rPr>
          <w:t>Плашка для перехода к отчету «Исполнение национальных (федеральных) проектов БУ и АУ (ф. 0503738-НП)»</w:t>
        </w:r>
        <w:r>
          <w:rPr>
            <w:webHidden/>
          </w:rPr>
          <w:tab/>
        </w:r>
        <w:r>
          <w:rPr>
            <w:webHidden/>
          </w:rPr>
          <w:fldChar w:fldCharType="begin"/>
        </w:r>
        <w:r>
          <w:rPr>
            <w:webHidden/>
          </w:rPr>
          <w:instrText xml:space="preserve"> PAGEREF _Toc119584356 \h </w:instrText>
        </w:r>
        <w:r>
          <w:rPr>
            <w:webHidden/>
          </w:rPr>
        </w:r>
        <w:r>
          <w:rPr>
            <w:webHidden/>
          </w:rPr>
          <w:fldChar w:fldCharType="separate"/>
        </w:r>
        <w:r>
          <w:rPr>
            <w:webHidden/>
          </w:rPr>
          <w:t>327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7" w:history="1">
        <w:r w:rsidRPr="008E79CA">
          <w:rPr>
            <w:rStyle w:val="af5"/>
          </w:rPr>
          <w:t>Рисунок 170 – Макет отчета «ФБ – Общая информация»</w:t>
        </w:r>
        <w:r>
          <w:rPr>
            <w:webHidden/>
          </w:rPr>
          <w:tab/>
        </w:r>
        <w:r>
          <w:rPr>
            <w:webHidden/>
          </w:rPr>
          <w:fldChar w:fldCharType="begin"/>
        </w:r>
        <w:r>
          <w:rPr>
            <w:webHidden/>
          </w:rPr>
          <w:instrText xml:space="preserve"> PAGEREF _Toc119584357 \h </w:instrText>
        </w:r>
        <w:r>
          <w:rPr>
            <w:webHidden/>
          </w:rPr>
        </w:r>
        <w:r>
          <w:rPr>
            <w:webHidden/>
          </w:rPr>
          <w:fldChar w:fldCharType="separate"/>
        </w:r>
        <w:r>
          <w:rPr>
            <w:webHidden/>
          </w:rPr>
          <w:t>329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8" w:history="1">
        <w:r w:rsidRPr="008E79CA">
          <w:rPr>
            <w:rStyle w:val="af5"/>
          </w:rPr>
          <w:t>Рисунок 171 – Макет отчета «ФБ – Детализация»</w:t>
        </w:r>
        <w:r>
          <w:rPr>
            <w:webHidden/>
          </w:rPr>
          <w:tab/>
        </w:r>
        <w:r>
          <w:rPr>
            <w:webHidden/>
          </w:rPr>
          <w:fldChar w:fldCharType="begin"/>
        </w:r>
        <w:r>
          <w:rPr>
            <w:webHidden/>
          </w:rPr>
          <w:instrText xml:space="preserve"> PAGEREF _Toc119584358 \h </w:instrText>
        </w:r>
        <w:r>
          <w:rPr>
            <w:webHidden/>
          </w:rPr>
        </w:r>
        <w:r>
          <w:rPr>
            <w:webHidden/>
          </w:rPr>
          <w:fldChar w:fldCharType="separate"/>
        </w:r>
        <w:r>
          <w:rPr>
            <w:webHidden/>
          </w:rPr>
          <w:t>331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59" w:history="1">
        <w:r w:rsidRPr="008E79CA">
          <w:rPr>
            <w:rStyle w:val="af5"/>
          </w:rPr>
          <w:t>Рисунок 172 – Макет отчета «Субъект РФ – Общая информация»</w:t>
        </w:r>
        <w:r>
          <w:rPr>
            <w:webHidden/>
          </w:rPr>
          <w:tab/>
        </w:r>
        <w:r>
          <w:rPr>
            <w:webHidden/>
          </w:rPr>
          <w:fldChar w:fldCharType="begin"/>
        </w:r>
        <w:r>
          <w:rPr>
            <w:webHidden/>
          </w:rPr>
          <w:instrText xml:space="preserve"> PAGEREF _Toc119584359 \h </w:instrText>
        </w:r>
        <w:r>
          <w:rPr>
            <w:webHidden/>
          </w:rPr>
        </w:r>
        <w:r>
          <w:rPr>
            <w:webHidden/>
          </w:rPr>
          <w:fldChar w:fldCharType="separate"/>
        </w:r>
        <w:r>
          <w:rPr>
            <w:webHidden/>
          </w:rPr>
          <w:t>333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0" w:history="1">
        <w:r w:rsidRPr="008E79CA">
          <w:rPr>
            <w:rStyle w:val="af5"/>
          </w:rPr>
          <w:t>Рисунок 173 – Макет отчета «Субъект РФ – Детализация»</w:t>
        </w:r>
        <w:r>
          <w:rPr>
            <w:webHidden/>
          </w:rPr>
          <w:tab/>
        </w:r>
        <w:r>
          <w:rPr>
            <w:webHidden/>
          </w:rPr>
          <w:fldChar w:fldCharType="begin"/>
        </w:r>
        <w:r>
          <w:rPr>
            <w:webHidden/>
          </w:rPr>
          <w:instrText xml:space="preserve"> PAGEREF _Toc119584360 \h </w:instrText>
        </w:r>
        <w:r>
          <w:rPr>
            <w:webHidden/>
          </w:rPr>
        </w:r>
        <w:r>
          <w:rPr>
            <w:webHidden/>
          </w:rPr>
          <w:fldChar w:fldCharType="separate"/>
        </w:r>
        <w:r>
          <w:rPr>
            <w:webHidden/>
          </w:rPr>
          <w:t>335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1" w:history="1">
        <w:r w:rsidRPr="008E79CA">
          <w:rPr>
            <w:rStyle w:val="af5"/>
          </w:rPr>
          <w:t>Рисунок 174 – Макет отчета «Субъект РФ – Инфографика»</w:t>
        </w:r>
        <w:r>
          <w:rPr>
            <w:webHidden/>
          </w:rPr>
          <w:tab/>
        </w:r>
        <w:r>
          <w:rPr>
            <w:webHidden/>
          </w:rPr>
          <w:fldChar w:fldCharType="begin"/>
        </w:r>
        <w:r>
          <w:rPr>
            <w:webHidden/>
          </w:rPr>
          <w:instrText xml:space="preserve"> PAGEREF _Toc119584361 \h </w:instrText>
        </w:r>
        <w:r>
          <w:rPr>
            <w:webHidden/>
          </w:rPr>
        </w:r>
        <w:r>
          <w:rPr>
            <w:webHidden/>
          </w:rPr>
          <w:fldChar w:fldCharType="separate"/>
        </w:r>
        <w:r>
          <w:rPr>
            <w:webHidden/>
          </w:rPr>
          <w:t>336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2" w:history="1">
        <w:r w:rsidRPr="008E79CA">
          <w:rPr>
            <w:rStyle w:val="af5"/>
          </w:rPr>
          <w:t>Рисунок 175 – Макет отчета «МО – Общая информация»</w:t>
        </w:r>
        <w:r>
          <w:rPr>
            <w:webHidden/>
          </w:rPr>
          <w:tab/>
        </w:r>
        <w:r>
          <w:rPr>
            <w:webHidden/>
          </w:rPr>
          <w:fldChar w:fldCharType="begin"/>
        </w:r>
        <w:r>
          <w:rPr>
            <w:webHidden/>
          </w:rPr>
          <w:instrText xml:space="preserve"> PAGEREF _Toc119584362 \h </w:instrText>
        </w:r>
        <w:r>
          <w:rPr>
            <w:webHidden/>
          </w:rPr>
        </w:r>
        <w:r>
          <w:rPr>
            <w:webHidden/>
          </w:rPr>
          <w:fldChar w:fldCharType="separate"/>
        </w:r>
        <w:r>
          <w:rPr>
            <w:webHidden/>
          </w:rPr>
          <w:t>338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3" w:history="1">
        <w:r w:rsidRPr="008E79CA">
          <w:rPr>
            <w:rStyle w:val="af5"/>
          </w:rPr>
          <w:t>Рисунок 176 – Макет отчета «МО – Детализация»</w:t>
        </w:r>
        <w:r>
          <w:rPr>
            <w:webHidden/>
          </w:rPr>
          <w:tab/>
        </w:r>
        <w:r>
          <w:rPr>
            <w:webHidden/>
          </w:rPr>
          <w:fldChar w:fldCharType="begin"/>
        </w:r>
        <w:r>
          <w:rPr>
            <w:webHidden/>
          </w:rPr>
          <w:instrText xml:space="preserve"> PAGEREF _Toc119584363 \h </w:instrText>
        </w:r>
        <w:r>
          <w:rPr>
            <w:webHidden/>
          </w:rPr>
        </w:r>
        <w:r>
          <w:rPr>
            <w:webHidden/>
          </w:rPr>
          <w:fldChar w:fldCharType="separate"/>
        </w:r>
        <w:r>
          <w:rPr>
            <w:webHidden/>
          </w:rPr>
          <w:t>340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4" w:history="1">
        <w:r w:rsidRPr="008E79CA">
          <w:rPr>
            <w:rStyle w:val="af5"/>
          </w:rPr>
          <w:t>Рисунок 177 – Макет отчета «МО – Инфографика»</w:t>
        </w:r>
        <w:r>
          <w:rPr>
            <w:webHidden/>
          </w:rPr>
          <w:tab/>
        </w:r>
        <w:r>
          <w:rPr>
            <w:webHidden/>
          </w:rPr>
          <w:fldChar w:fldCharType="begin"/>
        </w:r>
        <w:r>
          <w:rPr>
            <w:webHidden/>
          </w:rPr>
          <w:instrText xml:space="preserve"> PAGEREF _Toc119584364 \h </w:instrText>
        </w:r>
        <w:r>
          <w:rPr>
            <w:webHidden/>
          </w:rPr>
        </w:r>
        <w:r>
          <w:rPr>
            <w:webHidden/>
          </w:rPr>
          <w:fldChar w:fldCharType="separate"/>
        </w:r>
        <w:r>
          <w:rPr>
            <w:webHidden/>
          </w:rPr>
          <w:t>342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5" w:history="1">
        <w:r w:rsidRPr="008E79CA">
          <w:rPr>
            <w:rStyle w:val="af5"/>
          </w:rPr>
          <w:t>Рисунок 178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«НП по уровням бюджета»</w:t>
        </w:r>
        <w:r>
          <w:rPr>
            <w:webHidden/>
          </w:rPr>
          <w:tab/>
        </w:r>
        <w:r>
          <w:rPr>
            <w:webHidden/>
          </w:rPr>
          <w:fldChar w:fldCharType="begin"/>
        </w:r>
        <w:r>
          <w:rPr>
            <w:webHidden/>
          </w:rPr>
          <w:instrText xml:space="preserve"> PAGEREF _Toc119584365 \h </w:instrText>
        </w:r>
        <w:r>
          <w:rPr>
            <w:webHidden/>
          </w:rPr>
        </w:r>
        <w:r>
          <w:rPr>
            <w:webHidden/>
          </w:rPr>
          <w:fldChar w:fldCharType="separate"/>
        </w:r>
        <w:r>
          <w:rPr>
            <w:webHidden/>
          </w:rPr>
          <w:t>345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6" w:history="1">
        <w:r w:rsidRPr="008E79CA">
          <w:rPr>
            <w:rStyle w:val="af5"/>
          </w:rPr>
          <w:t>Рисунок 179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«НП по уровням бюджета» - «Диаграмма»</w:t>
        </w:r>
        <w:r>
          <w:rPr>
            <w:webHidden/>
          </w:rPr>
          <w:tab/>
        </w:r>
        <w:r>
          <w:rPr>
            <w:webHidden/>
          </w:rPr>
          <w:fldChar w:fldCharType="begin"/>
        </w:r>
        <w:r>
          <w:rPr>
            <w:webHidden/>
          </w:rPr>
          <w:instrText xml:space="preserve"> PAGEREF _Toc119584366 \h </w:instrText>
        </w:r>
        <w:r>
          <w:rPr>
            <w:webHidden/>
          </w:rPr>
        </w:r>
        <w:r>
          <w:rPr>
            <w:webHidden/>
          </w:rPr>
          <w:fldChar w:fldCharType="separate"/>
        </w:r>
        <w:r>
          <w:rPr>
            <w:webHidden/>
          </w:rPr>
          <w:t>346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7" w:history="1">
        <w:r w:rsidRPr="008E79CA">
          <w:rPr>
            <w:rStyle w:val="af5"/>
          </w:rPr>
          <w:t>Рисунок 180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и видам расходов»</w:t>
        </w:r>
        <w:r>
          <w:rPr>
            <w:webHidden/>
          </w:rPr>
          <w:tab/>
        </w:r>
        <w:r>
          <w:rPr>
            <w:webHidden/>
          </w:rPr>
          <w:fldChar w:fldCharType="begin"/>
        </w:r>
        <w:r>
          <w:rPr>
            <w:webHidden/>
          </w:rPr>
          <w:instrText xml:space="preserve"> PAGEREF _Toc119584367 \h </w:instrText>
        </w:r>
        <w:r>
          <w:rPr>
            <w:webHidden/>
          </w:rPr>
        </w:r>
        <w:r>
          <w:rPr>
            <w:webHidden/>
          </w:rPr>
          <w:fldChar w:fldCharType="separate"/>
        </w:r>
        <w:r>
          <w:rPr>
            <w:webHidden/>
          </w:rPr>
          <w:t>348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8" w:history="1">
        <w:r w:rsidRPr="008E79CA">
          <w:rPr>
            <w:rStyle w:val="af5"/>
          </w:rPr>
          <w:t>Рисунок 181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и видам расходов» - «Диаграмма»</w:t>
        </w:r>
        <w:r>
          <w:rPr>
            <w:webHidden/>
          </w:rPr>
          <w:tab/>
        </w:r>
        <w:r>
          <w:rPr>
            <w:webHidden/>
          </w:rPr>
          <w:fldChar w:fldCharType="begin"/>
        </w:r>
        <w:r>
          <w:rPr>
            <w:webHidden/>
          </w:rPr>
          <w:instrText xml:space="preserve"> PAGEREF _Toc119584368 \h </w:instrText>
        </w:r>
        <w:r>
          <w:rPr>
            <w:webHidden/>
          </w:rPr>
        </w:r>
        <w:r>
          <w:rPr>
            <w:webHidden/>
          </w:rPr>
          <w:fldChar w:fldCharType="separate"/>
        </w:r>
        <w:r>
          <w:rPr>
            <w:webHidden/>
          </w:rPr>
          <w:t>350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69" w:history="1">
        <w:r w:rsidRPr="008E79CA">
          <w:rPr>
            <w:rStyle w:val="af5"/>
          </w:rPr>
          <w:t>Рисунок 182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субъектам и видам расходов» - «Таблица»</w:t>
        </w:r>
        <w:r>
          <w:rPr>
            <w:webHidden/>
          </w:rPr>
          <w:tab/>
        </w:r>
        <w:r>
          <w:rPr>
            <w:webHidden/>
          </w:rPr>
          <w:fldChar w:fldCharType="begin"/>
        </w:r>
        <w:r>
          <w:rPr>
            <w:webHidden/>
          </w:rPr>
          <w:instrText xml:space="preserve"> PAGEREF _Toc119584369 \h </w:instrText>
        </w:r>
        <w:r>
          <w:rPr>
            <w:webHidden/>
          </w:rPr>
        </w:r>
        <w:r>
          <w:rPr>
            <w:webHidden/>
          </w:rPr>
          <w:fldChar w:fldCharType="separate"/>
        </w:r>
        <w:r>
          <w:rPr>
            <w:webHidden/>
          </w:rPr>
          <w:t>352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0" w:history="1">
        <w:r w:rsidRPr="008E79CA">
          <w:rPr>
            <w:rStyle w:val="af5"/>
          </w:rPr>
          <w:t>Рисунок 183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субъектам и видам расходов» - «Диаграмма»</w:t>
        </w:r>
        <w:r>
          <w:rPr>
            <w:webHidden/>
          </w:rPr>
          <w:tab/>
        </w:r>
        <w:r>
          <w:rPr>
            <w:webHidden/>
          </w:rPr>
          <w:fldChar w:fldCharType="begin"/>
        </w:r>
        <w:r>
          <w:rPr>
            <w:webHidden/>
          </w:rPr>
          <w:instrText xml:space="preserve"> PAGEREF _Toc119584370 \h </w:instrText>
        </w:r>
        <w:r>
          <w:rPr>
            <w:webHidden/>
          </w:rPr>
        </w:r>
        <w:r>
          <w:rPr>
            <w:webHidden/>
          </w:rPr>
          <w:fldChar w:fldCharType="separate"/>
        </w:r>
        <w:r>
          <w:rPr>
            <w:webHidden/>
          </w:rPr>
          <w:t>353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1" w:history="1">
        <w:r w:rsidRPr="008E79CA">
          <w:rPr>
            <w:rStyle w:val="af5"/>
          </w:rPr>
          <w:t>Рисунок 184 – 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субъектам и видам расходов» - «Карта»</w:t>
        </w:r>
        <w:r>
          <w:rPr>
            <w:webHidden/>
          </w:rPr>
          <w:tab/>
        </w:r>
        <w:r>
          <w:rPr>
            <w:webHidden/>
          </w:rPr>
          <w:fldChar w:fldCharType="begin"/>
        </w:r>
        <w:r>
          <w:rPr>
            <w:webHidden/>
          </w:rPr>
          <w:instrText xml:space="preserve"> PAGEREF _Toc119584371 \h </w:instrText>
        </w:r>
        <w:r>
          <w:rPr>
            <w:webHidden/>
          </w:rPr>
        </w:r>
        <w:r>
          <w:rPr>
            <w:webHidden/>
          </w:rPr>
          <w:fldChar w:fldCharType="separate"/>
        </w:r>
        <w:r>
          <w:rPr>
            <w:webHidden/>
          </w:rPr>
          <w:t>354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2" w:history="1">
        <w:r w:rsidRPr="008E79CA">
          <w:rPr>
            <w:rStyle w:val="af5"/>
          </w:rPr>
          <w:t>Рисунок 185 – Макет аналитического отчета «Информация об исполнении расходов всех уровней на реализацию национальных (федеральных) проектов». Представление «По НП и субъектам»</w:t>
        </w:r>
        <w:r>
          <w:rPr>
            <w:webHidden/>
          </w:rPr>
          <w:tab/>
        </w:r>
        <w:r>
          <w:rPr>
            <w:webHidden/>
          </w:rPr>
          <w:fldChar w:fldCharType="begin"/>
        </w:r>
        <w:r>
          <w:rPr>
            <w:webHidden/>
          </w:rPr>
          <w:instrText xml:space="preserve"> PAGEREF _Toc119584372 \h </w:instrText>
        </w:r>
        <w:r>
          <w:rPr>
            <w:webHidden/>
          </w:rPr>
        </w:r>
        <w:r>
          <w:rPr>
            <w:webHidden/>
          </w:rPr>
          <w:fldChar w:fldCharType="separate"/>
        </w:r>
        <w:r>
          <w:rPr>
            <w:webHidden/>
          </w:rPr>
          <w:t>358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3" w:history="1">
        <w:r w:rsidRPr="008E79CA">
          <w:rPr>
            <w:rStyle w:val="af5"/>
          </w:rPr>
          <w:t>Рисунок 186 – Макет аналитического отчета «Информация об исполнении расходов всех уровней на реализацию национальных (федеральных) проектов». Представление «По ФП по субъектам»</w:t>
        </w:r>
        <w:r>
          <w:rPr>
            <w:webHidden/>
          </w:rPr>
          <w:tab/>
        </w:r>
        <w:r>
          <w:rPr>
            <w:webHidden/>
          </w:rPr>
          <w:fldChar w:fldCharType="begin"/>
        </w:r>
        <w:r>
          <w:rPr>
            <w:webHidden/>
          </w:rPr>
          <w:instrText xml:space="preserve"> PAGEREF _Toc119584373 \h </w:instrText>
        </w:r>
        <w:r>
          <w:rPr>
            <w:webHidden/>
          </w:rPr>
        </w:r>
        <w:r>
          <w:rPr>
            <w:webHidden/>
          </w:rPr>
          <w:fldChar w:fldCharType="separate"/>
        </w:r>
        <w:r>
          <w:rPr>
            <w:webHidden/>
          </w:rPr>
          <w:t>360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4" w:history="1">
        <w:r w:rsidRPr="008E79CA">
          <w:rPr>
            <w:rStyle w:val="af5"/>
          </w:rPr>
          <w:t>Рисунок 187 – Макет аналитического отчета «Информация об исполнении расходов всех уровней на реализацию национальных (федеральных) проектов». Представление «По НП бюджетами субъектов».</w:t>
        </w:r>
        <w:r>
          <w:rPr>
            <w:webHidden/>
          </w:rPr>
          <w:tab/>
        </w:r>
        <w:r>
          <w:rPr>
            <w:webHidden/>
          </w:rPr>
          <w:fldChar w:fldCharType="begin"/>
        </w:r>
        <w:r>
          <w:rPr>
            <w:webHidden/>
          </w:rPr>
          <w:instrText xml:space="preserve"> PAGEREF _Toc119584374 \h </w:instrText>
        </w:r>
        <w:r>
          <w:rPr>
            <w:webHidden/>
          </w:rPr>
        </w:r>
        <w:r>
          <w:rPr>
            <w:webHidden/>
          </w:rPr>
          <w:fldChar w:fldCharType="separate"/>
        </w:r>
        <w:r>
          <w:rPr>
            <w:webHidden/>
          </w:rPr>
          <w:t>361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5" w:history="1">
        <w:r w:rsidRPr="008E79CA">
          <w:rPr>
            <w:rStyle w:val="af5"/>
            <w:rFonts w:eastAsia="Calibri"/>
          </w:rPr>
          <w:t xml:space="preserve">Рисунок </w:t>
        </w:r>
        <w:r w:rsidRPr="008E79CA">
          <w:rPr>
            <w:rStyle w:val="af5"/>
          </w:rPr>
          <w:t>188</w:t>
        </w:r>
        <w:r w:rsidRPr="008E79CA">
          <w:rPr>
            <w:rStyle w:val="af5"/>
            <w:rFonts w:eastAsia="Calibri"/>
          </w:rPr>
          <w:t xml:space="preserve"> – Переход к каталогу «Реестр соглашений»</w:t>
        </w:r>
        <w:r>
          <w:rPr>
            <w:webHidden/>
          </w:rPr>
          <w:tab/>
        </w:r>
        <w:r>
          <w:rPr>
            <w:webHidden/>
          </w:rPr>
          <w:fldChar w:fldCharType="begin"/>
        </w:r>
        <w:r>
          <w:rPr>
            <w:webHidden/>
          </w:rPr>
          <w:instrText xml:space="preserve"> PAGEREF _Toc119584375 \h </w:instrText>
        </w:r>
        <w:r>
          <w:rPr>
            <w:webHidden/>
          </w:rPr>
        </w:r>
        <w:r>
          <w:rPr>
            <w:webHidden/>
          </w:rPr>
          <w:fldChar w:fldCharType="separate"/>
        </w:r>
        <w:r>
          <w:rPr>
            <w:webHidden/>
          </w:rPr>
          <w:t>365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6" w:history="1">
        <w:r w:rsidRPr="008E79CA">
          <w:rPr>
            <w:rStyle w:val="af5"/>
            <w:rFonts w:eastAsia="Calibri"/>
          </w:rPr>
          <w:t xml:space="preserve">Рисунок </w:t>
        </w:r>
        <w:r w:rsidRPr="008E79CA">
          <w:rPr>
            <w:rStyle w:val="af5"/>
          </w:rPr>
          <w:t>189</w:t>
        </w:r>
        <w:r w:rsidRPr="008E79CA">
          <w:rPr>
            <w:rStyle w:val="af5"/>
            <w:rFonts w:eastAsia="Calibri"/>
          </w:rPr>
          <w:t xml:space="preserve"> – Перечень отчетов каталога «Реестр соглашений»</w:t>
        </w:r>
        <w:r>
          <w:rPr>
            <w:webHidden/>
          </w:rPr>
          <w:tab/>
        </w:r>
        <w:r>
          <w:rPr>
            <w:webHidden/>
          </w:rPr>
          <w:fldChar w:fldCharType="begin"/>
        </w:r>
        <w:r>
          <w:rPr>
            <w:webHidden/>
          </w:rPr>
          <w:instrText xml:space="preserve"> PAGEREF _Toc119584376 \h </w:instrText>
        </w:r>
        <w:r>
          <w:rPr>
            <w:webHidden/>
          </w:rPr>
        </w:r>
        <w:r>
          <w:rPr>
            <w:webHidden/>
          </w:rPr>
          <w:fldChar w:fldCharType="separate"/>
        </w:r>
        <w:r>
          <w:rPr>
            <w:webHidden/>
          </w:rPr>
          <w:t>365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7" w:history="1">
        <w:r w:rsidRPr="008E79CA">
          <w:rPr>
            <w:rStyle w:val="af5"/>
            <w:rFonts w:eastAsia="Calibri"/>
          </w:rPr>
          <w:t xml:space="preserve">Рисунок </w:t>
        </w:r>
        <w:r w:rsidRPr="008E79CA">
          <w:rPr>
            <w:rStyle w:val="af5"/>
          </w:rPr>
          <w:t>190</w:t>
        </w:r>
        <w:r w:rsidRPr="008E79CA">
          <w:rPr>
            <w:rStyle w:val="af5"/>
            <w:rFonts w:eastAsia="Calibri"/>
          </w:rPr>
          <w:t xml:space="preserve"> – </w:t>
        </w:r>
        <w:r w:rsidRPr="008E79CA">
          <w:rPr>
            <w:rStyle w:val="af5"/>
          </w:rPr>
          <w:t>Плашка для перехода к отчету «Мониторинг ведения Реестра соглашений»</w:t>
        </w:r>
        <w:r>
          <w:rPr>
            <w:webHidden/>
          </w:rPr>
          <w:tab/>
        </w:r>
        <w:r>
          <w:rPr>
            <w:webHidden/>
          </w:rPr>
          <w:fldChar w:fldCharType="begin"/>
        </w:r>
        <w:r>
          <w:rPr>
            <w:webHidden/>
          </w:rPr>
          <w:instrText xml:space="preserve"> PAGEREF _Toc119584377 \h </w:instrText>
        </w:r>
        <w:r>
          <w:rPr>
            <w:webHidden/>
          </w:rPr>
        </w:r>
        <w:r>
          <w:rPr>
            <w:webHidden/>
          </w:rPr>
          <w:fldChar w:fldCharType="separate"/>
        </w:r>
        <w:r>
          <w:rPr>
            <w:webHidden/>
          </w:rPr>
          <w:t>366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8" w:history="1">
        <w:r w:rsidRPr="008E79CA">
          <w:rPr>
            <w:rStyle w:val="af5"/>
          </w:rPr>
          <w:t>Рисунок 191 – Макет отчета «Мониторинг ведения Реестра соглашений». Представление «Инфографика»</w:t>
        </w:r>
        <w:r>
          <w:rPr>
            <w:webHidden/>
          </w:rPr>
          <w:tab/>
        </w:r>
        <w:r>
          <w:rPr>
            <w:webHidden/>
          </w:rPr>
          <w:fldChar w:fldCharType="begin"/>
        </w:r>
        <w:r>
          <w:rPr>
            <w:webHidden/>
          </w:rPr>
          <w:instrText xml:space="preserve"> PAGEREF _Toc119584378 \h </w:instrText>
        </w:r>
        <w:r>
          <w:rPr>
            <w:webHidden/>
          </w:rPr>
        </w:r>
        <w:r>
          <w:rPr>
            <w:webHidden/>
          </w:rPr>
          <w:fldChar w:fldCharType="separate"/>
        </w:r>
        <w:r>
          <w:rPr>
            <w:webHidden/>
          </w:rPr>
          <w:t>367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79" w:history="1">
        <w:r w:rsidRPr="008E79CA">
          <w:rPr>
            <w:rStyle w:val="af5"/>
          </w:rPr>
          <w:t>Рисунок 192 – Макет отчета «Мониторинг ведения Реестра соглашений». Представление «По ГРБС»</w:t>
        </w:r>
        <w:r>
          <w:rPr>
            <w:webHidden/>
          </w:rPr>
          <w:tab/>
        </w:r>
        <w:r>
          <w:rPr>
            <w:webHidden/>
          </w:rPr>
          <w:fldChar w:fldCharType="begin"/>
        </w:r>
        <w:r>
          <w:rPr>
            <w:webHidden/>
          </w:rPr>
          <w:instrText xml:space="preserve"> PAGEREF _Toc119584379 \h </w:instrText>
        </w:r>
        <w:r>
          <w:rPr>
            <w:webHidden/>
          </w:rPr>
        </w:r>
        <w:r>
          <w:rPr>
            <w:webHidden/>
          </w:rPr>
          <w:fldChar w:fldCharType="separate"/>
        </w:r>
        <w:r>
          <w:rPr>
            <w:webHidden/>
          </w:rPr>
          <w:t>368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0" w:history="1">
        <w:r w:rsidRPr="008E79CA">
          <w:rPr>
            <w:rStyle w:val="af5"/>
          </w:rPr>
          <w:t>Рисунок 193 – Макет отчета «Мониторинг ведения Реестра соглашений». Представление «По видам расходов»</w:t>
        </w:r>
        <w:r>
          <w:rPr>
            <w:webHidden/>
          </w:rPr>
          <w:tab/>
        </w:r>
        <w:r>
          <w:rPr>
            <w:webHidden/>
          </w:rPr>
          <w:fldChar w:fldCharType="begin"/>
        </w:r>
        <w:r>
          <w:rPr>
            <w:webHidden/>
          </w:rPr>
          <w:instrText xml:space="preserve"> PAGEREF _Toc119584380 \h </w:instrText>
        </w:r>
        <w:r>
          <w:rPr>
            <w:webHidden/>
          </w:rPr>
        </w:r>
        <w:r>
          <w:rPr>
            <w:webHidden/>
          </w:rPr>
          <w:fldChar w:fldCharType="separate"/>
        </w:r>
        <w:r>
          <w:rPr>
            <w:webHidden/>
          </w:rPr>
          <w:t>369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1" w:history="1">
        <w:r w:rsidRPr="008E79CA">
          <w:rPr>
            <w:rStyle w:val="af5"/>
          </w:rPr>
          <w:t>Рисунок 194 – Макет отчета «Мониторинг ведения Реестра соглашений». Представление «По КБК»</w:t>
        </w:r>
        <w:r>
          <w:rPr>
            <w:webHidden/>
          </w:rPr>
          <w:tab/>
        </w:r>
        <w:r>
          <w:rPr>
            <w:webHidden/>
          </w:rPr>
          <w:fldChar w:fldCharType="begin"/>
        </w:r>
        <w:r>
          <w:rPr>
            <w:webHidden/>
          </w:rPr>
          <w:instrText xml:space="preserve"> PAGEREF _Toc119584381 \h </w:instrText>
        </w:r>
        <w:r>
          <w:rPr>
            <w:webHidden/>
          </w:rPr>
        </w:r>
        <w:r>
          <w:rPr>
            <w:webHidden/>
          </w:rPr>
          <w:fldChar w:fldCharType="separate"/>
        </w:r>
        <w:r>
          <w:rPr>
            <w:webHidden/>
          </w:rPr>
          <w:t>370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2" w:history="1">
        <w:r w:rsidRPr="008E79CA">
          <w:rPr>
            <w:rStyle w:val="af5"/>
          </w:rPr>
          <w:t>Рисунок 195 – Макет отчета «Мониторинг ведения Реестра соглашений». Представление «По соглашениям»</w:t>
        </w:r>
        <w:r>
          <w:rPr>
            <w:webHidden/>
          </w:rPr>
          <w:tab/>
        </w:r>
        <w:r>
          <w:rPr>
            <w:webHidden/>
          </w:rPr>
          <w:fldChar w:fldCharType="begin"/>
        </w:r>
        <w:r>
          <w:rPr>
            <w:webHidden/>
          </w:rPr>
          <w:instrText xml:space="preserve"> PAGEREF _Toc119584382 \h </w:instrText>
        </w:r>
        <w:r>
          <w:rPr>
            <w:webHidden/>
          </w:rPr>
        </w:r>
        <w:r>
          <w:rPr>
            <w:webHidden/>
          </w:rPr>
          <w:fldChar w:fldCharType="separate"/>
        </w:r>
        <w:r>
          <w:rPr>
            <w:webHidden/>
          </w:rPr>
          <w:t>371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3" w:history="1">
        <w:r w:rsidRPr="008E79CA">
          <w:rPr>
            <w:rStyle w:val="af5"/>
          </w:rPr>
          <w:t>Рисунок 196 – Макет отчета «Мониторинг ведения Реестра соглашений». Представление «Соглашения по КБК»</w:t>
        </w:r>
        <w:r>
          <w:rPr>
            <w:webHidden/>
          </w:rPr>
          <w:tab/>
        </w:r>
        <w:r>
          <w:rPr>
            <w:webHidden/>
          </w:rPr>
          <w:fldChar w:fldCharType="begin"/>
        </w:r>
        <w:r>
          <w:rPr>
            <w:webHidden/>
          </w:rPr>
          <w:instrText xml:space="preserve"> PAGEREF _Toc119584383 \h </w:instrText>
        </w:r>
        <w:r>
          <w:rPr>
            <w:webHidden/>
          </w:rPr>
        </w:r>
        <w:r>
          <w:rPr>
            <w:webHidden/>
          </w:rPr>
          <w:fldChar w:fldCharType="separate"/>
        </w:r>
        <w:r>
          <w:rPr>
            <w:webHidden/>
          </w:rPr>
          <w:t>373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4" w:history="1">
        <w:r w:rsidRPr="008E79CA">
          <w:rPr>
            <w:rStyle w:val="af5"/>
          </w:rPr>
          <w:t>Рисунок 197 – Макет отчета «Мониторинг ведения Реестра соглашений». Представление «По получателям»</w:t>
        </w:r>
        <w:r>
          <w:rPr>
            <w:webHidden/>
          </w:rPr>
          <w:tab/>
        </w:r>
        <w:r>
          <w:rPr>
            <w:webHidden/>
          </w:rPr>
          <w:fldChar w:fldCharType="begin"/>
        </w:r>
        <w:r>
          <w:rPr>
            <w:webHidden/>
          </w:rPr>
          <w:instrText xml:space="preserve"> PAGEREF _Toc119584384 \h </w:instrText>
        </w:r>
        <w:r>
          <w:rPr>
            <w:webHidden/>
          </w:rPr>
        </w:r>
        <w:r>
          <w:rPr>
            <w:webHidden/>
          </w:rPr>
          <w:fldChar w:fldCharType="separate"/>
        </w:r>
        <w:r>
          <w:rPr>
            <w:webHidden/>
          </w:rPr>
          <w:t>374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5" w:history="1">
        <w:r w:rsidRPr="008E79CA">
          <w:rPr>
            <w:rStyle w:val="af5"/>
          </w:rPr>
          <w:t>Рисунок 198 – Макет отчета «Мониторинг ведения Реестра соглашений». Представление «Отчетность (КВР)»</w:t>
        </w:r>
        <w:r>
          <w:rPr>
            <w:webHidden/>
          </w:rPr>
          <w:tab/>
        </w:r>
        <w:r>
          <w:rPr>
            <w:webHidden/>
          </w:rPr>
          <w:fldChar w:fldCharType="begin"/>
        </w:r>
        <w:r>
          <w:rPr>
            <w:webHidden/>
          </w:rPr>
          <w:instrText xml:space="preserve"> PAGEREF _Toc119584385 \h </w:instrText>
        </w:r>
        <w:r>
          <w:rPr>
            <w:webHidden/>
          </w:rPr>
        </w:r>
        <w:r>
          <w:rPr>
            <w:webHidden/>
          </w:rPr>
          <w:fldChar w:fldCharType="separate"/>
        </w:r>
        <w:r>
          <w:rPr>
            <w:webHidden/>
          </w:rPr>
          <w:t>376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6" w:history="1">
        <w:r w:rsidRPr="008E79CA">
          <w:rPr>
            <w:rStyle w:val="af5"/>
          </w:rPr>
          <w:t>Рисунок 199 – Макет отчета «Мониторинг ведения Реестра соглашений». Представление «Отчетность (ГРБС/КВР)»</w:t>
        </w:r>
        <w:r>
          <w:rPr>
            <w:webHidden/>
          </w:rPr>
          <w:tab/>
        </w:r>
        <w:r>
          <w:rPr>
            <w:webHidden/>
          </w:rPr>
          <w:fldChar w:fldCharType="begin"/>
        </w:r>
        <w:r>
          <w:rPr>
            <w:webHidden/>
          </w:rPr>
          <w:instrText xml:space="preserve"> PAGEREF _Toc119584386 \h </w:instrText>
        </w:r>
        <w:r>
          <w:rPr>
            <w:webHidden/>
          </w:rPr>
        </w:r>
        <w:r>
          <w:rPr>
            <w:webHidden/>
          </w:rPr>
          <w:fldChar w:fldCharType="separate"/>
        </w:r>
        <w:r>
          <w:rPr>
            <w:webHidden/>
          </w:rPr>
          <w:t>377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7" w:history="1">
        <w:r w:rsidRPr="008E79CA">
          <w:rPr>
            <w:rStyle w:val="af5"/>
          </w:rPr>
          <w:t xml:space="preserve">Рисунок 200 – Плашка для перехода к отчету </w:t>
        </w:r>
        <w:r w:rsidRPr="008E79CA">
          <w:rPr>
            <w:rStyle w:val="af5"/>
            <w:rFonts w:eastAsia="Calibri"/>
          </w:rPr>
          <w:t>«Мониторинг качества распространения данных реестра соглашений на ЕПБС»</w:t>
        </w:r>
        <w:r>
          <w:rPr>
            <w:webHidden/>
          </w:rPr>
          <w:tab/>
        </w:r>
        <w:r>
          <w:rPr>
            <w:webHidden/>
          </w:rPr>
          <w:fldChar w:fldCharType="begin"/>
        </w:r>
        <w:r>
          <w:rPr>
            <w:webHidden/>
          </w:rPr>
          <w:instrText xml:space="preserve"> PAGEREF _Toc119584387 \h </w:instrText>
        </w:r>
        <w:r>
          <w:rPr>
            <w:webHidden/>
          </w:rPr>
        </w:r>
        <w:r>
          <w:rPr>
            <w:webHidden/>
          </w:rPr>
          <w:fldChar w:fldCharType="separate"/>
        </w:r>
        <w:r>
          <w:rPr>
            <w:webHidden/>
          </w:rPr>
          <w:t>383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8" w:history="1">
        <w:r w:rsidRPr="008E79CA">
          <w:rPr>
            <w:rStyle w:val="af5"/>
          </w:rPr>
          <w:t>Рисунок 201 – Макет отчета «</w:t>
        </w:r>
        <w:r w:rsidRPr="008E79CA">
          <w:rPr>
            <w:rStyle w:val="af5"/>
            <w:shd w:val="clear" w:color="auto" w:fill="FFFFFF"/>
          </w:rPr>
          <w:t>Мониторинг качества распространения данных реестра соглашений на ЕПБС</w:t>
        </w:r>
        <w:r w:rsidRPr="008E79CA">
          <w:rPr>
            <w:rStyle w:val="af5"/>
          </w:rPr>
          <w:t>». Представление «ТОФК».</w:t>
        </w:r>
        <w:r>
          <w:rPr>
            <w:webHidden/>
          </w:rPr>
          <w:tab/>
        </w:r>
        <w:r>
          <w:rPr>
            <w:webHidden/>
          </w:rPr>
          <w:fldChar w:fldCharType="begin"/>
        </w:r>
        <w:r>
          <w:rPr>
            <w:webHidden/>
          </w:rPr>
          <w:instrText xml:space="preserve"> PAGEREF _Toc119584388 \h </w:instrText>
        </w:r>
        <w:r>
          <w:rPr>
            <w:webHidden/>
          </w:rPr>
        </w:r>
        <w:r>
          <w:rPr>
            <w:webHidden/>
          </w:rPr>
          <w:fldChar w:fldCharType="separate"/>
        </w:r>
        <w:r>
          <w:rPr>
            <w:webHidden/>
          </w:rPr>
          <w:t>386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89" w:history="1">
        <w:r w:rsidRPr="008E79CA">
          <w:rPr>
            <w:rStyle w:val="af5"/>
            <w:rFonts w:eastAsia="Calibri"/>
            <w:lang w:eastAsia="en-US"/>
          </w:rPr>
          <w:t>Рисунок 202 – Макет о</w:t>
        </w:r>
        <w:r w:rsidRPr="008E79CA">
          <w:rPr>
            <w:rStyle w:val="af5"/>
          </w:rPr>
          <w:t>тчета «Мониторинг качества распространения данных реестра соглашений на ЕПБС». Представление «ГРБС».</w:t>
        </w:r>
        <w:r>
          <w:rPr>
            <w:webHidden/>
          </w:rPr>
          <w:tab/>
        </w:r>
        <w:r>
          <w:rPr>
            <w:webHidden/>
          </w:rPr>
          <w:fldChar w:fldCharType="begin"/>
        </w:r>
        <w:r>
          <w:rPr>
            <w:webHidden/>
          </w:rPr>
          <w:instrText xml:space="preserve"> PAGEREF _Toc119584389 \h </w:instrText>
        </w:r>
        <w:r>
          <w:rPr>
            <w:webHidden/>
          </w:rPr>
        </w:r>
        <w:r>
          <w:rPr>
            <w:webHidden/>
          </w:rPr>
          <w:fldChar w:fldCharType="separate"/>
        </w:r>
        <w:r>
          <w:rPr>
            <w:webHidden/>
          </w:rPr>
          <w:t>390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0" w:history="1">
        <w:r w:rsidRPr="008E79CA">
          <w:rPr>
            <w:rStyle w:val="af5"/>
          </w:rPr>
          <w:t>Рисунок 203 – Макет отчета «Мониторинг качества распространения данных реестра соглашений на ЕПБС». Представление «По соглашениям»</w:t>
        </w:r>
        <w:r>
          <w:rPr>
            <w:webHidden/>
          </w:rPr>
          <w:tab/>
        </w:r>
        <w:r>
          <w:rPr>
            <w:webHidden/>
          </w:rPr>
          <w:fldChar w:fldCharType="begin"/>
        </w:r>
        <w:r>
          <w:rPr>
            <w:webHidden/>
          </w:rPr>
          <w:instrText xml:space="preserve"> PAGEREF _Toc119584390 \h </w:instrText>
        </w:r>
        <w:r>
          <w:rPr>
            <w:webHidden/>
          </w:rPr>
        </w:r>
        <w:r>
          <w:rPr>
            <w:webHidden/>
          </w:rPr>
          <w:fldChar w:fldCharType="separate"/>
        </w:r>
        <w:r>
          <w:rPr>
            <w:webHidden/>
          </w:rPr>
          <w:t>398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1" w:history="1">
        <w:r w:rsidRPr="008E79CA">
          <w:rPr>
            <w:rStyle w:val="af5"/>
          </w:rPr>
          <w:t>Рисунок 204</w:t>
        </w:r>
        <w:r w:rsidRPr="008E79CA">
          <w:rPr>
            <w:rStyle w:val="af5"/>
            <w:rFonts w:eastAsia="Calibri"/>
            <w:lang w:eastAsia="en-US"/>
          </w:rPr>
          <w:t xml:space="preserve"> – Макет о</w:t>
        </w:r>
        <w:r w:rsidRPr="008E79CA">
          <w:rPr>
            <w:rStyle w:val="af5"/>
          </w:rPr>
          <w:t>тчета «Мониторинг качества распространения данных реестра соглашений на ЕПБС». Представление «Вложения по соглашениям».</w:t>
        </w:r>
        <w:r>
          <w:rPr>
            <w:webHidden/>
          </w:rPr>
          <w:tab/>
        </w:r>
        <w:r>
          <w:rPr>
            <w:webHidden/>
          </w:rPr>
          <w:fldChar w:fldCharType="begin"/>
        </w:r>
        <w:r>
          <w:rPr>
            <w:webHidden/>
          </w:rPr>
          <w:instrText xml:space="preserve"> PAGEREF _Toc119584391 \h </w:instrText>
        </w:r>
        <w:r>
          <w:rPr>
            <w:webHidden/>
          </w:rPr>
        </w:r>
        <w:r>
          <w:rPr>
            <w:webHidden/>
          </w:rPr>
          <w:fldChar w:fldCharType="separate"/>
        </w:r>
        <w:r>
          <w:rPr>
            <w:webHidden/>
          </w:rPr>
          <w:t>422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2" w:history="1">
        <w:r w:rsidRPr="008E79CA">
          <w:rPr>
            <w:rStyle w:val="af5"/>
          </w:rPr>
          <w:t>Рисунок 205 – Макет отчета «Мониторинг качества распространения данных реестра соглашений на ЕПБС». Представление «Детализация по соглашениям»</w:t>
        </w:r>
        <w:r>
          <w:rPr>
            <w:webHidden/>
          </w:rPr>
          <w:tab/>
        </w:r>
        <w:r>
          <w:rPr>
            <w:webHidden/>
          </w:rPr>
          <w:fldChar w:fldCharType="begin"/>
        </w:r>
        <w:r>
          <w:rPr>
            <w:webHidden/>
          </w:rPr>
          <w:instrText xml:space="preserve"> PAGEREF _Toc119584392 \h </w:instrText>
        </w:r>
        <w:r>
          <w:rPr>
            <w:webHidden/>
          </w:rPr>
        </w:r>
        <w:r>
          <w:rPr>
            <w:webHidden/>
          </w:rPr>
          <w:fldChar w:fldCharType="separate"/>
        </w:r>
        <w:r>
          <w:rPr>
            <w:webHidden/>
          </w:rPr>
          <w:t>425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3" w:history="1">
        <w:r w:rsidRPr="008E79CA">
          <w:rPr>
            <w:rStyle w:val="af5"/>
          </w:rPr>
          <w:t>Рисунок 206</w:t>
        </w:r>
        <w:r w:rsidRPr="008E79CA">
          <w:rPr>
            <w:rStyle w:val="af5"/>
            <w:rFonts w:eastAsia="Calibri"/>
            <w:lang w:eastAsia="en-US"/>
          </w:rPr>
          <w:t xml:space="preserve"> – Макет о</w:t>
        </w:r>
        <w:r w:rsidRPr="008E79CA">
          <w:rPr>
            <w:rStyle w:val="af5"/>
          </w:rPr>
          <w:t>тчета «Мониторинг качества распространения данных реестра соглашений на ЕПБС». Представление «Расхождение в части кассового исполнения».</w:t>
        </w:r>
        <w:r>
          <w:rPr>
            <w:webHidden/>
          </w:rPr>
          <w:tab/>
        </w:r>
        <w:r>
          <w:rPr>
            <w:webHidden/>
          </w:rPr>
          <w:fldChar w:fldCharType="begin"/>
        </w:r>
        <w:r>
          <w:rPr>
            <w:webHidden/>
          </w:rPr>
          <w:instrText xml:space="preserve"> PAGEREF _Toc119584393 \h </w:instrText>
        </w:r>
        <w:r>
          <w:rPr>
            <w:webHidden/>
          </w:rPr>
        </w:r>
        <w:r>
          <w:rPr>
            <w:webHidden/>
          </w:rPr>
          <w:fldChar w:fldCharType="separate"/>
        </w:r>
        <w:r>
          <w:rPr>
            <w:webHidden/>
          </w:rPr>
          <w:t>427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4" w:history="1">
        <w:r w:rsidRPr="008E79CA">
          <w:rPr>
            <w:rStyle w:val="af5"/>
          </w:rPr>
          <w:t>Рисунок 207 – Макет отчета «Мониторинг качества распространения данных реестра соглашений на ЕПБС». Представление «Расхождение между графиками и исполнением»</w:t>
        </w:r>
        <w:r>
          <w:rPr>
            <w:webHidden/>
          </w:rPr>
          <w:tab/>
        </w:r>
        <w:r>
          <w:rPr>
            <w:webHidden/>
          </w:rPr>
          <w:fldChar w:fldCharType="begin"/>
        </w:r>
        <w:r>
          <w:rPr>
            <w:webHidden/>
          </w:rPr>
          <w:instrText xml:space="preserve"> PAGEREF _Toc119584394 \h </w:instrText>
        </w:r>
        <w:r>
          <w:rPr>
            <w:webHidden/>
          </w:rPr>
        </w:r>
        <w:r>
          <w:rPr>
            <w:webHidden/>
          </w:rPr>
          <w:fldChar w:fldCharType="separate"/>
        </w:r>
        <w:r>
          <w:rPr>
            <w:webHidden/>
          </w:rPr>
          <w:t>431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5" w:history="1">
        <w:r w:rsidRPr="008E79CA">
          <w:rPr>
            <w:rStyle w:val="af5"/>
          </w:rPr>
          <w:t>Рисунок 208 – Фильтр «Показать проблемы»</w:t>
        </w:r>
        <w:r>
          <w:rPr>
            <w:webHidden/>
          </w:rPr>
          <w:tab/>
        </w:r>
        <w:r>
          <w:rPr>
            <w:webHidden/>
          </w:rPr>
          <w:fldChar w:fldCharType="begin"/>
        </w:r>
        <w:r>
          <w:rPr>
            <w:webHidden/>
          </w:rPr>
          <w:instrText xml:space="preserve"> PAGEREF _Toc119584395 \h </w:instrText>
        </w:r>
        <w:r>
          <w:rPr>
            <w:webHidden/>
          </w:rPr>
        </w:r>
        <w:r>
          <w:rPr>
            <w:webHidden/>
          </w:rPr>
          <w:fldChar w:fldCharType="separate"/>
        </w:r>
        <w:r>
          <w:rPr>
            <w:webHidden/>
          </w:rPr>
          <w:t>432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6" w:history="1">
        <w:r w:rsidRPr="008E79CA">
          <w:rPr>
            <w:rStyle w:val="af5"/>
          </w:rPr>
          <w:t>Рисунок 209 – «Не соответствует количество соглашений ПУР и ЕПБС»</w:t>
        </w:r>
        <w:r>
          <w:rPr>
            <w:webHidden/>
          </w:rPr>
          <w:tab/>
        </w:r>
        <w:r>
          <w:rPr>
            <w:webHidden/>
          </w:rPr>
          <w:fldChar w:fldCharType="begin"/>
        </w:r>
        <w:r>
          <w:rPr>
            <w:webHidden/>
          </w:rPr>
          <w:instrText xml:space="preserve"> PAGEREF _Toc119584396 \h </w:instrText>
        </w:r>
        <w:r>
          <w:rPr>
            <w:webHidden/>
          </w:rPr>
        </w:r>
        <w:r>
          <w:rPr>
            <w:webHidden/>
          </w:rPr>
          <w:fldChar w:fldCharType="separate"/>
        </w:r>
        <w:r>
          <w:rPr>
            <w:webHidden/>
          </w:rPr>
          <w:t>432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7" w:history="1">
        <w:r w:rsidRPr="008E79CA">
          <w:rPr>
            <w:rStyle w:val="af5"/>
          </w:rPr>
          <w:t>Рисунок 210 – Скрытие проблемных колонок</w:t>
        </w:r>
        <w:r>
          <w:rPr>
            <w:webHidden/>
          </w:rPr>
          <w:tab/>
        </w:r>
        <w:r>
          <w:rPr>
            <w:webHidden/>
          </w:rPr>
          <w:fldChar w:fldCharType="begin"/>
        </w:r>
        <w:r>
          <w:rPr>
            <w:webHidden/>
          </w:rPr>
          <w:instrText xml:space="preserve"> PAGEREF _Toc119584397 \h </w:instrText>
        </w:r>
        <w:r>
          <w:rPr>
            <w:webHidden/>
          </w:rPr>
        </w:r>
        <w:r>
          <w:rPr>
            <w:webHidden/>
          </w:rPr>
          <w:fldChar w:fldCharType="separate"/>
        </w:r>
        <w:r>
          <w:rPr>
            <w:webHidden/>
          </w:rPr>
          <w:t>433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8" w:history="1">
        <w:r w:rsidRPr="008E79CA">
          <w:rPr>
            <w:rStyle w:val="af5"/>
          </w:rPr>
          <w:t>Рисунок 211 – Фильтр «ТОФК»</w:t>
        </w:r>
        <w:r>
          <w:rPr>
            <w:webHidden/>
          </w:rPr>
          <w:tab/>
        </w:r>
        <w:r>
          <w:rPr>
            <w:webHidden/>
          </w:rPr>
          <w:fldChar w:fldCharType="begin"/>
        </w:r>
        <w:r>
          <w:rPr>
            <w:webHidden/>
          </w:rPr>
          <w:instrText xml:space="preserve"> PAGEREF _Toc119584398 \h </w:instrText>
        </w:r>
        <w:r>
          <w:rPr>
            <w:webHidden/>
          </w:rPr>
        </w:r>
        <w:r>
          <w:rPr>
            <w:webHidden/>
          </w:rPr>
          <w:fldChar w:fldCharType="separate"/>
        </w:r>
        <w:r>
          <w:rPr>
            <w:webHidden/>
          </w:rPr>
          <w:t>433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399" w:history="1">
        <w:r w:rsidRPr="008E79CA">
          <w:rPr>
            <w:rStyle w:val="af5"/>
          </w:rPr>
          <w:t>Рисунок 212 – Ввод кода в фильтр «ТОФК»</w:t>
        </w:r>
        <w:r>
          <w:rPr>
            <w:webHidden/>
          </w:rPr>
          <w:tab/>
        </w:r>
        <w:r>
          <w:rPr>
            <w:webHidden/>
          </w:rPr>
          <w:fldChar w:fldCharType="begin"/>
        </w:r>
        <w:r>
          <w:rPr>
            <w:webHidden/>
          </w:rPr>
          <w:instrText xml:space="preserve"> PAGEREF _Toc119584399 \h </w:instrText>
        </w:r>
        <w:r>
          <w:rPr>
            <w:webHidden/>
          </w:rPr>
        </w:r>
        <w:r>
          <w:rPr>
            <w:webHidden/>
          </w:rPr>
          <w:fldChar w:fldCharType="separate"/>
        </w:r>
        <w:r>
          <w:rPr>
            <w:webHidden/>
          </w:rPr>
          <w:t>434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0" w:history="1">
        <w:r w:rsidRPr="008E79CA">
          <w:rPr>
            <w:rStyle w:val="af5"/>
          </w:rPr>
          <w:t>Рисунок 213 – Ввод наименования в фильтр «ТОФК»</w:t>
        </w:r>
        <w:r>
          <w:rPr>
            <w:webHidden/>
          </w:rPr>
          <w:tab/>
        </w:r>
        <w:r>
          <w:rPr>
            <w:webHidden/>
          </w:rPr>
          <w:fldChar w:fldCharType="begin"/>
        </w:r>
        <w:r>
          <w:rPr>
            <w:webHidden/>
          </w:rPr>
          <w:instrText xml:space="preserve"> PAGEREF _Toc119584400 \h </w:instrText>
        </w:r>
        <w:r>
          <w:rPr>
            <w:webHidden/>
          </w:rPr>
        </w:r>
        <w:r>
          <w:rPr>
            <w:webHidden/>
          </w:rPr>
          <w:fldChar w:fldCharType="separate"/>
        </w:r>
        <w:r>
          <w:rPr>
            <w:webHidden/>
          </w:rPr>
          <w:t>434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1" w:history="1">
        <w:r w:rsidRPr="008E79CA">
          <w:rPr>
            <w:rStyle w:val="af5"/>
          </w:rPr>
          <w:t>Рисунок 214 – Множественный выбор фильтра «ТОФК»</w:t>
        </w:r>
        <w:r>
          <w:rPr>
            <w:webHidden/>
          </w:rPr>
          <w:tab/>
        </w:r>
        <w:r>
          <w:rPr>
            <w:webHidden/>
          </w:rPr>
          <w:fldChar w:fldCharType="begin"/>
        </w:r>
        <w:r>
          <w:rPr>
            <w:webHidden/>
          </w:rPr>
          <w:instrText xml:space="preserve"> PAGEREF _Toc119584401 \h </w:instrText>
        </w:r>
        <w:r>
          <w:rPr>
            <w:webHidden/>
          </w:rPr>
        </w:r>
        <w:r>
          <w:rPr>
            <w:webHidden/>
          </w:rPr>
          <w:fldChar w:fldCharType="separate"/>
        </w:r>
        <w:r>
          <w:rPr>
            <w:webHidden/>
          </w:rPr>
          <w:t>435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2" w:history="1">
        <w:r w:rsidRPr="008E79CA">
          <w:rPr>
            <w:rStyle w:val="af5"/>
          </w:rPr>
          <w:t>Рисунок 215 – Результат работы фильтра «ТОФК»</w:t>
        </w:r>
        <w:r>
          <w:rPr>
            <w:webHidden/>
          </w:rPr>
          <w:tab/>
        </w:r>
        <w:r>
          <w:rPr>
            <w:webHidden/>
          </w:rPr>
          <w:fldChar w:fldCharType="begin"/>
        </w:r>
        <w:r>
          <w:rPr>
            <w:webHidden/>
          </w:rPr>
          <w:instrText xml:space="preserve"> PAGEREF _Toc119584402 \h </w:instrText>
        </w:r>
        <w:r>
          <w:rPr>
            <w:webHidden/>
          </w:rPr>
        </w:r>
        <w:r>
          <w:rPr>
            <w:webHidden/>
          </w:rPr>
          <w:fldChar w:fldCharType="separate"/>
        </w:r>
        <w:r>
          <w:rPr>
            <w:webHidden/>
          </w:rPr>
          <w:t>435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3" w:history="1">
        <w:r w:rsidRPr="008E79CA">
          <w:rPr>
            <w:rStyle w:val="af5"/>
          </w:rPr>
          <w:t>Рисунок 216 – Фильтр «ГРБС»</w:t>
        </w:r>
        <w:r>
          <w:rPr>
            <w:webHidden/>
          </w:rPr>
          <w:tab/>
        </w:r>
        <w:r>
          <w:rPr>
            <w:webHidden/>
          </w:rPr>
          <w:fldChar w:fldCharType="begin"/>
        </w:r>
        <w:r>
          <w:rPr>
            <w:webHidden/>
          </w:rPr>
          <w:instrText xml:space="preserve"> PAGEREF _Toc119584403 \h </w:instrText>
        </w:r>
        <w:r>
          <w:rPr>
            <w:webHidden/>
          </w:rPr>
        </w:r>
        <w:r>
          <w:rPr>
            <w:webHidden/>
          </w:rPr>
          <w:fldChar w:fldCharType="separate"/>
        </w:r>
        <w:r>
          <w:rPr>
            <w:webHidden/>
          </w:rPr>
          <w:t>436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4" w:history="1">
        <w:r w:rsidRPr="008E79CA">
          <w:rPr>
            <w:rStyle w:val="af5"/>
          </w:rPr>
          <w:t>Рисунок 217 – Поле ввода «ИНН получателя»</w:t>
        </w:r>
        <w:r>
          <w:rPr>
            <w:webHidden/>
          </w:rPr>
          <w:tab/>
        </w:r>
        <w:r>
          <w:rPr>
            <w:webHidden/>
          </w:rPr>
          <w:fldChar w:fldCharType="begin"/>
        </w:r>
        <w:r>
          <w:rPr>
            <w:webHidden/>
          </w:rPr>
          <w:instrText xml:space="preserve"> PAGEREF _Toc119584404 \h </w:instrText>
        </w:r>
        <w:r>
          <w:rPr>
            <w:webHidden/>
          </w:rPr>
        </w:r>
        <w:r>
          <w:rPr>
            <w:webHidden/>
          </w:rPr>
          <w:fldChar w:fldCharType="separate"/>
        </w:r>
        <w:r>
          <w:rPr>
            <w:webHidden/>
          </w:rPr>
          <w:t>436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5" w:history="1">
        <w:r w:rsidRPr="008E79CA">
          <w:rPr>
            <w:rStyle w:val="af5"/>
          </w:rPr>
          <w:t>Рисунок 218 – Результат работы фильтра «ИНН получателя»</w:t>
        </w:r>
        <w:r>
          <w:rPr>
            <w:webHidden/>
          </w:rPr>
          <w:tab/>
        </w:r>
        <w:r>
          <w:rPr>
            <w:webHidden/>
          </w:rPr>
          <w:fldChar w:fldCharType="begin"/>
        </w:r>
        <w:r>
          <w:rPr>
            <w:webHidden/>
          </w:rPr>
          <w:instrText xml:space="preserve"> PAGEREF _Toc119584405 \h </w:instrText>
        </w:r>
        <w:r>
          <w:rPr>
            <w:webHidden/>
          </w:rPr>
        </w:r>
        <w:r>
          <w:rPr>
            <w:webHidden/>
          </w:rPr>
          <w:fldChar w:fldCharType="separate"/>
        </w:r>
        <w:r>
          <w:rPr>
            <w:webHidden/>
          </w:rPr>
          <w:t>437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6" w:history="1">
        <w:r w:rsidRPr="008E79CA">
          <w:rPr>
            <w:rStyle w:val="af5"/>
          </w:rPr>
          <w:t>Рисунок 219 – Фильтр «Год последнего изменения БО»</w:t>
        </w:r>
        <w:r>
          <w:rPr>
            <w:webHidden/>
          </w:rPr>
          <w:tab/>
        </w:r>
        <w:r>
          <w:rPr>
            <w:webHidden/>
          </w:rPr>
          <w:fldChar w:fldCharType="begin"/>
        </w:r>
        <w:r>
          <w:rPr>
            <w:webHidden/>
          </w:rPr>
          <w:instrText xml:space="preserve"> PAGEREF _Toc119584406 \h </w:instrText>
        </w:r>
        <w:r>
          <w:rPr>
            <w:webHidden/>
          </w:rPr>
        </w:r>
        <w:r>
          <w:rPr>
            <w:webHidden/>
          </w:rPr>
          <w:fldChar w:fldCharType="separate"/>
        </w:r>
        <w:r>
          <w:rPr>
            <w:webHidden/>
          </w:rPr>
          <w:t>437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7" w:history="1">
        <w:r w:rsidRPr="008E79CA">
          <w:rPr>
            <w:rStyle w:val="af5"/>
          </w:rPr>
          <w:t>Рисунок 220 – Фильтр «Год по сроку действия соглашения»</w:t>
        </w:r>
        <w:r>
          <w:rPr>
            <w:webHidden/>
          </w:rPr>
          <w:tab/>
        </w:r>
        <w:r>
          <w:rPr>
            <w:webHidden/>
          </w:rPr>
          <w:fldChar w:fldCharType="begin"/>
        </w:r>
        <w:r>
          <w:rPr>
            <w:webHidden/>
          </w:rPr>
          <w:instrText xml:space="preserve"> PAGEREF _Toc119584407 \h </w:instrText>
        </w:r>
        <w:r>
          <w:rPr>
            <w:webHidden/>
          </w:rPr>
        </w:r>
        <w:r>
          <w:rPr>
            <w:webHidden/>
          </w:rPr>
          <w:fldChar w:fldCharType="separate"/>
        </w:r>
        <w:r>
          <w:rPr>
            <w:webHidden/>
          </w:rPr>
          <w:t>438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8" w:history="1">
        <w:r w:rsidRPr="008E79CA">
          <w:rPr>
            <w:rStyle w:val="af5"/>
          </w:rPr>
          <w:t>Рисунок 221 – Фильтр «Дата заключения с: ДД.ММ.ГГГГ по: ДД.ММ.ГГГГ»</w:t>
        </w:r>
        <w:r>
          <w:rPr>
            <w:webHidden/>
          </w:rPr>
          <w:tab/>
        </w:r>
        <w:r>
          <w:rPr>
            <w:webHidden/>
          </w:rPr>
          <w:fldChar w:fldCharType="begin"/>
        </w:r>
        <w:r>
          <w:rPr>
            <w:webHidden/>
          </w:rPr>
          <w:instrText xml:space="preserve"> PAGEREF _Toc119584408 \h </w:instrText>
        </w:r>
        <w:r>
          <w:rPr>
            <w:webHidden/>
          </w:rPr>
        </w:r>
        <w:r>
          <w:rPr>
            <w:webHidden/>
          </w:rPr>
          <w:fldChar w:fldCharType="separate"/>
        </w:r>
        <w:r>
          <w:rPr>
            <w:webHidden/>
          </w:rPr>
          <w:t>438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09" w:history="1">
        <w:r w:rsidRPr="008E79CA">
          <w:rPr>
            <w:rStyle w:val="af5"/>
          </w:rPr>
          <w:t>Рисунок 222 – Фильтр «Сумма соглашения, руб. От: … До: …»</w:t>
        </w:r>
        <w:r>
          <w:rPr>
            <w:webHidden/>
          </w:rPr>
          <w:tab/>
        </w:r>
        <w:r>
          <w:rPr>
            <w:webHidden/>
          </w:rPr>
          <w:fldChar w:fldCharType="begin"/>
        </w:r>
        <w:r>
          <w:rPr>
            <w:webHidden/>
          </w:rPr>
          <w:instrText xml:space="preserve"> PAGEREF _Toc119584409 \h </w:instrText>
        </w:r>
        <w:r>
          <w:rPr>
            <w:webHidden/>
          </w:rPr>
        </w:r>
        <w:r>
          <w:rPr>
            <w:webHidden/>
          </w:rPr>
          <w:fldChar w:fldCharType="separate"/>
        </w:r>
        <w:r>
          <w:rPr>
            <w:webHidden/>
          </w:rPr>
          <w:t>439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0" w:history="1">
        <w:r w:rsidRPr="008E79CA">
          <w:rPr>
            <w:rStyle w:val="af5"/>
          </w:rPr>
          <w:t>Рисунок 223 – Сброс настроек фильтра «Сумма соглашения, руб. От: … До: …»</w:t>
        </w:r>
        <w:r>
          <w:rPr>
            <w:webHidden/>
          </w:rPr>
          <w:tab/>
        </w:r>
        <w:r>
          <w:rPr>
            <w:webHidden/>
          </w:rPr>
          <w:fldChar w:fldCharType="begin"/>
        </w:r>
        <w:r>
          <w:rPr>
            <w:webHidden/>
          </w:rPr>
          <w:instrText xml:space="preserve"> PAGEREF _Toc119584410 \h </w:instrText>
        </w:r>
        <w:r>
          <w:rPr>
            <w:webHidden/>
          </w:rPr>
        </w:r>
        <w:r>
          <w:rPr>
            <w:webHidden/>
          </w:rPr>
          <w:fldChar w:fldCharType="separate"/>
        </w:r>
        <w:r>
          <w:rPr>
            <w:webHidden/>
          </w:rPr>
          <w:t>439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1" w:history="1">
        <w:r w:rsidRPr="008E79CA">
          <w:rPr>
            <w:rStyle w:val="af5"/>
          </w:rPr>
          <w:t>Рисунок 224 – Фильтр «Единицы измерения»</w:t>
        </w:r>
        <w:r>
          <w:rPr>
            <w:webHidden/>
          </w:rPr>
          <w:tab/>
        </w:r>
        <w:r>
          <w:rPr>
            <w:webHidden/>
          </w:rPr>
          <w:fldChar w:fldCharType="begin"/>
        </w:r>
        <w:r>
          <w:rPr>
            <w:webHidden/>
          </w:rPr>
          <w:instrText xml:space="preserve"> PAGEREF _Toc119584411 \h </w:instrText>
        </w:r>
        <w:r>
          <w:rPr>
            <w:webHidden/>
          </w:rPr>
        </w:r>
        <w:r>
          <w:rPr>
            <w:webHidden/>
          </w:rPr>
          <w:fldChar w:fldCharType="separate"/>
        </w:r>
        <w:r>
          <w:rPr>
            <w:webHidden/>
          </w:rPr>
          <w:t>440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2" w:history="1">
        <w:r w:rsidRPr="008E79CA">
          <w:rPr>
            <w:rStyle w:val="af5"/>
          </w:rPr>
          <w:t>Рисунок 225 – Изменение параметра фильтра «Единицы измерения»</w:t>
        </w:r>
        <w:r>
          <w:rPr>
            <w:webHidden/>
          </w:rPr>
          <w:tab/>
        </w:r>
        <w:r>
          <w:rPr>
            <w:webHidden/>
          </w:rPr>
          <w:fldChar w:fldCharType="begin"/>
        </w:r>
        <w:r>
          <w:rPr>
            <w:webHidden/>
          </w:rPr>
          <w:instrText xml:space="preserve"> PAGEREF _Toc119584412 \h </w:instrText>
        </w:r>
        <w:r>
          <w:rPr>
            <w:webHidden/>
          </w:rPr>
        </w:r>
        <w:r>
          <w:rPr>
            <w:webHidden/>
          </w:rPr>
          <w:fldChar w:fldCharType="separate"/>
        </w:r>
        <w:r>
          <w:rPr>
            <w:webHidden/>
          </w:rPr>
          <w:t>440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3" w:history="1">
        <w:r w:rsidRPr="008E79CA">
          <w:rPr>
            <w:rStyle w:val="af5"/>
          </w:rPr>
          <w:t>Рисунок 226 – Поле ввода «Введите Уникальный реестровый номер / Номер соглашения»</w:t>
        </w:r>
        <w:r>
          <w:rPr>
            <w:webHidden/>
          </w:rPr>
          <w:tab/>
        </w:r>
        <w:r>
          <w:rPr>
            <w:webHidden/>
          </w:rPr>
          <w:fldChar w:fldCharType="begin"/>
        </w:r>
        <w:r>
          <w:rPr>
            <w:webHidden/>
          </w:rPr>
          <w:instrText xml:space="preserve"> PAGEREF _Toc119584413 \h </w:instrText>
        </w:r>
        <w:r>
          <w:rPr>
            <w:webHidden/>
          </w:rPr>
        </w:r>
        <w:r>
          <w:rPr>
            <w:webHidden/>
          </w:rPr>
          <w:fldChar w:fldCharType="separate"/>
        </w:r>
        <w:r>
          <w:rPr>
            <w:webHidden/>
          </w:rPr>
          <w:t>441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4" w:history="1">
        <w:r w:rsidRPr="008E79CA">
          <w:rPr>
            <w:rStyle w:val="af5"/>
          </w:rPr>
          <w:t>Рисунок 227 – Фильтр «КБК». Ввод первых значений</w:t>
        </w:r>
        <w:r>
          <w:rPr>
            <w:webHidden/>
          </w:rPr>
          <w:tab/>
        </w:r>
        <w:r>
          <w:rPr>
            <w:webHidden/>
          </w:rPr>
          <w:fldChar w:fldCharType="begin"/>
        </w:r>
        <w:r>
          <w:rPr>
            <w:webHidden/>
          </w:rPr>
          <w:instrText xml:space="preserve"> PAGEREF _Toc119584414 \h </w:instrText>
        </w:r>
        <w:r>
          <w:rPr>
            <w:webHidden/>
          </w:rPr>
        </w:r>
        <w:r>
          <w:rPr>
            <w:webHidden/>
          </w:rPr>
          <w:fldChar w:fldCharType="separate"/>
        </w:r>
        <w:r>
          <w:rPr>
            <w:webHidden/>
          </w:rPr>
          <w:t>442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5" w:history="1">
        <w:r w:rsidRPr="008E79CA">
          <w:rPr>
            <w:rStyle w:val="af5"/>
          </w:rPr>
          <w:t>Рисунок 228 – Фильтр «КБК». Ввод последних значений</w:t>
        </w:r>
        <w:r>
          <w:rPr>
            <w:webHidden/>
          </w:rPr>
          <w:tab/>
        </w:r>
        <w:r>
          <w:rPr>
            <w:webHidden/>
          </w:rPr>
          <w:fldChar w:fldCharType="begin"/>
        </w:r>
        <w:r>
          <w:rPr>
            <w:webHidden/>
          </w:rPr>
          <w:instrText xml:space="preserve"> PAGEREF _Toc119584415 \h </w:instrText>
        </w:r>
        <w:r>
          <w:rPr>
            <w:webHidden/>
          </w:rPr>
        </w:r>
        <w:r>
          <w:rPr>
            <w:webHidden/>
          </w:rPr>
          <w:fldChar w:fldCharType="separate"/>
        </w:r>
        <w:r>
          <w:rPr>
            <w:webHidden/>
          </w:rPr>
          <w:t>442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6" w:history="1">
        <w:r w:rsidRPr="008E79CA">
          <w:rPr>
            <w:rStyle w:val="af5"/>
          </w:rPr>
          <w:t>Рисунок 229 – Фильтр «КБК». Удаление значений</w:t>
        </w:r>
        <w:r>
          <w:rPr>
            <w:webHidden/>
          </w:rPr>
          <w:tab/>
        </w:r>
        <w:r>
          <w:rPr>
            <w:webHidden/>
          </w:rPr>
          <w:fldChar w:fldCharType="begin"/>
        </w:r>
        <w:r>
          <w:rPr>
            <w:webHidden/>
          </w:rPr>
          <w:instrText xml:space="preserve"> PAGEREF _Toc119584416 \h </w:instrText>
        </w:r>
        <w:r>
          <w:rPr>
            <w:webHidden/>
          </w:rPr>
        </w:r>
        <w:r>
          <w:rPr>
            <w:webHidden/>
          </w:rPr>
          <w:fldChar w:fldCharType="separate"/>
        </w:r>
        <w:r>
          <w:rPr>
            <w:webHidden/>
          </w:rPr>
          <w:t>443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7" w:history="1">
        <w:r w:rsidRPr="008E79CA">
          <w:rPr>
            <w:rStyle w:val="af5"/>
          </w:rPr>
          <w:t>Рисунок 230 – Фильтр «Национальный проект»</w:t>
        </w:r>
        <w:r>
          <w:rPr>
            <w:webHidden/>
          </w:rPr>
          <w:tab/>
        </w:r>
        <w:r>
          <w:rPr>
            <w:webHidden/>
          </w:rPr>
          <w:fldChar w:fldCharType="begin"/>
        </w:r>
        <w:r>
          <w:rPr>
            <w:webHidden/>
          </w:rPr>
          <w:instrText xml:space="preserve"> PAGEREF _Toc119584417 \h </w:instrText>
        </w:r>
        <w:r>
          <w:rPr>
            <w:webHidden/>
          </w:rPr>
        </w:r>
        <w:r>
          <w:rPr>
            <w:webHidden/>
          </w:rPr>
          <w:fldChar w:fldCharType="separate"/>
        </w:r>
        <w:r>
          <w:rPr>
            <w:webHidden/>
          </w:rPr>
          <w:t>443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8" w:history="1">
        <w:r w:rsidRPr="008E79CA">
          <w:rPr>
            <w:rStyle w:val="af5"/>
          </w:rPr>
          <w:t>Рисунок 231 – Макет отчета «Реестр соглашений о предоставлении субсидий из федерального бюджета (бюджетов субъектов Российской Федерации, местных бюджетов)»</w:t>
        </w:r>
        <w:r>
          <w:rPr>
            <w:webHidden/>
          </w:rPr>
          <w:tab/>
        </w:r>
        <w:r>
          <w:rPr>
            <w:webHidden/>
          </w:rPr>
          <w:fldChar w:fldCharType="begin"/>
        </w:r>
        <w:r>
          <w:rPr>
            <w:webHidden/>
          </w:rPr>
          <w:instrText xml:space="preserve"> PAGEREF _Toc119584418 \h </w:instrText>
        </w:r>
        <w:r>
          <w:rPr>
            <w:webHidden/>
          </w:rPr>
        </w:r>
        <w:r>
          <w:rPr>
            <w:webHidden/>
          </w:rPr>
          <w:fldChar w:fldCharType="separate"/>
        </w:r>
        <w:r>
          <w:rPr>
            <w:webHidden/>
          </w:rPr>
          <w:t>444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19" w:history="1">
        <w:r w:rsidRPr="008E79CA">
          <w:rPr>
            <w:rStyle w:val="af5"/>
          </w:rPr>
          <w:t>Рисунок 232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«Федеральный бюджет» - «По соглашениям»</w:t>
        </w:r>
        <w:r>
          <w:rPr>
            <w:webHidden/>
          </w:rPr>
          <w:tab/>
        </w:r>
        <w:r>
          <w:rPr>
            <w:webHidden/>
          </w:rPr>
          <w:fldChar w:fldCharType="begin"/>
        </w:r>
        <w:r>
          <w:rPr>
            <w:webHidden/>
          </w:rPr>
          <w:instrText xml:space="preserve"> PAGEREF _Toc119584419 \h </w:instrText>
        </w:r>
        <w:r>
          <w:rPr>
            <w:webHidden/>
          </w:rPr>
        </w:r>
        <w:r>
          <w:rPr>
            <w:webHidden/>
          </w:rPr>
          <w:fldChar w:fldCharType="separate"/>
        </w:r>
        <w:r>
          <w:rPr>
            <w:webHidden/>
          </w:rPr>
          <w:t>445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0" w:history="1">
        <w:r w:rsidRPr="008E79CA">
          <w:rPr>
            <w:rStyle w:val="af5"/>
          </w:rPr>
          <w:t>Рисунок 233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«Федеральный бюджет» - «По значениям результатов»</w:t>
        </w:r>
        <w:r>
          <w:rPr>
            <w:webHidden/>
          </w:rPr>
          <w:tab/>
        </w:r>
        <w:r>
          <w:rPr>
            <w:webHidden/>
          </w:rPr>
          <w:fldChar w:fldCharType="begin"/>
        </w:r>
        <w:r>
          <w:rPr>
            <w:webHidden/>
          </w:rPr>
          <w:instrText xml:space="preserve"> PAGEREF _Toc119584420 \h </w:instrText>
        </w:r>
        <w:r>
          <w:rPr>
            <w:webHidden/>
          </w:rPr>
        </w:r>
        <w:r>
          <w:rPr>
            <w:webHidden/>
          </w:rPr>
          <w:fldChar w:fldCharType="separate"/>
        </w:r>
        <w:r>
          <w:rPr>
            <w:webHidden/>
          </w:rPr>
          <w:t>463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1" w:history="1">
        <w:r w:rsidRPr="008E79CA">
          <w:rPr>
            <w:rStyle w:val="af5"/>
          </w:rPr>
          <w:t>Рисунок 234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«Бюджеты субъектов РФ» - «По регионам»</w:t>
        </w:r>
        <w:r>
          <w:rPr>
            <w:webHidden/>
          </w:rPr>
          <w:tab/>
        </w:r>
        <w:r>
          <w:rPr>
            <w:webHidden/>
          </w:rPr>
          <w:fldChar w:fldCharType="begin"/>
        </w:r>
        <w:r>
          <w:rPr>
            <w:webHidden/>
          </w:rPr>
          <w:instrText xml:space="preserve"> PAGEREF _Toc119584421 \h </w:instrText>
        </w:r>
        <w:r>
          <w:rPr>
            <w:webHidden/>
          </w:rPr>
        </w:r>
        <w:r>
          <w:rPr>
            <w:webHidden/>
          </w:rPr>
          <w:fldChar w:fldCharType="separate"/>
        </w:r>
        <w:r>
          <w:rPr>
            <w:webHidden/>
          </w:rPr>
          <w:t>469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2" w:history="1">
        <w:r w:rsidRPr="008E79CA">
          <w:rPr>
            <w:rStyle w:val="af5"/>
          </w:rPr>
          <w:t>Рисунок 235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«Бюджеты субъектов РФ» - «Карта»</w:t>
        </w:r>
        <w:r>
          <w:rPr>
            <w:webHidden/>
          </w:rPr>
          <w:tab/>
        </w:r>
        <w:r>
          <w:rPr>
            <w:webHidden/>
          </w:rPr>
          <w:fldChar w:fldCharType="begin"/>
        </w:r>
        <w:r>
          <w:rPr>
            <w:webHidden/>
          </w:rPr>
          <w:instrText xml:space="preserve"> PAGEREF _Toc119584422 \h </w:instrText>
        </w:r>
        <w:r>
          <w:rPr>
            <w:webHidden/>
          </w:rPr>
        </w:r>
        <w:r>
          <w:rPr>
            <w:webHidden/>
          </w:rPr>
          <w:fldChar w:fldCharType="separate"/>
        </w:r>
        <w:r>
          <w:rPr>
            <w:webHidden/>
          </w:rPr>
          <w:t>470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3" w:history="1">
        <w:r w:rsidRPr="008E79CA">
          <w:rPr>
            <w:rStyle w:val="af5"/>
          </w:rPr>
          <w:t>Рисунок 236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«Бюджеты субъектов РФ» - «По соглашениям»</w:t>
        </w:r>
        <w:r>
          <w:rPr>
            <w:webHidden/>
          </w:rPr>
          <w:tab/>
        </w:r>
        <w:r>
          <w:rPr>
            <w:webHidden/>
          </w:rPr>
          <w:fldChar w:fldCharType="begin"/>
        </w:r>
        <w:r>
          <w:rPr>
            <w:webHidden/>
          </w:rPr>
          <w:instrText xml:space="preserve"> PAGEREF _Toc119584423 \h </w:instrText>
        </w:r>
        <w:r>
          <w:rPr>
            <w:webHidden/>
          </w:rPr>
        </w:r>
        <w:r>
          <w:rPr>
            <w:webHidden/>
          </w:rPr>
          <w:fldChar w:fldCharType="separate"/>
        </w:r>
        <w:r>
          <w:rPr>
            <w:webHidden/>
          </w:rPr>
          <w:t>484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4" w:history="1">
        <w:r w:rsidRPr="008E79CA">
          <w:rPr>
            <w:rStyle w:val="af5"/>
          </w:rPr>
          <w:t>Рисунок 237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«Бюджеты субъектов РФ» - «По значениям результатов»</w:t>
        </w:r>
        <w:r>
          <w:rPr>
            <w:webHidden/>
          </w:rPr>
          <w:tab/>
        </w:r>
        <w:r>
          <w:rPr>
            <w:webHidden/>
          </w:rPr>
          <w:fldChar w:fldCharType="begin"/>
        </w:r>
        <w:r>
          <w:rPr>
            <w:webHidden/>
          </w:rPr>
          <w:instrText xml:space="preserve"> PAGEREF _Toc119584424 \h </w:instrText>
        </w:r>
        <w:r>
          <w:rPr>
            <w:webHidden/>
          </w:rPr>
        </w:r>
        <w:r>
          <w:rPr>
            <w:webHidden/>
          </w:rPr>
          <w:fldChar w:fldCharType="separate"/>
        </w:r>
        <w:r>
          <w:rPr>
            <w:webHidden/>
          </w:rPr>
          <w:t>503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5" w:history="1">
        <w:r w:rsidRPr="008E79CA">
          <w:rPr>
            <w:rStyle w:val="af5"/>
          </w:rPr>
          <w:t>Рисунок 238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 муниципальных образований» - «По муниципальным образованиям»</w:t>
        </w:r>
        <w:r>
          <w:rPr>
            <w:webHidden/>
          </w:rPr>
          <w:tab/>
        </w:r>
        <w:r>
          <w:rPr>
            <w:webHidden/>
          </w:rPr>
          <w:fldChar w:fldCharType="begin"/>
        </w:r>
        <w:r>
          <w:rPr>
            <w:webHidden/>
          </w:rPr>
          <w:instrText xml:space="preserve"> PAGEREF _Toc119584425 \h </w:instrText>
        </w:r>
        <w:r>
          <w:rPr>
            <w:webHidden/>
          </w:rPr>
        </w:r>
        <w:r>
          <w:rPr>
            <w:webHidden/>
          </w:rPr>
          <w:fldChar w:fldCharType="separate"/>
        </w:r>
        <w:r>
          <w:rPr>
            <w:webHidden/>
          </w:rPr>
          <w:t>510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6" w:history="1">
        <w:r w:rsidRPr="008E79CA">
          <w:rPr>
            <w:rStyle w:val="af5"/>
          </w:rPr>
          <w:t>Рисунок 239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«Бюджеты муниципальных образований» - «По муниципальным образованиям» в виде карты</w:t>
        </w:r>
        <w:r>
          <w:rPr>
            <w:webHidden/>
          </w:rPr>
          <w:tab/>
        </w:r>
        <w:r>
          <w:rPr>
            <w:webHidden/>
          </w:rPr>
          <w:fldChar w:fldCharType="begin"/>
        </w:r>
        <w:r>
          <w:rPr>
            <w:webHidden/>
          </w:rPr>
          <w:instrText xml:space="preserve"> PAGEREF _Toc119584426 \h </w:instrText>
        </w:r>
        <w:r>
          <w:rPr>
            <w:webHidden/>
          </w:rPr>
        </w:r>
        <w:r>
          <w:rPr>
            <w:webHidden/>
          </w:rPr>
          <w:fldChar w:fldCharType="separate"/>
        </w:r>
        <w:r>
          <w:rPr>
            <w:webHidden/>
          </w:rPr>
          <w:t>510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7" w:history="1">
        <w:r w:rsidRPr="008E79CA">
          <w:rPr>
            <w:rStyle w:val="af5"/>
          </w:rPr>
          <w:t>Рисунок 240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 муниципальных образований» - «По соглашениям»</w:t>
        </w:r>
        <w:r>
          <w:rPr>
            <w:webHidden/>
          </w:rPr>
          <w:tab/>
        </w:r>
        <w:r>
          <w:rPr>
            <w:webHidden/>
          </w:rPr>
          <w:fldChar w:fldCharType="begin"/>
        </w:r>
        <w:r>
          <w:rPr>
            <w:webHidden/>
          </w:rPr>
          <w:instrText xml:space="preserve"> PAGEREF _Toc119584427 \h </w:instrText>
        </w:r>
        <w:r>
          <w:rPr>
            <w:webHidden/>
          </w:rPr>
        </w:r>
        <w:r>
          <w:rPr>
            <w:webHidden/>
          </w:rPr>
          <w:fldChar w:fldCharType="separate"/>
        </w:r>
        <w:r>
          <w:rPr>
            <w:webHidden/>
          </w:rPr>
          <w:t>524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8" w:history="1">
        <w:r w:rsidRPr="008E79CA">
          <w:rPr>
            <w:rStyle w:val="af5"/>
          </w:rPr>
          <w:t>Рисунок 241 – Макет отчета «Реестр соглашений о предоставлении субсидий из федерального бюджета (бюджетов субъектов Российской Федерации, местных бюджетов)». Представление «Бюджет муниципальных образований» - «По знаниям результатов»</w:t>
        </w:r>
        <w:r>
          <w:rPr>
            <w:webHidden/>
          </w:rPr>
          <w:tab/>
        </w:r>
        <w:r>
          <w:rPr>
            <w:webHidden/>
          </w:rPr>
          <w:fldChar w:fldCharType="begin"/>
        </w:r>
        <w:r>
          <w:rPr>
            <w:webHidden/>
          </w:rPr>
          <w:instrText xml:space="preserve"> PAGEREF _Toc119584428 \h </w:instrText>
        </w:r>
        <w:r>
          <w:rPr>
            <w:webHidden/>
          </w:rPr>
        </w:r>
        <w:r>
          <w:rPr>
            <w:webHidden/>
          </w:rPr>
          <w:fldChar w:fldCharType="separate"/>
        </w:r>
        <w:r>
          <w:rPr>
            <w:webHidden/>
          </w:rPr>
          <w:t>543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29" w:history="1">
        <w:r w:rsidRPr="008E79CA">
          <w:rPr>
            <w:rStyle w:val="af5"/>
          </w:rPr>
          <w:t>Рисунок 242 – Макет отчета «</w:t>
        </w:r>
        <w:r w:rsidRPr="008E79CA">
          <w:rPr>
            <w:rStyle w:val="af5"/>
            <w:shd w:val="clear" w:color="auto" w:fill="FFFFFF"/>
          </w:rPr>
          <w:t>Перечни (классификаторы) государственных и муниципальных услуг и работ</w:t>
        </w:r>
        <w:r w:rsidRPr="008E79CA">
          <w:rPr>
            <w:rStyle w:val="af5"/>
          </w:rPr>
          <w:t>»</w:t>
        </w:r>
        <w:r>
          <w:rPr>
            <w:webHidden/>
          </w:rPr>
          <w:tab/>
        </w:r>
        <w:r>
          <w:rPr>
            <w:webHidden/>
          </w:rPr>
          <w:fldChar w:fldCharType="begin"/>
        </w:r>
        <w:r>
          <w:rPr>
            <w:webHidden/>
          </w:rPr>
          <w:instrText xml:space="preserve"> PAGEREF _Toc119584429 \h </w:instrText>
        </w:r>
        <w:r>
          <w:rPr>
            <w:webHidden/>
          </w:rPr>
        </w:r>
        <w:r>
          <w:rPr>
            <w:webHidden/>
          </w:rPr>
          <w:fldChar w:fldCharType="separate"/>
        </w:r>
        <w:r>
          <w:rPr>
            <w:webHidden/>
          </w:rPr>
          <w:t>550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0" w:history="1">
        <w:r w:rsidRPr="008E79CA">
          <w:rPr>
            <w:rStyle w:val="af5"/>
          </w:rPr>
          <w:t>Рисунок 243 – Макет отчета «</w:t>
        </w:r>
        <w:r w:rsidRPr="008E79CA">
          <w:rPr>
            <w:rStyle w:val="af5"/>
            <w:shd w:val="clear" w:color="auto" w:fill="FFFFFF"/>
          </w:rPr>
          <w:t>Услуги и работы общероссийских и федеральных перечней (классификаторов) государственных и муниципальных услуг и работ</w:t>
        </w:r>
        <w:r w:rsidRPr="008E79CA">
          <w:rPr>
            <w:rStyle w:val="af5"/>
          </w:rPr>
          <w:t>»</w:t>
        </w:r>
        <w:r>
          <w:rPr>
            <w:webHidden/>
          </w:rPr>
          <w:tab/>
        </w:r>
        <w:r>
          <w:rPr>
            <w:webHidden/>
          </w:rPr>
          <w:fldChar w:fldCharType="begin"/>
        </w:r>
        <w:r>
          <w:rPr>
            <w:webHidden/>
          </w:rPr>
          <w:instrText xml:space="preserve"> PAGEREF _Toc119584430 \h </w:instrText>
        </w:r>
        <w:r>
          <w:rPr>
            <w:webHidden/>
          </w:rPr>
        </w:r>
        <w:r>
          <w:rPr>
            <w:webHidden/>
          </w:rPr>
          <w:fldChar w:fldCharType="separate"/>
        </w:r>
        <w:r>
          <w:rPr>
            <w:webHidden/>
          </w:rPr>
          <w:t>552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1" w:history="1">
        <w:r w:rsidRPr="008E79CA">
          <w:rPr>
            <w:rStyle w:val="af5"/>
          </w:rPr>
          <w:t>Рисунок 244 – Макет отчета «</w:t>
        </w:r>
        <w:r w:rsidRPr="008E79CA">
          <w:rPr>
            <w:rStyle w:val="af5"/>
            <w:shd w:val="clear" w:color="auto" w:fill="FFFFFF"/>
          </w:rPr>
          <w:t>Реестровые записи общероссийских и федеральных перечней (классификаторов) государственных и муниципальных услуг и работ</w:t>
        </w:r>
        <w:r>
          <w:rPr>
            <w:webHidden/>
          </w:rPr>
          <w:tab/>
        </w:r>
        <w:r>
          <w:rPr>
            <w:webHidden/>
          </w:rPr>
          <w:fldChar w:fldCharType="begin"/>
        </w:r>
        <w:r>
          <w:rPr>
            <w:webHidden/>
          </w:rPr>
          <w:instrText xml:space="preserve"> PAGEREF _Toc119584431 \h </w:instrText>
        </w:r>
        <w:r>
          <w:rPr>
            <w:webHidden/>
          </w:rPr>
        </w:r>
        <w:r>
          <w:rPr>
            <w:webHidden/>
          </w:rPr>
          <w:fldChar w:fldCharType="separate"/>
        </w:r>
        <w:r>
          <w:rPr>
            <w:webHidden/>
          </w:rPr>
          <w:t>554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2" w:history="1">
        <w:r w:rsidRPr="008E79CA">
          <w:rPr>
            <w:rStyle w:val="af5"/>
            <w:rFonts w:eastAsia="Calibri"/>
          </w:rPr>
          <w:t xml:space="preserve">Рисунок </w:t>
        </w:r>
        <w:r w:rsidRPr="008E79CA">
          <w:rPr>
            <w:rStyle w:val="af5"/>
          </w:rPr>
          <w:t>245</w:t>
        </w:r>
        <w:r w:rsidRPr="008E79CA">
          <w:rPr>
            <w:rStyle w:val="af5"/>
            <w:rFonts w:eastAsia="Calibri"/>
          </w:rPr>
          <w:t xml:space="preserve"> – Переход к каталогу «Получатели субсидий»</w:t>
        </w:r>
        <w:r>
          <w:rPr>
            <w:webHidden/>
          </w:rPr>
          <w:tab/>
        </w:r>
        <w:r>
          <w:rPr>
            <w:webHidden/>
          </w:rPr>
          <w:fldChar w:fldCharType="begin"/>
        </w:r>
        <w:r>
          <w:rPr>
            <w:webHidden/>
          </w:rPr>
          <w:instrText xml:space="preserve"> PAGEREF _Toc119584432 \h </w:instrText>
        </w:r>
        <w:r>
          <w:rPr>
            <w:webHidden/>
          </w:rPr>
        </w:r>
        <w:r>
          <w:rPr>
            <w:webHidden/>
          </w:rPr>
          <w:fldChar w:fldCharType="separate"/>
        </w:r>
        <w:r>
          <w:rPr>
            <w:webHidden/>
          </w:rPr>
          <w:t>555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3" w:history="1">
        <w:r w:rsidRPr="008E79CA">
          <w:rPr>
            <w:rStyle w:val="af5"/>
            <w:rFonts w:eastAsia="Calibri"/>
          </w:rPr>
          <w:t xml:space="preserve">Рисунок </w:t>
        </w:r>
        <w:r w:rsidRPr="008E79CA">
          <w:rPr>
            <w:rStyle w:val="af5"/>
          </w:rPr>
          <w:t>246</w:t>
        </w:r>
        <w:r w:rsidRPr="008E79CA">
          <w:rPr>
            <w:rStyle w:val="af5"/>
            <w:rFonts w:eastAsia="Calibri"/>
          </w:rPr>
          <w:t xml:space="preserve"> – Перечень отчетов каталога «Получатели субсидий»</w:t>
        </w:r>
        <w:r>
          <w:rPr>
            <w:webHidden/>
          </w:rPr>
          <w:tab/>
        </w:r>
        <w:r>
          <w:rPr>
            <w:webHidden/>
          </w:rPr>
          <w:fldChar w:fldCharType="begin"/>
        </w:r>
        <w:r>
          <w:rPr>
            <w:webHidden/>
          </w:rPr>
          <w:instrText xml:space="preserve"> PAGEREF _Toc119584433 \h </w:instrText>
        </w:r>
        <w:r>
          <w:rPr>
            <w:webHidden/>
          </w:rPr>
        </w:r>
        <w:r>
          <w:rPr>
            <w:webHidden/>
          </w:rPr>
          <w:fldChar w:fldCharType="separate"/>
        </w:r>
        <w:r>
          <w:rPr>
            <w:webHidden/>
          </w:rPr>
          <w:t>556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4" w:history="1">
        <w:r w:rsidRPr="008E79CA">
          <w:rPr>
            <w:rStyle w:val="af5"/>
            <w:rFonts w:eastAsia="Calibri"/>
          </w:rPr>
          <w:t xml:space="preserve">Рисунок </w:t>
        </w:r>
        <w:r w:rsidRPr="008E79CA">
          <w:rPr>
            <w:rStyle w:val="af5"/>
          </w:rPr>
          <w:t>247</w:t>
        </w:r>
        <w:r w:rsidRPr="008E79CA">
          <w:rPr>
            <w:rStyle w:val="af5"/>
            <w:rFonts w:eastAsia="Calibri"/>
          </w:rPr>
          <w:t xml:space="preserve"> – </w:t>
        </w:r>
        <w:r w:rsidRPr="008E79CA">
          <w:rPr>
            <w:rStyle w:val="af5"/>
          </w:rPr>
          <w:t>Плашка для перехода к отчету «Мониторинг предоставления УФК и загрузки в ПИАО реестров конечных получателей субсидий»</w:t>
        </w:r>
        <w:r>
          <w:rPr>
            <w:webHidden/>
          </w:rPr>
          <w:tab/>
        </w:r>
        <w:r>
          <w:rPr>
            <w:webHidden/>
          </w:rPr>
          <w:fldChar w:fldCharType="begin"/>
        </w:r>
        <w:r>
          <w:rPr>
            <w:webHidden/>
          </w:rPr>
          <w:instrText xml:space="preserve"> PAGEREF _Toc119584434 \h </w:instrText>
        </w:r>
        <w:r>
          <w:rPr>
            <w:webHidden/>
          </w:rPr>
        </w:r>
        <w:r>
          <w:rPr>
            <w:webHidden/>
          </w:rPr>
          <w:fldChar w:fldCharType="separate"/>
        </w:r>
        <w:r>
          <w:rPr>
            <w:webHidden/>
          </w:rPr>
          <w:t>556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5" w:history="1">
        <w:r w:rsidRPr="008E79CA">
          <w:rPr>
            <w:rStyle w:val="af5"/>
          </w:rPr>
          <w:t>Рисунок 248 – Макет отчета «Мониторинг предоставления УФК и загрузки в ПИАО реестров конечных получателей субсидий». Представление «Мониторинг (краткое)»</w:t>
        </w:r>
        <w:r>
          <w:rPr>
            <w:webHidden/>
          </w:rPr>
          <w:tab/>
        </w:r>
        <w:r>
          <w:rPr>
            <w:webHidden/>
          </w:rPr>
          <w:fldChar w:fldCharType="begin"/>
        </w:r>
        <w:r>
          <w:rPr>
            <w:webHidden/>
          </w:rPr>
          <w:instrText xml:space="preserve"> PAGEREF _Toc119584435 \h </w:instrText>
        </w:r>
        <w:r>
          <w:rPr>
            <w:webHidden/>
          </w:rPr>
        </w:r>
        <w:r>
          <w:rPr>
            <w:webHidden/>
          </w:rPr>
          <w:fldChar w:fldCharType="separate"/>
        </w:r>
        <w:r>
          <w:rPr>
            <w:webHidden/>
          </w:rPr>
          <w:t>558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6" w:history="1">
        <w:r w:rsidRPr="008E79CA">
          <w:rPr>
            <w:rStyle w:val="af5"/>
          </w:rPr>
          <w:t>Рисунок 249 – Макет отчета «Мониторинг предоставления УФК и загрузки в ПИАО реестров конечных получателей субсидий». Представление «Мониторинг (расширенное)»</w:t>
        </w:r>
        <w:r>
          <w:rPr>
            <w:webHidden/>
          </w:rPr>
          <w:tab/>
        </w:r>
        <w:r>
          <w:rPr>
            <w:webHidden/>
          </w:rPr>
          <w:fldChar w:fldCharType="begin"/>
        </w:r>
        <w:r>
          <w:rPr>
            <w:webHidden/>
          </w:rPr>
          <w:instrText xml:space="preserve"> PAGEREF _Toc119584436 \h </w:instrText>
        </w:r>
        <w:r>
          <w:rPr>
            <w:webHidden/>
          </w:rPr>
        </w:r>
        <w:r>
          <w:rPr>
            <w:webHidden/>
          </w:rPr>
          <w:fldChar w:fldCharType="separate"/>
        </w:r>
        <w:r>
          <w:rPr>
            <w:webHidden/>
          </w:rPr>
          <w:t>559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7" w:history="1">
        <w:r w:rsidRPr="008E79CA">
          <w:rPr>
            <w:rStyle w:val="af5"/>
          </w:rPr>
          <w:t>Рисунок 250 – Плашка для перехода к отчету «Анализ реестра контрактов и их исполнения»</w:t>
        </w:r>
        <w:r>
          <w:rPr>
            <w:webHidden/>
          </w:rPr>
          <w:tab/>
        </w:r>
        <w:r>
          <w:rPr>
            <w:webHidden/>
          </w:rPr>
          <w:fldChar w:fldCharType="begin"/>
        </w:r>
        <w:r>
          <w:rPr>
            <w:webHidden/>
          </w:rPr>
          <w:instrText xml:space="preserve"> PAGEREF _Toc119584437 \h </w:instrText>
        </w:r>
        <w:r>
          <w:rPr>
            <w:webHidden/>
          </w:rPr>
        </w:r>
        <w:r>
          <w:rPr>
            <w:webHidden/>
          </w:rPr>
          <w:fldChar w:fldCharType="separate"/>
        </w:r>
        <w:r>
          <w:rPr>
            <w:webHidden/>
          </w:rPr>
          <w:t>560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8" w:history="1">
        <w:r w:rsidRPr="008E79CA">
          <w:rPr>
            <w:rStyle w:val="af5"/>
          </w:rPr>
          <w:t>Рисунок 251 – Представление «По способу закупки» отчета «Анализ реестра контрактов и их исполнения»</w:t>
        </w:r>
        <w:r>
          <w:rPr>
            <w:webHidden/>
          </w:rPr>
          <w:tab/>
        </w:r>
        <w:r>
          <w:rPr>
            <w:webHidden/>
          </w:rPr>
          <w:fldChar w:fldCharType="begin"/>
        </w:r>
        <w:r>
          <w:rPr>
            <w:webHidden/>
          </w:rPr>
          <w:instrText xml:space="preserve"> PAGEREF _Toc119584438 \h </w:instrText>
        </w:r>
        <w:r>
          <w:rPr>
            <w:webHidden/>
          </w:rPr>
        </w:r>
        <w:r>
          <w:rPr>
            <w:webHidden/>
          </w:rPr>
          <w:fldChar w:fldCharType="separate"/>
        </w:r>
        <w:r>
          <w:rPr>
            <w:webHidden/>
          </w:rPr>
          <w:t>561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39" w:history="1">
        <w:r w:rsidRPr="008E79CA">
          <w:rPr>
            <w:rStyle w:val="af5"/>
          </w:rPr>
          <w:t>Рисунок 252 – Представление «По организационно-правовой форме» отчета «Анализ реестра контрактов и их исполнения»</w:t>
        </w:r>
        <w:r>
          <w:rPr>
            <w:webHidden/>
          </w:rPr>
          <w:tab/>
        </w:r>
        <w:r>
          <w:rPr>
            <w:webHidden/>
          </w:rPr>
          <w:fldChar w:fldCharType="begin"/>
        </w:r>
        <w:r>
          <w:rPr>
            <w:webHidden/>
          </w:rPr>
          <w:instrText xml:space="preserve"> PAGEREF _Toc119584439 \h </w:instrText>
        </w:r>
        <w:r>
          <w:rPr>
            <w:webHidden/>
          </w:rPr>
        </w:r>
        <w:r>
          <w:rPr>
            <w:webHidden/>
          </w:rPr>
          <w:fldChar w:fldCharType="separate"/>
        </w:r>
        <w:r>
          <w:rPr>
            <w:webHidden/>
          </w:rPr>
          <w:t>561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0" w:history="1">
        <w:r w:rsidRPr="008E79CA">
          <w:rPr>
            <w:rStyle w:val="af5"/>
          </w:rPr>
          <w:t>Рисунок 253 – Парные параметры «Глава» и «Подведомственные учреждения» при выборе федерального уровня бюджета в отчете «Анализ реестра контрактов и их исполнения»</w:t>
        </w:r>
        <w:r>
          <w:rPr>
            <w:webHidden/>
          </w:rPr>
          <w:tab/>
        </w:r>
        <w:r>
          <w:rPr>
            <w:webHidden/>
          </w:rPr>
          <w:fldChar w:fldCharType="begin"/>
        </w:r>
        <w:r>
          <w:rPr>
            <w:webHidden/>
          </w:rPr>
          <w:instrText xml:space="preserve"> PAGEREF _Toc119584440 \h </w:instrText>
        </w:r>
        <w:r>
          <w:rPr>
            <w:webHidden/>
          </w:rPr>
        </w:r>
        <w:r>
          <w:rPr>
            <w:webHidden/>
          </w:rPr>
          <w:fldChar w:fldCharType="separate"/>
        </w:r>
        <w:r>
          <w:rPr>
            <w:webHidden/>
          </w:rPr>
          <w:t>562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1" w:history="1">
        <w:r w:rsidRPr="008E79CA">
          <w:rPr>
            <w:rStyle w:val="af5"/>
          </w:rPr>
          <w:t>Рисунок 254 – Параметр «Субъект» при выборе уровня бюджета субъекта в отчете «Анализ реестра контрактов и их исполнения»</w:t>
        </w:r>
        <w:r>
          <w:rPr>
            <w:webHidden/>
          </w:rPr>
          <w:tab/>
        </w:r>
        <w:r>
          <w:rPr>
            <w:webHidden/>
          </w:rPr>
          <w:fldChar w:fldCharType="begin"/>
        </w:r>
        <w:r>
          <w:rPr>
            <w:webHidden/>
          </w:rPr>
          <w:instrText xml:space="preserve"> PAGEREF _Toc119584441 \h </w:instrText>
        </w:r>
        <w:r>
          <w:rPr>
            <w:webHidden/>
          </w:rPr>
        </w:r>
        <w:r>
          <w:rPr>
            <w:webHidden/>
          </w:rPr>
          <w:fldChar w:fldCharType="separate"/>
        </w:r>
        <w:r>
          <w:rPr>
            <w:webHidden/>
          </w:rPr>
          <w:t>563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2" w:history="1">
        <w:r w:rsidRPr="008E79CA">
          <w:rPr>
            <w:rStyle w:val="af5"/>
          </w:rPr>
          <w:t>Рисунок 255 – Параметр «МО» при выборе муниципального уровня бюджета в отчете «Анализ реестра контрактов и их исполнения»</w:t>
        </w:r>
        <w:r>
          <w:rPr>
            <w:webHidden/>
          </w:rPr>
          <w:tab/>
        </w:r>
        <w:r>
          <w:rPr>
            <w:webHidden/>
          </w:rPr>
          <w:fldChar w:fldCharType="begin"/>
        </w:r>
        <w:r>
          <w:rPr>
            <w:webHidden/>
          </w:rPr>
          <w:instrText xml:space="preserve"> PAGEREF _Toc119584442 \h </w:instrText>
        </w:r>
        <w:r>
          <w:rPr>
            <w:webHidden/>
          </w:rPr>
        </w:r>
        <w:r>
          <w:rPr>
            <w:webHidden/>
          </w:rPr>
          <w:fldChar w:fldCharType="separate"/>
        </w:r>
        <w:r>
          <w:rPr>
            <w:webHidden/>
          </w:rPr>
          <w:t>563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3" w:history="1">
        <w:r w:rsidRPr="008E79CA">
          <w:rPr>
            <w:rStyle w:val="af5"/>
          </w:rPr>
          <w:t>Рисунок 256 – Всплывающее окно для перехода из основного отчета «Анализ реестра контрактов и их исполнения» в отчет-детализацию</w:t>
        </w:r>
        <w:r>
          <w:rPr>
            <w:webHidden/>
          </w:rPr>
          <w:tab/>
        </w:r>
        <w:r>
          <w:rPr>
            <w:webHidden/>
          </w:rPr>
          <w:fldChar w:fldCharType="begin"/>
        </w:r>
        <w:r>
          <w:rPr>
            <w:webHidden/>
          </w:rPr>
          <w:instrText xml:space="preserve"> PAGEREF _Toc119584443 \h </w:instrText>
        </w:r>
        <w:r>
          <w:rPr>
            <w:webHidden/>
          </w:rPr>
        </w:r>
        <w:r>
          <w:rPr>
            <w:webHidden/>
          </w:rPr>
          <w:fldChar w:fldCharType="separate"/>
        </w:r>
        <w:r>
          <w:rPr>
            <w:webHidden/>
          </w:rPr>
          <w:t>564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4" w:history="1">
        <w:r w:rsidRPr="008E79CA">
          <w:rPr>
            <w:rStyle w:val="af5"/>
          </w:rPr>
          <w:t>Рисунок 257 – Осуществленный переход по выбранному способу закупки с автоматически преднастроенными значениями параметров «Субъект РФ», «Дата заключения контракта» и «Способ закупки»</w:t>
        </w:r>
        <w:r>
          <w:rPr>
            <w:webHidden/>
          </w:rPr>
          <w:tab/>
        </w:r>
        <w:r>
          <w:rPr>
            <w:webHidden/>
          </w:rPr>
          <w:fldChar w:fldCharType="begin"/>
        </w:r>
        <w:r>
          <w:rPr>
            <w:webHidden/>
          </w:rPr>
          <w:instrText xml:space="preserve"> PAGEREF _Toc119584444 \h </w:instrText>
        </w:r>
        <w:r>
          <w:rPr>
            <w:webHidden/>
          </w:rPr>
        </w:r>
        <w:r>
          <w:rPr>
            <w:webHidden/>
          </w:rPr>
          <w:fldChar w:fldCharType="separate"/>
        </w:r>
        <w:r>
          <w:rPr>
            <w:webHidden/>
          </w:rPr>
          <w:t>565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5" w:history="1">
        <w:r w:rsidRPr="008E79CA">
          <w:rPr>
            <w:rStyle w:val="af5"/>
          </w:rPr>
          <w:t>Рисунок 258 – Отчет «Анализ реестра контрактов и их исполнения (детализация)»</w:t>
        </w:r>
        <w:r>
          <w:rPr>
            <w:webHidden/>
          </w:rPr>
          <w:tab/>
        </w:r>
        <w:r>
          <w:rPr>
            <w:webHidden/>
          </w:rPr>
          <w:fldChar w:fldCharType="begin"/>
        </w:r>
        <w:r>
          <w:rPr>
            <w:webHidden/>
          </w:rPr>
          <w:instrText xml:space="preserve"> PAGEREF _Toc119584445 \h </w:instrText>
        </w:r>
        <w:r>
          <w:rPr>
            <w:webHidden/>
          </w:rPr>
        </w:r>
        <w:r>
          <w:rPr>
            <w:webHidden/>
          </w:rPr>
          <w:fldChar w:fldCharType="separate"/>
        </w:r>
        <w:r>
          <w:rPr>
            <w:webHidden/>
          </w:rPr>
          <w:t>566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6" w:history="1">
        <w:r w:rsidRPr="008E79CA">
          <w:rPr>
            <w:rStyle w:val="af5"/>
          </w:rPr>
          <w:t>Рисунок 259 – Расширенный набор фильтров отчета «Анализ реестра контрактов и их исполнения (детализация)»</w:t>
        </w:r>
        <w:r>
          <w:rPr>
            <w:webHidden/>
          </w:rPr>
          <w:tab/>
        </w:r>
        <w:r>
          <w:rPr>
            <w:webHidden/>
          </w:rPr>
          <w:fldChar w:fldCharType="begin"/>
        </w:r>
        <w:r>
          <w:rPr>
            <w:webHidden/>
          </w:rPr>
          <w:instrText xml:space="preserve"> PAGEREF _Toc119584446 \h </w:instrText>
        </w:r>
        <w:r>
          <w:rPr>
            <w:webHidden/>
          </w:rPr>
        </w:r>
        <w:r>
          <w:rPr>
            <w:webHidden/>
          </w:rPr>
          <w:fldChar w:fldCharType="separate"/>
        </w:r>
        <w:r>
          <w:rPr>
            <w:webHidden/>
          </w:rPr>
          <w:t>567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7" w:history="1">
        <w:r w:rsidRPr="008E79CA">
          <w:rPr>
            <w:rStyle w:val="af5"/>
          </w:rPr>
          <w:t>Рисунок 260 – Парные параметры «Глава» и «Подведомственные учреждения» при выборе федерального уровня бюджета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_Toc119584447 \h </w:instrText>
        </w:r>
        <w:r>
          <w:rPr>
            <w:webHidden/>
          </w:rPr>
        </w:r>
        <w:r>
          <w:rPr>
            <w:webHidden/>
          </w:rPr>
          <w:fldChar w:fldCharType="separate"/>
        </w:r>
        <w:r>
          <w:rPr>
            <w:webHidden/>
          </w:rPr>
          <w:t>567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8" w:history="1">
        <w:r w:rsidRPr="008E79CA">
          <w:rPr>
            <w:rStyle w:val="af5"/>
          </w:rPr>
          <w:t>Рисунок 261 – Параметр «Субъект» при выборе уровня бюджета субъекта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_Toc119584448 \h </w:instrText>
        </w:r>
        <w:r>
          <w:rPr>
            <w:webHidden/>
          </w:rPr>
        </w:r>
        <w:r>
          <w:rPr>
            <w:webHidden/>
          </w:rPr>
          <w:fldChar w:fldCharType="separate"/>
        </w:r>
        <w:r>
          <w:rPr>
            <w:webHidden/>
          </w:rPr>
          <w:t>568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49" w:history="1">
        <w:r w:rsidRPr="008E79CA">
          <w:rPr>
            <w:rStyle w:val="af5"/>
          </w:rPr>
          <w:t>Рисунок 262 – Параметр «МО» при выборе муниципального уровня бюджета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_Toc119584449 \h </w:instrText>
        </w:r>
        <w:r>
          <w:rPr>
            <w:webHidden/>
          </w:rPr>
        </w:r>
        <w:r>
          <w:rPr>
            <w:webHidden/>
          </w:rPr>
          <w:fldChar w:fldCharType="separate"/>
        </w:r>
        <w:r>
          <w:rPr>
            <w:webHidden/>
          </w:rPr>
          <w:t>568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0" w:history="1">
        <w:r w:rsidRPr="008E79CA">
          <w:rPr>
            <w:rStyle w:val="af5"/>
          </w:rPr>
          <w:t>Рисунок 263 – Ссылочное поле «Исполнено» для перехода из детализации первого уровня «Анализ реестра контрактов и их исполнения (детализация)» детализацию второго уровня «Информация об исполнении контракта»</w:t>
        </w:r>
        <w:r>
          <w:rPr>
            <w:webHidden/>
          </w:rPr>
          <w:tab/>
        </w:r>
        <w:r>
          <w:rPr>
            <w:webHidden/>
          </w:rPr>
          <w:fldChar w:fldCharType="begin"/>
        </w:r>
        <w:r>
          <w:rPr>
            <w:webHidden/>
          </w:rPr>
          <w:instrText xml:space="preserve"> PAGEREF _Toc119584450 \h </w:instrText>
        </w:r>
        <w:r>
          <w:rPr>
            <w:webHidden/>
          </w:rPr>
        </w:r>
        <w:r>
          <w:rPr>
            <w:webHidden/>
          </w:rPr>
          <w:fldChar w:fldCharType="separate"/>
        </w:r>
        <w:r>
          <w:rPr>
            <w:webHidden/>
          </w:rPr>
          <w:t>569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1" w:history="1">
        <w:r w:rsidRPr="008E79CA">
          <w:rPr>
            <w:rStyle w:val="af5"/>
          </w:rPr>
          <w:t>Рисунок 264 – Ссылочные поля «Код ГРБС», «РзПр», «КЦСР», «КВР» для перехода из детализации первого уровня «Анализ реестра контрактов и их исполнения (детализация)» детализацию второго уровня «Информация об исполнении контракта»</w:t>
        </w:r>
        <w:r>
          <w:rPr>
            <w:webHidden/>
          </w:rPr>
          <w:tab/>
        </w:r>
        <w:r>
          <w:rPr>
            <w:webHidden/>
          </w:rPr>
          <w:fldChar w:fldCharType="begin"/>
        </w:r>
        <w:r>
          <w:rPr>
            <w:webHidden/>
          </w:rPr>
          <w:instrText xml:space="preserve"> PAGEREF _Toc119584451 \h </w:instrText>
        </w:r>
        <w:r>
          <w:rPr>
            <w:webHidden/>
          </w:rPr>
        </w:r>
        <w:r>
          <w:rPr>
            <w:webHidden/>
          </w:rPr>
          <w:fldChar w:fldCharType="separate"/>
        </w:r>
        <w:r>
          <w:rPr>
            <w:webHidden/>
          </w:rPr>
          <w:t>570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2" w:history="1">
        <w:r w:rsidRPr="008E79CA">
          <w:rPr>
            <w:rStyle w:val="af5"/>
          </w:rPr>
          <w:t>Рисунок 265 – Представление «Информация об исполнении контракта в разрезе этапов» отчета «Информация об исполнении контракта»</w:t>
        </w:r>
        <w:r>
          <w:rPr>
            <w:webHidden/>
          </w:rPr>
          <w:tab/>
        </w:r>
        <w:r>
          <w:rPr>
            <w:webHidden/>
          </w:rPr>
          <w:fldChar w:fldCharType="begin"/>
        </w:r>
        <w:r>
          <w:rPr>
            <w:webHidden/>
          </w:rPr>
          <w:instrText xml:space="preserve"> PAGEREF _Toc119584452 \h </w:instrText>
        </w:r>
        <w:r>
          <w:rPr>
            <w:webHidden/>
          </w:rPr>
        </w:r>
        <w:r>
          <w:rPr>
            <w:webHidden/>
          </w:rPr>
          <w:fldChar w:fldCharType="separate"/>
        </w:r>
        <w:r>
          <w:rPr>
            <w:webHidden/>
          </w:rPr>
          <w:t>570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3" w:history="1">
        <w:r w:rsidRPr="008E79CA">
          <w:rPr>
            <w:rStyle w:val="af5"/>
          </w:rPr>
          <w:t>Рисунок 266 – Представление «Информация об исполнении контракта в разрезе этапов» отчета «Информация об исполнении контракта»</w:t>
        </w:r>
        <w:r>
          <w:rPr>
            <w:webHidden/>
          </w:rPr>
          <w:tab/>
        </w:r>
        <w:r>
          <w:rPr>
            <w:webHidden/>
          </w:rPr>
          <w:fldChar w:fldCharType="begin"/>
        </w:r>
        <w:r>
          <w:rPr>
            <w:webHidden/>
          </w:rPr>
          <w:instrText xml:space="preserve"> PAGEREF _Toc119584453 \h </w:instrText>
        </w:r>
        <w:r>
          <w:rPr>
            <w:webHidden/>
          </w:rPr>
        </w:r>
        <w:r>
          <w:rPr>
            <w:webHidden/>
          </w:rPr>
          <w:fldChar w:fldCharType="separate"/>
        </w:r>
        <w:r>
          <w:rPr>
            <w:webHidden/>
          </w:rPr>
          <w:t>571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4" w:history="1">
        <w:r w:rsidRPr="008E79CA">
          <w:rPr>
            <w:rStyle w:val="af5"/>
          </w:rPr>
          <w:t>Рисунок 267 – Формат отображения расходов с разными КБК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_Toc119584454 \h </w:instrText>
        </w:r>
        <w:r>
          <w:rPr>
            <w:webHidden/>
          </w:rPr>
        </w:r>
        <w:r>
          <w:rPr>
            <w:webHidden/>
          </w:rPr>
          <w:fldChar w:fldCharType="separate"/>
        </w:r>
        <w:r>
          <w:rPr>
            <w:webHidden/>
          </w:rPr>
          <w:t>572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5" w:history="1">
        <w:r w:rsidRPr="008E79CA">
          <w:rPr>
            <w:rStyle w:val="af5"/>
          </w:rPr>
          <w:t>Рисунок 268 – Формат отображения расходов с разными КБК в представлении «Информация о финансировании контракта в разрезе КБК» отчета «Информация об исполнении контрактов»</w:t>
        </w:r>
        <w:r>
          <w:rPr>
            <w:webHidden/>
          </w:rPr>
          <w:tab/>
        </w:r>
        <w:r>
          <w:rPr>
            <w:webHidden/>
          </w:rPr>
          <w:fldChar w:fldCharType="begin"/>
        </w:r>
        <w:r>
          <w:rPr>
            <w:webHidden/>
          </w:rPr>
          <w:instrText xml:space="preserve"> PAGEREF _Toc119584455 \h </w:instrText>
        </w:r>
        <w:r>
          <w:rPr>
            <w:webHidden/>
          </w:rPr>
        </w:r>
        <w:r>
          <w:rPr>
            <w:webHidden/>
          </w:rPr>
          <w:fldChar w:fldCharType="separate"/>
        </w:r>
        <w:r>
          <w:rPr>
            <w:webHidden/>
          </w:rPr>
          <w:t>572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6" w:history="1">
        <w:r w:rsidRPr="008E79CA">
          <w:rPr>
            <w:rStyle w:val="af5"/>
          </w:rPr>
          <w:t>Рисунок 269 – Основное представление отчета «Планирование в сфере закупок»</w:t>
        </w:r>
        <w:r>
          <w:rPr>
            <w:webHidden/>
          </w:rPr>
          <w:tab/>
        </w:r>
        <w:r>
          <w:rPr>
            <w:webHidden/>
          </w:rPr>
          <w:fldChar w:fldCharType="begin"/>
        </w:r>
        <w:r>
          <w:rPr>
            <w:webHidden/>
          </w:rPr>
          <w:instrText xml:space="preserve"> PAGEREF _Toc119584456 \h </w:instrText>
        </w:r>
        <w:r>
          <w:rPr>
            <w:webHidden/>
          </w:rPr>
        </w:r>
        <w:r>
          <w:rPr>
            <w:webHidden/>
          </w:rPr>
          <w:fldChar w:fldCharType="separate"/>
        </w:r>
        <w:r>
          <w:rPr>
            <w:webHidden/>
          </w:rPr>
          <w:t>573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7" w:history="1">
        <w:r w:rsidRPr="008E79CA">
          <w:rPr>
            <w:rStyle w:val="af5"/>
          </w:rPr>
          <w:t>Рисунок 270 – Парные параметры «Глава» и «Подведомственные учреждения» при выборе федерального уровня бюджета</w:t>
        </w:r>
        <w:r>
          <w:rPr>
            <w:webHidden/>
          </w:rPr>
          <w:tab/>
        </w:r>
        <w:r>
          <w:rPr>
            <w:webHidden/>
          </w:rPr>
          <w:fldChar w:fldCharType="begin"/>
        </w:r>
        <w:r>
          <w:rPr>
            <w:webHidden/>
          </w:rPr>
          <w:instrText xml:space="preserve"> PAGEREF _Toc119584457 \h </w:instrText>
        </w:r>
        <w:r>
          <w:rPr>
            <w:webHidden/>
          </w:rPr>
        </w:r>
        <w:r>
          <w:rPr>
            <w:webHidden/>
          </w:rPr>
          <w:fldChar w:fldCharType="separate"/>
        </w:r>
        <w:r>
          <w:rPr>
            <w:webHidden/>
          </w:rPr>
          <w:t>574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8" w:history="1">
        <w:r w:rsidRPr="008E79CA">
          <w:rPr>
            <w:rStyle w:val="af5"/>
          </w:rPr>
          <w:t>Рисунок 271 – Параметр «Субъект» при выборе уровня бюджета субъекта</w:t>
        </w:r>
        <w:r>
          <w:rPr>
            <w:webHidden/>
          </w:rPr>
          <w:tab/>
        </w:r>
        <w:r>
          <w:rPr>
            <w:webHidden/>
          </w:rPr>
          <w:fldChar w:fldCharType="begin"/>
        </w:r>
        <w:r>
          <w:rPr>
            <w:webHidden/>
          </w:rPr>
          <w:instrText xml:space="preserve"> PAGEREF _Toc119584458 \h </w:instrText>
        </w:r>
        <w:r>
          <w:rPr>
            <w:webHidden/>
          </w:rPr>
        </w:r>
        <w:r>
          <w:rPr>
            <w:webHidden/>
          </w:rPr>
          <w:fldChar w:fldCharType="separate"/>
        </w:r>
        <w:r>
          <w:rPr>
            <w:webHidden/>
          </w:rPr>
          <w:t>574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59" w:history="1">
        <w:r w:rsidRPr="008E79CA">
          <w:rPr>
            <w:rStyle w:val="af5"/>
          </w:rPr>
          <w:t>Рисунок 272 – Параметр «МО» при выборе муниципального уровня бюджета</w:t>
        </w:r>
        <w:r>
          <w:rPr>
            <w:webHidden/>
          </w:rPr>
          <w:tab/>
        </w:r>
        <w:r>
          <w:rPr>
            <w:webHidden/>
          </w:rPr>
          <w:fldChar w:fldCharType="begin"/>
        </w:r>
        <w:r>
          <w:rPr>
            <w:webHidden/>
          </w:rPr>
          <w:instrText xml:space="preserve"> PAGEREF _Toc119584459 \h </w:instrText>
        </w:r>
        <w:r>
          <w:rPr>
            <w:webHidden/>
          </w:rPr>
        </w:r>
        <w:r>
          <w:rPr>
            <w:webHidden/>
          </w:rPr>
          <w:fldChar w:fldCharType="separate"/>
        </w:r>
        <w:r>
          <w:rPr>
            <w:webHidden/>
          </w:rPr>
          <w:t>575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0" w:history="1">
        <w:r w:rsidRPr="008E79CA">
          <w:rPr>
            <w:rStyle w:val="af5"/>
          </w:rPr>
          <w:t>Рисунок 273 – Всплывающее окно для перехода из основного отчета «Планирование в сфере закупок» в отчет-детализацию</w:t>
        </w:r>
        <w:r>
          <w:rPr>
            <w:webHidden/>
          </w:rPr>
          <w:tab/>
        </w:r>
        <w:r>
          <w:rPr>
            <w:webHidden/>
          </w:rPr>
          <w:fldChar w:fldCharType="begin"/>
        </w:r>
        <w:r>
          <w:rPr>
            <w:webHidden/>
          </w:rPr>
          <w:instrText xml:space="preserve"> PAGEREF _Toc119584460 \h </w:instrText>
        </w:r>
        <w:r>
          <w:rPr>
            <w:webHidden/>
          </w:rPr>
        </w:r>
        <w:r>
          <w:rPr>
            <w:webHidden/>
          </w:rPr>
          <w:fldChar w:fldCharType="separate"/>
        </w:r>
        <w:r>
          <w:rPr>
            <w:webHidden/>
          </w:rPr>
          <w:t>576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1" w:history="1">
        <w:r w:rsidRPr="008E79CA">
          <w:rPr>
            <w:rStyle w:val="af5"/>
          </w:rPr>
          <w:t>Рисунок 274 – Осуществленный переход по выбранному способу закупки с автоматически преднастроенными значениями параметров «Субъект РФ», «Год ПГЗ» и «Организационно-правовая форма»</w:t>
        </w:r>
        <w:r>
          <w:rPr>
            <w:webHidden/>
          </w:rPr>
          <w:tab/>
        </w:r>
        <w:r>
          <w:rPr>
            <w:webHidden/>
          </w:rPr>
          <w:fldChar w:fldCharType="begin"/>
        </w:r>
        <w:r>
          <w:rPr>
            <w:webHidden/>
          </w:rPr>
          <w:instrText xml:space="preserve"> PAGEREF _Toc119584461 \h </w:instrText>
        </w:r>
        <w:r>
          <w:rPr>
            <w:webHidden/>
          </w:rPr>
        </w:r>
        <w:r>
          <w:rPr>
            <w:webHidden/>
          </w:rPr>
          <w:fldChar w:fldCharType="separate"/>
        </w:r>
        <w:r>
          <w:rPr>
            <w:webHidden/>
          </w:rPr>
          <w:t>577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2" w:history="1">
        <w:r w:rsidRPr="008E79CA">
          <w:rPr>
            <w:rStyle w:val="af5"/>
          </w:rPr>
          <w:t>Рисунок 275 – Отчет «Планирование в сфере закупок (детализация)»</w:t>
        </w:r>
        <w:r>
          <w:rPr>
            <w:webHidden/>
          </w:rPr>
          <w:tab/>
        </w:r>
        <w:r>
          <w:rPr>
            <w:webHidden/>
          </w:rPr>
          <w:fldChar w:fldCharType="begin"/>
        </w:r>
        <w:r>
          <w:rPr>
            <w:webHidden/>
          </w:rPr>
          <w:instrText xml:space="preserve"> PAGEREF _Toc119584462 \h </w:instrText>
        </w:r>
        <w:r>
          <w:rPr>
            <w:webHidden/>
          </w:rPr>
        </w:r>
        <w:r>
          <w:rPr>
            <w:webHidden/>
          </w:rPr>
          <w:fldChar w:fldCharType="separate"/>
        </w:r>
        <w:r>
          <w:rPr>
            <w:webHidden/>
          </w:rPr>
          <w:t>578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3" w:history="1">
        <w:r w:rsidRPr="008E79CA">
          <w:rPr>
            <w:rStyle w:val="af5"/>
          </w:rPr>
          <w:t>Рисунок 276 – Макет отчета «Мониторинговый отчет о контрактах в разрезе БО». «По контрактам ЕИС-По контрактам»</w:t>
        </w:r>
        <w:r>
          <w:rPr>
            <w:webHidden/>
          </w:rPr>
          <w:tab/>
        </w:r>
        <w:r>
          <w:rPr>
            <w:webHidden/>
          </w:rPr>
          <w:fldChar w:fldCharType="begin"/>
        </w:r>
        <w:r>
          <w:rPr>
            <w:webHidden/>
          </w:rPr>
          <w:instrText xml:space="preserve"> PAGEREF _Toc119584463 \h </w:instrText>
        </w:r>
        <w:r>
          <w:rPr>
            <w:webHidden/>
          </w:rPr>
        </w:r>
        <w:r>
          <w:rPr>
            <w:webHidden/>
          </w:rPr>
          <w:fldChar w:fldCharType="separate"/>
        </w:r>
        <w:r>
          <w:rPr>
            <w:webHidden/>
          </w:rPr>
          <w:t>582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4" w:history="1">
        <w:r w:rsidRPr="008E79CA">
          <w:rPr>
            <w:rStyle w:val="af5"/>
          </w:rPr>
          <w:t>Рисунок 277 – Макет отчета «Мониторинговый отчет о контрактах в разрезе БО». «По контрактам ЕИС-По бюджетным обязательствам»</w:t>
        </w:r>
        <w:r>
          <w:rPr>
            <w:webHidden/>
          </w:rPr>
          <w:tab/>
        </w:r>
        <w:r>
          <w:rPr>
            <w:webHidden/>
          </w:rPr>
          <w:fldChar w:fldCharType="begin"/>
        </w:r>
        <w:r>
          <w:rPr>
            <w:webHidden/>
          </w:rPr>
          <w:instrText xml:space="preserve"> PAGEREF _Toc119584464 \h </w:instrText>
        </w:r>
        <w:r>
          <w:rPr>
            <w:webHidden/>
          </w:rPr>
        </w:r>
        <w:r>
          <w:rPr>
            <w:webHidden/>
          </w:rPr>
          <w:fldChar w:fldCharType="separate"/>
        </w:r>
        <w:r>
          <w:rPr>
            <w:webHidden/>
          </w:rPr>
          <w:t>585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5" w:history="1">
        <w:r w:rsidRPr="008E79CA">
          <w:rPr>
            <w:rStyle w:val="af5"/>
          </w:rPr>
          <w:t>Рисунок 278 – Макет отчета «Мониторинговый отчет о контрактах в разрезе БО». «По малым закупкам»</w:t>
        </w:r>
        <w:r>
          <w:rPr>
            <w:webHidden/>
          </w:rPr>
          <w:tab/>
        </w:r>
        <w:r>
          <w:rPr>
            <w:webHidden/>
          </w:rPr>
          <w:fldChar w:fldCharType="begin"/>
        </w:r>
        <w:r>
          <w:rPr>
            <w:webHidden/>
          </w:rPr>
          <w:instrText xml:space="preserve"> PAGEREF _Toc119584465 \h </w:instrText>
        </w:r>
        <w:r>
          <w:rPr>
            <w:webHidden/>
          </w:rPr>
        </w:r>
        <w:r>
          <w:rPr>
            <w:webHidden/>
          </w:rPr>
          <w:fldChar w:fldCharType="separate"/>
        </w:r>
        <w:r>
          <w:rPr>
            <w:webHidden/>
          </w:rPr>
          <w:t>588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6" w:history="1">
        <w:r w:rsidRPr="008E79CA">
          <w:rPr>
            <w:rStyle w:val="af5"/>
          </w:rPr>
          <w:t>Рисунок 279 – Кнопка обновления данных на панели параметров отчета «Анализ реестра контрактов и их исполнения (детализация)»</w:t>
        </w:r>
        <w:r>
          <w:rPr>
            <w:webHidden/>
          </w:rPr>
          <w:tab/>
        </w:r>
        <w:r>
          <w:rPr>
            <w:webHidden/>
          </w:rPr>
          <w:fldChar w:fldCharType="begin"/>
        </w:r>
        <w:r>
          <w:rPr>
            <w:webHidden/>
          </w:rPr>
          <w:instrText xml:space="preserve"> PAGEREF _Toc119584466 \h </w:instrText>
        </w:r>
        <w:r>
          <w:rPr>
            <w:webHidden/>
          </w:rPr>
        </w:r>
        <w:r>
          <w:rPr>
            <w:webHidden/>
          </w:rPr>
          <w:fldChar w:fldCharType="separate"/>
        </w:r>
        <w:r>
          <w:rPr>
            <w:webHidden/>
          </w:rPr>
          <w:t>588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7" w:history="1">
        <w:r w:rsidRPr="008E79CA">
          <w:rPr>
            <w:rStyle w:val="af5"/>
          </w:rPr>
          <w:t>Рисунок 280 – Фильтр «Организационно-правовая форма» в отчете «Анализ реестра контрактов и их исполнения»</w:t>
        </w:r>
        <w:r>
          <w:rPr>
            <w:webHidden/>
          </w:rPr>
          <w:tab/>
        </w:r>
        <w:r>
          <w:rPr>
            <w:webHidden/>
          </w:rPr>
          <w:fldChar w:fldCharType="begin"/>
        </w:r>
        <w:r>
          <w:rPr>
            <w:webHidden/>
          </w:rPr>
          <w:instrText xml:space="preserve"> PAGEREF _Toc119584467 \h </w:instrText>
        </w:r>
        <w:r>
          <w:rPr>
            <w:webHidden/>
          </w:rPr>
        </w:r>
        <w:r>
          <w:rPr>
            <w:webHidden/>
          </w:rPr>
          <w:fldChar w:fldCharType="separate"/>
        </w:r>
        <w:r>
          <w:rPr>
            <w:webHidden/>
          </w:rPr>
          <w:t>589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8" w:history="1">
        <w:r w:rsidRPr="008E79CA">
          <w:rPr>
            <w:rStyle w:val="af5"/>
          </w:rPr>
          <w:t>Рисунок 281 – Фильтр «Организационно-правовая форма» в отчете «Планирование в сфере закупок»</w:t>
        </w:r>
        <w:r>
          <w:rPr>
            <w:webHidden/>
          </w:rPr>
          <w:tab/>
        </w:r>
        <w:r>
          <w:rPr>
            <w:webHidden/>
          </w:rPr>
          <w:fldChar w:fldCharType="begin"/>
        </w:r>
        <w:r>
          <w:rPr>
            <w:webHidden/>
          </w:rPr>
          <w:instrText xml:space="preserve"> PAGEREF _Toc119584468 \h </w:instrText>
        </w:r>
        <w:r>
          <w:rPr>
            <w:webHidden/>
          </w:rPr>
        </w:r>
        <w:r>
          <w:rPr>
            <w:webHidden/>
          </w:rPr>
          <w:fldChar w:fldCharType="separate"/>
        </w:r>
        <w:r>
          <w:rPr>
            <w:webHidden/>
          </w:rPr>
          <w:t>590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69" w:history="1">
        <w:r w:rsidRPr="008E79CA">
          <w:rPr>
            <w:rStyle w:val="af5"/>
          </w:rPr>
          <w:t>Рисунок 282 – Результат работы фильтра «Организационно-правовая форма»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_Toc119584469 \h </w:instrText>
        </w:r>
        <w:r>
          <w:rPr>
            <w:webHidden/>
          </w:rPr>
        </w:r>
        <w:r>
          <w:rPr>
            <w:webHidden/>
          </w:rPr>
          <w:fldChar w:fldCharType="separate"/>
        </w:r>
        <w:r>
          <w:rPr>
            <w:webHidden/>
          </w:rPr>
          <w:t>590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0" w:history="1">
        <w:r w:rsidRPr="008E79CA">
          <w:rPr>
            <w:rStyle w:val="af5"/>
          </w:rPr>
          <w:t>Рисунок 283 – Результат работы фильтра «Организационно-правовая форма» в отчете «Планирование в сфере закупок (детализация)»</w:t>
        </w:r>
        <w:r>
          <w:rPr>
            <w:webHidden/>
          </w:rPr>
          <w:tab/>
        </w:r>
        <w:r>
          <w:rPr>
            <w:webHidden/>
          </w:rPr>
          <w:fldChar w:fldCharType="begin"/>
        </w:r>
        <w:r>
          <w:rPr>
            <w:webHidden/>
          </w:rPr>
          <w:instrText xml:space="preserve"> PAGEREF _Toc119584470 \h </w:instrText>
        </w:r>
        <w:r>
          <w:rPr>
            <w:webHidden/>
          </w:rPr>
        </w:r>
        <w:r>
          <w:rPr>
            <w:webHidden/>
          </w:rPr>
          <w:fldChar w:fldCharType="separate"/>
        </w:r>
        <w:r>
          <w:rPr>
            <w:webHidden/>
          </w:rPr>
          <w:t>591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1" w:history="1">
        <w:r w:rsidRPr="008E79CA">
          <w:rPr>
            <w:rStyle w:val="af5"/>
          </w:rPr>
          <w:t>Рисунок 284 – Парные фильтры «Глава» и «Подведомственные учреждения» в отчете «Анализ реестра контрактов и их исполнения»</w:t>
        </w:r>
        <w:r>
          <w:rPr>
            <w:webHidden/>
          </w:rPr>
          <w:tab/>
        </w:r>
        <w:r>
          <w:rPr>
            <w:webHidden/>
          </w:rPr>
          <w:fldChar w:fldCharType="begin"/>
        </w:r>
        <w:r>
          <w:rPr>
            <w:webHidden/>
          </w:rPr>
          <w:instrText xml:space="preserve"> PAGEREF _Toc119584471 \h </w:instrText>
        </w:r>
        <w:r>
          <w:rPr>
            <w:webHidden/>
          </w:rPr>
        </w:r>
        <w:r>
          <w:rPr>
            <w:webHidden/>
          </w:rPr>
          <w:fldChar w:fldCharType="separate"/>
        </w:r>
        <w:r>
          <w:rPr>
            <w:webHidden/>
          </w:rPr>
          <w:t>592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2" w:history="1">
        <w:r w:rsidRPr="008E79CA">
          <w:rPr>
            <w:rStyle w:val="af5"/>
          </w:rPr>
          <w:t>Рисунок 285 – Парные фильтры «Глава» и «Подведомственные учреждения» в отчете «Планирование в сфере закупок»</w:t>
        </w:r>
        <w:r>
          <w:rPr>
            <w:webHidden/>
          </w:rPr>
          <w:tab/>
        </w:r>
        <w:r>
          <w:rPr>
            <w:webHidden/>
          </w:rPr>
          <w:fldChar w:fldCharType="begin"/>
        </w:r>
        <w:r>
          <w:rPr>
            <w:webHidden/>
          </w:rPr>
          <w:instrText xml:space="preserve"> PAGEREF _Toc119584472 \h </w:instrText>
        </w:r>
        <w:r>
          <w:rPr>
            <w:webHidden/>
          </w:rPr>
        </w:r>
        <w:r>
          <w:rPr>
            <w:webHidden/>
          </w:rPr>
          <w:fldChar w:fldCharType="separate"/>
        </w:r>
        <w:r>
          <w:rPr>
            <w:webHidden/>
          </w:rPr>
          <w:t>592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3" w:history="1">
        <w:r w:rsidRPr="008E79CA">
          <w:rPr>
            <w:rStyle w:val="af5"/>
          </w:rPr>
          <w:t>Рисунок 286 – Результат работы парных фильтров «Глава» и «Подведомственное учреждение»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_Toc119584473 \h </w:instrText>
        </w:r>
        <w:r>
          <w:rPr>
            <w:webHidden/>
          </w:rPr>
        </w:r>
        <w:r>
          <w:rPr>
            <w:webHidden/>
          </w:rPr>
          <w:fldChar w:fldCharType="separate"/>
        </w:r>
        <w:r>
          <w:rPr>
            <w:webHidden/>
          </w:rPr>
          <w:t>593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4" w:history="1">
        <w:r w:rsidRPr="008E79CA">
          <w:rPr>
            <w:rStyle w:val="af5"/>
          </w:rPr>
          <w:t>Рисунок 287 – Результат работы парных фильтров «Глава» и «Подведомственное учреждение» в отчете «Планирование в сфере закупок (детализация)»</w:t>
        </w:r>
        <w:r>
          <w:rPr>
            <w:webHidden/>
          </w:rPr>
          <w:tab/>
        </w:r>
        <w:r>
          <w:rPr>
            <w:webHidden/>
          </w:rPr>
          <w:fldChar w:fldCharType="begin"/>
        </w:r>
        <w:r>
          <w:rPr>
            <w:webHidden/>
          </w:rPr>
          <w:instrText xml:space="preserve"> PAGEREF _Toc119584474 \h </w:instrText>
        </w:r>
        <w:r>
          <w:rPr>
            <w:webHidden/>
          </w:rPr>
        </w:r>
        <w:r>
          <w:rPr>
            <w:webHidden/>
          </w:rPr>
          <w:fldChar w:fldCharType="separate"/>
        </w:r>
        <w:r>
          <w:rPr>
            <w:webHidden/>
          </w:rPr>
          <w:t>594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5" w:history="1">
        <w:r w:rsidRPr="008E79CA">
          <w:rPr>
            <w:rStyle w:val="af5"/>
          </w:rPr>
          <w:t>Рисунок 288 – Фильтр «Субъект РФ» для основного отчета «Анализ реестра контрактов и их исполнения»</w:t>
        </w:r>
        <w:r>
          <w:rPr>
            <w:webHidden/>
          </w:rPr>
          <w:tab/>
        </w:r>
        <w:r>
          <w:rPr>
            <w:webHidden/>
          </w:rPr>
          <w:fldChar w:fldCharType="begin"/>
        </w:r>
        <w:r>
          <w:rPr>
            <w:webHidden/>
          </w:rPr>
          <w:instrText xml:space="preserve"> PAGEREF _Toc119584475 \h </w:instrText>
        </w:r>
        <w:r>
          <w:rPr>
            <w:webHidden/>
          </w:rPr>
        </w:r>
        <w:r>
          <w:rPr>
            <w:webHidden/>
          </w:rPr>
          <w:fldChar w:fldCharType="separate"/>
        </w:r>
        <w:r>
          <w:rPr>
            <w:webHidden/>
          </w:rPr>
          <w:t>595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6" w:history="1">
        <w:r w:rsidRPr="008E79CA">
          <w:rPr>
            <w:rStyle w:val="af5"/>
          </w:rPr>
          <w:t>Рисунок 289 – Фильтр «Субъект РФ» для основного отчета «Планирование в сфере закупок»</w:t>
        </w:r>
        <w:r>
          <w:rPr>
            <w:webHidden/>
          </w:rPr>
          <w:tab/>
        </w:r>
        <w:r>
          <w:rPr>
            <w:webHidden/>
          </w:rPr>
          <w:fldChar w:fldCharType="begin"/>
        </w:r>
        <w:r>
          <w:rPr>
            <w:webHidden/>
          </w:rPr>
          <w:instrText xml:space="preserve"> PAGEREF _Toc119584476 \h </w:instrText>
        </w:r>
        <w:r>
          <w:rPr>
            <w:webHidden/>
          </w:rPr>
        </w:r>
        <w:r>
          <w:rPr>
            <w:webHidden/>
          </w:rPr>
          <w:fldChar w:fldCharType="separate"/>
        </w:r>
        <w:r>
          <w:rPr>
            <w:webHidden/>
          </w:rPr>
          <w:t>595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7" w:history="1">
        <w:r w:rsidRPr="008E79CA">
          <w:rPr>
            <w:rStyle w:val="af5"/>
          </w:rPr>
          <w:t>Рисунок 290 – Результат работы фильтра «Субъект РФ»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_Toc119584477 \h </w:instrText>
        </w:r>
        <w:r>
          <w:rPr>
            <w:webHidden/>
          </w:rPr>
        </w:r>
        <w:r>
          <w:rPr>
            <w:webHidden/>
          </w:rPr>
          <w:fldChar w:fldCharType="separate"/>
        </w:r>
        <w:r>
          <w:rPr>
            <w:webHidden/>
          </w:rPr>
          <w:t>596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8" w:history="1">
        <w:r w:rsidRPr="008E79CA">
          <w:rPr>
            <w:rStyle w:val="af5"/>
          </w:rPr>
          <w:t>Рисунок 291 – Результат работы фильтра «Субъект РФ» в отчете «Планирование в сфере закупок (детализация)»</w:t>
        </w:r>
        <w:r>
          <w:rPr>
            <w:webHidden/>
          </w:rPr>
          <w:tab/>
        </w:r>
        <w:r>
          <w:rPr>
            <w:webHidden/>
          </w:rPr>
          <w:fldChar w:fldCharType="begin"/>
        </w:r>
        <w:r>
          <w:rPr>
            <w:webHidden/>
          </w:rPr>
          <w:instrText xml:space="preserve"> PAGEREF _Toc119584478 \h </w:instrText>
        </w:r>
        <w:r>
          <w:rPr>
            <w:webHidden/>
          </w:rPr>
        </w:r>
        <w:r>
          <w:rPr>
            <w:webHidden/>
          </w:rPr>
          <w:fldChar w:fldCharType="separate"/>
        </w:r>
        <w:r>
          <w:rPr>
            <w:webHidden/>
          </w:rPr>
          <w:t>596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79" w:history="1">
        <w:r w:rsidRPr="008E79CA">
          <w:rPr>
            <w:rStyle w:val="af5"/>
          </w:rPr>
          <w:t>Рисунок 292 – Фильтр «МО» для основного отчета «Анализ реестра контрактов и их исполнения»</w:t>
        </w:r>
        <w:r>
          <w:rPr>
            <w:webHidden/>
          </w:rPr>
          <w:tab/>
        </w:r>
        <w:r>
          <w:rPr>
            <w:webHidden/>
          </w:rPr>
          <w:fldChar w:fldCharType="begin"/>
        </w:r>
        <w:r>
          <w:rPr>
            <w:webHidden/>
          </w:rPr>
          <w:instrText xml:space="preserve"> PAGEREF _Toc119584479 \h </w:instrText>
        </w:r>
        <w:r>
          <w:rPr>
            <w:webHidden/>
          </w:rPr>
        </w:r>
        <w:r>
          <w:rPr>
            <w:webHidden/>
          </w:rPr>
          <w:fldChar w:fldCharType="separate"/>
        </w:r>
        <w:r>
          <w:rPr>
            <w:webHidden/>
          </w:rPr>
          <w:t>597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0" w:history="1">
        <w:r w:rsidRPr="008E79CA">
          <w:rPr>
            <w:rStyle w:val="af5"/>
          </w:rPr>
          <w:t>Рисунок 293 – Фильтр «МО» для основного отчета «Планирование в сфере закупок»</w:t>
        </w:r>
        <w:r>
          <w:rPr>
            <w:webHidden/>
          </w:rPr>
          <w:tab/>
        </w:r>
        <w:r>
          <w:rPr>
            <w:webHidden/>
          </w:rPr>
          <w:fldChar w:fldCharType="begin"/>
        </w:r>
        <w:r>
          <w:rPr>
            <w:webHidden/>
          </w:rPr>
          <w:instrText xml:space="preserve"> PAGEREF _Toc119584480 \h </w:instrText>
        </w:r>
        <w:r>
          <w:rPr>
            <w:webHidden/>
          </w:rPr>
        </w:r>
        <w:r>
          <w:rPr>
            <w:webHidden/>
          </w:rPr>
          <w:fldChar w:fldCharType="separate"/>
        </w:r>
        <w:r>
          <w:rPr>
            <w:webHidden/>
          </w:rPr>
          <w:t>597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1" w:history="1">
        <w:r w:rsidRPr="008E79CA">
          <w:rPr>
            <w:rStyle w:val="af5"/>
          </w:rPr>
          <w:t>Рисунок 294 – Результат работы фильтра «МО»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_Toc119584481 \h </w:instrText>
        </w:r>
        <w:r>
          <w:rPr>
            <w:webHidden/>
          </w:rPr>
        </w:r>
        <w:r>
          <w:rPr>
            <w:webHidden/>
          </w:rPr>
          <w:fldChar w:fldCharType="separate"/>
        </w:r>
        <w:r>
          <w:rPr>
            <w:webHidden/>
          </w:rPr>
          <w:t>598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2" w:history="1">
        <w:r w:rsidRPr="008E79CA">
          <w:rPr>
            <w:rStyle w:val="af5"/>
          </w:rPr>
          <w:t>Рисунок 295 – Результат работы фильтра «МО» в отчете «Планирование в сфере закупок (детализация)»</w:t>
        </w:r>
        <w:r>
          <w:rPr>
            <w:webHidden/>
          </w:rPr>
          <w:tab/>
        </w:r>
        <w:r>
          <w:rPr>
            <w:webHidden/>
          </w:rPr>
          <w:fldChar w:fldCharType="begin"/>
        </w:r>
        <w:r>
          <w:rPr>
            <w:webHidden/>
          </w:rPr>
          <w:instrText xml:space="preserve"> PAGEREF _Toc119584482 \h </w:instrText>
        </w:r>
        <w:r>
          <w:rPr>
            <w:webHidden/>
          </w:rPr>
        </w:r>
        <w:r>
          <w:rPr>
            <w:webHidden/>
          </w:rPr>
          <w:fldChar w:fldCharType="separate"/>
        </w:r>
        <w:r>
          <w:rPr>
            <w:webHidden/>
          </w:rPr>
          <w:t>599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3" w:history="1">
        <w:r w:rsidRPr="008E79CA">
          <w:rPr>
            <w:rStyle w:val="af5"/>
          </w:rPr>
          <w:t>Рисунок 296 – Результат работы фильтра «Национальный проект»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_Toc119584483 \h </w:instrText>
        </w:r>
        <w:r>
          <w:rPr>
            <w:webHidden/>
          </w:rPr>
        </w:r>
        <w:r>
          <w:rPr>
            <w:webHidden/>
          </w:rPr>
          <w:fldChar w:fldCharType="separate"/>
        </w:r>
        <w:r>
          <w:rPr>
            <w:webHidden/>
          </w:rPr>
          <w:t>600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4" w:history="1">
        <w:r w:rsidRPr="008E79CA">
          <w:rPr>
            <w:rStyle w:val="af5"/>
          </w:rPr>
          <w:t>Рисунок 297 – Результат работы фильтра «Национальный проект» в отчете «Планирование в сфере закупок (детализация)»</w:t>
        </w:r>
        <w:r>
          <w:rPr>
            <w:webHidden/>
          </w:rPr>
          <w:tab/>
        </w:r>
        <w:r>
          <w:rPr>
            <w:webHidden/>
          </w:rPr>
          <w:fldChar w:fldCharType="begin"/>
        </w:r>
        <w:r>
          <w:rPr>
            <w:webHidden/>
          </w:rPr>
          <w:instrText xml:space="preserve"> PAGEREF _Toc119584484 \h </w:instrText>
        </w:r>
        <w:r>
          <w:rPr>
            <w:webHidden/>
          </w:rPr>
        </w:r>
        <w:r>
          <w:rPr>
            <w:webHidden/>
          </w:rPr>
          <w:fldChar w:fldCharType="separate"/>
        </w:r>
        <w:r>
          <w:rPr>
            <w:webHidden/>
          </w:rPr>
          <w:t>600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5" w:history="1">
        <w:r w:rsidRPr="008E79CA">
          <w:rPr>
            <w:rStyle w:val="af5"/>
          </w:rPr>
          <w:t>Рисунок 298 – Поисковая строка данных заказчика в отчете «Анализ реестра контрактов и их исполнения»</w:t>
        </w:r>
        <w:r>
          <w:rPr>
            <w:webHidden/>
          </w:rPr>
          <w:tab/>
        </w:r>
        <w:r>
          <w:rPr>
            <w:webHidden/>
          </w:rPr>
          <w:fldChar w:fldCharType="begin"/>
        </w:r>
        <w:r>
          <w:rPr>
            <w:webHidden/>
          </w:rPr>
          <w:instrText xml:space="preserve"> PAGEREF _Toc119584485 \h </w:instrText>
        </w:r>
        <w:r>
          <w:rPr>
            <w:webHidden/>
          </w:rPr>
        </w:r>
        <w:r>
          <w:rPr>
            <w:webHidden/>
          </w:rPr>
          <w:fldChar w:fldCharType="separate"/>
        </w:r>
        <w:r>
          <w:rPr>
            <w:webHidden/>
          </w:rPr>
          <w:t>601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6" w:history="1">
        <w:r w:rsidRPr="008E79CA">
          <w:rPr>
            <w:rStyle w:val="af5"/>
          </w:rPr>
          <w:t>Рисунок 299 – Поисковая строка данных заказчика в отчете «Планирование в сфере закупок»</w:t>
        </w:r>
        <w:r>
          <w:rPr>
            <w:webHidden/>
          </w:rPr>
          <w:tab/>
        </w:r>
        <w:r>
          <w:rPr>
            <w:webHidden/>
          </w:rPr>
          <w:fldChar w:fldCharType="begin"/>
        </w:r>
        <w:r>
          <w:rPr>
            <w:webHidden/>
          </w:rPr>
          <w:instrText xml:space="preserve"> PAGEREF _Toc119584486 \h </w:instrText>
        </w:r>
        <w:r>
          <w:rPr>
            <w:webHidden/>
          </w:rPr>
        </w:r>
        <w:r>
          <w:rPr>
            <w:webHidden/>
          </w:rPr>
          <w:fldChar w:fldCharType="separate"/>
        </w:r>
        <w:r>
          <w:rPr>
            <w:webHidden/>
          </w:rPr>
          <w:t>601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7" w:history="1">
        <w:r w:rsidRPr="008E79CA">
          <w:rPr>
            <w:rStyle w:val="af5"/>
          </w:rPr>
          <w:t>Рисунок 300 – Результат работы поисковой строки данных заказчика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_Toc119584487 \h </w:instrText>
        </w:r>
        <w:r>
          <w:rPr>
            <w:webHidden/>
          </w:rPr>
        </w:r>
        <w:r>
          <w:rPr>
            <w:webHidden/>
          </w:rPr>
          <w:fldChar w:fldCharType="separate"/>
        </w:r>
        <w:r>
          <w:rPr>
            <w:webHidden/>
          </w:rPr>
          <w:t>602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8" w:history="1">
        <w:r w:rsidRPr="008E79CA">
          <w:rPr>
            <w:rStyle w:val="af5"/>
          </w:rPr>
          <w:t>Рисунок 301 – Результат работы поисковой строки данных заказчика в отчете «Планирование в сфере закупок (детализация)»</w:t>
        </w:r>
        <w:r>
          <w:rPr>
            <w:webHidden/>
          </w:rPr>
          <w:tab/>
        </w:r>
        <w:r>
          <w:rPr>
            <w:webHidden/>
          </w:rPr>
          <w:fldChar w:fldCharType="begin"/>
        </w:r>
        <w:r>
          <w:rPr>
            <w:webHidden/>
          </w:rPr>
          <w:instrText xml:space="preserve"> PAGEREF _Toc119584488 \h </w:instrText>
        </w:r>
        <w:r>
          <w:rPr>
            <w:webHidden/>
          </w:rPr>
        </w:r>
        <w:r>
          <w:rPr>
            <w:webHidden/>
          </w:rPr>
          <w:fldChar w:fldCharType="separate"/>
        </w:r>
        <w:r>
          <w:rPr>
            <w:webHidden/>
          </w:rPr>
          <w:t>602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89" w:history="1">
        <w:r w:rsidRPr="008E79CA">
          <w:rPr>
            <w:rStyle w:val="af5"/>
          </w:rPr>
          <w:t>Рисунок 302 – Результат работы фильтра «КЦСР» в отчете «Анализ реестра контрактов и их исполнения (детализация)»</w:t>
        </w:r>
        <w:r>
          <w:rPr>
            <w:webHidden/>
          </w:rPr>
          <w:tab/>
        </w:r>
        <w:r>
          <w:rPr>
            <w:webHidden/>
          </w:rPr>
          <w:fldChar w:fldCharType="begin"/>
        </w:r>
        <w:r>
          <w:rPr>
            <w:webHidden/>
          </w:rPr>
          <w:instrText xml:space="preserve"> PAGEREF _Toc119584489 \h </w:instrText>
        </w:r>
        <w:r>
          <w:rPr>
            <w:webHidden/>
          </w:rPr>
        </w:r>
        <w:r>
          <w:rPr>
            <w:webHidden/>
          </w:rPr>
          <w:fldChar w:fldCharType="separate"/>
        </w:r>
        <w:r>
          <w:rPr>
            <w:webHidden/>
          </w:rPr>
          <w:t>603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0" w:history="1">
        <w:r w:rsidRPr="008E79CA">
          <w:rPr>
            <w:rStyle w:val="af5"/>
          </w:rPr>
          <w:t>Рисунок 303 – Результат работы фильтра «КЦСР» в отчете «Планирование в сфере закупок (детализация)»</w:t>
        </w:r>
        <w:r>
          <w:rPr>
            <w:webHidden/>
          </w:rPr>
          <w:tab/>
        </w:r>
        <w:r>
          <w:rPr>
            <w:webHidden/>
          </w:rPr>
          <w:fldChar w:fldCharType="begin"/>
        </w:r>
        <w:r>
          <w:rPr>
            <w:webHidden/>
          </w:rPr>
          <w:instrText xml:space="preserve"> PAGEREF _Toc119584490 \h </w:instrText>
        </w:r>
        <w:r>
          <w:rPr>
            <w:webHidden/>
          </w:rPr>
        </w:r>
        <w:r>
          <w:rPr>
            <w:webHidden/>
          </w:rPr>
          <w:fldChar w:fldCharType="separate"/>
        </w:r>
        <w:r>
          <w:rPr>
            <w:webHidden/>
          </w:rPr>
          <w:t>604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1" w:history="1">
        <w:r w:rsidRPr="008E79CA">
          <w:rPr>
            <w:rStyle w:val="af5"/>
          </w:rPr>
          <w:t>Рисунок 304 – Фильтр «Дата заключения контракта» для отчета «Анализ реестра контрактов и их исполнения»</w:t>
        </w:r>
        <w:r>
          <w:rPr>
            <w:webHidden/>
          </w:rPr>
          <w:tab/>
        </w:r>
        <w:r>
          <w:rPr>
            <w:webHidden/>
          </w:rPr>
          <w:fldChar w:fldCharType="begin"/>
        </w:r>
        <w:r>
          <w:rPr>
            <w:webHidden/>
          </w:rPr>
          <w:instrText xml:space="preserve"> PAGEREF _Toc119584491 \h </w:instrText>
        </w:r>
        <w:r>
          <w:rPr>
            <w:webHidden/>
          </w:rPr>
        </w:r>
        <w:r>
          <w:rPr>
            <w:webHidden/>
          </w:rPr>
          <w:fldChar w:fldCharType="separate"/>
        </w:r>
        <w:r>
          <w:rPr>
            <w:webHidden/>
          </w:rPr>
          <w:t>605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2" w:history="1">
        <w:r w:rsidRPr="008E79CA">
          <w:rPr>
            <w:rStyle w:val="af5"/>
          </w:rPr>
          <w:t>Рисунок 305 – Результат работы фильтра «Дата заключения контракта» для отчета «Анализ реестра контрактов и их исполнения (детализация)»</w:t>
        </w:r>
        <w:r>
          <w:rPr>
            <w:webHidden/>
          </w:rPr>
          <w:tab/>
        </w:r>
        <w:r>
          <w:rPr>
            <w:webHidden/>
          </w:rPr>
          <w:fldChar w:fldCharType="begin"/>
        </w:r>
        <w:r>
          <w:rPr>
            <w:webHidden/>
          </w:rPr>
          <w:instrText xml:space="preserve"> PAGEREF _Toc119584492 \h </w:instrText>
        </w:r>
        <w:r>
          <w:rPr>
            <w:webHidden/>
          </w:rPr>
        </w:r>
        <w:r>
          <w:rPr>
            <w:webHidden/>
          </w:rPr>
          <w:fldChar w:fldCharType="separate"/>
        </w:r>
        <w:r>
          <w:rPr>
            <w:webHidden/>
          </w:rPr>
          <w:t>605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3" w:history="1">
        <w:r w:rsidRPr="008E79CA">
          <w:rPr>
            <w:rStyle w:val="af5"/>
          </w:rPr>
          <w:t>Рисунок 306 – Фильтр «Сопровождение контракта» для отчета «Анализ реестра контракта и их исполнения»</w:t>
        </w:r>
        <w:r>
          <w:rPr>
            <w:webHidden/>
          </w:rPr>
          <w:tab/>
        </w:r>
        <w:r>
          <w:rPr>
            <w:webHidden/>
          </w:rPr>
          <w:fldChar w:fldCharType="begin"/>
        </w:r>
        <w:r>
          <w:rPr>
            <w:webHidden/>
          </w:rPr>
          <w:instrText xml:space="preserve"> PAGEREF _Toc119584493 \h </w:instrText>
        </w:r>
        <w:r>
          <w:rPr>
            <w:webHidden/>
          </w:rPr>
        </w:r>
        <w:r>
          <w:rPr>
            <w:webHidden/>
          </w:rPr>
          <w:fldChar w:fldCharType="separate"/>
        </w:r>
        <w:r>
          <w:rPr>
            <w:webHidden/>
          </w:rPr>
          <w:t>606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4" w:history="1">
        <w:r w:rsidRPr="008E79CA">
          <w:rPr>
            <w:rStyle w:val="af5"/>
          </w:rPr>
          <w:t>Рисунок 307 – Фильтр «Сопровождение контракта» для отчета «Анализ реестра контракта и их исполнения (детализация)»</w:t>
        </w:r>
        <w:r>
          <w:rPr>
            <w:webHidden/>
          </w:rPr>
          <w:tab/>
        </w:r>
        <w:r>
          <w:rPr>
            <w:webHidden/>
          </w:rPr>
          <w:fldChar w:fldCharType="begin"/>
        </w:r>
        <w:r>
          <w:rPr>
            <w:webHidden/>
          </w:rPr>
          <w:instrText xml:space="preserve"> PAGEREF _Toc119584494 \h </w:instrText>
        </w:r>
        <w:r>
          <w:rPr>
            <w:webHidden/>
          </w:rPr>
        </w:r>
        <w:r>
          <w:rPr>
            <w:webHidden/>
          </w:rPr>
          <w:fldChar w:fldCharType="separate"/>
        </w:r>
        <w:r>
          <w:rPr>
            <w:webHidden/>
          </w:rPr>
          <w:t>607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5" w:history="1">
        <w:r w:rsidRPr="008E79CA">
          <w:rPr>
            <w:rStyle w:val="af5"/>
          </w:rPr>
          <w:t>Рисунок 308 – Результат работы фильтра «Способ закупки»</w:t>
        </w:r>
        <w:r>
          <w:rPr>
            <w:webHidden/>
          </w:rPr>
          <w:tab/>
        </w:r>
        <w:r>
          <w:rPr>
            <w:webHidden/>
          </w:rPr>
          <w:fldChar w:fldCharType="begin"/>
        </w:r>
        <w:r>
          <w:rPr>
            <w:webHidden/>
          </w:rPr>
          <w:instrText xml:space="preserve"> PAGEREF _Toc119584495 \h </w:instrText>
        </w:r>
        <w:r>
          <w:rPr>
            <w:webHidden/>
          </w:rPr>
        </w:r>
        <w:r>
          <w:rPr>
            <w:webHidden/>
          </w:rPr>
          <w:fldChar w:fldCharType="separate"/>
        </w:r>
        <w:r>
          <w:rPr>
            <w:webHidden/>
          </w:rPr>
          <w:t>608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6" w:history="1">
        <w:r w:rsidRPr="008E79CA">
          <w:rPr>
            <w:rStyle w:val="af5"/>
          </w:rPr>
          <w:t>Рисунок 309 – Результат работы поисковой строки по номеру контракта</w:t>
        </w:r>
        <w:r>
          <w:rPr>
            <w:webHidden/>
          </w:rPr>
          <w:tab/>
        </w:r>
        <w:r>
          <w:rPr>
            <w:webHidden/>
          </w:rPr>
          <w:fldChar w:fldCharType="begin"/>
        </w:r>
        <w:r>
          <w:rPr>
            <w:webHidden/>
          </w:rPr>
          <w:instrText xml:space="preserve"> PAGEREF _Toc119584496 \h </w:instrText>
        </w:r>
        <w:r>
          <w:rPr>
            <w:webHidden/>
          </w:rPr>
        </w:r>
        <w:r>
          <w:rPr>
            <w:webHidden/>
          </w:rPr>
          <w:fldChar w:fldCharType="separate"/>
        </w:r>
        <w:r>
          <w:rPr>
            <w:webHidden/>
          </w:rPr>
          <w:t>609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7" w:history="1">
        <w:r w:rsidRPr="008E79CA">
          <w:rPr>
            <w:rStyle w:val="af5"/>
          </w:rPr>
          <w:t>Рисунок 310 – Результат работы поисковой строки по номеру извещения</w:t>
        </w:r>
        <w:r>
          <w:rPr>
            <w:webHidden/>
          </w:rPr>
          <w:tab/>
        </w:r>
        <w:r>
          <w:rPr>
            <w:webHidden/>
          </w:rPr>
          <w:fldChar w:fldCharType="begin"/>
        </w:r>
        <w:r>
          <w:rPr>
            <w:webHidden/>
          </w:rPr>
          <w:instrText xml:space="preserve"> PAGEREF _Toc119584497 \h </w:instrText>
        </w:r>
        <w:r>
          <w:rPr>
            <w:webHidden/>
          </w:rPr>
        </w:r>
        <w:r>
          <w:rPr>
            <w:webHidden/>
          </w:rPr>
          <w:fldChar w:fldCharType="separate"/>
        </w:r>
        <w:r>
          <w:rPr>
            <w:webHidden/>
          </w:rPr>
          <w:t>609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8" w:history="1">
        <w:r w:rsidRPr="008E79CA">
          <w:rPr>
            <w:rStyle w:val="af5"/>
          </w:rPr>
          <w:t>Рисунок 311 – Результат работы поисковой строки по данным поставщика</w:t>
        </w:r>
        <w:r>
          <w:rPr>
            <w:webHidden/>
          </w:rPr>
          <w:tab/>
        </w:r>
        <w:r>
          <w:rPr>
            <w:webHidden/>
          </w:rPr>
          <w:fldChar w:fldCharType="begin"/>
        </w:r>
        <w:r>
          <w:rPr>
            <w:webHidden/>
          </w:rPr>
          <w:instrText xml:space="preserve"> PAGEREF _Toc119584498 \h </w:instrText>
        </w:r>
        <w:r>
          <w:rPr>
            <w:webHidden/>
          </w:rPr>
        </w:r>
        <w:r>
          <w:rPr>
            <w:webHidden/>
          </w:rPr>
          <w:fldChar w:fldCharType="separate"/>
        </w:r>
        <w:r>
          <w:rPr>
            <w:webHidden/>
          </w:rPr>
          <w:t>610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499" w:history="1">
        <w:r w:rsidRPr="008E79CA">
          <w:rPr>
            <w:rStyle w:val="af5"/>
          </w:rPr>
          <w:t>Рисунок 312 – Результат работы поисковой строки «Предмет контракта»</w:t>
        </w:r>
        <w:r>
          <w:rPr>
            <w:webHidden/>
          </w:rPr>
          <w:tab/>
        </w:r>
        <w:r>
          <w:rPr>
            <w:webHidden/>
          </w:rPr>
          <w:fldChar w:fldCharType="begin"/>
        </w:r>
        <w:r>
          <w:rPr>
            <w:webHidden/>
          </w:rPr>
          <w:instrText xml:space="preserve"> PAGEREF _Toc119584499 \h </w:instrText>
        </w:r>
        <w:r>
          <w:rPr>
            <w:webHidden/>
          </w:rPr>
        </w:r>
        <w:r>
          <w:rPr>
            <w:webHidden/>
          </w:rPr>
          <w:fldChar w:fldCharType="separate"/>
        </w:r>
        <w:r>
          <w:rPr>
            <w:webHidden/>
          </w:rPr>
          <w:t>611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0" w:history="1">
        <w:r w:rsidRPr="008E79CA">
          <w:rPr>
            <w:rStyle w:val="af5"/>
          </w:rPr>
          <w:t>Рисунок 313 – Результат работы фильтра «Цена контракта»</w:t>
        </w:r>
        <w:r>
          <w:rPr>
            <w:webHidden/>
          </w:rPr>
          <w:tab/>
        </w:r>
        <w:r>
          <w:rPr>
            <w:webHidden/>
          </w:rPr>
          <w:fldChar w:fldCharType="begin"/>
        </w:r>
        <w:r>
          <w:rPr>
            <w:webHidden/>
          </w:rPr>
          <w:instrText xml:space="preserve"> PAGEREF _Toc119584500 \h </w:instrText>
        </w:r>
        <w:r>
          <w:rPr>
            <w:webHidden/>
          </w:rPr>
        </w:r>
        <w:r>
          <w:rPr>
            <w:webHidden/>
          </w:rPr>
          <w:fldChar w:fldCharType="separate"/>
        </w:r>
        <w:r>
          <w:rPr>
            <w:webHidden/>
          </w:rPr>
          <w:t>612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1" w:history="1">
        <w:r w:rsidRPr="008E79CA">
          <w:rPr>
            <w:rStyle w:val="af5"/>
          </w:rPr>
          <w:t>Рисунок 314 – Фильтр «Год ПГЗ» для отчета «Планирование в сфере закупок»</w:t>
        </w:r>
        <w:r>
          <w:rPr>
            <w:webHidden/>
          </w:rPr>
          <w:tab/>
        </w:r>
        <w:r>
          <w:rPr>
            <w:webHidden/>
          </w:rPr>
          <w:fldChar w:fldCharType="begin"/>
        </w:r>
        <w:r>
          <w:rPr>
            <w:webHidden/>
          </w:rPr>
          <w:instrText xml:space="preserve"> PAGEREF _Toc119584501 \h </w:instrText>
        </w:r>
        <w:r>
          <w:rPr>
            <w:webHidden/>
          </w:rPr>
        </w:r>
        <w:r>
          <w:rPr>
            <w:webHidden/>
          </w:rPr>
          <w:fldChar w:fldCharType="separate"/>
        </w:r>
        <w:r>
          <w:rPr>
            <w:webHidden/>
          </w:rPr>
          <w:t>613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2" w:history="1">
        <w:r w:rsidRPr="008E79CA">
          <w:rPr>
            <w:rStyle w:val="af5"/>
          </w:rPr>
          <w:t>Рисунок 315 – Фильтр «Год ПГЗ» для отчета «Планирование в сфере закупок (детализация)»</w:t>
        </w:r>
        <w:r>
          <w:rPr>
            <w:webHidden/>
          </w:rPr>
          <w:tab/>
        </w:r>
        <w:r>
          <w:rPr>
            <w:webHidden/>
          </w:rPr>
          <w:fldChar w:fldCharType="begin"/>
        </w:r>
        <w:r>
          <w:rPr>
            <w:webHidden/>
          </w:rPr>
          <w:instrText xml:space="preserve"> PAGEREF _Toc119584502 \h </w:instrText>
        </w:r>
        <w:r>
          <w:rPr>
            <w:webHidden/>
          </w:rPr>
        </w:r>
        <w:r>
          <w:rPr>
            <w:webHidden/>
          </w:rPr>
          <w:fldChar w:fldCharType="separate"/>
        </w:r>
        <w:r>
          <w:rPr>
            <w:webHidden/>
          </w:rPr>
          <w:t>613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3" w:history="1">
        <w:r w:rsidRPr="008E79CA">
          <w:rPr>
            <w:rStyle w:val="af5"/>
          </w:rPr>
          <w:t>Рисунок 316 – Макет отчета «Сведения о ФХД ФОИВ». Представление «Основные показатели»</w:t>
        </w:r>
        <w:r>
          <w:rPr>
            <w:webHidden/>
          </w:rPr>
          <w:tab/>
        </w:r>
        <w:r>
          <w:rPr>
            <w:webHidden/>
          </w:rPr>
          <w:fldChar w:fldCharType="begin"/>
        </w:r>
        <w:r>
          <w:rPr>
            <w:webHidden/>
          </w:rPr>
          <w:instrText xml:space="preserve"> PAGEREF _Toc119584503 \h </w:instrText>
        </w:r>
        <w:r>
          <w:rPr>
            <w:webHidden/>
          </w:rPr>
        </w:r>
        <w:r>
          <w:rPr>
            <w:webHidden/>
          </w:rPr>
          <w:fldChar w:fldCharType="separate"/>
        </w:r>
        <w:r>
          <w:rPr>
            <w:webHidden/>
          </w:rPr>
          <w:t>616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4" w:history="1">
        <w:r w:rsidRPr="008E79CA">
          <w:rPr>
            <w:rStyle w:val="af5"/>
          </w:rPr>
          <w:t>Рисунок 317 – Макет отчета «Сведения о ФХД ФОИВ». Представление «Баланс»</w:t>
        </w:r>
        <w:r>
          <w:rPr>
            <w:webHidden/>
          </w:rPr>
          <w:tab/>
        </w:r>
        <w:r>
          <w:rPr>
            <w:webHidden/>
          </w:rPr>
          <w:fldChar w:fldCharType="begin"/>
        </w:r>
        <w:r>
          <w:rPr>
            <w:webHidden/>
          </w:rPr>
          <w:instrText xml:space="preserve"> PAGEREF _Toc119584504 \h </w:instrText>
        </w:r>
        <w:r>
          <w:rPr>
            <w:webHidden/>
          </w:rPr>
        </w:r>
        <w:r>
          <w:rPr>
            <w:webHidden/>
          </w:rPr>
          <w:fldChar w:fldCharType="separate"/>
        </w:r>
        <w:r>
          <w:rPr>
            <w:webHidden/>
          </w:rPr>
          <w:t>617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5" w:history="1">
        <w:r w:rsidRPr="008E79CA">
          <w:rPr>
            <w:rStyle w:val="af5"/>
          </w:rPr>
          <w:t>Рисунок 318 – Отчет «Сведения о ФХД ФОИВ». Представление «Баланс». Переход в детализацию по учреждениям и КБК.</w:t>
        </w:r>
        <w:r>
          <w:rPr>
            <w:webHidden/>
          </w:rPr>
          <w:tab/>
        </w:r>
        <w:r>
          <w:rPr>
            <w:webHidden/>
          </w:rPr>
          <w:fldChar w:fldCharType="begin"/>
        </w:r>
        <w:r>
          <w:rPr>
            <w:webHidden/>
          </w:rPr>
          <w:instrText xml:space="preserve"> PAGEREF _Toc119584505 \h </w:instrText>
        </w:r>
        <w:r>
          <w:rPr>
            <w:webHidden/>
          </w:rPr>
        </w:r>
        <w:r>
          <w:rPr>
            <w:webHidden/>
          </w:rPr>
          <w:fldChar w:fldCharType="separate"/>
        </w:r>
        <w:r>
          <w:rPr>
            <w:webHidden/>
          </w:rPr>
          <w:t>618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6" w:history="1">
        <w:r w:rsidRPr="008E79CA">
          <w:rPr>
            <w:rStyle w:val="af5"/>
          </w:rPr>
          <w:t>Рисунок 319 – Макет отчета «Сведения о ФХД ФОИВ». Представление «Нефинансовые активы - Инфографика»</w:t>
        </w:r>
        <w:r>
          <w:rPr>
            <w:webHidden/>
          </w:rPr>
          <w:tab/>
        </w:r>
        <w:r>
          <w:rPr>
            <w:webHidden/>
          </w:rPr>
          <w:fldChar w:fldCharType="begin"/>
        </w:r>
        <w:r>
          <w:rPr>
            <w:webHidden/>
          </w:rPr>
          <w:instrText xml:space="preserve"> PAGEREF _Toc119584506 \h </w:instrText>
        </w:r>
        <w:r>
          <w:rPr>
            <w:webHidden/>
          </w:rPr>
        </w:r>
        <w:r>
          <w:rPr>
            <w:webHidden/>
          </w:rPr>
          <w:fldChar w:fldCharType="separate"/>
        </w:r>
        <w:r>
          <w:rPr>
            <w:webHidden/>
          </w:rPr>
          <w:t>619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7" w:history="1">
        <w:r w:rsidRPr="008E79CA">
          <w:rPr>
            <w:rStyle w:val="af5"/>
          </w:rPr>
          <w:t>Рисунок 320 – Отчет «Сведения о ФХД ФОИВ». Представление «Нефинансовые активы» -  «Инфографика». Переход к детализации по самым дорогим нефинансовыми активам</w:t>
        </w:r>
        <w:r>
          <w:rPr>
            <w:webHidden/>
          </w:rPr>
          <w:tab/>
        </w:r>
        <w:r>
          <w:rPr>
            <w:webHidden/>
          </w:rPr>
          <w:fldChar w:fldCharType="begin"/>
        </w:r>
        <w:r>
          <w:rPr>
            <w:webHidden/>
          </w:rPr>
          <w:instrText xml:space="preserve"> PAGEREF _Toc119584507 \h </w:instrText>
        </w:r>
        <w:r>
          <w:rPr>
            <w:webHidden/>
          </w:rPr>
        </w:r>
        <w:r>
          <w:rPr>
            <w:webHidden/>
          </w:rPr>
          <w:fldChar w:fldCharType="separate"/>
        </w:r>
        <w:r>
          <w:rPr>
            <w:webHidden/>
          </w:rPr>
          <w:t>620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8" w:history="1">
        <w:r w:rsidRPr="008E79CA">
          <w:rPr>
            <w:rStyle w:val="af5"/>
          </w:rPr>
          <w:t>Рисунок 321 – Отчет «Сведения о ФХД ФОИВ». Представление «Нефинансовые активы» - «Инфографика». Переход к детализации по списку объектов</w:t>
        </w:r>
        <w:r>
          <w:rPr>
            <w:webHidden/>
          </w:rPr>
          <w:tab/>
        </w:r>
        <w:r>
          <w:rPr>
            <w:webHidden/>
          </w:rPr>
          <w:fldChar w:fldCharType="begin"/>
        </w:r>
        <w:r>
          <w:rPr>
            <w:webHidden/>
          </w:rPr>
          <w:instrText xml:space="preserve"> PAGEREF _Toc119584508 \h </w:instrText>
        </w:r>
        <w:r>
          <w:rPr>
            <w:webHidden/>
          </w:rPr>
        </w:r>
        <w:r>
          <w:rPr>
            <w:webHidden/>
          </w:rPr>
          <w:fldChar w:fldCharType="separate"/>
        </w:r>
        <w:r>
          <w:rPr>
            <w:webHidden/>
          </w:rPr>
          <w:t>621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09" w:history="1">
        <w:r w:rsidRPr="008E79CA">
          <w:rPr>
            <w:rStyle w:val="af5"/>
          </w:rPr>
          <w:t>Рисунок 322 – Макет отчета «Сведения о ФХД ФОИВ». Представление «Нефинансовые активы» – «Структура НФА» – «Таблица» –« По категориям»</w:t>
        </w:r>
        <w:r>
          <w:rPr>
            <w:webHidden/>
          </w:rPr>
          <w:tab/>
        </w:r>
        <w:r>
          <w:rPr>
            <w:webHidden/>
          </w:rPr>
          <w:fldChar w:fldCharType="begin"/>
        </w:r>
        <w:r>
          <w:rPr>
            <w:webHidden/>
          </w:rPr>
          <w:instrText xml:space="preserve"> PAGEREF _Toc119584509 \h </w:instrText>
        </w:r>
        <w:r>
          <w:rPr>
            <w:webHidden/>
          </w:rPr>
        </w:r>
        <w:r>
          <w:rPr>
            <w:webHidden/>
          </w:rPr>
          <w:fldChar w:fldCharType="separate"/>
        </w:r>
        <w:r>
          <w:rPr>
            <w:webHidden/>
          </w:rPr>
          <w:t>622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0" w:history="1">
        <w:r w:rsidRPr="008E79CA">
          <w:rPr>
            <w:rStyle w:val="af5"/>
          </w:rPr>
          <w:t>Рисунок 323 – Макет отчета «Сведения о ФХД ФОИВ». Представление «Нефинансовые активы» – «Структура НФА» – «Таблица» – «По счетам»</w:t>
        </w:r>
        <w:r>
          <w:rPr>
            <w:webHidden/>
          </w:rPr>
          <w:tab/>
        </w:r>
        <w:r>
          <w:rPr>
            <w:webHidden/>
          </w:rPr>
          <w:fldChar w:fldCharType="begin"/>
        </w:r>
        <w:r>
          <w:rPr>
            <w:webHidden/>
          </w:rPr>
          <w:instrText xml:space="preserve"> PAGEREF _Toc119584510 \h </w:instrText>
        </w:r>
        <w:r>
          <w:rPr>
            <w:webHidden/>
          </w:rPr>
        </w:r>
        <w:r>
          <w:rPr>
            <w:webHidden/>
          </w:rPr>
          <w:fldChar w:fldCharType="separate"/>
        </w:r>
        <w:r>
          <w:rPr>
            <w:webHidden/>
          </w:rPr>
          <w:t>624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1" w:history="1">
        <w:r w:rsidRPr="008E79CA">
          <w:rPr>
            <w:rStyle w:val="af5"/>
          </w:rPr>
          <w:t>Рисунок 324 – Макет отчета «Сведения о ФХД ФОИВ». Представление «Нефинансовые активы – По ГРБС»</w:t>
        </w:r>
        <w:r>
          <w:rPr>
            <w:webHidden/>
          </w:rPr>
          <w:tab/>
        </w:r>
        <w:r>
          <w:rPr>
            <w:webHidden/>
          </w:rPr>
          <w:fldChar w:fldCharType="begin"/>
        </w:r>
        <w:r>
          <w:rPr>
            <w:webHidden/>
          </w:rPr>
          <w:instrText xml:space="preserve"> PAGEREF _Toc119584511 \h </w:instrText>
        </w:r>
        <w:r>
          <w:rPr>
            <w:webHidden/>
          </w:rPr>
        </w:r>
        <w:r>
          <w:rPr>
            <w:webHidden/>
          </w:rPr>
          <w:fldChar w:fldCharType="separate"/>
        </w:r>
        <w:r>
          <w:rPr>
            <w:webHidden/>
          </w:rPr>
          <w:t>626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2" w:history="1">
        <w:r w:rsidRPr="008E79CA">
          <w:rPr>
            <w:rStyle w:val="af5"/>
          </w:rPr>
          <w:t>Рисунок 325 – Макет отчета «Сведения о ФХД ФОИВ». Представление «Нефинансовые активы» – «Объекты» - «По типам учреждений»</w:t>
        </w:r>
        <w:r>
          <w:rPr>
            <w:webHidden/>
          </w:rPr>
          <w:tab/>
        </w:r>
        <w:r>
          <w:rPr>
            <w:webHidden/>
          </w:rPr>
          <w:fldChar w:fldCharType="begin"/>
        </w:r>
        <w:r>
          <w:rPr>
            <w:webHidden/>
          </w:rPr>
          <w:instrText xml:space="preserve"> PAGEREF _Toc119584512 \h </w:instrText>
        </w:r>
        <w:r>
          <w:rPr>
            <w:webHidden/>
          </w:rPr>
        </w:r>
        <w:r>
          <w:rPr>
            <w:webHidden/>
          </w:rPr>
          <w:fldChar w:fldCharType="separate"/>
        </w:r>
        <w:r>
          <w:rPr>
            <w:webHidden/>
          </w:rPr>
          <w:t>628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3" w:history="1">
        <w:r w:rsidRPr="008E79CA">
          <w:rPr>
            <w:rStyle w:val="af5"/>
          </w:rPr>
          <w:t>Рисунок 326 – Макет отчета «Сведения о ФХД ФОИВ». Представление «Нефинансовые активы» – «Объекты» – «10 самых дорогих»</w:t>
        </w:r>
        <w:r>
          <w:rPr>
            <w:webHidden/>
          </w:rPr>
          <w:tab/>
        </w:r>
        <w:r>
          <w:rPr>
            <w:webHidden/>
          </w:rPr>
          <w:fldChar w:fldCharType="begin"/>
        </w:r>
        <w:r>
          <w:rPr>
            <w:webHidden/>
          </w:rPr>
          <w:instrText xml:space="preserve"> PAGEREF _Toc119584513 \h </w:instrText>
        </w:r>
        <w:r>
          <w:rPr>
            <w:webHidden/>
          </w:rPr>
        </w:r>
        <w:r>
          <w:rPr>
            <w:webHidden/>
          </w:rPr>
          <w:fldChar w:fldCharType="separate"/>
        </w:r>
        <w:r>
          <w:rPr>
            <w:webHidden/>
          </w:rPr>
          <w:t>629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4" w:history="1">
        <w:r w:rsidRPr="008E79CA">
          <w:rPr>
            <w:rStyle w:val="af5"/>
          </w:rPr>
          <w:t>Рисунок 327 – Макет отчета «Сведения о ФХД ФОИВ». Представление «Нефинансовые активы» – «Объекты» – «Список объектов»</w:t>
        </w:r>
        <w:r>
          <w:rPr>
            <w:webHidden/>
          </w:rPr>
          <w:tab/>
        </w:r>
        <w:r>
          <w:rPr>
            <w:webHidden/>
          </w:rPr>
          <w:fldChar w:fldCharType="begin"/>
        </w:r>
        <w:r>
          <w:rPr>
            <w:webHidden/>
          </w:rPr>
          <w:instrText xml:space="preserve"> PAGEREF _Toc119584514 \h </w:instrText>
        </w:r>
        <w:r>
          <w:rPr>
            <w:webHidden/>
          </w:rPr>
        </w:r>
        <w:r>
          <w:rPr>
            <w:webHidden/>
          </w:rPr>
          <w:fldChar w:fldCharType="separate"/>
        </w:r>
        <w:r>
          <w:rPr>
            <w:webHidden/>
          </w:rPr>
          <w:t>631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5" w:history="1">
        <w:r w:rsidRPr="008E79CA">
          <w:rPr>
            <w:rStyle w:val="af5"/>
          </w:rPr>
          <w:t>Рисунок 328 – Макет отчета «Сведения о ФХД ФОИВ». Представление «Нефинансовые активы» – «Объекты» – «Инвентарная карточка»</w:t>
        </w:r>
        <w:r>
          <w:rPr>
            <w:webHidden/>
          </w:rPr>
          <w:tab/>
        </w:r>
        <w:r>
          <w:rPr>
            <w:webHidden/>
          </w:rPr>
          <w:fldChar w:fldCharType="begin"/>
        </w:r>
        <w:r>
          <w:rPr>
            <w:webHidden/>
          </w:rPr>
          <w:instrText xml:space="preserve"> PAGEREF _Toc119584515 \h </w:instrText>
        </w:r>
        <w:r>
          <w:rPr>
            <w:webHidden/>
          </w:rPr>
        </w:r>
        <w:r>
          <w:rPr>
            <w:webHidden/>
          </w:rPr>
          <w:fldChar w:fldCharType="separate"/>
        </w:r>
        <w:r>
          <w:rPr>
            <w:webHidden/>
          </w:rPr>
          <w:t>633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6" w:history="1">
        <w:r w:rsidRPr="008E79CA">
          <w:rPr>
            <w:rStyle w:val="af5"/>
          </w:rPr>
          <w:t>Рисунок 329 – Макет отчета «Сведения о ФХД ФОИВ». Представление «Исполнение бюджета» – «Доходы»</w:t>
        </w:r>
        <w:r>
          <w:rPr>
            <w:webHidden/>
          </w:rPr>
          <w:tab/>
        </w:r>
        <w:r>
          <w:rPr>
            <w:webHidden/>
          </w:rPr>
          <w:fldChar w:fldCharType="begin"/>
        </w:r>
        <w:r>
          <w:rPr>
            <w:webHidden/>
          </w:rPr>
          <w:instrText xml:space="preserve"> PAGEREF _Toc119584516 \h </w:instrText>
        </w:r>
        <w:r>
          <w:rPr>
            <w:webHidden/>
          </w:rPr>
        </w:r>
        <w:r>
          <w:rPr>
            <w:webHidden/>
          </w:rPr>
          <w:fldChar w:fldCharType="separate"/>
        </w:r>
        <w:r>
          <w:rPr>
            <w:webHidden/>
          </w:rPr>
          <w:t>638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7" w:history="1">
        <w:r w:rsidRPr="008E79CA">
          <w:rPr>
            <w:rStyle w:val="af5"/>
          </w:rPr>
          <w:t>Рисунок 330 – Макет отчета «Сведения о ФХД ФОИВ». Представление «Исполнение бюджета» – «Расходы»</w:t>
        </w:r>
        <w:r>
          <w:rPr>
            <w:webHidden/>
          </w:rPr>
          <w:tab/>
        </w:r>
        <w:r>
          <w:rPr>
            <w:webHidden/>
          </w:rPr>
          <w:fldChar w:fldCharType="begin"/>
        </w:r>
        <w:r>
          <w:rPr>
            <w:webHidden/>
          </w:rPr>
          <w:instrText xml:space="preserve"> PAGEREF _Toc119584517 \h </w:instrText>
        </w:r>
        <w:r>
          <w:rPr>
            <w:webHidden/>
          </w:rPr>
        </w:r>
        <w:r>
          <w:rPr>
            <w:webHidden/>
          </w:rPr>
          <w:fldChar w:fldCharType="separate"/>
        </w:r>
        <w:r>
          <w:rPr>
            <w:webHidden/>
          </w:rPr>
          <w:t>648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8" w:history="1">
        <w:r w:rsidRPr="008E79CA">
          <w:rPr>
            <w:rStyle w:val="af5"/>
          </w:rPr>
          <w:t>Рисунок 331 – Макет отчета «Сведения о ФХД ФОИВ». Представление «Исполнение бюджета» – «Источники»</w:t>
        </w:r>
        <w:r>
          <w:rPr>
            <w:webHidden/>
          </w:rPr>
          <w:tab/>
        </w:r>
        <w:r>
          <w:rPr>
            <w:webHidden/>
          </w:rPr>
          <w:fldChar w:fldCharType="begin"/>
        </w:r>
        <w:r>
          <w:rPr>
            <w:webHidden/>
          </w:rPr>
          <w:instrText xml:space="preserve"> PAGEREF _Toc119584518 \h </w:instrText>
        </w:r>
        <w:r>
          <w:rPr>
            <w:webHidden/>
          </w:rPr>
        </w:r>
        <w:r>
          <w:rPr>
            <w:webHidden/>
          </w:rPr>
          <w:fldChar w:fldCharType="separate"/>
        </w:r>
        <w:r>
          <w:rPr>
            <w:webHidden/>
          </w:rPr>
          <w:t>651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19" w:history="1">
        <w:r w:rsidRPr="008E79CA">
          <w:rPr>
            <w:rStyle w:val="af5"/>
          </w:rPr>
          <w:t>Рисунок 332 – Макет отчета «Сведения о ФХД ФОИВ. Качество данных». Представление «Мониторинг загрузки» – «Статистика загрузки» - «Свод»</w:t>
        </w:r>
        <w:r>
          <w:rPr>
            <w:webHidden/>
          </w:rPr>
          <w:tab/>
        </w:r>
        <w:r>
          <w:rPr>
            <w:webHidden/>
          </w:rPr>
          <w:fldChar w:fldCharType="begin"/>
        </w:r>
        <w:r>
          <w:rPr>
            <w:webHidden/>
          </w:rPr>
          <w:instrText xml:space="preserve"> PAGEREF _Toc119584519 \h </w:instrText>
        </w:r>
        <w:r>
          <w:rPr>
            <w:webHidden/>
          </w:rPr>
        </w:r>
        <w:r>
          <w:rPr>
            <w:webHidden/>
          </w:rPr>
          <w:fldChar w:fldCharType="separate"/>
        </w:r>
        <w:r>
          <w:rPr>
            <w:webHidden/>
          </w:rPr>
          <w:t>652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0" w:history="1">
        <w:r w:rsidRPr="008E79CA">
          <w:rPr>
            <w:rStyle w:val="af5"/>
          </w:rPr>
          <w:t>Рисунок 333 – Макет отчета «Сведения о ФХД ФОИВ. Качество данных». Представление «Мониторинг загрузки» – «Статистика загрузки» - «статусы загрузки»</w:t>
        </w:r>
        <w:r>
          <w:rPr>
            <w:webHidden/>
          </w:rPr>
          <w:tab/>
        </w:r>
        <w:r>
          <w:rPr>
            <w:webHidden/>
          </w:rPr>
          <w:fldChar w:fldCharType="begin"/>
        </w:r>
        <w:r>
          <w:rPr>
            <w:webHidden/>
          </w:rPr>
          <w:instrText xml:space="preserve"> PAGEREF _Toc119584520 \h </w:instrText>
        </w:r>
        <w:r>
          <w:rPr>
            <w:webHidden/>
          </w:rPr>
        </w:r>
        <w:r>
          <w:rPr>
            <w:webHidden/>
          </w:rPr>
          <w:fldChar w:fldCharType="separate"/>
        </w:r>
        <w:r>
          <w:rPr>
            <w:webHidden/>
          </w:rPr>
          <w:t>653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1" w:history="1">
        <w:r w:rsidRPr="008E79CA">
          <w:rPr>
            <w:rStyle w:val="af5"/>
          </w:rPr>
          <w:t>Рисунок 334 – Макет отчета «Сведения о ФХД ФОИВ. Качество данных». Представление «Корректность ДКЗ» (Колонки 1-6)</w:t>
        </w:r>
        <w:r>
          <w:rPr>
            <w:webHidden/>
          </w:rPr>
          <w:tab/>
        </w:r>
        <w:r>
          <w:rPr>
            <w:webHidden/>
          </w:rPr>
          <w:fldChar w:fldCharType="begin"/>
        </w:r>
        <w:r>
          <w:rPr>
            <w:webHidden/>
          </w:rPr>
          <w:instrText xml:space="preserve"> PAGEREF _Toc119584521 \h </w:instrText>
        </w:r>
        <w:r>
          <w:rPr>
            <w:webHidden/>
          </w:rPr>
        </w:r>
        <w:r>
          <w:rPr>
            <w:webHidden/>
          </w:rPr>
          <w:fldChar w:fldCharType="separate"/>
        </w:r>
        <w:r>
          <w:rPr>
            <w:webHidden/>
          </w:rPr>
          <w:t>656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2" w:history="1">
        <w:r w:rsidRPr="008E79CA">
          <w:rPr>
            <w:rStyle w:val="af5"/>
          </w:rPr>
          <w:t>Рисунок 335 – Макет отчета «Сведения о ФХД ФОИВ. Качество данных». Представление «Корректность ДКЗ» (Колонки 7-11)</w:t>
        </w:r>
        <w:r>
          <w:rPr>
            <w:webHidden/>
          </w:rPr>
          <w:tab/>
        </w:r>
        <w:r>
          <w:rPr>
            <w:webHidden/>
          </w:rPr>
          <w:fldChar w:fldCharType="begin"/>
        </w:r>
        <w:r>
          <w:rPr>
            <w:webHidden/>
          </w:rPr>
          <w:instrText xml:space="preserve"> PAGEREF _Toc119584522 \h </w:instrText>
        </w:r>
        <w:r>
          <w:rPr>
            <w:webHidden/>
          </w:rPr>
        </w:r>
        <w:r>
          <w:rPr>
            <w:webHidden/>
          </w:rPr>
          <w:fldChar w:fldCharType="separate"/>
        </w:r>
        <w:r>
          <w:rPr>
            <w:webHidden/>
          </w:rPr>
          <w:t>657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3" w:history="1">
        <w:r w:rsidRPr="008E79CA">
          <w:rPr>
            <w:rStyle w:val="af5"/>
          </w:rPr>
          <w:t>Рисунок 336 – Макет отчета «Сведения о ФХД ФОИВ. Качество данных». Представление «Корректность ДКЗ по КБК»</w:t>
        </w:r>
        <w:r>
          <w:rPr>
            <w:webHidden/>
          </w:rPr>
          <w:tab/>
        </w:r>
        <w:r>
          <w:rPr>
            <w:webHidden/>
          </w:rPr>
          <w:fldChar w:fldCharType="begin"/>
        </w:r>
        <w:r>
          <w:rPr>
            <w:webHidden/>
          </w:rPr>
          <w:instrText xml:space="preserve"> PAGEREF _Toc119584523 \h </w:instrText>
        </w:r>
        <w:r>
          <w:rPr>
            <w:webHidden/>
          </w:rPr>
        </w:r>
        <w:r>
          <w:rPr>
            <w:webHidden/>
          </w:rPr>
          <w:fldChar w:fldCharType="separate"/>
        </w:r>
        <w:r>
          <w:rPr>
            <w:webHidden/>
          </w:rPr>
          <w:t>659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4" w:history="1">
        <w:r w:rsidRPr="008E79CA">
          <w:rPr>
            <w:rStyle w:val="af5"/>
          </w:rPr>
          <w:t>Рисунок 337 – Макет отчета «Сведения о ФХД ФОИВ. Качество данных». Представление «Разделение ДКЗ»</w:t>
        </w:r>
        <w:r>
          <w:rPr>
            <w:webHidden/>
          </w:rPr>
          <w:tab/>
        </w:r>
        <w:r>
          <w:rPr>
            <w:webHidden/>
          </w:rPr>
          <w:fldChar w:fldCharType="begin"/>
        </w:r>
        <w:r>
          <w:rPr>
            <w:webHidden/>
          </w:rPr>
          <w:instrText xml:space="preserve"> PAGEREF _Toc119584524 \h </w:instrText>
        </w:r>
        <w:r>
          <w:rPr>
            <w:webHidden/>
          </w:rPr>
        </w:r>
        <w:r>
          <w:rPr>
            <w:webHidden/>
          </w:rPr>
          <w:fldChar w:fldCharType="separate"/>
        </w:r>
        <w:r>
          <w:rPr>
            <w:webHidden/>
          </w:rPr>
          <w:t>662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5" w:history="1">
        <w:r w:rsidRPr="008E79CA">
          <w:rPr>
            <w:rStyle w:val="af5"/>
          </w:rPr>
          <w:t>Рисунок 338 – Макет отчета «Сведения о ФХД ФОИВ. Качество данных». Представление «Незакрытые остатки ДКЗ»</w:t>
        </w:r>
        <w:r>
          <w:rPr>
            <w:webHidden/>
          </w:rPr>
          <w:tab/>
        </w:r>
        <w:r>
          <w:rPr>
            <w:webHidden/>
          </w:rPr>
          <w:fldChar w:fldCharType="begin"/>
        </w:r>
        <w:r>
          <w:rPr>
            <w:webHidden/>
          </w:rPr>
          <w:instrText xml:space="preserve"> PAGEREF _Toc119584525 \h </w:instrText>
        </w:r>
        <w:r>
          <w:rPr>
            <w:webHidden/>
          </w:rPr>
        </w:r>
        <w:r>
          <w:rPr>
            <w:webHidden/>
          </w:rPr>
          <w:fldChar w:fldCharType="separate"/>
        </w:r>
        <w:r>
          <w:rPr>
            <w:webHidden/>
          </w:rPr>
          <w:t>666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6" w:history="1">
        <w:r w:rsidRPr="008E79CA">
          <w:rPr>
            <w:rStyle w:val="af5"/>
          </w:rPr>
          <w:t>Рисунок 339 – Представление «Применение классификаторов и счетов учета» (Колонки 1-10)</w:t>
        </w:r>
        <w:r>
          <w:rPr>
            <w:webHidden/>
          </w:rPr>
          <w:tab/>
        </w:r>
        <w:r>
          <w:rPr>
            <w:webHidden/>
          </w:rPr>
          <w:fldChar w:fldCharType="begin"/>
        </w:r>
        <w:r>
          <w:rPr>
            <w:webHidden/>
          </w:rPr>
          <w:instrText xml:space="preserve"> PAGEREF _Toc119584526 \h </w:instrText>
        </w:r>
        <w:r>
          <w:rPr>
            <w:webHidden/>
          </w:rPr>
        </w:r>
        <w:r>
          <w:rPr>
            <w:webHidden/>
          </w:rPr>
          <w:fldChar w:fldCharType="separate"/>
        </w:r>
        <w:r>
          <w:rPr>
            <w:webHidden/>
          </w:rPr>
          <w:t>673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7" w:history="1">
        <w:r w:rsidRPr="008E79CA">
          <w:rPr>
            <w:rStyle w:val="af5"/>
          </w:rPr>
          <w:t>Рисунок 340 – Представление «Применение классификаторов и счетов учета» (Колонки 11-23)</w:t>
        </w:r>
        <w:r>
          <w:rPr>
            <w:webHidden/>
          </w:rPr>
          <w:tab/>
        </w:r>
        <w:r>
          <w:rPr>
            <w:webHidden/>
          </w:rPr>
          <w:fldChar w:fldCharType="begin"/>
        </w:r>
        <w:r>
          <w:rPr>
            <w:webHidden/>
          </w:rPr>
          <w:instrText xml:space="preserve"> PAGEREF _Toc119584527 \h </w:instrText>
        </w:r>
        <w:r>
          <w:rPr>
            <w:webHidden/>
          </w:rPr>
        </w:r>
        <w:r>
          <w:rPr>
            <w:webHidden/>
          </w:rPr>
          <w:fldChar w:fldCharType="separate"/>
        </w:r>
        <w:r>
          <w:rPr>
            <w:webHidden/>
          </w:rPr>
          <w:t>673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8" w:history="1">
        <w:r w:rsidRPr="008E79CA">
          <w:rPr>
            <w:rStyle w:val="af5"/>
          </w:rPr>
          <w:t>Рисунок 341 – «Применение классификаторов и счетов учета» (Колонки 24-33)</w:t>
        </w:r>
        <w:r>
          <w:rPr>
            <w:webHidden/>
          </w:rPr>
          <w:tab/>
        </w:r>
        <w:r>
          <w:rPr>
            <w:webHidden/>
          </w:rPr>
          <w:fldChar w:fldCharType="begin"/>
        </w:r>
        <w:r>
          <w:rPr>
            <w:webHidden/>
          </w:rPr>
          <w:instrText xml:space="preserve"> PAGEREF _Toc119584528 \h </w:instrText>
        </w:r>
        <w:r>
          <w:rPr>
            <w:webHidden/>
          </w:rPr>
        </w:r>
        <w:r>
          <w:rPr>
            <w:webHidden/>
          </w:rPr>
          <w:fldChar w:fldCharType="separate"/>
        </w:r>
        <w:r>
          <w:rPr>
            <w:webHidden/>
          </w:rPr>
          <w:t>674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29" w:history="1">
        <w:r w:rsidRPr="008E79CA">
          <w:rPr>
            <w:rStyle w:val="af5"/>
          </w:rPr>
          <w:t>Рисунок 342 – Плашка для перехода к отчету «Дебиторская и кредиторская задолженность»</w:t>
        </w:r>
        <w:r>
          <w:rPr>
            <w:webHidden/>
          </w:rPr>
          <w:tab/>
        </w:r>
        <w:r>
          <w:rPr>
            <w:webHidden/>
          </w:rPr>
          <w:fldChar w:fldCharType="begin"/>
        </w:r>
        <w:r>
          <w:rPr>
            <w:webHidden/>
          </w:rPr>
          <w:instrText xml:space="preserve"> PAGEREF _Toc119584529 \h </w:instrText>
        </w:r>
        <w:r>
          <w:rPr>
            <w:webHidden/>
          </w:rPr>
        </w:r>
        <w:r>
          <w:rPr>
            <w:webHidden/>
          </w:rPr>
          <w:fldChar w:fldCharType="separate"/>
        </w:r>
        <w:r>
          <w:rPr>
            <w:webHidden/>
          </w:rPr>
          <w:t>674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0" w:history="1">
        <w:r w:rsidRPr="008E79CA">
          <w:rPr>
            <w:rStyle w:val="af5"/>
          </w:rPr>
          <w:t>Рисунок 343 – Макет отчета «Дебиторская и кредиторская задолженность». Представление «Инфографика»</w:t>
        </w:r>
        <w:r>
          <w:rPr>
            <w:webHidden/>
          </w:rPr>
          <w:tab/>
        </w:r>
        <w:r>
          <w:rPr>
            <w:webHidden/>
          </w:rPr>
          <w:fldChar w:fldCharType="begin"/>
        </w:r>
        <w:r>
          <w:rPr>
            <w:webHidden/>
          </w:rPr>
          <w:instrText xml:space="preserve"> PAGEREF _Toc119584530 \h </w:instrText>
        </w:r>
        <w:r>
          <w:rPr>
            <w:webHidden/>
          </w:rPr>
        </w:r>
        <w:r>
          <w:rPr>
            <w:webHidden/>
          </w:rPr>
          <w:fldChar w:fldCharType="separate"/>
        </w:r>
        <w:r>
          <w:rPr>
            <w:webHidden/>
          </w:rPr>
          <w:t>675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1" w:history="1">
        <w:r w:rsidRPr="008E79CA">
          <w:rPr>
            <w:rStyle w:val="af5"/>
          </w:rPr>
          <w:t>Рисунок 344 – Макет отчета «Дебиторская и кредиторская задолженность». Представление «ГРБС»</w:t>
        </w:r>
        <w:r>
          <w:rPr>
            <w:webHidden/>
          </w:rPr>
          <w:tab/>
        </w:r>
        <w:r>
          <w:rPr>
            <w:webHidden/>
          </w:rPr>
          <w:fldChar w:fldCharType="begin"/>
        </w:r>
        <w:r>
          <w:rPr>
            <w:webHidden/>
          </w:rPr>
          <w:instrText xml:space="preserve"> PAGEREF _Toc119584531 \h </w:instrText>
        </w:r>
        <w:r>
          <w:rPr>
            <w:webHidden/>
          </w:rPr>
        </w:r>
        <w:r>
          <w:rPr>
            <w:webHidden/>
          </w:rPr>
          <w:fldChar w:fldCharType="separate"/>
        </w:r>
        <w:r>
          <w:rPr>
            <w:webHidden/>
          </w:rPr>
          <w:t>677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2" w:history="1">
        <w:r w:rsidRPr="008E79CA">
          <w:rPr>
            <w:rStyle w:val="af5"/>
          </w:rPr>
          <w:t>Рисунок 345 – Макет отчета «Дебиторская и кредиторская задолженность». Представление Счета»</w:t>
        </w:r>
        <w:r>
          <w:rPr>
            <w:webHidden/>
          </w:rPr>
          <w:tab/>
        </w:r>
        <w:r>
          <w:rPr>
            <w:webHidden/>
          </w:rPr>
          <w:fldChar w:fldCharType="begin"/>
        </w:r>
        <w:r>
          <w:rPr>
            <w:webHidden/>
          </w:rPr>
          <w:instrText xml:space="preserve"> PAGEREF _Toc119584532 \h </w:instrText>
        </w:r>
        <w:r>
          <w:rPr>
            <w:webHidden/>
          </w:rPr>
        </w:r>
        <w:r>
          <w:rPr>
            <w:webHidden/>
          </w:rPr>
          <w:fldChar w:fldCharType="separate"/>
        </w:r>
        <w:r>
          <w:rPr>
            <w:webHidden/>
          </w:rPr>
          <w:t>678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3" w:history="1">
        <w:r w:rsidRPr="008E79CA">
          <w:rPr>
            <w:rStyle w:val="af5"/>
          </w:rPr>
          <w:t>Рисунок 346 – Макет отчета «Дебиторская и кредиторская задолженность - Контрагенты»</w:t>
        </w:r>
        <w:r>
          <w:rPr>
            <w:webHidden/>
          </w:rPr>
          <w:tab/>
        </w:r>
        <w:r>
          <w:rPr>
            <w:webHidden/>
          </w:rPr>
          <w:fldChar w:fldCharType="begin"/>
        </w:r>
        <w:r>
          <w:rPr>
            <w:webHidden/>
          </w:rPr>
          <w:instrText xml:space="preserve"> PAGEREF _Toc119584533 \h </w:instrText>
        </w:r>
        <w:r>
          <w:rPr>
            <w:webHidden/>
          </w:rPr>
        </w:r>
        <w:r>
          <w:rPr>
            <w:webHidden/>
          </w:rPr>
          <w:fldChar w:fldCharType="separate"/>
        </w:r>
        <w:r>
          <w:rPr>
            <w:webHidden/>
          </w:rPr>
          <w:t>680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4" w:history="1">
        <w:r w:rsidRPr="008E79CA">
          <w:rPr>
            <w:rStyle w:val="af5"/>
          </w:rPr>
          <w:t>Рисунок 347 – Макет отчета «Дебиторская и кредиторская задолженность - Договоры»</w:t>
        </w:r>
        <w:r>
          <w:rPr>
            <w:webHidden/>
          </w:rPr>
          <w:tab/>
        </w:r>
        <w:r>
          <w:rPr>
            <w:webHidden/>
          </w:rPr>
          <w:fldChar w:fldCharType="begin"/>
        </w:r>
        <w:r>
          <w:rPr>
            <w:webHidden/>
          </w:rPr>
          <w:instrText xml:space="preserve"> PAGEREF _Toc119584534 \h </w:instrText>
        </w:r>
        <w:r>
          <w:rPr>
            <w:webHidden/>
          </w:rPr>
        </w:r>
        <w:r>
          <w:rPr>
            <w:webHidden/>
          </w:rPr>
          <w:fldChar w:fldCharType="separate"/>
        </w:r>
        <w:r>
          <w:rPr>
            <w:webHidden/>
          </w:rPr>
          <w:t>682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5" w:history="1">
        <w:r w:rsidRPr="008E79CA">
          <w:rPr>
            <w:rStyle w:val="af5"/>
          </w:rPr>
          <w:t>Рисунок 348 – Элементы кросс-таблицы</w:t>
        </w:r>
        <w:r>
          <w:rPr>
            <w:webHidden/>
          </w:rPr>
          <w:tab/>
        </w:r>
        <w:r>
          <w:rPr>
            <w:webHidden/>
          </w:rPr>
          <w:fldChar w:fldCharType="begin"/>
        </w:r>
        <w:r>
          <w:rPr>
            <w:webHidden/>
          </w:rPr>
          <w:instrText xml:space="preserve"> PAGEREF _Toc119584535 \h </w:instrText>
        </w:r>
        <w:r>
          <w:rPr>
            <w:webHidden/>
          </w:rPr>
        </w:r>
        <w:r>
          <w:rPr>
            <w:webHidden/>
          </w:rPr>
          <w:fldChar w:fldCharType="separate"/>
        </w:r>
        <w:r>
          <w:rPr>
            <w:webHidden/>
          </w:rPr>
          <w:t>684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6" w:history="1">
        <w:r w:rsidRPr="008E79CA">
          <w:rPr>
            <w:rStyle w:val="af5"/>
          </w:rPr>
          <w:t>Рисунок 349 – Контекстное меню измерения с иерархией</w:t>
        </w:r>
        <w:r>
          <w:rPr>
            <w:webHidden/>
          </w:rPr>
          <w:tab/>
        </w:r>
        <w:r>
          <w:rPr>
            <w:webHidden/>
          </w:rPr>
          <w:fldChar w:fldCharType="begin"/>
        </w:r>
        <w:r>
          <w:rPr>
            <w:webHidden/>
          </w:rPr>
          <w:instrText xml:space="preserve"> PAGEREF _Toc119584536 \h </w:instrText>
        </w:r>
        <w:r>
          <w:rPr>
            <w:webHidden/>
          </w:rPr>
        </w:r>
        <w:r>
          <w:rPr>
            <w:webHidden/>
          </w:rPr>
          <w:fldChar w:fldCharType="separate"/>
        </w:r>
        <w:r>
          <w:rPr>
            <w:webHidden/>
          </w:rPr>
          <w:t>685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7" w:history="1">
        <w:r w:rsidRPr="008E79CA">
          <w:rPr>
            <w:rStyle w:val="af5"/>
          </w:rPr>
          <w:t>Рисунок 350 – Контекстное меню измерения без иерархии</w:t>
        </w:r>
        <w:r>
          <w:rPr>
            <w:webHidden/>
          </w:rPr>
          <w:tab/>
        </w:r>
        <w:r>
          <w:rPr>
            <w:webHidden/>
          </w:rPr>
          <w:fldChar w:fldCharType="begin"/>
        </w:r>
        <w:r>
          <w:rPr>
            <w:webHidden/>
          </w:rPr>
          <w:instrText xml:space="preserve"> PAGEREF _Toc119584537 \h </w:instrText>
        </w:r>
        <w:r>
          <w:rPr>
            <w:webHidden/>
          </w:rPr>
        </w:r>
        <w:r>
          <w:rPr>
            <w:webHidden/>
          </w:rPr>
          <w:fldChar w:fldCharType="separate"/>
        </w:r>
        <w:r>
          <w:rPr>
            <w:webHidden/>
          </w:rPr>
          <w:t>685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8" w:history="1">
        <w:r w:rsidRPr="008E79CA">
          <w:rPr>
            <w:rStyle w:val="af5"/>
          </w:rPr>
          <w:t>Рисунок 351 – Контекстное меню элемента измерения с иерархией</w:t>
        </w:r>
        <w:r>
          <w:rPr>
            <w:webHidden/>
          </w:rPr>
          <w:tab/>
        </w:r>
        <w:r>
          <w:rPr>
            <w:webHidden/>
          </w:rPr>
          <w:fldChar w:fldCharType="begin"/>
        </w:r>
        <w:r>
          <w:rPr>
            <w:webHidden/>
          </w:rPr>
          <w:instrText xml:space="preserve"> PAGEREF _Toc119584538 \h </w:instrText>
        </w:r>
        <w:r>
          <w:rPr>
            <w:webHidden/>
          </w:rPr>
        </w:r>
        <w:r>
          <w:rPr>
            <w:webHidden/>
          </w:rPr>
          <w:fldChar w:fldCharType="separate"/>
        </w:r>
        <w:r>
          <w:rPr>
            <w:webHidden/>
          </w:rPr>
          <w:t>687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39" w:history="1">
        <w:r w:rsidRPr="008E79CA">
          <w:rPr>
            <w:rStyle w:val="af5"/>
          </w:rPr>
          <w:t>Рисунок 352 – Контекстное меню элемента измерения без иерархии</w:t>
        </w:r>
        <w:r>
          <w:rPr>
            <w:webHidden/>
          </w:rPr>
          <w:tab/>
        </w:r>
        <w:r>
          <w:rPr>
            <w:webHidden/>
          </w:rPr>
          <w:fldChar w:fldCharType="begin"/>
        </w:r>
        <w:r>
          <w:rPr>
            <w:webHidden/>
          </w:rPr>
          <w:instrText xml:space="preserve"> PAGEREF _Toc119584539 \h </w:instrText>
        </w:r>
        <w:r>
          <w:rPr>
            <w:webHidden/>
          </w:rPr>
        </w:r>
        <w:r>
          <w:rPr>
            <w:webHidden/>
          </w:rPr>
          <w:fldChar w:fldCharType="separate"/>
        </w:r>
        <w:r>
          <w:rPr>
            <w:webHidden/>
          </w:rPr>
          <w:t>687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0" w:history="1">
        <w:r w:rsidRPr="008E79CA">
          <w:rPr>
            <w:rStyle w:val="af5"/>
          </w:rPr>
          <w:t>Рисунок 353 – Контекстное меню меры</w:t>
        </w:r>
        <w:r>
          <w:rPr>
            <w:webHidden/>
          </w:rPr>
          <w:tab/>
        </w:r>
        <w:r>
          <w:rPr>
            <w:webHidden/>
          </w:rPr>
          <w:fldChar w:fldCharType="begin"/>
        </w:r>
        <w:r>
          <w:rPr>
            <w:webHidden/>
          </w:rPr>
          <w:instrText xml:space="preserve"> PAGEREF _Toc119584540 \h </w:instrText>
        </w:r>
        <w:r>
          <w:rPr>
            <w:webHidden/>
          </w:rPr>
        </w:r>
        <w:r>
          <w:rPr>
            <w:webHidden/>
          </w:rPr>
          <w:fldChar w:fldCharType="separate"/>
        </w:r>
        <w:r>
          <w:rPr>
            <w:webHidden/>
          </w:rPr>
          <w:t>688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1" w:history="1">
        <w:r w:rsidRPr="008E79CA">
          <w:rPr>
            <w:rStyle w:val="af5"/>
          </w:rPr>
          <w:t>Рисунок 354 – Контекстное меню элемента данных</w:t>
        </w:r>
        <w:r>
          <w:rPr>
            <w:webHidden/>
          </w:rPr>
          <w:tab/>
        </w:r>
        <w:r>
          <w:rPr>
            <w:webHidden/>
          </w:rPr>
          <w:fldChar w:fldCharType="begin"/>
        </w:r>
        <w:r>
          <w:rPr>
            <w:webHidden/>
          </w:rPr>
          <w:instrText xml:space="preserve"> PAGEREF _Toc119584541 \h </w:instrText>
        </w:r>
        <w:r>
          <w:rPr>
            <w:webHidden/>
          </w:rPr>
        </w:r>
        <w:r>
          <w:rPr>
            <w:webHidden/>
          </w:rPr>
          <w:fldChar w:fldCharType="separate"/>
        </w:r>
        <w:r>
          <w:rPr>
            <w:webHidden/>
          </w:rPr>
          <w:t>688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2" w:history="1">
        <w:r w:rsidRPr="008E79CA">
          <w:rPr>
            <w:rStyle w:val="af5"/>
          </w:rPr>
          <w:t>Рисунок 355 – Функция «Развернуть» для измерения с иерархией</w:t>
        </w:r>
        <w:r>
          <w:rPr>
            <w:webHidden/>
          </w:rPr>
          <w:tab/>
        </w:r>
        <w:r>
          <w:rPr>
            <w:webHidden/>
          </w:rPr>
          <w:fldChar w:fldCharType="begin"/>
        </w:r>
        <w:r>
          <w:rPr>
            <w:webHidden/>
          </w:rPr>
          <w:instrText xml:space="preserve"> PAGEREF _Toc119584542 \h </w:instrText>
        </w:r>
        <w:r>
          <w:rPr>
            <w:webHidden/>
          </w:rPr>
        </w:r>
        <w:r>
          <w:rPr>
            <w:webHidden/>
          </w:rPr>
          <w:fldChar w:fldCharType="separate"/>
        </w:r>
        <w:r>
          <w:rPr>
            <w:webHidden/>
          </w:rPr>
          <w:t>689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3" w:history="1">
        <w:r w:rsidRPr="008E79CA">
          <w:rPr>
            <w:rStyle w:val="af5"/>
          </w:rPr>
          <w:t>Рисунок 356 – Результат функции «Развернуть» для измерения с иерархией</w:t>
        </w:r>
        <w:r>
          <w:rPr>
            <w:webHidden/>
          </w:rPr>
          <w:tab/>
        </w:r>
        <w:r>
          <w:rPr>
            <w:webHidden/>
          </w:rPr>
          <w:fldChar w:fldCharType="begin"/>
        </w:r>
        <w:r>
          <w:rPr>
            <w:webHidden/>
          </w:rPr>
          <w:instrText xml:space="preserve"> PAGEREF _Toc119584543 \h </w:instrText>
        </w:r>
        <w:r>
          <w:rPr>
            <w:webHidden/>
          </w:rPr>
        </w:r>
        <w:r>
          <w:rPr>
            <w:webHidden/>
          </w:rPr>
          <w:fldChar w:fldCharType="separate"/>
        </w:r>
        <w:r>
          <w:rPr>
            <w:webHidden/>
          </w:rPr>
          <w:t>690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4" w:history="1">
        <w:r w:rsidRPr="008E79CA">
          <w:rPr>
            <w:rStyle w:val="af5"/>
          </w:rPr>
          <w:t>Рисунок 357 – Функция «Свернуть» для измерения с иерархией</w:t>
        </w:r>
        <w:r>
          <w:rPr>
            <w:webHidden/>
          </w:rPr>
          <w:tab/>
        </w:r>
        <w:r>
          <w:rPr>
            <w:webHidden/>
          </w:rPr>
          <w:fldChar w:fldCharType="begin"/>
        </w:r>
        <w:r>
          <w:rPr>
            <w:webHidden/>
          </w:rPr>
          <w:instrText xml:space="preserve"> PAGEREF _Toc119584544 \h </w:instrText>
        </w:r>
        <w:r>
          <w:rPr>
            <w:webHidden/>
          </w:rPr>
        </w:r>
        <w:r>
          <w:rPr>
            <w:webHidden/>
          </w:rPr>
          <w:fldChar w:fldCharType="separate"/>
        </w:r>
        <w:r>
          <w:rPr>
            <w:webHidden/>
          </w:rPr>
          <w:t>690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5" w:history="1">
        <w:r w:rsidRPr="008E79CA">
          <w:rPr>
            <w:rStyle w:val="af5"/>
          </w:rPr>
          <w:t>Рисунок 358 – Результат функции «Свернуть» для измерения с иерархией</w:t>
        </w:r>
        <w:r>
          <w:rPr>
            <w:webHidden/>
          </w:rPr>
          <w:tab/>
        </w:r>
        <w:r>
          <w:rPr>
            <w:webHidden/>
          </w:rPr>
          <w:fldChar w:fldCharType="begin"/>
        </w:r>
        <w:r>
          <w:rPr>
            <w:webHidden/>
          </w:rPr>
          <w:instrText xml:space="preserve"> PAGEREF _Toc119584545 \h </w:instrText>
        </w:r>
        <w:r>
          <w:rPr>
            <w:webHidden/>
          </w:rPr>
        </w:r>
        <w:r>
          <w:rPr>
            <w:webHidden/>
          </w:rPr>
          <w:fldChar w:fldCharType="separate"/>
        </w:r>
        <w:r>
          <w:rPr>
            <w:webHidden/>
          </w:rPr>
          <w:t>691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6" w:history="1">
        <w:r w:rsidRPr="008E79CA">
          <w:rPr>
            <w:rStyle w:val="af5"/>
          </w:rPr>
          <w:t>Рисунок 359 - Перечень доступных для добавления измерений</w:t>
        </w:r>
        <w:r>
          <w:rPr>
            <w:webHidden/>
          </w:rPr>
          <w:tab/>
        </w:r>
        <w:r>
          <w:rPr>
            <w:webHidden/>
          </w:rPr>
          <w:fldChar w:fldCharType="begin"/>
        </w:r>
        <w:r>
          <w:rPr>
            <w:webHidden/>
          </w:rPr>
          <w:instrText xml:space="preserve"> PAGEREF _Toc119584546 \h </w:instrText>
        </w:r>
        <w:r>
          <w:rPr>
            <w:webHidden/>
          </w:rPr>
        </w:r>
        <w:r>
          <w:rPr>
            <w:webHidden/>
          </w:rPr>
          <w:fldChar w:fldCharType="separate"/>
        </w:r>
        <w:r>
          <w:rPr>
            <w:webHidden/>
          </w:rPr>
          <w:t>692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7" w:history="1">
        <w:r w:rsidRPr="008E79CA">
          <w:rPr>
            <w:rStyle w:val="af5"/>
          </w:rPr>
          <w:t>Рисунок 360 - Результат функции «Добавить» для измерения с иерархией</w:t>
        </w:r>
        <w:r>
          <w:rPr>
            <w:webHidden/>
          </w:rPr>
          <w:tab/>
        </w:r>
        <w:r>
          <w:rPr>
            <w:webHidden/>
          </w:rPr>
          <w:fldChar w:fldCharType="begin"/>
        </w:r>
        <w:r>
          <w:rPr>
            <w:webHidden/>
          </w:rPr>
          <w:instrText xml:space="preserve"> PAGEREF _Toc119584547 \h </w:instrText>
        </w:r>
        <w:r>
          <w:rPr>
            <w:webHidden/>
          </w:rPr>
        </w:r>
        <w:r>
          <w:rPr>
            <w:webHidden/>
          </w:rPr>
          <w:fldChar w:fldCharType="separate"/>
        </w:r>
        <w:r>
          <w:rPr>
            <w:webHidden/>
          </w:rPr>
          <w:t>693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8" w:history="1">
        <w:r w:rsidRPr="008E79CA">
          <w:rPr>
            <w:rStyle w:val="af5"/>
          </w:rPr>
          <w:t>Рисунок 361 - Функция «Заменить» для измерения с иерархией</w:t>
        </w:r>
        <w:r>
          <w:rPr>
            <w:webHidden/>
          </w:rPr>
          <w:tab/>
        </w:r>
        <w:r>
          <w:rPr>
            <w:webHidden/>
          </w:rPr>
          <w:fldChar w:fldCharType="begin"/>
        </w:r>
        <w:r>
          <w:rPr>
            <w:webHidden/>
          </w:rPr>
          <w:instrText xml:space="preserve"> PAGEREF _Toc119584548 \h </w:instrText>
        </w:r>
        <w:r>
          <w:rPr>
            <w:webHidden/>
          </w:rPr>
        </w:r>
        <w:r>
          <w:rPr>
            <w:webHidden/>
          </w:rPr>
          <w:fldChar w:fldCharType="separate"/>
        </w:r>
        <w:r>
          <w:rPr>
            <w:webHidden/>
          </w:rPr>
          <w:t>694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49" w:history="1">
        <w:r w:rsidRPr="008E79CA">
          <w:rPr>
            <w:rStyle w:val="af5"/>
          </w:rPr>
          <w:t>Рисунок 362 - Результат функции «Заменить» для измерения с иерархии</w:t>
        </w:r>
        <w:r>
          <w:rPr>
            <w:webHidden/>
          </w:rPr>
          <w:tab/>
        </w:r>
        <w:r>
          <w:rPr>
            <w:webHidden/>
          </w:rPr>
          <w:fldChar w:fldCharType="begin"/>
        </w:r>
        <w:r>
          <w:rPr>
            <w:webHidden/>
          </w:rPr>
          <w:instrText xml:space="preserve"> PAGEREF _Toc119584549 \h </w:instrText>
        </w:r>
        <w:r>
          <w:rPr>
            <w:webHidden/>
          </w:rPr>
        </w:r>
        <w:r>
          <w:rPr>
            <w:webHidden/>
          </w:rPr>
          <w:fldChar w:fldCharType="separate"/>
        </w:r>
        <w:r>
          <w:rPr>
            <w:webHidden/>
          </w:rPr>
          <w:t>694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0" w:history="1">
        <w:r w:rsidRPr="008E79CA">
          <w:rPr>
            <w:rStyle w:val="af5"/>
          </w:rPr>
          <w:t>Рисунок 363 – Функция «Удалить» для измерения с иерархией</w:t>
        </w:r>
        <w:r>
          <w:rPr>
            <w:webHidden/>
          </w:rPr>
          <w:tab/>
        </w:r>
        <w:r>
          <w:rPr>
            <w:webHidden/>
          </w:rPr>
          <w:fldChar w:fldCharType="begin"/>
        </w:r>
        <w:r>
          <w:rPr>
            <w:webHidden/>
          </w:rPr>
          <w:instrText xml:space="preserve"> PAGEREF _Toc119584550 \h </w:instrText>
        </w:r>
        <w:r>
          <w:rPr>
            <w:webHidden/>
          </w:rPr>
        </w:r>
        <w:r>
          <w:rPr>
            <w:webHidden/>
          </w:rPr>
          <w:fldChar w:fldCharType="separate"/>
        </w:r>
        <w:r>
          <w:rPr>
            <w:webHidden/>
          </w:rPr>
          <w:t>695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1" w:history="1">
        <w:r w:rsidRPr="008E79CA">
          <w:rPr>
            <w:rStyle w:val="af5"/>
          </w:rPr>
          <w:t>Рисунок 364 - Результат функции «Удалить» для измерения с иерархией</w:t>
        </w:r>
        <w:r>
          <w:rPr>
            <w:webHidden/>
          </w:rPr>
          <w:tab/>
        </w:r>
        <w:r>
          <w:rPr>
            <w:webHidden/>
          </w:rPr>
          <w:fldChar w:fldCharType="begin"/>
        </w:r>
        <w:r>
          <w:rPr>
            <w:webHidden/>
          </w:rPr>
          <w:instrText xml:space="preserve"> PAGEREF _Toc119584551 \h </w:instrText>
        </w:r>
        <w:r>
          <w:rPr>
            <w:webHidden/>
          </w:rPr>
        </w:r>
        <w:r>
          <w:rPr>
            <w:webHidden/>
          </w:rPr>
          <w:fldChar w:fldCharType="separate"/>
        </w:r>
        <w:r>
          <w:rPr>
            <w:webHidden/>
          </w:rPr>
          <w:t>696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2" w:history="1">
        <w:r w:rsidRPr="008E79CA">
          <w:rPr>
            <w:rStyle w:val="af5"/>
          </w:rPr>
          <w:t>Рисунок 365 - Функция «В колонки» для измерения с иерархией</w:t>
        </w:r>
        <w:r>
          <w:rPr>
            <w:webHidden/>
          </w:rPr>
          <w:tab/>
        </w:r>
        <w:r>
          <w:rPr>
            <w:webHidden/>
          </w:rPr>
          <w:fldChar w:fldCharType="begin"/>
        </w:r>
        <w:r>
          <w:rPr>
            <w:webHidden/>
          </w:rPr>
          <w:instrText xml:space="preserve"> PAGEREF _Toc119584552 \h </w:instrText>
        </w:r>
        <w:r>
          <w:rPr>
            <w:webHidden/>
          </w:rPr>
        </w:r>
        <w:r>
          <w:rPr>
            <w:webHidden/>
          </w:rPr>
          <w:fldChar w:fldCharType="separate"/>
        </w:r>
        <w:r>
          <w:rPr>
            <w:webHidden/>
          </w:rPr>
          <w:t>697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3" w:history="1">
        <w:r w:rsidRPr="008E79CA">
          <w:rPr>
            <w:rStyle w:val="af5"/>
          </w:rPr>
          <w:t>Рисунок 366 - Результат функции «В колонки» для измерения с иерархией</w:t>
        </w:r>
        <w:r>
          <w:rPr>
            <w:webHidden/>
          </w:rPr>
          <w:tab/>
        </w:r>
        <w:r>
          <w:rPr>
            <w:webHidden/>
          </w:rPr>
          <w:fldChar w:fldCharType="begin"/>
        </w:r>
        <w:r>
          <w:rPr>
            <w:webHidden/>
          </w:rPr>
          <w:instrText xml:space="preserve"> PAGEREF _Toc119584553 \h </w:instrText>
        </w:r>
        <w:r>
          <w:rPr>
            <w:webHidden/>
          </w:rPr>
        </w:r>
        <w:r>
          <w:rPr>
            <w:webHidden/>
          </w:rPr>
          <w:fldChar w:fldCharType="separate"/>
        </w:r>
        <w:r>
          <w:rPr>
            <w:webHidden/>
          </w:rPr>
          <w:t>697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4" w:history="1">
        <w:r w:rsidRPr="008E79CA">
          <w:rPr>
            <w:rStyle w:val="af5"/>
          </w:rPr>
          <w:t>Рисунок 367 - Функция «В строки» для измерения с иерархией</w:t>
        </w:r>
        <w:r>
          <w:rPr>
            <w:webHidden/>
          </w:rPr>
          <w:tab/>
        </w:r>
        <w:r>
          <w:rPr>
            <w:webHidden/>
          </w:rPr>
          <w:fldChar w:fldCharType="begin"/>
        </w:r>
        <w:r>
          <w:rPr>
            <w:webHidden/>
          </w:rPr>
          <w:instrText xml:space="preserve"> PAGEREF _Toc119584554 \h </w:instrText>
        </w:r>
        <w:r>
          <w:rPr>
            <w:webHidden/>
          </w:rPr>
        </w:r>
        <w:r>
          <w:rPr>
            <w:webHidden/>
          </w:rPr>
          <w:fldChar w:fldCharType="separate"/>
        </w:r>
        <w:r>
          <w:rPr>
            <w:webHidden/>
          </w:rPr>
          <w:t>698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5" w:history="1">
        <w:r w:rsidRPr="008E79CA">
          <w:rPr>
            <w:rStyle w:val="af5"/>
          </w:rPr>
          <w:t>Рисунок 368 - Результат функции «В строки» для измерения с иерархией</w:t>
        </w:r>
        <w:r>
          <w:rPr>
            <w:webHidden/>
          </w:rPr>
          <w:tab/>
        </w:r>
        <w:r>
          <w:rPr>
            <w:webHidden/>
          </w:rPr>
          <w:fldChar w:fldCharType="begin"/>
        </w:r>
        <w:r>
          <w:rPr>
            <w:webHidden/>
          </w:rPr>
          <w:instrText xml:space="preserve"> PAGEREF _Toc119584555 \h </w:instrText>
        </w:r>
        <w:r>
          <w:rPr>
            <w:webHidden/>
          </w:rPr>
        </w:r>
        <w:r>
          <w:rPr>
            <w:webHidden/>
          </w:rPr>
          <w:fldChar w:fldCharType="separate"/>
        </w:r>
        <w:r>
          <w:rPr>
            <w:webHidden/>
          </w:rPr>
          <w:t>698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6" w:history="1">
        <w:r w:rsidRPr="008E79CA">
          <w:rPr>
            <w:rStyle w:val="af5"/>
          </w:rPr>
          <w:t>Рисунок 369 - Функция "Влево" для измерения с иерархией</w:t>
        </w:r>
        <w:r>
          <w:rPr>
            <w:webHidden/>
          </w:rPr>
          <w:tab/>
        </w:r>
        <w:r>
          <w:rPr>
            <w:webHidden/>
          </w:rPr>
          <w:fldChar w:fldCharType="begin"/>
        </w:r>
        <w:r>
          <w:rPr>
            <w:webHidden/>
          </w:rPr>
          <w:instrText xml:space="preserve"> PAGEREF _Toc119584556 \h </w:instrText>
        </w:r>
        <w:r>
          <w:rPr>
            <w:webHidden/>
          </w:rPr>
        </w:r>
        <w:r>
          <w:rPr>
            <w:webHidden/>
          </w:rPr>
          <w:fldChar w:fldCharType="separate"/>
        </w:r>
        <w:r>
          <w:rPr>
            <w:webHidden/>
          </w:rPr>
          <w:t>699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7" w:history="1">
        <w:r w:rsidRPr="008E79CA">
          <w:rPr>
            <w:rStyle w:val="af5"/>
          </w:rPr>
          <w:t>Рисунок 370 - Результат функции «Влево» для колонки «Глава»</w:t>
        </w:r>
        <w:r>
          <w:rPr>
            <w:webHidden/>
          </w:rPr>
          <w:tab/>
        </w:r>
        <w:r>
          <w:rPr>
            <w:webHidden/>
          </w:rPr>
          <w:fldChar w:fldCharType="begin"/>
        </w:r>
        <w:r>
          <w:rPr>
            <w:webHidden/>
          </w:rPr>
          <w:instrText xml:space="preserve"> PAGEREF _Toc119584557 \h </w:instrText>
        </w:r>
        <w:r>
          <w:rPr>
            <w:webHidden/>
          </w:rPr>
        </w:r>
        <w:r>
          <w:rPr>
            <w:webHidden/>
          </w:rPr>
          <w:fldChar w:fldCharType="separate"/>
        </w:r>
        <w:r>
          <w:rPr>
            <w:webHidden/>
          </w:rPr>
          <w:t>699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8" w:history="1">
        <w:r w:rsidRPr="008E79CA">
          <w:rPr>
            <w:rStyle w:val="af5"/>
          </w:rPr>
          <w:t>Рисунок 371 - Функция «Вправо» для измерения с иерархией</w:t>
        </w:r>
        <w:r>
          <w:rPr>
            <w:webHidden/>
          </w:rPr>
          <w:tab/>
        </w:r>
        <w:r>
          <w:rPr>
            <w:webHidden/>
          </w:rPr>
          <w:fldChar w:fldCharType="begin"/>
        </w:r>
        <w:r>
          <w:rPr>
            <w:webHidden/>
          </w:rPr>
          <w:instrText xml:space="preserve"> PAGEREF _Toc119584558 \h </w:instrText>
        </w:r>
        <w:r>
          <w:rPr>
            <w:webHidden/>
          </w:rPr>
        </w:r>
        <w:r>
          <w:rPr>
            <w:webHidden/>
          </w:rPr>
          <w:fldChar w:fldCharType="separate"/>
        </w:r>
        <w:r>
          <w:rPr>
            <w:webHidden/>
          </w:rPr>
          <w:t>700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59" w:history="1">
        <w:r w:rsidRPr="008E79CA">
          <w:rPr>
            <w:rStyle w:val="af5"/>
          </w:rPr>
          <w:t>Рисунок 372 - Результат функции «Вправо» для колонки «Глава»</w:t>
        </w:r>
        <w:r>
          <w:rPr>
            <w:webHidden/>
          </w:rPr>
          <w:tab/>
        </w:r>
        <w:r>
          <w:rPr>
            <w:webHidden/>
          </w:rPr>
          <w:fldChar w:fldCharType="begin"/>
        </w:r>
        <w:r>
          <w:rPr>
            <w:webHidden/>
          </w:rPr>
          <w:instrText xml:space="preserve"> PAGEREF _Toc119584559 \h </w:instrText>
        </w:r>
        <w:r>
          <w:rPr>
            <w:webHidden/>
          </w:rPr>
        </w:r>
        <w:r>
          <w:rPr>
            <w:webHidden/>
          </w:rPr>
          <w:fldChar w:fldCharType="separate"/>
        </w:r>
        <w:r>
          <w:rPr>
            <w:webHidden/>
          </w:rPr>
          <w:t>700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0" w:history="1">
        <w:r w:rsidRPr="008E79CA">
          <w:rPr>
            <w:rStyle w:val="af5"/>
          </w:rPr>
          <w:t>Рисунок 373 - Функция «Добавить» для измерения без иерархии</w:t>
        </w:r>
        <w:r>
          <w:rPr>
            <w:webHidden/>
          </w:rPr>
          <w:tab/>
        </w:r>
        <w:r>
          <w:rPr>
            <w:webHidden/>
          </w:rPr>
          <w:fldChar w:fldCharType="begin"/>
        </w:r>
        <w:r>
          <w:rPr>
            <w:webHidden/>
          </w:rPr>
          <w:instrText xml:space="preserve"> PAGEREF _Toc119584560 \h </w:instrText>
        </w:r>
        <w:r>
          <w:rPr>
            <w:webHidden/>
          </w:rPr>
        </w:r>
        <w:r>
          <w:rPr>
            <w:webHidden/>
          </w:rPr>
          <w:fldChar w:fldCharType="separate"/>
        </w:r>
        <w:r>
          <w:rPr>
            <w:webHidden/>
          </w:rPr>
          <w:t>701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1" w:history="1">
        <w:r w:rsidRPr="008E79CA">
          <w:rPr>
            <w:rStyle w:val="af5"/>
          </w:rPr>
          <w:t>Рисунок 374 - Результат функции «Добавить» для измерения без иерархии</w:t>
        </w:r>
        <w:r>
          <w:rPr>
            <w:webHidden/>
          </w:rPr>
          <w:tab/>
        </w:r>
        <w:r>
          <w:rPr>
            <w:webHidden/>
          </w:rPr>
          <w:fldChar w:fldCharType="begin"/>
        </w:r>
        <w:r>
          <w:rPr>
            <w:webHidden/>
          </w:rPr>
          <w:instrText xml:space="preserve"> PAGEREF _Toc119584561 \h </w:instrText>
        </w:r>
        <w:r>
          <w:rPr>
            <w:webHidden/>
          </w:rPr>
        </w:r>
        <w:r>
          <w:rPr>
            <w:webHidden/>
          </w:rPr>
          <w:fldChar w:fldCharType="separate"/>
        </w:r>
        <w:r>
          <w:rPr>
            <w:webHidden/>
          </w:rPr>
          <w:t>701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2" w:history="1">
        <w:r w:rsidRPr="008E79CA">
          <w:rPr>
            <w:rStyle w:val="af5"/>
          </w:rPr>
          <w:t>Рисунок 375 – Функция «Заменить» для измерения без иерархии</w:t>
        </w:r>
        <w:r>
          <w:rPr>
            <w:webHidden/>
          </w:rPr>
          <w:tab/>
        </w:r>
        <w:r>
          <w:rPr>
            <w:webHidden/>
          </w:rPr>
          <w:fldChar w:fldCharType="begin"/>
        </w:r>
        <w:r>
          <w:rPr>
            <w:webHidden/>
          </w:rPr>
          <w:instrText xml:space="preserve"> PAGEREF _Toc119584562 \h </w:instrText>
        </w:r>
        <w:r>
          <w:rPr>
            <w:webHidden/>
          </w:rPr>
        </w:r>
        <w:r>
          <w:rPr>
            <w:webHidden/>
          </w:rPr>
          <w:fldChar w:fldCharType="separate"/>
        </w:r>
        <w:r>
          <w:rPr>
            <w:webHidden/>
          </w:rPr>
          <w:t>702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3" w:history="1">
        <w:r w:rsidRPr="008E79CA">
          <w:rPr>
            <w:rStyle w:val="af5"/>
          </w:rPr>
          <w:t>Рисунок 376 – Результат функции «Заменить» для измерения без иерархии</w:t>
        </w:r>
        <w:r>
          <w:rPr>
            <w:webHidden/>
          </w:rPr>
          <w:tab/>
        </w:r>
        <w:r>
          <w:rPr>
            <w:webHidden/>
          </w:rPr>
          <w:fldChar w:fldCharType="begin"/>
        </w:r>
        <w:r>
          <w:rPr>
            <w:webHidden/>
          </w:rPr>
          <w:instrText xml:space="preserve"> PAGEREF _Toc119584563 \h </w:instrText>
        </w:r>
        <w:r>
          <w:rPr>
            <w:webHidden/>
          </w:rPr>
        </w:r>
        <w:r>
          <w:rPr>
            <w:webHidden/>
          </w:rPr>
          <w:fldChar w:fldCharType="separate"/>
        </w:r>
        <w:r>
          <w:rPr>
            <w:webHidden/>
          </w:rPr>
          <w:t>703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4" w:history="1">
        <w:r w:rsidRPr="008E79CA">
          <w:rPr>
            <w:rStyle w:val="af5"/>
          </w:rPr>
          <w:t>Рисунок 377 – Функция «Удалить» для измерения без иерархии</w:t>
        </w:r>
        <w:r>
          <w:rPr>
            <w:webHidden/>
          </w:rPr>
          <w:tab/>
        </w:r>
        <w:r>
          <w:rPr>
            <w:webHidden/>
          </w:rPr>
          <w:fldChar w:fldCharType="begin"/>
        </w:r>
        <w:r>
          <w:rPr>
            <w:webHidden/>
          </w:rPr>
          <w:instrText xml:space="preserve"> PAGEREF _Toc119584564 \h </w:instrText>
        </w:r>
        <w:r>
          <w:rPr>
            <w:webHidden/>
          </w:rPr>
        </w:r>
        <w:r>
          <w:rPr>
            <w:webHidden/>
          </w:rPr>
          <w:fldChar w:fldCharType="separate"/>
        </w:r>
        <w:r>
          <w:rPr>
            <w:webHidden/>
          </w:rPr>
          <w:t>703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5" w:history="1">
        <w:r w:rsidRPr="008E79CA">
          <w:rPr>
            <w:rStyle w:val="af5"/>
          </w:rPr>
          <w:t>Рисунок 378 - Результат функции «Удалить» для измерения без иерархии</w:t>
        </w:r>
        <w:r>
          <w:rPr>
            <w:webHidden/>
          </w:rPr>
          <w:tab/>
        </w:r>
        <w:r>
          <w:rPr>
            <w:webHidden/>
          </w:rPr>
          <w:fldChar w:fldCharType="begin"/>
        </w:r>
        <w:r>
          <w:rPr>
            <w:webHidden/>
          </w:rPr>
          <w:instrText xml:space="preserve"> PAGEREF _Toc119584565 \h </w:instrText>
        </w:r>
        <w:r>
          <w:rPr>
            <w:webHidden/>
          </w:rPr>
        </w:r>
        <w:r>
          <w:rPr>
            <w:webHidden/>
          </w:rPr>
          <w:fldChar w:fldCharType="separate"/>
        </w:r>
        <w:r>
          <w:rPr>
            <w:webHidden/>
          </w:rPr>
          <w:t>704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6" w:history="1">
        <w:r w:rsidRPr="008E79CA">
          <w:rPr>
            <w:rStyle w:val="af5"/>
          </w:rPr>
          <w:t>Рисунок 379 - Функция «В колонки» для измерения без иерархии</w:t>
        </w:r>
        <w:r>
          <w:rPr>
            <w:webHidden/>
          </w:rPr>
          <w:tab/>
        </w:r>
        <w:r>
          <w:rPr>
            <w:webHidden/>
          </w:rPr>
          <w:fldChar w:fldCharType="begin"/>
        </w:r>
        <w:r>
          <w:rPr>
            <w:webHidden/>
          </w:rPr>
          <w:instrText xml:space="preserve"> PAGEREF _Toc119584566 \h </w:instrText>
        </w:r>
        <w:r>
          <w:rPr>
            <w:webHidden/>
          </w:rPr>
        </w:r>
        <w:r>
          <w:rPr>
            <w:webHidden/>
          </w:rPr>
          <w:fldChar w:fldCharType="separate"/>
        </w:r>
        <w:r>
          <w:rPr>
            <w:webHidden/>
          </w:rPr>
          <w:t>704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7" w:history="1">
        <w:r w:rsidRPr="008E79CA">
          <w:rPr>
            <w:rStyle w:val="af5"/>
          </w:rPr>
          <w:t>Рисунок 380 - Результат функции «В колонки» для измерения без иерархии</w:t>
        </w:r>
        <w:r>
          <w:rPr>
            <w:webHidden/>
          </w:rPr>
          <w:tab/>
        </w:r>
        <w:r>
          <w:rPr>
            <w:webHidden/>
          </w:rPr>
          <w:fldChar w:fldCharType="begin"/>
        </w:r>
        <w:r>
          <w:rPr>
            <w:webHidden/>
          </w:rPr>
          <w:instrText xml:space="preserve"> PAGEREF _Toc119584567 \h </w:instrText>
        </w:r>
        <w:r>
          <w:rPr>
            <w:webHidden/>
          </w:rPr>
        </w:r>
        <w:r>
          <w:rPr>
            <w:webHidden/>
          </w:rPr>
          <w:fldChar w:fldCharType="separate"/>
        </w:r>
        <w:r>
          <w:rPr>
            <w:webHidden/>
          </w:rPr>
          <w:t>705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8" w:history="1">
        <w:r w:rsidRPr="008E79CA">
          <w:rPr>
            <w:rStyle w:val="af5"/>
          </w:rPr>
          <w:t>Рисунок 381 - Функция «В строки» для измерения без иерархии</w:t>
        </w:r>
        <w:r>
          <w:rPr>
            <w:webHidden/>
          </w:rPr>
          <w:tab/>
        </w:r>
        <w:r>
          <w:rPr>
            <w:webHidden/>
          </w:rPr>
          <w:fldChar w:fldCharType="begin"/>
        </w:r>
        <w:r>
          <w:rPr>
            <w:webHidden/>
          </w:rPr>
          <w:instrText xml:space="preserve"> PAGEREF _Toc119584568 \h </w:instrText>
        </w:r>
        <w:r>
          <w:rPr>
            <w:webHidden/>
          </w:rPr>
        </w:r>
        <w:r>
          <w:rPr>
            <w:webHidden/>
          </w:rPr>
          <w:fldChar w:fldCharType="separate"/>
        </w:r>
        <w:r>
          <w:rPr>
            <w:webHidden/>
          </w:rPr>
          <w:t>705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69" w:history="1">
        <w:r w:rsidRPr="008E79CA">
          <w:rPr>
            <w:rStyle w:val="af5"/>
          </w:rPr>
          <w:t>Рисунок 382 - Результат функции «В строки» для измерения без иерархии</w:t>
        </w:r>
        <w:r>
          <w:rPr>
            <w:webHidden/>
          </w:rPr>
          <w:tab/>
        </w:r>
        <w:r>
          <w:rPr>
            <w:webHidden/>
          </w:rPr>
          <w:fldChar w:fldCharType="begin"/>
        </w:r>
        <w:r>
          <w:rPr>
            <w:webHidden/>
          </w:rPr>
          <w:instrText xml:space="preserve"> PAGEREF _Toc119584569 \h </w:instrText>
        </w:r>
        <w:r>
          <w:rPr>
            <w:webHidden/>
          </w:rPr>
        </w:r>
        <w:r>
          <w:rPr>
            <w:webHidden/>
          </w:rPr>
          <w:fldChar w:fldCharType="separate"/>
        </w:r>
        <w:r>
          <w:rPr>
            <w:webHidden/>
          </w:rPr>
          <w:t>706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0" w:history="1">
        <w:r w:rsidRPr="008E79CA">
          <w:rPr>
            <w:rStyle w:val="af5"/>
          </w:rPr>
          <w:t>Рисунок 383 - Функция «Вправо» для измерения без иерархии</w:t>
        </w:r>
        <w:r>
          <w:rPr>
            <w:webHidden/>
          </w:rPr>
          <w:tab/>
        </w:r>
        <w:r>
          <w:rPr>
            <w:webHidden/>
          </w:rPr>
          <w:fldChar w:fldCharType="begin"/>
        </w:r>
        <w:r>
          <w:rPr>
            <w:webHidden/>
          </w:rPr>
          <w:instrText xml:space="preserve"> PAGEREF _Toc119584570 \h </w:instrText>
        </w:r>
        <w:r>
          <w:rPr>
            <w:webHidden/>
          </w:rPr>
        </w:r>
        <w:r>
          <w:rPr>
            <w:webHidden/>
          </w:rPr>
          <w:fldChar w:fldCharType="separate"/>
        </w:r>
        <w:r>
          <w:rPr>
            <w:webHidden/>
          </w:rPr>
          <w:t>706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1" w:history="1">
        <w:r w:rsidRPr="008E79CA">
          <w:rPr>
            <w:rStyle w:val="af5"/>
          </w:rPr>
          <w:t>Рисунок 384 - Результат функции «Вправо» для измерения без иерархии</w:t>
        </w:r>
        <w:r>
          <w:rPr>
            <w:webHidden/>
          </w:rPr>
          <w:tab/>
        </w:r>
        <w:r>
          <w:rPr>
            <w:webHidden/>
          </w:rPr>
          <w:fldChar w:fldCharType="begin"/>
        </w:r>
        <w:r>
          <w:rPr>
            <w:webHidden/>
          </w:rPr>
          <w:instrText xml:space="preserve"> PAGEREF _Toc119584571 \h </w:instrText>
        </w:r>
        <w:r>
          <w:rPr>
            <w:webHidden/>
          </w:rPr>
        </w:r>
        <w:r>
          <w:rPr>
            <w:webHidden/>
          </w:rPr>
          <w:fldChar w:fldCharType="separate"/>
        </w:r>
        <w:r>
          <w:rPr>
            <w:webHidden/>
          </w:rPr>
          <w:t>707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2" w:history="1">
        <w:r w:rsidRPr="008E79CA">
          <w:rPr>
            <w:rStyle w:val="af5"/>
          </w:rPr>
          <w:t>Рисунок 385 - Функция «Влево» для измерения без иерархии</w:t>
        </w:r>
        <w:r>
          <w:rPr>
            <w:webHidden/>
          </w:rPr>
          <w:tab/>
        </w:r>
        <w:r>
          <w:rPr>
            <w:webHidden/>
          </w:rPr>
          <w:fldChar w:fldCharType="begin"/>
        </w:r>
        <w:r>
          <w:rPr>
            <w:webHidden/>
          </w:rPr>
          <w:instrText xml:space="preserve"> PAGEREF _Toc119584572 \h </w:instrText>
        </w:r>
        <w:r>
          <w:rPr>
            <w:webHidden/>
          </w:rPr>
        </w:r>
        <w:r>
          <w:rPr>
            <w:webHidden/>
          </w:rPr>
          <w:fldChar w:fldCharType="separate"/>
        </w:r>
        <w:r>
          <w:rPr>
            <w:webHidden/>
          </w:rPr>
          <w:t>707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3" w:history="1">
        <w:r w:rsidRPr="008E79CA">
          <w:rPr>
            <w:rStyle w:val="af5"/>
          </w:rPr>
          <w:t>Рисунок 386 - Результат функции «Влево» для измерения без иерархии</w:t>
        </w:r>
        <w:r>
          <w:rPr>
            <w:webHidden/>
          </w:rPr>
          <w:tab/>
        </w:r>
        <w:r>
          <w:rPr>
            <w:webHidden/>
          </w:rPr>
          <w:fldChar w:fldCharType="begin"/>
        </w:r>
        <w:r>
          <w:rPr>
            <w:webHidden/>
          </w:rPr>
          <w:instrText xml:space="preserve"> PAGEREF _Toc119584573 \h </w:instrText>
        </w:r>
        <w:r>
          <w:rPr>
            <w:webHidden/>
          </w:rPr>
        </w:r>
        <w:r>
          <w:rPr>
            <w:webHidden/>
          </w:rPr>
          <w:fldChar w:fldCharType="separate"/>
        </w:r>
        <w:r>
          <w:rPr>
            <w:webHidden/>
          </w:rPr>
          <w:t>708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4" w:history="1">
        <w:r w:rsidRPr="008E79CA">
          <w:rPr>
            <w:rStyle w:val="af5"/>
          </w:rPr>
          <w:t>Рисунок 387 - Функция «Детализировать» для элемента измерения с иерархией</w:t>
        </w:r>
        <w:r>
          <w:rPr>
            <w:webHidden/>
          </w:rPr>
          <w:tab/>
        </w:r>
        <w:r>
          <w:rPr>
            <w:webHidden/>
          </w:rPr>
          <w:fldChar w:fldCharType="begin"/>
        </w:r>
        <w:r>
          <w:rPr>
            <w:webHidden/>
          </w:rPr>
          <w:instrText xml:space="preserve"> PAGEREF _Toc119584574 \h </w:instrText>
        </w:r>
        <w:r>
          <w:rPr>
            <w:webHidden/>
          </w:rPr>
        </w:r>
        <w:r>
          <w:rPr>
            <w:webHidden/>
          </w:rPr>
          <w:fldChar w:fldCharType="separate"/>
        </w:r>
        <w:r>
          <w:rPr>
            <w:webHidden/>
          </w:rPr>
          <w:t>708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5" w:history="1">
        <w:r w:rsidRPr="008E79CA">
          <w:rPr>
            <w:rStyle w:val="af5"/>
          </w:rPr>
          <w:t>Рисунок 388 - Результат функции «Детализировать» для элемента измерения с иерархией</w:t>
        </w:r>
        <w:r>
          <w:rPr>
            <w:webHidden/>
          </w:rPr>
          <w:tab/>
        </w:r>
        <w:r>
          <w:rPr>
            <w:webHidden/>
          </w:rPr>
          <w:fldChar w:fldCharType="begin"/>
        </w:r>
        <w:r>
          <w:rPr>
            <w:webHidden/>
          </w:rPr>
          <w:instrText xml:space="preserve"> PAGEREF _Toc119584575 \h </w:instrText>
        </w:r>
        <w:r>
          <w:rPr>
            <w:webHidden/>
          </w:rPr>
        </w:r>
        <w:r>
          <w:rPr>
            <w:webHidden/>
          </w:rPr>
          <w:fldChar w:fldCharType="separate"/>
        </w:r>
        <w:r>
          <w:rPr>
            <w:webHidden/>
          </w:rPr>
          <w:t>709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6" w:history="1">
        <w:r w:rsidRPr="008E79CA">
          <w:rPr>
            <w:rStyle w:val="af5"/>
          </w:rPr>
          <w:t>Рисунок 389 - Функция «Углубиться» для измерения с иерархией</w:t>
        </w:r>
        <w:r>
          <w:rPr>
            <w:webHidden/>
          </w:rPr>
          <w:tab/>
        </w:r>
        <w:r>
          <w:rPr>
            <w:webHidden/>
          </w:rPr>
          <w:fldChar w:fldCharType="begin"/>
        </w:r>
        <w:r>
          <w:rPr>
            <w:webHidden/>
          </w:rPr>
          <w:instrText xml:space="preserve"> PAGEREF _Toc119584576 \h </w:instrText>
        </w:r>
        <w:r>
          <w:rPr>
            <w:webHidden/>
          </w:rPr>
        </w:r>
        <w:r>
          <w:rPr>
            <w:webHidden/>
          </w:rPr>
          <w:fldChar w:fldCharType="separate"/>
        </w:r>
        <w:r>
          <w:rPr>
            <w:webHidden/>
          </w:rPr>
          <w:t>709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7" w:history="1">
        <w:r w:rsidRPr="008E79CA">
          <w:rPr>
            <w:rStyle w:val="af5"/>
          </w:rPr>
          <w:t>Рисунок 390 – Результат функции «Углубиться»</w:t>
        </w:r>
        <w:r>
          <w:rPr>
            <w:webHidden/>
          </w:rPr>
          <w:tab/>
        </w:r>
        <w:r>
          <w:rPr>
            <w:webHidden/>
          </w:rPr>
          <w:fldChar w:fldCharType="begin"/>
        </w:r>
        <w:r>
          <w:rPr>
            <w:webHidden/>
          </w:rPr>
          <w:instrText xml:space="preserve"> PAGEREF _Toc119584577 \h </w:instrText>
        </w:r>
        <w:r>
          <w:rPr>
            <w:webHidden/>
          </w:rPr>
        </w:r>
        <w:r>
          <w:rPr>
            <w:webHidden/>
          </w:rPr>
          <w:fldChar w:fldCharType="separate"/>
        </w:r>
        <w:r>
          <w:rPr>
            <w:webHidden/>
          </w:rPr>
          <w:t>710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8" w:history="1">
        <w:r w:rsidRPr="008E79CA">
          <w:rPr>
            <w:rStyle w:val="af5"/>
          </w:rPr>
          <w:t>Рисунок 391 – Функция «Обобщить» для элемента измерения с иерархией</w:t>
        </w:r>
        <w:r>
          <w:rPr>
            <w:webHidden/>
          </w:rPr>
          <w:tab/>
        </w:r>
        <w:r>
          <w:rPr>
            <w:webHidden/>
          </w:rPr>
          <w:fldChar w:fldCharType="begin"/>
        </w:r>
        <w:r>
          <w:rPr>
            <w:webHidden/>
          </w:rPr>
          <w:instrText xml:space="preserve"> PAGEREF _Toc119584578 \h </w:instrText>
        </w:r>
        <w:r>
          <w:rPr>
            <w:webHidden/>
          </w:rPr>
        </w:r>
        <w:r>
          <w:rPr>
            <w:webHidden/>
          </w:rPr>
          <w:fldChar w:fldCharType="separate"/>
        </w:r>
        <w:r>
          <w:rPr>
            <w:webHidden/>
          </w:rPr>
          <w:t>710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79" w:history="1">
        <w:r w:rsidRPr="008E79CA">
          <w:rPr>
            <w:rStyle w:val="af5"/>
          </w:rPr>
          <w:t>Рисунок 392 – Результат функции «Обобщить»</w:t>
        </w:r>
        <w:r>
          <w:rPr>
            <w:webHidden/>
          </w:rPr>
          <w:tab/>
        </w:r>
        <w:r>
          <w:rPr>
            <w:webHidden/>
          </w:rPr>
          <w:fldChar w:fldCharType="begin"/>
        </w:r>
        <w:r>
          <w:rPr>
            <w:webHidden/>
          </w:rPr>
          <w:instrText xml:space="preserve"> PAGEREF _Toc119584579 \h </w:instrText>
        </w:r>
        <w:r>
          <w:rPr>
            <w:webHidden/>
          </w:rPr>
        </w:r>
        <w:r>
          <w:rPr>
            <w:webHidden/>
          </w:rPr>
          <w:fldChar w:fldCharType="separate"/>
        </w:r>
        <w:r>
          <w:rPr>
            <w:webHidden/>
          </w:rPr>
          <w:t>711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0" w:history="1">
        <w:r w:rsidRPr="008E79CA">
          <w:rPr>
            <w:rStyle w:val="af5"/>
          </w:rPr>
          <w:t>Рисунок 393 – Функция «Развернуть» для элемента измерения с иерархией</w:t>
        </w:r>
        <w:r>
          <w:rPr>
            <w:webHidden/>
          </w:rPr>
          <w:tab/>
        </w:r>
        <w:r>
          <w:rPr>
            <w:webHidden/>
          </w:rPr>
          <w:fldChar w:fldCharType="begin"/>
        </w:r>
        <w:r>
          <w:rPr>
            <w:webHidden/>
          </w:rPr>
          <w:instrText xml:space="preserve"> PAGEREF _Toc119584580 \h </w:instrText>
        </w:r>
        <w:r>
          <w:rPr>
            <w:webHidden/>
          </w:rPr>
        </w:r>
        <w:r>
          <w:rPr>
            <w:webHidden/>
          </w:rPr>
          <w:fldChar w:fldCharType="separate"/>
        </w:r>
        <w:r>
          <w:rPr>
            <w:webHidden/>
          </w:rPr>
          <w:t>711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1" w:history="1">
        <w:r w:rsidRPr="008E79CA">
          <w:rPr>
            <w:rStyle w:val="af5"/>
          </w:rPr>
          <w:t>Рисунок 394 – Результат функции «Развернуть» для элемента измерения с иерархией</w:t>
        </w:r>
        <w:r>
          <w:rPr>
            <w:webHidden/>
          </w:rPr>
          <w:tab/>
        </w:r>
        <w:r>
          <w:rPr>
            <w:webHidden/>
          </w:rPr>
          <w:fldChar w:fldCharType="begin"/>
        </w:r>
        <w:r>
          <w:rPr>
            <w:webHidden/>
          </w:rPr>
          <w:instrText xml:space="preserve"> PAGEREF _Toc119584581 \h </w:instrText>
        </w:r>
        <w:r>
          <w:rPr>
            <w:webHidden/>
          </w:rPr>
        </w:r>
        <w:r>
          <w:rPr>
            <w:webHidden/>
          </w:rPr>
          <w:fldChar w:fldCharType="separate"/>
        </w:r>
        <w:r>
          <w:rPr>
            <w:webHidden/>
          </w:rPr>
          <w:t>712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2" w:history="1">
        <w:r w:rsidRPr="008E79CA">
          <w:rPr>
            <w:rStyle w:val="af5"/>
          </w:rPr>
          <w:t>Рисунок 395 – Функция «Свернуть» для элемента измерения с иерархией</w:t>
        </w:r>
        <w:r>
          <w:rPr>
            <w:webHidden/>
          </w:rPr>
          <w:tab/>
        </w:r>
        <w:r>
          <w:rPr>
            <w:webHidden/>
          </w:rPr>
          <w:fldChar w:fldCharType="begin"/>
        </w:r>
        <w:r>
          <w:rPr>
            <w:webHidden/>
          </w:rPr>
          <w:instrText xml:space="preserve"> PAGEREF _Toc119584582 \h </w:instrText>
        </w:r>
        <w:r>
          <w:rPr>
            <w:webHidden/>
          </w:rPr>
        </w:r>
        <w:r>
          <w:rPr>
            <w:webHidden/>
          </w:rPr>
          <w:fldChar w:fldCharType="separate"/>
        </w:r>
        <w:r>
          <w:rPr>
            <w:webHidden/>
          </w:rPr>
          <w:t>712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3" w:history="1">
        <w:r w:rsidRPr="008E79CA">
          <w:rPr>
            <w:rStyle w:val="af5"/>
          </w:rPr>
          <w:t>Рисунок 396 – Результат функции «Свернуть»</w:t>
        </w:r>
        <w:r>
          <w:rPr>
            <w:webHidden/>
          </w:rPr>
          <w:tab/>
        </w:r>
        <w:r>
          <w:rPr>
            <w:webHidden/>
          </w:rPr>
          <w:fldChar w:fldCharType="begin"/>
        </w:r>
        <w:r>
          <w:rPr>
            <w:webHidden/>
          </w:rPr>
          <w:instrText xml:space="preserve"> PAGEREF _Toc119584583 \h </w:instrText>
        </w:r>
        <w:r>
          <w:rPr>
            <w:webHidden/>
          </w:rPr>
        </w:r>
        <w:r>
          <w:rPr>
            <w:webHidden/>
          </w:rPr>
          <w:fldChar w:fldCharType="separate"/>
        </w:r>
        <w:r>
          <w:rPr>
            <w:webHidden/>
          </w:rPr>
          <w:t>713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4" w:history="1">
        <w:r w:rsidRPr="008E79CA">
          <w:rPr>
            <w:rStyle w:val="af5"/>
          </w:rPr>
          <w:t>Рисунок 397 – Функция «Исключить» для элемента измерения с иерархией</w:t>
        </w:r>
        <w:r>
          <w:rPr>
            <w:webHidden/>
          </w:rPr>
          <w:tab/>
        </w:r>
        <w:r>
          <w:rPr>
            <w:webHidden/>
          </w:rPr>
          <w:fldChar w:fldCharType="begin"/>
        </w:r>
        <w:r>
          <w:rPr>
            <w:webHidden/>
          </w:rPr>
          <w:instrText xml:space="preserve"> PAGEREF _Toc119584584 \h </w:instrText>
        </w:r>
        <w:r>
          <w:rPr>
            <w:webHidden/>
          </w:rPr>
        </w:r>
        <w:r>
          <w:rPr>
            <w:webHidden/>
          </w:rPr>
          <w:fldChar w:fldCharType="separate"/>
        </w:r>
        <w:r>
          <w:rPr>
            <w:webHidden/>
          </w:rPr>
          <w:t>713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5" w:history="1">
        <w:r w:rsidRPr="008E79CA">
          <w:rPr>
            <w:rStyle w:val="af5"/>
          </w:rPr>
          <w:t>Рисунок 398 – Результат функции «Исключить»</w:t>
        </w:r>
        <w:r>
          <w:rPr>
            <w:webHidden/>
          </w:rPr>
          <w:tab/>
        </w:r>
        <w:r>
          <w:rPr>
            <w:webHidden/>
          </w:rPr>
          <w:fldChar w:fldCharType="begin"/>
        </w:r>
        <w:r>
          <w:rPr>
            <w:webHidden/>
          </w:rPr>
          <w:instrText xml:space="preserve"> PAGEREF _Toc119584585 \h </w:instrText>
        </w:r>
        <w:r>
          <w:rPr>
            <w:webHidden/>
          </w:rPr>
        </w:r>
        <w:r>
          <w:rPr>
            <w:webHidden/>
          </w:rPr>
          <w:fldChar w:fldCharType="separate"/>
        </w:r>
        <w:r>
          <w:rPr>
            <w:webHidden/>
          </w:rPr>
          <w:t>714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6" w:history="1">
        <w:r w:rsidRPr="008E79CA">
          <w:rPr>
            <w:rStyle w:val="af5"/>
          </w:rPr>
          <w:t>Рисунок 399 – Функция «Оставить только» для элемента измерения с иерархией</w:t>
        </w:r>
        <w:r>
          <w:rPr>
            <w:webHidden/>
          </w:rPr>
          <w:tab/>
        </w:r>
        <w:r>
          <w:rPr>
            <w:webHidden/>
          </w:rPr>
          <w:fldChar w:fldCharType="begin"/>
        </w:r>
        <w:r>
          <w:rPr>
            <w:webHidden/>
          </w:rPr>
          <w:instrText xml:space="preserve"> PAGEREF _Toc119584586 \h </w:instrText>
        </w:r>
        <w:r>
          <w:rPr>
            <w:webHidden/>
          </w:rPr>
        </w:r>
        <w:r>
          <w:rPr>
            <w:webHidden/>
          </w:rPr>
          <w:fldChar w:fldCharType="separate"/>
        </w:r>
        <w:r>
          <w:rPr>
            <w:webHidden/>
          </w:rPr>
          <w:t>714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7" w:history="1">
        <w:r w:rsidRPr="008E79CA">
          <w:rPr>
            <w:rStyle w:val="af5"/>
          </w:rPr>
          <w:t>Рисунок 400 – Результат функции «Оставить только» для элемента измерения с иерархией</w:t>
        </w:r>
        <w:r>
          <w:rPr>
            <w:webHidden/>
          </w:rPr>
          <w:tab/>
        </w:r>
        <w:r>
          <w:rPr>
            <w:webHidden/>
          </w:rPr>
          <w:fldChar w:fldCharType="begin"/>
        </w:r>
        <w:r>
          <w:rPr>
            <w:webHidden/>
          </w:rPr>
          <w:instrText xml:space="preserve"> PAGEREF _Toc119584587 \h </w:instrText>
        </w:r>
        <w:r>
          <w:rPr>
            <w:webHidden/>
          </w:rPr>
        </w:r>
        <w:r>
          <w:rPr>
            <w:webHidden/>
          </w:rPr>
          <w:fldChar w:fldCharType="separate"/>
        </w:r>
        <w:r>
          <w:rPr>
            <w:webHidden/>
          </w:rPr>
          <w:t>715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8" w:history="1">
        <w:r w:rsidRPr="008E79CA">
          <w:rPr>
            <w:rStyle w:val="af5"/>
          </w:rPr>
          <w:t>Рисунок 401 - Функция «Детализировать» для элемента измерения без иерархии</w:t>
        </w:r>
        <w:r>
          <w:rPr>
            <w:webHidden/>
          </w:rPr>
          <w:tab/>
        </w:r>
        <w:r>
          <w:rPr>
            <w:webHidden/>
          </w:rPr>
          <w:fldChar w:fldCharType="begin"/>
        </w:r>
        <w:r>
          <w:rPr>
            <w:webHidden/>
          </w:rPr>
          <w:instrText xml:space="preserve"> PAGEREF _Toc119584588 \h </w:instrText>
        </w:r>
        <w:r>
          <w:rPr>
            <w:webHidden/>
          </w:rPr>
        </w:r>
        <w:r>
          <w:rPr>
            <w:webHidden/>
          </w:rPr>
          <w:fldChar w:fldCharType="separate"/>
        </w:r>
        <w:r>
          <w:rPr>
            <w:webHidden/>
          </w:rPr>
          <w:t>716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89" w:history="1">
        <w:r w:rsidRPr="008E79CA">
          <w:rPr>
            <w:rStyle w:val="af5"/>
          </w:rPr>
          <w:t>Рисунок 402 - Результат функции «Детализировать» для элемента измерения без иерархии</w:t>
        </w:r>
        <w:r>
          <w:rPr>
            <w:webHidden/>
          </w:rPr>
          <w:tab/>
        </w:r>
        <w:r>
          <w:rPr>
            <w:webHidden/>
          </w:rPr>
          <w:fldChar w:fldCharType="begin"/>
        </w:r>
        <w:r>
          <w:rPr>
            <w:webHidden/>
          </w:rPr>
          <w:instrText xml:space="preserve"> PAGEREF _Toc119584589 \h </w:instrText>
        </w:r>
        <w:r>
          <w:rPr>
            <w:webHidden/>
          </w:rPr>
        </w:r>
        <w:r>
          <w:rPr>
            <w:webHidden/>
          </w:rPr>
          <w:fldChar w:fldCharType="separate"/>
        </w:r>
        <w:r>
          <w:rPr>
            <w:webHidden/>
          </w:rPr>
          <w:t>717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0" w:history="1">
        <w:r w:rsidRPr="008E79CA">
          <w:rPr>
            <w:rStyle w:val="af5"/>
          </w:rPr>
          <w:t>Рисунок 403 – Функция «Исключить» для элемента измерения без иерархии</w:t>
        </w:r>
        <w:r>
          <w:rPr>
            <w:webHidden/>
          </w:rPr>
          <w:tab/>
        </w:r>
        <w:r>
          <w:rPr>
            <w:webHidden/>
          </w:rPr>
          <w:fldChar w:fldCharType="begin"/>
        </w:r>
        <w:r>
          <w:rPr>
            <w:webHidden/>
          </w:rPr>
          <w:instrText xml:space="preserve"> PAGEREF _Toc119584590 \h </w:instrText>
        </w:r>
        <w:r>
          <w:rPr>
            <w:webHidden/>
          </w:rPr>
        </w:r>
        <w:r>
          <w:rPr>
            <w:webHidden/>
          </w:rPr>
          <w:fldChar w:fldCharType="separate"/>
        </w:r>
        <w:r>
          <w:rPr>
            <w:webHidden/>
          </w:rPr>
          <w:t>717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1" w:history="1">
        <w:r w:rsidRPr="008E79CA">
          <w:rPr>
            <w:rStyle w:val="af5"/>
          </w:rPr>
          <w:t>Рисунок 404 – Результат функции «Исключить»</w:t>
        </w:r>
        <w:r>
          <w:rPr>
            <w:webHidden/>
          </w:rPr>
          <w:tab/>
        </w:r>
        <w:r>
          <w:rPr>
            <w:webHidden/>
          </w:rPr>
          <w:fldChar w:fldCharType="begin"/>
        </w:r>
        <w:r>
          <w:rPr>
            <w:webHidden/>
          </w:rPr>
          <w:instrText xml:space="preserve"> PAGEREF _Toc119584591 \h </w:instrText>
        </w:r>
        <w:r>
          <w:rPr>
            <w:webHidden/>
          </w:rPr>
        </w:r>
        <w:r>
          <w:rPr>
            <w:webHidden/>
          </w:rPr>
          <w:fldChar w:fldCharType="separate"/>
        </w:r>
        <w:r>
          <w:rPr>
            <w:webHidden/>
          </w:rPr>
          <w:t>718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2" w:history="1">
        <w:r w:rsidRPr="008E79CA">
          <w:rPr>
            <w:rStyle w:val="af5"/>
          </w:rPr>
          <w:t>Рисунок 405 – Функция «Оставить только» для элемента измерения без иерархии</w:t>
        </w:r>
        <w:r>
          <w:rPr>
            <w:webHidden/>
          </w:rPr>
          <w:tab/>
        </w:r>
        <w:r>
          <w:rPr>
            <w:webHidden/>
          </w:rPr>
          <w:fldChar w:fldCharType="begin"/>
        </w:r>
        <w:r>
          <w:rPr>
            <w:webHidden/>
          </w:rPr>
          <w:instrText xml:space="preserve"> PAGEREF _Toc119584592 \h </w:instrText>
        </w:r>
        <w:r>
          <w:rPr>
            <w:webHidden/>
          </w:rPr>
        </w:r>
        <w:r>
          <w:rPr>
            <w:webHidden/>
          </w:rPr>
          <w:fldChar w:fldCharType="separate"/>
        </w:r>
        <w:r>
          <w:rPr>
            <w:webHidden/>
          </w:rPr>
          <w:t>718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3" w:history="1">
        <w:r w:rsidRPr="008E79CA">
          <w:rPr>
            <w:rStyle w:val="af5"/>
          </w:rPr>
          <w:t>Рисунок 406 – Результат функции «Оставить только»</w:t>
        </w:r>
        <w:r>
          <w:rPr>
            <w:webHidden/>
          </w:rPr>
          <w:tab/>
        </w:r>
        <w:r>
          <w:rPr>
            <w:webHidden/>
          </w:rPr>
          <w:fldChar w:fldCharType="begin"/>
        </w:r>
        <w:r>
          <w:rPr>
            <w:webHidden/>
          </w:rPr>
          <w:instrText xml:space="preserve"> PAGEREF _Toc119584593 \h </w:instrText>
        </w:r>
        <w:r>
          <w:rPr>
            <w:webHidden/>
          </w:rPr>
        </w:r>
        <w:r>
          <w:rPr>
            <w:webHidden/>
          </w:rPr>
          <w:fldChar w:fldCharType="separate"/>
        </w:r>
        <w:r>
          <w:rPr>
            <w:webHidden/>
          </w:rPr>
          <w:t>719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4" w:history="1">
        <w:r w:rsidRPr="008E79CA">
          <w:rPr>
            <w:rStyle w:val="af5"/>
          </w:rPr>
          <w:t>Рисунок 407 – Функция «Заменить на» для меры</w:t>
        </w:r>
        <w:r>
          <w:rPr>
            <w:webHidden/>
          </w:rPr>
          <w:tab/>
        </w:r>
        <w:r>
          <w:rPr>
            <w:webHidden/>
          </w:rPr>
          <w:fldChar w:fldCharType="begin"/>
        </w:r>
        <w:r>
          <w:rPr>
            <w:webHidden/>
          </w:rPr>
          <w:instrText xml:space="preserve"> PAGEREF _Toc119584594 \h </w:instrText>
        </w:r>
        <w:r>
          <w:rPr>
            <w:webHidden/>
          </w:rPr>
        </w:r>
        <w:r>
          <w:rPr>
            <w:webHidden/>
          </w:rPr>
          <w:fldChar w:fldCharType="separate"/>
        </w:r>
        <w:r>
          <w:rPr>
            <w:webHidden/>
          </w:rPr>
          <w:t>719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5" w:history="1">
        <w:r w:rsidRPr="008E79CA">
          <w:rPr>
            <w:rStyle w:val="af5"/>
          </w:rPr>
          <w:t>Рисунок 408 – Результат функции «Заменить на» для меры</w:t>
        </w:r>
        <w:r>
          <w:rPr>
            <w:webHidden/>
          </w:rPr>
          <w:tab/>
        </w:r>
        <w:r>
          <w:rPr>
            <w:webHidden/>
          </w:rPr>
          <w:fldChar w:fldCharType="begin"/>
        </w:r>
        <w:r>
          <w:rPr>
            <w:webHidden/>
          </w:rPr>
          <w:instrText xml:space="preserve"> PAGEREF _Toc119584595 \h </w:instrText>
        </w:r>
        <w:r>
          <w:rPr>
            <w:webHidden/>
          </w:rPr>
        </w:r>
        <w:r>
          <w:rPr>
            <w:webHidden/>
          </w:rPr>
          <w:fldChar w:fldCharType="separate"/>
        </w:r>
        <w:r>
          <w:rPr>
            <w:webHidden/>
          </w:rPr>
          <w:t>720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6" w:history="1">
        <w:r w:rsidRPr="008E79CA">
          <w:rPr>
            <w:rStyle w:val="af5"/>
          </w:rPr>
          <w:t>Рисунок 409 – Функция «Добавить» для меры</w:t>
        </w:r>
        <w:r>
          <w:rPr>
            <w:webHidden/>
          </w:rPr>
          <w:tab/>
        </w:r>
        <w:r>
          <w:rPr>
            <w:webHidden/>
          </w:rPr>
          <w:fldChar w:fldCharType="begin"/>
        </w:r>
        <w:r>
          <w:rPr>
            <w:webHidden/>
          </w:rPr>
          <w:instrText xml:space="preserve"> PAGEREF _Toc119584596 \h </w:instrText>
        </w:r>
        <w:r>
          <w:rPr>
            <w:webHidden/>
          </w:rPr>
        </w:r>
        <w:r>
          <w:rPr>
            <w:webHidden/>
          </w:rPr>
          <w:fldChar w:fldCharType="separate"/>
        </w:r>
        <w:r>
          <w:rPr>
            <w:webHidden/>
          </w:rPr>
          <w:t>720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7" w:history="1">
        <w:r w:rsidRPr="008E79CA">
          <w:rPr>
            <w:rStyle w:val="af5"/>
          </w:rPr>
          <w:t>Рисунок 410 – Результат функции «Добавить» для меры</w:t>
        </w:r>
        <w:r>
          <w:rPr>
            <w:webHidden/>
          </w:rPr>
          <w:tab/>
        </w:r>
        <w:r>
          <w:rPr>
            <w:webHidden/>
          </w:rPr>
          <w:fldChar w:fldCharType="begin"/>
        </w:r>
        <w:r>
          <w:rPr>
            <w:webHidden/>
          </w:rPr>
          <w:instrText xml:space="preserve"> PAGEREF _Toc119584597 \h </w:instrText>
        </w:r>
        <w:r>
          <w:rPr>
            <w:webHidden/>
          </w:rPr>
        </w:r>
        <w:r>
          <w:rPr>
            <w:webHidden/>
          </w:rPr>
          <w:fldChar w:fldCharType="separate"/>
        </w:r>
        <w:r>
          <w:rPr>
            <w:webHidden/>
          </w:rPr>
          <w:t>721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8" w:history="1">
        <w:r w:rsidRPr="008E79CA">
          <w:rPr>
            <w:rStyle w:val="af5"/>
          </w:rPr>
          <w:t>Рисунок 411 – Функция «Удалить» для меры</w:t>
        </w:r>
        <w:r>
          <w:rPr>
            <w:webHidden/>
          </w:rPr>
          <w:tab/>
        </w:r>
        <w:r>
          <w:rPr>
            <w:webHidden/>
          </w:rPr>
          <w:fldChar w:fldCharType="begin"/>
        </w:r>
        <w:r>
          <w:rPr>
            <w:webHidden/>
          </w:rPr>
          <w:instrText xml:space="preserve"> PAGEREF _Toc119584598 \h </w:instrText>
        </w:r>
        <w:r>
          <w:rPr>
            <w:webHidden/>
          </w:rPr>
        </w:r>
        <w:r>
          <w:rPr>
            <w:webHidden/>
          </w:rPr>
          <w:fldChar w:fldCharType="separate"/>
        </w:r>
        <w:r>
          <w:rPr>
            <w:webHidden/>
          </w:rPr>
          <w:t>721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599" w:history="1">
        <w:r w:rsidRPr="008E79CA">
          <w:rPr>
            <w:rStyle w:val="af5"/>
          </w:rPr>
          <w:t>Рисунок 412 – Результат функции «Удалить» для меры</w:t>
        </w:r>
        <w:r>
          <w:rPr>
            <w:webHidden/>
          </w:rPr>
          <w:tab/>
        </w:r>
        <w:r>
          <w:rPr>
            <w:webHidden/>
          </w:rPr>
          <w:fldChar w:fldCharType="begin"/>
        </w:r>
        <w:r>
          <w:rPr>
            <w:webHidden/>
          </w:rPr>
          <w:instrText xml:space="preserve"> PAGEREF _Toc119584599 \h </w:instrText>
        </w:r>
        <w:r>
          <w:rPr>
            <w:webHidden/>
          </w:rPr>
        </w:r>
        <w:r>
          <w:rPr>
            <w:webHidden/>
          </w:rPr>
          <w:fldChar w:fldCharType="separate"/>
        </w:r>
        <w:r>
          <w:rPr>
            <w:webHidden/>
          </w:rPr>
          <w:t>722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0" w:history="1">
        <w:r w:rsidRPr="008E79CA">
          <w:rPr>
            <w:rStyle w:val="af5"/>
          </w:rPr>
          <w:t>Рисунок 413 – Функция «Вправо» для меры</w:t>
        </w:r>
        <w:r>
          <w:rPr>
            <w:webHidden/>
          </w:rPr>
          <w:tab/>
        </w:r>
        <w:r>
          <w:rPr>
            <w:webHidden/>
          </w:rPr>
          <w:fldChar w:fldCharType="begin"/>
        </w:r>
        <w:r>
          <w:rPr>
            <w:webHidden/>
          </w:rPr>
          <w:instrText xml:space="preserve"> PAGEREF _Toc119584600 \h </w:instrText>
        </w:r>
        <w:r>
          <w:rPr>
            <w:webHidden/>
          </w:rPr>
        </w:r>
        <w:r>
          <w:rPr>
            <w:webHidden/>
          </w:rPr>
          <w:fldChar w:fldCharType="separate"/>
        </w:r>
        <w:r>
          <w:rPr>
            <w:webHidden/>
          </w:rPr>
          <w:t>722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1" w:history="1">
        <w:r w:rsidRPr="008E79CA">
          <w:rPr>
            <w:rStyle w:val="af5"/>
          </w:rPr>
          <w:t>Рисунок 414 – Результат функции «Вправо» для меры</w:t>
        </w:r>
        <w:r>
          <w:rPr>
            <w:webHidden/>
          </w:rPr>
          <w:tab/>
        </w:r>
        <w:r>
          <w:rPr>
            <w:webHidden/>
          </w:rPr>
          <w:fldChar w:fldCharType="begin"/>
        </w:r>
        <w:r>
          <w:rPr>
            <w:webHidden/>
          </w:rPr>
          <w:instrText xml:space="preserve"> PAGEREF _Toc119584601 \h </w:instrText>
        </w:r>
        <w:r>
          <w:rPr>
            <w:webHidden/>
          </w:rPr>
        </w:r>
        <w:r>
          <w:rPr>
            <w:webHidden/>
          </w:rPr>
          <w:fldChar w:fldCharType="separate"/>
        </w:r>
        <w:r>
          <w:rPr>
            <w:webHidden/>
          </w:rPr>
          <w:t>722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2" w:history="1">
        <w:r w:rsidRPr="008E79CA">
          <w:rPr>
            <w:rStyle w:val="af5"/>
          </w:rPr>
          <w:t>Рисунок 415 - Функция «Влево» для меры</w:t>
        </w:r>
        <w:r>
          <w:rPr>
            <w:webHidden/>
          </w:rPr>
          <w:tab/>
        </w:r>
        <w:r>
          <w:rPr>
            <w:webHidden/>
          </w:rPr>
          <w:fldChar w:fldCharType="begin"/>
        </w:r>
        <w:r>
          <w:rPr>
            <w:webHidden/>
          </w:rPr>
          <w:instrText xml:space="preserve"> PAGEREF _Toc119584602 \h </w:instrText>
        </w:r>
        <w:r>
          <w:rPr>
            <w:webHidden/>
          </w:rPr>
        </w:r>
        <w:r>
          <w:rPr>
            <w:webHidden/>
          </w:rPr>
          <w:fldChar w:fldCharType="separate"/>
        </w:r>
        <w:r>
          <w:rPr>
            <w:webHidden/>
          </w:rPr>
          <w:t>723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3" w:history="1">
        <w:r w:rsidRPr="008E79CA">
          <w:rPr>
            <w:rStyle w:val="af5"/>
          </w:rPr>
          <w:t>Рисунок 416 - Результат функции «Влево» для меры</w:t>
        </w:r>
        <w:r>
          <w:rPr>
            <w:webHidden/>
          </w:rPr>
          <w:tab/>
        </w:r>
        <w:r>
          <w:rPr>
            <w:webHidden/>
          </w:rPr>
          <w:fldChar w:fldCharType="begin"/>
        </w:r>
        <w:r>
          <w:rPr>
            <w:webHidden/>
          </w:rPr>
          <w:instrText xml:space="preserve"> PAGEREF _Toc119584603 \h </w:instrText>
        </w:r>
        <w:r>
          <w:rPr>
            <w:webHidden/>
          </w:rPr>
        </w:r>
        <w:r>
          <w:rPr>
            <w:webHidden/>
          </w:rPr>
          <w:fldChar w:fldCharType="separate"/>
        </w:r>
        <w:r>
          <w:rPr>
            <w:webHidden/>
          </w:rPr>
          <w:t>723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4" w:history="1">
        <w:r w:rsidRPr="008E79CA">
          <w:rPr>
            <w:rStyle w:val="af5"/>
          </w:rPr>
          <w:t>Рисунок 417 – Функция «Детализировать» для элемента данных</w:t>
        </w:r>
        <w:r>
          <w:rPr>
            <w:webHidden/>
          </w:rPr>
          <w:tab/>
        </w:r>
        <w:r>
          <w:rPr>
            <w:webHidden/>
          </w:rPr>
          <w:fldChar w:fldCharType="begin"/>
        </w:r>
        <w:r>
          <w:rPr>
            <w:webHidden/>
          </w:rPr>
          <w:instrText xml:space="preserve"> PAGEREF _Toc119584604 \h </w:instrText>
        </w:r>
        <w:r>
          <w:rPr>
            <w:webHidden/>
          </w:rPr>
        </w:r>
        <w:r>
          <w:rPr>
            <w:webHidden/>
          </w:rPr>
          <w:fldChar w:fldCharType="separate"/>
        </w:r>
        <w:r>
          <w:rPr>
            <w:webHidden/>
          </w:rPr>
          <w:t>724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5" w:history="1">
        <w:r w:rsidRPr="008E79CA">
          <w:rPr>
            <w:rStyle w:val="af5"/>
          </w:rPr>
          <w:t>Рисунок 418 -  Результат функции «Детализировать»</w:t>
        </w:r>
        <w:r>
          <w:rPr>
            <w:webHidden/>
          </w:rPr>
          <w:tab/>
        </w:r>
        <w:r>
          <w:rPr>
            <w:webHidden/>
          </w:rPr>
          <w:fldChar w:fldCharType="begin"/>
        </w:r>
        <w:r>
          <w:rPr>
            <w:webHidden/>
          </w:rPr>
          <w:instrText xml:space="preserve"> PAGEREF _Toc119584605 \h </w:instrText>
        </w:r>
        <w:r>
          <w:rPr>
            <w:webHidden/>
          </w:rPr>
        </w:r>
        <w:r>
          <w:rPr>
            <w:webHidden/>
          </w:rPr>
          <w:fldChar w:fldCharType="separate"/>
        </w:r>
        <w:r>
          <w:rPr>
            <w:webHidden/>
          </w:rPr>
          <w:t>724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6" w:history="1">
        <w:r w:rsidRPr="008E79CA">
          <w:rPr>
            <w:rStyle w:val="af5"/>
          </w:rPr>
          <w:t>Рисунок 419 – Функция «Исключить» для элемента данных</w:t>
        </w:r>
        <w:r>
          <w:rPr>
            <w:webHidden/>
          </w:rPr>
          <w:tab/>
        </w:r>
        <w:r>
          <w:rPr>
            <w:webHidden/>
          </w:rPr>
          <w:fldChar w:fldCharType="begin"/>
        </w:r>
        <w:r>
          <w:rPr>
            <w:webHidden/>
          </w:rPr>
          <w:instrText xml:space="preserve"> PAGEREF _Toc119584606 \h </w:instrText>
        </w:r>
        <w:r>
          <w:rPr>
            <w:webHidden/>
          </w:rPr>
        </w:r>
        <w:r>
          <w:rPr>
            <w:webHidden/>
          </w:rPr>
          <w:fldChar w:fldCharType="separate"/>
        </w:r>
        <w:r>
          <w:rPr>
            <w:webHidden/>
          </w:rPr>
          <w:t>725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7" w:history="1">
        <w:r w:rsidRPr="008E79CA">
          <w:rPr>
            <w:rStyle w:val="af5"/>
          </w:rPr>
          <w:t>Рисунок 420 – Результат функции «Исключить»</w:t>
        </w:r>
        <w:r>
          <w:rPr>
            <w:webHidden/>
          </w:rPr>
          <w:tab/>
        </w:r>
        <w:r>
          <w:rPr>
            <w:webHidden/>
          </w:rPr>
          <w:fldChar w:fldCharType="begin"/>
        </w:r>
        <w:r>
          <w:rPr>
            <w:webHidden/>
          </w:rPr>
          <w:instrText xml:space="preserve"> PAGEREF _Toc119584607 \h </w:instrText>
        </w:r>
        <w:r>
          <w:rPr>
            <w:webHidden/>
          </w:rPr>
        </w:r>
        <w:r>
          <w:rPr>
            <w:webHidden/>
          </w:rPr>
          <w:fldChar w:fldCharType="separate"/>
        </w:r>
        <w:r>
          <w:rPr>
            <w:webHidden/>
          </w:rPr>
          <w:t>725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8" w:history="1">
        <w:r w:rsidRPr="008E79CA">
          <w:rPr>
            <w:rStyle w:val="af5"/>
          </w:rPr>
          <w:t>Рисунок 421 – Функция «Оставить только» для элемента данных</w:t>
        </w:r>
        <w:r>
          <w:rPr>
            <w:webHidden/>
          </w:rPr>
          <w:tab/>
        </w:r>
        <w:r>
          <w:rPr>
            <w:webHidden/>
          </w:rPr>
          <w:fldChar w:fldCharType="begin"/>
        </w:r>
        <w:r>
          <w:rPr>
            <w:webHidden/>
          </w:rPr>
          <w:instrText xml:space="preserve"> PAGEREF _Toc119584608 \h </w:instrText>
        </w:r>
        <w:r>
          <w:rPr>
            <w:webHidden/>
          </w:rPr>
        </w:r>
        <w:r>
          <w:rPr>
            <w:webHidden/>
          </w:rPr>
          <w:fldChar w:fldCharType="separate"/>
        </w:r>
        <w:r>
          <w:rPr>
            <w:webHidden/>
          </w:rPr>
          <w:t>726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09" w:history="1">
        <w:r w:rsidRPr="008E79CA">
          <w:rPr>
            <w:rStyle w:val="af5"/>
          </w:rPr>
          <w:t>Рисунок 422 – Результат функции «Оставить только» для элемента данных</w:t>
        </w:r>
        <w:r>
          <w:rPr>
            <w:webHidden/>
          </w:rPr>
          <w:tab/>
        </w:r>
        <w:r>
          <w:rPr>
            <w:webHidden/>
          </w:rPr>
          <w:fldChar w:fldCharType="begin"/>
        </w:r>
        <w:r>
          <w:rPr>
            <w:webHidden/>
          </w:rPr>
          <w:instrText xml:space="preserve"> PAGEREF _Toc119584609 \h </w:instrText>
        </w:r>
        <w:r>
          <w:rPr>
            <w:webHidden/>
          </w:rPr>
        </w:r>
        <w:r>
          <w:rPr>
            <w:webHidden/>
          </w:rPr>
          <w:fldChar w:fldCharType="separate"/>
        </w:r>
        <w:r>
          <w:rPr>
            <w:webHidden/>
          </w:rPr>
          <w:t>726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0" w:history="1">
        <w:r w:rsidRPr="008E79CA">
          <w:rPr>
            <w:rStyle w:val="af5"/>
          </w:rPr>
          <w:t>Рисунок 423 – Плашка для перехода к отчету «Паспорт объекта контроля»</w:t>
        </w:r>
        <w:r>
          <w:rPr>
            <w:webHidden/>
          </w:rPr>
          <w:tab/>
        </w:r>
        <w:r>
          <w:rPr>
            <w:webHidden/>
          </w:rPr>
          <w:fldChar w:fldCharType="begin"/>
        </w:r>
        <w:r>
          <w:rPr>
            <w:webHidden/>
          </w:rPr>
          <w:instrText xml:space="preserve"> PAGEREF _Toc119584610 \h </w:instrText>
        </w:r>
        <w:r>
          <w:rPr>
            <w:webHidden/>
          </w:rPr>
        </w:r>
        <w:r>
          <w:rPr>
            <w:webHidden/>
          </w:rPr>
          <w:fldChar w:fldCharType="separate"/>
        </w:r>
        <w:r>
          <w:rPr>
            <w:webHidden/>
          </w:rPr>
          <w:t>730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1" w:history="1">
        <w:r w:rsidRPr="008E79CA">
          <w:rPr>
            <w:rStyle w:val="af5"/>
          </w:rPr>
          <w:t>Рисунок 424 – Переход к отчету «Реестр паспортов объектов контроля»</w:t>
        </w:r>
        <w:r>
          <w:rPr>
            <w:webHidden/>
          </w:rPr>
          <w:tab/>
        </w:r>
        <w:r>
          <w:rPr>
            <w:webHidden/>
          </w:rPr>
          <w:fldChar w:fldCharType="begin"/>
        </w:r>
        <w:r>
          <w:rPr>
            <w:webHidden/>
          </w:rPr>
          <w:instrText xml:space="preserve"> PAGEREF _Toc119584611 \h </w:instrText>
        </w:r>
        <w:r>
          <w:rPr>
            <w:webHidden/>
          </w:rPr>
        </w:r>
        <w:r>
          <w:rPr>
            <w:webHidden/>
          </w:rPr>
          <w:fldChar w:fldCharType="separate"/>
        </w:r>
        <w:r>
          <w:rPr>
            <w:webHidden/>
          </w:rPr>
          <w:t>731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2" w:history="1">
        <w:r w:rsidRPr="008E79CA">
          <w:rPr>
            <w:rStyle w:val="af5"/>
          </w:rPr>
          <w:t>Рисунок 425 – Подраздел «Сведения об организации в сводном реестре»</w:t>
        </w:r>
        <w:r>
          <w:rPr>
            <w:webHidden/>
          </w:rPr>
          <w:tab/>
        </w:r>
        <w:r>
          <w:rPr>
            <w:webHidden/>
          </w:rPr>
          <w:fldChar w:fldCharType="begin"/>
        </w:r>
        <w:r>
          <w:rPr>
            <w:webHidden/>
          </w:rPr>
          <w:instrText xml:space="preserve"> PAGEREF _Toc119584612 \h </w:instrText>
        </w:r>
        <w:r>
          <w:rPr>
            <w:webHidden/>
          </w:rPr>
        </w:r>
        <w:r>
          <w:rPr>
            <w:webHidden/>
          </w:rPr>
          <w:fldChar w:fldCharType="separate"/>
        </w:r>
        <w:r>
          <w:rPr>
            <w:webHidden/>
          </w:rPr>
          <w:t>732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3" w:history="1">
        <w:r w:rsidRPr="008E79CA">
          <w:rPr>
            <w:rStyle w:val="af5"/>
          </w:rPr>
          <w:t>Рисунок 426 – Индикатор «зеленый» показателя «Находится в стадии реорганизации/ликвидации» подраздела «Сведения об организации в сводном реестре»</w:t>
        </w:r>
        <w:r>
          <w:rPr>
            <w:webHidden/>
          </w:rPr>
          <w:tab/>
        </w:r>
        <w:r>
          <w:rPr>
            <w:webHidden/>
          </w:rPr>
          <w:fldChar w:fldCharType="begin"/>
        </w:r>
        <w:r>
          <w:rPr>
            <w:webHidden/>
          </w:rPr>
          <w:instrText xml:space="preserve"> PAGEREF _Toc119584613 \h </w:instrText>
        </w:r>
        <w:r>
          <w:rPr>
            <w:webHidden/>
          </w:rPr>
        </w:r>
        <w:r>
          <w:rPr>
            <w:webHidden/>
          </w:rPr>
          <w:fldChar w:fldCharType="separate"/>
        </w:r>
        <w:r>
          <w:rPr>
            <w:webHidden/>
          </w:rPr>
          <w:t>732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4" w:history="1">
        <w:r w:rsidRPr="008E79CA">
          <w:rPr>
            <w:rStyle w:val="af5"/>
          </w:rPr>
          <w:t>Рисунок 427 – Индикатор «красный» показателя «Находится в стадии реорганизации/ликвидации» подраздела «Сведения об организации в сводном реестре»</w:t>
        </w:r>
        <w:r>
          <w:rPr>
            <w:webHidden/>
          </w:rPr>
          <w:tab/>
        </w:r>
        <w:r>
          <w:rPr>
            <w:webHidden/>
          </w:rPr>
          <w:fldChar w:fldCharType="begin"/>
        </w:r>
        <w:r>
          <w:rPr>
            <w:webHidden/>
          </w:rPr>
          <w:instrText xml:space="preserve"> PAGEREF _Toc119584614 \h </w:instrText>
        </w:r>
        <w:r>
          <w:rPr>
            <w:webHidden/>
          </w:rPr>
        </w:r>
        <w:r>
          <w:rPr>
            <w:webHidden/>
          </w:rPr>
          <w:fldChar w:fldCharType="separate"/>
        </w:r>
        <w:r>
          <w:rPr>
            <w:webHidden/>
          </w:rPr>
          <w:t>732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5" w:history="1">
        <w:r w:rsidRPr="008E79CA">
          <w:rPr>
            <w:rStyle w:val="af5"/>
          </w:rPr>
          <w:t>Рисунок 428 – «Смена адреса» подраздела «Сведения об организации в сводном реестре»</w:t>
        </w:r>
        <w:r>
          <w:rPr>
            <w:webHidden/>
          </w:rPr>
          <w:tab/>
        </w:r>
        <w:r>
          <w:rPr>
            <w:webHidden/>
          </w:rPr>
          <w:fldChar w:fldCharType="begin"/>
        </w:r>
        <w:r>
          <w:rPr>
            <w:webHidden/>
          </w:rPr>
          <w:instrText xml:space="preserve"> PAGEREF _Toc119584615 \h </w:instrText>
        </w:r>
        <w:r>
          <w:rPr>
            <w:webHidden/>
          </w:rPr>
        </w:r>
        <w:r>
          <w:rPr>
            <w:webHidden/>
          </w:rPr>
          <w:fldChar w:fldCharType="separate"/>
        </w:r>
        <w:r>
          <w:rPr>
            <w:webHidden/>
          </w:rPr>
          <w:t>733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6" w:history="1">
        <w:r w:rsidRPr="008E79CA">
          <w:rPr>
            <w:rStyle w:val="af5"/>
          </w:rPr>
          <w:t>Рисунок 429 – «Смена ОПФ» подраздела «Сведения об организации в сводном реестре»</w:t>
        </w:r>
        <w:r>
          <w:rPr>
            <w:webHidden/>
          </w:rPr>
          <w:tab/>
        </w:r>
        <w:r>
          <w:rPr>
            <w:webHidden/>
          </w:rPr>
          <w:fldChar w:fldCharType="begin"/>
        </w:r>
        <w:r>
          <w:rPr>
            <w:webHidden/>
          </w:rPr>
          <w:instrText xml:space="preserve"> PAGEREF _Toc119584616 \h </w:instrText>
        </w:r>
        <w:r>
          <w:rPr>
            <w:webHidden/>
          </w:rPr>
        </w:r>
        <w:r>
          <w:rPr>
            <w:webHidden/>
          </w:rPr>
          <w:fldChar w:fldCharType="separate"/>
        </w:r>
        <w:r>
          <w:rPr>
            <w:webHidden/>
          </w:rPr>
          <w:t>733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7" w:history="1">
        <w:r w:rsidRPr="008E79CA">
          <w:rPr>
            <w:rStyle w:val="af5"/>
          </w:rPr>
          <w:t>Рисунок 430 – Подраздел «Сведения о бюджете»</w:t>
        </w:r>
        <w:r>
          <w:rPr>
            <w:webHidden/>
          </w:rPr>
          <w:tab/>
        </w:r>
        <w:r>
          <w:rPr>
            <w:webHidden/>
          </w:rPr>
          <w:fldChar w:fldCharType="begin"/>
        </w:r>
        <w:r>
          <w:rPr>
            <w:webHidden/>
          </w:rPr>
          <w:instrText xml:space="preserve"> PAGEREF _Toc119584617 \h </w:instrText>
        </w:r>
        <w:r>
          <w:rPr>
            <w:webHidden/>
          </w:rPr>
        </w:r>
        <w:r>
          <w:rPr>
            <w:webHidden/>
          </w:rPr>
          <w:fldChar w:fldCharType="separate"/>
        </w:r>
        <w:r>
          <w:rPr>
            <w:webHidden/>
          </w:rPr>
          <w:t>734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8" w:history="1">
        <w:r w:rsidRPr="008E79CA">
          <w:rPr>
            <w:rStyle w:val="af5"/>
          </w:rPr>
          <w:t>Рисунок 431 – Подраздел «Сведения об организации в других источниках»</w:t>
        </w:r>
        <w:r>
          <w:rPr>
            <w:webHidden/>
          </w:rPr>
          <w:tab/>
        </w:r>
        <w:r>
          <w:rPr>
            <w:webHidden/>
          </w:rPr>
          <w:fldChar w:fldCharType="begin"/>
        </w:r>
        <w:r>
          <w:rPr>
            <w:webHidden/>
          </w:rPr>
          <w:instrText xml:space="preserve"> PAGEREF _Toc119584618 \h </w:instrText>
        </w:r>
        <w:r>
          <w:rPr>
            <w:webHidden/>
          </w:rPr>
        </w:r>
        <w:r>
          <w:rPr>
            <w:webHidden/>
          </w:rPr>
          <w:fldChar w:fldCharType="separate"/>
        </w:r>
        <w:r>
          <w:rPr>
            <w:webHidden/>
          </w:rPr>
          <w:t>734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19" w:history="1">
        <w:r w:rsidRPr="008E79CA">
          <w:rPr>
            <w:rStyle w:val="af5"/>
          </w:rPr>
          <w:t>Рисунок 432 – Подраздел «Сведения о руководителе»</w:t>
        </w:r>
        <w:r>
          <w:rPr>
            <w:webHidden/>
          </w:rPr>
          <w:tab/>
        </w:r>
        <w:r>
          <w:rPr>
            <w:webHidden/>
          </w:rPr>
          <w:fldChar w:fldCharType="begin"/>
        </w:r>
        <w:r>
          <w:rPr>
            <w:webHidden/>
          </w:rPr>
          <w:instrText xml:space="preserve"> PAGEREF _Toc119584619 \h </w:instrText>
        </w:r>
        <w:r>
          <w:rPr>
            <w:webHidden/>
          </w:rPr>
        </w:r>
        <w:r>
          <w:rPr>
            <w:webHidden/>
          </w:rPr>
          <w:fldChar w:fldCharType="separate"/>
        </w:r>
        <w:r>
          <w:rPr>
            <w:webHidden/>
          </w:rPr>
          <w:t>735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0" w:history="1">
        <w:r w:rsidRPr="008E79CA">
          <w:rPr>
            <w:rStyle w:val="af5"/>
          </w:rPr>
          <w:t>Рисунок 433 – Подраздел «Учредитель»</w:t>
        </w:r>
        <w:r>
          <w:rPr>
            <w:webHidden/>
          </w:rPr>
          <w:tab/>
        </w:r>
        <w:r>
          <w:rPr>
            <w:webHidden/>
          </w:rPr>
          <w:fldChar w:fldCharType="begin"/>
        </w:r>
        <w:r>
          <w:rPr>
            <w:webHidden/>
          </w:rPr>
          <w:instrText xml:space="preserve"> PAGEREF _Toc119584620 \h </w:instrText>
        </w:r>
        <w:r>
          <w:rPr>
            <w:webHidden/>
          </w:rPr>
        </w:r>
        <w:r>
          <w:rPr>
            <w:webHidden/>
          </w:rPr>
          <w:fldChar w:fldCharType="separate"/>
        </w:r>
        <w:r>
          <w:rPr>
            <w:webHidden/>
          </w:rPr>
          <w:t>735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1" w:history="1">
        <w:r w:rsidRPr="008E79CA">
          <w:rPr>
            <w:rStyle w:val="af5"/>
          </w:rPr>
          <w:t>Рисунок 434 – Подраздел «Предшественники»</w:t>
        </w:r>
        <w:r>
          <w:rPr>
            <w:webHidden/>
          </w:rPr>
          <w:tab/>
        </w:r>
        <w:r>
          <w:rPr>
            <w:webHidden/>
          </w:rPr>
          <w:fldChar w:fldCharType="begin"/>
        </w:r>
        <w:r>
          <w:rPr>
            <w:webHidden/>
          </w:rPr>
          <w:instrText xml:space="preserve"> PAGEREF _Toc119584621 \h </w:instrText>
        </w:r>
        <w:r>
          <w:rPr>
            <w:webHidden/>
          </w:rPr>
        </w:r>
        <w:r>
          <w:rPr>
            <w:webHidden/>
          </w:rPr>
          <w:fldChar w:fldCharType="separate"/>
        </w:r>
        <w:r>
          <w:rPr>
            <w:webHidden/>
          </w:rPr>
          <w:t>736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2" w:history="1">
        <w:r w:rsidRPr="008E79CA">
          <w:rPr>
            <w:rStyle w:val="af5"/>
          </w:rPr>
          <w:t>Рисунок 435 – Подраздел «Информация о реорганизации объекта»</w:t>
        </w:r>
        <w:r>
          <w:rPr>
            <w:webHidden/>
          </w:rPr>
          <w:tab/>
        </w:r>
        <w:r>
          <w:rPr>
            <w:webHidden/>
          </w:rPr>
          <w:fldChar w:fldCharType="begin"/>
        </w:r>
        <w:r>
          <w:rPr>
            <w:webHidden/>
          </w:rPr>
          <w:instrText xml:space="preserve"> PAGEREF _Toc119584622 \h </w:instrText>
        </w:r>
        <w:r>
          <w:rPr>
            <w:webHidden/>
          </w:rPr>
        </w:r>
        <w:r>
          <w:rPr>
            <w:webHidden/>
          </w:rPr>
          <w:fldChar w:fldCharType="separate"/>
        </w:r>
        <w:r>
          <w:rPr>
            <w:webHidden/>
          </w:rPr>
          <w:t>736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3" w:history="1">
        <w:r w:rsidRPr="008E79CA">
          <w:rPr>
            <w:rStyle w:val="af5"/>
          </w:rPr>
          <w:t>Рисунок 436 – Подраздел «Информация о ликвидации объекта»</w:t>
        </w:r>
        <w:r>
          <w:rPr>
            <w:webHidden/>
          </w:rPr>
          <w:tab/>
        </w:r>
        <w:r>
          <w:rPr>
            <w:webHidden/>
          </w:rPr>
          <w:fldChar w:fldCharType="begin"/>
        </w:r>
        <w:r>
          <w:rPr>
            <w:webHidden/>
          </w:rPr>
          <w:instrText xml:space="preserve"> PAGEREF _Toc119584623 \h </w:instrText>
        </w:r>
        <w:r>
          <w:rPr>
            <w:webHidden/>
          </w:rPr>
        </w:r>
        <w:r>
          <w:rPr>
            <w:webHidden/>
          </w:rPr>
          <w:fldChar w:fldCharType="separate"/>
        </w:r>
        <w:r>
          <w:rPr>
            <w:webHidden/>
          </w:rPr>
          <w:t>736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4" w:history="1">
        <w:r w:rsidRPr="008E79CA">
          <w:rPr>
            <w:rStyle w:val="af5"/>
          </w:rPr>
          <w:t>Рисунок 437 – Подраздел «Обособленные подразделения»</w:t>
        </w:r>
        <w:r>
          <w:rPr>
            <w:webHidden/>
          </w:rPr>
          <w:tab/>
        </w:r>
        <w:r>
          <w:rPr>
            <w:webHidden/>
          </w:rPr>
          <w:fldChar w:fldCharType="begin"/>
        </w:r>
        <w:r>
          <w:rPr>
            <w:webHidden/>
          </w:rPr>
          <w:instrText xml:space="preserve"> PAGEREF _Toc119584624 \h </w:instrText>
        </w:r>
        <w:r>
          <w:rPr>
            <w:webHidden/>
          </w:rPr>
        </w:r>
        <w:r>
          <w:rPr>
            <w:webHidden/>
          </w:rPr>
          <w:fldChar w:fldCharType="separate"/>
        </w:r>
        <w:r>
          <w:rPr>
            <w:webHidden/>
          </w:rPr>
          <w:t>737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5" w:history="1">
        <w:r w:rsidRPr="008E79CA">
          <w:rPr>
            <w:rStyle w:val="af5"/>
          </w:rPr>
          <w:t>Рисунок 438 – Подраздел «Бюджетные полномочия организации»</w:t>
        </w:r>
        <w:r>
          <w:rPr>
            <w:webHidden/>
          </w:rPr>
          <w:tab/>
        </w:r>
        <w:r>
          <w:rPr>
            <w:webHidden/>
          </w:rPr>
          <w:fldChar w:fldCharType="begin"/>
        </w:r>
        <w:r>
          <w:rPr>
            <w:webHidden/>
          </w:rPr>
          <w:instrText xml:space="preserve"> PAGEREF _Toc119584625 \h </w:instrText>
        </w:r>
        <w:r>
          <w:rPr>
            <w:webHidden/>
          </w:rPr>
        </w:r>
        <w:r>
          <w:rPr>
            <w:webHidden/>
          </w:rPr>
          <w:fldChar w:fldCharType="separate"/>
        </w:r>
        <w:r>
          <w:rPr>
            <w:webHidden/>
          </w:rPr>
          <w:t>737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6" w:history="1">
        <w:r w:rsidRPr="008E79CA">
          <w:rPr>
            <w:rStyle w:val="af5"/>
          </w:rPr>
          <w:t>Рисунок 439 – Подраздел «Лицевые счета, открытые в территориальных органах Федерального казначейства»</w:t>
        </w:r>
        <w:r>
          <w:rPr>
            <w:webHidden/>
          </w:rPr>
          <w:tab/>
        </w:r>
        <w:r>
          <w:rPr>
            <w:webHidden/>
          </w:rPr>
          <w:fldChar w:fldCharType="begin"/>
        </w:r>
        <w:r>
          <w:rPr>
            <w:webHidden/>
          </w:rPr>
          <w:instrText xml:space="preserve"> PAGEREF _Toc119584626 \h </w:instrText>
        </w:r>
        <w:r>
          <w:rPr>
            <w:webHidden/>
          </w:rPr>
        </w:r>
        <w:r>
          <w:rPr>
            <w:webHidden/>
          </w:rPr>
          <w:fldChar w:fldCharType="separate"/>
        </w:r>
        <w:r>
          <w:rPr>
            <w:webHidden/>
          </w:rPr>
          <w:t>738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7" w:history="1">
        <w:r w:rsidRPr="008E79CA">
          <w:rPr>
            <w:rStyle w:val="af5"/>
          </w:rPr>
          <w:t>Рисунок 440 – Подраздел «Лицензии»</w:t>
        </w:r>
        <w:r>
          <w:rPr>
            <w:webHidden/>
          </w:rPr>
          <w:tab/>
        </w:r>
        <w:r>
          <w:rPr>
            <w:webHidden/>
          </w:rPr>
          <w:fldChar w:fldCharType="begin"/>
        </w:r>
        <w:r>
          <w:rPr>
            <w:webHidden/>
          </w:rPr>
          <w:instrText xml:space="preserve"> PAGEREF _Toc119584627 \h </w:instrText>
        </w:r>
        <w:r>
          <w:rPr>
            <w:webHidden/>
          </w:rPr>
        </w:r>
        <w:r>
          <w:rPr>
            <w:webHidden/>
          </w:rPr>
          <w:fldChar w:fldCharType="separate"/>
        </w:r>
        <w:r>
          <w:rPr>
            <w:webHidden/>
          </w:rPr>
          <w:t>738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8" w:history="1">
        <w:r w:rsidRPr="008E79CA">
          <w:rPr>
            <w:rStyle w:val="af5"/>
          </w:rPr>
          <w:t>Рисунок 441 – Раздел «Рейтинг объекта контроля»</w:t>
        </w:r>
        <w:r>
          <w:rPr>
            <w:webHidden/>
          </w:rPr>
          <w:tab/>
        </w:r>
        <w:r>
          <w:rPr>
            <w:webHidden/>
          </w:rPr>
          <w:fldChar w:fldCharType="begin"/>
        </w:r>
        <w:r>
          <w:rPr>
            <w:webHidden/>
          </w:rPr>
          <w:instrText xml:space="preserve"> PAGEREF _Toc119584628 \h </w:instrText>
        </w:r>
        <w:r>
          <w:rPr>
            <w:webHidden/>
          </w:rPr>
        </w:r>
        <w:r>
          <w:rPr>
            <w:webHidden/>
          </w:rPr>
          <w:fldChar w:fldCharType="separate"/>
        </w:r>
        <w:r>
          <w:rPr>
            <w:webHidden/>
          </w:rPr>
          <w:t>739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29" w:history="1">
        <w:r w:rsidRPr="008E79CA">
          <w:rPr>
            <w:rStyle w:val="af5"/>
          </w:rPr>
          <w:t>Рисунок 442 – Раздел «Сведения о доходах»</w:t>
        </w:r>
        <w:r>
          <w:rPr>
            <w:webHidden/>
          </w:rPr>
          <w:tab/>
        </w:r>
        <w:r>
          <w:rPr>
            <w:webHidden/>
          </w:rPr>
          <w:fldChar w:fldCharType="begin"/>
        </w:r>
        <w:r>
          <w:rPr>
            <w:webHidden/>
          </w:rPr>
          <w:instrText xml:space="preserve"> PAGEREF _Toc119584629 \h </w:instrText>
        </w:r>
        <w:r>
          <w:rPr>
            <w:webHidden/>
          </w:rPr>
        </w:r>
        <w:r>
          <w:rPr>
            <w:webHidden/>
          </w:rPr>
          <w:fldChar w:fldCharType="separate"/>
        </w:r>
        <w:r>
          <w:rPr>
            <w:webHidden/>
          </w:rPr>
          <w:t>740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0" w:history="1">
        <w:r w:rsidRPr="008E79CA">
          <w:rPr>
            <w:rStyle w:val="af5"/>
          </w:rPr>
          <w:t>Рисунок 443 – Раздел «Сведения о расходах»</w:t>
        </w:r>
        <w:r>
          <w:rPr>
            <w:webHidden/>
          </w:rPr>
          <w:tab/>
        </w:r>
        <w:r>
          <w:rPr>
            <w:webHidden/>
          </w:rPr>
          <w:fldChar w:fldCharType="begin"/>
        </w:r>
        <w:r>
          <w:rPr>
            <w:webHidden/>
          </w:rPr>
          <w:instrText xml:space="preserve"> PAGEREF _Toc119584630 \h </w:instrText>
        </w:r>
        <w:r>
          <w:rPr>
            <w:webHidden/>
          </w:rPr>
        </w:r>
        <w:r>
          <w:rPr>
            <w:webHidden/>
          </w:rPr>
          <w:fldChar w:fldCharType="separate"/>
        </w:r>
        <w:r>
          <w:rPr>
            <w:webHidden/>
          </w:rPr>
          <w:t>741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1" w:history="1">
        <w:r w:rsidRPr="008E79CA">
          <w:rPr>
            <w:rStyle w:val="af5"/>
          </w:rPr>
          <w:t>Рисунок 444 – Раздел «Сведения об источниках финансирования»</w:t>
        </w:r>
        <w:r>
          <w:rPr>
            <w:webHidden/>
          </w:rPr>
          <w:tab/>
        </w:r>
        <w:r>
          <w:rPr>
            <w:webHidden/>
          </w:rPr>
          <w:fldChar w:fldCharType="begin"/>
        </w:r>
        <w:r>
          <w:rPr>
            <w:webHidden/>
          </w:rPr>
          <w:instrText xml:space="preserve"> PAGEREF _Toc119584631 \h </w:instrText>
        </w:r>
        <w:r>
          <w:rPr>
            <w:webHidden/>
          </w:rPr>
        </w:r>
        <w:r>
          <w:rPr>
            <w:webHidden/>
          </w:rPr>
          <w:fldChar w:fldCharType="separate"/>
        </w:r>
        <w:r>
          <w:rPr>
            <w:webHidden/>
          </w:rPr>
          <w:t>742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2" w:history="1">
        <w:r w:rsidRPr="008E79CA">
          <w:rPr>
            <w:rStyle w:val="af5"/>
          </w:rPr>
          <w:t>Рисунок 445 – Подраздел «Крупнейшие контракты»</w:t>
        </w:r>
        <w:r>
          <w:rPr>
            <w:webHidden/>
          </w:rPr>
          <w:tab/>
        </w:r>
        <w:r>
          <w:rPr>
            <w:webHidden/>
          </w:rPr>
          <w:fldChar w:fldCharType="begin"/>
        </w:r>
        <w:r>
          <w:rPr>
            <w:webHidden/>
          </w:rPr>
          <w:instrText xml:space="preserve"> PAGEREF _Toc119584632 \h </w:instrText>
        </w:r>
        <w:r>
          <w:rPr>
            <w:webHidden/>
          </w:rPr>
        </w:r>
        <w:r>
          <w:rPr>
            <w:webHidden/>
          </w:rPr>
          <w:fldChar w:fldCharType="separate"/>
        </w:r>
        <w:r>
          <w:rPr>
            <w:webHidden/>
          </w:rPr>
          <w:t>742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3" w:history="1">
        <w:r w:rsidRPr="008E79CA">
          <w:rPr>
            <w:rStyle w:val="af5"/>
          </w:rPr>
          <w:t>Рисунок 446 – Подраздел «Остатки средств на счетах ЮЛ»</w:t>
        </w:r>
        <w:r>
          <w:rPr>
            <w:webHidden/>
          </w:rPr>
          <w:tab/>
        </w:r>
        <w:r>
          <w:rPr>
            <w:webHidden/>
          </w:rPr>
          <w:fldChar w:fldCharType="begin"/>
        </w:r>
        <w:r>
          <w:rPr>
            <w:webHidden/>
          </w:rPr>
          <w:instrText xml:space="preserve"> PAGEREF _Toc119584633 \h </w:instrText>
        </w:r>
        <w:r>
          <w:rPr>
            <w:webHidden/>
          </w:rPr>
        </w:r>
        <w:r>
          <w:rPr>
            <w:webHidden/>
          </w:rPr>
          <w:fldChar w:fldCharType="separate"/>
        </w:r>
        <w:r>
          <w:rPr>
            <w:webHidden/>
          </w:rPr>
          <w:t>743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4" w:history="1">
        <w:r w:rsidRPr="008E79CA">
          <w:rPr>
            <w:rStyle w:val="af5"/>
          </w:rPr>
          <w:t>Рисунок 447 - Подраздел «Причины отказа платежных поручений»</w:t>
        </w:r>
        <w:r>
          <w:rPr>
            <w:webHidden/>
          </w:rPr>
          <w:tab/>
        </w:r>
        <w:r>
          <w:rPr>
            <w:webHidden/>
          </w:rPr>
          <w:fldChar w:fldCharType="begin"/>
        </w:r>
        <w:r>
          <w:rPr>
            <w:webHidden/>
          </w:rPr>
          <w:instrText xml:space="preserve"> PAGEREF _Toc119584634 \h </w:instrText>
        </w:r>
        <w:r>
          <w:rPr>
            <w:webHidden/>
          </w:rPr>
        </w:r>
        <w:r>
          <w:rPr>
            <w:webHidden/>
          </w:rPr>
          <w:fldChar w:fldCharType="separate"/>
        </w:r>
        <w:r>
          <w:rPr>
            <w:webHidden/>
          </w:rPr>
          <w:t>743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5" w:history="1">
        <w:r w:rsidRPr="008E79CA">
          <w:rPr>
            <w:rStyle w:val="af5"/>
          </w:rPr>
          <w:t>Рисунок 448 – Раздел «Участие в национальных проектах»</w:t>
        </w:r>
        <w:r>
          <w:rPr>
            <w:webHidden/>
          </w:rPr>
          <w:tab/>
        </w:r>
        <w:r>
          <w:rPr>
            <w:webHidden/>
          </w:rPr>
          <w:fldChar w:fldCharType="begin"/>
        </w:r>
        <w:r>
          <w:rPr>
            <w:webHidden/>
          </w:rPr>
          <w:instrText xml:space="preserve"> PAGEREF _Toc119584635 \h </w:instrText>
        </w:r>
        <w:r>
          <w:rPr>
            <w:webHidden/>
          </w:rPr>
        </w:r>
        <w:r>
          <w:rPr>
            <w:webHidden/>
          </w:rPr>
          <w:fldChar w:fldCharType="separate"/>
        </w:r>
        <w:r>
          <w:rPr>
            <w:webHidden/>
          </w:rPr>
          <w:t>744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6" w:history="1">
        <w:r w:rsidRPr="008E79CA">
          <w:rPr>
            <w:rStyle w:val="af5"/>
          </w:rPr>
          <w:t>Рисунок 449 – Раздел «Участие в государственных  программах»</w:t>
        </w:r>
        <w:r>
          <w:rPr>
            <w:webHidden/>
          </w:rPr>
          <w:tab/>
        </w:r>
        <w:r>
          <w:rPr>
            <w:webHidden/>
          </w:rPr>
          <w:fldChar w:fldCharType="begin"/>
        </w:r>
        <w:r>
          <w:rPr>
            <w:webHidden/>
          </w:rPr>
          <w:instrText xml:space="preserve"> PAGEREF _Toc119584636 \h </w:instrText>
        </w:r>
        <w:r>
          <w:rPr>
            <w:webHidden/>
          </w:rPr>
        </w:r>
        <w:r>
          <w:rPr>
            <w:webHidden/>
          </w:rPr>
          <w:fldChar w:fldCharType="separate"/>
        </w:r>
        <w:r>
          <w:rPr>
            <w:webHidden/>
          </w:rPr>
          <w:t>744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7" w:history="1">
        <w:r w:rsidRPr="008E79CA">
          <w:rPr>
            <w:rStyle w:val="af5"/>
          </w:rPr>
          <w:t>Рисунок 450 – Раздел «Информация о дебиторской и кредиторской задолженности»</w:t>
        </w:r>
        <w:r>
          <w:rPr>
            <w:webHidden/>
          </w:rPr>
          <w:tab/>
        </w:r>
        <w:r>
          <w:rPr>
            <w:webHidden/>
          </w:rPr>
          <w:fldChar w:fldCharType="begin"/>
        </w:r>
        <w:r>
          <w:rPr>
            <w:webHidden/>
          </w:rPr>
          <w:instrText xml:space="preserve"> PAGEREF _Toc119584637 \h </w:instrText>
        </w:r>
        <w:r>
          <w:rPr>
            <w:webHidden/>
          </w:rPr>
        </w:r>
        <w:r>
          <w:rPr>
            <w:webHidden/>
          </w:rPr>
          <w:fldChar w:fldCharType="separate"/>
        </w:r>
        <w:r>
          <w:rPr>
            <w:webHidden/>
          </w:rPr>
          <w:t>745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8" w:history="1">
        <w:r w:rsidRPr="008E79CA">
          <w:rPr>
            <w:rStyle w:val="af5"/>
          </w:rPr>
          <w:t>Рисунок 451 – Фильтр «Тип организации»</w:t>
        </w:r>
        <w:r>
          <w:rPr>
            <w:webHidden/>
          </w:rPr>
          <w:tab/>
        </w:r>
        <w:r>
          <w:rPr>
            <w:webHidden/>
          </w:rPr>
          <w:fldChar w:fldCharType="begin"/>
        </w:r>
        <w:r>
          <w:rPr>
            <w:webHidden/>
          </w:rPr>
          <w:instrText xml:space="preserve"> PAGEREF _Toc119584638 \h </w:instrText>
        </w:r>
        <w:r>
          <w:rPr>
            <w:webHidden/>
          </w:rPr>
        </w:r>
        <w:r>
          <w:rPr>
            <w:webHidden/>
          </w:rPr>
          <w:fldChar w:fldCharType="separate"/>
        </w:r>
        <w:r>
          <w:rPr>
            <w:webHidden/>
          </w:rPr>
          <w:t>746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39" w:history="1">
        <w:r w:rsidRPr="008E79CA">
          <w:rPr>
            <w:rStyle w:val="af5"/>
          </w:rPr>
          <w:t>Рисунок 452 – Разделы Паспорта для типа объекта «Иные»</w:t>
        </w:r>
        <w:r>
          <w:rPr>
            <w:webHidden/>
          </w:rPr>
          <w:tab/>
        </w:r>
        <w:r>
          <w:rPr>
            <w:webHidden/>
          </w:rPr>
          <w:fldChar w:fldCharType="begin"/>
        </w:r>
        <w:r>
          <w:rPr>
            <w:webHidden/>
          </w:rPr>
          <w:instrText xml:space="preserve"> PAGEREF _Toc119584639 \h </w:instrText>
        </w:r>
        <w:r>
          <w:rPr>
            <w:webHidden/>
          </w:rPr>
        </w:r>
        <w:r>
          <w:rPr>
            <w:webHidden/>
          </w:rPr>
          <w:fldChar w:fldCharType="separate"/>
        </w:r>
        <w:r>
          <w:rPr>
            <w:webHidden/>
          </w:rPr>
          <w:t>746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0" w:history="1">
        <w:r w:rsidRPr="008E79CA">
          <w:rPr>
            <w:rStyle w:val="af5"/>
          </w:rPr>
          <w:t>Рисунок 453 – Фильтр «Период с - по: 01.ММ.ГГГГ»</w:t>
        </w:r>
        <w:r>
          <w:rPr>
            <w:webHidden/>
          </w:rPr>
          <w:tab/>
        </w:r>
        <w:r>
          <w:rPr>
            <w:webHidden/>
          </w:rPr>
          <w:fldChar w:fldCharType="begin"/>
        </w:r>
        <w:r>
          <w:rPr>
            <w:webHidden/>
          </w:rPr>
          <w:instrText xml:space="preserve"> PAGEREF _Toc119584640 \h </w:instrText>
        </w:r>
        <w:r>
          <w:rPr>
            <w:webHidden/>
          </w:rPr>
        </w:r>
        <w:r>
          <w:rPr>
            <w:webHidden/>
          </w:rPr>
          <w:fldChar w:fldCharType="separate"/>
        </w:r>
        <w:r>
          <w:rPr>
            <w:webHidden/>
          </w:rPr>
          <w:t>748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1" w:history="1">
        <w:r w:rsidRPr="008E79CA">
          <w:rPr>
            <w:rStyle w:val="af5"/>
          </w:rPr>
          <w:t>Рисунок 454 – Фильтр «Единицы измерения»</w:t>
        </w:r>
        <w:r>
          <w:rPr>
            <w:webHidden/>
          </w:rPr>
          <w:tab/>
        </w:r>
        <w:r>
          <w:rPr>
            <w:webHidden/>
          </w:rPr>
          <w:fldChar w:fldCharType="begin"/>
        </w:r>
        <w:r>
          <w:rPr>
            <w:webHidden/>
          </w:rPr>
          <w:instrText xml:space="preserve"> PAGEREF _Toc119584641 \h </w:instrText>
        </w:r>
        <w:r>
          <w:rPr>
            <w:webHidden/>
          </w:rPr>
        </w:r>
        <w:r>
          <w:rPr>
            <w:webHidden/>
          </w:rPr>
          <w:fldChar w:fldCharType="separate"/>
        </w:r>
        <w:r>
          <w:rPr>
            <w:webHidden/>
          </w:rPr>
          <w:t>749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2" w:history="1">
        <w:r w:rsidRPr="008E79CA">
          <w:rPr>
            <w:rStyle w:val="af5"/>
          </w:rPr>
          <w:t>Рисунок 455 – Изменение параметра фильтра «Единицы измерения»</w:t>
        </w:r>
        <w:r>
          <w:rPr>
            <w:webHidden/>
          </w:rPr>
          <w:tab/>
        </w:r>
        <w:r>
          <w:rPr>
            <w:webHidden/>
          </w:rPr>
          <w:fldChar w:fldCharType="begin"/>
        </w:r>
        <w:r>
          <w:rPr>
            <w:webHidden/>
          </w:rPr>
          <w:instrText xml:space="preserve"> PAGEREF _Toc119584642 \h </w:instrText>
        </w:r>
        <w:r>
          <w:rPr>
            <w:webHidden/>
          </w:rPr>
        </w:r>
        <w:r>
          <w:rPr>
            <w:webHidden/>
          </w:rPr>
          <w:fldChar w:fldCharType="separate"/>
        </w:r>
        <w:r>
          <w:rPr>
            <w:webHidden/>
          </w:rPr>
          <w:t>749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3" w:history="1">
        <w:r w:rsidRPr="008E79CA">
          <w:rPr>
            <w:rStyle w:val="af5"/>
          </w:rPr>
          <w:t>Рисунок 456 – Фильтр «Территория» - Забайкальский край</w:t>
        </w:r>
        <w:r>
          <w:rPr>
            <w:webHidden/>
          </w:rPr>
          <w:tab/>
        </w:r>
        <w:r>
          <w:rPr>
            <w:webHidden/>
          </w:rPr>
          <w:fldChar w:fldCharType="begin"/>
        </w:r>
        <w:r>
          <w:rPr>
            <w:webHidden/>
          </w:rPr>
          <w:instrText xml:space="preserve"> PAGEREF _Toc119584643 \h </w:instrText>
        </w:r>
        <w:r>
          <w:rPr>
            <w:webHidden/>
          </w:rPr>
        </w:r>
        <w:r>
          <w:rPr>
            <w:webHidden/>
          </w:rPr>
          <w:fldChar w:fldCharType="separate"/>
        </w:r>
        <w:r>
          <w:rPr>
            <w:webHidden/>
          </w:rPr>
          <w:t>750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4" w:history="1">
        <w:r w:rsidRPr="008E79CA">
          <w:rPr>
            <w:rStyle w:val="af5"/>
          </w:rPr>
          <w:t>Рисунок 457 - Фильтр «Территория» - Рязанская область</w:t>
        </w:r>
        <w:r>
          <w:rPr>
            <w:webHidden/>
          </w:rPr>
          <w:tab/>
        </w:r>
        <w:r>
          <w:rPr>
            <w:webHidden/>
          </w:rPr>
          <w:fldChar w:fldCharType="begin"/>
        </w:r>
        <w:r>
          <w:rPr>
            <w:webHidden/>
          </w:rPr>
          <w:instrText xml:space="preserve"> PAGEREF _Toc119584644 \h </w:instrText>
        </w:r>
        <w:r>
          <w:rPr>
            <w:webHidden/>
          </w:rPr>
        </w:r>
        <w:r>
          <w:rPr>
            <w:webHidden/>
          </w:rPr>
          <w:fldChar w:fldCharType="separate"/>
        </w:r>
        <w:r>
          <w:rPr>
            <w:webHidden/>
          </w:rPr>
          <w:t>750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5" w:history="1">
        <w:r w:rsidRPr="008E79CA">
          <w:rPr>
            <w:rStyle w:val="af5"/>
          </w:rPr>
          <w:t>Рисунок 458 – Ввод наименования в фильтр «Объект контроля»</w:t>
        </w:r>
        <w:r>
          <w:rPr>
            <w:webHidden/>
          </w:rPr>
          <w:tab/>
        </w:r>
        <w:r>
          <w:rPr>
            <w:webHidden/>
          </w:rPr>
          <w:fldChar w:fldCharType="begin"/>
        </w:r>
        <w:r>
          <w:rPr>
            <w:webHidden/>
          </w:rPr>
          <w:instrText xml:space="preserve"> PAGEREF _Toc119584645 \h </w:instrText>
        </w:r>
        <w:r>
          <w:rPr>
            <w:webHidden/>
          </w:rPr>
        </w:r>
        <w:r>
          <w:rPr>
            <w:webHidden/>
          </w:rPr>
          <w:fldChar w:fldCharType="separate"/>
        </w:r>
        <w:r>
          <w:rPr>
            <w:webHidden/>
          </w:rPr>
          <w:t>751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6" w:history="1">
        <w:r w:rsidRPr="008E79CA">
          <w:rPr>
            <w:rStyle w:val="af5"/>
          </w:rPr>
          <w:t>Рисунок 459 – Фильтр «ИНН»</w:t>
        </w:r>
        <w:r>
          <w:rPr>
            <w:webHidden/>
          </w:rPr>
          <w:tab/>
        </w:r>
        <w:r>
          <w:rPr>
            <w:webHidden/>
          </w:rPr>
          <w:fldChar w:fldCharType="begin"/>
        </w:r>
        <w:r>
          <w:rPr>
            <w:webHidden/>
          </w:rPr>
          <w:instrText xml:space="preserve"> PAGEREF _Toc119584646 \h </w:instrText>
        </w:r>
        <w:r>
          <w:rPr>
            <w:webHidden/>
          </w:rPr>
        </w:r>
        <w:r>
          <w:rPr>
            <w:webHidden/>
          </w:rPr>
          <w:fldChar w:fldCharType="separate"/>
        </w:r>
        <w:r>
          <w:rPr>
            <w:webHidden/>
          </w:rPr>
          <w:t>751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7" w:history="1">
        <w:r w:rsidRPr="008E79CA">
          <w:rPr>
            <w:rStyle w:val="af5"/>
          </w:rPr>
          <w:t>Рисунок 460 – Фильтр «КПП»</w:t>
        </w:r>
        <w:r>
          <w:rPr>
            <w:webHidden/>
          </w:rPr>
          <w:tab/>
        </w:r>
        <w:r>
          <w:rPr>
            <w:webHidden/>
          </w:rPr>
          <w:fldChar w:fldCharType="begin"/>
        </w:r>
        <w:r>
          <w:rPr>
            <w:webHidden/>
          </w:rPr>
          <w:instrText xml:space="preserve"> PAGEREF _Toc119584647 \h </w:instrText>
        </w:r>
        <w:r>
          <w:rPr>
            <w:webHidden/>
          </w:rPr>
        </w:r>
        <w:r>
          <w:rPr>
            <w:webHidden/>
          </w:rPr>
          <w:fldChar w:fldCharType="separate"/>
        </w:r>
        <w:r>
          <w:rPr>
            <w:webHidden/>
          </w:rPr>
          <w:t>751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8" w:history="1">
        <w:r w:rsidRPr="008E79CA">
          <w:rPr>
            <w:rStyle w:val="af5"/>
          </w:rPr>
          <w:t>Рисунок 461 – Фильтр «Код СвР»</w:t>
        </w:r>
        <w:r>
          <w:rPr>
            <w:webHidden/>
          </w:rPr>
          <w:tab/>
        </w:r>
        <w:r>
          <w:rPr>
            <w:webHidden/>
          </w:rPr>
          <w:fldChar w:fldCharType="begin"/>
        </w:r>
        <w:r>
          <w:rPr>
            <w:webHidden/>
          </w:rPr>
          <w:instrText xml:space="preserve"> PAGEREF _Toc119584648 \h </w:instrText>
        </w:r>
        <w:r>
          <w:rPr>
            <w:webHidden/>
          </w:rPr>
        </w:r>
        <w:r>
          <w:rPr>
            <w:webHidden/>
          </w:rPr>
          <w:fldChar w:fldCharType="separate"/>
        </w:r>
        <w:r>
          <w:rPr>
            <w:webHidden/>
          </w:rPr>
          <w:t>752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49" w:history="1">
        <w:r w:rsidRPr="008E79CA">
          <w:rPr>
            <w:rStyle w:val="af5"/>
          </w:rPr>
          <w:t>Рисунок 462 – Плашка для перехода к отчету «Реестр паспортов объекта контроля»</w:t>
        </w:r>
        <w:r>
          <w:rPr>
            <w:webHidden/>
          </w:rPr>
          <w:tab/>
        </w:r>
        <w:r>
          <w:rPr>
            <w:webHidden/>
          </w:rPr>
          <w:fldChar w:fldCharType="begin"/>
        </w:r>
        <w:r>
          <w:rPr>
            <w:webHidden/>
          </w:rPr>
          <w:instrText xml:space="preserve"> PAGEREF _Toc119584649 \h </w:instrText>
        </w:r>
        <w:r>
          <w:rPr>
            <w:webHidden/>
          </w:rPr>
        </w:r>
        <w:r>
          <w:rPr>
            <w:webHidden/>
          </w:rPr>
          <w:fldChar w:fldCharType="separate"/>
        </w:r>
        <w:r>
          <w:rPr>
            <w:webHidden/>
          </w:rPr>
          <w:t>753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0" w:history="1">
        <w:r w:rsidRPr="008E79CA">
          <w:rPr>
            <w:rStyle w:val="af5"/>
          </w:rPr>
          <w:t>Рисунок 463 – Отчет «Реестр паспортов объектов контроля»</w:t>
        </w:r>
        <w:r>
          <w:rPr>
            <w:webHidden/>
          </w:rPr>
          <w:tab/>
        </w:r>
        <w:r>
          <w:rPr>
            <w:webHidden/>
          </w:rPr>
          <w:fldChar w:fldCharType="begin"/>
        </w:r>
        <w:r>
          <w:rPr>
            <w:webHidden/>
          </w:rPr>
          <w:instrText xml:space="preserve"> PAGEREF _Toc119584650 \h </w:instrText>
        </w:r>
        <w:r>
          <w:rPr>
            <w:webHidden/>
          </w:rPr>
        </w:r>
        <w:r>
          <w:rPr>
            <w:webHidden/>
          </w:rPr>
          <w:fldChar w:fldCharType="separate"/>
        </w:r>
        <w:r>
          <w:rPr>
            <w:webHidden/>
          </w:rPr>
          <w:t>753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1" w:history="1">
        <w:r w:rsidRPr="008E79CA">
          <w:rPr>
            <w:rStyle w:val="af5"/>
          </w:rPr>
          <w:t>Рисунок 464 – Фильтр «Период с - по: 01.ММ.ГГГГ» в отчете «Реестр паспортов объектов контроля»</w:t>
        </w:r>
        <w:r>
          <w:rPr>
            <w:webHidden/>
          </w:rPr>
          <w:tab/>
        </w:r>
        <w:r>
          <w:rPr>
            <w:webHidden/>
          </w:rPr>
          <w:fldChar w:fldCharType="begin"/>
        </w:r>
        <w:r>
          <w:rPr>
            <w:webHidden/>
          </w:rPr>
          <w:instrText xml:space="preserve"> PAGEREF _Toc119584651 \h </w:instrText>
        </w:r>
        <w:r>
          <w:rPr>
            <w:webHidden/>
          </w:rPr>
        </w:r>
        <w:r>
          <w:rPr>
            <w:webHidden/>
          </w:rPr>
          <w:fldChar w:fldCharType="separate"/>
        </w:r>
        <w:r>
          <w:rPr>
            <w:webHidden/>
          </w:rPr>
          <w:t>754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2" w:history="1">
        <w:r w:rsidRPr="008E79CA">
          <w:rPr>
            <w:rStyle w:val="af5"/>
          </w:rPr>
          <w:t>Рисунок 465 - Фильтр «Период с - по: 01.ММ.ГГГГ» при переходе в отчет «Паспорт объекта контроля»</w:t>
        </w:r>
        <w:r>
          <w:rPr>
            <w:webHidden/>
          </w:rPr>
          <w:tab/>
        </w:r>
        <w:r>
          <w:rPr>
            <w:webHidden/>
          </w:rPr>
          <w:fldChar w:fldCharType="begin"/>
        </w:r>
        <w:r>
          <w:rPr>
            <w:webHidden/>
          </w:rPr>
          <w:instrText xml:space="preserve"> PAGEREF _Toc119584652 \h </w:instrText>
        </w:r>
        <w:r>
          <w:rPr>
            <w:webHidden/>
          </w:rPr>
        </w:r>
        <w:r>
          <w:rPr>
            <w:webHidden/>
          </w:rPr>
          <w:fldChar w:fldCharType="separate"/>
        </w:r>
        <w:r>
          <w:rPr>
            <w:webHidden/>
          </w:rPr>
          <w:t>754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3" w:history="1">
        <w:r w:rsidRPr="008E79CA">
          <w:rPr>
            <w:rStyle w:val="af5"/>
          </w:rPr>
          <w:t>Рисунок 466 – Фильтр «Тип организации»</w:t>
        </w:r>
        <w:r>
          <w:rPr>
            <w:webHidden/>
          </w:rPr>
          <w:tab/>
        </w:r>
        <w:r>
          <w:rPr>
            <w:webHidden/>
          </w:rPr>
          <w:fldChar w:fldCharType="begin"/>
        </w:r>
        <w:r>
          <w:rPr>
            <w:webHidden/>
          </w:rPr>
          <w:instrText xml:space="preserve"> PAGEREF _Toc119584653 \h </w:instrText>
        </w:r>
        <w:r>
          <w:rPr>
            <w:webHidden/>
          </w:rPr>
        </w:r>
        <w:r>
          <w:rPr>
            <w:webHidden/>
          </w:rPr>
          <w:fldChar w:fldCharType="separate"/>
        </w:r>
        <w:r>
          <w:rPr>
            <w:webHidden/>
          </w:rPr>
          <w:t>755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4" w:history="1">
        <w:r w:rsidRPr="008E79CA">
          <w:rPr>
            <w:rStyle w:val="af5"/>
          </w:rPr>
          <w:t>Рисунок 467 – Разделы Паспорта для типа объекта «Иные»</w:t>
        </w:r>
        <w:r>
          <w:rPr>
            <w:webHidden/>
          </w:rPr>
          <w:tab/>
        </w:r>
        <w:r>
          <w:rPr>
            <w:webHidden/>
          </w:rPr>
          <w:fldChar w:fldCharType="begin"/>
        </w:r>
        <w:r>
          <w:rPr>
            <w:webHidden/>
          </w:rPr>
          <w:instrText xml:space="preserve"> PAGEREF _Toc119584654 \h </w:instrText>
        </w:r>
        <w:r>
          <w:rPr>
            <w:webHidden/>
          </w:rPr>
        </w:r>
        <w:r>
          <w:rPr>
            <w:webHidden/>
          </w:rPr>
          <w:fldChar w:fldCharType="separate"/>
        </w:r>
        <w:r>
          <w:rPr>
            <w:webHidden/>
          </w:rPr>
          <w:t>756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5" w:history="1">
        <w:r w:rsidRPr="008E79CA">
          <w:rPr>
            <w:rStyle w:val="af5"/>
          </w:rPr>
          <w:t>Рисунок 468 – Ввод наименования в фильтр «Объект контроля»</w:t>
        </w:r>
        <w:r>
          <w:rPr>
            <w:webHidden/>
          </w:rPr>
          <w:tab/>
        </w:r>
        <w:r>
          <w:rPr>
            <w:webHidden/>
          </w:rPr>
          <w:fldChar w:fldCharType="begin"/>
        </w:r>
        <w:r>
          <w:rPr>
            <w:webHidden/>
          </w:rPr>
          <w:instrText xml:space="preserve"> PAGEREF _Toc119584655 \h </w:instrText>
        </w:r>
        <w:r>
          <w:rPr>
            <w:webHidden/>
          </w:rPr>
        </w:r>
        <w:r>
          <w:rPr>
            <w:webHidden/>
          </w:rPr>
          <w:fldChar w:fldCharType="separate"/>
        </w:r>
        <w:r>
          <w:rPr>
            <w:webHidden/>
          </w:rPr>
          <w:t>757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6" w:history="1">
        <w:r w:rsidRPr="008E79CA">
          <w:rPr>
            <w:rStyle w:val="af5"/>
          </w:rPr>
          <w:t>Рисунок 469 – Фильтр «ИНН»</w:t>
        </w:r>
        <w:r>
          <w:rPr>
            <w:webHidden/>
          </w:rPr>
          <w:tab/>
        </w:r>
        <w:r>
          <w:rPr>
            <w:webHidden/>
          </w:rPr>
          <w:fldChar w:fldCharType="begin"/>
        </w:r>
        <w:r>
          <w:rPr>
            <w:webHidden/>
          </w:rPr>
          <w:instrText xml:space="preserve"> PAGEREF _Toc119584656 \h </w:instrText>
        </w:r>
        <w:r>
          <w:rPr>
            <w:webHidden/>
          </w:rPr>
        </w:r>
        <w:r>
          <w:rPr>
            <w:webHidden/>
          </w:rPr>
          <w:fldChar w:fldCharType="separate"/>
        </w:r>
        <w:r>
          <w:rPr>
            <w:webHidden/>
          </w:rPr>
          <w:t>758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7" w:history="1">
        <w:r w:rsidRPr="008E79CA">
          <w:rPr>
            <w:rStyle w:val="af5"/>
          </w:rPr>
          <w:t>Рисунок 470 – Фильтр «КПП»</w:t>
        </w:r>
        <w:r>
          <w:rPr>
            <w:webHidden/>
          </w:rPr>
          <w:tab/>
        </w:r>
        <w:r>
          <w:rPr>
            <w:webHidden/>
          </w:rPr>
          <w:fldChar w:fldCharType="begin"/>
        </w:r>
        <w:r>
          <w:rPr>
            <w:webHidden/>
          </w:rPr>
          <w:instrText xml:space="preserve"> PAGEREF _Toc119584657 \h </w:instrText>
        </w:r>
        <w:r>
          <w:rPr>
            <w:webHidden/>
          </w:rPr>
        </w:r>
        <w:r>
          <w:rPr>
            <w:webHidden/>
          </w:rPr>
          <w:fldChar w:fldCharType="separate"/>
        </w:r>
        <w:r>
          <w:rPr>
            <w:webHidden/>
          </w:rPr>
          <w:t>759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8" w:history="1">
        <w:r w:rsidRPr="008E79CA">
          <w:rPr>
            <w:rStyle w:val="af5"/>
          </w:rPr>
          <w:t>Рисунок 471 – Фильтр «Территория»</w:t>
        </w:r>
        <w:r>
          <w:rPr>
            <w:webHidden/>
          </w:rPr>
          <w:tab/>
        </w:r>
        <w:r>
          <w:rPr>
            <w:webHidden/>
          </w:rPr>
          <w:fldChar w:fldCharType="begin"/>
        </w:r>
        <w:r>
          <w:rPr>
            <w:webHidden/>
          </w:rPr>
          <w:instrText xml:space="preserve"> PAGEREF _Toc119584658 \h </w:instrText>
        </w:r>
        <w:r>
          <w:rPr>
            <w:webHidden/>
          </w:rPr>
        </w:r>
        <w:r>
          <w:rPr>
            <w:webHidden/>
          </w:rPr>
          <w:fldChar w:fldCharType="separate"/>
        </w:r>
        <w:r>
          <w:rPr>
            <w:webHidden/>
          </w:rPr>
          <w:t>759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59" w:history="1">
        <w:r w:rsidRPr="008E79CA">
          <w:rPr>
            <w:rStyle w:val="af5"/>
          </w:rPr>
          <w:t>Рисунок 472 – Ввод наименования в фильтр «Объект контроля»</w:t>
        </w:r>
        <w:r>
          <w:rPr>
            <w:webHidden/>
          </w:rPr>
          <w:tab/>
        </w:r>
        <w:r>
          <w:rPr>
            <w:webHidden/>
          </w:rPr>
          <w:fldChar w:fldCharType="begin"/>
        </w:r>
        <w:r>
          <w:rPr>
            <w:webHidden/>
          </w:rPr>
          <w:instrText xml:space="preserve"> PAGEREF _Toc119584659 \h </w:instrText>
        </w:r>
        <w:r>
          <w:rPr>
            <w:webHidden/>
          </w:rPr>
        </w:r>
        <w:r>
          <w:rPr>
            <w:webHidden/>
          </w:rPr>
          <w:fldChar w:fldCharType="separate"/>
        </w:r>
        <w:r>
          <w:rPr>
            <w:webHidden/>
          </w:rPr>
          <w:t>760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0" w:history="1">
        <w:r w:rsidRPr="008E79CA">
          <w:rPr>
            <w:rStyle w:val="af5"/>
          </w:rPr>
          <w:t>Рисунок 473 – Фильтр «Код Главы»</w:t>
        </w:r>
        <w:r>
          <w:rPr>
            <w:webHidden/>
          </w:rPr>
          <w:tab/>
        </w:r>
        <w:r>
          <w:rPr>
            <w:webHidden/>
          </w:rPr>
          <w:fldChar w:fldCharType="begin"/>
        </w:r>
        <w:r>
          <w:rPr>
            <w:webHidden/>
          </w:rPr>
          <w:instrText xml:space="preserve"> PAGEREF _Toc119584660 \h </w:instrText>
        </w:r>
        <w:r>
          <w:rPr>
            <w:webHidden/>
          </w:rPr>
        </w:r>
        <w:r>
          <w:rPr>
            <w:webHidden/>
          </w:rPr>
          <w:fldChar w:fldCharType="separate"/>
        </w:r>
        <w:r>
          <w:rPr>
            <w:webHidden/>
          </w:rPr>
          <w:t>760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1" w:history="1">
        <w:r w:rsidRPr="008E79CA">
          <w:rPr>
            <w:rStyle w:val="af5"/>
          </w:rPr>
          <w:t>Рисунок 474 – Фильтр «Код ОКФС»</w:t>
        </w:r>
        <w:r>
          <w:rPr>
            <w:webHidden/>
          </w:rPr>
          <w:tab/>
        </w:r>
        <w:r>
          <w:rPr>
            <w:webHidden/>
          </w:rPr>
          <w:fldChar w:fldCharType="begin"/>
        </w:r>
        <w:r>
          <w:rPr>
            <w:webHidden/>
          </w:rPr>
          <w:instrText xml:space="preserve"> PAGEREF _Toc119584661 \h </w:instrText>
        </w:r>
        <w:r>
          <w:rPr>
            <w:webHidden/>
          </w:rPr>
        </w:r>
        <w:r>
          <w:rPr>
            <w:webHidden/>
          </w:rPr>
          <w:fldChar w:fldCharType="separate"/>
        </w:r>
        <w:r>
          <w:rPr>
            <w:webHidden/>
          </w:rPr>
          <w:t>761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2" w:history="1">
        <w:r w:rsidRPr="008E79CA">
          <w:rPr>
            <w:rStyle w:val="af5"/>
          </w:rPr>
          <w:t>Рисунок 475 – Фильтр «Код СвР»</w:t>
        </w:r>
        <w:r>
          <w:rPr>
            <w:webHidden/>
          </w:rPr>
          <w:tab/>
        </w:r>
        <w:r>
          <w:rPr>
            <w:webHidden/>
          </w:rPr>
          <w:fldChar w:fldCharType="begin"/>
        </w:r>
        <w:r>
          <w:rPr>
            <w:webHidden/>
          </w:rPr>
          <w:instrText xml:space="preserve"> PAGEREF _Toc119584662 \h </w:instrText>
        </w:r>
        <w:r>
          <w:rPr>
            <w:webHidden/>
          </w:rPr>
        </w:r>
        <w:r>
          <w:rPr>
            <w:webHidden/>
          </w:rPr>
          <w:fldChar w:fldCharType="separate"/>
        </w:r>
        <w:r>
          <w:rPr>
            <w:webHidden/>
          </w:rPr>
          <w:t>762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3" w:history="1">
        <w:r w:rsidRPr="008E79CA">
          <w:rPr>
            <w:rStyle w:val="af5"/>
          </w:rPr>
          <w:t>Рисунок 476 – Плашка для перехода к отчету «Анализ и оценка структуры цены»</w:t>
        </w:r>
        <w:r>
          <w:rPr>
            <w:webHidden/>
          </w:rPr>
          <w:tab/>
        </w:r>
        <w:r>
          <w:rPr>
            <w:webHidden/>
          </w:rPr>
          <w:fldChar w:fldCharType="begin"/>
        </w:r>
        <w:r>
          <w:rPr>
            <w:webHidden/>
          </w:rPr>
          <w:instrText xml:space="preserve"> PAGEREF _Toc119584663 \h </w:instrText>
        </w:r>
        <w:r>
          <w:rPr>
            <w:webHidden/>
          </w:rPr>
        </w:r>
        <w:r>
          <w:rPr>
            <w:webHidden/>
          </w:rPr>
          <w:fldChar w:fldCharType="separate"/>
        </w:r>
        <w:r>
          <w:rPr>
            <w:webHidden/>
          </w:rPr>
          <w:t>765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4" w:history="1">
        <w:r w:rsidRPr="008E79CA">
          <w:rPr>
            <w:rStyle w:val="af5"/>
          </w:rPr>
          <w:t>Рисунок 477 – Макет отчета «Анализ и оценка структуры цены», представление «В целом по ГК/соглашению»- «Таблица»</w:t>
        </w:r>
        <w:r>
          <w:rPr>
            <w:webHidden/>
          </w:rPr>
          <w:tab/>
        </w:r>
        <w:r>
          <w:rPr>
            <w:webHidden/>
          </w:rPr>
          <w:fldChar w:fldCharType="begin"/>
        </w:r>
        <w:r>
          <w:rPr>
            <w:webHidden/>
          </w:rPr>
          <w:instrText xml:space="preserve"> PAGEREF _Toc119584664 \h </w:instrText>
        </w:r>
        <w:r>
          <w:rPr>
            <w:webHidden/>
          </w:rPr>
        </w:r>
        <w:r>
          <w:rPr>
            <w:webHidden/>
          </w:rPr>
          <w:fldChar w:fldCharType="separate"/>
        </w:r>
        <w:r>
          <w:rPr>
            <w:webHidden/>
          </w:rPr>
          <w:t>766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5" w:history="1">
        <w:r w:rsidRPr="008E79CA">
          <w:rPr>
            <w:rStyle w:val="af5"/>
          </w:rPr>
          <w:t>Рисунок 478 – Макет отчета «Анализ и оценка структуры цены», представление «В целом по ГК/соглашения» - «Гистограмма»</w:t>
        </w:r>
        <w:r>
          <w:rPr>
            <w:webHidden/>
          </w:rPr>
          <w:tab/>
        </w:r>
        <w:r>
          <w:rPr>
            <w:webHidden/>
          </w:rPr>
          <w:fldChar w:fldCharType="begin"/>
        </w:r>
        <w:r>
          <w:rPr>
            <w:webHidden/>
          </w:rPr>
          <w:instrText xml:space="preserve"> PAGEREF _Toc119584665 \h </w:instrText>
        </w:r>
        <w:r>
          <w:rPr>
            <w:webHidden/>
          </w:rPr>
        </w:r>
        <w:r>
          <w:rPr>
            <w:webHidden/>
          </w:rPr>
          <w:fldChar w:fldCharType="separate"/>
        </w:r>
        <w:r>
          <w:rPr>
            <w:webHidden/>
          </w:rPr>
          <w:t>767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6" w:history="1">
        <w:r w:rsidRPr="008E79CA">
          <w:rPr>
            <w:rStyle w:val="af5"/>
          </w:rPr>
          <w:t>Рисунок 479 – Макет отчета «Анализ и оценка структуры цены», представление «В целом по ГК/соглашения» - «Диаграмма»</w:t>
        </w:r>
        <w:r>
          <w:rPr>
            <w:webHidden/>
          </w:rPr>
          <w:tab/>
        </w:r>
        <w:r>
          <w:rPr>
            <w:webHidden/>
          </w:rPr>
          <w:fldChar w:fldCharType="begin"/>
        </w:r>
        <w:r>
          <w:rPr>
            <w:webHidden/>
          </w:rPr>
          <w:instrText xml:space="preserve"> PAGEREF _Toc119584666 \h </w:instrText>
        </w:r>
        <w:r>
          <w:rPr>
            <w:webHidden/>
          </w:rPr>
        </w:r>
        <w:r>
          <w:rPr>
            <w:webHidden/>
          </w:rPr>
          <w:fldChar w:fldCharType="separate"/>
        </w:r>
        <w:r>
          <w:rPr>
            <w:webHidden/>
          </w:rPr>
          <w:t>768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7" w:history="1">
        <w:r w:rsidRPr="008E79CA">
          <w:rPr>
            <w:rStyle w:val="af5"/>
          </w:rPr>
          <w:t>Рисунок 480 – Макет отчета «Анализ и оценка структуры цены», представление «По исполнителям» - «Таблица»</w:t>
        </w:r>
        <w:r>
          <w:rPr>
            <w:webHidden/>
          </w:rPr>
          <w:tab/>
        </w:r>
        <w:r>
          <w:rPr>
            <w:webHidden/>
          </w:rPr>
          <w:fldChar w:fldCharType="begin"/>
        </w:r>
        <w:r>
          <w:rPr>
            <w:webHidden/>
          </w:rPr>
          <w:instrText xml:space="preserve"> PAGEREF _Toc119584667 \h </w:instrText>
        </w:r>
        <w:r>
          <w:rPr>
            <w:webHidden/>
          </w:rPr>
        </w:r>
        <w:r>
          <w:rPr>
            <w:webHidden/>
          </w:rPr>
          <w:fldChar w:fldCharType="separate"/>
        </w:r>
        <w:r>
          <w:rPr>
            <w:webHidden/>
          </w:rPr>
          <w:t>769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8" w:history="1">
        <w:r w:rsidRPr="008E79CA">
          <w:rPr>
            <w:rStyle w:val="af5"/>
          </w:rPr>
          <w:t>Рисунок 481 – Макет отчета «Анализ и оценка структуры цены», представление «По исполнителям» - «Гистограмма»</w:t>
        </w:r>
        <w:r>
          <w:rPr>
            <w:webHidden/>
          </w:rPr>
          <w:tab/>
        </w:r>
        <w:r>
          <w:rPr>
            <w:webHidden/>
          </w:rPr>
          <w:fldChar w:fldCharType="begin"/>
        </w:r>
        <w:r>
          <w:rPr>
            <w:webHidden/>
          </w:rPr>
          <w:instrText xml:space="preserve"> PAGEREF _Toc119584668 \h </w:instrText>
        </w:r>
        <w:r>
          <w:rPr>
            <w:webHidden/>
          </w:rPr>
        </w:r>
        <w:r>
          <w:rPr>
            <w:webHidden/>
          </w:rPr>
          <w:fldChar w:fldCharType="separate"/>
        </w:r>
        <w:r>
          <w:rPr>
            <w:webHidden/>
          </w:rPr>
          <w:t>769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69" w:history="1">
        <w:r w:rsidRPr="008E79CA">
          <w:rPr>
            <w:rStyle w:val="af5"/>
          </w:rPr>
          <w:t>Рисунок 482 – Макет отчета «Анализ и оценка структуры цены», представление «По исполнителям» - «Диаграмма»</w:t>
        </w:r>
        <w:r>
          <w:rPr>
            <w:webHidden/>
          </w:rPr>
          <w:tab/>
        </w:r>
        <w:r>
          <w:rPr>
            <w:webHidden/>
          </w:rPr>
          <w:fldChar w:fldCharType="begin"/>
        </w:r>
        <w:r>
          <w:rPr>
            <w:webHidden/>
          </w:rPr>
          <w:instrText xml:space="preserve"> PAGEREF _Toc119584669 \h </w:instrText>
        </w:r>
        <w:r>
          <w:rPr>
            <w:webHidden/>
          </w:rPr>
        </w:r>
        <w:r>
          <w:rPr>
            <w:webHidden/>
          </w:rPr>
          <w:fldChar w:fldCharType="separate"/>
        </w:r>
        <w:r>
          <w:rPr>
            <w:webHidden/>
          </w:rPr>
          <w:t>770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0" w:history="1">
        <w:r w:rsidRPr="008E79CA">
          <w:rPr>
            <w:rStyle w:val="af5"/>
          </w:rPr>
          <w:t>Рисунок 483 – Плашка для перехода к отчету «Приостановления по ГОЗ»</w:t>
        </w:r>
        <w:r>
          <w:rPr>
            <w:webHidden/>
          </w:rPr>
          <w:tab/>
        </w:r>
        <w:r>
          <w:rPr>
            <w:webHidden/>
          </w:rPr>
          <w:fldChar w:fldCharType="begin"/>
        </w:r>
        <w:r>
          <w:rPr>
            <w:webHidden/>
          </w:rPr>
          <w:instrText xml:space="preserve"> PAGEREF _Toc119584670 \h </w:instrText>
        </w:r>
        <w:r>
          <w:rPr>
            <w:webHidden/>
          </w:rPr>
        </w:r>
        <w:r>
          <w:rPr>
            <w:webHidden/>
          </w:rPr>
          <w:fldChar w:fldCharType="separate"/>
        </w:r>
        <w:r>
          <w:rPr>
            <w:webHidden/>
          </w:rPr>
          <w:t>770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1" w:history="1">
        <w:r w:rsidRPr="008E79CA">
          <w:rPr>
            <w:rStyle w:val="af5"/>
          </w:rPr>
          <w:t>Рисунок 484 – Макет отчета «Приостановление по ГОЗ»</w:t>
        </w:r>
        <w:r>
          <w:rPr>
            <w:webHidden/>
          </w:rPr>
          <w:tab/>
        </w:r>
        <w:r>
          <w:rPr>
            <w:webHidden/>
          </w:rPr>
          <w:fldChar w:fldCharType="begin"/>
        </w:r>
        <w:r>
          <w:rPr>
            <w:webHidden/>
          </w:rPr>
          <w:instrText xml:space="preserve"> PAGEREF _Toc119584671 \h </w:instrText>
        </w:r>
        <w:r>
          <w:rPr>
            <w:webHidden/>
          </w:rPr>
        </w:r>
        <w:r>
          <w:rPr>
            <w:webHidden/>
          </w:rPr>
          <w:fldChar w:fldCharType="separate"/>
        </w:r>
        <w:r>
          <w:rPr>
            <w:webHidden/>
          </w:rPr>
          <w:t>771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2" w:history="1">
        <w:r w:rsidRPr="008E79CA">
          <w:rPr>
            <w:rStyle w:val="af5"/>
          </w:rPr>
          <w:t>Рисунок 485 – Плашка для перехода к отчету «Цепочка контрактов»</w:t>
        </w:r>
        <w:r>
          <w:rPr>
            <w:webHidden/>
          </w:rPr>
          <w:tab/>
        </w:r>
        <w:r>
          <w:rPr>
            <w:webHidden/>
          </w:rPr>
          <w:fldChar w:fldCharType="begin"/>
        </w:r>
        <w:r>
          <w:rPr>
            <w:webHidden/>
          </w:rPr>
          <w:instrText xml:space="preserve"> PAGEREF _Toc119584672 \h </w:instrText>
        </w:r>
        <w:r>
          <w:rPr>
            <w:webHidden/>
          </w:rPr>
        </w:r>
        <w:r>
          <w:rPr>
            <w:webHidden/>
          </w:rPr>
          <w:fldChar w:fldCharType="separate"/>
        </w:r>
        <w:r>
          <w:rPr>
            <w:webHidden/>
          </w:rPr>
          <w:t>773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3" w:history="1">
        <w:r w:rsidRPr="008E79CA">
          <w:rPr>
            <w:rStyle w:val="af5"/>
          </w:rPr>
          <w:t>Рисунок 486 – Пример шкалы уровней кооперации</w:t>
        </w:r>
        <w:r>
          <w:rPr>
            <w:webHidden/>
          </w:rPr>
          <w:tab/>
        </w:r>
        <w:r>
          <w:rPr>
            <w:webHidden/>
          </w:rPr>
          <w:fldChar w:fldCharType="begin"/>
        </w:r>
        <w:r>
          <w:rPr>
            <w:webHidden/>
          </w:rPr>
          <w:instrText xml:space="preserve"> PAGEREF _Toc119584673 \h </w:instrText>
        </w:r>
        <w:r>
          <w:rPr>
            <w:webHidden/>
          </w:rPr>
        </w:r>
        <w:r>
          <w:rPr>
            <w:webHidden/>
          </w:rPr>
          <w:fldChar w:fldCharType="separate"/>
        </w:r>
        <w:r>
          <w:rPr>
            <w:webHidden/>
          </w:rPr>
          <w:t>773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4" w:history="1">
        <w:r w:rsidRPr="008E79CA">
          <w:rPr>
            <w:rStyle w:val="af5"/>
          </w:rPr>
          <w:t>Рисунок 487 – Пример отображения количества подчиненных элементов</w:t>
        </w:r>
        <w:r>
          <w:rPr>
            <w:webHidden/>
          </w:rPr>
          <w:tab/>
        </w:r>
        <w:r>
          <w:rPr>
            <w:webHidden/>
          </w:rPr>
          <w:fldChar w:fldCharType="begin"/>
        </w:r>
        <w:r>
          <w:rPr>
            <w:webHidden/>
          </w:rPr>
          <w:instrText xml:space="preserve"> PAGEREF _Toc119584674 \h </w:instrText>
        </w:r>
        <w:r>
          <w:rPr>
            <w:webHidden/>
          </w:rPr>
        </w:r>
        <w:r>
          <w:rPr>
            <w:webHidden/>
          </w:rPr>
          <w:fldChar w:fldCharType="separate"/>
        </w:r>
        <w:r>
          <w:rPr>
            <w:webHidden/>
          </w:rPr>
          <w:t>774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5" w:history="1">
        <w:r w:rsidRPr="008E79CA">
          <w:rPr>
            <w:rStyle w:val="af5"/>
          </w:rPr>
          <w:t>Рисунок 488 – Пример новой визуализации «2</w:t>
        </w:r>
        <w:r w:rsidRPr="008E79CA">
          <w:rPr>
            <w:rStyle w:val="af5"/>
            <w:lang w:val="en-US"/>
          </w:rPr>
          <w:t>D</w:t>
        </w:r>
        <w:r w:rsidRPr="008E79CA">
          <w:rPr>
            <w:rStyle w:val="af5"/>
          </w:rPr>
          <w:t xml:space="preserve"> граф»</w:t>
        </w:r>
        <w:r>
          <w:rPr>
            <w:webHidden/>
          </w:rPr>
          <w:tab/>
        </w:r>
        <w:r>
          <w:rPr>
            <w:webHidden/>
          </w:rPr>
          <w:fldChar w:fldCharType="begin"/>
        </w:r>
        <w:r>
          <w:rPr>
            <w:webHidden/>
          </w:rPr>
          <w:instrText xml:space="preserve"> PAGEREF _Toc119584675 \h </w:instrText>
        </w:r>
        <w:r>
          <w:rPr>
            <w:webHidden/>
          </w:rPr>
        </w:r>
        <w:r>
          <w:rPr>
            <w:webHidden/>
          </w:rPr>
          <w:fldChar w:fldCharType="separate"/>
        </w:r>
        <w:r>
          <w:rPr>
            <w:webHidden/>
          </w:rPr>
          <w:t>774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6" w:history="1">
        <w:r w:rsidRPr="008E79CA">
          <w:rPr>
            <w:rStyle w:val="af5"/>
          </w:rPr>
          <w:t>Рисунок 489 – Пример элемента на «2</w:t>
        </w:r>
        <w:r w:rsidRPr="008E79CA">
          <w:rPr>
            <w:rStyle w:val="af5"/>
            <w:lang w:val="en-US"/>
          </w:rPr>
          <w:t>D</w:t>
        </w:r>
        <w:r w:rsidRPr="008E79CA">
          <w:rPr>
            <w:rStyle w:val="af5"/>
          </w:rPr>
          <w:t xml:space="preserve"> графе»</w:t>
        </w:r>
        <w:r>
          <w:rPr>
            <w:webHidden/>
          </w:rPr>
          <w:tab/>
        </w:r>
        <w:r>
          <w:rPr>
            <w:webHidden/>
          </w:rPr>
          <w:fldChar w:fldCharType="begin"/>
        </w:r>
        <w:r>
          <w:rPr>
            <w:webHidden/>
          </w:rPr>
          <w:instrText xml:space="preserve"> PAGEREF _Toc119584676 \h </w:instrText>
        </w:r>
        <w:r>
          <w:rPr>
            <w:webHidden/>
          </w:rPr>
        </w:r>
        <w:r>
          <w:rPr>
            <w:webHidden/>
          </w:rPr>
          <w:fldChar w:fldCharType="separate"/>
        </w:r>
        <w:r>
          <w:rPr>
            <w:webHidden/>
          </w:rPr>
          <w:t>775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7" w:history="1">
        <w:r w:rsidRPr="008E79CA">
          <w:rPr>
            <w:rStyle w:val="af5"/>
          </w:rPr>
          <w:t>Рисунок 490 – Пример карточки контракта (скрытые секции)</w:t>
        </w:r>
        <w:r>
          <w:rPr>
            <w:webHidden/>
          </w:rPr>
          <w:tab/>
        </w:r>
        <w:r>
          <w:rPr>
            <w:webHidden/>
          </w:rPr>
          <w:fldChar w:fldCharType="begin"/>
        </w:r>
        <w:r>
          <w:rPr>
            <w:webHidden/>
          </w:rPr>
          <w:instrText xml:space="preserve"> PAGEREF _Toc119584677 \h </w:instrText>
        </w:r>
        <w:r>
          <w:rPr>
            <w:webHidden/>
          </w:rPr>
        </w:r>
        <w:r>
          <w:rPr>
            <w:webHidden/>
          </w:rPr>
          <w:fldChar w:fldCharType="separate"/>
        </w:r>
        <w:r>
          <w:rPr>
            <w:webHidden/>
          </w:rPr>
          <w:t>777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8" w:history="1">
        <w:r w:rsidRPr="008E79CA">
          <w:rPr>
            <w:rStyle w:val="af5"/>
          </w:rPr>
          <w:t>Рисунок 491 – Пример карточки контракта (раскрытая секция)</w:t>
        </w:r>
        <w:r>
          <w:rPr>
            <w:webHidden/>
          </w:rPr>
          <w:tab/>
        </w:r>
        <w:r>
          <w:rPr>
            <w:webHidden/>
          </w:rPr>
          <w:fldChar w:fldCharType="begin"/>
        </w:r>
        <w:r>
          <w:rPr>
            <w:webHidden/>
          </w:rPr>
          <w:instrText xml:space="preserve"> PAGEREF _Toc119584678 \h </w:instrText>
        </w:r>
        <w:r>
          <w:rPr>
            <w:webHidden/>
          </w:rPr>
        </w:r>
        <w:r>
          <w:rPr>
            <w:webHidden/>
          </w:rPr>
          <w:fldChar w:fldCharType="separate"/>
        </w:r>
        <w:r>
          <w:rPr>
            <w:webHidden/>
          </w:rPr>
          <w:t>778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79" w:history="1">
        <w:r w:rsidRPr="008E79CA">
          <w:rPr>
            <w:rStyle w:val="af5"/>
          </w:rPr>
          <w:t>Рисунок 492 – Макет отчета «Структура цены» - «По проекту» - «Таблица»</w:t>
        </w:r>
        <w:r>
          <w:rPr>
            <w:webHidden/>
          </w:rPr>
          <w:tab/>
        </w:r>
        <w:r>
          <w:rPr>
            <w:webHidden/>
          </w:rPr>
          <w:fldChar w:fldCharType="begin"/>
        </w:r>
        <w:r>
          <w:rPr>
            <w:webHidden/>
          </w:rPr>
          <w:instrText xml:space="preserve"> PAGEREF _Toc119584679 \h </w:instrText>
        </w:r>
        <w:r>
          <w:rPr>
            <w:webHidden/>
          </w:rPr>
        </w:r>
        <w:r>
          <w:rPr>
            <w:webHidden/>
          </w:rPr>
          <w:fldChar w:fldCharType="separate"/>
        </w:r>
        <w:r>
          <w:rPr>
            <w:webHidden/>
          </w:rPr>
          <w:t>779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0" w:history="1">
        <w:r w:rsidRPr="008E79CA">
          <w:rPr>
            <w:rStyle w:val="af5"/>
          </w:rPr>
          <w:t>Рисунок 493 – Макет отчета «Структура цены» - «По проекту» - «Гистограмма» - «Абсолютная»</w:t>
        </w:r>
        <w:r>
          <w:rPr>
            <w:webHidden/>
          </w:rPr>
          <w:tab/>
        </w:r>
        <w:r>
          <w:rPr>
            <w:webHidden/>
          </w:rPr>
          <w:fldChar w:fldCharType="begin"/>
        </w:r>
        <w:r>
          <w:rPr>
            <w:webHidden/>
          </w:rPr>
          <w:instrText xml:space="preserve"> PAGEREF _Toc119584680 \h </w:instrText>
        </w:r>
        <w:r>
          <w:rPr>
            <w:webHidden/>
          </w:rPr>
        </w:r>
        <w:r>
          <w:rPr>
            <w:webHidden/>
          </w:rPr>
          <w:fldChar w:fldCharType="separate"/>
        </w:r>
        <w:r>
          <w:rPr>
            <w:webHidden/>
          </w:rPr>
          <w:t>780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1" w:history="1">
        <w:r w:rsidRPr="008E79CA">
          <w:rPr>
            <w:rStyle w:val="af5"/>
          </w:rPr>
          <w:t>Рисунок 494 – Макет отчета «Структура цены» - «По проекту». - «Гистограмма» - «Относительная»</w:t>
        </w:r>
        <w:r>
          <w:rPr>
            <w:webHidden/>
          </w:rPr>
          <w:tab/>
        </w:r>
        <w:r>
          <w:rPr>
            <w:webHidden/>
          </w:rPr>
          <w:fldChar w:fldCharType="begin"/>
        </w:r>
        <w:r>
          <w:rPr>
            <w:webHidden/>
          </w:rPr>
          <w:instrText xml:space="preserve"> PAGEREF _Toc119584681 \h </w:instrText>
        </w:r>
        <w:r>
          <w:rPr>
            <w:webHidden/>
          </w:rPr>
        </w:r>
        <w:r>
          <w:rPr>
            <w:webHidden/>
          </w:rPr>
          <w:fldChar w:fldCharType="separate"/>
        </w:r>
        <w:r>
          <w:rPr>
            <w:webHidden/>
          </w:rPr>
          <w:t>781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2" w:history="1">
        <w:r w:rsidRPr="008E79CA">
          <w:rPr>
            <w:rStyle w:val="af5"/>
          </w:rPr>
          <w:t>Рисунок 495 – Макет отчета «Структура цены» - «По проекту» - «Диаграмма»</w:t>
        </w:r>
        <w:r>
          <w:rPr>
            <w:webHidden/>
          </w:rPr>
          <w:tab/>
        </w:r>
        <w:r>
          <w:rPr>
            <w:webHidden/>
          </w:rPr>
          <w:fldChar w:fldCharType="begin"/>
        </w:r>
        <w:r>
          <w:rPr>
            <w:webHidden/>
          </w:rPr>
          <w:instrText xml:space="preserve"> PAGEREF _Toc119584682 \h </w:instrText>
        </w:r>
        <w:r>
          <w:rPr>
            <w:webHidden/>
          </w:rPr>
        </w:r>
        <w:r>
          <w:rPr>
            <w:webHidden/>
          </w:rPr>
          <w:fldChar w:fldCharType="separate"/>
        </w:r>
        <w:r>
          <w:rPr>
            <w:webHidden/>
          </w:rPr>
          <w:t>782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3" w:history="1">
        <w:r w:rsidRPr="008E79CA">
          <w:rPr>
            <w:rStyle w:val="af5"/>
          </w:rPr>
          <w:t>Рисунок 496 – Макет отчета «Структура цены» - «По исполнителям» - «Таблица»</w:t>
        </w:r>
        <w:r>
          <w:rPr>
            <w:webHidden/>
          </w:rPr>
          <w:tab/>
        </w:r>
        <w:r>
          <w:rPr>
            <w:webHidden/>
          </w:rPr>
          <w:fldChar w:fldCharType="begin"/>
        </w:r>
        <w:r>
          <w:rPr>
            <w:webHidden/>
          </w:rPr>
          <w:instrText xml:space="preserve"> PAGEREF _Toc119584683 \h </w:instrText>
        </w:r>
        <w:r>
          <w:rPr>
            <w:webHidden/>
          </w:rPr>
        </w:r>
        <w:r>
          <w:rPr>
            <w:webHidden/>
          </w:rPr>
          <w:fldChar w:fldCharType="separate"/>
        </w:r>
        <w:r>
          <w:rPr>
            <w:webHidden/>
          </w:rPr>
          <w:t>783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4" w:history="1">
        <w:r w:rsidRPr="008E79CA">
          <w:rPr>
            <w:rStyle w:val="af5"/>
          </w:rPr>
          <w:t>Рисунок 497 – Макет отчета «Структура цены» - «По исполнителям» - «Гистограмма»</w:t>
        </w:r>
        <w:r>
          <w:rPr>
            <w:webHidden/>
          </w:rPr>
          <w:tab/>
        </w:r>
        <w:r>
          <w:rPr>
            <w:webHidden/>
          </w:rPr>
          <w:fldChar w:fldCharType="begin"/>
        </w:r>
        <w:r>
          <w:rPr>
            <w:webHidden/>
          </w:rPr>
          <w:instrText xml:space="preserve"> PAGEREF _Toc119584684 \h </w:instrText>
        </w:r>
        <w:r>
          <w:rPr>
            <w:webHidden/>
          </w:rPr>
        </w:r>
        <w:r>
          <w:rPr>
            <w:webHidden/>
          </w:rPr>
          <w:fldChar w:fldCharType="separate"/>
        </w:r>
        <w:r>
          <w:rPr>
            <w:webHidden/>
          </w:rPr>
          <w:t>784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5" w:history="1">
        <w:r w:rsidRPr="008E79CA">
          <w:rPr>
            <w:rStyle w:val="af5"/>
            <w:rFonts w:eastAsia="Calibri"/>
          </w:rPr>
          <w:t xml:space="preserve">Рисунок </w:t>
        </w:r>
        <w:r w:rsidRPr="008E79CA">
          <w:rPr>
            <w:rStyle w:val="af5"/>
          </w:rPr>
          <w:t>498</w:t>
        </w:r>
        <w:r w:rsidRPr="008E79CA">
          <w:rPr>
            <w:rStyle w:val="af5"/>
            <w:rFonts w:eastAsia="Calibri"/>
          </w:rPr>
          <w:t xml:space="preserve"> – Макет отчета «Структура цены» - «По статьям»</w:t>
        </w:r>
        <w:r>
          <w:rPr>
            <w:webHidden/>
          </w:rPr>
          <w:tab/>
        </w:r>
        <w:r>
          <w:rPr>
            <w:webHidden/>
          </w:rPr>
          <w:fldChar w:fldCharType="begin"/>
        </w:r>
        <w:r>
          <w:rPr>
            <w:webHidden/>
          </w:rPr>
          <w:instrText xml:space="preserve"> PAGEREF _Toc119584685 \h </w:instrText>
        </w:r>
        <w:r>
          <w:rPr>
            <w:webHidden/>
          </w:rPr>
        </w:r>
        <w:r>
          <w:rPr>
            <w:webHidden/>
          </w:rPr>
          <w:fldChar w:fldCharType="separate"/>
        </w:r>
        <w:r>
          <w:rPr>
            <w:webHidden/>
          </w:rPr>
          <w:t>785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6" w:history="1">
        <w:r w:rsidRPr="008E79CA">
          <w:rPr>
            <w:rStyle w:val="af5"/>
          </w:rPr>
          <w:t>Рисунок 499 – Плашка для перехода к отчету «Казначейское сопровождение средств БС/МБ»</w:t>
        </w:r>
        <w:r>
          <w:rPr>
            <w:webHidden/>
          </w:rPr>
          <w:tab/>
        </w:r>
        <w:r>
          <w:rPr>
            <w:webHidden/>
          </w:rPr>
          <w:fldChar w:fldCharType="begin"/>
        </w:r>
        <w:r>
          <w:rPr>
            <w:webHidden/>
          </w:rPr>
          <w:instrText xml:space="preserve"> PAGEREF _Toc119584686 \h </w:instrText>
        </w:r>
        <w:r>
          <w:rPr>
            <w:webHidden/>
          </w:rPr>
        </w:r>
        <w:r>
          <w:rPr>
            <w:webHidden/>
          </w:rPr>
          <w:fldChar w:fldCharType="separate"/>
        </w:r>
        <w:r>
          <w:rPr>
            <w:webHidden/>
          </w:rPr>
          <w:t>786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7" w:history="1">
        <w:r w:rsidRPr="008E79CA">
          <w:rPr>
            <w:rStyle w:val="af5"/>
          </w:rPr>
          <w:t>Рисунок 500 – Представление «ГК(МК), соглашения»</w:t>
        </w:r>
        <w:r>
          <w:rPr>
            <w:webHidden/>
          </w:rPr>
          <w:tab/>
        </w:r>
        <w:r>
          <w:rPr>
            <w:webHidden/>
          </w:rPr>
          <w:fldChar w:fldCharType="begin"/>
        </w:r>
        <w:r>
          <w:rPr>
            <w:webHidden/>
          </w:rPr>
          <w:instrText xml:space="preserve"> PAGEREF _Toc119584687 \h </w:instrText>
        </w:r>
        <w:r>
          <w:rPr>
            <w:webHidden/>
          </w:rPr>
        </w:r>
        <w:r>
          <w:rPr>
            <w:webHidden/>
          </w:rPr>
          <w:fldChar w:fldCharType="separate"/>
        </w:r>
        <w:r>
          <w:rPr>
            <w:webHidden/>
          </w:rPr>
          <w:t>790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8" w:history="1">
        <w:r w:rsidRPr="008E79CA">
          <w:rPr>
            <w:rStyle w:val="af5"/>
          </w:rPr>
          <w:t>Рисунок 501 – Представление «Заказчики»</w:t>
        </w:r>
        <w:r>
          <w:rPr>
            <w:webHidden/>
          </w:rPr>
          <w:tab/>
        </w:r>
        <w:r>
          <w:rPr>
            <w:webHidden/>
          </w:rPr>
          <w:fldChar w:fldCharType="begin"/>
        </w:r>
        <w:r>
          <w:rPr>
            <w:webHidden/>
          </w:rPr>
          <w:instrText xml:space="preserve"> PAGEREF _Toc119584688 \h </w:instrText>
        </w:r>
        <w:r>
          <w:rPr>
            <w:webHidden/>
          </w:rPr>
        </w:r>
        <w:r>
          <w:rPr>
            <w:webHidden/>
          </w:rPr>
          <w:fldChar w:fldCharType="separate"/>
        </w:r>
        <w:r>
          <w:rPr>
            <w:webHidden/>
          </w:rPr>
          <w:t>792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89" w:history="1">
        <w:r w:rsidRPr="008E79CA">
          <w:rPr>
            <w:rStyle w:val="af5"/>
          </w:rPr>
          <w:t>Рисунок 502 – Представление «Исполнители»</w:t>
        </w:r>
        <w:r>
          <w:rPr>
            <w:webHidden/>
          </w:rPr>
          <w:tab/>
        </w:r>
        <w:r>
          <w:rPr>
            <w:webHidden/>
          </w:rPr>
          <w:fldChar w:fldCharType="begin"/>
        </w:r>
        <w:r>
          <w:rPr>
            <w:webHidden/>
          </w:rPr>
          <w:instrText xml:space="preserve"> PAGEREF _Toc119584689 \h </w:instrText>
        </w:r>
        <w:r>
          <w:rPr>
            <w:webHidden/>
          </w:rPr>
        </w:r>
        <w:r>
          <w:rPr>
            <w:webHidden/>
          </w:rPr>
          <w:fldChar w:fldCharType="separate"/>
        </w:r>
        <w:r>
          <w:rPr>
            <w:webHidden/>
          </w:rPr>
          <w:t>794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0" w:history="1">
        <w:r w:rsidRPr="008E79CA">
          <w:rPr>
            <w:rStyle w:val="af5"/>
          </w:rPr>
          <w:t>Рисунок 503 – Представление «Движение средств»</w:t>
        </w:r>
        <w:r>
          <w:rPr>
            <w:webHidden/>
          </w:rPr>
          <w:tab/>
        </w:r>
        <w:r>
          <w:rPr>
            <w:webHidden/>
          </w:rPr>
          <w:fldChar w:fldCharType="begin"/>
        </w:r>
        <w:r>
          <w:rPr>
            <w:webHidden/>
          </w:rPr>
          <w:instrText xml:space="preserve"> PAGEREF _Toc119584690 \h </w:instrText>
        </w:r>
        <w:r>
          <w:rPr>
            <w:webHidden/>
          </w:rPr>
        </w:r>
        <w:r>
          <w:rPr>
            <w:webHidden/>
          </w:rPr>
          <w:fldChar w:fldCharType="separate"/>
        </w:r>
        <w:r>
          <w:rPr>
            <w:webHidden/>
          </w:rPr>
          <w:t>797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1" w:history="1">
        <w:r w:rsidRPr="008E79CA">
          <w:rPr>
            <w:rStyle w:val="af5"/>
          </w:rPr>
          <w:t>Рисунок 504 – Представление «Факты отказа платежных поручений»</w:t>
        </w:r>
        <w:r>
          <w:rPr>
            <w:webHidden/>
          </w:rPr>
          <w:tab/>
        </w:r>
        <w:r>
          <w:rPr>
            <w:webHidden/>
          </w:rPr>
          <w:fldChar w:fldCharType="begin"/>
        </w:r>
        <w:r>
          <w:rPr>
            <w:webHidden/>
          </w:rPr>
          <w:instrText xml:space="preserve"> PAGEREF _Toc119584691 \h </w:instrText>
        </w:r>
        <w:r>
          <w:rPr>
            <w:webHidden/>
          </w:rPr>
        </w:r>
        <w:r>
          <w:rPr>
            <w:webHidden/>
          </w:rPr>
          <w:fldChar w:fldCharType="separate"/>
        </w:r>
        <w:r>
          <w:rPr>
            <w:webHidden/>
          </w:rPr>
          <w:t>799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2" w:history="1">
        <w:r w:rsidRPr="008E79CA">
          <w:rPr>
            <w:rStyle w:val="af5"/>
          </w:rPr>
          <w:t>Рисунок 505 – Представление «Цепочка контрактов»</w:t>
        </w:r>
        <w:r>
          <w:rPr>
            <w:webHidden/>
          </w:rPr>
          <w:tab/>
        </w:r>
        <w:r>
          <w:rPr>
            <w:webHidden/>
          </w:rPr>
          <w:fldChar w:fldCharType="begin"/>
        </w:r>
        <w:r>
          <w:rPr>
            <w:webHidden/>
          </w:rPr>
          <w:instrText xml:space="preserve"> PAGEREF _Toc119584692 \h </w:instrText>
        </w:r>
        <w:r>
          <w:rPr>
            <w:webHidden/>
          </w:rPr>
        </w:r>
        <w:r>
          <w:rPr>
            <w:webHidden/>
          </w:rPr>
          <w:fldChar w:fldCharType="separate"/>
        </w:r>
        <w:r>
          <w:rPr>
            <w:webHidden/>
          </w:rPr>
          <w:t>802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3" w:history="1">
        <w:r w:rsidRPr="008E79CA">
          <w:rPr>
            <w:rStyle w:val="af5"/>
          </w:rPr>
          <w:t>Рисунок 506 – Представление «</w:t>
        </w:r>
        <w:r w:rsidRPr="008E79CA">
          <w:rPr>
            <w:rStyle w:val="af5"/>
            <w:lang w:val="en-US"/>
          </w:rPr>
          <w:t xml:space="preserve">2D </w:t>
        </w:r>
        <w:r w:rsidRPr="008E79CA">
          <w:rPr>
            <w:rStyle w:val="af5"/>
          </w:rPr>
          <w:t>граф»</w:t>
        </w:r>
        <w:r>
          <w:rPr>
            <w:webHidden/>
          </w:rPr>
          <w:tab/>
        </w:r>
        <w:r>
          <w:rPr>
            <w:webHidden/>
          </w:rPr>
          <w:fldChar w:fldCharType="begin"/>
        </w:r>
        <w:r>
          <w:rPr>
            <w:webHidden/>
          </w:rPr>
          <w:instrText xml:space="preserve"> PAGEREF _Toc119584693 \h </w:instrText>
        </w:r>
        <w:r>
          <w:rPr>
            <w:webHidden/>
          </w:rPr>
        </w:r>
        <w:r>
          <w:rPr>
            <w:webHidden/>
          </w:rPr>
          <w:fldChar w:fldCharType="separate"/>
        </w:r>
        <w:r>
          <w:rPr>
            <w:webHidden/>
          </w:rPr>
          <w:t>803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4" w:history="1">
        <w:r w:rsidRPr="008E79CA">
          <w:rPr>
            <w:rStyle w:val="af5"/>
          </w:rPr>
          <w:t>Рисунок 507 – Представление «3</w:t>
        </w:r>
        <w:r w:rsidRPr="008E79CA">
          <w:rPr>
            <w:rStyle w:val="af5"/>
            <w:lang w:val="en-US"/>
          </w:rPr>
          <w:t>D</w:t>
        </w:r>
        <w:r w:rsidRPr="008E79CA">
          <w:rPr>
            <w:rStyle w:val="af5"/>
          </w:rPr>
          <w:t xml:space="preserve"> граф»</w:t>
        </w:r>
        <w:r>
          <w:rPr>
            <w:webHidden/>
          </w:rPr>
          <w:tab/>
        </w:r>
        <w:r>
          <w:rPr>
            <w:webHidden/>
          </w:rPr>
          <w:fldChar w:fldCharType="begin"/>
        </w:r>
        <w:r>
          <w:rPr>
            <w:webHidden/>
          </w:rPr>
          <w:instrText xml:space="preserve"> PAGEREF _Toc119584694 \h </w:instrText>
        </w:r>
        <w:r>
          <w:rPr>
            <w:webHidden/>
          </w:rPr>
        </w:r>
        <w:r>
          <w:rPr>
            <w:webHidden/>
          </w:rPr>
          <w:fldChar w:fldCharType="separate"/>
        </w:r>
        <w:r>
          <w:rPr>
            <w:webHidden/>
          </w:rPr>
          <w:t>806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5" w:history="1">
        <w:r w:rsidRPr="008E79CA">
          <w:rPr>
            <w:rStyle w:val="af5"/>
          </w:rPr>
          <w:t>Рисунок 508 – Представление «Движение средств»</w:t>
        </w:r>
        <w:r>
          <w:rPr>
            <w:webHidden/>
          </w:rPr>
          <w:tab/>
        </w:r>
        <w:r>
          <w:rPr>
            <w:webHidden/>
          </w:rPr>
          <w:fldChar w:fldCharType="begin"/>
        </w:r>
        <w:r>
          <w:rPr>
            <w:webHidden/>
          </w:rPr>
          <w:instrText xml:space="preserve"> PAGEREF _Toc119584695 \h </w:instrText>
        </w:r>
        <w:r>
          <w:rPr>
            <w:webHidden/>
          </w:rPr>
        </w:r>
        <w:r>
          <w:rPr>
            <w:webHidden/>
          </w:rPr>
          <w:fldChar w:fldCharType="separate"/>
        </w:r>
        <w:r>
          <w:rPr>
            <w:webHidden/>
          </w:rPr>
          <w:t>808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6" w:history="1">
        <w:r w:rsidRPr="008E79CA">
          <w:rPr>
            <w:rStyle w:val="af5"/>
          </w:rPr>
          <w:t>Рисунок 509 – Представление «Сведения о гос. (муниц.) контракте/соглашении»</w:t>
        </w:r>
        <w:r>
          <w:rPr>
            <w:webHidden/>
          </w:rPr>
          <w:tab/>
        </w:r>
        <w:r>
          <w:rPr>
            <w:webHidden/>
          </w:rPr>
          <w:fldChar w:fldCharType="begin"/>
        </w:r>
        <w:r>
          <w:rPr>
            <w:webHidden/>
          </w:rPr>
          <w:instrText xml:space="preserve"> PAGEREF _Toc119584696 \h </w:instrText>
        </w:r>
        <w:r>
          <w:rPr>
            <w:webHidden/>
          </w:rPr>
        </w:r>
        <w:r>
          <w:rPr>
            <w:webHidden/>
          </w:rPr>
          <w:fldChar w:fldCharType="separate"/>
        </w:r>
        <w:r>
          <w:rPr>
            <w:webHidden/>
          </w:rPr>
          <w:t>810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7" w:history="1">
        <w:r w:rsidRPr="008E79CA">
          <w:rPr>
            <w:rStyle w:val="af5"/>
            <w:rFonts w:eastAsia="Calibri"/>
          </w:rPr>
          <w:t xml:space="preserve">Рисунок </w:t>
        </w:r>
        <w:r w:rsidRPr="008E79CA">
          <w:rPr>
            <w:rStyle w:val="af5"/>
          </w:rPr>
          <w:t>510</w:t>
        </w:r>
        <w:r w:rsidRPr="008E79CA">
          <w:rPr>
            <w:rStyle w:val="af5"/>
            <w:rFonts w:eastAsia="Calibri"/>
          </w:rPr>
          <w:t xml:space="preserve"> – Макет отчета «Информация по статистике государственных финансов Российской Федерации», представление «Инфографика «Связи» - «В процентах к ВВП»</w:t>
        </w:r>
        <w:r>
          <w:rPr>
            <w:webHidden/>
          </w:rPr>
          <w:tab/>
        </w:r>
        <w:r>
          <w:rPr>
            <w:webHidden/>
          </w:rPr>
          <w:fldChar w:fldCharType="begin"/>
        </w:r>
        <w:r>
          <w:rPr>
            <w:webHidden/>
          </w:rPr>
          <w:instrText xml:space="preserve"> PAGEREF _Toc119584697 \h </w:instrText>
        </w:r>
        <w:r>
          <w:rPr>
            <w:webHidden/>
          </w:rPr>
        </w:r>
        <w:r>
          <w:rPr>
            <w:webHidden/>
          </w:rPr>
          <w:fldChar w:fldCharType="separate"/>
        </w:r>
        <w:r>
          <w:rPr>
            <w:webHidden/>
          </w:rPr>
          <w:t>814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8" w:history="1">
        <w:r w:rsidRPr="008E79CA">
          <w:rPr>
            <w:rStyle w:val="af5"/>
          </w:rPr>
          <w:t>Рисунок 511 – Макет отчета «Информация по статистике государственных финансов Российской Федерации», представление «Инфографика «Связи» - «В процентах к ВВП»</w:t>
        </w:r>
        <w:r>
          <w:rPr>
            <w:webHidden/>
          </w:rPr>
          <w:tab/>
        </w:r>
        <w:r>
          <w:rPr>
            <w:webHidden/>
          </w:rPr>
          <w:fldChar w:fldCharType="begin"/>
        </w:r>
        <w:r>
          <w:rPr>
            <w:webHidden/>
          </w:rPr>
          <w:instrText xml:space="preserve"> PAGEREF _Toc119584698 \h </w:instrText>
        </w:r>
        <w:r>
          <w:rPr>
            <w:webHidden/>
          </w:rPr>
        </w:r>
        <w:r>
          <w:rPr>
            <w:webHidden/>
          </w:rPr>
          <w:fldChar w:fldCharType="separate"/>
        </w:r>
        <w:r>
          <w:rPr>
            <w:webHidden/>
          </w:rPr>
          <w:t>817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699" w:history="1">
        <w:r w:rsidRPr="008E79CA">
          <w:rPr>
            <w:rStyle w:val="af5"/>
          </w:rPr>
          <w:t>Рисунок 512 – Макет отчета «Информация по статистике государственных финансов Российской Федерации», представление «Инфографика «Связи» - «Дерево связей» - «Схема»</w:t>
        </w:r>
        <w:r>
          <w:rPr>
            <w:webHidden/>
          </w:rPr>
          <w:tab/>
        </w:r>
        <w:r>
          <w:rPr>
            <w:webHidden/>
          </w:rPr>
          <w:fldChar w:fldCharType="begin"/>
        </w:r>
        <w:r>
          <w:rPr>
            <w:webHidden/>
          </w:rPr>
          <w:instrText xml:space="preserve"> PAGEREF _Toc119584699 \h </w:instrText>
        </w:r>
        <w:r>
          <w:rPr>
            <w:webHidden/>
          </w:rPr>
        </w:r>
        <w:r>
          <w:rPr>
            <w:webHidden/>
          </w:rPr>
          <w:fldChar w:fldCharType="separate"/>
        </w:r>
        <w:r>
          <w:rPr>
            <w:webHidden/>
          </w:rPr>
          <w:t>821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0" w:history="1">
        <w:r w:rsidRPr="008E79CA">
          <w:rPr>
            <w:rStyle w:val="af5"/>
          </w:rPr>
          <w:t>Рисунок 513 – Макет отчета «Информация по статистике государственных финансов Российской Федерации», представление «Инфографика «Связи» - «Дерево связей» - «Таблица»</w:t>
        </w:r>
        <w:r>
          <w:rPr>
            <w:webHidden/>
          </w:rPr>
          <w:tab/>
        </w:r>
        <w:r>
          <w:rPr>
            <w:webHidden/>
          </w:rPr>
          <w:fldChar w:fldCharType="begin"/>
        </w:r>
        <w:r>
          <w:rPr>
            <w:webHidden/>
          </w:rPr>
          <w:instrText xml:space="preserve"> PAGEREF _Toc119584700 \h </w:instrText>
        </w:r>
        <w:r>
          <w:rPr>
            <w:webHidden/>
          </w:rPr>
        </w:r>
        <w:r>
          <w:rPr>
            <w:webHidden/>
          </w:rPr>
          <w:fldChar w:fldCharType="separate"/>
        </w:r>
        <w:r>
          <w:rPr>
            <w:webHidden/>
          </w:rPr>
          <w:t>822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1" w:history="1">
        <w:r w:rsidRPr="008E79CA">
          <w:rPr>
            <w:rStyle w:val="af5"/>
          </w:rPr>
          <w:t>Рисунок 514 – Макет отчета «Информация по статистике государственных финансов Российской Федерации», представление «ГОССЕКТОР» - «Инфографика»</w:t>
        </w:r>
        <w:r>
          <w:rPr>
            <w:webHidden/>
          </w:rPr>
          <w:tab/>
        </w:r>
        <w:r>
          <w:rPr>
            <w:webHidden/>
          </w:rPr>
          <w:fldChar w:fldCharType="begin"/>
        </w:r>
        <w:r>
          <w:rPr>
            <w:webHidden/>
          </w:rPr>
          <w:instrText xml:space="preserve"> PAGEREF _Toc119584701 \h </w:instrText>
        </w:r>
        <w:r>
          <w:rPr>
            <w:webHidden/>
          </w:rPr>
        </w:r>
        <w:r>
          <w:rPr>
            <w:webHidden/>
          </w:rPr>
          <w:fldChar w:fldCharType="separate"/>
        </w:r>
        <w:r>
          <w:rPr>
            <w:webHidden/>
          </w:rPr>
          <w:t>823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2" w:history="1">
        <w:r w:rsidRPr="008E79CA">
          <w:rPr>
            <w:rStyle w:val="af5"/>
          </w:rPr>
          <w:t>Рисунок 515 – Макет отчета «Информация по статистике государственных финансов Российской Федерации», представление «ГОССЕКТОР» - «Таблица»</w:t>
        </w:r>
        <w:r>
          <w:rPr>
            <w:webHidden/>
          </w:rPr>
          <w:tab/>
        </w:r>
        <w:r>
          <w:rPr>
            <w:webHidden/>
          </w:rPr>
          <w:fldChar w:fldCharType="begin"/>
        </w:r>
        <w:r>
          <w:rPr>
            <w:webHidden/>
          </w:rPr>
          <w:instrText xml:space="preserve"> PAGEREF _Toc119584702 \h </w:instrText>
        </w:r>
        <w:r>
          <w:rPr>
            <w:webHidden/>
          </w:rPr>
        </w:r>
        <w:r>
          <w:rPr>
            <w:webHidden/>
          </w:rPr>
          <w:fldChar w:fldCharType="separate"/>
        </w:r>
        <w:r>
          <w:rPr>
            <w:webHidden/>
          </w:rPr>
          <w:t>830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3" w:history="1">
        <w:r w:rsidRPr="008E79CA">
          <w:rPr>
            <w:rStyle w:val="af5"/>
          </w:rPr>
          <w:t>Рисунок 516 – Макет отчета «Информация по статистике государственных финансов Российской Федерации», представление «ГОССЕКТОР» - «Диаграмма».</w:t>
        </w:r>
        <w:r>
          <w:rPr>
            <w:webHidden/>
          </w:rPr>
          <w:tab/>
        </w:r>
        <w:r>
          <w:rPr>
            <w:webHidden/>
          </w:rPr>
          <w:fldChar w:fldCharType="begin"/>
        </w:r>
        <w:r>
          <w:rPr>
            <w:webHidden/>
          </w:rPr>
          <w:instrText xml:space="preserve"> PAGEREF _Toc119584703 \h </w:instrText>
        </w:r>
        <w:r>
          <w:rPr>
            <w:webHidden/>
          </w:rPr>
        </w:r>
        <w:r>
          <w:rPr>
            <w:webHidden/>
          </w:rPr>
          <w:fldChar w:fldCharType="separate"/>
        </w:r>
        <w:r>
          <w:rPr>
            <w:webHidden/>
          </w:rPr>
          <w:t>832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4" w:history="1">
        <w:r w:rsidRPr="008E79CA">
          <w:rPr>
            <w:rStyle w:val="af5"/>
          </w:rPr>
          <w:t>Рисунок 517 – Макет отчета «Информация по статистике государственных финансов Российской Федерации», представление «СГУ»</w:t>
        </w:r>
        <w:r>
          <w:rPr>
            <w:webHidden/>
          </w:rPr>
          <w:tab/>
        </w:r>
        <w:r>
          <w:rPr>
            <w:webHidden/>
          </w:rPr>
          <w:fldChar w:fldCharType="begin"/>
        </w:r>
        <w:r>
          <w:rPr>
            <w:webHidden/>
          </w:rPr>
          <w:instrText xml:space="preserve"> PAGEREF _Toc119584704 \h </w:instrText>
        </w:r>
        <w:r>
          <w:rPr>
            <w:webHidden/>
          </w:rPr>
        </w:r>
        <w:r>
          <w:rPr>
            <w:webHidden/>
          </w:rPr>
          <w:fldChar w:fldCharType="separate"/>
        </w:r>
        <w:r>
          <w:rPr>
            <w:webHidden/>
          </w:rPr>
          <w:t>833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5" w:history="1">
        <w:r w:rsidRPr="008E79CA">
          <w:rPr>
            <w:rStyle w:val="af5"/>
          </w:rPr>
          <w:t>Рисунок 518 – Макет отчета «Информация по статистике государственных финансов Российской Федерации», представление  «Доходы СГУ»</w:t>
        </w:r>
        <w:r>
          <w:rPr>
            <w:webHidden/>
          </w:rPr>
          <w:tab/>
        </w:r>
        <w:r>
          <w:rPr>
            <w:webHidden/>
          </w:rPr>
          <w:fldChar w:fldCharType="begin"/>
        </w:r>
        <w:r>
          <w:rPr>
            <w:webHidden/>
          </w:rPr>
          <w:instrText xml:space="preserve"> PAGEREF _Toc119584705 \h </w:instrText>
        </w:r>
        <w:r>
          <w:rPr>
            <w:webHidden/>
          </w:rPr>
        </w:r>
        <w:r>
          <w:rPr>
            <w:webHidden/>
          </w:rPr>
          <w:fldChar w:fldCharType="separate"/>
        </w:r>
        <w:r>
          <w:rPr>
            <w:webHidden/>
          </w:rPr>
          <w:t>835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6" w:history="1">
        <w:r w:rsidRPr="008E79CA">
          <w:rPr>
            <w:rStyle w:val="af5"/>
          </w:rPr>
          <w:t>Рисунок 519 – Макет отчета «Информация по статистике государственных финансов Российской Федерации», представление  «Расходы СГУ»</w:t>
        </w:r>
        <w:r>
          <w:rPr>
            <w:webHidden/>
          </w:rPr>
          <w:tab/>
        </w:r>
        <w:r>
          <w:rPr>
            <w:webHidden/>
          </w:rPr>
          <w:fldChar w:fldCharType="begin"/>
        </w:r>
        <w:r>
          <w:rPr>
            <w:webHidden/>
          </w:rPr>
          <w:instrText xml:space="preserve"> PAGEREF _Toc119584706 \h </w:instrText>
        </w:r>
        <w:r>
          <w:rPr>
            <w:webHidden/>
          </w:rPr>
        </w:r>
        <w:r>
          <w:rPr>
            <w:webHidden/>
          </w:rPr>
          <w:fldChar w:fldCharType="separate"/>
        </w:r>
        <w:r>
          <w:rPr>
            <w:webHidden/>
          </w:rPr>
          <w:t>836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7" w:history="1">
        <w:r w:rsidRPr="008E79CA">
          <w:rPr>
            <w:rStyle w:val="af5"/>
          </w:rPr>
          <w:t>Рисунок 520 – Макет отчета «Информация по статистике государственных финансов Российской Федерации», представление  «Баланс СГУ»</w:t>
        </w:r>
        <w:r>
          <w:rPr>
            <w:webHidden/>
          </w:rPr>
          <w:tab/>
        </w:r>
        <w:r>
          <w:rPr>
            <w:webHidden/>
          </w:rPr>
          <w:fldChar w:fldCharType="begin"/>
        </w:r>
        <w:r>
          <w:rPr>
            <w:webHidden/>
          </w:rPr>
          <w:instrText xml:space="preserve"> PAGEREF _Toc119584707 \h </w:instrText>
        </w:r>
        <w:r>
          <w:rPr>
            <w:webHidden/>
          </w:rPr>
        </w:r>
        <w:r>
          <w:rPr>
            <w:webHidden/>
          </w:rPr>
          <w:fldChar w:fldCharType="separate"/>
        </w:r>
        <w:r>
          <w:rPr>
            <w:webHidden/>
          </w:rPr>
          <w:t>838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8" w:history="1">
        <w:r w:rsidRPr="008E79CA">
          <w:rPr>
            <w:rStyle w:val="af5"/>
          </w:rPr>
          <w:t>Рисунок 521 – Плашка для перехода к отчету «Сектор государственных нефинансовых корпораций»</w:t>
        </w:r>
        <w:r>
          <w:rPr>
            <w:webHidden/>
          </w:rPr>
          <w:tab/>
        </w:r>
        <w:r>
          <w:rPr>
            <w:webHidden/>
          </w:rPr>
          <w:fldChar w:fldCharType="begin"/>
        </w:r>
        <w:r>
          <w:rPr>
            <w:webHidden/>
          </w:rPr>
          <w:instrText xml:space="preserve"> PAGEREF _Toc119584708 \h </w:instrText>
        </w:r>
        <w:r>
          <w:rPr>
            <w:webHidden/>
          </w:rPr>
        </w:r>
        <w:r>
          <w:rPr>
            <w:webHidden/>
          </w:rPr>
          <w:fldChar w:fldCharType="separate"/>
        </w:r>
        <w:r>
          <w:rPr>
            <w:webHidden/>
          </w:rPr>
          <w:t>839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09" w:history="1">
        <w:r w:rsidRPr="008E79CA">
          <w:rPr>
            <w:rStyle w:val="af5"/>
          </w:rPr>
          <w:t>Рисунок 522 – Представление «Сектор государственных нефинансовых корпораций» - «Переходная таблица»</w:t>
        </w:r>
        <w:r>
          <w:rPr>
            <w:webHidden/>
          </w:rPr>
          <w:tab/>
        </w:r>
        <w:r>
          <w:rPr>
            <w:webHidden/>
          </w:rPr>
          <w:fldChar w:fldCharType="begin"/>
        </w:r>
        <w:r>
          <w:rPr>
            <w:webHidden/>
          </w:rPr>
          <w:instrText xml:space="preserve"> PAGEREF _Toc119584709 \h </w:instrText>
        </w:r>
        <w:r>
          <w:rPr>
            <w:webHidden/>
          </w:rPr>
        </w:r>
        <w:r>
          <w:rPr>
            <w:webHidden/>
          </w:rPr>
          <w:fldChar w:fldCharType="separate"/>
        </w:r>
        <w:r>
          <w:rPr>
            <w:webHidden/>
          </w:rPr>
          <w:t>840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0" w:history="1">
        <w:r w:rsidRPr="008E79CA">
          <w:rPr>
            <w:rStyle w:val="af5"/>
          </w:rPr>
          <w:t>Рисунок 523 – Представление «Сектор государственных нефинансовых корпораций» - «Список организаций»</w:t>
        </w:r>
        <w:r>
          <w:rPr>
            <w:webHidden/>
          </w:rPr>
          <w:tab/>
        </w:r>
        <w:r>
          <w:rPr>
            <w:webHidden/>
          </w:rPr>
          <w:fldChar w:fldCharType="begin"/>
        </w:r>
        <w:r>
          <w:rPr>
            <w:webHidden/>
          </w:rPr>
          <w:instrText xml:space="preserve"> PAGEREF _Toc119584710 \h </w:instrText>
        </w:r>
        <w:r>
          <w:rPr>
            <w:webHidden/>
          </w:rPr>
        </w:r>
        <w:r>
          <w:rPr>
            <w:webHidden/>
          </w:rPr>
          <w:fldChar w:fldCharType="separate"/>
        </w:r>
        <w:r>
          <w:rPr>
            <w:webHidden/>
          </w:rPr>
          <w:t>850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1" w:history="1">
        <w:r w:rsidRPr="008E79CA">
          <w:rPr>
            <w:rStyle w:val="af5"/>
          </w:rPr>
          <w:t>Рисунок 524 – Плашка для перехода к отчету «Бухгалтерский баланс»</w:t>
        </w:r>
        <w:r>
          <w:rPr>
            <w:webHidden/>
          </w:rPr>
          <w:tab/>
        </w:r>
        <w:r>
          <w:rPr>
            <w:webHidden/>
          </w:rPr>
          <w:fldChar w:fldCharType="begin"/>
        </w:r>
        <w:r>
          <w:rPr>
            <w:webHidden/>
          </w:rPr>
          <w:instrText xml:space="preserve"> PAGEREF _Toc119584711 \h </w:instrText>
        </w:r>
        <w:r>
          <w:rPr>
            <w:webHidden/>
          </w:rPr>
        </w:r>
        <w:r>
          <w:rPr>
            <w:webHidden/>
          </w:rPr>
          <w:fldChar w:fldCharType="separate"/>
        </w:r>
        <w:r>
          <w:rPr>
            <w:webHidden/>
          </w:rPr>
          <w:t>853</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2" w:history="1">
        <w:r w:rsidRPr="008E79CA">
          <w:rPr>
            <w:rStyle w:val="af5"/>
          </w:rPr>
          <w:t>Рисунок 525 – Представление «Бухгалтерский баланс» - «Показатели»</w:t>
        </w:r>
        <w:r>
          <w:rPr>
            <w:webHidden/>
          </w:rPr>
          <w:tab/>
        </w:r>
        <w:r>
          <w:rPr>
            <w:webHidden/>
          </w:rPr>
          <w:fldChar w:fldCharType="begin"/>
        </w:r>
        <w:r>
          <w:rPr>
            <w:webHidden/>
          </w:rPr>
          <w:instrText xml:space="preserve"> PAGEREF _Toc119584712 \h </w:instrText>
        </w:r>
        <w:r>
          <w:rPr>
            <w:webHidden/>
          </w:rPr>
        </w:r>
        <w:r>
          <w:rPr>
            <w:webHidden/>
          </w:rPr>
          <w:fldChar w:fldCharType="separate"/>
        </w:r>
        <w:r>
          <w:rPr>
            <w:webHidden/>
          </w:rPr>
          <w:t>854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3" w:history="1">
        <w:r w:rsidRPr="008E79CA">
          <w:rPr>
            <w:rStyle w:val="af5"/>
          </w:rPr>
          <w:t>Рисунок 526 – Представление «Бухгалтерский баланс» - «Дополнительные показатели»</w:t>
        </w:r>
        <w:r>
          <w:rPr>
            <w:webHidden/>
          </w:rPr>
          <w:tab/>
        </w:r>
        <w:r>
          <w:rPr>
            <w:webHidden/>
          </w:rPr>
          <w:fldChar w:fldCharType="begin"/>
        </w:r>
        <w:r>
          <w:rPr>
            <w:webHidden/>
          </w:rPr>
          <w:instrText xml:space="preserve"> PAGEREF _Toc119584713 \h </w:instrText>
        </w:r>
        <w:r>
          <w:rPr>
            <w:webHidden/>
          </w:rPr>
        </w:r>
        <w:r>
          <w:rPr>
            <w:webHidden/>
          </w:rPr>
          <w:fldChar w:fldCharType="separate"/>
        </w:r>
        <w:r>
          <w:rPr>
            <w:webHidden/>
          </w:rPr>
          <w:t>856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4" w:history="1">
        <w:r w:rsidRPr="008E79CA">
          <w:rPr>
            <w:rStyle w:val="af5"/>
          </w:rPr>
          <w:t>Рисунок 527 – Представление «Бухгалтерский баланс» - «Список организаций»</w:t>
        </w:r>
        <w:r>
          <w:rPr>
            <w:webHidden/>
          </w:rPr>
          <w:tab/>
        </w:r>
        <w:r>
          <w:rPr>
            <w:webHidden/>
          </w:rPr>
          <w:fldChar w:fldCharType="begin"/>
        </w:r>
        <w:r>
          <w:rPr>
            <w:webHidden/>
          </w:rPr>
          <w:instrText xml:space="preserve"> PAGEREF _Toc119584714 \h </w:instrText>
        </w:r>
        <w:r>
          <w:rPr>
            <w:webHidden/>
          </w:rPr>
        </w:r>
        <w:r>
          <w:rPr>
            <w:webHidden/>
          </w:rPr>
          <w:fldChar w:fldCharType="separate"/>
        </w:r>
        <w:r>
          <w:rPr>
            <w:webHidden/>
          </w:rPr>
          <w:t>857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5" w:history="1">
        <w:r w:rsidRPr="008E79CA">
          <w:rPr>
            <w:rStyle w:val="af5"/>
          </w:rPr>
          <w:t>Рисунок 528 – Плашка для перехода к отчету «Отчет о финансовых результатах»</w:t>
        </w:r>
        <w:r>
          <w:rPr>
            <w:webHidden/>
          </w:rPr>
          <w:tab/>
        </w:r>
        <w:r>
          <w:rPr>
            <w:webHidden/>
          </w:rPr>
          <w:fldChar w:fldCharType="begin"/>
        </w:r>
        <w:r>
          <w:rPr>
            <w:webHidden/>
          </w:rPr>
          <w:instrText xml:space="preserve"> PAGEREF _Toc119584715 \h </w:instrText>
        </w:r>
        <w:r>
          <w:rPr>
            <w:webHidden/>
          </w:rPr>
        </w:r>
        <w:r>
          <w:rPr>
            <w:webHidden/>
          </w:rPr>
          <w:fldChar w:fldCharType="separate"/>
        </w:r>
        <w:r>
          <w:rPr>
            <w:webHidden/>
          </w:rPr>
          <w:t>860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6" w:history="1">
        <w:r w:rsidRPr="008E79CA">
          <w:rPr>
            <w:rStyle w:val="af5"/>
          </w:rPr>
          <w:t>Рисунок 529 – Представление «Отчет о финансовых результатах» - «Показатели»</w:t>
        </w:r>
        <w:r>
          <w:rPr>
            <w:webHidden/>
          </w:rPr>
          <w:tab/>
        </w:r>
        <w:r>
          <w:rPr>
            <w:webHidden/>
          </w:rPr>
          <w:fldChar w:fldCharType="begin"/>
        </w:r>
        <w:r>
          <w:rPr>
            <w:webHidden/>
          </w:rPr>
          <w:instrText xml:space="preserve"> PAGEREF _Toc119584716 \h </w:instrText>
        </w:r>
        <w:r>
          <w:rPr>
            <w:webHidden/>
          </w:rPr>
        </w:r>
        <w:r>
          <w:rPr>
            <w:webHidden/>
          </w:rPr>
          <w:fldChar w:fldCharType="separate"/>
        </w:r>
        <w:r>
          <w:rPr>
            <w:webHidden/>
          </w:rPr>
          <w:t>861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7" w:history="1">
        <w:r w:rsidRPr="008E79CA">
          <w:rPr>
            <w:rStyle w:val="af5"/>
          </w:rPr>
          <w:t>Рисунок 530 – Представление «Отчет о финансовых результатах» - «Дополнительные показатели»</w:t>
        </w:r>
        <w:r>
          <w:rPr>
            <w:webHidden/>
          </w:rPr>
          <w:tab/>
        </w:r>
        <w:r>
          <w:rPr>
            <w:webHidden/>
          </w:rPr>
          <w:fldChar w:fldCharType="begin"/>
        </w:r>
        <w:r>
          <w:rPr>
            <w:webHidden/>
          </w:rPr>
          <w:instrText xml:space="preserve"> PAGEREF _Toc119584717 \h </w:instrText>
        </w:r>
        <w:r>
          <w:rPr>
            <w:webHidden/>
          </w:rPr>
        </w:r>
        <w:r>
          <w:rPr>
            <w:webHidden/>
          </w:rPr>
          <w:fldChar w:fldCharType="separate"/>
        </w:r>
        <w:r>
          <w:rPr>
            <w:webHidden/>
          </w:rPr>
          <w:t>862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8" w:history="1">
        <w:r w:rsidRPr="008E79CA">
          <w:rPr>
            <w:rStyle w:val="af5"/>
          </w:rPr>
          <w:t>Рисунок 531 – Представление «Отчет о финансовых результатах» - «Список организаций»</w:t>
        </w:r>
        <w:r>
          <w:rPr>
            <w:webHidden/>
          </w:rPr>
          <w:tab/>
        </w:r>
        <w:r>
          <w:rPr>
            <w:webHidden/>
          </w:rPr>
          <w:fldChar w:fldCharType="begin"/>
        </w:r>
        <w:r>
          <w:rPr>
            <w:webHidden/>
          </w:rPr>
          <w:instrText xml:space="preserve"> PAGEREF _Toc119584718 \h </w:instrText>
        </w:r>
        <w:r>
          <w:rPr>
            <w:webHidden/>
          </w:rPr>
        </w:r>
        <w:r>
          <w:rPr>
            <w:webHidden/>
          </w:rPr>
          <w:fldChar w:fldCharType="separate"/>
        </w:r>
        <w:r>
          <w:rPr>
            <w:webHidden/>
          </w:rPr>
          <w:t>864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19" w:history="1">
        <w:r w:rsidRPr="008E79CA">
          <w:rPr>
            <w:rStyle w:val="af5"/>
          </w:rPr>
          <w:t>Рисунок 532 – Представление «Отчет о целевом использовании средств » - «Показатели»</w:t>
        </w:r>
        <w:r>
          <w:rPr>
            <w:webHidden/>
          </w:rPr>
          <w:tab/>
        </w:r>
        <w:r>
          <w:rPr>
            <w:webHidden/>
          </w:rPr>
          <w:fldChar w:fldCharType="begin"/>
        </w:r>
        <w:r>
          <w:rPr>
            <w:webHidden/>
          </w:rPr>
          <w:instrText xml:space="preserve"> PAGEREF _Toc119584719 \h </w:instrText>
        </w:r>
        <w:r>
          <w:rPr>
            <w:webHidden/>
          </w:rPr>
        </w:r>
        <w:r>
          <w:rPr>
            <w:webHidden/>
          </w:rPr>
          <w:fldChar w:fldCharType="separate"/>
        </w:r>
        <w:r>
          <w:rPr>
            <w:webHidden/>
          </w:rPr>
          <w:t>867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0" w:history="1">
        <w:r w:rsidRPr="008E79CA">
          <w:rPr>
            <w:rStyle w:val="af5"/>
          </w:rPr>
          <w:t>Рисунок 533 – Представление «Отчет о целевом использовании средств» - «Дополнительные показатели»</w:t>
        </w:r>
        <w:r>
          <w:rPr>
            <w:webHidden/>
          </w:rPr>
          <w:tab/>
        </w:r>
        <w:r>
          <w:rPr>
            <w:webHidden/>
          </w:rPr>
          <w:fldChar w:fldCharType="begin"/>
        </w:r>
        <w:r>
          <w:rPr>
            <w:webHidden/>
          </w:rPr>
          <w:instrText xml:space="preserve"> PAGEREF _Toc119584720 \h </w:instrText>
        </w:r>
        <w:r>
          <w:rPr>
            <w:webHidden/>
          </w:rPr>
        </w:r>
        <w:r>
          <w:rPr>
            <w:webHidden/>
          </w:rPr>
          <w:fldChar w:fldCharType="separate"/>
        </w:r>
        <w:r>
          <w:rPr>
            <w:webHidden/>
          </w:rPr>
          <w:t>868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1" w:history="1">
        <w:r w:rsidRPr="008E79CA">
          <w:rPr>
            <w:rStyle w:val="af5"/>
          </w:rPr>
          <w:t>Рисунок 534 – Представление «Отчет о целевом использовании средств» - «Список организаций»</w:t>
        </w:r>
        <w:r>
          <w:rPr>
            <w:webHidden/>
          </w:rPr>
          <w:tab/>
        </w:r>
        <w:r>
          <w:rPr>
            <w:webHidden/>
          </w:rPr>
          <w:fldChar w:fldCharType="begin"/>
        </w:r>
        <w:r>
          <w:rPr>
            <w:webHidden/>
          </w:rPr>
          <w:instrText xml:space="preserve"> PAGEREF _Toc119584721 \h </w:instrText>
        </w:r>
        <w:r>
          <w:rPr>
            <w:webHidden/>
          </w:rPr>
        </w:r>
        <w:r>
          <w:rPr>
            <w:webHidden/>
          </w:rPr>
          <w:fldChar w:fldCharType="separate"/>
        </w:r>
        <w:r>
          <w:rPr>
            <w:webHidden/>
          </w:rPr>
          <w:t>870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2" w:history="1">
        <w:r w:rsidRPr="008E79CA">
          <w:rPr>
            <w:rStyle w:val="af5"/>
          </w:rPr>
          <w:t>Рисунок 535 – Представление «Отчет об изменениях капитала» - «Показатели»</w:t>
        </w:r>
        <w:r>
          <w:rPr>
            <w:webHidden/>
          </w:rPr>
          <w:tab/>
        </w:r>
        <w:r>
          <w:rPr>
            <w:webHidden/>
          </w:rPr>
          <w:fldChar w:fldCharType="begin"/>
        </w:r>
        <w:r>
          <w:rPr>
            <w:webHidden/>
          </w:rPr>
          <w:instrText xml:space="preserve"> PAGEREF _Toc119584722 \h </w:instrText>
        </w:r>
        <w:r>
          <w:rPr>
            <w:webHidden/>
          </w:rPr>
        </w:r>
        <w:r>
          <w:rPr>
            <w:webHidden/>
          </w:rPr>
          <w:fldChar w:fldCharType="separate"/>
        </w:r>
        <w:r>
          <w:rPr>
            <w:webHidden/>
          </w:rPr>
          <w:t>872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3" w:history="1">
        <w:r w:rsidRPr="008E79CA">
          <w:rPr>
            <w:rStyle w:val="af5"/>
          </w:rPr>
          <w:t>Рисунок 536 – Представление «Отчет об изменениях капитала» - «Дополнительные показатели»</w:t>
        </w:r>
        <w:r>
          <w:rPr>
            <w:webHidden/>
          </w:rPr>
          <w:tab/>
        </w:r>
        <w:r>
          <w:rPr>
            <w:webHidden/>
          </w:rPr>
          <w:fldChar w:fldCharType="begin"/>
        </w:r>
        <w:r>
          <w:rPr>
            <w:webHidden/>
          </w:rPr>
          <w:instrText xml:space="preserve"> PAGEREF _Toc119584723 \h </w:instrText>
        </w:r>
        <w:r>
          <w:rPr>
            <w:webHidden/>
          </w:rPr>
        </w:r>
        <w:r>
          <w:rPr>
            <w:webHidden/>
          </w:rPr>
          <w:fldChar w:fldCharType="separate"/>
        </w:r>
        <w:r>
          <w:rPr>
            <w:webHidden/>
          </w:rPr>
          <w:t>874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4" w:history="1">
        <w:r w:rsidRPr="008E79CA">
          <w:rPr>
            <w:rStyle w:val="af5"/>
          </w:rPr>
          <w:t>Рисунок 537 – Представление «Отчет об изменениях капитала » - «Список организаций»</w:t>
        </w:r>
        <w:r>
          <w:rPr>
            <w:webHidden/>
          </w:rPr>
          <w:tab/>
        </w:r>
        <w:r>
          <w:rPr>
            <w:webHidden/>
          </w:rPr>
          <w:fldChar w:fldCharType="begin"/>
        </w:r>
        <w:r>
          <w:rPr>
            <w:webHidden/>
          </w:rPr>
          <w:instrText xml:space="preserve"> PAGEREF _Toc119584724 \h </w:instrText>
        </w:r>
        <w:r>
          <w:rPr>
            <w:webHidden/>
          </w:rPr>
        </w:r>
        <w:r>
          <w:rPr>
            <w:webHidden/>
          </w:rPr>
          <w:fldChar w:fldCharType="separate"/>
        </w:r>
        <w:r>
          <w:rPr>
            <w:webHidden/>
          </w:rPr>
          <w:t>876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5" w:history="1">
        <w:r w:rsidRPr="008E79CA">
          <w:rPr>
            <w:rStyle w:val="af5"/>
          </w:rPr>
          <w:t>Рисунок 538 – Представление «Отчет о движении денежных средств» - «Показатели»</w:t>
        </w:r>
        <w:r>
          <w:rPr>
            <w:webHidden/>
          </w:rPr>
          <w:tab/>
        </w:r>
        <w:r>
          <w:rPr>
            <w:webHidden/>
          </w:rPr>
          <w:fldChar w:fldCharType="begin"/>
        </w:r>
        <w:r>
          <w:rPr>
            <w:webHidden/>
          </w:rPr>
          <w:instrText xml:space="preserve"> PAGEREF _Toc119584725 \h </w:instrText>
        </w:r>
        <w:r>
          <w:rPr>
            <w:webHidden/>
          </w:rPr>
        </w:r>
        <w:r>
          <w:rPr>
            <w:webHidden/>
          </w:rPr>
          <w:fldChar w:fldCharType="separate"/>
        </w:r>
        <w:r>
          <w:rPr>
            <w:webHidden/>
          </w:rPr>
          <w:t>878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6" w:history="1">
        <w:r w:rsidRPr="008E79CA">
          <w:rPr>
            <w:rStyle w:val="af5"/>
          </w:rPr>
          <w:t>Рисунок 539 – Представление «Отчет о движении денежных средств» - «Дополнительные показатели»</w:t>
        </w:r>
        <w:r>
          <w:rPr>
            <w:webHidden/>
          </w:rPr>
          <w:tab/>
        </w:r>
        <w:r>
          <w:rPr>
            <w:webHidden/>
          </w:rPr>
          <w:fldChar w:fldCharType="begin"/>
        </w:r>
        <w:r>
          <w:rPr>
            <w:webHidden/>
          </w:rPr>
          <w:instrText xml:space="preserve"> PAGEREF _Toc119584726 \h </w:instrText>
        </w:r>
        <w:r>
          <w:rPr>
            <w:webHidden/>
          </w:rPr>
        </w:r>
        <w:r>
          <w:rPr>
            <w:webHidden/>
          </w:rPr>
          <w:fldChar w:fldCharType="separate"/>
        </w:r>
        <w:r>
          <w:rPr>
            <w:webHidden/>
          </w:rPr>
          <w:t>880</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7" w:history="1">
        <w:r w:rsidRPr="008E79CA">
          <w:rPr>
            <w:rStyle w:val="af5"/>
          </w:rPr>
          <w:t>Рисунок 540 – Представление «Отчет о движении денежных средств» - «Список организаций»</w:t>
        </w:r>
        <w:r>
          <w:rPr>
            <w:webHidden/>
          </w:rPr>
          <w:tab/>
        </w:r>
        <w:r>
          <w:rPr>
            <w:webHidden/>
          </w:rPr>
          <w:fldChar w:fldCharType="begin"/>
        </w:r>
        <w:r>
          <w:rPr>
            <w:webHidden/>
          </w:rPr>
          <w:instrText xml:space="preserve"> PAGEREF _Toc119584727 \h </w:instrText>
        </w:r>
        <w:r>
          <w:rPr>
            <w:webHidden/>
          </w:rPr>
        </w:r>
        <w:r>
          <w:rPr>
            <w:webHidden/>
          </w:rPr>
          <w:fldChar w:fldCharType="separate"/>
        </w:r>
        <w:r>
          <w:rPr>
            <w:webHidden/>
          </w:rPr>
          <w:t>881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8" w:history="1">
        <w:r w:rsidRPr="008E79CA">
          <w:rPr>
            <w:rStyle w:val="af5"/>
          </w:rPr>
          <w:t>Рисунок 541 – Макет отчета «Базовые (отраслевые) и ведомственные перечни государственных и муниципальных услуг и работ». Представление «БПГУ»</w:t>
        </w:r>
        <w:r>
          <w:rPr>
            <w:webHidden/>
          </w:rPr>
          <w:tab/>
        </w:r>
        <w:r>
          <w:rPr>
            <w:webHidden/>
          </w:rPr>
          <w:fldChar w:fldCharType="begin"/>
        </w:r>
        <w:r>
          <w:rPr>
            <w:webHidden/>
          </w:rPr>
          <w:instrText xml:space="preserve"> PAGEREF _Toc119584728 \h </w:instrText>
        </w:r>
        <w:r>
          <w:rPr>
            <w:webHidden/>
          </w:rPr>
        </w:r>
        <w:r>
          <w:rPr>
            <w:webHidden/>
          </w:rPr>
          <w:fldChar w:fldCharType="separate"/>
        </w:r>
        <w:r>
          <w:rPr>
            <w:webHidden/>
          </w:rPr>
          <w:t>885</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29" w:history="1">
        <w:r w:rsidRPr="008E79CA">
          <w:rPr>
            <w:rStyle w:val="af5"/>
          </w:rPr>
          <w:t>Рисунок 542 – Макет отчета «Базовые (отраслевые) и ведомственные перечни государственных и муниципальных услуг и работ». Представление «ВПГУ»</w:t>
        </w:r>
        <w:r>
          <w:rPr>
            <w:webHidden/>
          </w:rPr>
          <w:tab/>
        </w:r>
        <w:r>
          <w:rPr>
            <w:webHidden/>
          </w:rPr>
          <w:fldChar w:fldCharType="begin"/>
        </w:r>
        <w:r>
          <w:rPr>
            <w:webHidden/>
          </w:rPr>
          <w:instrText xml:space="preserve"> PAGEREF _Toc119584729 \h </w:instrText>
        </w:r>
        <w:r>
          <w:rPr>
            <w:webHidden/>
          </w:rPr>
        </w:r>
        <w:r>
          <w:rPr>
            <w:webHidden/>
          </w:rPr>
          <w:fldChar w:fldCharType="separate"/>
        </w:r>
        <w:r>
          <w:rPr>
            <w:webHidden/>
          </w:rPr>
          <w:t>886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0" w:history="1">
        <w:r w:rsidRPr="008E79CA">
          <w:rPr>
            <w:rStyle w:val="af5"/>
          </w:rPr>
          <w:t>Рисунок 543 – Макет отчета «Информации об уплате налога на добычу полезных ископаемых в разрезе налогоплательщиков»</w:t>
        </w:r>
        <w:r>
          <w:rPr>
            <w:webHidden/>
          </w:rPr>
          <w:tab/>
        </w:r>
        <w:r>
          <w:rPr>
            <w:webHidden/>
          </w:rPr>
          <w:fldChar w:fldCharType="begin"/>
        </w:r>
        <w:r>
          <w:rPr>
            <w:webHidden/>
          </w:rPr>
          <w:instrText xml:space="preserve"> PAGEREF _Toc119584730 \h </w:instrText>
        </w:r>
        <w:r>
          <w:rPr>
            <w:webHidden/>
          </w:rPr>
        </w:r>
        <w:r>
          <w:rPr>
            <w:webHidden/>
          </w:rPr>
          <w:fldChar w:fldCharType="separate"/>
        </w:r>
        <w:r>
          <w:rPr>
            <w:webHidden/>
          </w:rPr>
          <w:t>888</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1" w:history="1">
        <w:r w:rsidRPr="008E79CA">
          <w:rPr>
            <w:rStyle w:val="af5"/>
          </w:rPr>
          <w:t>Рисунок 544 – Макет отчета «Информация о возмещении НДС в разрезе налогоплательщиков»</w:t>
        </w:r>
        <w:r>
          <w:rPr>
            <w:webHidden/>
          </w:rPr>
          <w:tab/>
        </w:r>
        <w:r>
          <w:rPr>
            <w:webHidden/>
          </w:rPr>
          <w:fldChar w:fldCharType="begin"/>
        </w:r>
        <w:r>
          <w:rPr>
            <w:webHidden/>
          </w:rPr>
          <w:instrText xml:space="preserve"> PAGEREF _Toc119584731 \h </w:instrText>
        </w:r>
        <w:r>
          <w:rPr>
            <w:webHidden/>
          </w:rPr>
        </w:r>
        <w:r>
          <w:rPr>
            <w:webHidden/>
          </w:rPr>
          <w:fldChar w:fldCharType="separate"/>
        </w:r>
        <w:r>
          <w:rPr>
            <w:webHidden/>
          </w:rPr>
          <w:t>889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2" w:history="1">
        <w:r w:rsidRPr="008E79CA">
          <w:rPr>
            <w:rStyle w:val="af5"/>
          </w:rPr>
          <w:t>Рисунок 545 – Макет отчета «Информации о предоставлении субсидий в разрезе сельхозтоваропроизводителей»</w:t>
        </w:r>
        <w:r>
          <w:rPr>
            <w:webHidden/>
          </w:rPr>
          <w:tab/>
        </w:r>
        <w:r>
          <w:rPr>
            <w:webHidden/>
          </w:rPr>
          <w:fldChar w:fldCharType="begin"/>
        </w:r>
        <w:r>
          <w:rPr>
            <w:webHidden/>
          </w:rPr>
          <w:instrText xml:space="preserve"> PAGEREF _Toc119584732 \h </w:instrText>
        </w:r>
        <w:r>
          <w:rPr>
            <w:webHidden/>
          </w:rPr>
        </w:r>
        <w:r>
          <w:rPr>
            <w:webHidden/>
          </w:rPr>
          <w:fldChar w:fldCharType="separate"/>
        </w:r>
        <w:r>
          <w:rPr>
            <w:webHidden/>
          </w:rPr>
          <w:t>891</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3" w:history="1">
        <w:r w:rsidRPr="008E79CA">
          <w:rPr>
            <w:rStyle w:val="af5"/>
          </w:rPr>
          <w:t>Рисунок 546 – Макет отчета «Информация о расходах федерального бюджета в разрезе объектов ФАИП»</w:t>
        </w:r>
        <w:r>
          <w:rPr>
            <w:webHidden/>
          </w:rPr>
          <w:tab/>
        </w:r>
        <w:r>
          <w:rPr>
            <w:webHidden/>
          </w:rPr>
          <w:fldChar w:fldCharType="begin"/>
        </w:r>
        <w:r>
          <w:rPr>
            <w:webHidden/>
          </w:rPr>
          <w:instrText xml:space="preserve"> PAGEREF _Toc119584733 \h </w:instrText>
        </w:r>
        <w:r>
          <w:rPr>
            <w:webHidden/>
          </w:rPr>
        </w:r>
        <w:r>
          <w:rPr>
            <w:webHidden/>
          </w:rPr>
          <w:fldChar w:fldCharType="separate"/>
        </w:r>
        <w:r>
          <w:rPr>
            <w:webHidden/>
          </w:rPr>
          <w:t>892</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4" w:history="1">
        <w:r w:rsidRPr="008E79CA">
          <w:rPr>
            <w:rStyle w:val="af5"/>
          </w:rPr>
          <w:t>Рисунок 547 – Переход к отчету «Информация о доходах ФБ от возврата бюджетами бюджетной системы РФ МБТ, имеющих целевое назначение, прошлых лет»</w:t>
        </w:r>
        <w:r>
          <w:rPr>
            <w:webHidden/>
          </w:rPr>
          <w:tab/>
        </w:r>
        <w:r>
          <w:rPr>
            <w:webHidden/>
          </w:rPr>
          <w:fldChar w:fldCharType="begin"/>
        </w:r>
        <w:r>
          <w:rPr>
            <w:webHidden/>
          </w:rPr>
          <w:instrText xml:space="preserve"> PAGEREF _Toc119584734 \h </w:instrText>
        </w:r>
        <w:r>
          <w:rPr>
            <w:webHidden/>
          </w:rPr>
        </w:r>
        <w:r>
          <w:rPr>
            <w:webHidden/>
          </w:rPr>
          <w:fldChar w:fldCharType="separate"/>
        </w:r>
        <w:r>
          <w:rPr>
            <w:webHidden/>
          </w:rPr>
          <w:t>894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5" w:history="1">
        <w:r w:rsidRPr="008E79CA">
          <w:rPr>
            <w:rStyle w:val="af5"/>
          </w:rPr>
          <w:t>Рисунок 548 – Макет отчета «Информация о доходах ФБ от возврата бюджетами бюджетной системы РФ МБТ, имеющих целевое назначение, прошлых лет»</w:t>
        </w:r>
        <w:r>
          <w:rPr>
            <w:webHidden/>
          </w:rPr>
          <w:tab/>
        </w:r>
        <w:r>
          <w:rPr>
            <w:webHidden/>
          </w:rPr>
          <w:fldChar w:fldCharType="begin"/>
        </w:r>
        <w:r>
          <w:rPr>
            <w:webHidden/>
          </w:rPr>
          <w:instrText xml:space="preserve"> PAGEREF _Toc119584735 \h </w:instrText>
        </w:r>
        <w:r>
          <w:rPr>
            <w:webHidden/>
          </w:rPr>
        </w:r>
        <w:r>
          <w:rPr>
            <w:webHidden/>
          </w:rPr>
          <w:fldChar w:fldCharType="separate"/>
        </w:r>
        <w:r>
          <w:rPr>
            <w:webHidden/>
          </w:rPr>
          <w:t>894</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6" w:history="1">
        <w:r w:rsidRPr="008E79CA">
          <w:rPr>
            <w:rStyle w:val="af5"/>
          </w:rPr>
          <w:t>Рисунок 549 – Макет отчета «Информация о возврате доходов ФБ от возврата бюджетами бюджетной системы РФ МБТ, имеющих целевое назначение, прошлых лет»</w:t>
        </w:r>
        <w:r>
          <w:rPr>
            <w:webHidden/>
          </w:rPr>
          <w:tab/>
        </w:r>
        <w:r>
          <w:rPr>
            <w:webHidden/>
          </w:rPr>
          <w:fldChar w:fldCharType="begin"/>
        </w:r>
        <w:r>
          <w:rPr>
            <w:webHidden/>
          </w:rPr>
          <w:instrText xml:space="preserve"> PAGEREF _Toc119584736 \h </w:instrText>
        </w:r>
        <w:r>
          <w:rPr>
            <w:webHidden/>
          </w:rPr>
        </w:r>
        <w:r>
          <w:rPr>
            <w:webHidden/>
          </w:rPr>
          <w:fldChar w:fldCharType="separate"/>
        </w:r>
        <w:r>
          <w:rPr>
            <w:webHidden/>
          </w:rPr>
          <w:t>896</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7" w:history="1">
        <w:r w:rsidRPr="008E79CA">
          <w:rPr>
            <w:rStyle w:val="af5"/>
          </w:rPr>
          <w:t>Рисунок 550 – Макет отчета «Информация о движении МБТ представленных из ФБ бюджетам субъектов РФ на модернизацию дошкольного образования»</w:t>
        </w:r>
        <w:r>
          <w:rPr>
            <w:webHidden/>
          </w:rPr>
          <w:tab/>
        </w:r>
        <w:r>
          <w:rPr>
            <w:webHidden/>
          </w:rPr>
          <w:fldChar w:fldCharType="begin"/>
        </w:r>
        <w:r>
          <w:rPr>
            <w:webHidden/>
          </w:rPr>
          <w:instrText xml:space="preserve"> PAGEREF _Toc119584737 \h </w:instrText>
        </w:r>
        <w:r>
          <w:rPr>
            <w:webHidden/>
          </w:rPr>
        </w:r>
        <w:r>
          <w:rPr>
            <w:webHidden/>
          </w:rPr>
          <w:fldChar w:fldCharType="separate"/>
        </w:r>
        <w:r>
          <w:rPr>
            <w:webHidden/>
          </w:rPr>
          <w:t>897</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8" w:history="1">
        <w:r w:rsidRPr="008E79CA">
          <w:rPr>
            <w:rStyle w:val="af5"/>
          </w:rPr>
          <w:t>Рисунок 551 – Макет отчета «Суммы выбытия свыше 1 млрд. руб.»</w:t>
        </w:r>
        <w:r>
          <w:rPr>
            <w:webHidden/>
          </w:rPr>
          <w:tab/>
        </w:r>
        <w:r>
          <w:rPr>
            <w:webHidden/>
          </w:rPr>
          <w:fldChar w:fldCharType="begin"/>
        </w:r>
        <w:r>
          <w:rPr>
            <w:webHidden/>
          </w:rPr>
          <w:instrText xml:space="preserve"> PAGEREF _Toc119584738 \h </w:instrText>
        </w:r>
        <w:r>
          <w:rPr>
            <w:webHidden/>
          </w:rPr>
        </w:r>
        <w:r>
          <w:rPr>
            <w:webHidden/>
          </w:rPr>
          <w:fldChar w:fldCharType="separate"/>
        </w:r>
        <w:r>
          <w:rPr>
            <w:webHidden/>
          </w:rPr>
          <w:t>899</w:t>
        </w:r>
        <w:r>
          <w:rPr>
            <w:webHidden/>
          </w:rPr>
          <w:fldChar w:fldCharType="end"/>
        </w:r>
      </w:hyperlink>
    </w:p>
    <w:p w:rsidR="00907E43" w:rsidRDefault="00907E43">
      <w:pPr>
        <w:pStyle w:val="aff7"/>
        <w:rPr>
          <w:rFonts w:asciiTheme="minorHAnsi" w:eastAsiaTheme="minorEastAsia" w:hAnsiTheme="minorHAnsi" w:cstheme="minorBidi"/>
          <w:snapToGrid/>
          <w:color w:val="auto"/>
          <w:sz w:val="22"/>
          <w:szCs w:val="22"/>
        </w:rPr>
      </w:pPr>
      <w:hyperlink w:anchor="_Toc119584739" w:history="1">
        <w:r w:rsidRPr="008E79CA">
          <w:rPr>
            <w:rStyle w:val="af5"/>
          </w:rPr>
          <w:t>Рисунок 552 – Макет отчета «Формирование и представление консолидированной отчетности в ПУиО». Представление «ГРБС»</w:t>
        </w:r>
        <w:r>
          <w:rPr>
            <w:webHidden/>
          </w:rPr>
          <w:tab/>
        </w:r>
        <w:r>
          <w:rPr>
            <w:webHidden/>
          </w:rPr>
          <w:fldChar w:fldCharType="begin"/>
        </w:r>
        <w:r>
          <w:rPr>
            <w:webHidden/>
          </w:rPr>
          <w:instrText xml:space="preserve"> PAGEREF _Toc119584739 \h </w:instrText>
        </w:r>
        <w:r>
          <w:rPr>
            <w:webHidden/>
          </w:rPr>
        </w:r>
        <w:r>
          <w:rPr>
            <w:webHidden/>
          </w:rPr>
          <w:fldChar w:fldCharType="separate"/>
        </w:r>
        <w:r>
          <w:rPr>
            <w:webHidden/>
          </w:rPr>
          <w:t>900</w:t>
        </w:r>
        <w:r>
          <w:rPr>
            <w:webHidden/>
          </w:rPr>
          <w:fldChar w:fldCharType="end"/>
        </w:r>
      </w:hyperlink>
    </w:p>
    <w:p w:rsidR="00D55811" w:rsidRPr="00E06755" w:rsidRDefault="00DD5520" w:rsidP="00646738">
      <w:pPr>
        <w:pStyle w:val="af6"/>
      </w:pPr>
      <w:r w:rsidRPr="00E06755">
        <w:fldChar w:fldCharType="end"/>
      </w:r>
      <w:r w:rsidR="00D55811" w:rsidRPr="00E06755">
        <w:br w:type="page"/>
      </w:r>
      <w:bookmarkStart w:id="5" w:name="_Toc119585012"/>
      <w:r w:rsidR="00D55811" w:rsidRPr="00E06755">
        <w:t>Перечень сокращений</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380"/>
        <w:gridCol w:w="6088"/>
      </w:tblGrid>
      <w:tr w:rsidR="00AC0AD5" w:rsidRPr="00E06755" w:rsidTr="00AC0AD5">
        <w:trPr>
          <w:tblHeader/>
        </w:trPr>
        <w:tc>
          <w:tcPr>
            <w:tcW w:w="3469" w:type="dxa"/>
            <w:shd w:val="clear" w:color="auto" w:fill="BFBFBF" w:themeFill="background1" w:themeFillShade="BF"/>
            <w:vAlign w:val="center"/>
          </w:tcPr>
          <w:p w:rsidR="00AC0AD5" w:rsidRPr="00E06755" w:rsidRDefault="00AC0AD5" w:rsidP="000E09CE">
            <w:pPr>
              <w:jc w:val="center"/>
              <w:rPr>
                <w:b/>
                <w:color w:val="auto"/>
              </w:rPr>
            </w:pPr>
            <w:r w:rsidRPr="00E06755">
              <w:rPr>
                <w:b/>
                <w:color w:val="auto"/>
              </w:rPr>
              <w:t>Сокращение</w:t>
            </w:r>
          </w:p>
        </w:tc>
        <w:tc>
          <w:tcPr>
            <w:tcW w:w="6282" w:type="dxa"/>
            <w:shd w:val="clear" w:color="auto" w:fill="BFBFBF" w:themeFill="background1" w:themeFillShade="BF"/>
            <w:vAlign w:val="center"/>
          </w:tcPr>
          <w:p w:rsidR="00AC0AD5" w:rsidRPr="00E06755" w:rsidRDefault="00AC0AD5" w:rsidP="000E09CE">
            <w:pPr>
              <w:jc w:val="center"/>
              <w:rPr>
                <w:b/>
                <w:color w:val="auto"/>
              </w:rPr>
            </w:pPr>
            <w:r w:rsidRPr="00E06755">
              <w:rPr>
                <w:b/>
                <w:color w:val="auto"/>
              </w:rPr>
              <w:t>Полное наименование</w:t>
            </w:r>
          </w:p>
        </w:tc>
      </w:tr>
      <w:tr w:rsidR="00A10F2D" w:rsidRPr="00E06755" w:rsidTr="00592993">
        <w:tc>
          <w:tcPr>
            <w:tcW w:w="3469" w:type="dxa"/>
            <w:shd w:val="clear" w:color="auto" w:fill="auto"/>
          </w:tcPr>
          <w:p w:rsidR="00A10F2D" w:rsidRPr="00E06755" w:rsidRDefault="00A10F2D" w:rsidP="00592993">
            <w:r w:rsidRPr="00E06755">
              <w:t>АС ФК</w:t>
            </w:r>
          </w:p>
        </w:tc>
        <w:tc>
          <w:tcPr>
            <w:tcW w:w="6282" w:type="dxa"/>
            <w:shd w:val="clear" w:color="auto" w:fill="auto"/>
          </w:tcPr>
          <w:p w:rsidR="00A10F2D" w:rsidRPr="00E06755" w:rsidRDefault="00A10F2D" w:rsidP="00592993">
            <w:r w:rsidRPr="00E06755">
              <w:t>Автоматизированная система Федерального казначейства.</w:t>
            </w:r>
          </w:p>
        </w:tc>
      </w:tr>
      <w:tr w:rsidR="00D36DD0" w:rsidRPr="00E06755" w:rsidTr="00592993">
        <w:tc>
          <w:tcPr>
            <w:tcW w:w="3469" w:type="dxa"/>
            <w:shd w:val="clear" w:color="auto" w:fill="auto"/>
          </w:tcPr>
          <w:p w:rsidR="00D36DD0" w:rsidRPr="00E06755" w:rsidRDefault="00D36DD0" w:rsidP="00E860EE">
            <w:r w:rsidRPr="00E06755">
              <w:t>БП</w:t>
            </w:r>
          </w:p>
        </w:tc>
        <w:tc>
          <w:tcPr>
            <w:tcW w:w="6282" w:type="dxa"/>
            <w:shd w:val="clear" w:color="auto" w:fill="auto"/>
          </w:tcPr>
          <w:p w:rsidR="00D36DD0" w:rsidRPr="00E06755" w:rsidRDefault="00D36DD0" w:rsidP="00E860EE">
            <w:r w:rsidRPr="00E06755">
              <w:t>Подсистема бюджетного планирования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tc>
      </w:tr>
      <w:tr w:rsidR="00D36DD0" w:rsidRPr="00E06755" w:rsidTr="00E860EE">
        <w:tc>
          <w:tcPr>
            <w:tcW w:w="3469" w:type="dxa"/>
            <w:shd w:val="clear" w:color="auto" w:fill="auto"/>
            <w:vAlign w:val="center"/>
          </w:tcPr>
          <w:p w:rsidR="00D36DD0" w:rsidRPr="00E06755" w:rsidRDefault="00D36DD0" w:rsidP="00E860EE">
            <w:r w:rsidRPr="00E06755">
              <w:t>БПГУ</w:t>
            </w:r>
          </w:p>
        </w:tc>
        <w:tc>
          <w:tcPr>
            <w:tcW w:w="6282" w:type="dxa"/>
            <w:shd w:val="clear" w:color="auto" w:fill="auto"/>
            <w:vAlign w:val="center"/>
          </w:tcPr>
          <w:p w:rsidR="00D36DD0" w:rsidRPr="00E06755" w:rsidRDefault="00D36DD0" w:rsidP="00E860EE">
            <w:r w:rsidRPr="00E06755">
              <w:t>Базовые (отраслевые) перечни государственных и муниципальных услуг и работ</w:t>
            </w:r>
          </w:p>
        </w:tc>
      </w:tr>
      <w:tr w:rsidR="00D36DD0" w:rsidRPr="00E06755" w:rsidTr="00E860EE">
        <w:tc>
          <w:tcPr>
            <w:tcW w:w="3469" w:type="dxa"/>
            <w:shd w:val="clear" w:color="auto" w:fill="auto"/>
            <w:vAlign w:val="center"/>
          </w:tcPr>
          <w:p w:rsidR="00D36DD0" w:rsidRPr="00E06755" w:rsidRDefault="00D36DD0" w:rsidP="00E860EE">
            <w:r w:rsidRPr="00E06755">
              <w:t>ВПГУ</w:t>
            </w:r>
          </w:p>
        </w:tc>
        <w:tc>
          <w:tcPr>
            <w:tcW w:w="6282" w:type="dxa"/>
            <w:shd w:val="clear" w:color="auto" w:fill="auto"/>
            <w:vAlign w:val="center"/>
          </w:tcPr>
          <w:p w:rsidR="00D36DD0" w:rsidRPr="00E06755" w:rsidRDefault="00D36DD0" w:rsidP="00E860EE">
            <w:r w:rsidRPr="00E06755">
              <w:t>Ведомственные перечни государственных услуг и работ, оказываемые и выполняемые федеральными государственными учреждениями, а также государственными учреждениями субъектов Российской Федерации (муниципальными учреждениями)</w:t>
            </w:r>
          </w:p>
        </w:tc>
      </w:tr>
      <w:tr w:rsidR="006A1382" w:rsidRPr="00E06755" w:rsidTr="00E860EE">
        <w:tc>
          <w:tcPr>
            <w:tcW w:w="3469" w:type="dxa"/>
            <w:shd w:val="clear" w:color="auto" w:fill="auto"/>
            <w:vAlign w:val="center"/>
          </w:tcPr>
          <w:p w:rsidR="006A1382" w:rsidRPr="00E06755" w:rsidRDefault="006A1382" w:rsidP="00E860EE">
            <w:r w:rsidRPr="00E06755">
              <w:t>ГАДБ</w:t>
            </w:r>
          </w:p>
        </w:tc>
        <w:tc>
          <w:tcPr>
            <w:tcW w:w="6282" w:type="dxa"/>
            <w:shd w:val="clear" w:color="auto" w:fill="auto"/>
            <w:vAlign w:val="center"/>
          </w:tcPr>
          <w:p w:rsidR="006A1382" w:rsidRPr="00E06755" w:rsidRDefault="006A1382" w:rsidP="006A1382">
            <w:r w:rsidRPr="00E06755">
              <w:t>Главный администратор доходов бюджета</w:t>
            </w:r>
          </w:p>
        </w:tc>
      </w:tr>
      <w:tr w:rsidR="006A45AA" w:rsidRPr="00E06755" w:rsidTr="00684385">
        <w:tc>
          <w:tcPr>
            <w:tcW w:w="3469" w:type="dxa"/>
            <w:shd w:val="clear" w:color="auto" w:fill="auto"/>
          </w:tcPr>
          <w:p w:rsidR="006A45AA" w:rsidRPr="00EE3778" w:rsidRDefault="006A45AA" w:rsidP="00740328">
            <w:pPr>
              <w:jc w:val="left"/>
            </w:pPr>
            <w:r w:rsidRPr="00EE3778">
              <w:t>ГИИС ЭБ, система «Электронный бюджет»</w:t>
            </w:r>
          </w:p>
        </w:tc>
        <w:tc>
          <w:tcPr>
            <w:tcW w:w="6282" w:type="dxa"/>
            <w:shd w:val="clear" w:color="auto" w:fill="auto"/>
          </w:tcPr>
          <w:p w:rsidR="006A45AA" w:rsidRDefault="006A45AA" w:rsidP="00684385">
            <w:r w:rsidRPr="00EE3778">
              <w:t>Государственная интегрированная информационная система управления общественными финансами «Электронный бюджет»</w:t>
            </w:r>
          </w:p>
        </w:tc>
      </w:tr>
      <w:tr w:rsidR="004849D2" w:rsidRPr="00E06755" w:rsidTr="00684385">
        <w:tc>
          <w:tcPr>
            <w:tcW w:w="3469" w:type="dxa"/>
            <w:shd w:val="clear" w:color="auto" w:fill="auto"/>
          </w:tcPr>
          <w:p w:rsidR="004849D2" w:rsidRPr="004849D2" w:rsidRDefault="004849D2" w:rsidP="004849D2">
            <w:r w:rsidRPr="004849D2">
              <w:t>ГИР БО</w:t>
            </w:r>
          </w:p>
        </w:tc>
        <w:tc>
          <w:tcPr>
            <w:tcW w:w="6282" w:type="dxa"/>
            <w:shd w:val="clear" w:color="auto" w:fill="auto"/>
          </w:tcPr>
          <w:p w:rsidR="004849D2" w:rsidRPr="004849D2" w:rsidRDefault="004849D2" w:rsidP="004849D2">
            <w:r w:rsidRPr="004849D2">
              <w:t>Государственный информационный ресурс бухгалтерской (финансовой) отчетности</w:t>
            </w:r>
          </w:p>
        </w:tc>
      </w:tr>
      <w:tr w:rsidR="004849D2" w:rsidRPr="00E06755" w:rsidTr="00592993">
        <w:tc>
          <w:tcPr>
            <w:tcW w:w="3469" w:type="dxa"/>
            <w:shd w:val="clear" w:color="auto" w:fill="auto"/>
          </w:tcPr>
          <w:p w:rsidR="004849D2" w:rsidRPr="00E06755" w:rsidRDefault="004849D2" w:rsidP="00592993">
            <w:r w:rsidRPr="00E06755">
              <w:t>ГРБС</w:t>
            </w:r>
          </w:p>
        </w:tc>
        <w:tc>
          <w:tcPr>
            <w:tcW w:w="6282" w:type="dxa"/>
            <w:shd w:val="clear" w:color="auto" w:fill="auto"/>
          </w:tcPr>
          <w:p w:rsidR="004849D2" w:rsidRPr="00E06755" w:rsidRDefault="004849D2" w:rsidP="00592993">
            <w:r w:rsidRPr="00E06755">
              <w:t>Главный распорядитель бюджетных средств</w:t>
            </w:r>
          </w:p>
        </w:tc>
      </w:tr>
      <w:tr w:rsidR="004849D2" w:rsidRPr="00E06755" w:rsidTr="00AC0AD5">
        <w:tc>
          <w:tcPr>
            <w:tcW w:w="3469" w:type="dxa"/>
            <w:shd w:val="clear" w:color="auto" w:fill="auto"/>
            <w:vAlign w:val="center"/>
          </w:tcPr>
          <w:p w:rsidR="004849D2" w:rsidRPr="00E06755" w:rsidRDefault="004849D2" w:rsidP="009A12B9">
            <w:pPr>
              <w:rPr>
                <w:color w:val="auto"/>
              </w:rPr>
            </w:pPr>
            <w:r w:rsidRPr="00E06755">
              <w:rPr>
                <w:color w:val="auto"/>
              </w:rPr>
              <w:t>ИС</w:t>
            </w:r>
          </w:p>
        </w:tc>
        <w:tc>
          <w:tcPr>
            <w:tcW w:w="6282" w:type="dxa"/>
            <w:shd w:val="clear" w:color="auto" w:fill="auto"/>
            <w:vAlign w:val="center"/>
          </w:tcPr>
          <w:p w:rsidR="004849D2" w:rsidRPr="00E06755" w:rsidRDefault="004849D2" w:rsidP="009A12B9">
            <w:pPr>
              <w:rPr>
                <w:color w:val="auto"/>
              </w:rPr>
            </w:pPr>
            <w:r w:rsidRPr="00E06755">
              <w:rPr>
                <w:color w:val="auto"/>
              </w:rPr>
              <w:t>Информационная система</w:t>
            </w:r>
          </w:p>
        </w:tc>
      </w:tr>
      <w:tr w:rsidR="004849D2" w:rsidRPr="00E06755" w:rsidTr="00AC0AD5">
        <w:tc>
          <w:tcPr>
            <w:tcW w:w="3469" w:type="dxa"/>
            <w:shd w:val="clear" w:color="auto" w:fill="auto"/>
            <w:vAlign w:val="center"/>
          </w:tcPr>
          <w:p w:rsidR="004849D2" w:rsidRPr="00E06755" w:rsidRDefault="004849D2" w:rsidP="009A12B9">
            <w:pPr>
              <w:rPr>
                <w:color w:val="auto"/>
              </w:rPr>
            </w:pPr>
            <w:r w:rsidRPr="00E06755">
              <w:t>ИФДБ</w:t>
            </w:r>
          </w:p>
        </w:tc>
        <w:tc>
          <w:tcPr>
            <w:tcW w:w="6282" w:type="dxa"/>
            <w:shd w:val="clear" w:color="auto" w:fill="auto"/>
            <w:vAlign w:val="center"/>
          </w:tcPr>
          <w:p w:rsidR="004849D2" w:rsidRPr="00E06755" w:rsidRDefault="004849D2" w:rsidP="009A12B9">
            <w:pPr>
              <w:rPr>
                <w:color w:val="auto"/>
              </w:rPr>
            </w:pPr>
            <w:r w:rsidRPr="00E06755">
              <w:rPr>
                <w:color w:val="auto"/>
              </w:rPr>
              <w:t>Источники финансирования дефицита бюджетов</w:t>
            </w:r>
          </w:p>
        </w:tc>
      </w:tr>
      <w:tr w:rsidR="004849D2" w:rsidRPr="00E06755" w:rsidTr="00AC0AD5">
        <w:tc>
          <w:tcPr>
            <w:tcW w:w="3469" w:type="dxa"/>
            <w:shd w:val="clear" w:color="auto" w:fill="auto"/>
          </w:tcPr>
          <w:p w:rsidR="004849D2" w:rsidRPr="00E06755" w:rsidRDefault="004849D2" w:rsidP="00AC0AD5">
            <w:r w:rsidRPr="00E06755">
              <w:t>ЕИС</w:t>
            </w:r>
          </w:p>
        </w:tc>
        <w:tc>
          <w:tcPr>
            <w:tcW w:w="6282" w:type="dxa"/>
            <w:shd w:val="clear" w:color="auto" w:fill="auto"/>
          </w:tcPr>
          <w:p w:rsidR="004849D2" w:rsidRPr="00E06755" w:rsidRDefault="004849D2" w:rsidP="00AC0AD5">
            <w:r w:rsidRPr="00E06755">
              <w:rPr>
                <w:rFonts w:eastAsia="Calibri"/>
              </w:rPr>
              <w:t>Единая информационная система в сфере закупок.</w:t>
            </w:r>
          </w:p>
        </w:tc>
      </w:tr>
      <w:tr w:rsidR="004849D2" w:rsidRPr="00E06755" w:rsidTr="00AC0AD5">
        <w:tc>
          <w:tcPr>
            <w:tcW w:w="3469" w:type="dxa"/>
            <w:shd w:val="clear" w:color="auto" w:fill="auto"/>
            <w:vAlign w:val="center"/>
          </w:tcPr>
          <w:p w:rsidR="004849D2" w:rsidRPr="00E06755" w:rsidRDefault="004849D2" w:rsidP="00AC0AD5">
            <w:r w:rsidRPr="00E06755">
              <w:t>КБК</w:t>
            </w:r>
          </w:p>
        </w:tc>
        <w:tc>
          <w:tcPr>
            <w:tcW w:w="6282" w:type="dxa"/>
            <w:shd w:val="clear" w:color="auto" w:fill="auto"/>
            <w:vAlign w:val="center"/>
          </w:tcPr>
          <w:p w:rsidR="004849D2" w:rsidRPr="00E06755" w:rsidRDefault="004849D2" w:rsidP="003A683B">
            <w:r w:rsidRPr="00E06755">
              <w:t>Код бюджетной классификации</w:t>
            </w:r>
          </w:p>
        </w:tc>
      </w:tr>
      <w:tr w:rsidR="004849D2" w:rsidRPr="00E06755" w:rsidTr="00AC0AD5">
        <w:tc>
          <w:tcPr>
            <w:tcW w:w="3469" w:type="dxa"/>
            <w:shd w:val="clear" w:color="auto" w:fill="auto"/>
            <w:vAlign w:val="center"/>
          </w:tcPr>
          <w:p w:rsidR="004849D2" w:rsidRPr="00E06755" w:rsidRDefault="004849D2" w:rsidP="00AC0AD5">
            <w:r w:rsidRPr="00E06755">
              <w:t>КВР</w:t>
            </w:r>
          </w:p>
        </w:tc>
        <w:tc>
          <w:tcPr>
            <w:tcW w:w="6282" w:type="dxa"/>
            <w:shd w:val="clear" w:color="auto" w:fill="auto"/>
            <w:vAlign w:val="center"/>
          </w:tcPr>
          <w:p w:rsidR="004849D2" w:rsidRPr="00E06755" w:rsidRDefault="004849D2" w:rsidP="003A683B">
            <w:r w:rsidRPr="00E06755">
              <w:t>Код видов расходов</w:t>
            </w:r>
          </w:p>
        </w:tc>
      </w:tr>
      <w:tr w:rsidR="004849D2" w:rsidRPr="00E06755" w:rsidTr="00AC0AD5">
        <w:tc>
          <w:tcPr>
            <w:tcW w:w="3469" w:type="dxa"/>
            <w:shd w:val="clear" w:color="auto" w:fill="auto"/>
            <w:vAlign w:val="center"/>
          </w:tcPr>
          <w:p w:rsidR="004849D2" w:rsidRPr="00E06755" w:rsidRDefault="004849D2" w:rsidP="00AC0AD5">
            <w:r w:rsidRPr="00E06755">
              <w:t>МБТ</w:t>
            </w:r>
          </w:p>
        </w:tc>
        <w:tc>
          <w:tcPr>
            <w:tcW w:w="6282" w:type="dxa"/>
            <w:shd w:val="clear" w:color="auto" w:fill="auto"/>
            <w:vAlign w:val="center"/>
          </w:tcPr>
          <w:p w:rsidR="004849D2" w:rsidRPr="00E06755" w:rsidRDefault="004849D2" w:rsidP="003A683B">
            <w:r w:rsidRPr="00E06755">
              <w:t>Межбюджетные трансферты</w:t>
            </w:r>
          </w:p>
        </w:tc>
      </w:tr>
      <w:tr w:rsidR="004849D2" w:rsidRPr="00E06755" w:rsidTr="00AC0AD5">
        <w:tc>
          <w:tcPr>
            <w:tcW w:w="3469" w:type="dxa"/>
            <w:shd w:val="clear" w:color="auto" w:fill="auto"/>
            <w:vAlign w:val="center"/>
          </w:tcPr>
          <w:p w:rsidR="004849D2" w:rsidRPr="00E06755" w:rsidRDefault="004849D2" w:rsidP="00AC0AD5">
            <w:r w:rsidRPr="00E06755">
              <w:t>НДС</w:t>
            </w:r>
          </w:p>
        </w:tc>
        <w:tc>
          <w:tcPr>
            <w:tcW w:w="6282" w:type="dxa"/>
            <w:shd w:val="clear" w:color="auto" w:fill="auto"/>
            <w:vAlign w:val="center"/>
          </w:tcPr>
          <w:p w:rsidR="004849D2" w:rsidRPr="00E06755" w:rsidRDefault="004849D2" w:rsidP="003A683B">
            <w:r w:rsidRPr="00E06755">
              <w:t>Налог на добавленную стоимость</w:t>
            </w:r>
          </w:p>
        </w:tc>
      </w:tr>
      <w:tr w:rsidR="004849D2" w:rsidRPr="00E06755" w:rsidTr="00AC0AD5">
        <w:tc>
          <w:tcPr>
            <w:tcW w:w="3469" w:type="dxa"/>
            <w:shd w:val="clear" w:color="auto" w:fill="auto"/>
          </w:tcPr>
          <w:p w:rsidR="004849D2" w:rsidRPr="00E06755" w:rsidRDefault="004849D2" w:rsidP="00AC0AD5">
            <w:r w:rsidRPr="00E06755">
              <w:t>НСИ ЭБ</w:t>
            </w:r>
          </w:p>
        </w:tc>
        <w:tc>
          <w:tcPr>
            <w:tcW w:w="6282" w:type="dxa"/>
            <w:shd w:val="clear" w:color="auto" w:fill="auto"/>
          </w:tcPr>
          <w:p w:rsidR="004849D2" w:rsidRPr="00E06755" w:rsidRDefault="004849D2" w:rsidP="00AC0AD5">
            <w:r w:rsidRPr="00E06755">
              <w:t>Подсистема ведения нормативной справочной информации системы «Электронный бюджет».</w:t>
            </w:r>
          </w:p>
        </w:tc>
      </w:tr>
      <w:tr w:rsidR="004849D2" w:rsidRPr="00E06755" w:rsidTr="00AC0AD5">
        <w:tc>
          <w:tcPr>
            <w:tcW w:w="3469" w:type="dxa"/>
            <w:shd w:val="clear" w:color="auto" w:fill="auto"/>
          </w:tcPr>
          <w:p w:rsidR="004849D2" w:rsidRPr="00E06755" w:rsidRDefault="004849D2" w:rsidP="00AC0AD5">
            <w:r>
              <w:t>ОС</w:t>
            </w:r>
          </w:p>
        </w:tc>
        <w:tc>
          <w:tcPr>
            <w:tcW w:w="6282" w:type="dxa"/>
            <w:shd w:val="clear" w:color="auto" w:fill="auto"/>
          </w:tcPr>
          <w:p w:rsidR="004849D2" w:rsidRPr="00E06755" w:rsidRDefault="004849D2" w:rsidP="00AC0AD5">
            <w:r>
              <w:t>Операционная система</w:t>
            </w:r>
          </w:p>
        </w:tc>
      </w:tr>
      <w:tr w:rsidR="004849D2" w:rsidRPr="00E06755" w:rsidTr="00AC0AD5">
        <w:tc>
          <w:tcPr>
            <w:tcW w:w="3469" w:type="dxa"/>
            <w:shd w:val="clear" w:color="auto" w:fill="auto"/>
          </w:tcPr>
          <w:p w:rsidR="004849D2" w:rsidRPr="006A45AA" w:rsidRDefault="004849D2" w:rsidP="006A45AA">
            <w:r w:rsidRPr="006A45AA">
              <w:t>Подсистема, ПИАО ГИИС ЭБ</w:t>
            </w:r>
          </w:p>
        </w:tc>
        <w:tc>
          <w:tcPr>
            <w:tcW w:w="6282" w:type="dxa"/>
            <w:shd w:val="clear" w:color="auto" w:fill="auto"/>
          </w:tcPr>
          <w:p w:rsidR="004849D2" w:rsidRPr="006A45AA" w:rsidRDefault="004849D2" w:rsidP="006A45AA">
            <w:r w:rsidRPr="006A45AA">
              <w:t>Подсистема информационно-аналитического обеспечения системы «Электронный бюджет»</w:t>
            </w:r>
          </w:p>
        </w:tc>
      </w:tr>
      <w:tr w:rsidR="004849D2" w:rsidRPr="00E06755" w:rsidTr="00AC0AD5">
        <w:tc>
          <w:tcPr>
            <w:tcW w:w="3469" w:type="dxa"/>
            <w:shd w:val="clear" w:color="auto" w:fill="auto"/>
            <w:vAlign w:val="center"/>
          </w:tcPr>
          <w:p w:rsidR="004849D2" w:rsidRPr="00E06755" w:rsidRDefault="004849D2" w:rsidP="009A12B9">
            <w:pPr>
              <w:rPr>
                <w:color w:val="auto"/>
              </w:rPr>
            </w:pPr>
            <w:r w:rsidRPr="00E06755">
              <w:rPr>
                <w:color w:val="auto"/>
              </w:rPr>
              <w:t>ППО</w:t>
            </w:r>
          </w:p>
        </w:tc>
        <w:tc>
          <w:tcPr>
            <w:tcW w:w="6282" w:type="dxa"/>
            <w:shd w:val="clear" w:color="auto" w:fill="auto"/>
            <w:vAlign w:val="center"/>
          </w:tcPr>
          <w:p w:rsidR="004849D2" w:rsidRPr="00E06755" w:rsidRDefault="004849D2" w:rsidP="009A12B9">
            <w:pPr>
              <w:rPr>
                <w:color w:val="auto"/>
              </w:rPr>
            </w:pPr>
            <w:r w:rsidRPr="00E06755">
              <w:rPr>
                <w:color w:val="auto"/>
              </w:rPr>
              <w:t>Прикладное программное обеспечение</w:t>
            </w:r>
          </w:p>
        </w:tc>
      </w:tr>
      <w:tr w:rsidR="004849D2" w:rsidRPr="00E06755" w:rsidTr="00684385">
        <w:tc>
          <w:tcPr>
            <w:tcW w:w="3469" w:type="dxa"/>
            <w:shd w:val="clear" w:color="auto" w:fill="auto"/>
          </w:tcPr>
          <w:p w:rsidR="004849D2" w:rsidRPr="00230AD9" w:rsidRDefault="004849D2" w:rsidP="00684385">
            <w:r w:rsidRPr="00230AD9">
              <w:t>ПОИБ СОБИ ФК</w:t>
            </w:r>
          </w:p>
        </w:tc>
        <w:tc>
          <w:tcPr>
            <w:tcW w:w="6282" w:type="dxa"/>
            <w:shd w:val="clear" w:color="auto" w:fill="auto"/>
          </w:tcPr>
          <w:p w:rsidR="004849D2" w:rsidRDefault="004849D2" w:rsidP="00684385">
            <w:r w:rsidRPr="00230AD9">
              <w:t>Подсистема обеспечения информационной безопасности Системы обеспечения безопасности информации Федерального казначейства</w:t>
            </w:r>
          </w:p>
        </w:tc>
      </w:tr>
      <w:tr w:rsidR="004849D2" w:rsidRPr="00E06755" w:rsidTr="00AC0AD5">
        <w:tc>
          <w:tcPr>
            <w:tcW w:w="3469" w:type="dxa"/>
            <w:shd w:val="clear" w:color="auto" w:fill="auto"/>
            <w:vAlign w:val="center"/>
          </w:tcPr>
          <w:p w:rsidR="004849D2" w:rsidRPr="00E06755" w:rsidRDefault="004849D2" w:rsidP="00AC0AD5">
            <w:r w:rsidRPr="00E06755">
              <w:t>ПОИБ</w:t>
            </w:r>
            <w:r>
              <w:t xml:space="preserve"> СОБИ ФК</w:t>
            </w:r>
          </w:p>
        </w:tc>
        <w:tc>
          <w:tcPr>
            <w:tcW w:w="6282" w:type="dxa"/>
            <w:shd w:val="clear" w:color="auto" w:fill="auto"/>
            <w:vAlign w:val="center"/>
          </w:tcPr>
          <w:p w:rsidR="004849D2" w:rsidRPr="00E06755" w:rsidRDefault="004849D2" w:rsidP="00AC0AD5">
            <w:pPr>
              <w:pStyle w:val="12-0"/>
            </w:pPr>
            <w:r w:rsidRPr="00F51824">
              <w:t xml:space="preserve">Подсистема обеспечения информационной безопасности </w:t>
            </w:r>
            <w:r>
              <w:rPr>
                <w:szCs w:val="24"/>
              </w:rPr>
              <w:t>Системы</w:t>
            </w:r>
            <w:r w:rsidRPr="00DC3FF9">
              <w:rPr>
                <w:szCs w:val="24"/>
              </w:rPr>
              <w:t xml:space="preserve"> обеспечения безопасности информации Федерального казначейства</w:t>
            </w:r>
          </w:p>
        </w:tc>
      </w:tr>
      <w:tr w:rsidR="004849D2" w:rsidRPr="00E06755" w:rsidTr="00592993">
        <w:tc>
          <w:tcPr>
            <w:tcW w:w="3469" w:type="dxa"/>
            <w:shd w:val="clear" w:color="auto" w:fill="auto"/>
          </w:tcPr>
          <w:p w:rsidR="004849D2" w:rsidRPr="006A45AA" w:rsidRDefault="004849D2" w:rsidP="006A45AA">
            <w:r w:rsidRPr="006A45AA">
              <w:t>ПОЮЗД СОБИ ФК</w:t>
            </w:r>
          </w:p>
        </w:tc>
        <w:tc>
          <w:tcPr>
            <w:tcW w:w="6282" w:type="dxa"/>
            <w:shd w:val="clear" w:color="auto" w:fill="auto"/>
          </w:tcPr>
          <w:p w:rsidR="004849D2" w:rsidRPr="006A45AA" w:rsidRDefault="004849D2" w:rsidP="006A45AA">
            <w:r w:rsidRPr="006A45AA">
              <w:t>Подсистема обеспечения юридической значимости электронных документов Системы обеспечения безопасности информации Федерального казначейства</w:t>
            </w:r>
          </w:p>
        </w:tc>
      </w:tr>
      <w:tr w:rsidR="004849D2" w:rsidRPr="00E06755" w:rsidTr="00592993">
        <w:tc>
          <w:tcPr>
            <w:tcW w:w="3469" w:type="dxa"/>
            <w:shd w:val="clear" w:color="auto" w:fill="auto"/>
          </w:tcPr>
          <w:p w:rsidR="004849D2" w:rsidRPr="00E06755" w:rsidRDefault="004849D2" w:rsidP="00592993">
            <w:r w:rsidRPr="00E06755">
              <w:t>ПУиО</w:t>
            </w:r>
          </w:p>
        </w:tc>
        <w:tc>
          <w:tcPr>
            <w:tcW w:w="6282" w:type="dxa"/>
            <w:shd w:val="clear" w:color="auto" w:fill="auto"/>
          </w:tcPr>
          <w:p w:rsidR="004849D2" w:rsidRPr="00E06755" w:rsidRDefault="004849D2" w:rsidP="00592993">
            <w:r w:rsidRPr="00E06755">
              <w:t>Подсистема учета и отчетнос</w:t>
            </w:r>
            <w:r>
              <w:t>ти системы «Электронный бюджет»</w:t>
            </w:r>
          </w:p>
        </w:tc>
      </w:tr>
      <w:tr w:rsidR="004849D2" w:rsidRPr="00E06755" w:rsidTr="00592993">
        <w:tc>
          <w:tcPr>
            <w:tcW w:w="3469" w:type="dxa"/>
            <w:shd w:val="clear" w:color="auto" w:fill="auto"/>
          </w:tcPr>
          <w:p w:rsidR="004849D2" w:rsidRPr="00E06755" w:rsidRDefault="004849D2" w:rsidP="00AC0AD5">
            <w:r w:rsidRPr="00E06755">
              <w:t>ПУР</w:t>
            </w:r>
          </w:p>
        </w:tc>
        <w:tc>
          <w:tcPr>
            <w:tcW w:w="6282" w:type="dxa"/>
            <w:shd w:val="clear" w:color="auto" w:fill="auto"/>
          </w:tcPr>
          <w:p w:rsidR="004849D2" w:rsidRPr="00E06755" w:rsidRDefault="004849D2" w:rsidP="00AC0AD5">
            <w:r w:rsidRPr="00E06755">
              <w:t>Подсистема управления расхода</w:t>
            </w:r>
            <w:r>
              <w:t>ми системы «Электронный бюджет»</w:t>
            </w:r>
          </w:p>
        </w:tc>
      </w:tr>
      <w:tr w:rsidR="004849D2" w:rsidRPr="00E06755" w:rsidTr="00AC0AD5">
        <w:tc>
          <w:tcPr>
            <w:tcW w:w="3469" w:type="dxa"/>
            <w:shd w:val="clear" w:color="auto" w:fill="auto"/>
          </w:tcPr>
          <w:p w:rsidR="004849D2" w:rsidRPr="00E06755" w:rsidRDefault="004849D2" w:rsidP="00AC0AD5">
            <w:pPr>
              <w:spacing w:before="60" w:after="60"/>
            </w:pPr>
            <w:r w:rsidRPr="00E06755">
              <w:t>РГЗ</w:t>
            </w:r>
          </w:p>
        </w:tc>
        <w:tc>
          <w:tcPr>
            <w:tcW w:w="6282" w:type="dxa"/>
            <w:shd w:val="clear" w:color="auto" w:fill="auto"/>
          </w:tcPr>
          <w:p w:rsidR="004849D2" w:rsidRPr="00E06755" w:rsidRDefault="004849D2" w:rsidP="00AC0AD5">
            <w:pPr>
              <w:spacing w:before="60" w:after="60"/>
            </w:pPr>
            <w:r w:rsidRPr="00E06755">
              <w:t>Реестр государственных заданий на оказание государственных услуг (выполнение работ)</w:t>
            </w:r>
          </w:p>
        </w:tc>
      </w:tr>
      <w:tr w:rsidR="004849D2" w:rsidRPr="00E06755" w:rsidTr="00AC0AD5">
        <w:tc>
          <w:tcPr>
            <w:tcW w:w="3469" w:type="dxa"/>
            <w:shd w:val="clear" w:color="auto" w:fill="auto"/>
          </w:tcPr>
          <w:p w:rsidR="004849D2" w:rsidRPr="00E06755" w:rsidRDefault="004849D2" w:rsidP="00AC0AD5">
            <w:pPr>
              <w:spacing w:before="60" w:after="60"/>
            </w:pPr>
            <w:r w:rsidRPr="00E06755">
              <w:t>РзПр</w:t>
            </w:r>
          </w:p>
        </w:tc>
        <w:tc>
          <w:tcPr>
            <w:tcW w:w="6282" w:type="dxa"/>
            <w:shd w:val="clear" w:color="auto" w:fill="auto"/>
          </w:tcPr>
          <w:p w:rsidR="004849D2" w:rsidRPr="00E06755" w:rsidRDefault="004849D2" w:rsidP="00AC0AD5">
            <w:pPr>
              <w:spacing w:before="60" w:after="60"/>
            </w:pPr>
            <w:r w:rsidRPr="00E06755">
              <w:t>Раздел, подраздел функциональной классификации расходов бюджетов Российской Федерации</w:t>
            </w:r>
          </w:p>
        </w:tc>
      </w:tr>
      <w:tr w:rsidR="004849D2" w:rsidRPr="00E06755" w:rsidTr="00592993">
        <w:tc>
          <w:tcPr>
            <w:tcW w:w="3469" w:type="dxa"/>
            <w:shd w:val="clear" w:color="auto" w:fill="auto"/>
            <w:vAlign w:val="center"/>
          </w:tcPr>
          <w:p w:rsidR="004849D2" w:rsidRPr="00E06755" w:rsidRDefault="004849D2" w:rsidP="00AC0AD5">
            <w:r w:rsidRPr="00E06755">
              <w:t>РС</w:t>
            </w:r>
          </w:p>
        </w:tc>
        <w:tc>
          <w:tcPr>
            <w:tcW w:w="6282" w:type="dxa"/>
            <w:shd w:val="clear" w:color="auto" w:fill="auto"/>
            <w:vAlign w:val="center"/>
          </w:tcPr>
          <w:p w:rsidR="004849D2" w:rsidRPr="00E06755" w:rsidRDefault="004849D2" w:rsidP="00AC0AD5">
            <w:r w:rsidRPr="00E06755">
              <w:t>Реестр соглашений о предоставлении федеральным бюджетом субсидий, бюджетных инвестиций, межбюджетных трансфертов</w:t>
            </w:r>
          </w:p>
        </w:tc>
      </w:tr>
      <w:tr w:rsidR="004849D2" w:rsidRPr="00E06755" w:rsidTr="00AC0AD5">
        <w:tc>
          <w:tcPr>
            <w:tcW w:w="3469" w:type="dxa"/>
            <w:shd w:val="clear" w:color="auto" w:fill="auto"/>
          </w:tcPr>
          <w:p w:rsidR="004849D2" w:rsidRPr="00E06755" w:rsidRDefault="004849D2" w:rsidP="00AC0AD5">
            <w:pPr>
              <w:spacing w:before="60" w:after="60"/>
            </w:pPr>
            <w:r w:rsidRPr="00E06755">
              <w:t>РУБПиНУБП, Сводный реестр</w:t>
            </w:r>
          </w:p>
        </w:tc>
        <w:tc>
          <w:tcPr>
            <w:tcW w:w="6282" w:type="dxa"/>
            <w:shd w:val="clear" w:color="auto" w:fill="auto"/>
          </w:tcPr>
          <w:p w:rsidR="004849D2" w:rsidRPr="00E06755" w:rsidRDefault="004849D2" w:rsidP="00AC0AD5">
            <w:pPr>
              <w:spacing w:before="60" w:after="60"/>
            </w:pPr>
            <w:r w:rsidRPr="00E06755">
              <w:t>Реестр участников бюджетного процесса, а также юридических лиц, не являющихся участниками бюджетного процесса</w:t>
            </w:r>
          </w:p>
        </w:tc>
      </w:tr>
      <w:tr w:rsidR="004849D2" w:rsidRPr="00E06755" w:rsidTr="00AC0AD5">
        <w:tc>
          <w:tcPr>
            <w:tcW w:w="3469" w:type="dxa"/>
            <w:shd w:val="clear" w:color="auto" w:fill="auto"/>
          </w:tcPr>
          <w:p w:rsidR="004849D2" w:rsidRPr="00E06755" w:rsidRDefault="004849D2" w:rsidP="00A23C6C">
            <w:pPr>
              <w:pStyle w:val="EBTablenorm"/>
              <w:ind w:right="57"/>
              <w:rPr>
                <w:snapToGrid w:val="0"/>
                <w:color w:val="000000"/>
              </w:rPr>
            </w:pPr>
            <w:r w:rsidRPr="00E06755">
              <w:rPr>
                <w:snapToGrid w:val="0"/>
                <w:color w:val="000000"/>
              </w:rPr>
              <w:t>СГУ</w:t>
            </w:r>
          </w:p>
        </w:tc>
        <w:tc>
          <w:tcPr>
            <w:tcW w:w="6282" w:type="dxa"/>
            <w:shd w:val="clear" w:color="auto" w:fill="auto"/>
          </w:tcPr>
          <w:p w:rsidR="004849D2" w:rsidRPr="00E06755" w:rsidRDefault="004849D2" w:rsidP="00A23C6C">
            <w:pPr>
              <w:pStyle w:val="EBTablenorm"/>
              <w:ind w:right="57"/>
              <w:rPr>
                <w:snapToGrid w:val="0"/>
                <w:color w:val="000000"/>
              </w:rPr>
            </w:pPr>
            <w:r w:rsidRPr="00E06755">
              <w:rPr>
                <w:snapToGrid w:val="0"/>
                <w:color w:val="000000"/>
              </w:rPr>
              <w:t>Сектор государственного управления</w:t>
            </w:r>
          </w:p>
        </w:tc>
      </w:tr>
      <w:tr w:rsidR="004849D2" w:rsidRPr="00E06755" w:rsidTr="00592993">
        <w:tc>
          <w:tcPr>
            <w:tcW w:w="3469" w:type="dxa"/>
            <w:shd w:val="clear" w:color="auto" w:fill="auto"/>
            <w:vAlign w:val="center"/>
          </w:tcPr>
          <w:p w:rsidR="004849D2" w:rsidRPr="00E06755" w:rsidRDefault="004849D2" w:rsidP="00AC0AD5">
            <w:r w:rsidRPr="00E06755">
              <w:t>СУБД</w:t>
            </w:r>
          </w:p>
        </w:tc>
        <w:tc>
          <w:tcPr>
            <w:tcW w:w="6282" w:type="dxa"/>
            <w:shd w:val="clear" w:color="auto" w:fill="auto"/>
            <w:vAlign w:val="center"/>
          </w:tcPr>
          <w:p w:rsidR="004849D2" w:rsidRPr="00E06755" w:rsidRDefault="004849D2" w:rsidP="00AC0AD5">
            <w:r w:rsidRPr="00E06755">
              <w:t>Система управления базами данных</w:t>
            </w:r>
          </w:p>
        </w:tc>
      </w:tr>
      <w:tr w:rsidR="004849D2" w:rsidRPr="00E06755" w:rsidTr="00592993">
        <w:tc>
          <w:tcPr>
            <w:tcW w:w="3469" w:type="dxa"/>
            <w:shd w:val="clear" w:color="auto" w:fill="auto"/>
            <w:vAlign w:val="center"/>
          </w:tcPr>
          <w:p w:rsidR="004849D2" w:rsidRPr="00E06755" w:rsidRDefault="004849D2" w:rsidP="00AC0AD5">
            <w:r w:rsidRPr="00E06755">
              <w:t>СУЭ ФК</w:t>
            </w:r>
          </w:p>
        </w:tc>
        <w:tc>
          <w:tcPr>
            <w:tcW w:w="6282" w:type="dxa"/>
            <w:shd w:val="clear" w:color="auto" w:fill="auto"/>
            <w:vAlign w:val="center"/>
          </w:tcPr>
          <w:p w:rsidR="004849D2" w:rsidRPr="00E06755" w:rsidRDefault="004849D2" w:rsidP="00AC0AD5">
            <w:r w:rsidRPr="00E06755">
              <w:t>Система управления эксплуатацией ФК</w:t>
            </w:r>
          </w:p>
        </w:tc>
      </w:tr>
      <w:tr w:rsidR="004849D2" w:rsidRPr="00E06755" w:rsidTr="00592993">
        <w:tc>
          <w:tcPr>
            <w:tcW w:w="3469" w:type="dxa"/>
            <w:shd w:val="clear" w:color="auto" w:fill="auto"/>
            <w:vAlign w:val="center"/>
          </w:tcPr>
          <w:p w:rsidR="004849D2" w:rsidRPr="00E06755" w:rsidRDefault="004849D2" w:rsidP="00AC0AD5">
            <w:r w:rsidRPr="00E06755">
              <w:t>ТОФК</w:t>
            </w:r>
          </w:p>
        </w:tc>
        <w:tc>
          <w:tcPr>
            <w:tcW w:w="6282" w:type="dxa"/>
            <w:shd w:val="clear" w:color="auto" w:fill="auto"/>
            <w:vAlign w:val="center"/>
          </w:tcPr>
          <w:p w:rsidR="004849D2" w:rsidRPr="00E06755" w:rsidRDefault="004849D2" w:rsidP="00AC0AD5">
            <w:r w:rsidRPr="00E06755">
              <w:t>Территориальный орган Федерального казначейства</w:t>
            </w:r>
          </w:p>
        </w:tc>
      </w:tr>
      <w:tr w:rsidR="004849D2" w:rsidRPr="00E06755" w:rsidTr="00592993">
        <w:tc>
          <w:tcPr>
            <w:tcW w:w="3469" w:type="dxa"/>
            <w:shd w:val="clear" w:color="auto" w:fill="auto"/>
            <w:vAlign w:val="center"/>
          </w:tcPr>
          <w:p w:rsidR="004849D2" w:rsidRPr="00E06755" w:rsidRDefault="004849D2" w:rsidP="00AC0AD5">
            <w:r w:rsidRPr="00E06755">
              <w:t>ФАИП</w:t>
            </w:r>
          </w:p>
        </w:tc>
        <w:tc>
          <w:tcPr>
            <w:tcW w:w="6282" w:type="dxa"/>
            <w:shd w:val="clear" w:color="auto" w:fill="auto"/>
            <w:vAlign w:val="center"/>
          </w:tcPr>
          <w:p w:rsidR="004849D2" w:rsidRPr="00E06755" w:rsidRDefault="004849D2" w:rsidP="00D36DD0">
            <w:r w:rsidRPr="00E06755">
              <w:t>Федеральная адресная инвестиционная программа</w:t>
            </w:r>
          </w:p>
        </w:tc>
      </w:tr>
      <w:tr w:rsidR="004849D2" w:rsidRPr="00E06755" w:rsidTr="00592993">
        <w:tc>
          <w:tcPr>
            <w:tcW w:w="3469" w:type="dxa"/>
            <w:shd w:val="clear" w:color="auto" w:fill="auto"/>
            <w:vAlign w:val="center"/>
          </w:tcPr>
          <w:p w:rsidR="004849D2" w:rsidRPr="00E06755" w:rsidRDefault="004849D2" w:rsidP="00AC0AD5">
            <w:r w:rsidRPr="00E06755">
              <w:t>ФБ</w:t>
            </w:r>
          </w:p>
        </w:tc>
        <w:tc>
          <w:tcPr>
            <w:tcW w:w="6282" w:type="dxa"/>
            <w:shd w:val="clear" w:color="auto" w:fill="auto"/>
            <w:vAlign w:val="center"/>
          </w:tcPr>
          <w:p w:rsidR="004849D2" w:rsidRPr="00E06755" w:rsidRDefault="004849D2" w:rsidP="00D36DD0">
            <w:r w:rsidRPr="00E06755">
              <w:t>Федеральный уровень бюджета</w:t>
            </w:r>
          </w:p>
        </w:tc>
      </w:tr>
      <w:tr w:rsidR="004849D2" w:rsidRPr="00E06755" w:rsidTr="00E860EE">
        <w:tc>
          <w:tcPr>
            <w:tcW w:w="3469" w:type="dxa"/>
            <w:shd w:val="clear" w:color="auto" w:fill="auto"/>
          </w:tcPr>
          <w:p w:rsidR="004849D2" w:rsidRPr="00E06755" w:rsidRDefault="004849D2" w:rsidP="00B9749E">
            <w:pPr>
              <w:pStyle w:val="EBTablenorm"/>
              <w:ind w:right="57"/>
            </w:pPr>
            <w:r w:rsidRPr="00E06755">
              <w:t>ФК</w:t>
            </w:r>
          </w:p>
        </w:tc>
        <w:tc>
          <w:tcPr>
            <w:tcW w:w="6282" w:type="dxa"/>
            <w:shd w:val="clear" w:color="auto" w:fill="auto"/>
          </w:tcPr>
          <w:p w:rsidR="004849D2" w:rsidRPr="00E06755" w:rsidRDefault="004849D2" w:rsidP="00B9749E">
            <w:pPr>
              <w:pStyle w:val="EBTablenorm"/>
              <w:ind w:right="57"/>
            </w:pPr>
            <w:r w:rsidRPr="00E06755">
              <w:t>Федеральное казначейство</w:t>
            </w:r>
          </w:p>
        </w:tc>
      </w:tr>
      <w:tr w:rsidR="004849D2" w:rsidRPr="00E06755" w:rsidTr="00592993">
        <w:tc>
          <w:tcPr>
            <w:tcW w:w="3469" w:type="dxa"/>
            <w:shd w:val="clear" w:color="auto" w:fill="auto"/>
            <w:vAlign w:val="center"/>
          </w:tcPr>
          <w:p w:rsidR="004849D2" w:rsidRPr="00E06755" w:rsidRDefault="004849D2" w:rsidP="00AC0AD5">
            <w:r w:rsidRPr="00E06755">
              <w:t>ФКУ ЦОКР</w:t>
            </w:r>
          </w:p>
        </w:tc>
        <w:tc>
          <w:tcPr>
            <w:tcW w:w="6282" w:type="dxa"/>
            <w:shd w:val="clear" w:color="auto" w:fill="auto"/>
            <w:vAlign w:val="center"/>
          </w:tcPr>
          <w:p w:rsidR="004849D2" w:rsidRPr="00E06755" w:rsidRDefault="004849D2" w:rsidP="00AC0AD5">
            <w:r w:rsidRPr="00E06755">
              <w:t>Федеральное казенное учреждение «Центр по обеспечению деятельности Казначейства России»</w:t>
            </w:r>
          </w:p>
        </w:tc>
      </w:tr>
      <w:tr w:rsidR="003316CA" w:rsidRPr="00E06755" w:rsidTr="00592993">
        <w:tc>
          <w:tcPr>
            <w:tcW w:w="3469" w:type="dxa"/>
            <w:shd w:val="clear" w:color="auto" w:fill="auto"/>
            <w:vAlign w:val="center"/>
          </w:tcPr>
          <w:p w:rsidR="003316CA" w:rsidRPr="00E06755" w:rsidRDefault="003316CA" w:rsidP="00AC0AD5">
            <w:r>
              <w:t>ФОТ</w:t>
            </w:r>
          </w:p>
        </w:tc>
        <w:tc>
          <w:tcPr>
            <w:tcW w:w="6282" w:type="dxa"/>
            <w:shd w:val="clear" w:color="auto" w:fill="auto"/>
            <w:vAlign w:val="center"/>
          </w:tcPr>
          <w:p w:rsidR="003316CA" w:rsidRPr="00E06755" w:rsidRDefault="003316CA" w:rsidP="00AC0AD5">
            <w:r>
              <w:t>Фонд оплаты труда</w:t>
            </w:r>
          </w:p>
        </w:tc>
      </w:tr>
      <w:tr w:rsidR="004849D2" w:rsidRPr="00E06755" w:rsidTr="00180CF0">
        <w:tc>
          <w:tcPr>
            <w:tcW w:w="3469" w:type="dxa"/>
            <w:shd w:val="clear" w:color="auto" w:fill="auto"/>
          </w:tcPr>
          <w:p w:rsidR="004849D2" w:rsidRPr="00E06755" w:rsidRDefault="004849D2" w:rsidP="00316603">
            <w:r w:rsidRPr="00E06755">
              <w:t>44-ФЗ</w:t>
            </w:r>
          </w:p>
        </w:tc>
        <w:tc>
          <w:tcPr>
            <w:tcW w:w="6282" w:type="dxa"/>
            <w:shd w:val="clear" w:color="auto" w:fill="auto"/>
          </w:tcPr>
          <w:p w:rsidR="004849D2" w:rsidRPr="00E06755" w:rsidRDefault="004849D2" w:rsidP="00316603">
            <w:r w:rsidRPr="00E06755">
              <w:t>Федеральный закон "О контрактной системе в сфере закупок товаров, работ, услуг для обеспечения государственных и муниципальных нужд" 5 апреля 2013 года N 44-ФЗ</w:t>
            </w:r>
          </w:p>
        </w:tc>
      </w:tr>
      <w:tr w:rsidR="004849D2" w:rsidRPr="00E06755" w:rsidTr="00180CF0">
        <w:tc>
          <w:tcPr>
            <w:tcW w:w="3469" w:type="dxa"/>
            <w:shd w:val="clear" w:color="auto" w:fill="auto"/>
          </w:tcPr>
          <w:p w:rsidR="004849D2" w:rsidRPr="00E06755" w:rsidRDefault="004849D2" w:rsidP="00316603">
            <w:r w:rsidRPr="00E06755">
              <w:t>223-ФЗ</w:t>
            </w:r>
          </w:p>
        </w:tc>
        <w:tc>
          <w:tcPr>
            <w:tcW w:w="6282" w:type="dxa"/>
            <w:shd w:val="clear" w:color="auto" w:fill="auto"/>
          </w:tcPr>
          <w:p w:rsidR="004849D2" w:rsidRPr="00E06755" w:rsidRDefault="004849D2" w:rsidP="00AF27AA">
            <w:r w:rsidRPr="00E06755">
              <w:t>Федеральный закон «О закупках товаров, работ, услуг отдельными видами юридических лиц» 18 июля 2011 года №223-ФЗ</w:t>
            </w:r>
          </w:p>
        </w:tc>
      </w:tr>
    </w:tbl>
    <w:p w:rsidR="00D55811" w:rsidRPr="00E06755" w:rsidRDefault="00D55811" w:rsidP="00316603">
      <w:pPr>
        <w:pStyle w:val="af6"/>
        <w:pageBreakBefore/>
      </w:pPr>
      <w:bookmarkStart w:id="6" w:name="_Toc119585013"/>
      <w:r w:rsidRPr="00E06755">
        <w:t>Перечень терминов</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395"/>
        <w:gridCol w:w="6073"/>
      </w:tblGrid>
      <w:tr w:rsidR="00D55811" w:rsidRPr="00E06755" w:rsidTr="009A12B9">
        <w:trPr>
          <w:tblHeader/>
        </w:trPr>
        <w:tc>
          <w:tcPr>
            <w:tcW w:w="34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0E09CE">
            <w:pPr>
              <w:jc w:val="center"/>
              <w:rPr>
                <w:b/>
              </w:rPr>
            </w:pPr>
            <w:r w:rsidRPr="00E06755">
              <w:rPr>
                <w:b/>
              </w:rPr>
              <w:t>Наименование термина</w:t>
            </w:r>
          </w:p>
        </w:tc>
        <w:tc>
          <w:tcPr>
            <w:tcW w:w="627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0E09CE">
            <w:pPr>
              <w:jc w:val="center"/>
              <w:rPr>
                <w:b/>
              </w:rPr>
            </w:pPr>
            <w:r w:rsidRPr="00E06755">
              <w:rPr>
                <w:b/>
              </w:rPr>
              <w:t>Определение</w:t>
            </w:r>
          </w:p>
        </w:tc>
      </w:tr>
      <w:tr w:rsidR="00D55811" w:rsidRPr="00E06755" w:rsidTr="009A12B9">
        <w:tc>
          <w:tcPr>
            <w:tcW w:w="3472" w:type="dxa"/>
            <w:shd w:val="clear" w:color="auto" w:fill="auto"/>
            <w:vAlign w:val="center"/>
          </w:tcPr>
          <w:p w:rsidR="00D55811" w:rsidRPr="00E06755" w:rsidRDefault="00D55811" w:rsidP="009A12B9">
            <w:pPr>
              <w:rPr>
                <w:color w:val="auto"/>
              </w:rPr>
            </w:pPr>
            <w:r w:rsidRPr="00E06755">
              <w:rPr>
                <w:color w:val="auto"/>
              </w:rPr>
              <w:t>Прикладное программное обеспечение</w:t>
            </w:r>
          </w:p>
        </w:tc>
        <w:tc>
          <w:tcPr>
            <w:tcW w:w="6279" w:type="dxa"/>
            <w:shd w:val="clear" w:color="auto" w:fill="auto"/>
            <w:vAlign w:val="center"/>
          </w:tcPr>
          <w:p w:rsidR="00D55811" w:rsidRPr="00E06755" w:rsidRDefault="00D55811" w:rsidP="009A12B9">
            <w:pPr>
              <w:rPr>
                <w:color w:val="auto"/>
              </w:rPr>
            </w:pPr>
            <w:r w:rsidRPr="00E06755">
              <w:rPr>
                <w:color w:val="auto"/>
              </w:rPr>
              <w:t>Программное обеспечение, предназначенное для выполнения определённых задач и рассчитанная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w:t>
            </w:r>
            <w:r w:rsidR="001867FC">
              <w:rPr>
                <w:color w:val="auto"/>
              </w:rPr>
              <w:t>ммами посредством системного ПО</w:t>
            </w:r>
          </w:p>
        </w:tc>
      </w:tr>
      <w:tr w:rsidR="006A45AA" w:rsidRPr="00E06755" w:rsidTr="00684385">
        <w:tc>
          <w:tcPr>
            <w:tcW w:w="3472" w:type="dxa"/>
            <w:shd w:val="clear" w:color="auto" w:fill="auto"/>
          </w:tcPr>
          <w:p w:rsidR="006A45AA" w:rsidRPr="006A45AA" w:rsidRDefault="006A45AA" w:rsidP="006A45AA">
            <w:pPr>
              <w:rPr>
                <w:color w:val="auto"/>
              </w:rPr>
            </w:pPr>
            <w:r w:rsidRPr="006A45AA">
              <w:rPr>
                <w:color w:val="auto"/>
              </w:rPr>
              <w:t>Виджет</w:t>
            </w:r>
          </w:p>
        </w:tc>
        <w:tc>
          <w:tcPr>
            <w:tcW w:w="6279" w:type="dxa"/>
            <w:shd w:val="clear" w:color="auto" w:fill="auto"/>
          </w:tcPr>
          <w:p w:rsidR="006A45AA" w:rsidRPr="006A45AA" w:rsidRDefault="006A45AA" w:rsidP="006A45AA">
            <w:pPr>
              <w:rPr>
                <w:color w:val="auto"/>
              </w:rPr>
            </w:pPr>
            <w:r w:rsidRPr="006A45AA">
              <w:rPr>
                <w:color w:val="auto"/>
              </w:rPr>
              <w:t>Элемент информационной панели, содержащий информацию, отображающуюся в аналитических отчетах и/или семантических (презентационных) моделях данных, структурированную с использованием форм-шаблонов</w:t>
            </w:r>
          </w:p>
        </w:tc>
      </w:tr>
      <w:tr w:rsidR="006A45AA" w:rsidRPr="00E06755" w:rsidTr="00AC0AD5">
        <w:tc>
          <w:tcPr>
            <w:tcW w:w="3472" w:type="dxa"/>
            <w:shd w:val="clear" w:color="auto" w:fill="auto"/>
          </w:tcPr>
          <w:p w:rsidR="006A45AA" w:rsidRPr="0067180A" w:rsidRDefault="006A45AA" w:rsidP="00684385">
            <w:r w:rsidRPr="0067180A">
              <w:t>Витрина данных</w:t>
            </w:r>
          </w:p>
        </w:tc>
        <w:tc>
          <w:tcPr>
            <w:tcW w:w="6279" w:type="dxa"/>
            <w:shd w:val="clear" w:color="auto" w:fill="auto"/>
          </w:tcPr>
          <w:p w:rsidR="006A45AA" w:rsidRDefault="006A45AA" w:rsidP="00684385">
            <w:r w:rsidRPr="0067180A">
              <w:t>Способ группировки и представления информации по предметной области (части предметной области) в Подсистеме</w:t>
            </w:r>
          </w:p>
        </w:tc>
      </w:tr>
      <w:tr w:rsidR="006A45AA" w:rsidRPr="00E06755" w:rsidTr="00AC0AD5">
        <w:tc>
          <w:tcPr>
            <w:tcW w:w="3472" w:type="dxa"/>
            <w:shd w:val="clear" w:color="auto" w:fill="auto"/>
          </w:tcPr>
          <w:p w:rsidR="006A45AA" w:rsidRPr="006A45AA" w:rsidRDefault="006A45AA" w:rsidP="006A45AA">
            <w:r w:rsidRPr="006A45AA">
              <w:t>Информационная панель</w:t>
            </w:r>
          </w:p>
        </w:tc>
        <w:tc>
          <w:tcPr>
            <w:tcW w:w="6279" w:type="dxa"/>
            <w:shd w:val="clear" w:color="auto" w:fill="auto"/>
          </w:tcPr>
          <w:p w:rsidR="006A45AA" w:rsidRPr="006A45AA" w:rsidRDefault="006A45AA" w:rsidP="006A45AA">
            <w:r w:rsidRPr="006A45AA">
              <w:t>Элемент рабочего пространства Подсистемы, представляющий собой специально организованный интерфейс, содержащий набор виджетов</w:t>
            </w:r>
          </w:p>
        </w:tc>
      </w:tr>
      <w:tr w:rsidR="006A45AA" w:rsidRPr="00E06755" w:rsidTr="00AC0AD5">
        <w:tc>
          <w:tcPr>
            <w:tcW w:w="3472" w:type="dxa"/>
            <w:shd w:val="clear" w:color="auto" w:fill="auto"/>
          </w:tcPr>
          <w:p w:rsidR="006A45AA" w:rsidRPr="006D63BA" w:rsidRDefault="006A45AA" w:rsidP="00684385">
            <w:r w:rsidRPr="006D63BA">
              <w:t>Государственный контракт</w:t>
            </w:r>
            <w:r>
              <w:t>, ГК</w:t>
            </w:r>
          </w:p>
        </w:tc>
        <w:tc>
          <w:tcPr>
            <w:tcW w:w="6279" w:type="dxa"/>
            <w:shd w:val="clear" w:color="auto" w:fill="auto"/>
          </w:tcPr>
          <w:p w:rsidR="006A45AA" w:rsidRDefault="006A45AA" w:rsidP="00684385">
            <w:r w:rsidRPr="006D63BA">
              <w:t>Государственный контракт на выполнение работ по развитию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tc>
      </w:tr>
      <w:tr w:rsidR="006A45AA" w:rsidRPr="00E06755" w:rsidTr="00AC0AD5">
        <w:tc>
          <w:tcPr>
            <w:tcW w:w="3472" w:type="dxa"/>
            <w:shd w:val="clear" w:color="auto" w:fill="auto"/>
          </w:tcPr>
          <w:p w:rsidR="006A45AA" w:rsidRPr="009B1D3A" w:rsidRDefault="006A45AA" w:rsidP="00684385">
            <w:r w:rsidRPr="009B1D3A">
              <w:t>Пользователи Подсистемы</w:t>
            </w:r>
          </w:p>
        </w:tc>
        <w:tc>
          <w:tcPr>
            <w:tcW w:w="6279" w:type="dxa"/>
            <w:shd w:val="clear" w:color="auto" w:fill="auto"/>
          </w:tcPr>
          <w:p w:rsidR="006A45AA" w:rsidRDefault="006A45AA" w:rsidP="00684385">
            <w:r w:rsidRPr="009B1D3A">
              <w:t>Уполномоченные лица участников системы «Электронный бюджет», прошедшие процедуры регистрации и авторизации в Подсистеме</w:t>
            </w:r>
          </w:p>
        </w:tc>
      </w:tr>
      <w:tr w:rsidR="006A45AA" w:rsidRPr="00E06755" w:rsidTr="00AC0AD5">
        <w:tc>
          <w:tcPr>
            <w:tcW w:w="3472" w:type="dxa"/>
            <w:shd w:val="clear" w:color="auto" w:fill="auto"/>
          </w:tcPr>
          <w:p w:rsidR="006A45AA" w:rsidRPr="00E06755" w:rsidRDefault="006A45AA" w:rsidP="00AC0AD5">
            <w:r w:rsidRPr="00E06755">
              <w:t>Реестр государственных заданий, РГЗ</w:t>
            </w:r>
          </w:p>
        </w:tc>
        <w:tc>
          <w:tcPr>
            <w:tcW w:w="6279" w:type="dxa"/>
            <w:shd w:val="clear" w:color="auto" w:fill="auto"/>
          </w:tcPr>
          <w:p w:rsidR="006A45AA" w:rsidRPr="00E06755" w:rsidRDefault="006A45AA" w:rsidP="00AC0AD5">
            <w:r w:rsidRPr="00E06755">
              <w:t>Реестр государственных заданий на оказание государст</w:t>
            </w:r>
            <w:r w:rsidR="001867FC">
              <w:t>венных услуг (выполнение работ)</w:t>
            </w:r>
          </w:p>
        </w:tc>
      </w:tr>
      <w:tr w:rsidR="006A45AA" w:rsidRPr="00E06755" w:rsidTr="00AC0AD5">
        <w:tc>
          <w:tcPr>
            <w:tcW w:w="3472" w:type="dxa"/>
            <w:shd w:val="clear" w:color="auto" w:fill="auto"/>
          </w:tcPr>
          <w:p w:rsidR="006A45AA" w:rsidRPr="00E06755" w:rsidRDefault="006A45AA" w:rsidP="00AC0AD5">
            <w:r w:rsidRPr="00E06755">
              <w:t>Реестр соглашений, РС</w:t>
            </w:r>
          </w:p>
        </w:tc>
        <w:tc>
          <w:tcPr>
            <w:tcW w:w="6279" w:type="dxa"/>
            <w:shd w:val="clear" w:color="auto" w:fill="auto"/>
          </w:tcPr>
          <w:p w:rsidR="006A45AA" w:rsidRPr="00E06755" w:rsidRDefault="006A45AA" w:rsidP="00AC0AD5">
            <w:r w:rsidRPr="00E06755">
              <w:t>Реестр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tc>
      </w:tr>
    </w:tbl>
    <w:p w:rsidR="00147B5C" w:rsidRDefault="00147B5C" w:rsidP="00147B5C">
      <w:pPr>
        <w:pStyle w:val="af6"/>
        <w:rPr>
          <w:rStyle w:val="18"/>
          <w:b/>
          <w:bCs/>
        </w:rPr>
      </w:pPr>
      <w:bookmarkStart w:id="7" w:name="_Toc112842055"/>
      <w:bookmarkStart w:id="8" w:name="_Toc115272298"/>
      <w:bookmarkStart w:id="9" w:name="_Toc116377733"/>
      <w:bookmarkStart w:id="10" w:name="_Toc117498513"/>
      <w:bookmarkStart w:id="11" w:name="_Toc117499750"/>
      <w:bookmarkStart w:id="12" w:name="_Toc117501970"/>
      <w:bookmarkStart w:id="13" w:name="_Toc119585014"/>
      <w:r w:rsidRPr="003C3FB0">
        <w:t>Перечень ссылочных документов</w:t>
      </w:r>
      <w:r>
        <w:rPr>
          <w:rStyle w:val="aff0"/>
        </w:rPr>
        <w:footnoteReference w:id="1"/>
      </w:r>
      <w:bookmarkEnd w:id="7"/>
      <w:bookmarkEnd w:id="8"/>
      <w:bookmarkEnd w:id="9"/>
      <w:bookmarkEnd w:id="10"/>
      <w:bookmarkEnd w:id="11"/>
      <w:bookmarkEnd w:id="12"/>
      <w:bookmarkEnd w:id="13"/>
    </w:p>
    <w:tbl>
      <w:tblPr>
        <w:tblW w:w="9747"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3936"/>
        <w:gridCol w:w="2693"/>
        <w:gridCol w:w="709"/>
        <w:gridCol w:w="2409"/>
      </w:tblGrid>
      <w:tr w:rsidR="00147B5C" w:rsidRPr="00173351" w:rsidTr="00991B9F">
        <w:trPr>
          <w:cantSplit/>
          <w:trHeight w:val="161"/>
          <w:tblHeader/>
        </w:trPr>
        <w:tc>
          <w:tcPr>
            <w:tcW w:w="393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hideMark/>
          </w:tcPr>
          <w:p w:rsidR="00147B5C" w:rsidRPr="00173351" w:rsidRDefault="00147B5C" w:rsidP="00EA7BB4">
            <w:pPr>
              <w:pStyle w:val="OTRTableHead"/>
              <w:keepNext w:val="0"/>
              <w:rPr>
                <w:szCs w:val="24"/>
              </w:rPr>
            </w:pPr>
            <w:r w:rsidRPr="00173351">
              <w:rPr>
                <w:szCs w:val="24"/>
              </w:rPr>
              <w:t>Название документа</w:t>
            </w:r>
          </w:p>
        </w:tc>
        <w:tc>
          <w:tcPr>
            <w:tcW w:w="2693"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hideMark/>
          </w:tcPr>
          <w:p w:rsidR="00147B5C" w:rsidRPr="00173351" w:rsidRDefault="00147B5C" w:rsidP="00EA7BB4">
            <w:pPr>
              <w:pStyle w:val="OTRTableHead"/>
              <w:keepNext w:val="0"/>
              <w:rPr>
                <w:szCs w:val="24"/>
              </w:rPr>
            </w:pPr>
            <w:r w:rsidRPr="00173351">
              <w:rPr>
                <w:szCs w:val="24"/>
              </w:rPr>
              <w:t>Код документа</w:t>
            </w:r>
          </w:p>
        </w:tc>
        <w:tc>
          <w:tcPr>
            <w:tcW w:w="709" w:type="dxa"/>
            <w:tcBorders>
              <w:top w:val="single" w:sz="4" w:space="0" w:color="auto"/>
              <w:left w:val="single" w:sz="4" w:space="0" w:color="auto"/>
              <w:bottom w:val="single" w:sz="4" w:space="0" w:color="auto"/>
              <w:right w:val="single" w:sz="4" w:space="0" w:color="auto"/>
            </w:tcBorders>
            <w:shd w:val="clear" w:color="auto" w:fill="D9D9D9"/>
            <w:hideMark/>
          </w:tcPr>
          <w:p w:rsidR="00147B5C" w:rsidRPr="00173351" w:rsidRDefault="00147B5C" w:rsidP="00EA7BB4">
            <w:pPr>
              <w:pStyle w:val="OTRTableHead"/>
              <w:rPr>
                <w:szCs w:val="24"/>
              </w:rPr>
            </w:pPr>
            <w:r w:rsidRPr="00173351">
              <w:rPr>
                <w:szCs w:val="24"/>
              </w:rPr>
              <w:t>Гриф</w:t>
            </w:r>
          </w:p>
        </w:tc>
        <w:tc>
          <w:tcPr>
            <w:tcW w:w="2409" w:type="dxa"/>
            <w:tcBorders>
              <w:top w:val="single" w:sz="4" w:space="0" w:color="auto"/>
              <w:left w:val="single" w:sz="4" w:space="0" w:color="auto"/>
              <w:bottom w:val="single" w:sz="4" w:space="0" w:color="auto"/>
              <w:right w:val="single" w:sz="4" w:space="0" w:color="auto"/>
            </w:tcBorders>
            <w:shd w:val="clear" w:color="auto" w:fill="D9D9D9"/>
            <w:hideMark/>
          </w:tcPr>
          <w:p w:rsidR="00147B5C" w:rsidRPr="00173351" w:rsidRDefault="00147B5C" w:rsidP="00EA7BB4">
            <w:pPr>
              <w:pStyle w:val="OTRTableHead"/>
              <w:rPr>
                <w:szCs w:val="24"/>
              </w:rPr>
            </w:pPr>
            <w:r w:rsidRPr="00173351">
              <w:rPr>
                <w:szCs w:val="24"/>
              </w:rPr>
              <w:t>Номер ГК</w:t>
            </w:r>
          </w:p>
        </w:tc>
      </w:tr>
      <w:tr w:rsidR="00147B5C" w:rsidRPr="00173351" w:rsidTr="00991B9F">
        <w:trPr>
          <w:cantSplit/>
          <w:trHeight w:val="161"/>
        </w:trPr>
        <w:tc>
          <w:tcPr>
            <w:tcW w:w="3936"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147B5C">
            <w:pPr>
              <w:pStyle w:val="afff6"/>
              <w:numPr>
                <w:ilvl w:val="0"/>
                <w:numId w:val="190"/>
              </w:numPr>
              <w:ind w:left="28" w:hanging="28"/>
              <w:rPr>
                <w:sz w:val="24"/>
                <w:szCs w:val="24"/>
              </w:rPr>
            </w:pPr>
            <w:r w:rsidRPr="00AA4362">
              <w:rPr>
                <w:sz w:val="24"/>
                <w:szCs w:val="24"/>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Мобильное приложение</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991B9F">
            <w:pPr>
              <w:jc w:val="left"/>
              <w:rPr>
                <w:szCs w:val="24"/>
              </w:rPr>
            </w:pPr>
            <w:r w:rsidRPr="00AD7458">
              <w:rPr>
                <w:szCs w:val="24"/>
              </w:rPr>
              <w:t>30275697.20.11,00.ЭБ26.002-</w:t>
            </w:r>
            <w:r w:rsidR="00EA7BB4" w:rsidRPr="00BF1631">
              <w:rPr>
                <w:szCs w:val="24"/>
              </w:rPr>
              <w:t>0</w:t>
            </w:r>
            <w:r w:rsidR="00991B9F">
              <w:rPr>
                <w:szCs w:val="24"/>
              </w:rPr>
              <w:t>4</w:t>
            </w:r>
            <w:r w:rsidR="00EA7BB4" w:rsidRPr="00BF1631">
              <w:rPr>
                <w:szCs w:val="24"/>
              </w:rPr>
              <w:t>.0</w:t>
            </w:r>
            <w:r w:rsidR="0056578B">
              <w:rPr>
                <w:szCs w:val="24"/>
              </w:rPr>
              <w:t>1</w:t>
            </w:r>
            <w:r w:rsidRPr="00AD7458">
              <w:rPr>
                <w:szCs w:val="24"/>
              </w:rPr>
              <w:t xml:space="preserve"> 9</w:t>
            </w:r>
          </w:p>
        </w:tc>
        <w:tc>
          <w:tcPr>
            <w:tcW w:w="709" w:type="dxa"/>
            <w:tcBorders>
              <w:top w:val="single" w:sz="4" w:space="0" w:color="auto"/>
              <w:left w:val="single" w:sz="4" w:space="0" w:color="auto"/>
              <w:bottom w:val="single" w:sz="4" w:space="0" w:color="auto"/>
              <w:right w:val="single" w:sz="4" w:space="0" w:color="auto"/>
            </w:tcBorders>
            <w:vAlign w:val="center"/>
          </w:tcPr>
          <w:p w:rsidR="00147B5C" w:rsidRPr="00173351" w:rsidRDefault="00147B5C" w:rsidP="00B564F3">
            <w:pPr>
              <w:pStyle w:val="affff2"/>
              <w:spacing w:line="360" w:lineRule="exact"/>
              <w:jc w:val="left"/>
              <w:rPr>
                <w:sz w:val="24"/>
                <w:lang w:val="en-US"/>
              </w:rPr>
            </w:pPr>
            <w:r w:rsidRPr="00173351">
              <w:rPr>
                <w:sz w:val="24"/>
                <w:lang w:val="en-US"/>
              </w:rPr>
              <w:t>-</w:t>
            </w:r>
          </w:p>
        </w:tc>
        <w:tc>
          <w:tcPr>
            <w:tcW w:w="2409" w:type="dxa"/>
            <w:tcBorders>
              <w:top w:val="single" w:sz="4" w:space="0" w:color="auto"/>
              <w:left w:val="single" w:sz="4" w:space="0" w:color="auto"/>
              <w:bottom w:val="single" w:sz="4" w:space="0" w:color="auto"/>
              <w:right w:val="single" w:sz="4" w:space="0" w:color="auto"/>
            </w:tcBorders>
            <w:vAlign w:val="center"/>
          </w:tcPr>
          <w:p w:rsidR="00147B5C" w:rsidRPr="00173351" w:rsidRDefault="00EA7BB4" w:rsidP="00B564F3">
            <w:pPr>
              <w:pStyle w:val="affff2"/>
              <w:spacing w:line="360" w:lineRule="exact"/>
              <w:jc w:val="left"/>
              <w:rPr>
                <w:sz w:val="24"/>
              </w:rPr>
            </w:pPr>
            <w:r w:rsidRPr="00EA7BB4">
              <w:rPr>
                <w:sz w:val="24"/>
              </w:rPr>
              <w:t>ФКУ0212/05/2022/РИС</w:t>
            </w:r>
          </w:p>
        </w:tc>
      </w:tr>
      <w:tr w:rsidR="00147B5C" w:rsidRPr="00173351" w:rsidTr="00991B9F">
        <w:trPr>
          <w:cantSplit/>
          <w:trHeight w:val="161"/>
        </w:trPr>
        <w:tc>
          <w:tcPr>
            <w:tcW w:w="3936"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rsidR="00147B5C" w:rsidRPr="00147B5C" w:rsidRDefault="00147B5C" w:rsidP="00147B5C">
            <w:pPr>
              <w:pStyle w:val="afff6"/>
              <w:numPr>
                <w:ilvl w:val="0"/>
                <w:numId w:val="190"/>
              </w:numPr>
              <w:ind w:left="28" w:hanging="28"/>
              <w:rPr>
                <w:sz w:val="24"/>
                <w:szCs w:val="24"/>
              </w:rPr>
            </w:pPr>
            <w:r w:rsidRPr="00147B5C">
              <w:rPr>
                <w:sz w:val="24"/>
                <w:szCs w:val="24"/>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Загрузка данных</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CB306C" w:rsidRDefault="00147B5C" w:rsidP="00991B9F">
            <w:pPr>
              <w:pStyle w:val="EBTablenorm"/>
              <w:jc w:val="left"/>
              <w:rPr>
                <w:szCs w:val="24"/>
                <w:lang w:eastAsia="en-US"/>
              </w:rPr>
            </w:pPr>
            <w:r w:rsidRPr="00CB306C">
              <w:rPr>
                <w:szCs w:val="24"/>
              </w:rPr>
              <w:t>30275697.20.11,00.ЭБ26.003-</w:t>
            </w:r>
            <w:r w:rsidR="00EA7BB4" w:rsidRPr="00BF1631">
              <w:rPr>
                <w:szCs w:val="24"/>
              </w:rPr>
              <w:t>0</w:t>
            </w:r>
            <w:r w:rsidR="00991B9F">
              <w:rPr>
                <w:szCs w:val="24"/>
              </w:rPr>
              <w:t>3</w:t>
            </w:r>
            <w:r w:rsidR="00EA7BB4" w:rsidRPr="00BF1631">
              <w:rPr>
                <w:szCs w:val="24"/>
              </w:rPr>
              <w:t>.0</w:t>
            </w:r>
            <w:r w:rsidR="0056578B">
              <w:rPr>
                <w:szCs w:val="24"/>
              </w:rPr>
              <w:t>1</w:t>
            </w:r>
            <w:r w:rsidRPr="00CB306C">
              <w:rPr>
                <w:szCs w:val="24"/>
              </w:rPr>
              <w:t xml:space="preserve"> 9</w:t>
            </w:r>
          </w:p>
        </w:tc>
        <w:tc>
          <w:tcPr>
            <w:tcW w:w="709" w:type="dxa"/>
            <w:tcBorders>
              <w:top w:val="single" w:sz="4" w:space="0" w:color="auto"/>
              <w:left w:val="single" w:sz="4" w:space="0" w:color="auto"/>
              <w:bottom w:val="single" w:sz="4" w:space="0" w:color="auto"/>
              <w:right w:val="single" w:sz="4" w:space="0" w:color="auto"/>
            </w:tcBorders>
            <w:vAlign w:val="center"/>
          </w:tcPr>
          <w:p w:rsidR="00147B5C" w:rsidRPr="00173351" w:rsidRDefault="00147B5C" w:rsidP="00B564F3">
            <w:pPr>
              <w:pStyle w:val="affff2"/>
              <w:spacing w:line="360" w:lineRule="exact"/>
              <w:jc w:val="left"/>
              <w:rPr>
                <w:sz w:val="24"/>
                <w:lang w:val="en-US"/>
              </w:rPr>
            </w:pPr>
            <w:r w:rsidRPr="00173351">
              <w:rPr>
                <w:sz w:val="24"/>
                <w:lang w:val="en-US"/>
              </w:rPr>
              <w:t>-</w:t>
            </w:r>
          </w:p>
        </w:tc>
        <w:tc>
          <w:tcPr>
            <w:tcW w:w="2409" w:type="dxa"/>
            <w:tcBorders>
              <w:top w:val="single" w:sz="4" w:space="0" w:color="auto"/>
              <w:left w:val="single" w:sz="4" w:space="0" w:color="auto"/>
              <w:bottom w:val="single" w:sz="4" w:space="0" w:color="auto"/>
              <w:right w:val="single" w:sz="4" w:space="0" w:color="auto"/>
            </w:tcBorders>
            <w:vAlign w:val="center"/>
          </w:tcPr>
          <w:p w:rsidR="00147B5C" w:rsidRPr="00173351" w:rsidRDefault="00EA7BB4" w:rsidP="00B564F3">
            <w:pPr>
              <w:pStyle w:val="affff2"/>
              <w:spacing w:line="360" w:lineRule="exact"/>
              <w:jc w:val="left"/>
              <w:rPr>
                <w:sz w:val="24"/>
              </w:rPr>
            </w:pPr>
            <w:r w:rsidRPr="00EA7BB4">
              <w:rPr>
                <w:sz w:val="24"/>
              </w:rPr>
              <w:t>ФКУ0212/05/2022/РИС</w:t>
            </w:r>
          </w:p>
        </w:tc>
      </w:tr>
      <w:tr w:rsidR="00147B5C" w:rsidRPr="00173351" w:rsidTr="00991B9F">
        <w:trPr>
          <w:cantSplit/>
          <w:trHeight w:val="161"/>
        </w:trPr>
        <w:tc>
          <w:tcPr>
            <w:tcW w:w="3936"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147B5C">
            <w:pPr>
              <w:pStyle w:val="afff6"/>
              <w:numPr>
                <w:ilvl w:val="0"/>
                <w:numId w:val="190"/>
              </w:numPr>
              <w:ind w:left="28" w:hanging="28"/>
              <w:rPr>
                <w:sz w:val="24"/>
                <w:szCs w:val="24"/>
              </w:rPr>
            </w:pPr>
            <w:r w:rsidRPr="008E207E">
              <w:rPr>
                <w:sz w:val="24"/>
                <w:szCs w:val="24"/>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Конструктор данных</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991B9F">
            <w:pPr>
              <w:jc w:val="left"/>
              <w:rPr>
                <w:szCs w:val="24"/>
              </w:rPr>
            </w:pPr>
            <w:r w:rsidRPr="00BF1631">
              <w:rPr>
                <w:szCs w:val="24"/>
              </w:rPr>
              <w:t>30275697.20.11,00.ЭБ26.004-</w:t>
            </w:r>
            <w:r w:rsidR="00EA7BB4" w:rsidRPr="00BF1631">
              <w:rPr>
                <w:szCs w:val="24"/>
              </w:rPr>
              <w:t>0</w:t>
            </w:r>
            <w:r w:rsidR="00991B9F">
              <w:rPr>
                <w:szCs w:val="24"/>
              </w:rPr>
              <w:t>3</w:t>
            </w:r>
            <w:r w:rsidR="00EA7BB4" w:rsidRPr="00BF1631">
              <w:rPr>
                <w:szCs w:val="24"/>
              </w:rPr>
              <w:t>.0</w:t>
            </w:r>
            <w:r w:rsidR="0056578B">
              <w:rPr>
                <w:szCs w:val="24"/>
              </w:rPr>
              <w:t>1</w:t>
            </w:r>
            <w:r w:rsidRPr="00BF1631">
              <w:rPr>
                <w:szCs w:val="24"/>
              </w:rPr>
              <w:t xml:space="preserve"> 9</w:t>
            </w:r>
          </w:p>
        </w:tc>
        <w:tc>
          <w:tcPr>
            <w:tcW w:w="709" w:type="dxa"/>
            <w:tcBorders>
              <w:top w:val="single" w:sz="4" w:space="0" w:color="auto"/>
              <w:left w:val="single" w:sz="4" w:space="0" w:color="auto"/>
              <w:bottom w:val="single" w:sz="4" w:space="0" w:color="auto"/>
              <w:right w:val="single" w:sz="4" w:space="0" w:color="auto"/>
            </w:tcBorders>
            <w:vAlign w:val="center"/>
          </w:tcPr>
          <w:p w:rsidR="00147B5C" w:rsidRPr="00173351" w:rsidRDefault="00147B5C" w:rsidP="00B564F3">
            <w:pPr>
              <w:pStyle w:val="affff2"/>
              <w:spacing w:line="360" w:lineRule="exact"/>
              <w:jc w:val="left"/>
              <w:rPr>
                <w:sz w:val="24"/>
                <w:lang w:val="en-US"/>
              </w:rPr>
            </w:pPr>
            <w:r w:rsidRPr="00173351">
              <w:rPr>
                <w:sz w:val="24"/>
                <w:lang w:val="en-US"/>
              </w:rPr>
              <w:t>-</w:t>
            </w:r>
          </w:p>
        </w:tc>
        <w:tc>
          <w:tcPr>
            <w:tcW w:w="2409" w:type="dxa"/>
            <w:tcBorders>
              <w:top w:val="single" w:sz="4" w:space="0" w:color="auto"/>
              <w:left w:val="single" w:sz="4" w:space="0" w:color="auto"/>
              <w:bottom w:val="single" w:sz="4" w:space="0" w:color="auto"/>
              <w:right w:val="single" w:sz="4" w:space="0" w:color="auto"/>
            </w:tcBorders>
            <w:vAlign w:val="center"/>
          </w:tcPr>
          <w:p w:rsidR="00147B5C" w:rsidRPr="00173351" w:rsidRDefault="00EA7BB4" w:rsidP="00B564F3">
            <w:pPr>
              <w:pStyle w:val="affff2"/>
              <w:spacing w:line="360" w:lineRule="exact"/>
              <w:jc w:val="left"/>
              <w:rPr>
                <w:sz w:val="24"/>
              </w:rPr>
            </w:pPr>
            <w:r w:rsidRPr="00EA7BB4">
              <w:rPr>
                <w:sz w:val="24"/>
              </w:rPr>
              <w:t>ФКУ0212/05/2022/РИС</w:t>
            </w:r>
          </w:p>
        </w:tc>
      </w:tr>
      <w:tr w:rsidR="00147B5C" w:rsidRPr="00173351" w:rsidTr="00991B9F">
        <w:trPr>
          <w:cantSplit/>
          <w:trHeight w:val="161"/>
        </w:trPr>
        <w:tc>
          <w:tcPr>
            <w:tcW w:w="3936"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147B5C">
            <w:pPr>
              <w:pStyle w:val="afff6"/>
              <w:numPr>
                <w:ilvl w:val="0"/>
                <w:numId w:val="190"/>
              </w:numPr>
              <w:ind w:left="28" w:hanging="28"/>
              <w:rPr>
                <w:sz w:val="24"/>
                <w:szCs w:val="24"/>
              </w:rPr>
            </w:pPr>
            <w:r w:rsidRPr="00AD7458">
              <w:rPr>
                <w:sz w:val="24"/>
                <w:szCs w:val="24"/>
              </w:rPr>
              <w:t>Руководство работников (представителей) участников системы «Электронный бюджет» по работе с подсистемой (компонентом, модулем) Самообслуживание</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47B5C" w:rsidRPr="00173351" w:rsidRDefault="00147B5C" w:rsidP="00991B9F">
            <w:pPr>
              <w:jc w:val="left"/>
              <w:rPr>
                <w:szCs w:val="24"/>
              </w:rPr>
            </w:pPr>
            <w:r w:rsidRPr="00BF1631">
              <w:rPr>
                <w:szCs w:val="24"/>
              </w:rPr>
              <w:t>30275697.20.11,00.ЭБ26.005-</w:t>
            </w:r>
            <w:r w:rsidR="00EA7BB4" w:rsidRPr="00BF1631">
              <w:rPr>
                <w:szCs w:val="24"/>
              </w:rPr>
              <w:t>0</w:t>
            </w:r>
            <w:r w:rsidR="00991B9F">
              <w:rPr>
                <w:szCs w:val="24"/>
              </w:rPr>
              <w:t>3</w:t>
            </w:r>
            <w:r w:rsidR="00EA7BB4" w:rsidRPr="00BF1631">
              <w:rPr>
                <w:szCs w:val="24"/>
              </w:rPr>
              <w:t>.0</w:t>
            </w:r>
            <w:r w:rsidR="0056578B">
              <w:rPr>
                <w:szCs w:val="24"/>
              </w:rPr>
              <w:t>1</w:t>
            </w:r>
            <w:r w:rsidRPr="00BF1631">
              <w:rPr>
                <w:szCs w:val="24"/>
              </w:rPr>
              <w:t xml:space="preserve"> 9</w:t>
            </w:r>
          </w:p>
        </w:tc>
        <w:tc>
          <w:tcPr>
            <w:tcW w:w="709" w:type="dxa"/>
            <w:tcBorders>
              <w:top w:val="single" w:sz="4" w:space="0" w:color="auto"/>
              <w:left w:val="single" w:sz="4" w:space="0" w:color="auto"/>
              <w:bottom w:val="single" w:sz="4" w:space="0" w:color="auto"/>
              <w:right w:val="single" w:sz="4" w:space="0" w:color="auto"/>
            </w:tcBorders>
            <w:vAlign w:val="center"/>
          </w:tcPr>
          <w:p w:rsidR="00147B5C" w:rsidRPr="00173351" w:rsidRDefault="00147B5C" w:rsidP="00B564F3">
            <w:pPr>
              <w:pStyle w:val="affff2"/>
              <w:spacing w:line="360" w:lineRule="exact"/>
              <w:jc w:val="left"/>
              <w:rPr>
                <w:sz w:val="24"/>
                <w:lang w:val="en-US"/>
              </w:rPr>
            </w:pPr>
            <w:r w:rsidRPr="00173351">
              <w:rPr>
                <w:sz w:val="24"/>
                <w:lang w:val="en-US"/>
              </w:rPr>
              <w:t>-</w:t>
            </w:r>
          </w:p>
        </w:tc>
        <w:tc>
          <w:tcPr>
            <w:tcW w:w="2409" w:type="dxa"/>
            <w:tcBorders>
              <w:top w:val="single" w:sz="4" w:space="0" w:color="auto"/>
              <w:left w:val="single" w:sz="4" w:space="0" w:color="auto"/>
              <w:bottom w:val="single" w:sz="4" w:space="0" w:color="auto"/>
              <w:right w:val="single" w:sz="4" w:space="0" w:color="auto"/>
            </w:tcBorders>
            <w:vAlign w:val="center"/>
          </w:tcPr>
          <w:p w:rsidR="00147B5C" w:rsidRPr="00173351" w:rsidRDefault="00EA7BB4" w:rsidP="00B564F3">
            <w:pPr>
              <w:pStyle w:val="affff2"/>
              <w:spacing w:line="360" w:lineRule="exact"/>
              <w:jc w:val="left"/>
              <w:rPr>
                <w:sz w:val="24"/>
              </w:rPr>
            </w:pPr>
            <w:r w:rsidRPr="00EA7BB4">
              <w:rPr>
                <w:sz w:val="24"/>
              </w:rPr>
              <w:t>ФКУ0212/05/2022/РИС</w:t>
            </w:r>
          </w:p>
        </w:tc>
      </w:tr>
      <w:tr w:rsidR="00A56AE6" w:rsidRPr="00173351" w:rsidTr="00991B9F">
        <w:trPr>
          <w:cantSplit/>
          <w:trHeight w:val="161"/>
        </w:trPr>
        <w:tc>
          <w:tcPr>
            <w:tcW w:w="3936"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rsidR="00A56AE6" w:rsidRPr="0027711B" w:rsidRDefault="00A56AE6" w:rsidP="0027711B">
            <w:pPr>
              <w:pStyle w:val="afff6"/>
              <w:numPr>
                <w:ilvl w:val="0"/>
                <w:numId w:val="190"/>
              </w:numPr>
              <w:ind w:left="28" w:hanging="28"/>
              <w:rPr>
                <w:sz w:val="24"/>
                <w:szCs w:val="24"/>
              </w:rPr>
            </w:pPr>
            <w:r w:rsidRPr="0027711B">
              <w:rPr>
                <w:sz w:val="24"/>
                <w:szCs w:val="24"/>
              </w:rPr>
              <w:t>Руководство работников (представителей) участников системы «Электронный бюджет» по работе с подсистемой (компонентом, модулем) в части сервиса предоставления данных из Подсистемы в подсистемы системы «Электронный бюджет» и внешние информационные системы</w:t>
            </w:r>
          </w:p>
        </w:tc>
        <w:tc>
          <w:tcPr>
            <w:tcW w:w="2693"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56AE6" w:rsidRPr="0027711B" w:rsidRDefault="00A56AE6" w:rsidP="0056578B">
            <w:pPr>
              <w:pStyle w:val="EBTablenorm"/>
              <w:jc w:val="left"/>
              <w:rPr>
                <w:szCs w:val="24"/>
              </w:rPr>
            </w:pPr>
            <w:r w:rsidRPr="0027711B">
              <w:rPr>
                <w:szCs w:val="24"/>
              </w:rPr>
              <w:t>30275697.20.11,00.ЭБ26.006-0</w:t>
            </w:r>
            <w:r w:rsidR="00EA7BB4">
              <w:rPr>
                <w:szCs w:val="24"/>
              </w:rPr>
              <w:t>2</w:t>
            </w:r>
            <w:r w:rsidRPr="0027711B">
              <w:rPr>
                <w:szCs w:val="24"/>
              </w:rPr>
              <w:t>.0</w:t>
            </w:r>
            <w:r w:rsidR="0056578B">
              <w:rPr>
                <w:szCs w:val="24"/>
              </w:rPr>
              <w:t>1</w:t>
            </w:r>
            <w:r w:rsidRPr="0027711B">
              <w:rPr>
                <w:szCs w:val="24"/>
              </w:rPr>
              <w:t xml:space="preserve"> 9</w:t>
            </w:r>
          </w:p>
        </w:tc>
        <w:tc>
          <w:tcPr>
            <w:tcW w:w="709" w:type="dxa"/>
            <w:tcBorders>
              <w:top w:val="single" w:sz="4" w:space="0" w:color="auto"/>
              <w:left w:val="single" w:sz="4" w:space="0" w:color="auto"/>
              <w:bottom w:val="single" w:sz="4" w:space="0" w:color="auto"/>
              <w:right w:val="single" w:sz="4" w:space="0" w:color="auto"/>
            </w:tcBorders>
            <w:vAlign w:val="center"/>
          </w:tcPr>
          <w:p w:rsidR="00A56AE6" w:rsidRPr="00173351" w:rsidRDefault="00A56AE6" w:rsidP="00EA7BB4">
            <w:pPr>
              <w:pStyle w:val="affff2"/>
              <w:spacing w:line="360" w:lineRule="exact"/>
              <w:jc w:val="left"/>
              <w:rPr>
                <w:sz w:val="24"/>
                <w:lang w:val="en-US"/>
              </w:rPr>
            </w:pPr>
            <w:r w:rsidRPr="00173351">
              <w:rPr>
                <w:sz w:val="24"/>
                <w:lang w:val="en-US"/>
              </w:rPr>
              <w:t>-</w:t>
            </w:r>
          </w:p>
        </w:tc>
        <w:tc>
          <w:tcPr>
            <w:tcW w:w="2409" w:type="dxa"/>
            <w:tcBorders>
              <w:top w:val="single" w:sz="4" w:space="0" w:color="auto"/>
              <w:left w:val="single" w:sz="4" w:space="0" w:color="auto"/>
              <w:bottom w:val="single" w:sz="4" w:space="0" w:color="auto"/>
              <w:right w:val="single" w:sz="4" w:space="0" w:color="auto"/>
            </w:tcBorders>
            <w:vAlign w:val="center"/>
          </w:tcPr>
          <w:p w:rsidR="00A56AE6" w:rsidRPr="00173351" w:rsidRDefault="00EA7BB4" w:rsidP="00EA7BB4">
            <w:pPr>
              <w:pStyle w:val="affff2"/>
              <w:spacing w:line="360" w:lineRule="exact"/>
              <w:jc w:val="left"/>
              <w:rPr>
                <w:sz w:val="24"/>
              </w:rPr>
            </w:pPr>
            <w:r w:rsidRPr="00EA7BB4">
              <w:rPr>
                <w:sz w:val="24"/>
              </w:rPr>
              <w:t>ФКУ0212/05/2022/РИС</w:t>
            </w:r>
          </w:p>
        </w:tc>
      </w:tr>
    </w:tbl>
    <w:p w:rsidR="00D55811" w:rsidRPr="00E06755" w:rsidRDefault="00D55811" w:rsidP="00D55811">
      <w:pPr>
        <w:pStyle w:val="14"/>
      </w:pPr>
      <w:r w:rsidRPr="00E06755">
        <w:br w:type="page"/>
      </w:r>
      <w:bookmarkStart w:id="14" w:name="_Ref525815417"/>
      <w:bookmarkStart w:id="15" w:name="_Toc119585015"/>
      <w:r w:rsidRPr="00E06755">
        <w:t>Общие положения</w:t>
      </w:r>
      <w:bookmarkEnd w:id="14"/>
      <w:bookmarkEnd w:id="15"/>
    </w:p>
    <w:p w:rsidR="00D55811" w:rsidRPr="00E06755" w:rsidRDefault="00FB7992" w:rsidP="00D55811">
      <w:pPr>
        <w:pStyle w:val="26"/>
      </w:pPr>
      <w:bookmarkStart w:id="16" w:name="_Toc119585016"/>
      <w:r w:rsidRPr="00E06755">
        <w:t>Назначение Подсистемы</w:t>
      </w:r>
      <w:bookmarkEnd w:id="16"/>
    </w:p>
    <w:p w:rsidR="00D55811" w:rsidRPr="00E06755" w:rsidRDefault="00D55811" w:rsidP="00D55811">
      <w:pPr>
        <w:pStyle w:val="af0"/>
      </w:pPr>
      <w:r w:rsidRPr="00E06755">
        <w:t>Целью создания Подсистемы является формирование единого государственного информационного ресурса как инструмента для повышения эффективности управления общественными финансами, повышения эффективности реализации бюджетных полномочий органов исполнительной власти Российской Федерации, а также обеспечения контроля за деятельностью организаций сектора государственного управления.</w:t>
      </w:r>
    </w:p>
    <w:p w:rsidR="00D55811" w:rsidRPr="00E06755" w:rsidRDefault="00D55811" w:rsidP="00D55811">
      <w:pPr>
        <w:pStyle w:val="af0"/>
      </w:pPr>
      <w:r w:rsidRPr="00E06755">
        <w:t>Подсистема предназначена для обеспечения пользователей Подсистемы необходимой информацией, средствами анализа и отчетности для принятия решений в сфере управления общественными финансами.</w:t>
      </w:r>
    </w:p>
    <w:p w:rsidR="00D55811" w:rsidRPr="00E06755" w:rsidRDefault="00D55811" w:rsidP="00D55811">
      <w:pPr>
        <w:pStyle w:val="af0"/>
      </w:pPr>
      <w:r w:rsidRPr="00E06755">
        <w:t>Подсистема должна решать задачи накопления, сопоставления и анализа информации, формируемой и обрабатываемой системой «Электронный бюджет», а также информации из внешних источников, непосредственно связанных с бюджетным процессом. Накопленные и сопоставленные данные должны использоваться в Подсистеме для проведения анализа, осуществления моделирования и прогнозирования, мониторинга и оценки результативности и эффективности деятельности публично-правовых образований.</w:t>
      </w:r>
    </w:p>
    <w:p w:rsidR="00D55811" w:rsidRPr="00E06755" w:rsidRDefault="00D55811" w:rsidP="00D55811">
      <w:pPr>
        <w:pStyle w:val="af0"/>
      </w:pPr>
      <w:r w:rsidRPr="00E06755">
        <w:t>Результаты анализа, моделирования, прогнозирования, мониторинга и оценки, полученные в Подсистеме, должны быть доступны в других подсистемах системы «Электронный бюджет» и использоваться для принятия управленческих решений Министерством финансов Российской Федерации, федеральными органами государственной власти, органами управления государственных внебюджетных фондов, а также размещаться на едином портале бюджетной системы Российской Федерации для ознакомления всех заинтересованных граждан и организаций.</w:t>
      </w:r>
    </w:p>
    <w:p w:rsidR="00D55811" w:rsidRPr="00E06755" w:rsidRDefault="00D55811" w:rsidP="00D55811">
      <w:pPr>
        <w:pStyle w:val="af0"/>
      </w:pPr>
      <w:r w:rsidRPr="00E06755">
        <w:t>По результатам анализа информационных ресурсов, мониторинга и оценки результативности и эффективности, осуществляемых уполномоченными специалистами с использованием функций Подсистемы, могут быть выявлены нарушения, отклонения и несоответствия при осуществлении бюджетного процесса.</w:t>
      </w:r>
    </w:p>
    <w:p w:rsidR="00D55811" w:rsidRPr="00E06755" w:rsidRDefault="00D55811" w:rsidP="00D55811">
      <w:pPr>
        <w:pStyle w:val="af0"/>
      </w:pPr>
      <w:r w:rsidRPr="00E06755">
        <w:t>Задачи Подсистемы:</w:t>
      </w:r>
    </w:p>
    <w:p w:rsidR="00D55811" w:rsidRPr="00E06755" w:rsidRDefault="00D55811" w:rsidP="00DE1661">
      <w:pPr>
        <w:pStyle w:val="13"/>
      </w:pPr>
      <w:r w:rsidRPr="00E06755">
        <w:t>обеспечение пользователя Подсистемы инструментами «базового» анализа, в том числе с использованием произвольных запросов;</w:t>
      </w:r>
    </w:p>
    <w:p w:rsidR="00D55811" w:rsidRPr="00E06755" w:rsidRDefault="00D55811" w:rsidP="00DE1661">
      <w:pPr>
        <w:pStyle w:val="13"/>
      </w:pPr>
      <w:r w:rsidRPr="00E06755">
        <w:t>сопоставление информации, поиск и выявление скрытых взаимосвязей и закономерностей;</w:t>
      </w:r>
    </w:p>
    <w:p w:rsidR="00D55811" w:rsidRPr="00E06755" w:rsidRDefault="00D55811" w:rsidP="00DE1661">
      <w:pPr>
        <w:pStyle w:val="13"/>
      </w:pPr>
      <w:r w:rsidRPr="00E06755">
        <w:t>выявление и предупреждение рисков и предупреждение нарушений законодательства Российской Федерации при использовании бюджетных средств;</w:t>
      </w:r>
    </w:p>
    <w:p w:rsidR="00D55811" w:rsidRPr="00E06755" w:rsidRDefault="00D55811" w:rsidP="00DE1661">
      <w:pPr>
        <w:pStyle w:val="13"/>
      </w:pPr>
      <w:r w:rsidRPr="00E06755">
        <w:t>обеспечение пользователя инструментами финансового моделирования и прогнозирования показателей деятельности организаций сектора государственного управления;</w:t>
      </w:r>
    </w:p>
    <w:p w:rsidR="00D55811" w:rsidRPr="00E06755" w:rsidRDefault="00D55811" w:rsidP="00DE1661">
      <w:pPr>
        <w:pStyle w:val="13"/>
      </w:pPr>
      <w:r w:rsidRPr="00E06755">
        <w:t>мониторинг, контроль, планирование событий и мероприятий бюджетного процесса, в том числе при осуществлении закупок товаров, работ, услуг для обеспечения государственных нужд;</w:t>
      </w:r>
    </w:p>
    <w:p w:rsidR="00D55811" w:rsidRPr="00E06755" w:rsidRDefault="00D55811" w:rsidP="00DE1661">
      <w:pPr>
        <w:pStyle w:val="13"/>
      </w:pPr>
      <w:r w:rsidRPr="00E06755">
        <w:t>обеспечение возможности автоматизации мониторинга процессов внедрения подсистем (компонент, модулей) ГИИС ЭБ.</w:t>
      </w:r>
    </w:p>
    <w:p w:rsidR="00E92B86" w:rsidRPr="00E06755" w:rsidRDefault="00E92B86" w:rsidP="00E92B86">
      <w:pPr>
        <w:pStyle w:val="af0"/>
      </w:pPr>
      <w:r w:rsidRPr="00E06755">
        <w:t>Перечень функций Подсистемы:</w:t>
      </w:r>
    </w:p>
    <w:p w:rsidR="00E92B86" w:rsidRPr="00E06755" w:rsidRDefault="00E92B86" w:rsidP="00DE1661">
      <w:pPr>
        <w:pStyle w:val="13"/>
      </w:pPr>
      <w:r w:rsidRPr="00E06755">
        <w:t>Хранение информации:</w:t>
      </w:r>
    </w:p>
    <w:p w:rsidR="00E92B86" w:rsidRPr="00E06755" w:rsidRDefault="00E92B86" w:rsidP="00E92B86">
      <w:pPr>
        <w:pStyle w:val="29"/>
        <w:rPr>
          <w:rFonts w:eastAsia="SimSun"/>
        </w:rPr>
      </w:pPr>
      <w:r w:rsidRPr="00E06755">
        <w:rPr>
          <w:rFonts w:eastAsia="Calibri"/>
        </w:rPr>
        <w:t>Централизованное хранилище данных</w:t>
      </w:r>
    </w:p>
    <w:p w:rsidR="00E92B86" w:rsidRPr="00E06755" w:rsidRDefault="00E92B86" w:rsidP="00E92B86">
      <w:pPr>
        <w:pStyle w:val="29"/>
        <w:rPr>
          <w:rFonts w:eastAsia="SimSun"/>
        </w:rPr>
      </w:pPr>
      <w:r w:rsidRPr="00E06755">
        <w:rPr>
          <w:rFonts w:eastAsia="SimSun"/>
        </w:rPr>
        <w:t>Многомерный анализ данных</w:t>
      </w:r>
    </w:p>
    <w:p w:rsidR="00E92B86" w:rsidRPr="00E06755" w:rsidRDefault="00E92B86" w:rsidP="00DE1661">
      <w:pPr>
        <w:pStyle w:val="13"/>
      </w:pPr>
      <w:r w:rsidRPr="00E06755">
        <w:t>Загрузка информации:</w:t>
      </w:r>
    </w:p>
    <w:p w:rsidR="00E92B86" w:rsidRPr="00E06755" w:rsidRDefault="00E92B86" w:rsidP="00E92B86">
      <w:pPr>
        <w:pStyle w:val="29"/>
      </w:pPr>
      <w:r w:rsidRPr="00E06755">
        <w:t>Подготовка, загрузка и обеспечение качества данных</w:t>
      </w:r>
    </w:p>
    <w:p w:rsidR="00E92B86" w:rsidRPr="00E06755" w:rsidRDefault="00E92B86" w:rsidP="00DE1661">
      <w:pPr>
        <w:pStyle w:val="13"/>
      </w:pPr>
      <w:r w:rsidRPr="00E06755">
        <w:t>Предоставление информации:</w:t>
      </w:r>
    </w:p>
    <w:p w:rsidR="00E92B86" w:rsidRPr="00E06755" w:rsidRDefault="00E92B86" w:rsidP="00E92B86">
      <w:pPr>
        <w:pStyle w:val="29"/>
      </w:pPr>
      <w:r w:rsidRPr="00E06755">
        <w:t>Формирование витрин данных</w:t>
      </w:r>
    </w:p>
    <w:p w:rsidR="00E92B86" w:rsidRPr="00E06755" w:rsidRDefault="00E92B86" w:rsidP="00E92B86">
      <w:pPr>
        <w:pStyle w:val="29"/>
      </w:pPr>
      <w:r w:rsidRPr="00E06755">
        <w:t>Формирование аналитических отчетов и визуальный анализ</w:t>
      </w:r>
    </w:p>
    <w:p w:rsidR="00E92B86" w:rsidRPr="00E06755" w:rsidRDefault="00E92B86" w:rsidP="00E92B86">
      <w:pPr>
        <w:pStyle w:val="29"/>
      </w:pPr>
      <w:r w:rsidRPr="00E06755">
        <w:t>Настройка персонифицированных интерфейсов</w:t>
      </w:r>
    </w:p>
    <w:p w:rsidR="00E92B86" w:rsidRPr="00E06755" w:rsidRDefault="00E92B86" w:rsidP="00E92B86">
      <w:pPr>
        <w:pStyle w:val="29"/>
      </w:pPr>
      <w:r w:rsidRPr="00E06755">
        <w:t>Поисково-аналитическая функция</w:t>
      </w:r>
    </w:p>
    <w:p w:rsidR="00E92B86" w:rsidRPr="00E06755" w:rsidRDefault="00E92B86" w:rsidP="00DE1661">
      <w:pPr>
        <w:pStyle w:val="13"/>
      </w:pPr>
      <w:r w:rsidRPr="00E06755">
        <w:t>Мобильное приложение Подсистемы.</w:t>
      </w:r>
    </w:p>
    <w:p w:rsidR="00D55811" w:rsidRPr="00E06755" w:rsidRDefault="00D55811" w:rsidP="00D55811">
      <w:pPr>
        <w:pStyle w:val="26"/>
      </w:pPr>
      <w:bookmarkStart w:id="17" w:name="_Toc119585017"/>
      <w:r w:rsidRPr="00E06755">
        <w:t>Функциональные роли, выполняемые пользователем</w:t>
      </w:r>
      <w:bookmarkEnd w:id="17"/>
    </w:p>
    <w:p w:rsidR="009135A3" w:rsidRPr="00E06755" w:rsidRDefault="002F0DA5" w:rsidP="002F0DA5">
      <w:pPr>
        <w:pStyle w:val="35"/>
      </w:pPr>
      <w:bookmarkStart w:id="18" w:name="_Toc119585018"/>
      <w:r w:rsidRPr="00E06755">
        <w:t>Пользовател</w:t>
      </w:r>
      <w:r w:rsidR="009135A3" w:rsidRPr="00E06755">
        <w:t>и Подсистемы</w:t>
      </w:r>
      <w:bookmarkEnd w:id="18"/>
      <w:r w:rsidR="009135A3" w:rsidRPr="00E06755">
        <w:t xml:space="preserve"> </w:t>
      </w:r>
    </w:p>
    <w:p w:rsidR="002F0DA5" w:rsidRPr="00E06755" w:rsidRDefault="00335394" w:rsidP="002F0DA5">
      <w:pPr>
        <w:ind w:firstLine="567"/>
        <w:rPr>
          <w:sz w:val="28"/>
        </w:rPr>
      </w:pPr>
      <w:r>
        <w:rPr>
          <w:sz w:val="28"/>
        </w:rPr>
        <w:t>Выделены следующие категории пользователей Подсистемы:</w:t>
      </w:r>
    </w:p>
    <w:p w:rsidR="009135A3" w:rsidRPr="00E06755" w:rsidRDefault="009135A3" w:rsidP="00DE1661">
      <w:pPr>
        <w:pStyle w:val="13"/>
      </w:pPr>
      <w:r w:rsidRPr="00E06755">
        <w:t>Федерально</w:t>
      </w:r>
      <w:r w:rsidR="00250F03" w:rsidRPr="00E06755">
        <w:t>го</w:t>
      </w:r>
      <w:r w:rsidRPr="00E06755">
        <w:t xml:space="preserve"> казначейств</w:t>
      </w:r>
      <w:r w:rsidR="00250F03" w:rsidRPr="00E06755">
        <w:t>а</w:t>
      </w:r>
      <w:r w:rsidRPr="00E06755">
        <w:t>;</w:t>
      </w:r>
    </w:p>
    <w:p w:rsidR="00F37FF5" w:rsidRPr="00E06755" w:rsidRDefault="00F37FF5" w:rsidP="00DE1661">
      <w:pPr>
        <w:pStyle w:val="13"/>
      </w:pPr>
      <w:r w:rsidRPr="00E06755">
        <w:t>Федеральных органов исполнительной власти;</w:t>
      </w:r>
    </w:p>
    <w:p w:rsidR="009135A3" w:rsidRPr="00E06755" w:rsidRDefault="009135A3" w:rsidP="00DE1661">
      <w:pPr>
        <w:pStyle w:val="13"/>
      </w:pPr>
      <w:r w:rsidRPr="00E06755">
        <w:t>Министерств</w:t>
      </w:r>
      <w:r w:rsidR="00250F03" w:rsidRPr="00E06755">
        <w:t>а</w:t>
      </w:r>
      <w:r w:rsidRPr="00E06755">
        <w:t xml:space="preserve"> финансов Российской Федерации;</w:t>
      </w:r>
    </w:p>
    <w:p w:rsidR="009135A3" w:rsidRPr="00E06755" w:rsidRDefault="00250F03" w:rsidP="00DE1661">
      <w:pPr>
        <w:pStyle w:val="13"/>
      </w:pPr>
      <w:r w:rsidRPr="00E06755">
        <w:t>Финансовых органов</w:t>
      </w:r>
      <w:r w:rsidR="009135A3" w:rsidRPr="00E06755">
        <w:t xml:space="preserve"> субъектов Российской Федерации (муниципальных образований);</w:t>
      </w:r>
    </w:p>
    <w:p w:rsidR="006A45AA" w:rsidRDefault="006A45AA" w:rsidP="00DE1661">
      <w:pPr>
        <w:pStyle w:val="13"/>
      </w:pPr>
      <w:r>
        <w:t>Правительства Российской Федерации;</w:t>
      </w:r>
    </w:p>
    <w:p w:rsidR="0095698C" w:rsidRDefault="006A45AA" w:rsidP="00DE1661">
      <w:pPr>
        <w:pStyle w:val="13"/>
      </w:pPr>
      <w:r>
        <w:t>Контрольно-надзорных органов</w:t>
      </w:r>
      <w:r w:rsidR="001417FF">
        <w:t>;</w:t>
      </w:r>
    </w:p>
    <w:p w:rsidR="001417FF" w:rsidRPr="00E06755" w:rsidRDefault="001417FF" w:rsidP="00DE1661">
      <w:pPr>
        <w:pStyle w:val="13"/>
      </w:pPr>
      <w:r w:rsidRPr="001417FF">
        <w:t>Юридических лиц, получающих средства из бюджетной системы, в том числе подлежащие казначейскому сопровождению</w:t>
      </w:r>
      <w:r>
        <w:t>.</w:t>
      </w:r>
    </w:p>
    <w:p w:rsidR="0095698C" w:rsidRPr="00E06755" w:rsidRDefault="0095698C" w:rsidP="0001043A">
      <w:pPr>
        <w:ind w:firstLine="567"/>
        <w:rPr>
          <w:sz w:val="28"/>
        </w:rPr>
      </w:pPr>
      <w:r w:rsidRPr="00E06755">
        <w:rPr>
          <w:sz w:val="28"/>
        </w:rPr>
        <w:t>Для каждой категории пользователей разработан отдельный личный кабинет.</w:t>
      </w:r>
    </w:p>
    <w:p w:rsidR="0095698C" w:rsidRPr="00E06755" w:rsidRDefault="0095698C" w:rsidP="0001043A">
      <w:pPr>
        <w:ind w:firstLine="567"/>
        <w:rPr>
          <w:sz w:val="28"/>
        </w:rPr>
      </w:pPr>
      <w:r w:rsidRPr="00E06755">
        <w:rPr>
          <w:sz w:val="28"/>
        </w:rPr>
        <w:t>Для каждого личного кабинета разработаны отдельные функциональные роли, а также навигационные роли доступа к личному кабинету.</w:t>
      </w:r>
    </w:p>
    <w:p w:rsidR="00D55811" w:rsidRPr="00E06755" w:rsidRDefault="0095698C" w:rsidP="004661ED">
      <w:pPr>
        <w:pStyle w:val="46"/>
      </w:pPr>
      <w:r w:rsidRPr="00E06755">
        <w:t>Личный кабинет Федерального казначейства</w:t>
      </w:r>
      <w:r w:rsidR="009135A3" w:rsidRPr="00E06755">
        <w:t>:</w:t>
      </w:r>
    </w:p>
    <w:p w:rsidR="001825FA" w:rsidRPr="00E06755" w:rsidRDefault="001825FA" w:rsidP="00DE1661">
      <w:pPr>
        <w:pStyle w:val="13"/>
      </w:pPr>
      <w:r w:rsidRPr="00E06755">
        <w:t>ПИАО.</w:t>
      </w:r>
      <w:r w:rsidR="0095698C" w:rsidRPr="00E06755">
        <w:t>ФК – навигационная роль для доступа к личному кабинету (обязательное назначение);</w:t>
      </w:r>
    </w:p>
    <w:p w:rsidR="0095698C" w:rsidRPr="00E06755" w:rsidRDefault="0095698C" w:rsidP="00DE1661">
      <w:pPr>
        <w:pStyle w:val="13"/>
      </w:pPr>
      <w:r w:rsidRPr="00E06755">
        <w:t>ПИАО.ФК.000 Просмотр всего;</w:t>
      </w:r>
    </w:p>
    <w:p w:rsidR="0095698C" w:rsidRPr="00E06755" w:rsidRDefault="0095698C" w:rsidP="00DE1661">
      <w:pPr>
        <w:pStyle w:val="13"/>
      </w:pPr>
      <w:r w:rsidRPr="00E06755">
        <w:t>ПИАО.100 Кассовое планирование и прогнозирование;</w:t>
      </w:r>
    </w:p>
    <w:p w:rsidR="0095698C" w:rsidRPr="00E06755" w:rsidRDefault="0095698C" w:rsidP="00DE1661">
      <w:pPr>
        <w:pStyle w:val="13"/>
      </w:pPr>
      <w:r w:rsidRPr="00E06755">
        <w:t>ПИАО.200 Исполнение бюджетов;</w:t>
      </w:r>
    </w:p>
    <w:p w:rsidR="0095698C" w:rsidRPr="00E06755" w:rsidRDefault="0095698C" w:rsidP="00DE1661">
      <w:pPr>
        <w:pStyle w:val="13"/>
      </w:pPr>
      <w:r w:rsidRPr="00E06755">
        <w:t>ПИАО.300 НП и ГП;</w:t>
      </w:r>
    </w:p>
    <w:p w:rsidR="0095698C" w:rsidRPr="00E06755" w:rsidRDefault="0095698C" w:rsidP="00DE1661">
      <w:pPr>
        <w:pStyle w:val="13"/>
      </w:pPr>
      <w:r w:rsidRPr="00E06755">
        <w:t>ПИАО.400 Перечни и реестры;</w:t>
      </w:r>
    </w:p>
    <w:p w:rsidR="0095698C" w:rsidRPr="00E06755" w:rsidRDefault="0095698C" w:rsidP="00DE1661">
      <w:pPr>
        <w:pStyle w:val="13"/>
      </w:pPr>
      <w:r w:rsidRPr="00E06755">
        <w:t>ПИАО.500 Закупки;</w:t>
      </w:r>
    </w:p>
    <w:p w:rsidR="0095698C" w:rsidRPr="00E06755" w:rsidRDefault="0095698C" w:rsidP="00DE1661">
      <w:pPr>
        <w:pStyle w:val="13"/>
      </w:pPr>
      <w:r w:rsidRPr="00E06755">
        <w:t>ПИАО.600 Бюджетный учет;</w:t>
      </w:r>
    </w:p>
    <w:p w:rsidR="0095698C" w:rsidRPr="00E06755" w:rsidRDefault="0095698C" w:rsidP="00DE1661">
      <w:pPr>
        <w:pStyle w:val="13"/>
      </w:pPr>
      <w:r w:rsidRPr="00E06755">
        <w:t>ПИАО.700 Контроль и надзор;</w:t>
      </w:r>
    </w:p>
    <w:p w:rsidR="0095698C" w:rsidRPr="00E06755" w:rsidRDefault="0095698C" w:rsidP="00DE1661">
      <w:pPr>
        <w:pStyle w:val="13"/>
      </w:pPr>
      <w:r w:rsidRPr="00E06755">
        <w:t>ПИАО.800 Казначейское сопровождение;</w:t>
      </w:r>
    </w:p>
    <w:p w:rsidR="0095698C" w:rsidRPr="00E06755" w:rsidRDefault="0095698C" w:rsidP="00DE1661">
      <w:pPr>
        <w:pStyle w:val="13"/>
      </w:pPr>
      <w:r w:rsidRPr="00E06755">
        <w:t>ПИАО.900 Статистика госфинансов.</w:t>
      </w:r>
    </w:p>
    <w:p w:rsidR="0095698C" w:rsidRPr="00E06755" w:rsidRDefault="0095698C" w:rsidP="004661ED">
      <w:pPr>
        <w:pStyle w:val="46"/>
      </w:pPr>
      <w:r w:rsidRPr="00E06755">
        <w:t>Личный кабинет Министерства финансов Российской Федерации:</w:t>
      </w:r>
    </w:p>
    <w:p w:rsidR="009D6B67" w:rsidRPr="00E06755" w:rsidRDefault="009D6B67" w:rsidP="00DE1661">
      <w:pPr>
        <w:pStyle w:val="13"/>
      </w:pPr>
      <w:r w:rsidRPr="00E06755">
        <w:t>ПИАО.МФ – навигационная роль для доступа к личному кабинету (обязательное назначение);</w:t>
      </w:r>
    </w:p>
    <w:p w:rsidR="009D6B67" w:rsidRPr="00E06755" w:rsidRDefault="009D6B67" w:rsidP="00DE1661">
      <w:pPr>
        <w:pStyle w:val="13"/>
      </w:pPr>
      <w:r w:rsidRPr="00E06755">
        <w:t>ПИАО.МФ.002 Просмотр всего;</w:t>
      </w:r>
    </w:p>
    <w:p w:rsidR="009D6B67" w:rsidRPr="00E06755" w:rsidRDefault="009D6B67" w:rsidP="00DE1661">
      <w:pPr>
        <w:pStyle w:val="13"/>
      </w:pPr>
      <w:r w:rsidRPr="00E06755">
        <w:t xml:space="preserve">ПИАО.102 Кассовое планирование и </w:t>
      </w:r>
      <w:r w:rsidR="006456D2" w:rsidRPr="00E06755">
        <w:t>прогнозирование</w:t>
      </w:r>
      <w:r w:rsidRPr="00E06755">
        <w:t xml:space="preserve"> МФ;</w:t>
      </w:r>
    </w:p>
    <w:p w:rsidR="009D6B67" w:rsidRPr="00E06755" w:rsidRDefault="009D6B67" w:rsidP="00DE1661">
      <w:pPr>
        <w:pStyle w:val="13"/>
      </w:pPr>
      <w:r w:rsidRPr="00E06755">
        <w:t>ПИАО.202 Исполнение бюджета МФ;</w:t>
      </w:r>
    </w:p>
    <w:p w:rsidR="009D6B67" w:rsidRPr="00E06755" w:rsidRDefault="009D6B67" w:rsidP="00DE1661">
      <w:pPr>
        <w:pStyle w:val="13"/>
      </w:pPr>
      <w:r w:rsidRPr="00E06755">
        <w:t>ПИАО.302 НП и ГП МФ;</w:t>
      </w:r>
    </w:p>
    <w:p w:rsidR="009D6B67" w:rsidRPr="00E06755" w:rsidRDefault="009D6B67" w:rsidP="00DE1661">
      <w:pPr>
        <w:pStyle w:val="13"/>
      </w:pPr>
      <w:r w:rsidRPr="00E06755">
        <w:t>ПИАО.402 Перечни и реестры МФ;</w:t>
      </w:r>
    </w:p>
    <w:p w:rsidR="009D6B67" w:rsidRDefault="009D6B67" w:rsidP="00DE1661">
      <w:pPr>
        <w:pStyle w:val="13"/>
      </w:pPr>
      <w:r w:rsidRPr="00E06755">
        <w:t>ПИАО.502 Закупки МФ;</w:t>
      </w:r>
    </w:p>
    <w:p w:rsidR="00A13940" w:rsidRDefault="00A13940" w:rsidP="00DE1661">
      <w:pPr>
        <w:pStyle w:val="13"/>
      </w:pPr>
      <w:r w:rsidRPr="00A13940">
        <w:t>ПИАО.602 Бюджетный учет МФ</w:t>
      </w:r>
      <w:r>
        <w:t>;</w:t>
      </w:r>
    </w:p>
    <w:p w:rsidR="00A13940" w:rsidRPr="00E06755" w:rsidRDefault="00A13940" w:rsidP="00DE1661">
      <w:pPr>
        <w:pStyle w:val="13"/>
      </w:pPr>
      <w:r w:rsidRPr="00A13940">
        <w:t>ПИАО.702 Контроль и надзор МФ</w:t>
      </w:r>
      <w:r>
        <w:t>;</w:t>
      </w:r>
    </w:p>
    <w:p w:rsidR="009D6B67" w:rsidRPr="00E06755" w:rsidRDefault="009D6B67" w:rsidP="00DE1661">
      <w:pPr>
        <w:pStyle w:val="13"/>
      </w:pPr>
      <w:r w:rsidRPr="00E06755">
        <w:t>ПИАО.902 Статистика госфинансов МФ.</w:t>
      </w:r>
    </w:p>
    <w:p w:rsidR="0095698C" w:rsidRPr="00E06755" w:rsidRDefault="0095698C" w:rsidP="004661ED">
      <w:pPr>
        <w:pStyle w:val="46"/>
      </w:pPr>
      <w:r w:rsidRPr="00E06755">
        <w:t>Личный кабинет Федеральных органов исполнительной власти:</w:t>
      </w:r>
    </w:p>
    <w:p w:rsidR="009D6B67" w:rsidRPr="00E06755" w:rsidRDefault="009D6B67" w:rsidP="00DE1661">
      <w:pPr>
        <w:pStyle w:val="13"/>
      </w:pPr>
      <w:r w:rsidRPr="00E06755">
        <w:t>ПИАО.ФОИВ – навигационная роль для доступа к личному кабинету (обязательное назначение);</w:t>
      </w:r>
    </w:p>
    <w:p w:rsidR="009D6B67" w:rsidRPr="00E06755" w:rsidRDefault="009D6B67" w:rsidP="00DE1661">
      <w:pPr>
        <w:pStyle w:val="13"/>
      </w:pPr>
      <w:r w:rsidRPr="00E06755">
        <w:t>ПИАО.ФОИВ.001 Просмотр всего;</w:t>
      </w:r>
    </w:p>
    <w:p w:rsidR="009D6B67" w:rsidRPr="00E06755" w:rsidRDefault="009D6B67" w:rsidP="00DE1661">
      <w:pPr>
        <w:pStyle w:val="13"/>
      </w:pPr>
      <w:r w:rsidRPr="00E06755">
        <w:t>ПИАО.101 Кассовое планирование и прогнозирование ФОИВ;</w:t>
      </w:r>
    </w:p>
    <w:p w:rsidR="009D6B67" w:rsidRPr="00E06755" w:rsidRDefault="009D6B67" w:rsidP="00DE1661">
      <w:pPr>
        <w:pStyle w:val="13"/>
      </w:pPr>
      <w:r w:rsidRPr="00E06755">
        <w:t>ПИАО.201 Исполнение бюджета ФОИВ;</w:t>
      </w:r>
    </w:p>
    <w:p w:rsidR="009D6B67" w:rsidRPr="00E06755" w:rsidRDefault="009D6B67" w:rsidP="00DE1661">
      <w:pPr>
        <w:pStyle w:val="13"/>
      </w:pPr>
      <w:r w:rsidRPr="00E06755">
        <w:t>ПИАО.301 НП и ГП ФОИВ;</w:t>
      </w:r>
    </w:p>
    <w:p w:rsidR="009D6B67" w:rsidRPr="00E06755" w:rsidRDefault="009D6B67" w:rsidP="00DE1661">
      <w:pPr>
        <w:pStyle w:val="13"/>
      </w:pPr>
      <w:r w:rsidRPr="00E06755">
        <w:t>ПИАО.401 Перечни и реестры ФОИВ;</w:t>
      </w:r>
    </w:p>
    <w:p w:rsidR="009D6B67" w:rsidRPr="00E06755" w:rsidRDefault="009D6B67" w:rsidP="00DE1661">
      <w:pPr>
        <w:pStyle w:val="13"/>
      </w:pPr>
      <w:r w:rsidRPr="00E06755">
        <w:t>ПИАО.501 Закупки ФОИВ;</w:t>
      </w:r>
    </w:p>
    <w:p w:rsidR="009D6B67" w:rsidRDefault="009D6B67" w:rsidP="00DE1661">
      <w:pPr>
        <w:pStyle w:val="13"/>
      </w:pPr>
      <w:r w:rsidRPr="00E06755">
        <w:t>ПИАО.601 Бюджетный учет ФОИВ;</w:t>
      </w:r>
    </w:p>
    <w:p w:rsidR="00A13940" w:rsidRPr="00E06755" w:rsidRDefault="00A13940" w:rsidP="00DE1661">
      <w:pPr>
        <w:pStyle w:val="13"/>
      </w:pPr>
      <w:r w:rsidRPr="00A13940">
        <w:t>ПИАО.701 Контроль и надзор ФОИВ</w:t>
      </w:r>
      <w:r>
        <w:t>;</w:t>
      </w:r>
    </w:p>
    <w:p w:rsidR="009D6B67" w:rsidRDefault="009D6B67" w:rsidP="00DE1661">
      <w:pPr>
        <w:pStyle w:val="13"/>
      </w:pPr>
      <w:r w:rsidRPr="00E06755">
        <w:t xml:space="preserve">ПИАО.801 </w:t>
      </w:r>
      <w:r w:rsidR="00A13940">
        <w:t>Казначейское сопровождение ФОИВ;</w:t>
      </w:r>
    </w:p>
    <w:p w:rsidR="00A13940" w:rsidRPr="00E06755" w:rsidRDefault="00A13940" w:rsidP="00DE1661">
      <w:pPr>
        <w:pStyle w:val="13"/>
      </w:pPr>
      <w:r w:rsidRPr="00A13940">
        <w:t>ПИАО.901 Статистика госфинансов  ФОИВ</w:t>
      </w:r>
      <w:r>
        <w:t>.</w:t>
      </w:r>
    </w:p>
    <w:p w:rsidR="009D6B67" w:rsidRPr="00E06755" w:rsidRDefault="001D0B07" w:rsidP="004661ED">
      <w:pPr>
        <w:pStyle w:val="46"/>
      </w:pPr>
      <w:r w:rsidRPr="00E06755">
        <w:t>Личный кабинет Финансовых органов субъектов Российской Федерации (муниципальных образований):</w:t>
      </w:r>
    </w:p>
    <w:p w:rsidR="001D0B07" w:rsidRPr="00E06755" w:rsidRDefault="001D0B07" w:rsidP="00DE1661">
      <w:pPr>
        <w:pStyle w:val="13"/>
      </w:pPr>
      <w:r w:rsidRPr="00E06755">
        <w:t>ПИАО.ФО – навигационная роль для доступа к личному кабинету (обязательное назначение);</w:t>
      </w:r>
    </w:p>
    <w:p w:rsidR="001D0B07" w:rsidRPr="00E06755" w:rsidRDefault="001D0B07" w:rsidP="00DE1661">
      <w:pPr>
        <w:pStyle w:val="13"/>
      </w:pPr>
      <w:r w:rsidRPr="00E06755">
        <w:t>ПИАО.ФО.003 Просмотр всего;</w:t>
      </w:r>
    </w:p>
    <w:p w:rsidR="001D0B07" w:rsidRPr="00E06755" w:rsidRDefault="001D0B07" w:rsidP="00DE1661">
      <w:pPr>
        <w:pStyle w:val="13"/>
      </w:pPr>
      <w:r w:rsidRPr="00E06755">
        <w:t>ПИАО.203 Исполнение бюджета ФО;</w:t>
      </w:r>
    </w:p>
    <w:p w:rsidR="001D0B07" w:rsidRPr="00E06755" w:rsidRDefault="001D0B07" w:rsidP="00DE1661">
      <w:pPr>
        <w:pStyle w:val="13"/>
      </w:pPr>
      <w:r w:rsidRPr="00E06755">
        <w:t>ПИАО.303 НП и ГП ФО;</w:t>
      </w:r>
    </w:p>
    <w:p w:rsidR="001D0B07" w:rsidRPr="00E06755" w:rsidRDefault="001D0B07" w:rsidP="00DE1661">
      <w:pPr>
        <w:pStyle w:val="13"/>
      </w:pPr>
      <w:r w:rsidRPr="00E06755">
        <w:t>ПИАО.403 Перечни и реестры ФО;</w:t>
      </w:r>
    </w:p>
    <w:p w:rsidR="001D0B07" w:rsidRDefault="00A13940" w:rsidP="00DE1661">
      <w:pPr>
        <w:pStyle w:val="13"/>
      </w:pPr>
      <w:r>
        <w:t>ПИАО.503 Закупки МФ;</w:t>
      </w:r>
    </w:p>
    <w:p w:rsidR="00A13940" w:rsidRDefault="00A13940" w:rsidP="00DE1661">
      <w:pPr>
        <w:pStyle w:val="13"/>
      </w:pPr>
      <w:r>
        <w:t>ПИАО.803.Полный доступ Казначейское сопровождение ФО;</w:t>
      </w:r>
    </w:p>
    <w:p w:rsidR="00A13940" w:rsidRDefault="00A13940" w:rsidP="00DE1661">
      <w:pPr>
        <w:pStyle w:val="13"/>
      </w:pPr>
      <w:r>
        <w:t>ПИАО.803.Казначейское сопровождение ФО.</w:t>
      </w:r>
    </w:p>
    <w:p w:rsidR="00991F96" w:rsidRPr="00E06755" w:rsidRDefault="00991F96" w:rsidP="00991F96">
      <w:pPr>
        <w:pStyle w:val="46"/>
      </w:pPr>
      <w:r>
        <w:t>Личный кабин</w:t>
      </w:r>
      <w:r w:rsidR="00615666">
        <w:t>ет</w:t>
      </w:r>
      <w:r>
        <w:t xml:space="preserve"> Контрольно-надзорных органов</w:t>
      </w:r>
      <w:r w:rsidRPr="00E06755">
        <w:t>:</w:t>
      </w:r>
    </w:p>
    <w:p w:rsidR="00991F96" w:rsidRPr="00E06755" w:rsidRDefault="002E0946" w:rsidP="00DE1661">
      <w:pPr>
        <w:pStyle w:val="13"/>
      </w:pPr>
      <w:r w:rsidRPr="002E0946">
        <w:t>ПИАО.КНО</w:t>
      </w:r>
      <w:r w:rsidR="00991F96" w:rsidRPr="00E06755">
        <w:t xml:space="preserve"> – навигационная роль для доступа к личному кабинету (обязательное назначение);</w:t>
      </w:r>
    </w:p>
    <w:p w:rsidR="00991F96" w:rsidRDefault="002E0946" w:rsidP="00DE1661">
      <w:pPr>
        <w:pStyle w:val="13"/>
      </w:pPr>
      <w:r w:rsidRPr="002E0946">
        <w:t>ПИАО.КНО.004 Просмотр всего</w:t>
      </w:r>
      <w:r w:rsidR="00991F96" w:rsidRPr="00E06755">
        <w:t>;</w:t>
      </w:r>
    </w:p>
    <w:p w:rsidR="002E0946" w:rsidRPr="00E06755" w:rsidRDefault="002E0946" w:rsidP="00DE1661">
      <w:pPr>
        <w:pStyle w:val="13"/>
      </w:pPr>
      <w:r w:rsidRPr="002E0946">
        <w:t>ПИАО.104 Касс</w:t>
      </w:r>
      <w:r>
        <w:t>овое планирование и прогнозиров</w:t>
      </w:r>
      <w:r w:rsidRPr="002E0946">
        <w:t>а</w:t>
      </w:r>
      <w:r>
        <w:t>н</w:t>
      </w:r>
      <w:r w:rsidRPr="002E0946">
        <w:t>ие КНО</w:t>
      </w:r>
    </w:p>
    <w:p w:rsidR="00991F96" w:rsidRPr="00E06755" w:rsidRDefault="002E0946" w:rsidP="00DE1661">
      <w:pPr>
        <w:pStyle w:val="13"/>
      </w:pPr>
      <w:r w:rsidRPr="002E0946">
        <w:t>ПИАО.204 Исполнение бюджета КНО</w:t>
      </w:r>
      <w:r w:rsidR="00991F96" w:rsidRPr="00E06755">
        <w:t>;</w:t>
      </w:r>
    </w:p>
    <w:p w:rsidR="00991F96" w:rsidRPr="00E06755" w:rsidRDefault="002E0946" w:rsidP="00DE1661">
      <w:pPr>
        <w:pStyle w:val="13"/>
      </w:pPr>
      <w:r w:rsidRPr="002E0946">
        <w:t>ПИАО.304 НП и ГП КНО</w:t>
      </w:r>
      <w:r w:rsidR="00991F96" w:rsidRPr="00E06755">
        <w:t>;</w:t>
      </w:r>
    </w:p>
    <w:p w:rsidR="00991F96" w:rsidRPr="00E06755" w:rsidRDefault="002E0946" w:rsidP="00DE1661">
      <w:pPr>
        <w:pStyle w:val="13"/>
      </w:pPr>
      <w:r w:rsidRPr="002E0946">
        <w:t>ПИАО.404 Перечни и реестры КНО</w:t>
      </w:r>
      <w:r w:rsidR="00991F96" w:rsidRPr="00E06755">
        <w:t>;</w:t>
      </w:r>
    </w:p>
    <w:p w:rsidR="00991F96" w:rsidRPr="00E06755" w:rsidRDefault="002E0946" w:rsidP="00DE1661">
      <w:pPr>
        <w:pStyle w:val="13"/>
      </w:pPr>
      <w:r w:rsidRPr="002E0946">
        <w:t>ПИАО.504 Закупки КНО</w:t>
      </w:r>
      <w:r w:rsidR="00991F96" w:rsidRPr="00E06755">
        <w:t>;</w:t>
      </w:r>
    </w:p>
    <w:p w:rsidR="00991F96" w:rsidRPr="00E06755" w:rsidRDefault="002E0946" w:rsidP="00DE1661">
      <w:pPr>
        <w:pStyle w:val="13"/>
      </w:pPr>
      <w:r w:rsidRPr="002E0946">
        <w:t>ПИАО.604 Бюджетный учет КНО</w:t>
      </w:r>
      <w:r w:rsidR="00991F96" w:rsidRPr="00E06755">
        <w:t>;</w:t>
      </w:r>
    </w:p>
    <w:p w:rsidR="00991F96" w:rsidRDefault="002E0946" w:rsidP="00DE1661">
      <w:pPr>
        <w:pStyle w:val="13"/>
      </w:pPr>
      <w:r w:rsidRPr="002E0946">
        <w:t>ПИАО.804 Казначейское сопровождение КНО</w:t>
      </w:r>
      <w:r w:rsidR="00456F65">
        <w:t>;</w:t>
      </w:r>
    </w:p>
    <w:p w:rsidR="00456F65" w:rsidRDefault="00456F65" w:rsidP="00DE1661">
      <w:pPr>
        <w:pStyle w:val="13"/>
      </w:pPr>
      <w:r w:rsidRPr="00456F65">
        <w:t>ПИАО.904 Статистика госфинансов КНО</w:t>
      </w:r>
      <w:r>
        <w:t>.</w:t>
      </w:r>
    </w:p>
    <w:p w:rsidR="00615666" w:rsidRPr="00E06755" w:rsidRDefault="00615666" w:rsidP="00615666">
      <w:pPr>
        <w:pStyle w:val="46"/>
      </w:pPr>
      <w:r>
        <w:t>Личный кабинет Правительства</w:t>
      </w:r>
      <w:r w:rsidRPr="00E06755">
        <w:t>:</w:t>
      </w:r>
    </w:p>
    <w:p w:rsidR="00615666" w:rsidRPr="00E06755" w:rsidRDefault="00615666" w:rsidP="00DE1661">
      <w:pPr>
        <w:pStyle w:val="13"/>
      </w:pPr>
      <w:r w:rsidRPr="002E0946">
        <w:t>ПИАО.</w:t>
      </w:r>
      <w:r w:rsidR="00BB1558">
        <w:t>ПРАВИТЕЛЬСТВО</w:t>
      </w:r>
      <w:r w:rsidR="00BB1558" w:rsidRPr="00E06755">
        <w:t xml:space="preserve"> </w:t>
      </w:r>
      <w:r w:rsidRPr="00E06755">
        <w:t>– навигационная роль для доступа к личному кабинету (обязательное назначение);</w:t>
      </w:r>
    </w:p>
    <w:p w:rsidR="00615666" w:rsidRDefault="00080D13" w:rsidP="00DE1661">
      <w:pPr>
        <w:pStyle w:val="13"/>
      </w:pPr>
      <w:r>
        <w:t>ПИАО.</w:t>
      </w:r>
      <w:r w:rsidR="006B53DD">
        <w:t>ПРАВИТЕЛЬСТВО</w:t>
      </w:r>
      <w:r>
        <w:t>.005</w:t>
      </w:r>
      <w:r w:rsidR="00615666" w:rsidRPr="002E0946">
        <w:t xml:space="preserve"> Просмотр всего</w:t>
      </w:r>
      <w:r w:rsidR="00615666" w:rsidRPr="00E06755">
        <w:t>;</w:t>
      </w:r>
    </w:p>
    <w:p w:rsidR="00BB1558" w:rsidRDefault="00BB1558" w:rsidP="00DE1661">
      <w:pPr>
        <w:pStyle w:val="13"/>
      </w:pPr>
      <w:r>
        <w:t>ПИАО.205 Исполнение бюджета ПРАВИТЕЛЬСТВО;</w:t>
      </w:r>
    </w:p>
    <w:p w:rsidR="00BB1558" w:rsidRDefault="00BB1558" w:rsidP="00DE1661">
      <w:pPr>
        <w:pStyle w:val="13"/>
      </w:pPr>
      <w:r>
        <w:t>ПИАО.305 НП и ГП ПРАВИТЕЛЬСТВО;</w:t>
      </w:r>
    </w:p>
    <w:p w:rsidR="00BB1558" w:rsidRDefault="00BB1558" w:rsidP="00DE1661">
      <w:pPr>
        <w:pStyle w:val="13"/>
      </w:pPr>
      <w:r>
        <w:t>ПИАО.405 Перечни и реестры ПРАВИТЕЛЬСТВО;</w:t>
      </w:r>
    </w:p>
    <w:p w:rsidR="00BB1558" w:rsidRDefault="00BB1558" w:rsidP="00DE1661">
      <w:pPr>
        <w:pStyle w:val="13"/>
      </w:pPr>
      <w:r>
        <w:t>ПИАО.605 Бюджетный учет ПРАВИТЕЛЬСТВО;</w:t>
      </w:r>
    </w:p>
    <w:p w:rsidR="00BB1558" w:rsidRDefault="00BB1558" w:rsidP="00DE1661">
      <w:pPr>
        <w:pStyle w:val="13"/>
      </w:pPr>
      <w:r>
        <w:t>ПИАО.705 Контроль и надзор ПРАВИТЕЛЬСТВО;</w:t>
      </w:r>
    </w:p>
    <w:p w:rsidR="00615666" w:rsidRPr="00E06755" w:rsidRDefault="00BB1558" w:rsidP="00DE1661">
      <w:pPr>
        <w:pStyle w:val="13"/>
      </w:pPr>
      <w:r>
        <w:t>ПИАО.905 Статистика госфинансов  ПРАВИТЕЛЬСТВО</w:t>
      </w:r>
      <w:r w:rsidR="00080D13">
        <w:t>.</w:t>
      </w:r>
    </w:p>
    <w:p w:rsidR="000B343F" w:rsidRPr="00E06755" w:rsidRDefault="000B343F" w:rsidP="000B343F">
      <w:pPr>
        <w:pStyle w:val="46"/>
      </w:pPr>
      <w:r>
        <w:t>Личный кабинет Партийный проект</w:t>
      </w:r>
      <w:r w:rsidRPr="00E06755">
        <w:t>:</w:t>
      </w:r>
    </w:p>
    <w:p w:rsidR="000B343F" w:rsidRPr="00E06755" w:rsidRDefault="000B343F" w:rsidP="00DE1661">
      <w:pPr>
        <w:pStyle w:val="13"/>
      </w:pPr>
      <w:r w:rsidRPr="002E0946">
        <w:t>ПИАО.</w:t>
      </w:r>
      <w:r w:rsidR="00AB16F6" w:rsidRPr="00AB16F6">
        <w:t>ПАРТИЙНЫЙ ПРОЕКТ</w:t>
      </w:r>
      <w:r w:rsidR="00AB16F6" w:rsidRPr="00E06755">
        <w:t xml:space="preserve"> </w:t>
      </w:r>
      <w:r w:rsidRPr="00E06755">
        <w:t>– навигационная роль для доступа к личному кабинету (обязательное назначение);</w:t>
      </w:r>
    </w:p>
    <w:p w:rsidR="000B343F" w:rsidRDefault="000B343F" w:rsidP="00DE1661">
      <w:pPr>
        <w:pStyle w:val="13"/>
      </w:pPr>
      <w:r>
        <w:t>ПИАО.</w:t>
      </w:r>
      <w:r w:rsidR="00AB16F6" w:rsidRPr="00AB16F6">
        <w:t>ПАРТИЙНЫЙ ПРОЕКТ</w:t>
      </w:r>
      <w:r>
        <w:t>.006</w:t>
      </w:r>
      <w:r w:rsidRPr="002E0946">
        <w:t xml:space="preserve"> Просмотр всего</w:t>
      </w:r>
      <w:r w:rsidRPr="00E06755">
        <w:t>;</w:t>
      </w:r>
    </w:p>
    <w:p w:rsidR="00AB16F6" w:rsidRDefault="00AB16F6" w:rsidP="00DE1661">
      <w:pPr>
        <w:pStyle w:val="13"/>
      </w:pPr>
      <w:r w:rsidRPr="00AB16F6">
        <w:t>ПИАО.206 Исполнение бюджета ПАРТИЙНЫЙ ПРОЕКТ</w:t>
      </w:r>
      <w:r>
        <w:t>.</w:t>
      </w:r>
    </w:p>
    <w:p w:rsidR="006C3DB3" w:rsidRPr="00E06755" w:rsidRDefault="006C3DB3" w:rsidP="006C3DB3">
      <w:pPr>
        <w:pStyle w:val="46"/>
      </w:pPr>
      <w:r>
        <w:t xml:space="preserve">Личный кабинет </w:t>
      </w:r>
      <w:r w:rsidRPr="001417FF">
        <w:t>Юридических лиц, получающих средства из бюджетной системы, в том числе подлежащие казначейскому сопровождению</w:t>
      </w:r>
      <w:r w:rsidRPr="00E06755">
        <w:t>:</w:t>
      </w:r>
    </w:p>
    <w:p w:rsidR="006C3DB3" w:rsidRPr="00E06755" w:rsidRDefault="006C3DB3" w:rsidP="00DE1661">
      <w:pPr>
        <w:pStyle w:val="13"/>
      </w:pPr>
      <w:r w:rsidRPr="002E0946">
        <w:t>ПИАО.</w:t>
      </w:r>
      <w:r>
        <w:t>ЮР.ЛИЦА</w:t>
      </w:r>
      <w:r w:rsidRPr="00E06755">
        <w:t xml:space="preserve"> – навигационная роль для доступа к личному кабинету (обязательное назначение);</w:t>
      </w:r>
    </w:p>
    <w:p w:rsidR="006C3DB3" w:rsidRDefault="006C3DB3" w:rsidP="00DE1661">
      <w:pPr>
        <w:pStyle w:val="13"/>
      </w:pPr>
      <w:r w:rsidRPr="006C3DB3">
        <w:t>ПИАО.ЮРИДИЧЕСКИЕ ЛИЦА.007 Просмотр всего</w:t>
      </w:r>
      <w:r w:rsidRPr="00E06755">
        <w:t>;</w:t>
      </w:r>
    </w:p>
    <w:p w:rsidR="005E2CD5" w:rsidRDefault="009135A3" w:rsidP="0095698C">
      <w:pPr>
        <w:pStyle w:val="af0"/>
      </w:pPr>
      <w:r w:rsidRPr="00E06755">
        <w:t>Ролевая матрица доступа</w:t>
      </w:r>
      <w:r w:rsidR="00524A95" w:rsidRPr="00E06755">
        <w:t xml:space="preserve"> к информационным витринам данных</w:t>
      </w:r>
      <w:r w:rsidRPr="00E06755">
        <w:t xml:space="preserve"> представлена в </w:t>
      </w:r>
      <w:r w:rsidR="005E2CD5">
        <w:t>п.</w:t>
      </w:r>
      <w:r w:rsidR="005E2CD5">
        <w:fldChar w:fldCharType="begin"/>
      </w:r>
      <w:r w:rsidR="005E2CD5">
        <w:instrText xml:space="preserve"> REF _Ref19956532 \r \h </w:instrText>
      </w:r>
      <w:r w:rsidR="005E2CD5">
        <w:fldChar w:fldCharType="separate"/>
      </w:r>
      <w:r w:rsidR="00BF0BEE">
        <w:t>2.1</w:t>
      </w:r>
      <w:r w:rsidR="005E2CD5">
        <w:fldChar w:fldCharType="end"/>
      </w:r>
      <w:r w:rsidR="000E4A31">
        <w:t>.</w:t>
      </w:r>
    </w:p>
    <w:p w:rsidR="00524A95" w:rsidRPr="00E06755" w:rsidRDefault="00524A95" w:rsidP="004661ED">
      <w:pPr>
        <w:pStyle w:val="35"/>
      </w:pPr>
      <w:bookmarkStart w:id="19" w:name="_Toc119585019"/>
      <w:r w:rsidRPr="00E06755">
        <w:t>Пользователи мобильного приложения</w:t>
      </w:r>
      <w:bookmarkEnd w:id="19"/>
    </w:p>
    <w:p w:rsidR="00524A95" w:rsidRPr="00E06755" w:rsidRDefault="00524A95" w:rsidP="00524A95">
      <w:pPr>
        <w:pStyle w:val="af0"/>
      </w:pPr>
      <w:r w:rsidRPr="00E06755">
        <w:t>Для доступа к функционалу мобильного приложения пользователь должен обладать ролью:</w:t>
      </w:r>
    </w:p>
    <w:p w:rsidR="00524A95" w:rsidRPr="00E06755" w:rsidRDefault="00524A95" w:rsidP="00DE1661">
      <w:pPr>
        <w:pStyle w:val="13"/>
      </w:pPr>
      <w:r w:rsidRPr="00E06755">
        <w:t>ПИАО.013 Доступ к мобильному приложению.</w:t>
      </w:r>
    </w:p>
    <w:p w:rsidR="004661ED" w:rsidRPr="00E06755" w:rsidRDefault="004661ED" w:rsidP="004661ED">
      <w:pPr>
        <w:pStyle w:val="35"/>
      </w:pPr>
      <w:bookmarkStart w:id="20" w:name="_Ref25656231"/>
      <w:bookmarkStart w:id="21" w:name="_Toc119585020"/>
      <w:r w:rsidRPr="00E06755">
        <w:t>Администраторы Подсистемы</w:t>
      </w:r>
      <w:bookmarkEnd w:id="20"/>
      <w:bookmarkEnd w:id="21"/>
    </w:p>
    <w:p w:rsidR="004661ED" w:rsidRPr="00E06755" w:rsidRDefault="004661ED" w:rsidP="00663B54">
      <w:pPr>
        <w:pStyle w:val="af0"/>
      </w:pPr>
      <w:r w:rsidRPr="00E06755">
        <w:t>Администраторами Подсистемы являются сотрудники</w:t>
      </w:r>
      <w:r w:rsidR="00663B54" w:rsidRPr="00E06755">
        <w:t xml:space="preserve"> Отдела администрирования системы управления эксплуатацией и ситуационного центра Федерального казенного учреждения «Центр по обеспечению деятельности Казначейства России»</w:t>
      </w:r>
      <w:r w:rsidR="00524A95" w:rsidRPr="00E06755">
        <w:t>.</w:t>
      </w:r>
    </w:p>
    <w:p w:rsidR="00524A95" w:rsidRPr="00E06755" w:rsidRDefault="00524A95" w:rsidP="00663B54">
      <w:pPr>
        <w:pStyle w:val="af0"/>
      </w:pPr>
      <w:r w:rsidRPr="00E06755">
        <w:t>Административные роли:</w:t>
      </w:r>
    </w:p>
    <w:p w:rsidR="00524A95" w:rsidRPr="00E06755" w:rsidRDefault="00524A95" w:rsidP="00DE1661">
      <w:pPr>
        <w:pStyle w:val="13"/>
      </w:pPr>
      <w:r w:rsidRPr="00E06755">
        <w:t>ПИАО.009 Просмотр всего;</w:t>
      </w:r>
    </w:p>
    <w:p w:rsidR="00524A95" w:rsidRPr="00E06755" w:rsidRDefault="00524A95" w:rsidP="00DE1661">
      <w:pPr>
        <w:pStyle w:val="13"/>
      </w:pPr>
      <w:r w:rsidRPr="00E06755">
        <w:t>ПИАО.011 Администратор.</w:t>
      </w:r>
    </w:p>
    <w:p w:rsidR="00D55811" w:rsidRPr="00E06755" w:rsidRDefault="00D55811" w:rsidP="00D55811">
      <w:pPr>
        <w:pStyle w:val="26"/>
      </w:pPr>
      <w:bookmarkStart w:id="22" w:name="_Toc119585021"/>
      <w:r w:rsidRPr="00E06755">
        <w:t>Необходимый уровень подготовки пользователя</w:t>
      </w:r>
      <w:bookmarkEnd w:id="22"/>
    </w:p>
    <w:p w:rsidR="00D21042" w:rsidRPr="00E06755" w:rsidRDefault="00D21042" w:rsidP="0001043A">
      <w:pPr>
        <w:pStyle w:val="afffc"/>
        <w:ind w:firstLine="567"/>
      </w:pPr>
      <w:r w:rsidRPr="00E06755">
        <w:t>Пользователь должен обладать:</w:t>
      </w:r>
    </w:p>
    <w:p w:rsidR="00D21042" w:rsidRPr="00E06755" w:rsidRDefault="00D21042" w:rsidP="00DE1661">
      <w:pPr>
        <w:pStyle w:val="13"/>
      </w:pPr>
      <w:r w:rsidRPr="00E06755">
        <w:t>высоким уровнем квалификации и практическим опытом выполнения работ по информационному наполнению</w:t>
      </w:r>
      <w:r w:rsidR="00976CDA" w:rsidRPr="00E06755">
        <w:t xml:space="preserve"> ПИАО</w:t>
      </w:r>
      <w:r w:rsidRPr="00E06755">
        <w:t>;</w:t>
      </w:r>
    </w:p>
    <w:p w:rsidR="00D21042" w:rsidRPr="00E06755" w:rsidRDefault="00D21042" w:rsidP="00DE1661">
      <w:pPr>
        <w:pStyle w:val="13"/>
      </w:pPr>
      <w:r w:rsidRPr="00E06755">
        <w:t>обладать навыками работы с интернет-браузерами.</w:t>
      </w:r>
    </w:p>
    <w:p w:rsidR="00AF29AF" w:rsidRPr="00E06755" w:rsidRDefault="00D21042" w:rsidP="00D21042">
      <w:pPr>
        <w:spacing w:before="120" w:after="120"/>
        <w:ind w:firstLine="567"/>
        <w:rPr>
          <w:sz w:val="28"/>
          <w:szCs w:val="28"/>
        </w:rPr>
      </w:pPr>
      <w:r w:rsidRPr="00E06755">
        <w:rPr>
          <w:rStyle w:val="afffd"/>
        </w:rPr>
        <w:t>Каждый пользователь в соответствии со своими правами должен обладать необходимыми знаниями в предметной области для корректной работы с предоставляемой информацией</w:t>
      </w:r>
      <w:r w:rsidRPr="00E06755">
        <w:rPr>
          <w:sz w:val="28"/>
          <w:szCs w:val="28"/>
        </w:rPr>
        <w:t>.</w:t>
      </w:r>
    </w:p>
    <w:p w:rsidR="00D55811" w:rsidRPr="00E06755" w:rsidRDefault="00D55811" w:rsidP="00D55811">
      <w:pPr>
        <w:pStyle w:val="26"/>
      </w:pPr>
      <w:bookmarkStart w:id="23" w:name="_Toc119585022"/>
      <w:r w:rsidRPr="00E06755">
        <w:t>Перечень документации, с которой необходимо ознакомиться пользователю</w:t>
      </w:r>
      <w:bookmarkEnd w:id="23"/>
    </w:p>
    <w:p w:rsidR="00237A6E" w:rsidRPr="00E06755" w:rsidRDefault="00AF6201" w:rsidP="00237A6E">
      <w:pPr>
        <w:pStyle w:val="af0"/>
        <w:rPr>
          <w:color w:val="auto"/>
        </w:rPr>
      </w:pPr>
      <w:r w:rsidRPr="00E06755">
        <w:rPr>
          <w:color w:val="auto"/>
        </w:rPr>
        <w:t>Перед началом</w:t>
      </w:r>
      <w:r w:rsidR="00981B96" w:rsidRPr="00E06755">
        <w:rPr>
          <w:color w:val="auto"/>
        </w:rPr>
        <w:t xml:space="preserve"> работы</w:t>
      </w:r>
      <w:r w:rsidRPr="00E06755">
        <w:rPr>
          <w:color w:val="auto"/>
        </w:rPr>
        <w:t xml:space="preserve"> необходимо ознакомиться с документом </w:t>
      </w:r>
      <w:r w:rsidR="00976CDA" w:rsidRPr="00E06755">
        <w:rPr>
          <w:color w:val="auto"/>
        </w:rPr>
        <w:t>«Технологическая инструкция (регламент) работы</w:t>
      </w:r>
      <w:r w:rsidR="003706A8" w:rsidRPr="00E06755">
        <w:rPr>
          <w:color w:val="auto"/>
        </w:rPr>
        <w:t xml:space="preserve"> с подсистемой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sidR="00976CDA" w:rsidRPr="00E06755">
        <w:rPr>
          <w:color w:val="auto"/>
        </w:rPr>
        <w:t>»</w:t>
      </w:r>
      <w:r w:rsidRPr="00E06755">
        <w:rPr>
          <w:color w:val="auto"/>
        </w:rPr>
        <w:t xml:space="preserve"> (код документа </w:t>
      </w:r>
      <w:r w:rsidR="00C54825" w:rsidRPr="00C54825">
        <w:rPr>
          <w:color w:val="auto"/>
        </w:rPr>
        <w:t>30275697.20.11,00.ЭБ21.001-0</w:t>
      </w:r>
      <w:r w:rsidR="003E6C63">
        <w:rPr>
          <w:color w:val="auto"/>
        </w:rPr>
        <w:t>5</w:t>
      </w:r>
      <w:r w:rsidR="00C54825" w:rsidRPr="00C54825">
        <w:rPr>
          <w:color w:val="auto"/>
        </w:rPr>
        <w:t>.0</w:t>
      </w:r>
      <w:r w:rsidR="003E6C63">
        <w:rPr>
          <w:color w:val="auto"/>
        </w:rPr>
        <w:t>0</w:t>
      </w:r>
      <w:r w:rsidR="00C54825" w:rsidRPr="00C54825">
        <w:rPr>
          <w:color w:val="auto"/>
        </w:rPr>
        <w:t xml:space="preserve"> 1(4,8)</w:t>
      </w:r>
      <w:r w:rsidR="00904D28">
        <w:rPr>
          <w:color w:val="auto"/>
        </w:rPr>
        <w:t>)</w:t>
      </w:r>
      <w:r w:rsidR="00D148E7">
        <w:rPr>
          <w:color w:val="auto"/>
        </w:rPr>
        <w:t>.</w:t>
      </w:r>
    </w:p>
    <w:p w:rsidR="00D55811" w:rsidRPr="00E06755" w:rsidRDefault="00D55811" w:rsidP="00237A6E">
      <w:pPr>
        <w:pStyle w:val="26"/>
      </w:pPr>
      <w:bookmarkStart w:id="24" w:name="_Ref88566015"/>
      <w:bookmarkStart w:id="25" w:name="_Toc119585023"/>
      <w:r w:rsidRPr="00E06755">
        <w:t xml:space="preserve">Условия, соблюдение которых обеспечивает возможность использования функций </w:t>
      </w:r>
      <w:r w:rsidR="008928A9" w:rsidRPr="00E06755">
        <w:t>Подсистемы</w:t>
      </w:r>
      <w:r w:rsidRPr="00E06755">
        <w:t xml:space="preserve"> пользователем</w:t>
      </w:r>
      <w:bookmarkEnd w:id="24"/>
      <w:bookmarkEnd w:id="25"/>
    </w:p>
    <w:p w:rsidR="008928A9" w:rsidRPr="00E06755" w:rsidRDefault="008928A9" w:rsidP="008928A9">
      <w:pPr>
        <w:pStyle w:val="af0"/>
        <w:rPr>
          <w:rFonts w:eastAsia="Calibri"/>
          <w:snapToGrid/>
        </w:rPr>
      </w:pPr>
      <w:r w:rsidRPr="00E06755">
        <w:rPr>
          <w:rFonts w:eastAsia="Calibri"/>
          <w:snapToGrid/>
        </w:rPr>
        <w:t xml:space="preserve">Для доступа к функциям Подсистемы </w:t>
      </w:r>
      <w:r w:rsidR="00981B96" w:rsidRPr="00E06755">
        <w:rPr>
          <w:rFonts w:eastAsia="Calibri"/>
          <w:snapToGrid/>
        </w:rPr>
        <w:t>необходимо у</w:t>
      </w:r>
      <w:r w:rsidRPr="00E06755">
        <w:rPr>
          <w:rFonts w:eastAsia="Calibri"/>
          <w:snapToGrid/>
        </w:rPr>
        <w:t>становить на компьютере Пользователя следующее программное обеспечение:</w:t>
      </w:r>
    </w:p>
    <w:p w:rsidR="008928A9" w:rsidRPr="00E06755" w:rsidRDefault="008928A9" w:rsidP="00DE1661">
      <w:pPr>
        <w:pStyle w:val="13"/>
        <w:rPr>
          <w:rFonts w:eastAsia="Calibri"/>
          <w:snapToGrid/>
        </w:rPr>
      </w:pPr>
      <w:r w:rsidRPr="00E06755">
        <w:rPr>
          <w:rFonts w:eastAsia="Calibri"/>
          <w:snapToGrid/>
        </w:rPr>
        <w:t>Операционная система;</w:t>
      </w:r>
    </w:p>
    <w:p w:rsidR="008928A9" w:rsidRPr="00E06755" w:rsidRDefault="008928A9" w:rsidP="00DE1661">
      <w:pPr>
        <w:pStyle w:val="13"/>
        <w:rPr>
          <w:rFonts w:eastAsia="Calibri"/>
          <w:snapToGrid/>
        </w:rPr>
      </w:pPr>
      <w:r w:rsidRPr="00E06755">
        <w:rPr>
          <w:rFonts w:eastAsia="Calibri"/>
          <w:snapToGrid/>
        </w:rPr>
        <w:t>Веб-обозреватель (браузер);</w:t>
      </w:r>
    </w:p>
    <w:p w:rsidR="008928A9" w:rsidRPr="00E06755" w:rsidRDefault="008928A9" w:rsidP="00DE1661">
      <w:pPr>
        <w:pStyle w:val="13"/>
        <w:rPr>
          <w:rFonts w:eastAsia="Calibri"/>
          <w:snapToGrid/>
        </w:rPr>
      </w:pPr>
      <w:r w:rsidRPr="00E06755">
        <w:rPr>
          <w:rFonts w:eastAsia="Calibri"/>
          <w:snapToGrid/>
        </w:rPr>
        <w:t>Программные средства для создания защищенного TLS-соединения;</w:t>
      </w:r>
    </w:p>
    <w:p w:rsidR="008928A9" w:rsidRPr="00E06755" w:rsidRDefault="008928A9" w:rsidP="00DE1661">
      <w:pPr>
        <w:pStyle w:val="13"/>
        <w:rPr>
          <w:rFonts w:eastAsia="Calibri"/>
          <w:snapToGrid/>
        </w:rPr>
      </w:pPr>
      <w:r w:rsidRPr="00E06755">
        <w:rPr>
          <w:rFonts w:eastAsia="Calibri"/>
          <w:snapToGrid/>
        </w:rPr>
        <w:t>Драйвер используемого носителя ключевой информации сертификата пользователя;</w:t>
      </w:r>
    </w:p>
    <w:p w:rsidR="008928A9" w:rsidRPr="00E06755" w:rsidRDefault="008928A9" w:rsidP="00DE1661">
      <w:pPr>
        <w:pStyle w:val="13"/>
        <w:rPr>
          <w:rFonts w:eastAsia="Calibri"/>
          <w:snapToGrid/>
        </w:rPr>
      </w:pPr>
      <w:r w:rsidRPr="00E06755">
        <w:rPr>
          <w:rFonts w:eastAsia="Calibri"/>
          <w:snapToGrid/>
        </w:rPr>
        <w:t>Дополнительное ПО.</w:t>
      </w:r>
    </w:p>
    <w:p w:rsidR="008928A9" w:rsidRPr="005551F8" w:rsidRDefault="008928A9" w:rsidP="008928A9">
      <w:pPr>
        <w:pStyle w:val="af0"/>
        <w:rPr>
          <w:rFonts w:eastAsia="Calibri"/>
          <w:snapToGrid/>
        </w:rPr>
      </w:pPr>
      <w:r w:rsidRPr="00E06755">
        <w:rPr>
          <w:rFonts w:eastAsia="Calibri"/>
          <w:snapToGrid/>
        </w:rPr>
        <w:t>Перечень</w:t>
      </w:r>
      <w:r w:rsidR="00981B96" w:rsidRPr="00E06755">
        <w:rPr>
          <w:rFonts w:eastAsia="Calibri"/>
          <w:snapToGrid/>
        </w:rPr>
        <w:t xml:space="preserve"> поддерживаемых </w:t>
      </w:r>
      <w:r w:rsidRPr="00E06755">
        <w:rPr>
          <w:rFonts w:eastAsia="Calibri"/>
          <w:snapToGrid/>
        </w:rPr>
        <w:t>операционных систем, которые могут быть установлены на АРМ Пользователя:</w:t>
      </w:r>
    </w:p>
    <w:p w:rsidR="008928A9" w:rsidRPr="006456D2" w:rsidRDefault="008928A9" w:rsidP="00DE1661">
      <w:pPr>
        <w:pStyle w:val="13"/>
        <w:rPr>
          <w:rFonts w:eastAsia="Calibri"/>
          <w:lang w:val="en-AU"/>
        </w:rPr>
      </w:pPr>
      <w:r w:rsidRPr="006456D2">
        <w:rPr>
          <w:rFonts w:eastAsia="Calibri"/>
          <w:lang w:val="en-AU"/>
        </w:rPr>
        <w:t>Microsoft Windows</w:t>
      </w:r>
      <w:r w:rsidRPr="003058BC">
        <w:rPr>
          <w:rFonts w:eastAsia="Calibri"/>
          <w:lang w:val="en-US"/>
        </w:rPr>
        <w:t xml:space="preserve"> XP;</w:t>
      </w:r>
    </w:p>
    <w:p w:rsidR="008928A9" w:rsidRPr="003058BC" w:rsidRDefault="008928A9" w:rsidP="00DE1661">
      <w:pPr>
        <w:pStyle w:val="13"/>
        <w:rPr>
          <w:rFonts w:eastAsia="Calibri"/>
          <w:lang w:val="en-US"/>
        </w:rPr>
      </w:pPr>
      <w:r w:rsidRPr="006456D2">
        <w:rPr>
          <w:rFonts w:eastAsia="Calibri"/>
          <w:lang w:val="en-AU"/>
        </w:rPr>
        <w:t>Microsoft Windows</w:t>
      </w:r>
      <w:r w:rsidRPr="003058BC">
        <w:rPr>
          <w:rFonts w:eastAsia="Calibri"/>
          <w:lang w:val="en-US"/>
        </w:rPr>
        <w:t xml:space="preserve"> 7;</w:t>
      </w:r>
    </w:p>
    <w:p w:rsidR="008928A9" w:rsidRPr="003058BC" w:rsidRDefault="008928A9" w:rsidP="00DE1661">
      <w:pPr>
        <w:pStyle w:val="13"/>
        <w:rPr>
          <w:rFonts w:eastAsia="Calibri"/>
          <w:lang w:val="en-US"/>
        </w:rPr>
      </w:pPr>
      <w:r w:rsidRPr="003058BC">
        <w:rPr>
          <w:rFonts w:eastAsia="Calibri"/>
          <w:lang w:val="en-US"/>
        </w:rPr>
        <w:t>Microsoft Windows 8;</w:t>
      </w:r>
    </w:p>
    <w:p w:rsidR="009E08BA" w:rsidRPr="003058BC" w:rsidRDefault="008928A9" w:rsidP="00DE1661">
      <w:pPr>
        <w:pStyle w:val="13"/>
        <w:rPr>
          <w:rFonts w:eastAsia="Calibri"/>
          <w:lang w:val="en-US"/>
        </w:rPr>
      </w:pPr>
      <w:r w:rsidRPr="003058BC">
        <w:rPr>
          <w:rFonts w:eastAsia="Calibri"/>
          <w:lang w:val="en-US"/>
        </w:rPr>
        <w:t>Microsoft Windows 10</w:t>
      </w:r>
      <w:r w:rsidR="009E08BA" w:rsidRPr="003058BC">
        <w:rPr>
          <w:rFonts w:eastAsia="Calibri"/>
          <w:lang w:val="en-US"/>
        </w:rPr>
        <w:t>;</w:t>
      </w:r>
    </w:p>
    <w:p w:rsidR="00207FAA" w:rsidRPr="00207FAA" w:rsidRDefault="00207FAA" w:rsidP="00DE1661">
      <w:pPr>
        <w:pStyle w:val="13"/>
        <w:rPr>
          <w:rFonts w:eastAsia="Calibri"/>
          <w:lang w:val="en-US"/>
        </w:rPr>
      </w:pPr>
      <w:r w:rsidRPr="00207FAA">
        <w:rPr>
          <w:rFonts w:eastAsia="Calibri"/>
          <w:lang w:val="en-US"/>
        </w:rPr>
        <w:t>GosLinux releas</w:t>
      </w:r>
      <w:r>
        <w:rPr>
          <w:rFonts w:eastAsia="Calibri"/>
          <w:lang w:val="en-US"/>
        </w:rPr>
        <w:t>e 6.6 (IC3) Standart Workstatio</w:t>
      </w:r>
      <w:r w:rsidRPr="00207FAA">
        <w:rPr>
          <w:rFonts w:eastAsia="Calibri"/>
          <w:lang w:val="en-US"/>
        </w:rPr>
        <w:t>;</w:t>
      </w:r>
    </w:p>
    <w:p w:rsidR="008928A9" w:rsidRPr="003058BC" w:rsidRDefault="00207FAA" w:rsidP="00DE1661">
      <w:pPr>
        <w:pStyle w:val="13"/>
        <w:rPr>
          <w:rFonts w:eastAsia="Calibri"/>
          <w:lang w:val="en-US"/>
        </w:rPr>
      </w:pPr>
      <w:r w:rsidRPr="003058BC">
        <w:rPr>
          <w:rFonts w:eastAsia="Calibri"/>
          <w:lang w:val="en-US"/>
        </w:rPr>
        <w:t>Astra Linux CE 2.12.29 (Orel);</w:t>
      </w:r>
    </w:p>
    <w:p w:rsidR="00207FAA" w:rsidRPr="00023E3A" w:rsidRDefault="00207FAA" w:rsidP="00DE1661">
      <w:pPr>
        <w:pStyle w:val="13"/>
        <w:rPr>
          <w:rFonts w:eastAsia="Calibri"/>
          <w:lang w:val="en-US"/>
        </w:rPr>
      </w:pPr>
      <w:r w:rsidRPr="00207FAA">
        <w:rPr>
          <w:rFonts w:eastAsia="Calibri"/>
          <w:lang w:val="en-US"/>
        </w:rPr>
        <w:t>Red Hat Ente</w:t>
      </w:r>
      <w:r w:rsidR="00023E3A">
        <w:rPr>
          <w:rFonts w:eastAsia="Calibri"/>
          <w:lang w:val="en-US"/>
        </w:rPr>
        <w:t>rprise Linux Server 7.6 (Maipo)</w:t>
      </w:r>
      <w:r w:rsidR="00023E3A" w:rsidRPr="00023E3A">
        <w:rPr>
          <w:rFonts w:eastAsia="Calibri"/>
          <w:lang w:val="en-US"/>
        </w:rPr>
        <w:t>;</w:t>
      </w:r>
    </w:p>
    <w:p w:rsidR="00023E3A" w:rsidRPr="00023E3A" w:rsidRDefault="00023E3A" w:rsidP="00DE1661">
      <w:pPr>
        <w:pStyle w:val="13"/>
        <w:rPr>
          <w:rFonts w:eastAsia="Calibri"/>
          <w:lang w:val="en-US"/>
        </w:rPr>
      </w:pPr>
      <w:r w:rsidRPr="004C78AD">
        <w:rPr>
          <w:rFonts w:eastAsia="Calibri"/>
          <w:lang w:val="en-US"/>
        </w:rPr>
        <w:t>РЕД ОС 7.3</w:t>
      </w:r>
      <w:r>
        <w:rPr>
          <w:rFonts w:eastAsia="Calibri"/>
        </w:rPr>
        <w:t>;</w:t>
      </w:r>
    </w:p>
    <w:p w:rsidR="00023E3A" w:rsidRPr="00207FAA" w:rsidRDefault="00023E3A" w:rsidP="00DE1661">
      <w:pPr>
        <w:pStyle w:val="13"/>
        <w:rPr>
          <w:rFonts w:eastAsia="Calibri"/>
          <w:lang w:val="en-US"/>
        </w:rPr>
      </w:pPr>
      <w:r w:rsidRPr="004C78AD">
        <w:rPr>
          <w:rFonts w:eastAsia="Calibri"/>
          <w:lang w:val="en-US"/>
        </w:rPr>
        <w:t>Альт Рабочая станция 9.2</w:t>
      </w:r>
      <w:r>
        <w:rPr>
          <w:rFonts w:eastAsia="Calibri"/>
        </w:rPr>
        <w:t>.</w:t>
      </w:r>
    </w:p>
    <w:p w:rsidR="008928A9" w:rsidRPr="00E06755" w:rsidRDefault="008928A9" w:rsidP="008928A9">
      <w:pPr>
        <w:pStyle w:val="af0"/>
        <w:rPr>
          <w:rFonts w:eastAsia="Calibri"/>
          <w:snapToGrid/>
        </w:rPr>
      </w:pPr>
      <w:r w:rsidRPr="00E06755">
        <w:rPr>
          <w:rFonts w:eastAsia="Calibri"/>
          <w:snapToGrid/>
        </w:rPr>
        <w:t>Поддерживается как 32-битная, так и 64-битная архитектуры ОС. Допускается применение любого официального пакета обновлений ОС.</w:t>
      </w:r>
    </w:p>
    <w:p w:rsidR="008928A9" w:rsidRPr="00E06755" w:rsidRDefault="00981B96" w:rsidP="008928A9">
      <w:pPr>
        <w:pStyle w:val="af0"/>
        <w:rPr>
          <w:rFonts w:eastAsia="Calibri"/>
          <w:snapToGrid/>
        </w:rPr>
      </w:pPr>
      <w:r w:rsidRPr="00E06755">
        <w:rPr>
          <w:rFonts w:eastAsia="Calibri"/>
          <w:snapToGrid/>
        </w:rPr>
        <w:t>Функционирование подсистемы поддерживается в интернет-браузерах, перечень которых приведен в требованиях к АРМ пользователя ГИИС ЭБ, утвержденных ФК, а также в интернет браузер</w:t>
      </w:r>
      <w:r w:rsidR="0020527A">
        <w:rPr>
          <w:rFonts w:eastAsia="Calibri"/>
          <w:snapToGrid/>
        </w:rPr>
        <w:t>ах</w:t>
      </w:r>
      <w:r w:rsidRPr="00E06755">
        <w:rPr>
          <w:rFonts w:eastAsia="Calibri"/>
          <w:snapToGrid/>
        </w:rPr>
        <w:t xml:space="preserve"> Яндекс.Браузер (версия 1</w:t>
      </w:r>
      <w:r w:rsidR="0020527A">
        <w:rPr>
          <w:rFonts w:eastAsia="Calibri"/>
          <w:snapToGrid/>
        </w:rPr>
        <w:t>8</w:t>
      </w:r>
      <w:r w:rsidRPr="00E06755">
        <w:rPr>
          <w:rFonts w:eastAsia="Calibri"/>
          <w:snapToGrid/>
        </w:rPr>
        <w:t>.00 и выше)</w:t>
      </w:r>
      <w:r w:rsidR="0020527A">
        <w:rPr>
          <w:rFonts w:eastAsia="Calibri"/>
          <w:snapToGrid/>
        </w:rPr>
        <w:t>,</w:t>
      </w:r>
      <w:r w:rsidR="0034634C">
        <w:rPr>
          <w:rFonts w:eastAsia="Calibri"/>
          <w:snapToGrid/>
        </w:rPr>
        <w:t xml:space="preserve"> Спутник (версия 3.5.2151.0 и выше)</w:t>
      </w:r>
      <w:r w:rsidR="0020527A">
        <w:rPr>
          <w:rFonts w:eastAsia="Calibri"/>
          <w:snapToGrid/>
        </w:rPr>
        <w:t xml:space="preserve">, </w:t>
      </w:r>
      <w:r w:rsidR="0020527A">
        <w:rPr>
          <w:rFonts w:eastAsia="Calibri"/>
          <w:snapToGrid/>
          <w:lang w:val="en-US"/>
        </w:rPr>
        <w:t>Chromium</w:t>
      </w:r>
      <w:r w:rsidR="0020527A" w:rsidRPr="0020527A">
        <w:rPr>
          <w:rFonts w:eastAsia="Calibri"/>
          <w:snapToGrid/>
        </w:rPr>
        <w:t>-</w:t>
      </w:r>
      <w:r w:rsidR="0020527A">
        <w:rPr>
          <w:rFonts w:eastAsia="Calibri"/>
          <w:snapToGrid/>
          <w:lang w:val="en-US"/>
        </w:rPr>
        <w:t>gost</w:t>
      </w:r>
      <w:r w:rsidR="0020527A" w:rsidRPr="0020527A">
        <w:rPr>
          <w:rFonts w:eastAsia="Calibri"/>
          <w:snapToGrid/>
        </w:rPr>
        <w:t xml:space="preserve"> </w:t>
      </w:r>
      <w:r w:rsidR="0020527A" w:rsidRPr="00130A71">
        <w:t>(версия 70.0 и выше)</w:t>
      </w:r>
      <w:r w:rsidR="00331AB1" w:rsidRPr="00E06755">
        <w:rPr>
          <w:rFonts w:eastAsia="Calibri"/>
          <w:snapToGrid/>
        </w:rPr>
        <w:t>.</w:t>
      </w:r>
    </w:p>
    <w:p w:rsidR="00331AB1" w:rsidRPr="00E06755" w:rsidRDefault="00331AB1" w:rsidP="008928A9">
      <w:pPr>
        <w:pStyle w:val="af0"/>
        <w:rPr>
          <w:szCs w:val="28"/>
        </w:rPr>
      </w:pPr>
      <w:r w:rsidRPr="00E06755">
        <w:rPr>
          <w:szCs w:val="28"/>
        </w:rPr>
        <w:t>В интернет-браузере должна быть включена поддержка JavaScript и Java. При этом может не поддерживаться часть функционала в интернет-браузерах более ранних версий (для перечисленных выше интернет-браузеров), а также интернет-браузерах других разработчиков.</w:t>
      </w:r>
    </w:p>
    <w:p w:rsidR="008928A9" w:rsidRPr="00E06755" w:rsidRDefault="008928A9" w:rsidP="008928A9">
      <w:pPr>
        <w:pStyle w:val="af0"/>
      </w:pPr>
      <w:r w:rsidRPr="00E06755">
        <w:rPr>
          <w:rFonts w:eastAsia="Calibri"/>
          <w:snapToGrid/>
        </w:rPr>
        <w:t xml:space="preserve">Пользователю должны быть назначены соответствующие функциональные роли в соответствии </w:t>
      </w:r>
      <w:r w:rsidRPr="00E06755">
        <w:t>с утвержденной Ролевой моделью (</w:t>
      </w:r>
      <w:r w:rsidR="00DD6CA1" w:rsidRPr="00E06755">
        <w:t xml:space="preserve">п. </w:t>
      </w:r>
      <w:r w:rsidR="00DD6CA1" w:rsidRPr="00E06755">
        <w:fldChar w:fldCharType="begin"/>
      </w:r>
      <w:r w:rsidR="00DD6CA1" w:rsidRPr="00E06755">
        <w:instrText xml:space="preserve"> REF _Ref19956537 \w \h </w:instrText>
      </w:r>
      <w:r w:rsidR="00C501ED" w:rsidRPr="00E06755">
        <w:instrText xml:space="preserve"> \* MERGEFORMAT </w:instrText>
      </w:r>
      <w:r w:rsidR="00DD6CA1" w:rsidRPr="00E06755">
        <w:fldChar w:fldCharType="separate"/>
      </w:r>
      <w:r w:rsidR="00BF0BEE">
        <w:t>2.1</w:t>
      </w:r>
      <w:r w:rsidR="00DD6CA1" w:rsidRPr="00E06755">
        <w:fldChar w:fldCharType="end"/>
      </w:r>
      <w:r w:rsidR="00DD6CA1" w:rsidRPr="00E06755">
        <w:t xml:space="preserve"> </w:t>
      </w:r>
      <w:r w:rsidR="009135A3" w:rsidRPr="00E06755">
        <w:t>настоящего документа</w:t>
      </w:r>
      <w:r w:rsidRPr="00E06755">
        <w:t>).</w:t>
      </w:r>
    </w:p>
    <w:p w:rsidR="008928A9" w:rsidRPr="00E06755" w:rsidRDefault="008928A9" w:rsidP="008928A9">
      <w:pPr>
        <w:pStyle w:val="af0"/>
        <w:rPr>
          <w:rFonts w:eastAsia="Calibri"/>
          <w:snapToGrid/>
        </w:rPr>
      </w:pPr>
      <w:r w:rsidRPr="00E06755">
        <w:rPr>
          <w:rFonts w:eastAsia="Calibri"/>
          <w:snapToGrid/>
        </w:rPr>
        <w:t xml:space="preserve">Для создания защищенного TSL-соединения должна использоваться программа «Континент TLS Клиент». </w:t>
      </w:r>
    </w:p>
    <w:p w:rsidR="008928A9" w:rsidRPr="00E06755" w:rsidRDefault="008928A9" w:rsidP="008928A9">
      <w:pPr>
        <w:pStyle w:val="af0"/>
        <w:rPr>
          <w:rFonts w:eastAsia="Calibri"/>
          <w:snapToGrid/>
        </w:rPr>
      </w:pPr>
      <w:r w:rsidRPr="00E06755">
        <w:rPr>
          <w:rFonts w:eastAsia="Calibri"/>
          <w:snapToGrid/>
        </w:rPr>
        <w:t>Драйвер используемого носителя ключевой информации сертификата пользователя зависит от носителя ключевой информации сертификата пользователя, которым может быть:</w:t>
      </w:r>
    </w:p>
    <w:p w:rsidR="008928A9" w:rsidRPr="003058BC" w:rsidRDefault="008928A9" w:rsidP="00DE1661">
      <w:pPr>
        <w:pStyle w:val="13"/>
        <w:rPr>
          <w:rFonts w:eastAsia="Calibri"/>
          <w:lang w:val="en-US"/>
        </w:rPr>
      </w:pPr>
      <w:r w:rsidRPr="003058BC">
        <w:rPr>
          <w:rFonts w:eastAsia="Calibri"/>
          <w:lang w:val="en-US"/>
        </w:rPr>
        <w:t xml:space="preserve">USB </w:t>
      </w:r>
      <w:r w:rsidRPr="00E06755">
        <w:rPr>
          <w:rFonts w:eastAsia="Calibri"/>
        </w:rPr>
        <w:t>флэш</w:t>
      </w:r>
      <w:r w:rsidRPr="003058BC">
        <w:rPr>
          <w:rFonts w:eastAsia="Calibri"/>
          <w:lang w:val="en-US"/>
        </w:rPr>
        <w:t>-</w:t>
      </w:r>
      <w:r w:rsidRPr="00E06755">
        <w:rPr>
          <w:rFonts w:eastAsia="Calibri"/>
        </w:rPr>
        <w:t>накопитель</w:t>
      </w:r>
      <w:r w:rsidRPr="003058BC">
        <w:rPr>
          <w:rFonts w:eastAsia="Calibri"/>
          <w:lang w:val="en-US"/>
        </w:rPr>
        <w:t>;</w:t>
      </w:r>
    </w:p>
    <w:p w:rsidR="008928A9" w:rsidRPr="003058BC" w:rsidRDefault="008928A9" w:rsidP="00DE1661">
      <w:pPr>
        <w:pStyle w:val="13"/>
        <w:rPr>
          <w:rFonts w:eastAsia="Calibri"/>
          <w:lang w:val="en-US"/>
        </w:rPr>
      </w:pPr>
      <w:r w:rsidRPr="003058BC">
        <w:rPr>
          <w:rFonts w:eastAsia="Calibri"/>
          <w:lang w:val="en-US"/>
        </w:rPr>
        <w:t>Rutoken S;</w:t>
      </w:r>
    </w:p>
    <w:p w:rsidR="008928A9" w:rsidRPr="003058BC" w:rsidRDefault="008928A9" w:rsidP="00DE1661">
      <w:pPr>
        <w:pStyle w:val="13"/>
        <w:rPr>
          <w:rFonts w:eastAsia="Calibri"/>
          <w:lang w:val="en-US"/>
        </w:rPr>
      </w:pPr>
      <w:r w:rsidRPr="003058BC">
        <w:rPr>
          <w:rFonts w:eastAsia="Calibri"/>
          <w:lang w:val="en-US"/>
        </w:rPr>
        <w:t>eToken Pro;</w:t>
      </w:r>
    </w:p>
    <w:p w:rsidR="008928A9" w:rsidRPr="00E06755" w:rsidRDefault="008928A9" w:rsidP="00DE1661">
      <w:pPr>
        <w:pStyle w:val="13"/>
        <w:rPr>
          <w:rFonts w:eastAsia="Calibri"/>
        </w:rPr>
      </w:pPr>
      <w:r w:rsidRPr="00E06755">
        <w:rPr>
          <w:rFonts w:eastAsia="Calibri"/>
        </w:rPr>
        <w:t>eToken PRO (Java).</w:t>
      </w:r>
    </w:p>
    <w:p w:rsidR="007203F2" w:rsidRPr="007203F2" w:rsidRDefault="008928A9" w:rsidP="007203F2">
      <w:pPr>
        <w:pStyle w:val="af0"/>
        <w:rPr>
          <w:rFonts w:eastAsia="Calibri"/>
          <w:snapToGrid/>
        </w:rPr>
      </w:pPr>
      <w:r w:rsidRPr="00E06755">
        <w:rPr>
          <w:rFonts w:eastAsia="Calibri"/>
          <w:snapToGrid/>
        </w:rPr>
        <w:t>Подробнее о порядке установки ПО, а так же о настройке АРМ при использовании сертификата по ГОСТ Р 34.10-2012 «Информационная технология. Криптографическая защита информации.</w:t>
      </w:r>
      <w:r w:rsidR="00DD6CA1" w:rsidRPr="00E06755">
        <w:rPr>
          <w:rFonts w:eastAsia="Calibri"/>
          <w:snapToGrid/>
        </w:rPr>
        <w:t xml:space="preserve"> </w:t>
      </w:r>
      <w:r w:rsidRPr="00E06755">
        <w:rPr>
          <w:rFonts w:eastAsia="Calibri"/>
          <w:snapToGrid/>
        </w:rPr>
        <w:t xml:space="preserve">Процессы формирования и проверки электронной цифровой подписи» описано в «Руководстве по </w:t>
      </w:r>
      <w:r w:rsidR="00D0492E" w:rsidRPr="00E06755">
        <w:rPr>
          <w:rFonts w:eastAsia="Calibri"/>
          <w:snapToGrid/>
        </w:rPr>
        <w:t xml:space="preserve">установке и </w:t>
      </w:r>
      <w:r w:rsidRPr="00E06755">
        <w:rPr>
          <w:rFonts w:eastAsia="Calibri"/>
          <w:snapToGrid/>
        </w:rPr>
        <w:t xml:space="preserve">настройке </w:t>
      </w:r>
      <w:r w:rsidR="00D0492E" w:rsidRPr="00E06755">
        <w:rPr>
          <w:rFonts w:eastAsia="Calibri"/>
          <w:snapToGrid/>
        </w:rPr>
        <w:t>программного обеспечения автоматизированного рабочего месте</w:t>
      </w:r>
      <w:r w:rsidRPr="00E06755">
        <w:rPr>
          <w:rFonts w:eastAsia="Calibri"/>
          <w:snapToGrid/>
        </w:rPr>
        <w:t xml:space="preserve"> пользователя</w:t>
      </w:r>
      <w:r w:rsidR="00D0492E" w:rsidRPr="00E06755">
        <w:rPr>
          <w:rFonts w:eastAsia="Calibri"/>
          <w:snapToGrid/>
        </w:rPr>
        <w:t xml:space="preserve"> государственной информационной системы управления общественными финансами «Электронный бюджет»</w:t>
      </w:r>
      <w:r w:rsidRPr="00E06755">
        <w:rPr>
          <w:rFonts w:eastAsia="Calibri"/>
          <w:snapToGrid/>
        </w:rPr>
        <w:t xml:space="preserve">», </w:t>
      </w:r>
      <w:r w:rsidR="007203F2" w:rsidRPr="007203F2">
        <w:rPr>
          <w:rFonts w:eastAsia="Calibri"/>
          <w:snapToGrid/>
        </w:rPr>
        <w:t>которое размещено в общем доступе на официальном сайте Федерального казначейства в разделе ГИС/Электронный бюджет/Подключение к системе/20</w:t>
      </w:r>
      <w:r w:rsidR="0037599F">
        <w:rPr>
          <w:rFonts w:eastAsia="Calibri"/>
          <w:snapToGrid/>
        </w:rPr>
        <w:t>20.</w:t>
      </w:r>
    </w:p>
    <w:p w:rsidR="0037599F" w:rsidRPr="00130A71" w:rsidRDefault="007203F2" w:rsidP="0037599F">
      <w:pPr>
        <w:pStyle w:val="af0"/>
      </w:pPr>
      <w:r w:rsidRPr="007203F2">
        <w:rPr>
          <w:rFonts w:eastAsia="Calibri"/>
          <w:snapToGrid/>
        </w:rPr>
        <w:t xml:space="preserve">Прямая ссылка </w:t>
      </w:r>
      <w:hyperlink r:id="rId12" w:history="1">
        <w:r w:rsidR="0037599F" w:rsidRPr="00130A71">
          <w:rPr>
            <w:rStyle w:val="af5"/>
          </w:rPr>
          <w:t>https://roskazna.gov.ru/upload/iblock/ae6/Rukovodstvo-rabotnikov-KRKS.DOCX</w:t>
        </w:r>
      </w:hyperlink>
    </w:p>
    <w:p w:rsidR="008928A9" w:rsidRDefault="008928A9" w:rsidP="007203F2">
      <w:pPr>
        <w:pStyle w:val="af0"/>
        <w:jc w:val="left"/>
        <w:rPr>
          <w:rFonts w:eastAsia="Calibri"/>
          <w:snapToGrid/>
        </w:rPr>
      </w:pPr>
    </w:p>
    <w:p w:rsidR="00FF409A" w:rsidRPr="00E06755" w:rsidRDefault="00FF409A">
      <w:pPr>
        <w:spacing w:after="200" w:line="276" w:lineRule="auto"/>
        <w:jc w:val="left"/>
        <w:rPr>
          <w:rStyle w:val="af5"/>
          <w:rFonts w:eastAsia="Calibri"/>
          <w:sz w:val="28"/>
          <w:szCs w:val="24"/>
        </w:rPr>
      </w:pPr>
      <w:r w:rsidRPr="00E06755">
        <w:rPr>
          <w:rStyle w:val="af5"/>
          <w:rFonts w:eastAsia="Calibri"/>
          <w:szCs w:val="24"/>
        </w:rPr>
        <w:br w:type="page"/>
      </w:r>
    </w:p>
    <w:p w:rsidR="00D55811" w:rsidRPr="00E06755" w:rsidRDefault="00D55811" w:rsidP="00D55811">
      <w:pPr>
        <w:pStyle w:val="14"/>
      </w:pPr>
      <w:bookmarkStart w:id="26" w:name="_Toc404947390"/>
      <w:bookmarkStart w:id="27" w:name="_Toc119585024"/>
      <w:r w:rsidRPr="00E06755">
        <w:t>Подготовка к работе</w:t>
      </w:r>
      <w:bookmarkEnd w:id="26"/>
      <w:bookmarkEnd w:id="27"/>
    </w:p>
    <w:p w:rsidR="00AC2B81" w:rsidRPr="00E06755" w:rsidRDefault="00AC2B81" w:rsidP="00AC2B81">
      <w:pPr>
        <w:pStyle w:val="26"/>
      </w:pPr>
      <w:bookmarkStart w:id="28" w:name="_Ref19956532"/>
      <w:bookmarkStart w:id="29" w:name="_Ref19956537"/>
      <w:bookmarkStart w:id="30" w:name="_Toc119585025"/>
      <w:r w:rsidRPr="00E06755">
        <w:t>Порядок подключения пользователей к Подсистеме</w:t>
      </w:r>
      <w:bookmarkEnd w:id="28"/>
      <w:bookmarkEnd w:id="29"/>
      <w:bookmarkEnd w:id="30"/>
    </w:p>
    <w:p w:rsidR="00AC2B81" w:rsidRPr="00E06755" w:rsidRDefault="00AC2B81" w:rsidP="00AC2B81">
      <w:pPr>
        <w:pStyle w:val="af0"/>
      </w:pPr>
      <w:r w:rsidRPr="00E06755">
        <w:rPr>
          <w:rFonts w:eastAsia="Calibri"/>
          <w:snapToGrid/>
        </w:rPr>
        <w:t xml:space="preserve">Подключение пользователей к подсистеме </w:t>
      </w:r>
      <w:r w:rsidRPr="00E06755">
        <w:rPr>
          <w:rFonts w:eastAsia="Calibri"/>
          <w:bCs/>
          <w:snapToGrid/>
        </w:rPr>
        <w:t>осуществляется в соответствии с порядок подключения пользователей к системе «Электронный бюджет»</w:t>
      </w:r>
      <w:r w:rsidRPr="00E06755">
        <w:rPr>
          <w:rFonts w:eastAsia="Calibri"/>
          <w:snapToGrid/>
        </w:rPr>
        <w:t xml:space="preserve">: </w:t>
      </w:r>
      <w:hyperlink r:id="rId13" w:history="1">
        <w:r w:rsidRPr="00E06755">
          <w:rPr>
            <w:rStyle w:val="af5"/>
          </w:rPr>
          <w:t>https://roskazna.ru/gis/ehlektronnyj-byudzhet/podklyuchenie-k-sisteme/</w:t>
        </w:r>
      </w:hyperlink>
      <w:r w:rsidRPr="00E06755">
        <w:t>.</w:t>
      </w:r>
    </w:p>
    <w:p w:rsidR="00AC2B81" w:rsidRDefault="00AC2B81" w:rsidP="00AC2B81">
      <w:pPr>
        <w:pStyle w:val="af0"/>
        <w:rPr>
          <w:rStyle w:val="af1"/>
        </w:rPr>
      </w:pPr>
      <w:r w:rsidRPr="00E06755">
        <w:t xml:space="preserve">Проверка и </w:t>
      </w:r>
      <w:r w:rsidRPr="00E06755">
        <w:rPr>
          <w:rStyle w:val="af1"/>
        </w:rPr>
        <w:t xml:space="preserve">подтверждение полномочий пользователя Подсистемы на выполнение операций в Подсистеме осуществляется средствами </w:t>
      </w:r>
      <w:r>
        <w:rPr>
          <w:szCs w:val="24"/>
        </w:rPr>
        <w:t xml:space="preserve">ПОИБ </w:t>
      </w:r>
      <w:r w:rsidRPr="00E06755">
        <w:rPr>
          <w:rStyle w:val="af1"/>
        </w:rPr>
        <w:t>в соответствии с ролево</w:t>
      </w:r>
      <w:r>
        <w:rPr>
          <w:rStyle w:val="af1"/>
        </w:rPr>
        <w:t>й моделью разграничения доступа.</w:t>
      </w:r>
    </w:p>
    <w:p w:rsidR="00AC2B81" w:rsidRPr="00684385" w:rsidRDefault="00AC2B81" w:rsidP="00AC2B81">
      <w:pPr>
        <w:pStyle w:val="af0"/>
        <w:rPr>
          <w:snapToGrid/>
        </w:rPr>
      </w:pPr>
    </w:p>
    <w:p w:rsidR="00D55811" w:rsidRPr="00E06755" w:rsidRDefault="00AF12CE" w:rsidP="00684E82">
      <w:pPr>
        <w:pStyle w:val="af0"/>
      </w:pPr>
      <w:r>
        <w:object w:dxaOrig="1539" w:dyaOrig="997">
          <v:shape id="_x0000_i1026" type="#_x0000_t75" style="width:77.25pt;height:50.25pt" o:ole="">
            <v:imagedata r:id="rId14" o:title=""/>
          </v:shape>
          <o:OLEObject Type="Embed" ProgID="Excel.Sheet.12" ShapeID="_x0000_i1026" DrawAspect="Icon" ObjectID="_1730198768" r:id="rId15"/>
        </w:object>
      </w:r>
      <w:r w:rsidR="00255CE5">
        <w:br w:type="page"/>
      </w:r>
      <w:r w:rsidR="00D55811" w:rsidRPr="00E06755">
        <w:t>Порядок загрузки данных и программ.</w:t>
      </w:r>
    </w:p>
    <w:p w:rsidR="00AC732B" w:rsidRPr="00E06755" w:rsidRDefault="00343A13" w:rsidP="008A6040">
      <w:pPr>
        <w:pStyle w:val="af0"/>
      </w:pPr>
      <w:r w:rsidRPr="00E06755">
        <w:t>В</w:t>
      </w:r>
      <w:r w:rsidR="00090E79" w:rsidRPr="00E06755">
        <w:t xml:space="preserve">ход в Подсистему </w:t>
      </w:r>
      <w:r w:rsidRPr="00E06755">
        <w:t>осуществляется</w:t>
      </w:r>
      <w:r w:rsidR="00AC732B" w:rsidRPr="00E06755">
        <w:t xml:space="preserve"> </w:t>
      </w:r>
      <w:r w:rsidR="00137E2F" w:rsidRPr="00E06755">
        <w:t xml:space="preserve">следующими </w:t>
      </w:r>
      <w:r w:rsidR="00AC732B" w:rsidRPr="00E06755">
        <w:t>способами:</w:t>
      </w:r>
    </w:p>
    <w:p w:rsidR="00343A13" w:rsidRPr="00E06755" w:rsidRDefault="00AC732B" w:rsidP="00AE05CA">
      <w:pPr>
        <w:pStyle w:val="a8"/>
      </w:pPr>
      <w:r w:rsidRPr="00E06755">
        <w:t xml:space="preserve">Вход </w:t>
      </w:r>
      <w:r w:rsidR="00343A13" w:rsidRPr="00E06755">
        <w:t xml:space="preserve">через Личный кабинет системы «Электронный бюджет». </w:t>
      </w:r>
      <w:r w:rsidRPr="00E06755">
        <w:t>В</w:t>
      </w:r>
      <w:r w:rsidR="00090E79" w:rsidRPr="00E06755">
        <w:t xml:space="preserve"> адресной строке </w:t>
      </w:r>
      <w:r w:rsidR="00B371E9" w:rsidRPr="00E06755">
        <w:t>интернет-</w:t>
      </w:r>
      <w:r w:rsidR="00090E79" w:rsidRPr="00E06755">
        <w:t xml:space="preserve">браузера необходимо ввести </w:t>
      </w:r>
      <w:hyperlink r:id="rId16" w:history="1">
        <w:r w:rsidR="00470777" w:rsidRPr="00082156">
          <w:rPr>
            <w:rStyle w:val="af5"/>
          </w:rPr>
          <w:t>https://eb.cert.roskazna.ru/udu-webcenter/</w:t>
        </w:r>
      </w:hyperlink>
      <w:r w:rsidR="00470777" w:rsidRPr="00470777">
        <w:t xml:space="preserve"> </w:t>
      </w:r>
    </w:p>
    <w:p w:rsidR="00343A13" w:rsidRPr="00E06755" w:rsidRDefault="00343A13" w:rsidP="008A6040">
      <w:pPr>
        <w:pStyle w:val="af0"/>
      </w:pPr>
      <w:r w:rsidRPr="00E06755">
        <w:t>Для входа в Систему «Электронный бюджет» требуется идентификация пользователя по личному сертификату (</w:t>
      </w:r>
      <w:r w:rsidR="006F7A79" w:rsidRPr="00E06755">
        <w:fldChar w:fldCharType="begin"/>
      </w:r>
      <w:r w:rsidR="006F7A79" w:rsidRPr="00E06755">
        <w:instrText xml:space="preserve"> REF _Ref14966452 \h </w:instrText>
      </w:r>
      <w:r w:rsidR="00C501ED" w:rsidRPr="00E06755">
        <w:instrText xml:space="preserve"> \* MERGEFORMAT </w:instrText>
      </w:r>
      <w:r w:rsidR="006F7A79" w:rsidRPr="00E06755">
        <w:fldChar w:fldCharType="separate"/>
      </w:r>
      <w:r w:rsidR="00BF0BEE" w:rsidRPr="00E06755">
        <w:t xml:space="preserve">Рисунок </w:t>
      </w:r>
      <w:r w:rsidR="00BF0BEE">
        <w:rPr>
          <w:noProof/>
        </w:rPr>
        <w:t>1</w:t>
      </w:r>
      <w:r w:rsidR="006F7A79" w:rsidRPr="00E06755">
        <w:fldChar w:fldCharType="end"/>
      </w:r>
      <w:r w:rsidRPr="00E06755">
        <w:t xml:space="preserve">) </w:t>
      </w:r>
    </w:p>
    <w:p w:rsidR="001860A9" w:rsidRDefault="001860A9" w:rsidP="001860A9">
      <w:pPr>
        <w:pStyle w:val="afffff7"/>
        <w:keepNext/>
      </w:pPr>
      <w:r>
        <w:rPr>
          <w:noProof/>
          <w:lang w:eastAsia="ru-RU"/>
        </w:rPr>
        <w:drawing>
          <wp:inline distT="0" distB="0" distL="0" distR="0" wp14:anchorId="71004CC2" wp14:editId="338D8FF6">
            <wp:extent cx="4257675" cy="33718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257675" cy="3371850"/>
                    </a:xfrm>
                    <a:prstGeom prst="rect">
                      <a:avLst/>
                    </a:prstGeom>
                  </pic:spPr>
                </pic:pic>
              </a:graphicData>
            </a:graphic>
          </wp:inline>
        </w:drawing>
      </w:r>
    </w:p>
    <w:p w:rsidR="00343A13" w:rsidRPr="00E06755" w:rsidRDefault="001860A9" w:rsidP="001860A9">
      <w:pPr>
        <w:pStyle w:val="afff8"/>
        <w:jc w:val="center"/>
      </w:pPr>
      <w:bookmarkStart w:id="31" w:name="_Toc119584188"/>
      <w:r>
        <w:t xml:space="preserve">Рисунок </w:t>
      </w:r>
      <w:fldSimple w:instr=" SEQ Рисунок \* ARABIC ">
        <w:r>
          <w:rPr>
            <w:noProof/>
          </w:rPr>
          <w:t>1</w:t>
        </w:r>
      </w:fldSimple>
      <w:r>
        <w:t xml:space="preserve"> - </w:t>
      </w:r>
      <w:r w:rsidRPr="00AA5CCD">
        <w:t>Диалоговое окно выбора сертификата пользователя</w:t>
      </w:r>
      <w:bookmarkEnd w:id="31"/>
    </w:p>
    <w:p w:rsidR="00343A13" w:rsidRPr="00E06755" w:rsidRDefault="00343A13" w:rsidP="00737AA0">
      <w:pPr>
        <w:pStyle w:val="-0"/>
      </w:pPr>
    </w:p>
    <w:p w:rsidR="006F7A79" w:rsidRPr="00E06755" w:rsidRDefault="006F7A79" w:rsidP="00343A13">
      <w:pPr>
        <w:pStyle w:val="af0"/>
      </w:pPr>
      <w:r w:rsidRPr="00E06755">
        <w:t>После выбора сертификата пользователя откроется главное меню системы «Электронный бюджет».</w:t>
      </w:r>
    </w:p>
    <w:p w:rsidR="00012543" w:rsidRPr="00E06755" w:rsidRDefault="001860A9" w:rsidP="00012543">
      <w:pPr>
        <w:pStyle w:val="afffff7"/>
        <w:keepNext/>
      </w:pPr>
      <w:r>
        <w:rPr>
          <w:noProof/>
          <w:lang w:eastAsia="ru-RU"/>
        </w:rPr>
        <w:drawing>
          <wp:inline distT="0" distB="0" distL="0" distR="0" wp14:anchorId="4C49ACE4" wp14:editId="417A84A3">
            <wp:extent cx="5939790" cy="2977558"/>
            <wp:effectExtent l="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39790" cy="2977558"/>
                    </a:xfrm>
                    <a:prstGeom prst="rect">
                      <a:avLst/>
                    </a:prstGeom>
                  </pic:spPr>
                </pic:pic>
              </a:graphicData>
            </a:graphic>
          </wp:inline>
        </w:drawing>
      </w:r>
    </w:p>
    <w:p w:rsidR="006F7A79" w:rsidRPr="00E06755" w:rsidRDefault="00012543" w:rsidP="00737AA0">
      <w:pPr>
        <w:pStyle w:val="-0"/>
      </w:pPr>
      <w:bookmarkStart w:id="32" w:name="_Toc119584189"/>
      <w:r w:rsidRPr="00E06755">
        <w:t xml:space="preserve">Рисунок </w:t>
      </w:r>
      <w:fldSimple w:instr=" SEQ Рисунок \* ARABIC ">
        <w:r w:rsidR="001860A9">
          <w:rPr>
            <w:noProof/>
          </w:rPr>
          <w:t>2</w:t>
        </w:r>
      </w:fldSimple>
      <w:r w:rsidRPr="00E06755">
        <w:t xml:space="preserve"> </w:t>
      </w:r>
      <w:r w:rsidR="00737AA0">
        <w:t>–</w:t>
      </w:r>
      <w:r w:rsidRPr="00E06755">
        <w:t xml:space="preserve"> Главное окно Системы «Электронный бюджет»</w:t>
      </w:r>
      <w:bookmarkEnd w:id="32"/>
    </w:p>
    <w:p w:rsidR="006F7A79" w:rsidRPr="00E06755" w:rsidRDefault="006F7A79" w:rsidP="00343A13">
      <w:pPr>
        <w:pStyle w:val="af0"/>
      </w:pPr>
      <w:r w:rsidRPr="00E06755">
        <w:t>Для перехода к ПИАО необходимо выбрать соответствующий пункт меню</w:t>
      </w:r>
      <w:r w:rsidR="00012543" w:rsidRPr="00E06755">
        <w:t xml:space="preserve"> «ПИАО», закладка «Рабочие места», «ПИАО» (</w:t>
      </w:r>
      <w:r w:rsidR="00385421" w:rsidRPr="00E06755">
        <w:fldChar w:fldCharType="begin"/>
      </w:r>
      <w:r w:rsidR="00385421" w:rsidRPr="00E06755">
        <w:instrText xml:space="preserve"> REF _Ref14967241 \h </w:instrText>
      </w:r>
      <w:r w:rsidR="00C501ED" w:rsidRPr="00E06755">
        <w:instrText xml:space="preserve"> \* MERGEFORMAT </w:instrText>
      </w:r>
      <w:r w:rsidR="00385421" w:rsidRPr="00E06755">
        <w:fldChar w:fldCharType="separate"/>
      </w:r>
      <w:r w:rsidR="00BF0BEE" w:rsidRPr="00E06755">
        <w:t xml:space="preserve">Рисунок </w:t>
      </w:r>
      <w:r w:rsidR="00BF0BEE">
        <w:rPr>
          <w:noProof/>
        </w:rPr>
        <w:t>3</w:t>
      </w:r>
      <w:r w:rsidR="00385421" w:rsidRPr="00E06755">
        <w:fldChar w:fldCharType="end"/>
      </w:r>
      <w:r w:rsidR="00012543" w:rsidRPr="00E06755">
        <w:t>)</w:t>
      </w:r>
    </w:p>
    <w:p w:rsidR="00012543" w:rsidRPr="00E06755" w:rsidRDefault="001860A9" w:rsidP="00012543">
      <w:pPr>
        <w:pStyle w:val="afffff7"/>
        <w:keepNext/>
      </w:pPr>
      <w:r>
        <w:rPr>
          <w:noProof/>
          <w:lang w:eastAsia="ru-RU"/>
        </w:rPr>
        <w:drawing>
          <wp:inline distT="0" distB="0" distL="0" distR="0" wp14:anchorId="4C5CD066" wp14:editId="1FB3BBF6">
            <wp:extent cx="5939790" cy="2988593"/>
            <wp:effectExtent l="0" t="0" r="381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39790" cy="2988593"/>
                    </a:xfrm>
                    <a:prstGeom prst="rect">
                      <a:avLst/>
                    </a:prstGeom>
                  </pic:spPr>
                </pic:pic>
              </a:graphicData>
            </a:graphic>
          </wp:inline>
        </w:drawing>
      </w:r>
    </w:p>
    <w:p w:rsidR="006F7A79" w:rsidRPr="00E06755" w:rsidRDefault="00012543" w:rsidP="00012543">
      <w:pPr>
        <w:pStyle w:val="-0"/>
      </w:pPr>
      <w:bookmarkStart w:id="33" w:name="_Ref14967241"/>
      <w:bookmarkStart w:id="34" w:name="_Toc119584190"/>
      <w:r w:rsidRPr="00E06755">
        <w:t xml:space="preserve">Рисунок </w:t>
      </w:r>
      <w:fldSimple w:instr=" SEQ Рисунок \* ARABIC ">
        <w:r w:rsidR="001860A9">
          <w:rPr>
            <w:noProof/>
          </w:rPr>
          <w:t>3</w:t>
        </w:r>
      </w:fldSimple>
      <w:bookmarkEnd w:id="33"/>
      <w:r w:rsidRPr="00E06755">
        <w:t xml:space="preserve"> – </w:t>
      </w:r>
      <w:r w:rsidR="00385421" w:rsidRPr="00E06755">
        <w:t>Пункт меню ПИАО в Личном кабинете «Электронный бюджет»</w:t>
      </w:r>
      <w:bookmarkEnd w:id="34"/>
      <w:r w:rsidRPr="00E06755">
        <w:t xml:space="preserve"> </w:t>
      </w:r>
    </w:p>
    <w:p w:rsidR="00385421" w:rsidRPr="00E06755" w:rsidRDefault="00385421" w:rsidP="00385421">
      <w:pPr>
        <w:pStyle w:val="af0"/>
      </w:pPr>
      <w:r w:rsidRPr="00E06755">
        <w:t xml:space="preserve">В результате отроется главная страница ПИАО, внешний вид которой представлен на </w:t>
      </w:r>
      <w:r w:rsidR="000A34E6" w:rsidRPr="00E06755">
        <w:t xml:space="preserve">рисунке </w:t>
      </w:r>
      <w:r w:rsidR="000A34E6" w:rsidRPr="00E06755">
        <w:fldChar w:fldCharType="begin"/>
      </w:r>
      <w:r w:rsidR="000A34E6" w:rsidRPr="00E06755">
        <w:instrText xml:space="preserve"> REF _Ref16418730 \h </w:instrText>
      </w:r>
      <w:r w:rsidR="00C501ED" w:rsidRPr="00E06755">
        <w:instrText xml:space="preserve"> \* MERGEFORMAT </w:instrText>
      </w:r>
      <w:r w:rsidR="000A34E6" w:rsidRPr="00E06755">
        <w:fldChar w:fldCharType="separate"/>
      </w:r>
      <w:r w:rsidR="00BF0BEE">
        <w:rPr>
          <w:noProof/>
        </w:rPr>
        <w:t>4</w:t>
      </w:r>
      <w:r w:rsidR="000A34E6" w:rsidRPr="00E06755">
        <w:fldChar w:fldCharType="end"/>
      </w:r>
      <w:r w:rsidR="000A34E6" w:rsidRPr="00E06755">
        <w:t>.</w:t>
      </w:r>
    </w:p>
    <w:p w:rsidR="000A34E6" w:rsidRPr="00E06755" w:rsidRDefault="001860A9" w:rsidP="000A34E6">
      <w:pPr>
        <w:pStyle w:val="afffff7"/>
        <w:keepNext/>
      </w:pPr>
      <w:r>
        <w:rPr>
          <w:noProof/>
          <w:lang w:eastAsia="ru-RU"/>
        </w:rPr>
        <w:drawing>
          <wp:inline distT="0" distB="0" distL="0" distR="0" wp14:anchorId="74548B40" wp14:editId="387962C1">
            <wp:extent cx="5939790" cy="2734792"/>
            <wp:effectExtent l="0" t="0" r="3810" b="8890"/>
            <wp:docPr id="5867" name="Рисунок 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39790" cy="2734792"/>
                    </a:xfrm>
                    <a:prstGeom prst="rect">
                      <a:avLst/>
                    </a:prstGeom>
                  </pic:spPr>
                </pic:pic>
              </a:graphicData>
            </a:graphic>
          </wp:inline>
        </w:drawing>
      </w:r>
    </w:p>
    <w:p w:rsidR="000A34E6" w:rsidRPr="00E06755" w:rsidRDefault="000A34E6" w:rsidP="00F80CFD">
      <w:pPr>
        <w:pStyle w:val="-0"/>
      </w:pPr>
      <w:bookmarkStart w:id="35" w:name="_Toc119584191"/>
      <w:r w:rsidRPr="00E06755">
        <w:t xml:space="preserve">Рисунок </w:t>
      </w:r>
      <w:fldSimple w:instr=" SEQ Рисунок \* ARABIC ">
        <w:bookmarkStart w:id="36" w:name="_Ref16418730"/>
        <w:r w:rsidR="001860A9">
          <w:rPr>
            <w:noProof/>
          </w:rPr>
          <w:t>4</w:t>
        </w:r>
        <w:bookmarkEnd w:id="36"/>
      </w:fldSimple>
      <w:r w:rsidRPr="00E06755">
        <w:t xml:space="preserve"> – Главная страница ПИАО при переходе через Личный кабинет «Электронного бюджета»</w:t>
      </w:r>
      <w:bookmarkEnd w:id="35"/>
    </w:p>
    <w:p w:rsidR="00AC732B" w:rsidRPr="00E06755" w:rsidRDefault="00AC732B" w:rsidP="00AD79BA">
      <w:pPr>
        <w:pStyle w:val="a8"/>
      </w:pPr>
      <w:r w:rsidRPr="00E06755">
        <w:t xml:space="preserve">Вход по прямой ссылке. В адресной строке интернет-браузера необходимо ввести </w:t>
      </w:r>
      <w:hyperlink r:id="rId21" w:history="1">
        <w:r w:rsidR="00AD79BA" w:rsidRPr="005E6BCC">
          <w:rPr>
            <w:rStyle w:val="af5"/>
          </w:rPr>
          <w:t>https://</w:t>
        </w:r>
        <w:hyperlink r:id="rId22" w:history="1">
          <w:r w:rsidR="007D04BA">
            <w:rPr>
              <w:rStyle w:val="af5"/>
            </w:rPr>
            <w:t>eb.cert.roskazna.ru/</w:t>
          </w:r>
        </w:hyperlink>
        <w:r w:rsidR="00AD79BA" w:rsidRPr="005E6BCC">
          <w:rPr>
            <w:rStyle w:val="af5"/>
          </w:rPr>
          <w:t>/piao</w:t>
        </w:r>
      </w:hyperlink>
      <w:r w:rsidR="00AD79BA">
        <w:t xml:space="preserve"> </w:t>
      </w:r>
    </w:p>
    <w:p w:rsidR="000A34E6" w:rsidRPr="00E06755" w:rsidRDefault="000A34E6" w:rsidP="00AD2C25">
      <w:pPr>
        <w:pStyle w:val="af0"/>
      </w:pPr>
      <w:r w:rsidRPr="00E06755">
        <w:t>Главная страница ПИАО при переходе по прямой ссылке представлена на рисунке</w:t>
      </w:r>
      <w:r w:rsidR="00187024" w:rsidRPr="00187024">
        <w:t xml:space="preserve"> </w:t>
      </w:r>
      <w:r w:rsidR="00187024">
        <w:fldChar w:fldCharType="begin"/>
      </w:r>
      <w:r w:rsidR="00187024">
        <w:instrText xml:space="preserve"> REF _Ref69979886 \h </w:instrText>
      </w:r>
      <w:r w:rsidR="00187024">
        <w:fldChar w:fldCharType="separate"/>
      </w:r>
      <w:r w:rsidR="00BF0BEE">
        <w:rPr>
          <w:noProof/>
        </w:rPr>
        <w:t>5</w:t>
      </w:r>
      <w:r w:rsidR="00187024">
        <w:fldChar w:fldCharType="end"/>
      </w:r>
      <w:r w:rsidRPr="00E06755">
        <w:t>.</w:t>
      </w:r>
    </w:p>
    <w:p w:rsidR="00187024" w:rsidRDefault="009C307E" w:rsidP="00187024">
      <w:pPr>
        <w:pStyle w:val="afffff7"/>
        <w:keepNext/>
      </w:pPr>
      <w:r>
        <w:rPr>
          <w:noProof/>
          <w:lang w:eastAsia="ru-RU"/>
        </w:rPr>
        <w:drawing>
          <wp:inline distT="0" distB="0" distL="0" distR="0" wp14:anchorId="16438A9C" wp14:editId="38294A61">
            <wp:extent cx="5940957" cy="2859482"/>
            <wp:effectExtent l="0" t="0" r="3175" b="0"/>
            <wp:docPr id="6244" name="Рисунок 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b="1427"/>
                    <a:stretch/>
                  </pic:blipFill>
                  <pic:spPr bwMode="auto">
                    <a:xfrm>
                      <a:off x="0" y="0"/>
                      <a:ext cx="5939790" cy="2858920"/>
                    </a:xfrm>
                    <a:prstGeom prst="rect">
                      <a:avLst/>
                    </a:prstGeom>
                    <a:ln>
                      <a:noFill/>
                    </a:ln>
                    <a:extLst>
                      <a:ext uri="{53640926-AAD7-44D8-BBD7-CCE9431645EC}">
                        <a14:shadowObscured xmlns:a14="http://schemas.microsoft.com/office/drawing/2010/main"/>
                      </a:ext>
                    </a:extLst>
                  </pic:spPr>
                </pic:pic>
              </a:graphicData>
            </a:graphic>
          </wp:inline>
        </w:drawing>
      </w:r>
    </w:p>
    <w:p w:rsidR="000A34E6" w:rsidRPr="00E06755" w:rsidRDefault="00187024" w:rsidP="00187024">
      <w:pPr>
        <w:pStyle w:val="-0"/>
      </w:pPr>
      <w:bookmarkStart w:id="37" w:name="_Toc119584192"/>
      <w:r w:rsidRPr="00E06755">
        <w:t xml:space="preserve">Рисунок </w:t>
      </w:r>
      <w:fldSimple w:instr=" SEQ Рисунок \* ARABIC ">
        <w:bookmarkStart w:id="38" w:name="_Ref69979886"/>
        <w:r w:rsidR="001860A9">
          <w:rPr>
            <w:noProof/>
          </w:rPr>
          <w:t>5</w:t>
        </w:r>
        <w:bookmarkEnd w:id="38"/>
      </w:fldSimple>
      <w:r w:rsidRPr="00E06755">
        <w:t xml:space="preserve"> – Главная страница ПИАО при переходе по прямой ссылке</w:t>
      </w:r>
      <w:bookmarkEnd w:id="37"/>
    </w:p>
    <w:p w:rsidR="00D55811" w:rsidRPr="00E06755" w:rsidRDefault="00F80CFD" w:rsidP="00237A6E">
      <w:pPr>
        <w:pStyle w:val="26"/>
      </w:pPr>
      <w:bookmarkStart w:id="39" w:name="_Toc119585026"/>
      <w:r>
        <w:t>П</w:t>
      </w:r>
      <w:r w:rsidR="00D55811" w:rsidRPr="00E06755">
        <w:t>орядок базовой проверки работоспособности ИС</w:t>
      </w:r>
      <w:bookmarkEnd w:id="39"/>
    </w:p>
    <w:p w:rsidR="00FF409A" w:rsidRDefault="005E4EA4" w:rsidP="008A6040">
      <w:pPr>
        <w:pStyle w:val="af0"/>
        <w:rPr>
          <w:lang w:val="en-US"/>
        </w:rPr>
      </w:pPr>
      <w:r w:rsidRPr="00E06755">
        <w:t xml:space="preserve">Проверка работоспособности </w:t>
      </w:r>
      <w:r w:rsidRPr="00E06755">
        <w:rPr>
          <w:szCs w:val="28"/>
        </w:rPr>
        <w:t>Подсистемы информационно-аналитического обеспечения</w:t>
      </w:r>
      <w:r w:rsidRPr="00E06755">
        <w:t xml:space="preserve"> должн</w:t>
      </w:r>
      <w:r w:rsidR="00E07467" w:rsidRPr="00E06755">
        <w:t>а выполняться Администраторами Подс</w:t>
      </w:r>
      <w:r w:rsidRPr="00E06755">
        <w:t>истемы</w:t>
      </w:r>
      <w:r w:rsidR="00E07467" w:rsidRPr="00E06755">
        <w:t xml:space="preserve"> (</w:t>
      </w:r>
      <w:r w:rsidR="000B64B4" w:rsidRPr="00E06755">
        <w:t xml:space="preserve">п. </w:t>
      </w:r>
      <w:r w:rsidR="000B64B4" w:rsidRPr="00E06755">
        <w:fldChar w:fldCharType="begin"/>
      </w:r>
      <w:r w:rsidR="000B64B4" w:rsidRPr="00E06755">
        <w:instrText xml:space="preserve"> REF _Ref25656231 \r \h </w:instrText>
      </w:r>
      <w:r w:rsidR="001F44DA" w:rsidRPr="00E06755">
        <w:instrText xml:space="preserve"> \* MERGEFORMAT </w:instrText>
      </w:r>
      <w:r w:rsidR="000B64B4" w:rsidRPr="00E06755">
        <w:fldChar w:fldCharType="separate"/>
      </w:r>
      <w:r w:rsidR="00BF0BEE">
        <w:t>1.2.3</w:t>
      </w:r>
      <w:r w:rsidR="000B64B4" w:rsidRPr="00E06755">
        <w:fldChar w:fldCharType="end"/>
      </w:r>
      <w:r w:rsidR="000B64B4" w:rsidRPr="00E06755">
        <w:t xml:space="preserve"> настоящего документа</w:t>
      </w:r>
      <w:r w:rsidR="00E07467" w:rsidRPr="00E06755">
        <w:t>)</w:t>
      </w:r>
      <w:r w:rsidRPr="00E06755">
        <w:t>.</w:t>
      </w:r>
    </w:p>
    <w:p w:rsidR="00021182" w:rsidRPr="000319D4" w:rsidRDefault="00021182" w:rsidP="00021182">
      <w:pPr>
        <w:pStyle w:val="26"/>
        <w:rPr>
          <w:szCs w:val="32"/>
        </w:rPr>
      </w:pPr>
      <w:bookmarkStart w:id="40" w:name="_Toc119585027"/>
      <w:r w:rsidRPr="00021182">
        <w:t xml:space="preserve">Настройка доступа к </w:t>
      </w:r>
      <w:r w:rsidR="000319D4">
        <w:t xml:space="preserve">ГИИС </w:t>
      </w:r>
      <w:r w:rsidR="00E06DFA">
        <w:t>«</w:t>
      </w:r>
      <w:r w:rsidRPr="00021182">
        <w:t>Электронный Бюджет</w:t>
      </w:r>
      <w:r w:rsidR="00E06DFA">
        <w:t>»</w:t>
      </w:r>
      <w:r w:rsidRPr="00021182">
        <w:t xml:space="preserve"> в ОС</w:t>
      </w:r>
      <w:r w:rsidRPr="00D97B83">
        <w:rPr>
          <w:szCs w:val="32"/>
        </w:rPr>
        <w:t xml:space="preserve"> </w:t>
      </w:r>
      <w:r>
        <w:rPr>
          <w:szCs w:val="32"/>
          <w:lang w:val="en-US"/>
        </w:rPr>
        <w:t>GosLinux</w:t>
      </w:r>
      <w:bookmarkEnd w:id="40"/>
    </w:p>
    <w:p w:rsidR="00021182" w:rsidRPr="00021182" w:rsidRDefault="00021182" w:rsidP="00E1459D">
      <w:pPr>
        <w:pStyle w:val="35"/>
        <w:rPr>
          <w:lang w:val="en-US"/>
        </w:rPr>
      </w:pPr>
      <w:bookmarkStart w:id="41" w:name="_Toc119585028"/>
      <w:r>
        <w:t>Требования к АРМ</w:t>
      </w:r>
      <w:bookmarkEnd w:id="41"/>
    </w:p>
    <w:p w:rsidR="00021182" w:rsidRDefault="00244E58" w:rsidP="00021182">
      <w:pPr>
        <w:pStyle w:val="af0"/>
      </w:pPr>
      <w:r>
        <w:t>Требования к АРМ:</w:t>
      </w:r>
    </w:p>
    <w:p w:rsidR="00021182" w:rsidRPr="00021182" w:rsidRDefault="00021182" w:rsidP="00DE1661">
      <w:pPr>
        <w:pStyle w:val="13"/>
      </w:pPr>
      <w:r w:rsidRPr="00021182">
        <w:tab/>
        <w:t>ГосЛинукс любой версии (</w:t>
      </w:r>
      <w:r w:rsidRPr="00021182">
        <w:rPr>
          <w:lang w:val="en-US"/>
        </w:rPr>
        <w:t>IC</w:t>
      </w:r>
      <w:r w:rsidRPr="00021182">
        <w:t>1-</w:t>
      </w:r>
      <w:r w:rsidRPr="00021182">
        <w:rPr>
          <w:lang w:val="en-US"/>
        </w:rPr>
        <w:t>IC</w:t>
      </w:r>
      <w:r w:rsidRPr="00021182">
        <w:t>3) установленный как Стандартная рабочая станция</w:t>
      </w:r>
    </w:p>
    <w:p w:rsidR="00021182" w:rsidRPr="00021182" w:rsidRDefault="00021182" w:rsidP="00DE1661">
      <w:pPr>
        <w:pStyle w:val="13"/>
      </w:pPr>
      <w:r w:rsidRPr="00021182">
        <w:tab/>
        <w:t>АРМ должна иметь доступ в Интернет</w:t>
      </w:r>
    </w:p>
    <w:p w:rsidR="00021182" w:rsidRPr="00021182" w:rsidRDefault="00021182" w:rsidP="00DE1661">
      <w:pPr>
        <w:pStyle w:val="13"/>
      </w:pPr>
      <w:r w:rsidRPr="00021182">
        <w:tab/>
        <w:t xml:space="preserve">Учетная запись </w:t>
      </w:r>
      <w:r w:rsidRPr="00021182">
        <w:rPr>
          <w:lang w:val="en-US"/>
        </w:rPr>
        <w:t>root</w:t>
      </w:r>
      <w:r w:rsidRPr="00021182">
        <w:t xml:space="preserve">, либо пользователь с правами </w:t>
      </w:r>
      <w:r w:rsidRPr="00021182">
        <w:rPr>
          <w:lang w:val="en-US"/>
        </w:rPr>
        <w:t>sudo</w:t>
      </w:r>
    </w:p>
    <w:p w:rsidR="00021182" w:rsidRPr="00021182" w:rsidRDefault="00E1459D" w:rsidP="00E1459D">
      <w:pPr>
        <w:pStyle w:val="35"/>
      </w:pPr>
      <w:bookmarkStart w:id="42" w:name="_Toc119585029"/>
      <w:r>
        <w:t>Приведение ОС в актуальное состояние</w:t>
      </w:r>
      <w:bookmarkEnd w:id="42"/>
    </w:p>
    <w:p w:rsidR="00E1459D" w:rsidRDefault="00E1459D" w:rsidP="00E1459D">
      <w:pPr>
        <w:pStyle w:val="af0"/>
      </w:pPr>
      <w:r w:rsidRPr="002E6367">
        <w:t xml:space="preserve">Все команды выполняются под пользователем </w:t>
      </w:r>
      <w:r w:rsidRPr="002E6367">
        <w:rPr>
          <w:b/>
          <w:bCs/>
          <w:lang w:val="en-US"/>
        </w:rPr>
        <w:t>root</w:t>
      </w:r>
      <w:r w:rsidRPr="002E6367">
        <w:t xml:space="preserve">, либо из-под пользователя с правами </w:t>
      </w:r>
      <w:r w:rsidRPr="002E6367">
        <w:rPr>
          <w:b/>
          <w:bCs/>
          <w:lang w:val="en-US"/>
        </w:rPr>
        <w:t>sudo</w:t>
      </w:r>
      <w:r w:rsidRPr="002E6367">
        <w:rPr>
          <w:b/>
          <w:bCs/>
        </w:rPr>
        <w:t xml:space="preserve"> </w:t>
      </w:r>
      <w:r w:rsidRPr="002E6367">
        <w:t xml:space="preserve">(соответственно с добавлением </w:t>
      </w:r>
      <w:r w:rsidRPr="002E6367">
        <w:rPr>
          <w:b/>
          <w:bCs/>
          <w:lang w:val="en-US"/>
        </w:rPr>
        <w:t>sudo</w:t>
      </w:r>
      <w:r w:rsidRPr="002E6367">
        <w:t xml:space="preserve"> перед каждой командой)</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rm -rf /etc/yum.repos.d/*</w:t>
      </w:r>
      <w:r w:rsidR="004127FE" w:rsidRPr="004127FE">
        <w:rPr>
          <w:rFonts w:cstheme="minorHAnsi"/>
          <w:color w:val="333333"/>
          <w:shd w:val="clear" w:color="auto" w:fill="FFFFFF"/>
          <w:lang w:val="en-US"/>
        </w:rPr>
        <w:t>;</w:t>
      </w:r>
    </w:p>
    <w:p w:rsidR="00E1459D" w:rsidRPr="00A9216F" w:rsidRDefault="004127FE" w:rsidP="005C6E50">
      <w:pPr>
        <w:pStyle w:val="afff6"/>
        <w:numPr>
          <w:ilvl w:val="0"/>
          <w:numId w:val="76"/>
        </w:numPr>
        <w:spacing w:after="200" w:line="276" w:lineRule="auto"/>
        <w:contextualSpacing/>
        <w:jc w:val="left"/>
        <w:rPr>
          <w:rStyle w:val="affffc"/>
          <w:rFonts w:cstheme="minorHAnsi"/>
          <w:b w:val="0"/>
          <w:bCs w:val="0"/>
          <w:lang w:val="en-US"/>
        </w:rPr>
      </w:pPr>
      <w:r>
        <w:rPr>
          <w:rStyle w:val="affffc"/>
          <w:rFonts w:cstheme="minorHAnsi"/>
          <w:bCs w:val="0"/>
          <w:color w:val="333333"/>
          <w:shd w:val="clear" w:color="auto" w:fill="FFFFFF"/>
        </w:rPr>
        <w:t>с</w:t>
      </w:r>
      <w:r w:rsidR="00E1459D" w:rsidRPr="00A9216F">
        <w:rPr>
          <w:rStyle w:val="affffc"/>
          <w:rFonts w:cstheme="minorHAnsi"/>
          <w:bCs w:val="0"/>
          <w:color w:val="333333"/>
          <w:shd w:val="clear" w:color="auto" w:fill="FFFFFF"/>
        </w:rPr>
        <w:t>копировать</w:t>
      </w:r>
      <w:r w:rsidR="00E1459D" w:rsidRPr="00A9216F">
        <w:rPr>
          <w:rStyle w:val="affffc"/>
          <w:rFonts w:cstheme="minorHAnsi"/>
          <w:bCs w:val="0"/>
          <w:color w:val="333333"/>
          <w:shd w:val="clear" w:color="auto" w:fill="FFFFFF"/>
          <w:lang w:val="en-US"/>
        </w:rPr>
        <w:t xml:space="preserve"> </w:t>
      </w:r>
      <w:r w:rsidR="00E1459D" w:rsidRPr="00A9216F">
        <w:rPr>
          <w:rStyle w:val="affffc"/>
          <w:rFonts w:cstheme="minorHAnsi"/>
          <w:bCs w:val="0"/>
          <w:color w:val="333333"/>
          <w:shd w:val="clear" w:color="auto" w:fill="FFFFFF"/>
        </w:rPr>
        <w:t>файл</w:t>
      </w:r>
      <w:r w:rsidR="00E1459D" w:rsidRPr="00A9216F">
        <w:rPr>
          <w:rStyle w:val="affffc"/>
          <w:rFonts w:cstheme="minorHAnsi"/>
          <w:bCs w:val="0"/>
          <w:color w:val="333333"/>
          <w:shd w:val="clear" w:color="auto" w:fill="FFFFFF"/>
          <w:lang w:val="en-US"/>
        </w:rPr>
        <w:t> </w:t>
      </w:r>
      <w:r w:rsidR="00E1459D" w:rsidRPr="00A9216F">
        <w:rPr>
          <w:rStyle w:val="afffff2"/>
          <w:rFonts w:cstheme="minorHAnsi"/>
          <w:color w:val="333333"/>
          <w:shd w:val="clear" w:color="auto" w:fill="FFFFFF"/>
          <w:lang w:val="en-US"/>
        </w:rPr>
        <w:t>centos-Base.repo</w:t>
      </w:r>
      <w:r w:rsidR="00E1459D" w:rsidRPr="00A9216F">
        <w:rPr>
          <w:rStyle w:val="affffc"/>
          <w:rFonts w:cstheme="minorHAnsi"/>
          <w:bCs w:val="0"/>
          <w:color w:val="333333"/>
          <w:shd w:val="clear" w:color="auto" w:fill="FFFFFF"/>
          <w:lang w:val="en-US"/>
        </w:rPr>
        <w:t> </w:t>
      </w:r>
      <w:r w:rsidR="00E1459D" w:rsidRPr="00A9216F">
        <w:rPr>
          <w:rStyle w:val="affffc"/>
          <w:rFonts w:cstheme="minorHAnsi"/>
          <w:bCs w:val="0"/>
          <w:color w:val="333333"/>
          <w:shd w:val="clear" w:color="auto" w:fill="FFFFFF"/>
        </w:rPr>
        <w:t>в</w:t>
      </w:r>
      <w:r w:rsidR="00E1459D" w:rsidRPr="00A9216F">
        <w:rPr>
          <w:rStyle w:val="affffc"/>
          <w:rFonts w:cstheme="minorHAnsi"/>
          <w:bCs w:val="0"/>
          <w:color w:val="333333"/>
          <w:shd w:val="clear" w:color="auto" w:fill="FFFFFF"/>
          <w:lang w:val="en-US"/>
        </w:rPr>
        <w:t xml:space="preserve"> </w:t>
      </w:r>
      <w:r w:rsidR="00E1459D" w:rsidRPr="00A9216F">
        <w:rPr>
          <w:rStyle w:val="affffc"/>
          <w:rFonts w:cstheme="minorHAnsi"/>
          <w:color w:val="333333"/>
          <w:shd w:val="clear" w:color="auto" w:fill="FFFFFF"/>
          <w:lang w:val="en-US"/>
        </w:rPr>
        <w:t>/etc/yum.repos.d/</w:t>
      </w:r>
      <w:r w:rsidRPr="004127FE">
        <w:rPr>
          <w:rStyle w:val="affffc"/>
          <w:rFonts w:cstheme="minorHAnsi"/>
          <w:color w:val="333333"/>
          <w:shd w:val="clear" w:color="auto" w:fill="FFFFFF"/>
          <w:lang w:val="en-US"/>
        </w:rPr>
        <w:t>;</w:t>
      </w:r>
    </w:p>
    <w:p w:rsidR="00E1459D" w:rsidRDefault="00E1459D" w:rsidP="00E1459D">
      <w:pPr>
        <w:pStyle w:val="afff6"/>
        <w:ind w:left="1080"/>
      </w:pPr>
      <w:r>
        <w:object w:dxaOrig="1521" w:dyaOrig="991">
          <v:shape id="_x0000_i1027" type="#_x0000_t75" style="width:76.5pt;height:49.5pt" o:ole="">
            <v:imagedata r:id="rId24" o:title=""/>
          </v:shape>
          <o:OLEObject Type="Embed" ProgID="Package" ShapeID="_x0000_i1027" DrawAspect="Icon" ObjectID="_1730198769" r:id="rId25"/>
        </w:objec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 xml:space="preserve">wget </w:t>
      </w:r>
      <w:hyperlink r:id="rId26" w:history="1">
        <w:r w:rsidRPr="00A9216F">
          <w:rPr>
            <w:rStyle w:val="af5"/>
            <w:rFonts w:cstheme="minorHAnsi"/>
            <w:shd w:val="clear" w:color="auto" w:fill="FFFFFF"/>
            <w:lang w:val="en-US"/>
          </w:rPr>
          <w:t>http://mirror.centos.org/centos/RPM-GPG-KEY-CentOS-6 -P /etc/pki/rpm-gpg/</w:t>
        </w:r>
      </w:hyperlink>
      <w:r w:rsidR="004127FE" w:rsidRPr="004127FE">
        <w:rPr>
          <w:rStyle w:val="af5"/>
          <w:rFonts w:cstheme="minorHAnsi"/>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4127FE">
        <w:rPr>
          <w:rFonts w:cstheme="minorHAnsi"/>
          <w:color w:val="333333"/>
          <w:shd w:val="clear" w:color="auto" w:fill="FFFFFF"/>
          <w:lang w:val="en-US"/>
        </w:rPr>
        <w:t xml:space="preserve">yum update --skip-broken </w:t>
      </w:r>
      <w:r w:rsidR="004127FE" w:rsidRPr="004127FE">
        <w:rPr>
          <w:rFonts w:cstheme="minorHAnsi"/>
          <w:color w:val="333333"/>
          <w:shd w:val="clear" w:color="auto" w:fill="FFFFFF"/>
          <w:lang w:val="en-US"/>
        </w:rPr>
        <w:t>–</w:t>
      </w:r>
      <w:r w:rsidRPr="004127FE">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4127FE">
        <w:rPr>
          <w:rFonts w:cstheme="minorHAnsi"/>
          <w:color w:val="333333"/>
          <w:shd w:val="clear" w:color="auto" w:fill="FFFFFF"/>
          <w:lang w:val="en-US"/>
        </w:rPr>
        <w:t xml:space="preserve">yum install epel-release </w:t>
      </w:r>
      <w:r w:rsidR="004127FE" w:rsidRPr="004127FE">
        <w:rPr>
          <w:rFonts w:cstheme="minorHAnsi"/>
          <w:color w:val="333333"/>
          <w:shd w:val="clear" w:color="auto" w:fill="FFFFFF"/>
          <w:lang w:val="en-US"/>
        </w:rPr>
        <w:t>–</w:t>
      </w:r>
      <w:r w:rsidRPr="004127FE">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4127FE">
        <w:rPr>
          <w:rFonts w:cstheme="minorHAnsi"/>
          <w:color w:val="333333"/>
          <w:shd w:val="clear" w:color="auto" w:fill="FFFFFF"/>
          <w:lang w:val="en-US"/>
        </w:rPr>
        <w:t xml:space="preserve">yum update --skip-broken </w:t>
      </w:r>
      <w:r w:rsidR="004127FE" w:rsidRPr="004127FE">
        <w:rPr>
          <w:rFonts w:cstheme="minorHAnsi"/>
          <w:color w:val="333333"/>
          <w:shd w:val="clear" w:color="auto" w:fill="FFFFFF"/>
          <w:lang w:val="en-US"/>
        </w:rPr>
        <w:t>–</w:t>
      </w:r>
      <w:r w:rsidRPr="004127FE">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 xml:space="preserve">rpm --import </w:t>
      </w:r>
      <w:hyperlink r:id="rId27" w:history="1">
        <w:r w:rsidRPr="00A9216F">
          <w:rPr>
            <w:rStyle w:val="af5"/>
            <w:rFonts w:cstheme="minorHAnsi"/>
            <w:shd w:val="clear" w:color="auto" w:fill="FFFFFF"/>
            <w:lang w:val="en-US"/>
          </w:rPr>
          <w:t>https://www.elrepo.org/RPM-GPG-KEY-elrepo.org</w:t>
        </w:r>
      </w:hyperlink>
      <w:r w:rsidR="004127FE" w:rsidRPr="004127FE">
        <w:rPr>
          <w:rStyle w:val="af5"/>
          <w:rFonts w:cstheme="minorHAnsi"/>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yum install https://www.elrepo.org/elrepo-release-6.el6.elrepo.noarch.rpm -y</w:t>
      </w:r>
      <w:r w:rsidR="004127FE" w:rsidRPr="004127FE">
        <w:rPr>
          <w:rFonts w:cstheme="minorHAnsi"/>
          <w:color w:val="333333"/>
          <w:shd w:val="clear" w:color="auto" w:fill="FFFFFF"/>
          <w:lang w:val="en-US"/>
        </w:rPr>
        <w:t>;</w:t>
      </w:r>
    </w:p>
    <w:p w:rsidR="00E1459D" w:rsidRPr="00A9216F"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 xml:space="preserve">yum --enablerepo=elrepo-kernel install kernel-lt </w:t>
      </w:r>
      <w:r w:rsidR="004127FE">
        <w:rPr>
          <w:rFonts w:cstheme="minorHAnsi"/>
          <w:color w:val="333333"/>
          <w:shd w:val="clear" w:color="auto" w:fill="FFFFFF"/>
          <w:lang w:val="en-US"/>
        </w:rPr>
        <w:t>–</w:t>
      </w:r>
      <w:r w:rsidRPr="00A9216F">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A9216F">
        <w:rPr>
          <w:rFonts w:cstheme="minorHAnsi"/>
          <w:color w:val="333333"/>
          <w:shd w:val="clear" w:color="auto" w:fill="FFFFFF"/>
          <w:lang w:val="en-US"/>
        </w:rPr>
        <w:t>reboot</w:t>
      </w:r>
      <w:r w:rsidR="004127FE">
        <w:rPr>
          <w:rFonts w:cstheme="minorHAnsi"/>
          <w:color w:val="333333"/>
          <w:shd w:val="clear" w:color="auto" w:fill="FFFFFF"/>
        </w:rPr>
        <w:t>;</w:t>
      </w:r>
    </w:p>
    <w:p w:rsidR="00E1459D" w:rsidRDefault="00E1459D" w:rsidP="00E1459D">
      <w:pPr>
        <w:ind w:left="720"/>
        <w:rPr>
          <w:rFonts w:cstheme="minorHAnsi"/>
          <w:color w:val="333333"/>
          <w:szCs w:val="24"/>
          <w:shd w:val="clear" w:color="auto" w:fill="FFFFFF"/>
        </w:rPr>
      </w:pPr>
      <w:r w:rsidRPr="00812FA6">
        <w:rPr>
          <w:rStyle w:val="affffc"/>
          <w:rFonts w:cstheme="minorHAnsi"/>
          <w:color w:val="333333"/>
          <w:szCs w:val="24"/>
          <w:shd w:val="clear" w:color="auto" w:fill="FFFFFF"/>
        </w:rPr>
        <w:t>ОБЯЗАТЕЛЬНО</w:t>
      </w:r>
      <w:r w:rsidRPr="00812FA6">
        <w:rPr>
          <w:rFonts w:cstheme="minorHAnsi"/>
          <w:color w:val="333333"/>
          <w:szCs w:val="24"/>
          <w:shd w:val="clear" w:color="auto" w:fill="FFFFFF"/>
        </w:rPr>
        <w:t> </w:t>
      </w:r>
      <w:r w:rsidRPr="00E1459D">
        <w:rPr>
          <w:rStyle w:val="af1"/>
        </w:rPr>
        <w:t>проследить, что загружаетесь с ядром 4.4!</w:t>
      </w:r>
    </w:p>
    <w:p w:rsidR="00E1459D" w:rsidRPr="00812FA6" w:rsidRDefault="00E1459D" w:rsidP="005C6E50">
      <w:pPr>
        <w:pStyle w:val="afff6"/>
        <w:numPr>
          <w:ilvl w:val="0"/>
          <w:numId w:val="76"/>
        </w:numPr>
        <w:spacing w:after="200" w:line="276" w:lineRule="auto"/>
        <w:contextualSpacing/>
        <w:jc w:val="left"/>
        <w:rPr>
          <w:rFonts w:cstheme="minorHAnsi"/>
        </w:rPr>
      </w:pPr>
      <w:r w:rsidRPr="00812FA6">
        <w:rPr>
          <w:rStyle w:val="HTML3"/>
          <w:rFonts w:asciiTheme="minorHAnsi" w:eastAsiaTheme="majorEastAsia" w:hAnsiTheme="minorHAnsi" w:cstheme="minorHAnsi"/>
          <w:color w:val="333333"/>
          <w:sz w:val="22"/>
          <w:szCs w:val="22"/>
          <w:shd w:val="clear" w:color="auto" w:fill="FFFFFF"/>
        </w:rPr>
        <w:t>uname -r</w:t>
      </w:r>
      <w:r w:rsidRPr="00812FA6">
        <w:rPr>
          <w:rFonts w:cstheme="minorHAnsi"/>
          <w:color w:val="333333"/>
          <w:shd w:val="clear" w:color="auto" w:fill="FFFFFF"/>
        </w:rPr>
        <w:t> </w:t>
      </w:r>
    </w:p>
    <w:p w:rsidR="00E1459D" w:rsidRPr="00812FA6" w:rsidRDefault="00E1459D" w:rsidP="00E1459D">
      <w:pPr>
        <w:pStyle w:val="afff6"/>
        <w:ind w:left="1080"/>
        <w:rPr>
          <w:rFonts w:cstheme="minorHAnsi"/>
          <w:color w:val="333333"/>
          <w:shd w:val="clear" w:color="auto" w:fill="FFFFFF"/>
        </w:rPr>
      </w:pPr>
      <w:r w:rsidRPr="00812FA6">
        <w:rPr>
          <w:rFonts w:cstheme="minorHAnsi"/>
          <w:color w:val="333333"/>
          <w:shd w:val="clear" w:color="auto" w:fill="FFFFFF"/>
        </w:rPr>
        <w:t>(в ответ должно быть 4.4.ххх...)</w:t>
      </w:r>
      <w:r w:rsidR="004127FE">
        <w:rPr>
          <w:rFonts w:cstheme="minorHAnsi"/>
          <w:color w:val="333333"/>
          <w:shd w:val="clear" w:color="auto" w:fill="FFFFFF"/>
        </w:rPr>
        <w:t>;</w:t>
      </w:r>
    </w:p>
    <w:p w:rsidR="00E1459D" w:rsidRPr="00812FA6" w:rsidRDefault="00E1459D" w:rsidP="005C6E50">
      <w:pPr>
        <w:pStyle w:val="afff6"/>
        <w:numPr>
          <w:ilvl w:val="0"/>
          <w:numId w:val="76"/>
        </w:numPr>
        <w:spacing w:after="200" w:line="276" w:lineRule="auto"/>
        <w:contextualSpacing/>
        <w:jc w:val="left"/>
        <w:rPr>
          <w:rFonts w:cstheme="minorHAnsi"/>
        </w:rPr>
      </w:pPr>
      <w:r w:rsidRPr="00812FA6">
        <w:rPr>
          <w:rFonts w:cstheme="minorHAnsi"/>
          <w:color w:val="333333"/>
          <w:shd w:val="clear" w:color="auto" w:fill="FFFFFF"/>
        </w:rPr>
        <w:t>package-cleanup --oldkernels --count=1</w:t>
      </w:r>
      <w:r w:rsidR="004127FE">
        <w:rPr>
          <w:rFonts w:cstheme="minorHAnsi"/>
          <w:color w:val="333333"/>
          <w:shd w:val="clear" w:color="auto" w:fill="FFFFFF"/>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lang w:val="en-US"/>
        </w:rPr>
        <w:t xml:space="preserve">yum remove kernel-2.6.32-754.33.1.el6.x86_64 </w:t>
      </w:r>
      <w:r w:rsidR="004127FE">
        <w:rPr>
          <w:rFonts w:cstheme="minorHAnsi"/>
          <w:color w:val="333333"/>
          <w:shd w:val="clear" w:color="auto" w:fill="FFFFFF"/>
          <w:lang w:val="en-US"/>
        </w:rPr>
        <w:t>–</w:t>
      </w:r>
      <w:r w:rsidRPr="00812FA6">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lang w:val="en-US"/>
        </w:rPr>
        <w:t>rm -f /etc/yum.repos.d/elrepo.repo</w:t>
      </w:r>
      <w:r w:rsidR="004127FE" w:rsidRPr="004127FE">
        <w:rPr>
          <w:rFonts w:cstheme="minorHAnsi"/>
          <w:color w:val="333333"/>
          <w:shd w:val="clear" w:color="auto" w:fill="FFFFFF"/>
          <w:lang w:val="en-US"/>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lang w:val="en-US"/>
        </w:rPr>
        <w:t xml:space="preserve">yum remove elrepo-release-6-10.el6.elrepo.noarch </w:t>
      </w:r>
      <w:r w:rsidR="004127FE">
        <w:rPr>
          <w:rFonts w:cstheme="minorHAnsi"/>
          <w:color w:val="333333"/>
          <w:shd w:val="clear" w:color="auto" w:fill="FFFFFF"/>
          <w:lang w:val="en-US"/>
        </w:rPr>
        <w:t>–</w:t>
      </w:r>
      <w:r w:rsidRPr="00812FA6">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812FA6" w:rsidRDefault="004127FE" w:rsidP="005C6E50">
      <w:pPr>
        <w:pStyle w:val="afff6"/>
        <w:numPr>
          <w:ilvl w:val="0"/>
          <w:numId w:val="76"/>
        </w:numPr>
        <w:spacing w:after="200" w:line="276" w:lineRule="auto"/>
        <w:contextualSpacing/>
        <w:jc w:val="left"/>
        <w:rPr>
          <w:rStyle w:val="affffc"/>
          <w:rFonts w:cstheme="minorHAnsi"/>
          <w:b w:val="0"/>
          <w:bCs w:val="0"/>
          <w:lang w:val="en-US"/>
        </w:rPr>
      </w:pPr>
      <w:r>
        <w:rPr>
          <w:rStyle w:val="affffc"/>
          <w:rFonts w:cstheme="minorHAnsi"/>
          <w:bCs w:val="0"/>
          <w:color w:val="333333"/>
          <w:shd w:val="clear" w:color="auto" w:fill="FFFFFF"/>
        </w:rPr>
        <w:t>с</w:t>
      </w:r>
      <w:r w:rsidR="00E1459D" w:rsidRPr="00812FA6">
        <w:rPr>
          <w:rStyle w:val="affffc"/>
          <w:rFonts w:cstheme="minorHAnsi"/>
          <w:bCs w:val="0"/>
          <w:color w:val="333333"/>
          <w:shd w:val="clear" w:color="auto" w:fill="FFFFFF"/>
        </w:rPr>
        <w:t>копировать</w:t>
      </w:r>
      <w:r w:rsidR="00E1459D" w:rsidRPr="00812FA6">
        <w:rPr>
          <w:rStyle w:val="affffc"/>
          <w:rFonts w:cstheme="minorHAnsi"/>
          <w:bCs w:val="0"/>
          <w:color w:val="333333"/>
          <w:shd w:val="clear" w:color="auto" w:fill="FFFFFF"/>
          <w:lang w:val="en-US"/>
        </w:rPr>
        <w:t xml:space="preserve"> </w:t>
      </w:r>
      <w:r w:rsidR="00E1459D" w:rsidRPr="00812FA6">
        <w:rPr>
          <w:rStyle w:val="affffc"/>
          <w:rFonts w:cstheme="minorHAnsi"/>
          <w:bCs w:val="0"/>
          <w:color w:val="333333"/>
          <w:shd w:val="clear" w:color="auto" w:fill="FFFFFF"/>
        </w:rPr>
        <w:t>файл</w:t>
      </w:r>
      <w:r w:rsidR="00E1459D" w:rsidRPr="00812FA6">
        <w:rPr>
          <w:rStyle w:val="affffc"/>
          <w:rFonts w:cstheme="minorHAnsi"/>
          <w:bCs w:val="0"/>
          <w:color w:val="333333"/>
          <w:shd w:val="clear" w:color="auto" w:fill="FFFFFF"/>
          <w:lang w:val="en-US"/>
        </w:rPr>
        <w:t> </w:t>
      </w:r>
      <w:r w:rsidR="00E1459D" w:rsidRPr="00812FA6">
        <w:rPr>
          <w:rStyle w:val="afffff2"/>
          <w:rFonts w:cstheme="minorHAnsi"/>
          <w:color w:val="333333"/>
          <w:shd w:val="clear" w:color="auto" w:fill="FFFFFF"/>
          <w:lang w:val="en-US"/>
        </w:rPr>
        <w:t>mosquito.repo</w:t>
      </w:r>
      <w:r w:rsidR="00E1459D" w:rsidRPr="00812FA6">
        <w:rPr>
          <w:rStyle w:val="affffc"/>
          <w:rFonts w:cstheme="minorHAnsi"/>
          <w:bCs w:val="0"/>
          <w:color w:val="333333"/>
          <w:shd w:val="clear" w:color="auto" w:fill="FFFFFF"/>
          <w:lang w:val="en-US"/>
        </w:rPr>
        <w:t> </w:t>
      </w:r>
      <w:r w:rsidR="00E1459D" w:rsidRPr="00812FA6">
        <w:rPr>
          <w:rStyle w:val="affffc"/>
          <w:rFonts w:cstheme="minorHAnsi"/>
          <w:bCs w:val="0"/>
          <w:color w:val="333333"/>
          <w:shd w:val="clear" w:color="auto" w:fill="FFFFFF"/>
        </w:rPr>
        <w:t>в</w:t>
      </w:r>
      <w:r w:rsidR="00E1459D" w:rsidRPr="00812FA6">
        <w:rPr>
          <w:rStyle w:val="affffc"/>
          <w:rFonts w:cstheme="minorHAnsi"/>
          <w:bCs w:val="0"/>
          <w:color w:val="333333"/>
          <w:shd w:val="clear" w:color="auto" w:fill="FFFFFF"/>
          <w:lang w:val="en-US"/>
        </w:rPr>
        <w:t xml:space="preserve"> </w:t>
      </w:r>
      <w:r w:rsidR="00E1459D" w:rsidRPr="00812FA6">
        <w:rPr>
          <w:rStyle w:val="affffc"/>
          <w:rFonts w:cstheme="minorHAnsi"/>
          <w:color w:val="333333"/>
          <w:shd w:val="clear" w:color="auto" w:fill="FFFFFF"/>
          <w:lang w:val="en-US"/>
        </w:rPr>
        <w:t>/etc/yum.repos.d/</w:t>
      </w:r>
      <w:r w:rsidRPr="004127FE">
        <w:rPr>
          <w:rStyle w:val="affffc"/>
          <w:rFonts w:cstheme="minorHAnsi"/>
          <w:color w:val="333333"/>
          <w:shd w:val="clear" w:color="auto" w:fill="FFFFFF"/>
          <w:lang w:val="en-US"/>
        </w:rPr>
        <w:t>;</w:t>
      </w:r>
    </w:p>
    <w:p w:rsidR="00E1459D" w:rsidRPr="00812FA6" w:rsidRDefault="00E1459D" w:rsidP="00E1459D">
      <w:pPr>
        <w:pStyle w:val="afff6"/>
        <w:ind w:left="1080"/>
        <w:rPr>
          <w:rStyle w:val="affffc"/>
          <w:rFonts w:cstheme="minorHAnsi"/>
          <w:b w:val="0"/>
          <w:bCs w:val="0"/>
          <w:lang w:val="en-US"/>
        </w:rPr>
      </w:pPr>
      <w:r>
        <w:object w:dxaOrig="1521" w:dyaOrig="991">
          <v:shape id="_x0000_i1028" type="#_x0000_t75" style="width:76.5pt;height:49.5pt" o:ole="">
            <v:imagedata r:id="rId28" o:title=""/>
          </v:shape>
          <o:OLEObject Type="Embed" ProgID="Package" ShapeID="_x0000_i1028" DrawAspect="Icon" ObjectID="_1730198770" r:id="rId29"/>
        </w:objec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4127FE">
        <w:rPr>
          <w:rFonts w:cstheme="minorHAnsi"/>
          <w:color w:val="333333"/>
          <w:shd w:val="clear" w:color="auto" w:fill="FFFFFF"/>
          <w:lang w:val="en-US"/>
        </w:rPr>
        <w:t xml:space="preserve">yum update --skip-broken </w:t>
      </w:r>
      <w:r w:rsidR="004127FE" w:rsidRPr="004127FE">
        <w:rPr>
          <w:rFonts w:cstheme="minorHAnsi"/>
          <w:color w:val="333333"/>
          <w:shd w:val="clear" w:color="auto" w:fill="FFFFFF"/>
          <w:lang w:val="en-US"/>
        </w:rPr>
        <w:t>–</w:t>
      </w:r>
      <w:r w:rsidRPr="004127FE">
        <w:rPr>
          <w:rFonts w:cstheme="minorHAnsi"/>
          <w:color w:val="333333"/>
          <w:shd w:val="clear" w:color="auto" w:fill="FFFFFF"/>
          <w:lang w:val="en-US"/>
        </w:rPr>
        <w:t>y</w:t>
      </w:r>
      <w:r w:rsidR="004127FE" w:rsidRPr="004127FE">
        <w:rPr>
          <w:rFonts w:cstheme="minorHAnsi"/>
          <w:color w:val="333333"/>
          <w:shd w:val="clear" w:color="auto" w:fill="FFFFFF"/>
          <w:lang w:val="en-US"/>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lang w:val="en-US"/>
        </w:rPr>
        <w:t xml:space="preserve">wget </w:t>
      </w:r>
      <w:hyperlink r:id="rId30" w:history="1">
        <w:r w:rsidRPr="00812FA6">
          <w:rPr>
            <w:rStyle w:val="af5"/>
            <w:rFonts w:cstheme="minorHAnsi"/>
            <w:shd w:val="clear" w:color="auto" w:fill="FFFFFF"/>
            <w:lang w:val="en-US"/>
          </w:rPr>
          <w:t>http://mirror.centos.org/centos/7/os/x86_64/Packages/openssl-libs-1.0.2k-19.el7.x86_64.rpm</w:t>
        </w:r>
      </w:hyperlink>
      <w:r w:rsidR="004127FE" w:rsidRPr="004127FE">
        <w:rPr>
          <w:rStyle w:val="af5"/>
          <w:rFonts w:cstheme="minorHAnsi"/>
          <w:shd w:val="clear" w:color="auto" w:fill="FFFFFF"/>
          <w:lang w:val="en-US"/>
        </w:rPr>
        <w:t>;</w:t>
      </w:r>
    </w:p>
    <w:p w:rsidR="00E1459D" w:rsidRPr="00812FA6"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lang w:val="en-US"/>
        </w:rPr>
        <w:t xml:space="preserve">wget </w:t>
      </w:r>
      <w:hyperlink r:id="rId31" w:history="1">
        <w:r w:rsidRPr="00812FA6">
          <w:rPr>
            <w:rStyle w:val="af5"/>
            <w:rFonts w:cstheme="minorHAnsi"/>
            <w:shd w:val="clear" w:color="auto" w:fill="FFFFFF"/>
            <w:lang w:val="en-US"/>
          </w:rPr>
          <w:t>http://mirror.centos.org/centos/7/os/x86_64/Packages/openssl-1.0.2k-19.el7.x86_64.rpm</w:t>
        </w:r>
      </w:hyperlink>
      <w:r w:rsidR="009C5D55" w:rsidRPr="009C5D55">
        <w:rPr>
          <w:rStyle w:val="af5"/>
          <w:rFonts w:cstheme="minorHAnsi"/>
          <w:shd w:val="clear" w:color="auto" w:fill="FFFFFF"/>
          <w:lang w:val="en-US"/>
        </w:rPr>
        <w:t>;</w:t>
      </w:r>
    </w:p>
    <w:p w:rsidR="00E1459D" w:rsidRPr="00166532" w:rsidRDefault="00E1459D" w:rsidP="005C6E50">
      <w:pPr>
        <w:pStyle w:val="afff6"/>
        <w:numPr>
          <w:ilvl w:val="0"/>
          <w:numId w:val="76"/>
        </w:numPr>
        <w:spacing w:after="200" w:line="276" w:lineRule="auto"/>
        <w:contextualSpacing/>
        <w:jc w:val="left"/>
        <w:rPr>
          <w:rFonts w:cstheme="minorHAnsi"/>
          <w:lang w:val="en-US"/>
        </w:rPr>
      </w:pPr>
      <w:r w:rsidRPr="00812FA6">
        <w:rPr>
          <w:rFonts w:cstheme="minorHAnsi"/>
          <w:color w:val="333333"/>
          <w:shd w:val="clear" w:color="auto" w:fill="FFFFFF"/>
        </w:rPr>
        <w:t xml:space="preserve">yum install *.rpm </w:t>
      </w:r>
      <w:r w:rsidR="009C5D55">
        <w:rPr>
          <w:rFonts w:cstheme="minorHAnsi"/>
          <w:color w:val="333333"/>
          <w:shd w:val="clear" w:color="auto" w:fill="FFFFFF"/>
        </w:rPr>
        <w:t>–</w:t>
      </w:r>
      <w:r w:rsidRPr="00812FA6">
        <w:rPr>
          <w:rFonts w:cstheme="minorHAnsi"/>
          <w:color w:val="333333"/>
          <w:shd w:val="clear" w:color="auto" w:fill="FFFFFF"/>
        </w:rPr>
        <w:t>y</w:t>
      </w:r>
      <w:r w:rsidR="009C5D55">
        <w:rPr>
          <w:rFonts w:cstheme="minorHAnsi"/>
          <w:color w:val="333333"/>
          <w:shd w:val="clear" w:color="auto" w:fill="FFFFFF"/>
        </w:rPr>
        <w:t>;</w:t>
      </w:r>
    </w:p>
    <w:p w:rsidR="00E1459D" w:rsidRPr="00E1459D" w:rsidRDefault="00E1459D" w:rsidP="005C6E50">
      <w:pPr>
        <w:pStyle w:val="afff6"/>
        <w:numPr>
          <w:ilvl w:val="0"/>
          <w:numId w:val="76"/>
        </w:numPr>
        <w:spacing w:after="200" w:line="276" w:lineRule="auto"/>
        <w:contextualSpacing/>
        <w:jc w:val="left"/>
        <w:rPr>
          <w:rFonts w:cstheme="minorHAnsi"/>
          <w:lang w:val="en-US"/>
        </w:rPr>
      </w:pPr>
      <w:r>
        <w:rPr>
          <w:rFonts w:cstheme="minorHAnsi"/>
          <w:color w:val="333333"/>
          <w:shd w:val="clear" w:color="auto" w:fill="FFFFFF"/>
          <w:lang w:val="en-US"/>
        </w:rPr>
        <w:t>yum update –y</w:t>
      </w:r>
      <w:r w:rsidR="009C5D55">
        <w:rPr>
          <w:rFonts w:cstheme="minorHAnsi"/>
          <w:color w:val="333333"/>
          <w:shd w:val="clear" w:color="auto" w:fill="FFFFFF"/>
        </w:rPr>
        <w:t>.</w:t>
      </w:r>
    </w:p>
    <w:p w:rsidR="00E1459D" w:rsidRPr="00EE1398" w:rsidRDefault="00E1459D" w:rsidP="00E1459D">
      <w:pPr>
        <w:pStyle w:val="35"/>
        <w:rPr>
          <w:lang w:val="en-US"/>
        </w:rPr>
      </w:pPr>
      <w:bookmarkStart w:id="43" w:name="_Toc119585030"/>
      <w:r w:rsidRPr="00E1459D">
        <w:rPr>
          <w:rStyle w:val="affffc"/>
          <w:b/>
          <w:bCs/>
        </w:rPr>
        <w:t>Установка</w:t>
      </w:r>
      <w:r w:rsidRPr="00EE1398">
        <w:rPr>
          <w:rStyle w:val="affffc"/>
          <w:b/>
          <w:bCs/>
          <w:lang w:val="en-US"/>
        </w:rPr>
        <w:t xml:space="preserve"> Chromium-gost, CryptoPro, CryptoPro Browser plugin</w:t>
      </w:r>
      <w:bookmarkEnd w:id="43"/>
    </w:p>
    <w:p w:rsidR="00E1459D" w:rsidRPr="00166532" w:rsidRDefault="00E1459D" w:rsidP="005C6E50">
      <w:pPr>
        <w:pStyle w:val="afff6"/>
        <w:numPr>
          <w:ilvl w:val="0"/>
          <w:numId w:val="77"/>
        </w:numPr>
        <w:spacing w:after="200" w:line="276" w:lineRule="auto"/>
        <w:contextualSpacing/>
        <w:jc w:val="left"/>
        <w:rPr>
          <w:rFonts w:cstheme="minorHAnsi"/>
          <w:lang w:val="en-US"/>
        </w:rPr>
      </w:pPr>
      <w:r w:rsidRPr="00166532">
        <w:rPr>
          <w:rFonts w:cstheme="minorHAnsi"/>
          <w:color w:val="333333"/>
          <w:shd w:val="clear" w:color="auto" w:fill="FFFFFF"/>
          <w:lang w:val="en-US"/>
        </w:rPr>
        <w:t xml:space="preserve">wget </w:t>
      </w:r>
      <w:hyperlink r:id="rId32" w:history="1">
        <w:r w:rsidRPr="00166532">
          <w:rPr>
            <w:rStyle w:val="af5"/>
            <w:rFonts w:cstheme="minorHAnsi"/>
            <w:shd w:val="clear" w:color="auto" w:fill="FFFFFF"/>
            <w:lang w:val="en-US"/>
          </w:rPr>
          <w:t>https://github.com/deemru/chromium-gost/releases/download/58.0.3029.110/chromium-gost-58.0.3029.110-x64.rpm</w:t>
        </w:r>
      </w:hyperlink>
      <w:r w:rsidR="009C5D55" w:rsidRPr="009C5D55">
        <w:rPr>
          <w:rStyle w:val="af5"/>
          <w:rFonts w:cstheme="minorHAnsi"/>
          <w:shd w:val="clear" w:color="auto" w:fill="FFFFFF"/>
          <w:lang w:val="en-US"/>
        </w:rPr>
        <w:t>;</w:t>
      </w:r>
    </w:p>
    <w:p w:rsidR="00E1459D" w:rsidRPr="00166532" w:rsidRDefault="00E1459D" w:rsidP="005C6E50">
      <w:pPr>
        <w:pStyle w:val="afff6"/>
        <w:numPr>
          <w:ilvl w:val="0"/>
          <w:numId w:val="77"/>
        </w:numPr>
        <w:spacing w:after="200" w:line="276" w:lineRule="auto"/>
        <w:contextualSpacing/>
        <w:jc w:val="left"/>
        <w:rPr>
          <w:rFonts w:cstheme="minorHAnsi"/>
          <w:lang w:val="en-US"/>
        </w:rPr>
      </w:pPr>
      <w:r w:rsidRPr="00166532">
        <w:rPr>
          <w:rFonts w:cstheme="minorHAnsi"/>
          <w:color w:val="333333"/>
          <w:shd w:val="clear" w:color="auto" w:fill="FFFFFF"/>
          <w:lang w:val="en-US"/>
        </w:rPr>
        <w:t xml:space="preserve">yum install chromium-gost-58.0.3029.110-x64.rpm </w:t>
      </w:r>
      <w:r w:rsidR="009C5D55">
        <w:rPr>
          <w:rFonts w:cstheme="minorHAnsi"/>
          <w:color w:val="333333"/>
          <w:shd w:val="clear" w:color="auto" w:fill="FFFFFF"/>
          <w:lang w:val="en-US"/>
        </w:rPr>
        <w:t>–</w:t>
      </w:r>
      <w:r w:rsidRPr="00166532">
        <w:rPr>
          <w:rFonts w:cstheme="minorHAnsi"/>
          <w:color w:val="333333"/>
          <w:shd w:val="clear" w:color="auto" w:fill="FFFFFF"/>
          <w:lang w:val="en-US"/>
        </w:rPr>
        <w:t>y</w:t>
      </w:r>
      <w:r w:rsidR="009C5D55" w:rsidRPr="009C5D55">
        <w:rPr>
          <w:rFonts w:cstheme="minorHAnsi"/>
          <w:color w:val="333333"/>
          <w:shd w:val="clear" w:color="auto" w:fill="FFFFFF"/>
          <w:lang w:val="en-US"/>
        </w:rPr>
        <w:t>;</w:t>
      </w:r>
    </w:p>
    <w:p w:rsidR="00E1459D" w:rsidRPr="00166532" w:rsidRDefault="00E1459D" w:rsidP="00E1459D">
      <w:pPr>
        <w:pStyle w:val="afff6"/>
        <w:ind w:left="1080"/>
        <w:rPr>
          <w:rFonts w:cstheme="minorHAnsi"/>
          <w:lang w:val="en-US"/>
        </w:rPr>
      </w:pPr>
      <w:r w:rsidRPr="00166532">
        <w:rPr>
          <w:rStyle w:val="affffc"/>
          <w:rFonts w:cstheme="minorHAnsi"/>
          <w:b w:val="0"/>
          <w:bCs w:val="0"/>
          <w:lang w:val="en-US"/>
        </w:rPr>
        <w:object w:dxaOrig="2005" w:dyaOrig="816">
          <v:shape id="_x0000_i1029" type="#_x0000_t75" style="width:99.75pt;height:39.75pt" o:ole="">
            <v:imagedata r:id="rId33" o:title=""/>
          </v:shape>
          <o:OLEObject Type="Embed" ProgID="Package" ShapeID="_x0000_i1029" DrawAspect="Content" ObjectID="_1730198771" r:id="rId34"/>
        </w:object>
      </w:r>
    </w:p>
    <w:p w:rsidR="00E1459D" w:rsidRDefault="00E1459D" w:rsidP="005C6E50">
      <w:pPr>
        <w:pStyle w:val="afff6"/>
        <w:numPr>
          <w:ilvl w:val="0"/>
          <w:numId w:val="77"/>
        </w:numPr>
        <w:spacing w:after="200" w:line="276" w:lineRule="auto"/>
        <w:contextualSpacing/>
        <w:jc w:val="left"/>
        <w:rPr>
          <w:rStyle w:val="affffc"/>
          <w:rFonts w:cstheme="minorHAnsi"/>
          <w:b w:val="0"/>
          <w:bCs w:val="0"/>
          <w:lang w:val="en-US"/>
        </w:rPr>
      </w:pPr>
      <w:r>
        <w:rPr>
          <w:rStyle w:val="affffc"/>
          <w:rFonts w:cstheme="minorHAnsi"/>
          <w:bCs w:val="0"/>
          <w:lang w:val="en-US"/>
        </w:rPr>
        <w:t>unzip CryptoPro_cades.zip</w:t>
      </w:r>
      <w:r w:rsidR="009C5D55">
        <w:rPr>
          <w:rStyle w:val="affffc"/>
          <w:rFonts w:cstheme="minorHAnsi"/>
          <w:bCs w:val="0"/>
        </w:rPr>
        <w:t>;</w:t>
      </w:r>
    </w:p>
    <w:p w:rsidR="00E1459D" w:rsidRPr="00D21A9B" w:rsidRDefault="009C5D55" w:rsidP="005C6E50">
      <w:pPr>
        <w:pStyle w:val="afff6"/>
        <w:numPr>
          <w:ilvl w:val="0"/>
          <w:numId w:val="77"/>
        </w:numPr>
        <w:spacing w:after="200" w:line="276" w:lineRule="auto"/>
        <w:contextualSpacing/>
        <w:jc w:val="left"/>
        <w:rPr>
          <w:rFonts w:cstheme="minorHAnsi"/>
        </w:rPr>
      </w:pPr>
      <w:r>
        <w:rPr>
          <w:rStyle w:val="affffc"/>
          <w:rFonts w:cstheme="minorHAnsi"/>
          <w:bCs w:val="0"/>
        </w:rPr>
        <w:t>о</w:t>
      </w:r>
      <w:r w:rsidR="00E1459D" w:rsidRPr="00D21A9B">
        <w:rPr>
          <w:rStyle w:val="affffc"/>
          <w:rFonts w:cstheme="minorHAnsi"/>
          <w:bCs w:val="0"/>
        </w:rPr>
        <w:t xml:space="preserve">ткрыть </w:t>
      </w:r>
      <w:r w:rsidR="00E1459D" w:rsidRPr="00D21A9B">
        <w:rPr>
          <w:rStyle w:val="affffc"/>
          <w:rFonts w:cstheme="minorHAnsi"/>
          <w:bCs w:val="0"/>
          <w:lang w:val="en-US"/>
        </w:rPr>
        <w:t>Chromium</w:t>
      </w:r>
      <w:r w:rsidR="00E1459D" w:rsidRPr="00D21A9B">
        <w:rPr>
          <w:rStyle w:val="affffc"/>
          <w:rFonts w:cstheme="minorHAnsi"/>
          <w:bCs w:val="0"/>
        </w:rPr>
        <w:t>-</w:t>
      </w:r>
      <w:r w:rsidR="00E1459D" w:rsidRPr="00D21A9B">
        <w:rPr>
          <w:rStyle w:val="affffc"/>
          <w:rFonts w:cstheme="minorHAnsi"/>
          <w:bCs w:val="0"/>
          <w:lang w:val="en-US"/>
        </w:rPr>
        <w:t>gost</w:t>
      </w:r>
      <w:r w:rsidR="00E1459D" w:rsidRPr="00D21A9B">
        <w:rPr>
          <w:rStyle w:val="affffc"/>
          <w:rFonts w:cstheme="minorHAnsi"/>
          <w:bCs w:val="0"/>
        </w:rPr>
        <w:t>&gt;</w:t>
      </w:r>
      <w:r w:rsidR="00E1459D" w:rsidRPr="00D21A9B">
        <w:rPr>
          <w:rFonts w:cstheme="minorHAnsi"/>
          <w:color w:val="333333"/>
          <w:shd w:val="clear" w:color="auto" w:fill="FFFFFF"/>
        </w:rPr>
        <w:t>открыть Меню&gt;Дополнительные инструменты&gt;Расширения</w:t>
      </w:r>
      <w:r>
        <w:rPr>
          <w:rFonts w:cstheme="minorHAnsi"/>
          <w:color w:val="333333"/>
          <w:shd w:val="clear" w:color="auto" w:fill="FFFFFF"/>
        </w:rPr>
        <w:t>;</w:t>
      </w:r>
    </w:p>
    <w:p w:rsidR="00E1459D" w:rsidRPr="00D21A9B" w:rsidRDefault="009C5D55" w:rsidP="005C6E50">
      <w:pPr>
        <w:pStyle w:val="afff6"/>
        <w:numPr>
          <w:ilvl w:val="0"/>
          <w:numId w:val="77"/>
        </w:numPr>
        <w:spacing w:after="200" w:line="276" w:lineRule="auto"/>
        <w:contextualSpacing/>
        <w:jc w:val="left"/>
        <w:rPr>
          <w:rFonts w:cstheme="minorHAnsi"/>
        </w:rPr>
      </w:pPr>
      <w:r>
        <w:rPr>
          <w:rFonts w:cstheme="minorHAnsi"/>
          <w:color w:val="333333"/>
          <w:shd w:val="clear" w:color="auto" w:fill="FFFFFF"/>
        </w:rPr>
        <w:t>о</w:t>
      </w:r>
      <w:r w:rsidR="00E1459D">
        <w:rPr>
          <w:rFonts w:cstheme="minorHAnsi"/>
          <w:color w:val="333333"/>
          <w:shd w:val="clear" w:color="auto" w:fill="FFFFFF"/>
        </w:rPr>
        <w:t xml:space="preserve">тметить галочкой </w:t>
      </w:r>
      <w:r w:rsidR="00E1459D" w:rsidRPr="00D21A9B">
        <w:rPr>
          <w:rFonts w:cstheme="minorHAnsi"/>
          <w:b/>
          <w:bCs/>
          <w:color w:val="333333"/>
          <w:shd w:val="clear" w:color="auto" w:fill="FFFFFF"/>
        </w:rPr>
        <w:t>Режим разработчика</w:t>
      </w:r>
      <w:r w:rsidR="00E1459D" w:rsidRPr="00D21A9B">
        <w:rPr>
          <w:rFonts w:cstheme="minorHAnsi"/>
          <w:color w:val="333333"/>
          <w:shd w:val="clear" w:color="auto" w:fill="FFFFFF"/>
        </w:rPr>
        <w:t>&gt;</w:t>
      </w:r>
      <w:r w:rsidR="00E1459D">
        <w:rPr>
          <w:rFonts w:ascii="Verdana" w:hAnsi="Verdana"/>
          <w:color w:val="333333"/>
          <w:sz w:val="18"/>
          <w:szCs w:val="18"/>
          <w:shd w:val="clear" w:color="auto" w:fill="FFFFFF"/>
        </w:rPr>
        <w:t>Загрузить распакованное расширение&gt;указать путь до папки с расширением.</w:t>
      </w:r>
    </w:p>
    <w:p w:rsidR="00E1459D" w:rsidRPr="00E1459D" w:rsidRDefault="00E1459D" w:rsidP="00E1459D">
      <w:pPr>
        <w:pStyle w:val="af0"/>
        <w:rPr>
          <w:rStyle w:val="affffc"/>
          <w:rFonts w:cstheme="minorHAnsi"/>
          <w:b w:val="0"/>
          <w:bCs w:val="0"/>
          <w:sz w:val="24"/>
          <w:szCs w:val="24"/>
        </w:rPr>
      </w:pPr>
      <w:r w:rsidRPr="00E1459D">
        <w:rPr>
          <w:rStyle w:val="af1"/>
        </w:rPr>
        <w:t xml:space="preserve">Установка </w:t>
      </w:r>
      <w:r w:rsidRPr="00E1459D">
        <w:rPr>
          <w:rStyle w:val="af1"/>
          <w:lang w:val="en-US"/>
        </w:rPr>
        <w:t>CryptoPro</w:t>
      </w:r>
      <w:r w:rsidRPr="00E1459D">
        <w:rPr>
          <w:rStyle w:val="af1"/>
        </w:rPr>
        <w:t xml:space="preserve">, </w:t>
      </w:r>
      <w:r w:rsidRPr="00E1459D">
        <w:rPr>
          <w:rStyle w:val="af1"/>
          <w:lang w:val="en-US"/>
        </w:rPr>
        <w:t>CryptoPro</w:t>
      </w:r>
      <w:r w:rsidRPr="00E1459D">
        <w:rPr>
          <w:rStyle w:val="af1"/>
        </w:rPr>
        <w:t xml:space="preserve"> </w:t>
      </w:r>
      <w:r w:rsidRPr="00E1459D">
        <w:rPr>
          <w:rStyle w:val="af1"/>
          <w:lang w:val="en-US"/>
        </w:rPr>
        <w:t>Browser</w:t>
      </w:r>
      <w:r w:rsidRPr="00E1459D">
        <w:rPr>
          <w:rStyle w:val="af1"/>
        </w:rPr>
        <w:t xml:space="preserve"> </w:t>
      </w:r>
      <w:r w:rsidRPr="00E1459D">
        <w:rPr>
          <w:rStyle w:val="af1"/>
          <w:lang w:val="en-US"/>
        </w:rPr>
        <w:t>plugin</w:t>
      </w:r>
      <w:r w:rsidRPr="00E1459D">
        <w:rPr>
          <w:rStyle w:val="af1"/>
        </w:rPr>
        <w:t>, сертификатов пользователей и корневых сертификатов происходит в штатном режиме, инструкции можно найти на сайте</w:t>
      </w:r>
      <w:r w:rsidRPr="00E1459D">
        <w:t xml:space="preserve"> </w:t>
      </w:r>
      <w:hyperlink r:id="rId35" w:history="1">
        <w:r w:rsidRPr="00E1459D">
          <w:t>https://www.cryptopro.ru/</w:t>
        </w:r>
      </w:hyperlink>
      <w:r>
        <w:t>.</w:t>
      </w:r>
    </w:p>
    <w:p w:rsidR="00FF409A" w:rsidRPr="00E1459D" w:rsidRDefault="00FF409A">
      <w:pPr>
        <w:spacing w:after="200" w:line="276" w:lineRule="auto"/>
        <w:jc w:val="left"/>
        <w:rPr>
          <w:sz w:val="28"/>
        </w:rPr>
      </w:pPr>
      <w:r w:rsidRPr="00E1459D">
        <w:br w:type="page"/>
      </w:r>
    </w:p>
    <w:p w:rsidR="002D60E6" w:rsidRPr="00E06755" w:rsidRDefault="002D60E6" w:rsidP="002D60E6">
      <w:pPr>
        <w:pStyle w:val="14"/>
      </w:pPr>
      <w:bookmarkStart w:id="44" w:name="_Toc119585031"/>
      <w:r w:rsidRPr="00E06755">
        <w:t>Описание функций</w:t>
      </w:r>
      <w:bookmarkEnd w:id="44"/>
    </w:p>
    <w:p w:rsidR="002D60E6" w:rsidRPr="00E06755" w:rsidRDefault="0011433F" w:rsidP="002D60E6">
      <w:pPr>
        <w:pStyle w:val="26"/>
      </w:pPr>
      <w:bookmarkStart w:id="45" w:name="_Toc119585032"/>
      <w:r w:rsidRPr="00E06755">
        <w:t>Перечень функциональных областей Подсистемы</w:t>
      </w:r>
      <w:bookmarkEnd w:id="45"/>
    </w:p>
    <w:p w:rsidR="00307BD6" w:rsidRPr="00E06755" w:rsidRDefault="00307BD6" w:rsidP="00307BD6">
      <w:pPr>
        <w:pStyle w:val="af0"/>
      </w:pPr>
      <w:r w:rsidRPr="00E06755">
        <w:t>Подсистема включает в себя следующие функциональные области:</w:t>
      </w:r>
    </w:p>
    <w:p w:rsidR="00137E2F" w:rsidRPr="00E06755" w:rsidRDefault="004127FE" w:rsidP="00DE1661">
      <w:pPr>
        <w:pStyle w:val="13"/>
      </w:pPr>
      <w:r>
        <w:t>х</w:t>
      </w:r>
      <w:r w:rsidR="00137E2F" w:rsidRPr="00E06755">
        <w:t>ранение информации:</w:t>
      </w:r>
    </w:p>
    <w:p w:rsidR="00137E2F" w:rsidRPr="00E06755" w:rsidRDefault="004127FE" w:rsidP="00137E2F">
      <w:pPr>
        <w:pStyle w:val="29"/>
        <w:rPr>
          <w:rFonts w:eastAsia="SimSun"/>
        </w:rPr>
      </w:pPr>
      <w:r>
        <w:rPr>
          <w:rFonts w:eastAsia="Calibri"/>
        </w:rPr>
        <w:t>ц</w:t>
      </w:r>
      <w:r w:rsidR="00137E2F" w:rsidRPr="00E06755">
        <w:rPr>
          <w:rFonts w:eastAsia="Calibri"/>
        </w:rPr>
        <w:t>ентрализованное хранилище данных</w:t>
      </w:r>
      <w:r>
        <w:rPr>
          <w:rFonts w:eastAsia="Calibri"/>
        </w:rPr>
        <w:t>;</w:t>
      </w:r>
    </w:p>
    <w:p w:rsidR="00137E2F" w:rsidRPr="00E06755" w:rsidRDefault="004127FE" w:rsidP="00137E2F">
      <w:pPr>
        <w:pStyle w:val="29"/>
        <w:rPr>
          <w:rFonts w:eastAsia="SimSun"/>
        </w:rPr>
      </w:pPr>
      <w:r>
        <w:rPr>
          <w:rFonts w:eastAsia="SimSun"/>
        </w:rPr>
        <w:t>м</w:t>
      </w:r>
      <w:r w:rsidR="00137E2F" w:rsidRPr="00E06755">
        <w:rPr>
          <w:rFonts w:eastAsia="SimSun"/>
        </w:rPr>
        <w:t>ногомерный анализ данных</w:t>
      </w:r>
      <w:r>
        <w:rPr>
          <w:rFonts w:eastAsia="SimSun"/>
        </w:rPr>
        <w:t>;</w:t>
      </w:r>
    </w:p>
    <w:p w:rsidR="00137E2F" w:rsidRPr="00E06755" w:rsidRDefault="004127FE" w:rsidP="00DE1661">
      <w:pPr>
        <w:pStyle w:val="13"/>
      </w:pPr>
      <w:r>
        <w:t>з</w:t>
      </w:r>
      <w:r w:rsidR="00137E2F" w:rsidRPr="00E06755">
        <w:t>агрузка информации:</w:t>
      </w:r>
    </w:p>
    <w:p w:rsidR="00137E2F" w:rsidRPr="00E06755" w:rsidRDefault="004127FE" w:rsidP="00137E2F">
      <w:pPr>
        <w:pStyle w:val="29"/>
      </w:pPr>
      <w:r>
        <w:t>п</w:t>
      </w:r>
      <w:r w:rsidR="00137E2F" w:rsidRPr="00E06755">
        <w:t>одготовка, загрузка и обеспечение качества данных</w:t>
      </w:r>
      <w:r>
        <w:t>;</w:t>
      </w:r>
    </w:p>
    <w:p w:rsidR="00137E2F" w:rsidRPr="00E06755" w:rsidRDefault="004127FE" w:rsidP="00DE1661">
      <w:pPr>
        <w:pStyle w:val="13"/>
      </w:pPr>
      <w:r>
        <w:t>п</w:t>
      </w:r>
      <w:r w:rsidR="00137E2F" w:rsidRPr="00E06755">
        <w:t>редоставление информации:</w:t>
      </w:r>
    </w:p>
    <w:p w:rsidR="00137E2F" w:rsidRPr="00E06755" w:rsidRDefault="004127FE" w:rsidP="00137E2F">
      <w:pPr>
        <w:pStyle w:val="29"/>
      </w:pPr>
      <w:r>
        <w:t>ф</w:t>
      </w:r>
      <w:r w:rsidR="00137E2F" w:rsidRPr="00E06755">
        <w:t>ормирование витрин данных</w:t>
      </w:r>
      <w:r>
        <w:t>;</w:t>
      </w:r>
    </w:p>
    <w:p w:rsidR="00137E2F" w:rsidRPr="00E06755" w:rsidRDefault="004127FE" w:rsidP="00137E2F">
      <w:pPr>
        <w:pStyle w:val="29"/>
      </w:pPr>
      <w:r>
        <w:t>ф</w:t>
      </w:r>
      <w:r w:rsidR="00137E2F" w:rsidRPr="00E06755">
        <w:t>ормирование аналитических отчетов и визуальный анализ</w:t>
      </w:r>
      <w:r>
        <w:t>;</w:t>
      </w:r>
    </w:p>
    <w:p w:rsidR="00137E2F" w:rsidRPr="00E06755" w:rsidRDefault="004127FE" w:rsidP="00137E2F">
      <w:pPr>
        <w:pStyle w:val="29"/>
      </w:pPr>
      <w:r>
        <w:t>н</w:t>
      </w:r>
      <w:r w:rsidR="00137E2F" w:rsidRPr="00E06755">
        <w:t>астройка персонифицированных интерфейсов</w:t>
      </w:r>
      <w:r>
        <w:t>;</w:t>
      </w:r>
    </w:p>
    <w:p w:rsidR="00137E2F" w:rsidRPr="00E06755" w:rsidRDefault="004127FE" w:rsidP="00137E2F">
      <w:pPr>
        <w:pStyle w:val="29"/>
      </w:pPr>
      <w:r>
        <w:t>п</w:t>
      </w:r>
      <w:r w:rsidR="0074588B">
        <w:t>оисково-аналитическая функ</w:t>
      </w:r>
      <w:r w:rsidR="00137E2F" w:rsidRPr="00E06755">
        <w:t>ция</w:t>
      </w:r>
      <w:r>
        <w:t>;</w:t>
      </w:r>
    </w:p>
    <w:p w:rsidR="00137E2F" w:rsidRPr="00E06755" w:rsidRDefault="009C5D55" w:rsidP="00DE1661">
      <w:pPr>
        <w:pStyle w:val="13"/>
      </w:pPr>
      <w:r>
        <w:t>м</w:t>
      </w:r>
      <w:r w:rsidR="00137E2F" w:rsidRPr="00E06755">
        <w:t>обильное приложение Подсистемы.</w:t>
      </w:r>
    </w:p>
    <w:p w:rsidR="000D22EB" w:rsidRPr="00E06755" w:rsidRDefault="000D22EB" w:rsidP="000D22EB">
      <w:pPr>
        <w:pStyle w:val="af0"/>
      </w:pPr>
      <w:r w:rsidRPr="00E06755">
        <w:t xml:space="preserve">Схема функциональной структуры ПИАО представлена на рисунке </w:t>
      </w:r>
      <w:r w:rsidRPr="00E06755">
        <w:fldChar w:fldCharType="begin"/>
      </w:r>
      <w:r w:rsidRPr="00E06755">
        <w:instrText xml:space="preserve"> REF _Ref17034598 \h </w:instrText>
      </w:r>
      <w:r w:rsidR="00C501ED" w:rsidRPr="00E06755">
        <w:instrText xml:space="preserve"> \* MERGEFORMAT </w:instrText>
      </w:r>
      <w:r w:rsidRPr="00E06755">
        <w:fldChar w:fldCharType="separate"/>
      </w:r>
      <w:r w:rsidR="00BF0BEE">
        <w:rPr>
          <w:noProof/>
        </w:rPr>
        <w:t>6</w:t>
      </w:r>
      <w:r w:rsidRPr="00E06755">
        <w:fldChar w:fldCharType="end"/>
      </w:r>
      <w:r w:rsidR="00137E2F" w:rsidRPr="00E06755">
        <w:t>.</w:t>
      </w:r>
    </w:p>
    <w:p w:rsidR="0074588B" w:rsidRDefault="0074588B" w:rsidP="000D22EB">
      <w:pPr>
        <w:pStyle w:val="afffff7"/>
        <w:keepNext/>
        <w:sectPr w:rsidR="0074588B" w:rsidSect="003221FA">
          <w:headerReference w:type="default" r:id="rId36"/>
          <w:headerReference w:type="first" r:id="rId37"/>
          <w:pgSz w:w="11906" w:h="16838"/>
          <w:pgMar w:top="1526" w:right="851" w:bottom="1418" w:left="1701" w:header="1417" w:footer="709" w:gutter="0"/>
          <w:cols w:space="708"/>
          <w:titlePg/>
          <w:docGrid w:linePitch="360"/>
        </w:sectPr>
      </w:pPr>
      <w:bookmarkStart w:id="46" w:name="_Ref495570317"/>
    </w:p>
    <w:p w:rsidR="000D22EB" w:rsidRPr="00E06755" w:rsidRDefault="0036257D" w:rsidP="000D22EB">
      <w:pPr>
        <w:pStyle w:val="afffff7"/>
        <w:keepNext/>
      </w:pPr>
      <w:r>
        <w:object w:dxaOrig="26233" w:dyaOrig="20164">
          <v:shape id="_x0000_i1030" type="#_x0000_t75" style="width:560.25pt;height:430.5pt" o:ole="">
            <v:imagedata r:id="rId38" o:title=""/>
          </v:shape>
          <o:OLEObject Type="Embed" ProgID="Visio.Drawing.11" ShapeID="_x0000_i1030" DrawAspect="Content" ObjectID="_1730198772" r:id="rId39"/>
        </w:object>
      </w:r>
    </w:p>
    <w:p w:rsidR="000D22EB" w:rsidRPr="00E06755" w:rsidRDefault="000D22EB" w:rsidP="00F80CFD">
      <w:pPr>
        <w:pStyle w:val="-0"/>
      </w:pPr>
      <w:bookmarkStart w:id="47" w:name="_Ref88639061"/>
      <w:bookmarkStart w:id="48" w:name="_Toc119584193"/>
      <w:r w:rsidRPr="00E06755">
        <w:t xml:space="preserve">Рисунок </w:t>
      </w:r>
      <w:fldSimple w:instr=" SEQ Рисунок \* ARABIC ">
        <w:bookmarkStart w:id="49" w:name="_Ref17034598"/>
        <w:r w:rsidR="001860A9">
          <w:rPr>
            <w:noProof/>
          </w:rPr>
          <w:t>6</w:t>
        </w:r>
        <w:bookmarkEnd w:id="49"/>
      </w:fldSimple>
      <w:bookmarkEnd w:id="47"/>
      <w:r w:rsidRPr="00E06755">
        <w:t xml:space="preserve"> – Схема</w:t>
      </w:r>
      <w:r w:rsidRPr="00E06755">
        <w:rPr>
          <w:noProof/>
        </w:rPr>
        <w:t xml:space="preserve"> функциональной структуры ПИАО</w:t>
      </w:r>
      <w:bookmarkEnd w:id="48"/>
    </w:p>
    <w:bookmarkEnd w:id="46"/>
    <w:p w:rsidR="007155AF" w:rsidRDefault="007155AF" w:rsidP="0074588B">
      <w:pPr>
        <w:pStyle w:val="26"/>
        <w:numPr>
          <w:ilvl w:val="0"/>
          <w:numId w:val="0"/>
        </w:numPr>
        <w:sectPr w:rsidR="007155AF" w:rsidSect="007155AF">
          <w:headerReference w:type="first" r:id="rId40"/>
          <w:pgSz w:w="16838" w:h="11906" w:orient="landscape"/>
          <w:pgMar w:top="1701" w:right="1526" w:bottom="851" w:left="1418" w:header="1417" w:footer="709" w:gutter="0"/>
          <w:cols w:space="708"/>
          <w:titlePg/>
          <w:docGrid w:linePitch="360"/>
        </w:sectPr>
      </w:pPr>
    </w:p>
    <w:p w:rsidR="002D60E6" w:rsidRPr="00E06755" w:rsidRDefault="002D60E6" w:rsidP="0011433F">
      <w:pPr>
        <w:pStyle w:val="26"/>
      </w:pPr>
      <w:bookmarkStart w:id="50" w:name="_Toc119585033"/>
      <w:r w:rsidRPr="00E06755">
        <w:t>Перечень автоматизируемых функций, входящих в функциональные области.</w:t>
      </w:r>
      <w:bookmarkEnd w:id="50"/>
    </w:p>
    <w:p w:rsidR="00137E2F" w:rsidRPr="00E06755" w:rsidRDefault="00137E2F" w:rsidP="00137E2F">
      <w:pPr>
        <w:pStyle w:val="af0"/>
      </w:pPr>
      <w:r w:rsidRPr="00E06755">
        <w:t>Функциональная область «Хранение информации» обеспечивает выполнение следующих автоматизируемых функций Подсистемы:</w:t>
      </w:r>
    </w:p>
    <w:p w:rsidR="00137E2F" w:rsidRPr="00E06755" w:rsidRDefault="009C5D55" w:rsidP="00DE1661">
      <w:pPr>
        <w:pStyle w:val="13"/>
      </w:pPr>
      <w:r>
        <w:t>ф</w:t>
      </w:r>
      <w:r w:rsidR="00137E2F" w:rsidRPr="00E06755">
        <w:t>ункция «Централизованное хранилище данных» выполняет:</w:t>
      </w:r>
    </w:p>
    <w:p w:rsidR="00137E2F" w:rsidRPr="00E06755" w:rsidRDefault="00137E2F" w:rsidP="00137E2F">
      <w:pPr>
        <w:pStyle w:val="29"/>
      </w:pPr>
      <w:r w:rsidRPr="00E06755">
        <w:rPr>
          <w:rFonts w:eastAsia="Calibri"/>
        </w:rPr>
        <w:t>консолидацию и хранение в хранилище данных структурированных данных, формируемых и обрабатываемых во внешних информационных системах и централизованных подсистемах системы «Электронный бюджет», с предварительной их подготовкой для эффективной аналитической обработки;</w:t>
      </w:r>
    </w:p>
    <w:p w:rsidR="00137E2F" w:rsidRPr="00E06755" w:rsidRDefault="00137E2F" w:rsidP="00137E2F">
      <w:pPr>
        <w:pStyle w:val="29"/>
      </w:pPr>
      <w:r w:rsidRPr="00E06755">
        <w:rPr>
          <w:rFonts w:eastAsia="Calibri"/>
        </w:rPr>
        <w:t>хранение и аналитическую обработку в реляционной базе данных структурированных учетных данных из централизованных подсистем системы «Электронный бюджет» и внешних информационных систем;</w:t>
      </w:r>
    </w:p>
    <w:p w:rsidR="00137E2F" w:rsidRPr="00E06755" w:rsidRDefault="00137E2F" w:rsidP="00137E2F">
      <w:pPr>
        <w:pStyle w:val="29"/>
      </w:pPr>
      <w:r w:rsidRPr="00E06755">
        <w:t xml:space="preserve">хранение </w:t>
      </w:r>
      <w:r w:rsidRPr="00E06755">
        <w:rPr>
          <w:rFonts w:eastAsia="Calibri"/>
        </w:rPr>
        <w:t>первичных данных в централизованном хранилище данных (далее – область хранения первичных данных Подсистемы) для размещения данных из баз данных централизованных подсистем системы «Электронный бюджет» и внешних информационных систем.</w:t>
      </w:r>
    </w:p>
    <w:p w:rsidR="00137E2F" w:rsidRPr="00E06755" w:rsidRDefault="009C5D55" w:rsidP="00DE1661">
      <w:pPr>
        <w:pStyle w:val="13"/>
      </w:pPr>
      <w:r>
        <w:t>ф</w:t>
      </w:r>
      <w:r w:rsidR="00137E2F" w:rsidRPr="00E06755">
        <w:t>ункция «Многомерный анализ данных» выполняет:</w:t>
      </w:r>
    </w:p>
    <w:p w:rsidR="00824EF7" w:rsidRPr="00A43C02" w:rsidRDefault="00824EF7" w:rsidP="00824EF7">
      <w:pPr>
        <w:pStyle w:val="29"/>
      </w:pPr>
      <w:r w:rsidRPr="00A43C02">
        <w:t>хранение и возможность анализа данных, структурированных и предварительно агрегированных по многомерному принципу, для обеспечения возможности оперативного получения обобщающей информации согласно модели данных;</w:t>
      </w:r>
    </w:p>
    <w:p w:rsidR="00824EF7" w:rsidRPr="00A43C02" w:rsidRDefault="00824EF7" w:rsidP="00824EF7">
      <w:pPr>
        <w:pStyle w:val="29"/>
      </w:pPr>
      <w:r w:rsidRPr="00A43C02">
        <w:t>поддержку организации хранения данных с использованием технологий многомерного анализа данных в семантике фактов, мер, измерений, иерархий измерений;</w:t>
      </w:r>
    </w:p>
    <w:p w:rsidR="00824EF7" w:rsidRPr="00A43C02" w:rsidRDefault="00824EF7" w:rsidP="00824EF7">
      <w:pPr>
        <w:pStyle w:val="29"/>
      </w:pPr>
      <w:r w:rsidRPr="00A43C02">
        <w:t>выполнение агрегации данных в логической и/или презентационной моделях данных</w:t>
      </w:r>
      <w:r w:rsidRPr="00A43C02" w:rsidDel="00877856">
        <w:t xml:space="preserve"> </w:t>
      </w:r>
      <w:r w:rsidRPr="00A43C02">
        <w:t>согласно определенной семантике измерений и иерархий, в том числе с поддержкой множественных агрегаций, разных типов агрегаций, специализированных агрегаций для временных и невременных измерений;</w:t>
      </w:r>
    </w:p>
    <w:p w:rsidR="00824EF7" w:rsidRPr="00A43C02" w:rsidRDefault="00824EF7" w:rsidP="00824EF7">
      <w:pPr>
        <w:pStyle w:val="29"/>
      </w:pPr>
      <w:r w:rsidRPr="00A43C02">
        <w:t>механизмы формирования в логической и/или презентационной моделях данных расчетных показателей над измерениями и иерархиями измерений на основании хранимых фактов с применением векторных формул (то есть без приведения алгоритма агрегирования данных, предполагая получение суммарных значений на основании семантики измерений и их иерархий);</w:t>
      </w:r>
    </w:p>
    <w:p w:rsidR="00137E2F" w:rsidRPr="00E06755" w:rsidRDefault="00824EF7" w:rsidP="00824EF7">
      <w:pPr>
        <w:pStyle w:val="29"/>
      </w:pPr>
      <w:r w:rsidRPr="00A43C02">
        <w:t>автоматическое обновление данных в презентационной модели данных при изменении данных в реляционной СУБД.</w:t>
      </w:r>
    </w:p>
    <w:p w:rsidR="00A7445A" w:rsidRPr="00E06755" w:rsidRDefault="00A7445A" w:rsidP="00A7445A">
      <w:pPr>
        <w:pStyle w:val="af0"/>
      </w:pPr>
      <w:r w:rsidRPr="00E06755">
        <w:t>Функциональная область «Загрузка информации» обеспечивает выполнение следующих автоматизируемых функций Подсистемы:</w:t>
      </w:r>
    </w:p>
    <w:p w:rsidR="00A7445A" w:rsidRPr="00E06755" w:rsidRDefault="009C5D55" w:rsidP="00DE1661">
      <w:pPr>
        <w:pStyle w:val="13"/>
      </w:pPr>
      <w:r>
        <w:t>ф</w:t>
      </w:r>
      <w:r w:rsidR="00A7445A" w:rsidRPr="00E06755">
        <w:t>ункция «Подготовка, загрузка и обеспечение качества данных» выполняет:</w:t>
      </w:r>
    </w:p>
    <w:p w:rsidR="00A7445A" w:rsidRPr="00E06755" w:rsidRDefault="00A7445A" w:rsidP="00A7445A">
      <w:pPr>
        <w:pStyle w:val="29"/>
      </w:pPr>
      <w:r w:rsidRPr="00E06755">
        <w:rPr>
          <w:rFonts w:eastAsia="Calibri"/>
        </w:rPr>
        <w:t>настройку приема данных из централизованных подсистем системы «Электронный бюджет» и внешних информационных систем, их очистку, управление качеством, и загрузку в область хранения первичных данных Подсистемы;</w:t>
      </w:r>
    </w:p>
    <w:p w:rsidR="00A7445A" w:rsidRPr="00E06755" w:rsidRDefault="00A7445A" w:rsidP="00A7445A">
      <w:pPr>
        <w:pStyle w:val="29"/>
      </w:pPr>
      <w:r w:rsidRPr="00E06755">
        <w:t>настройку и прием дополнительной информации в структурированном виде (файлы формата xls, xml, csv);</w:t>
      </w:r>
    </w:p>
    <w:p w:rsidR="00A7445A" w:rsidRPr="00E06755" w:rsidRDefault="00A7445A" w:rsidP="00A7445A">
      <w:pPr>
        <w:pStyle w:val="29"/>
      </w:pPr>
      <w:r w:rsidRPr="00E06755">
        <w:t>выполнение логических контролей, а также проверку на соответствие форматам передачи информации, применяемым в системе «Электронный бюджет»;</w:t>
      </w:r>
    </w:p>
    <w:p w:rsidR="00A7445A" w:rsidRPr="00E06755" w:rsidRDefault="00A7445A" w:rsidP="00A7445A">
      <w:pPr>
        <w:pStyle w:val="29"/>
      </w:pPr>
      <w:r w:rsidRPr="00E06755">
        <w:rPr>
          <w:rFonts w:eastAsia="Calibri"/>
        </w:rPr>
        <w:t>обработку данных в процессе их извлечения, подготовки и загрузки таким способом, при котором логика обработки задается декларативно, на основе настраиваемых формализованных правил, без необходимости разработки программного кода на процедурных языках программирования;</w:t>
      </w:r>
    </w:p>
    <w:p w:rsidR="00A7445A" w:rsidRPr="00E06755" w:rsidRDefault="00A7445A" w:rsidP="00A7445A">
      <w:pPr>
        <w:pStyle w:val="29"/>
      </w:pPr>
      <w:r w:rsidRPr="00E06755">
        <w:rPr>
          <w:rFonts w:eastAsia="Calibri"/>
        </w:rPr>
        <w:t>поддержку инкрементального обновления данных в хранилище данных;</w:t>
      </w:r>
    </w:p>
    <w:p w:rsidR="00A7445A" w:rsidRPr="00E06755" w:rsidRDefault="00A7445A" w:rsidP="00A7445A">
      <w:pPr>
        <w:pStyle w:val="29"/>
      </w:pPr>
      <w:r w:rsidRPr="00E06755">
        <w:rPr>
          <w:rFonts w:eastAsia="Calibri"/>
        </w:rPr>
        <w:t>первичную загрузку или повторную загрузку информации за отдельные периоды;</w:t>
      </w:r>
    </w:p>
    <w:p w:rsidR="00A7445A" w:rsidRPr="00E06755" w:rsidRDefault="00A7445A" w:rsidP="00A7445A">
      <w:pPr>
        <w:pStyle w:val="29"/>
      </w:pPr>
      <w:r w:rsidRPr="00E06755">
        <w:rPr>
          <w:rFonts w:eastAsia="Calibri"/>
        </w:rPr>
        <w:t>подготовку данных, извлеченных из подсистем системы «Электронный бюджет» к структурам и форматам, оптимизированным для их хранения и дальнейшей аналитической обработки в рамках хранилища данных Подсистемы;</w:t>
      </w:r>
    </w:p>
    <w:p w:rsidR="00A7445A" w:rsidRPr="00E06755" w:rsidRDefault="00A7445A" w:rsidP="00A7445A">
      <w:pPr>
        <w:pStyle w:val="29"/>
      </w:pPr>
      <w:r w:rsidRPr="00E06755">
        <w:rPr>
          <w:rFonts w:eastAsia="Calibri"/>
        </w:rPr>
        <w:t>настройку правил формирования расчетных (вычисляемых) значений атрибутов и показателей при загрузке информации в хранилище данных Подсистемы;</w:t>
      </w:r>
    </w:p>
    <w:p w:rsidR="00A7445A" w:rsidRPr="00E06755" w:rsidRDefault="00A7445A" w:rsidP="00A7445A">
      <w:pPr>
        <w:pStyle w:val="29"/>
      </w:pPr>
      <w:r w:rsidRPr="00E06755">
        <w:rPr>
          <w:rFonts w:eastAsia="Calibri"/>
        </w:rPr>
        <w:t>распараллеливание процессов передачи данных, в соответствии с настраиваемыми параметрами;</w:t>
      </w:r>
    </w:p>
    <w:p w:rsidR="00A7445A" w:rsidRPr="00E06755" w:rsidRDefault="00A7445A" w:rsidP="00A7445A">
      <w:pPr>
        <w:pStyle w:val="29"/>
      </w:pPr>
      <w:r w:rsidRPr="00E06755">
        <w:rPr>
          <w:rFonts w:eastAsia="Calibri"/>
        </w:rPr>
        <w:t xml:space="preserve">исключение возможности </w:t>
      </w:r>
      <w:r w:rsidRPr="00E06755">
        <w:t xml:space="preserve">получения наборов данных, позволяющих </w:t>
      </w:r>
      <w:r w:rsidRPr="00E06755">
        <w:rPr>
          <w:rFonts w:eastAsia="Calibri"/>
        </w:rPr>
        <w:t>однозначно идентифицировать субъекта персональных данных без использования дополнительной информации;</w:t>
      </w:r>
    </w:p>
    <w:p w:rsidR="00A7445A" w:rsidRPr="00E06755" w:rsidRDefault="00A7445A" w:rsidP="00A7445A">
      <w:pPr>
        <w:pStyle w:val="29"/>
      </w:pPr>
      <w:r w:rsidRPr="00E06755">
        <w:rPr>
          <w:rFonts w:eastAsia="Calibri"/>
        </w:rPr>
        <w:t>запуск процессов извлечения, подготовки и загрузки данных в пакетном режиме, по расписанию, по определенным событиям, запуск процесса уполномоченным пользователем (администратором) Системы;</w:t>
      </w:r>
    </w:p>
    <w:p w:rsidR="00A7445A" w:rsidRPr="00E06755" w:rsidRDefault="00A7445A" w:rsidP="00A7445A">
      <w:pPr>
        <w:pStyle w:val="29"/>
      </w:pPr>
      <w:r w:rsidRPr="00E06755">
        <w:rPr>
          <w:rFonts w:eastAsia="Calibri"/>
        </w:rPr>
        <w:t>протоколирование и мониторинг процессов загрузки структурированных данных в область хранения первичных данных;</w:t>
      </w:r>
    </w:p>
    <w:p w:rsidR="00A7445A" w:rsidRPr="00E06755" w:rsidRDefault="00A7445A" w:rsidP="00A7445A">
      <w:pPr>
        <w:pStyle w:val="29"/>
      </w:pPr>
      <w:r w:rsidRPr="00E06755">
        <w:rPr>
          <w:rFonts w:eastAsia="Calibri"/>
        </w:rPr>
        <w:t>направление уведомлений уполномоченным пользователям Подсистемы при возникновении ошибок загрузки данных в область хранения первичных данных хранилища данных Подсистемы посредством электронной почты, а также соответствующих уведомлений в интерфейсе загрузки данных.</w:t>
      </w:r>
    </w:p>
    <w:p w:rsidR="00A7445A" w:rsidRPr="00E06755" w:rsidRDefault="00A7445A" w:rsidP="00A7445A">
      <w:pPr>
        <w:pStyle w:val="af0"/>
      </w:pPr>
      <w:r w:rsidRPr="00E06755">
        <w:rPr>
          <w:rFonts w:eastAsia="Calibri"/>
        </w:rPr>
        <w:t xml:space="preserve">Функциональная область </w:t>
      </w:r>
      <w:r w:rsidRPr="00E06755">
        <w:t>«</w:t>
      </w:r>
      <w:r w:rsidRPr="00E06755">
        <w:rPr>
          <w:rFonts w:eastAsia="Calibri"/>
        </w:rPr>
        <w:t>Предоставление информации</w:t>
      </w:r>
      <w:r w:rsidRPr="00E06755">
        <w:t>» обеспечивает выполнение следующих автоматизируемых функций Подсистемы:</w:t>
      </w:r>
      <w:r w:rsidRPr="00E06755">
        <w:rPr>
          <w:rFonts w:eastAsia="Calibri"/>
        </w:rPr>
        <w:t xml:space="preserve"> </w:t>
      </w:r>
    </w:p>
    <w:p w:rsidR="00A7445A" w:rsidRPr="00E06755" w:rsidRDefault="009C5D55" w:rsidP="00DE1661">
      <w:pPr>
        <w:pStyle w:val="13"/>
      </w:pPr>
      <w:r>
        <w:t>ф</w:t>
      </w:r>
      <w:r w:rsidR="00A7445A" w:rsidRPr="00E06755">
        <w:t>ункция «Формирование витрин данных» выполняет:</w:t>
      </w:r>
    </w:p>
    <w:p w:rsidR="00A7445A" w:rsidRPr="00E06755" w:rsidRDefault="00A7445A" w:rsidP="00A7445A">
      <w:pPr>
        <w:pStyle w:val="29"/>
      </w:pPr>
      <w:r w:rsidRPr="00E06755">
        <w:rPr>
          <w:rFonts w:eastAsia="Calibri"/>
        </w:rPr>
        <w:t>автоматизацию подготовки выборок и срезов данных, сформированных в рамках выполнения функций «Централизованное хранилище данных» и «Многомерный анализ данных»;</w:t>
      </w:r>
    </w:p>
    <w:p w:rsidR="00A7445A" w:rsidRPr="00E06755" w:rsidRDefault="00A7445A" w:rsidP="00A7445A">
      <w:pPr>
        <w:pStyle w:val="29"/>
      </w:pPr>
      <w:r w:rsidRPr="00E06755">
        <w:t>настройку структур данных;</w:t>
      </w:r>
    </w:p>
    <w:p w:rsidR="00A7445A" w:rsidRPr="00E06755" w:rsidRDefault="00A7445A" w:rsidP="00A7445A">
      <w:pPr>
        <w:pStyle w:val="29"/>
      </w:pPr>
      <w:r w:rsidRPr="00E06755">
        <w:t>настройку форм представления витрин данных;</w:t>
      </w:r>
    </w:p>
    <w:p w:rsidR="00A7445A" w:rsidRPr="00E06755" w:rsidRDefault="00A7445A" w:rsidP="00A7445A">
      <w:pPr>
        <w:pStyle w:val="29"/>
      </w:pPr>
      <w:r w:rsidRPr="00E06755">
        <w:t>генерацию (обновление) данных для витрин данных;</w:t>
      </w:r>
    </w:p>
    <w:p w:rsidR="00A7445A" w:rsidRPr="00E06755" w:rsidRDefault="00A7445A" w:rsidP="00A7445A">
      <w:pPr>
        <w:pStyle w:val="29"/>
      </w:pPr>
      <w:r w:rsidRPr="00E06755">
        <w:t>предоставление сервисов по передаче единому порталу бюджетной системы Российской Федерации сформированных в Подсистеме витрин данных;</w:t>
      </w:r>
    </w:p>
    <w:p w:rsidR="00A7445A" w:rsidRPr="00E06755" w:rsidRDefault="00A7445A" w:rsidP="00A7445A">
      <w:pPr>
        <w:pStyle w:val="29"/>
      </w:pPr>
      <w:r w:rsidRPr="00E06755">
        <w:rPr>
          <w:rFonts w:eastAsia="Calibri"/>
        </w:rPr>
        <w:t xml:space="preserve">запуск процессов формирования витрин данных, </w:t>
      </w:r>
      <w:r w:rsidRPr="00E06755">
        <w:t>в том числе мобильных витрин данных.</w:t>
      </w:r>
    </w:p>
    <w:p w:rsidR="00A7445A" w:rsidRPr="00E06755" w:rsidRDefault="009C5D55" w:rsidP="00DE1661">
      <w:pPr>
        <w:pStyle w:val="13"/>
      </w:pPr>
      <w:r>
        <w:t>ф</w:t>
      </w:r>
      <w:r w:rsidR="00A7445A" w:rsidRPr="00E06755">
        <w:t>ункция «Формирование аналитических отчетов и визуальный анализ» выполняет:</w:t>
      </w:r>
    </w:p>
    <w:p w:rsidR="00A7445A" w:rsidRPr="00E06755" w:rsidRDefault="00A7445A" w:rsidP="00A7445A">
      <w:pPr>
        <w:pStyle w:val="29"/>
      </w:pPr>
      <w:r w:rsidRPr="00E06755">
        <w:rPr>
          <w:rFonts w:eastAsia="Calibri"/>
        </w:rPr>
        <w:t>просмотр аналитических отчетов, а также возможность самостоятельного построения пользователем Подсистемы нерегламентированной аналитической отчетности с использованием сопоставления данных за различные периоды, в виде графиков и различных видов диаграмм и индикаторов, в том числе таких как интеллект-карта, диаграмма Парето, диаграмма параллельных координат, диаграмма Санкей, диаграмма Treemap, диаграмма Sunburst, визуализация взаимосвязей в форме графов (визуализация больших объемов данных), SWOT-анализ, а также картографических представлений</w:t>
      </w:r>
      <w:r w:rsidRPr="00E06755">
        <w:t>;</w:t>
      </w:r>
    </w:p>
    <w:p w:rsidR="00A7445A" w:rsidRPr="00E06755" w:rsidRDefault="00A7445A" w:rsidP="00A7445A">
      <w:pPr>
        <w:pStyle w:val="29"/>
      </w:pPr>
      <w:r w:rsidRPr="00E06755">
        <w:t>настройка семантических моделей, содержащих метаописание данных;</w:t>
      </w:r>
    </w:p>
    <w:p w:rsidR="00A7445A" w:rsidRPr="00E06755" w:rsidRDefault="00A7445A" w:rsidP="00A7445A">
      <w:pPr>
        <w:pStyle w:val="29"/>
      </w:pPr>
      <w:r w:rsidRPr="00E06755">
        <w:t>расчет и анализ производных (вычисляемых) показателей, агрегатов, долей, индексов, рейтингов</w:t>
      </w:r>
    </w:p>
    <w:p w:rsidR="00A7445A" w:rsidRPr="00E06755" w:rsidRDefault="00A7445A" w:rsidP="00A7445A">
      <w:pPr>
        <w:pStyle w:val="29"/>
      </w:pPr>
      <w:r w:rsidRPr="00E06755">
        <w:rPr>
          <w:rFonts w:eastAsia="Calibri"/>
        </w:rPr>
        <w:t>подключение средств формирования аналитической отчетности к реляционным и многомерным базам данных, с лингвистической поддержкой SQL, MDX, CSV, XML, с возможностью сведения в одном аналитическом отчёте данных из нескольких источников;</w:t>
      </w:r>
    </w:p>
    <w:p w:rsidR="00A7445A" w:rsidRPr="00E06755" w:rsidRDefault="00A7445A" w:rsidP="00A7445A">
      <w:pPr>
        <w:pStyle w:val="29"/>
      </w:pPr>
      <w:r w:rsidRPr="00E06755">
        <w:rPr>
          <w:rFonts w:eastAsia="Calibri"/>
        </w:rPr>
        <w:t>работа пользователей Подсистемы с данными из файлов структурированных форматов (ods, xls, csv, xml) и внешних баз данных (обеспечение аналитики с самообслуживанием;</w:t>
      </w:r>
    </w:p>
    <w:p w:rsidR="00A7445A" w:rsidRPr="00E06755" w:rsidRDefault="00A7445A" w:rsidP="00A7445A">
      <w:pPr>
        <w:pStyle w:val="29"/>
      </w:pPr>
      <w:r w:rsidRPr="00E06755">
        <w:rPr>
          <w:rFonts w:eastAsia="Calibri"/>
        </w:rPr>
        <w:t>публикацию аналитических отчетов на аналитических информационных панелях, снабженных общим блоком интерактивных фильтров;</w:t>
      </w:r>
    </w:p>
    <w:p w:rsidR="00A7445A" w:rsidRPr="00E06755" w:rsidRDefault="00A7445A" w:rsidP="00A7445A">
      <w:pPr>
        <w:pStyle w:val="29"/>
      </w:pPr>
      <w:r w:rsidRPr="00E06755">
        <w:rPr>
          <w:rFonts w:eastAsia="Calibri"/>
        </w:rPr>
        <w:t>генерацию аналитических отчетов и справок фиксированного формата над данными Подсистемы.</w:t>
      </w:r>
    </w:p>
    <w:p w:rsidR="00A7445A" w:rsidRPr="00E06755" w:rsidRDefault="009C5D55" w:rsidP="00DE1661">
      <w:pPr>
        <w:pStyle w:val="13"/>
      </w:pPr>
      <w:r>
        <w:t>ф</w:t>
      </w:r>
      <w:r w:rsidR="00A7445A" w:rsidRPr="00E06755">
        <w:t>ункция «Настройка персонифицированных интерфейсов» выполняет:</w:t>
      </w:r>
    </w:p>
    <w:p w:rsidR="00A7445A" w:rsidRPr="00E06755" w:rsidRDefault="00A7445A" w:rsidP="00A7445A">
      <w:pPr>
        <w:pStyle w:val="29"/>
      </w:pPr>
      <w:r w:rsidRPr="00E06755">
        <w:t>изменение базовых настроек рабочего пространства Подсистемы с использованием визуальных средств проектирования для уполномоченного пользователя:</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информационных панелей:</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создание информационных панелей, содержащие один или несколько виджетов из набора виджетов, доступных определенной категории пользователей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удаление информационных панелей, созданные уполномоченным пользователем (администратором)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информационных панелей путем добавления одного или нескольких виджетов из набора виджетов, доступных определенной категории пользователей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информационных панелей путем исключения одного или нескольких виджетов, содержащихся на информационной панели, с возможностью сохранения индивидуальных настроек рабочего пространства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создание новой группировки виджетов на информационной панели;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перемещение виджетов из одной группировки виджетов в другую с использованием визуальной разметки информационной панели;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перемещение виджетов в рамках одной группировки с использованием визуальной разметки информационной панели;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удаление группировки виджетов на информационной панели, созданную уполномоченным пользователем (администратором)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расширение набор виджетов, доступных для добавления на информационную панель;</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назначение доступности виджетов определенным категориям пользователей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исключение виджетов из набора виджетов, доступных для добавления на информационную панель, с возможностью сохранения индивидуальных настроек рабочего пространства Подсистемы;</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виджетов:</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создание новых виджетов с использованием форм-шаблонов виджетов на основании состава аналитических отчетов и состава семантических (презентационных) моделей данных;</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виджетов, в том числе визуальное представление, метрики виджетов, с возможностью сохранения индивидуальных настроек рабочего пространства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удаление виджетов, созданных уполномоченным пользователем (администратором)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переходов по ссылкам (при наличии) с виджетов к детализированным данным, отображенным на виджетах;</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состава разрезов на метрики виджетов;</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событий:</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определение отображения событий в виде сигнала, индикатора и/или новостной ленты;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переходов по ссылке (при наличии) с сигнала, индикатора и/или новостной ленты к детализированным данным, представленным в виде сигнала, индикатора и/или новостной ленты;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редактирование/исключение отображенные события;</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параметров отображения событий;</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разделов быстрого доступа:</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добавление разделов быстрого доступа с выбором аналитического отчета из состава аналитических отчетов, доступных определенной категории пользователей Подсистемы, с возможностью указания представления аналитического отчета, предустановленных фильтров;</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добавление разделов быстрого доступа к семантическим (презентационным) моделям данных из состава семантических (презентационных) моделей данных, доступных определенной категории пользователей Подсистемы, с возможностью указания преднастроенной нерегламентированной отчетности;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разделов быстрого доступа, созданные уполномоченным пользователем (администратором)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удаление разделов быстрого доступа, созданные уполномоченным пользователем (администратором) Подсистемы.</w:t>
      </w:r>
    </w:p>
    <w:p w:rsidR="00A7445A" w:rsidRPr="00E06755" w:rsidRDefault="00A7445A" w:rsidP="00B05375">
      <w:pPr>
        <w:pStyle w:val="29"/>
        <w:numPr>
          <w:ilvl w:val="0"/>
          <w:numId w:val="45"/>
        </w:numPr>
      </w:pPr>
      <w:r w:rsidRPr="00E06755">
        <w:t>возможность выполнения индивидуальных настроек рабочего пространства Подсистемы:</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информационных панелей:</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информационных панелей путем добавления одного или нескольких виджетов из набора виджетов, доступных определенной категории пользователей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информационных панелей путем исключения одного или нескольких виджетов, содержащихся на информационной панели;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перемещение виджетов из одной группировки виджетов в другую с использованием визуальной разметки информационной панели;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перемещение виджетов в рамках одной группировки с использованием визуальной разметки информационной панели;</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виджетов:</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создание/редактирование/удаление экземпляров виджетов из набора виджетов, доступных определенной категории пользователей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устанавливание значения разрезов на метрики экземпляров виджетов из состава разрезов на метрики виджетов, доступных определенной категории пользователей Подсистемы;</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настроек событий:</w:t>
      </w:r>
    </w:p>
    <w:p w:rsidR="00A7445A" w:rsidRPr="00E06755" w:rsidRDefault="00A7445A" w:rsidP="00B05375">
      <w:pPr>
        <w:numPr>
          <w:ilvl w:val="0"/>
          <w:numId w:val="45"/>
        </w:numPr>
        <w:suppressAutoHyphens/>
        <w:spacing w:line="360" w:lineRule="exact"/>
        <w:ind w:firstLine="261"/>
        <w:contextualSpacing/>
        <w:rPr>
          <w:rFonts w:eastAsia="Calibri"/>
          <w:sz w:val="28"/>
          <w:szCs w:val="28"/>
          <w:lang w:eastAsia="en-US"/>
        </w:rPr>
      </w:pPr>
      <w:r w:rsidRPr="00E06755">
        <w:rPr>
          <w:rFonts w:eastAsia="Calibri"/>
          <w:sz w:val="28"/>
          <w:szCs w:val="28"/>
          <w:lang w:eastAsia="en-US"/>
        </w:rPr>
        <w:t>включение/отключение новостной ленты;</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в части настройки разделов быстрого доступа:</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добавление разделов быстрого доступа с выбором аналитического отчета из состава аналитических отчетов, доступных определенной категории пользователей Подсистемы, с возможностью указания представления аналитического отчета, предустановленных фильтров;</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добавление разделов быстрого доступа к семантическим (презентационным) моделям данных из состава семантических (презентационных) моделей данных, доступных определенной категории пользователей Подсистемы, с возможностью указания преднастроенной нерегламентированной отчетности;</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редактирование разделов быстрого доступа, созданные пользователем Подсистемы;</w:t>
      </w:r>
    </w:p>
    <w:p w:rsidR="00A7445A" w:rsidRPr="00E06755" w:rsidRDefault="00A7445A" w:rsidP="00B05375">
      <w:pPr>
        <w:numPr>
          <w:ilvl w:val="0"/>
          <w:numId w:val="45"/>
        </w:numPr>
        <w:suppressAutoHyphens/>
        <w:spacing w:line="360" w:lineRule="exact"/>
        <w:ind w:left="2127" w:hanging="426"/>
        <w:contextualSpacing/>
        <w:rPr>
          <w:rFonts w:eastAsia="Calibri"/>
          <w:sz w:val="28"/>
          <w:szCs w:val="28"/>
          <w:lang w:eastAsia="en-US"/>
        </w:rPr>
      </w:pPr>
      <w:r w:rsidRPr="00E06755">
        <w:rPr>
          <w:rFonts w:eastAsia="Calibri"/>
          <w:sz w:val="28"/>
          <w:szCs w:val="28"/>
          <w:lang w:eastAsia="en-US"/>
        </w:rPr>
        <w:t>удаление разделов быстрого доступа, созданные пользователем Подсистемы.</w:t>
      </w:r>
    </w:p>
    <w:p w:rsidR="00A7445A" w:rsidRPr="00E06755" w:rsidRDefault="003A579C" w:rsidP="00DE1661">
      <w:pPr>
        <w:pStyle w:val="13"/>
      </w:pPr>
      <w:r>
        <w:t>ф</w:t>
      </w:r>
      <w:r w:rsidR="00A7445A" w:rsidRPr="00E06755">
        <w:t>ункция «Поисково-аналитическая функция» выполняет:</w:t>
      </w:r>
    </w:p>
    <w:p w:rsidR="00A7445A" w:rsidRPr="00E06755" w:rsidRDefault="00A7445A" w:rsidP="00A7445A">
      <w:pPr>
        <w:pStyle w:val="29"/>
        <w:rPr>
          <w:rFonts w:eastAsia="Calibri"/>
          <w:lang w:eastAsia="en-US"/>
        </w:rPr>
      </w:pPr>
      <w:r w:rsidRPr="00E06755">
        <w:rPr>
          <w:rFonts w:eastAsia="Calibri"/>
          <w:lang w:eastAsia="en-US"/>
        </w:rPr>
        <w:t>сквозной поиск в Подсистеме по аналитическим отчетам и/или семантическим (презентационным) моделям данных;</w:t>
      </w:r>
    </w:p>
    <w:p w:rsidR="00A7445A" w:rsidRPr="00E06755" w:rsidRDefault="00A7445A" w:rsidP="00A7445A">
      <w:pPr>
        <w:pStyle w:val="29"/>
        <w:rPr>
          <w:rFonts w:eastAsia="Calibri"/>
          <w:lang w:eastAsia="en-US"/>
        </w:rPr>
      </w:pPr>
      <w:r w:rsidRPr="00E06755">
        <w:rPr>
          <w:rFonts w:eastAsia="Calibri"/>
          <w:lang w:eastAsia="en-US"/>
        </w:rPr>
        <w:t xml:space="preserve">голосовой поиск для запросов на естественном языке, распознавания запроса на русском языке и отображение запроса пользователю Подсистемы в окне поиска; </w:t>
      </w:r>
    </w:p>
    <w:p w:rsidR="00A7445A" w:rsidRPr="00E06755" w:rsidRDefault="00A7445A" w:rsidP="00A7445A">
      <w:pPr>
        <w:pStyle w:val="29"/>
        <w:rPr>
          <w:rFonts w:eastAsia="Calibri"/>
          <w:lang w:eastAsia="en-US"/>
        </w:rPr>
      </w:pPr>
      <w:r w:rsidRPr="00E06755">
        <w:rPr>
          <w:rFonts w:eastAsia="Calibri"/>
          <w:lang w:eastAsia="en-US"/>
        </w:rPr>
        <w:t>расширенный поиск в отдельном окне, включая возможность применения следующих фильтров:</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наименование системы (подсистемы) – источника информации;</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наименование аналитического отчета;</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разрезы информации, для установления значений которых должно быть предусмотрено автозаполнение из справочников, включая: код и/или наименование (часть наименования) главного администратора; КБК и наименование КБК доходов; КБК и наименование КБК расходов; КБК и наименование КБК источников финансирования дефицита бюджета; наименование (часть наименования) организации, ИНН, КПП, код по сводному реестру организации; код территориального органа ФК; федеральный округ; год;</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дата источника, включая возможность указать точную дату, начальную дату («позже чем»), конечную дату («раньше чем»), диапазон дат («с…по»);</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дата публикации, включая возможность указать точную дату, начальную дату («позже чем»), конечную дату («раньше чем»), диапазон дат («с…по»);;</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периодичность публикации/обновления информации;</w:t>
      </w:r>
    </w:p>
    <w:p w:rsidR="00A7445A" w:rsidRPr="00E06755" w:rsidRDefault="00A7445A" w:rsidP="00B05375">
      <w:pPr>
        <w:pStyle w:val="3e"/>
        <w:numPr>
          <w:ilvl w:val="0"/>
          <w:numId w:val="44"/>
        </w:numPr>
        <w:tabs>
          <w:tab w:val="clear" w:pos="1701"/>
        </w:tabs>
        <w:rPr>
          <w:rFonts w:eastAsia="Calibri"/>
          <w:lang w:eastAsia="en-US"/>
        </w:rPr>
      </w:pPr>
      <w:r w:rsidRPr="00E06755">
        <w:rPr>
          <w:rFonts w:eastAsia="Calibri"/>
          <w:lang w:eastAsia="en-US"/>
        </w:rPr>
        <w:t>сумма, включая возможность указать диапазон сумм «от …до», «больше», «меньше», «больше или равно», «меньше или равно», «равно», «не равно», «пусто», «не пусто»;</w:t>
      </w:r>
    </w:p>
    <w:p w:rsidR="00A7445A" w:rsidRPr="00E06755" w:rsidRDefault="00A7445A" w:rsidP="00A7445A">
      <w:pPr>
        <w:pStyle w:val="29"/>
      </w:pPr>
      <w:r w:rsidRPr="00E06755">
        <w:t>поиск по всем представлениям, параметрам и фильтрам аналитических отчетов, а также по всем измерениям и мерам семантических (презентационных) моделей данных, доступных пользователю Подсистемы для построения нерегламентированной отчетности;</w:t>
      </w:r>
    </w:p>
    <w:p w:rsidR="00A7445A" w:rsidRPr="00E06755" w:rsidRDefault="00A7445A" w:rsidP="00A7445A">
      <w:pPr>
        <w:pStyle w:val="29"/>
      </w:pPr>
      <w:r w:rsidRPr="00E06755">
        <w:t>предоставление результатов поиска для пользователя Подсистемы в виде перечня аналитических отчетов с указанием представления/представлений, в которых присутствует искомая информация, а также перечня семантических (презентационных) моделей данных, содержащих искомую информацию, отсортированных по степени релевантности;</w:t>
      </w:r>
    </w:p>
    <w:p w:rsidR="00A7445A" w:rsidRPr="00E06755" w:rsidRDefault="00A7445A" w:rsidP="00A7445A">
      <w:pPr>
        <w:pStyle w:val="29"/>
      </w:pPr>
      <w:r w:rsidRPr="00E06755">
        <w:t>переход из результатов поиска в соответствующий аналитический отчет/представление аналитического отчета или семантическую (презентационную) модель данных с применением параметров и/или фильтров аналитического отчета в соответствии с запросом;</w:t>
      </w:r>
    </w:p>
    <w:p w:rsidR="00A7445A" w:rsidRPr="00E06755" w:rsidRDefault="00A7445A" w:rsidP="00A7445A">
      <w:pPr>
        <w:pStyle w:val="29"/>
      </w:pPr>
      <w:r w:rsidRPr="00E06755">
        <w:t>возвращение к результатам поиска после перехода в один из найденных аналитических отчетов или одну из найденных семантических (презентационных) моделей данных;</w:t>
      </w:r>
    </w:p>
    <w:p w:rsidR="00A7445A" w:rsidRPr="00E06755" w:rsidRDefault="00A7445A" w:rsidP="00A7445A">
      <w:pPr>
        <w:pStyle w:val="29"/>
      </w:pPr>
      <w:r w:rsidRPr="00E06755">
        <w:t>пагинацию в случае, если выдача по результатам запроса занимает более 1 (одной) страницы;</w:t>
      </w:r>
    </w:p>
    <w:p w:rsidR="00A7445A" w:rsidRPr="00E06755" w:rsidRDefault="00A7445A" w:rsidP="00A7445A">
      <w:pPr>
        <w:pStyle w:val="29"/>
      </w:pPr>
      <w:r w:rsidRPr="00E06755">
        <w:t>запуск поиска по клавише «Enter»;</w:t>
      </w:r>
    </w:p>
    <w:p w:rsidR="00A7445A" w:rsidRPr="00E06755" w:rsidRDefault="00A7445A" w:rsidP="00A7445A">
      <w:pPr>
        <w:pStyle w:val="29"/>
      </w:pPr>
      <w:r w:rsidRPr="00E06755">
        <w:t>размещение в окне поиска не менее 50 (пятидесяти) символов;</w:t>
      </w:r>
    </w:p>
    <w:p w:rsidR="00A7445A" w:rsidRPr="00E06755" w:rsidRDefault="00A7445A" w:rsidP="00A7445A">
      <w:pPr>
        <w:pStyle w:val="29"/>
      </w:pPr>
      <w:r w:rsidRPr="00E06755">
        <w:t>демонстрацию пользователю Подсистемы последних поисковых запросов;</w:t>
      </w:r>
    </w:p>
    <w:p w:rsidR="00A7445A" w:rsidRPr="00E06755" w:rsidRDefault="00A7445A" w:rsidP="00A7445A">
      <w:pPr>
        <w:pStyle w:val="29"/>
      </w:pPr>
      <w:r w:rsidRPr="00E06755">
        <w:t xml:space="preserve">вывод предложений пользователю Подсистемы по уточнению поискового запроса, если отсутствуют результаты текущего поиска; </w:t>
      </w:r>
    </w:p>
    <w:p w:rsidR="00A7445A" w:rsidRPr="00E06755" w:rsidRDefault="00A7445A" w:rsidP="00A7445A">
      <w:pPr>
        <w:pStyle w:val="29"/>
      </w:pPr>
      <w:r w:rsidRPr="00E06755">
        <w:t>сбор статистики и формирование перечня популярных поисковых запросов для администраторов Подсистемы.</w:t>
      </w:r>
    </w:p>
    <w:p w:rsidR="00A7445A" w:rsidRPr="00E06755" w:rsidRDefault="00A7445A" w:rsidP="00A7445A">
      <w:pPr>
        <w:pStyle w:val="af0"/>
      </w:pPr>
      <w:r w:rsidRPr="00E06755">
        <w:t>Функциональная область «Мобильное приложение Подсистемы» обеспечивает выполнение следующих автоматизируемых функций Подсистемы:</w:t>
      </w:r>
    </w:p>
    <w:p w:rsidR="005C3F7B" w:rsidRPr="00E06755" w:rsidRDefault="005C3F7B" w:rsidP="00DE1661">
      <w:pPr>
        <w:pStyle w:val="13"/>
      </w:pPr>
      <w:r w:rsidRPr="00E06755">
        <w:t>предоставление доступа пользователям к Подсистеме с мобильных устройств;</w:t>
      </w:r>
    </w:p>
    <w:p w:rsidR="005C3F7B" w:rsidRPr="00E06755" w:rsidRDefault="005C3F7B" w:rsidP="00DE1661">
      <w:pPr>
        <w:pStyle w:val="13"/>
      </w:pPr>
      <w:r w:rsidRPr="00E06755">
        <w:t>работа на мобильных устройствах под управлением ОС Android версии 6 и выше, iOS версии 11 и выше;</w:t>
      </w:r>
    </w:p>
    <w:p w:rsidR="00A7445A" w:rsidRPr="00E06755" w:rsidRDefault="005C3F7B" w:rsidP="00DE1661">
      <w:pPr>
        <w:pStyle w:val="13"/>
      </w:pPr>
      <w:r w:rsidRPr="00E06755">
        <w:t>отображение информации в виде графических и табличных форм, адаптированных для корректной работы в мобильных устройствах с различным разрешением экрана.</w:t>
      </w:r>
    </w:p>
    <w:p w:rsidR="008F377C" w:rsidRPr="00E06755" w:rsidRDefault="008F377C" w:rsidP="008F377C">
      <w:pPr>
        <w:pStyle w:val="af0"/>
      </w:pPr>
      <w:r w:rsidRPr="00E06755">
        <w:t>Мобильное приложение Подсистемы должно содержать:</w:t>
      </w:r>
    </w:p>
    <w:p w:rsidR="008F377C" w:rsidRPr="00E06755" w:rsidRDefault="008F377C" w:rsidP="00DE1661">
      <w:pPr>
        <w:pStyle w:val="13"/>
      </w:pPr>
      <w:r w:rsidRPr="00E06755">
        <w:t xml:space="preserve">графическую часть, в которой отображается </w:t>
      </w:r>
      <w:r w:rsidRPr="00E06755">
        <w:tab/>
        <w:t xml:space="preserve">знак-логотип, строка поиска, телефон службы поддержки, поле авторизации; </w:t>
      </w:r>
    </w:p>
    <w:p w:rsidR="008F377C" w:rsidRPr="00E06755" w:rsidRDefault="008F377C" w:rsidP="00DE1661">
      <w:pPr>
        <w:pStyle w:val="13"/>
      </w:pPr>
      <w:r w:rsidRPr="00E06755">
        <w:t>навигационное меню, содержащее переходы на витрины данных, дерево отчетности, информационные панели, избранное, пользовательские отчеты, настройки, информацию о Подсистеме;</w:t>
      </w:r>
    </w:p>
    <w:p w:rsidR="00FF409A" w:rsidRPr="00E06755" w:rsidRDefault="008F377C" w:rsidP="00DE1661">
      <w:pPr>
        <w:pStyle w:val="13"/>
      </w:pPr>
      <w:r w:rsidRPr="00E06755">
        <w:t>контентную область, обеспечивающую доступ пользователей Подсистемы к аналитическим отчетам, нерегламентированной отчетности, построенной на основании семантических (презентационных) моделей данных, информационным панелям, набору виджетов, разделам быстрого доступа.</w:t>
      </w:r>
    </w:p>
    <w:p w:rsidR="00FF409A" w:rsidRPr="00E06755" w:rsidRDefault="00FF409A">
      <w:pPr>
        <w:spacing w:after="200" w:line="276" w:lineRule="auto"/>
        <w:jc w:val="left"/>
        <w:rPr>
          <w:color w:val="auto"/>
          <w:sz w:val="28"/>
        </w:rPr>
      </w:pPr>
      <w:r w:rsidRPr="00E06755">
        <w:br w:type="page"/>
      </w:r>
    </w:p>
    <w:p w:rsidR="002D60E6" w:rsidRPr="00E06755" w:rsidRDefault="00E621FA" w:rsidP="00E621FA">
      <w:pPr>
        <w:pStyle w:val="14"/>
      </w:pPr>
      <w:bookmarkStart w:id="51" w:name="_Toc443494350"/>
      <w:bookmarkStart w:id="52" w:name="_Toc494821713"/>
      <w:bookmarkStart w:id="53" w:name="_Ref88639062"/>
      <w:bookmarkStart w:id="54" w:name="_Ref88639063"/>
      <w:bookmarkStart w:id="55" w:name="_Toc119585034"/>
      <w:r w:rsidRPr="00E06755">
        <w:t xml:space="preserve">Информационное взаимодействие Подсистемы с другими </w:t>
      </w:r>
      <w:r w:rsidR="002D60E6" w:rsidRPr="00E06755">
        <w:t>системами</w:t>
      </w:r>
      <w:bookmarkEnd w:id="51"/>
      <w:bookmarkEnd w:id="52"/>
      <w:bookmarkEnd w:id="53"/>
      <w:bookmarkEnd w:id="54"/>
      <w:bookmarkEnd w:id="55"/>
    </w:p>
    <w:p w:rsidR="00E04298" w:rsidRPr="00130A71" w:rsidRDefault="00E04298" w:rsidP="00E04298">
      <w:pPr>
        <w:pStyle w:val="af0"/>
      </w:pPr>
      <w:r w:rsidRPr="00130A71">
        <w:t>Подсистема обеспечивает информационное взаимодействие со следующими подсистемами (компонентами, модулями) системы «Электронный бюджет»:</w:t>
      </w:r>
    </w:p>
    <w:p w:rsidR="00E04298" w:rsidRPr="00130A71" w:rsidRDefault="00E04298" w:rsidP="00DE1661">
      <w:pPr>
        <w:pStyle w:val="13"/>
      </w:pPr>
      <w:r w:rsidRPr="00130A71">
        <w:t>ПБП;</w:t>
      </w:r>
    </w:p>
    <w:p w:rsidR="00E04298" w:rsidRPr="00130A71" w:rsidRDefault="00E04298" w:rsidP="00DE1661">
      <w:pPr>
        <w:pStyle w:val="13"/>
      </w:pPr>
      <w:r w:rsidRPr="00130A71">
        <w:t>ПУР;</w:t>
      </w:r>
    </w:p>
    <w:p w:rsidR="00E04298" w:rsidRPr="00130A71" w:rsidRDefault="00E04298" w:rsidP="00DE1661">
      <w:pPr>
        <w:pStyle w:val="13"/>
      </w:pPr>
      <w:r w:rsidRPr="00130A71">
        <w:t>ПУР КС;</w:t>
      </w:r>
    </w:p>
    <w:p w:rsidR="00E04298" w:rsidRPr="00130A71" w:rsidRDefault="00E04298" w:rsidP="00DE1661">
      <w:pPr>
        <w:pStyle w:val="13"/>
      </w:pPr>
      <w:r w:rsidRPr="00130A71">
        <w:t>ПУиО;</w:t>
      </w:r>
    </w:p>
    <w:p w:rsidR="00E04298" w:rsidRDefault="00E04298" w:rsidP="00DE1661">
      <w:pPr>
        <w:pStyle w:val="13"/>
      </w:pPr>
      <w:r w:rsidRPr="00130A71">
        <w:t>НСИ;</w:t>
      </w:r>
    </w:p>
    <w:p w:rsidR="00E04298" w:rsidRPr="00130A71" w:rsidRDefault="00E04298" w:rsidP="00DE1661">
      <w:pPr>
        <w:pStyle w:val="13"/>
      </w:pPr>
      <w:r>
        <w:t>ПУНП;</w:t>
      </w:r>
    </w:p>
    <w:p w:rsidR="00E04298" w:rsidRPr="00130A71" w:rsidRDefault="00E04298" w:rsidP="00DE1661">
      <w:pPr>
        <w:pStyle w:val="13"/>
      </w:pPr>
      <w:r w:rsidRPr="00130A71">
        <w:t>ЕПБС;</w:t>
      </w:r>
    </w:p>
    <w:p w:rsidR="00E04298" w:rsidRPr="00130A71" w:rsidRDefault="00E04298" w:rsidP="00DE1661">
      <w:pPr>
        <w:pStyle w:val="13"/>
      </w:pPr>
      <w:r w:rsidRPr="00130A71">
        <w:t>ПОИ;</w:t>
      </w:r>
    </w:p>
    <w:p w:rsidR="00E04298" w:rsidRPr="00130A71" w:rsidRDefault="00E04298" w:rsidP="00DE1661">
      <w:pPr>
        <w:pStyle w:val="13"/>
      </w:pPr>
      <w:r w:rsidRPr="00130A71">
        <w:t>ПУОТ;</w:t>
      </w:r>
    </w:p>
    <w:p w:rsidR="005C6E50" w:rsidRDefault="00E04298" w:rsidP="00DE1661">
      <w:pPr>
        <w:pStyle w:val="13"/>
      </w:pPr>
      <w:r w:rsidRPr="00130A71">
        <w:t>ПУНФА</w:t>
      </w:r>
      <w:r w:rsidR="005C6E50">
        <w:t>;</w:t>
      </w:r>
    </w:p>
    <w:p w:rsidR="00E04298" w:rsidRPr="00130A71" w:rsidRDefault="005C6E50" w:rsidP="00DE1661">
      <w:pPr>
        <w:pStyle w:val="13"/>
      </w:pPr>
      <w:r>
        <w:t>ПУДС</w:t>
      </w:r>
      <w:r w:rsidR="00E04298">
        <w:t>.</w:t>
      </w:r>
    </w:p>
    <w:p w:rsidR="00E04298" w:rsidRPr="00130A71" w:rsidRDefault="00E04298" w:rsidP="00E04298">
      <w:pPr>
        <w:pStyle w:val="af0"/>
      </w:pPr>
      <w:r w:rsidRPr="00130A71">
        <w:t>Подсистема обеспечивает информационное взаимодействие со следующими внешними информационными системами:</w:t>
      </w:r>
    </w:p>
    <w:p w:rsidR="00E04298" w:rsidRPr="00130A71" w:rsidRDefault="00E04298" w:rsidP="00DE1661">
      <w:pPr>
        <w:pStyle w:val="13"/>
      </w:pPr>
      <w:r w:rsidRPr="00130A71">
        <w:t>АС ФК;</w:t>
      </w:r>
    </w:p>
    <w:p w:rsidR="00E04298" w:rsidRPr="00130A71" w:rsidRDefault="00E04298" w:rsidP="00DE1661">
      <w:pPr>
        <w:pStyle w:val="13"/>
      </w:pPr>
      <w:r w:rsidRPr="00130A71">
        <w:t>ЛЕКС;</w:t>
      </w:r>
    </w:p>
    <w:p w:rsidR="00E04298" w:rsidRPr="00130A71" w:rsidRDefault="00E04298" w:rsidP="00DE1661">
      <w:pPr>
        <w:pStyle w:val="13"/>
      </w:pPr>
      <w:r w:rsidRPr="00130A71">
        <w:rPr>
          <w:rFonts w:eastAsia="Calibri"/>
        </w:rPr>
        <w:t>ЕИС;</w:t>
      </w:r>
    </w:p>
    <w:p w:rsidR="00E04298" w:rsidRPr="00130A71" w:rsidRDefault="00E04298" w:rsidP="00DE1661">
      <w:pPr>
        <w:pStyle w:val="13"/>
      </w:pPr>
      <w:r w:rsidRPr="00130A71">
        <w:t>ГИР БО;</w:t>
      </w:r>
    </w:p>
    <w:p w:rsidR="00E04298" w:rsidRPr="00130A71" w:rsidRDefault="00E04298" w:rsidP="00DE1661">
      <w:pPr>
        <w:pStyle w:val="13"/>
        <w:rPr>
          <w:rFonts w:eastAsia="Calibri"/>
          <w:lang w:eastAsia="en-US"/>
        </w:rPr>
      </w:pPr>
      <w:r w:rsidRPr="00130A71">
        <w:rPr>
          <w:rFonts w:eastAsia="Calibri"/>
          <w:lang w:eastAsia="en-US"/>
        </w:rPr>
        <w:t>реестр дисквалифицированных лиц (набор открытых данных 7707329152-registerdisqualified, размещенный на официальном сайте Федеральной налоговой службы);</w:t>
      </w:r>
    </w:p>
    <w:p w:rsidR="00E04298" w:rsidRPr="00130A71" w:rsidRDefault="00E04298" w:rsidP="00DE1661">
      <w:pPr>
        <w:pStyle w:val="13"/>
        <w:rPr>
          <w:rFonts w:eastAsia="Calibri"/>
          <w:lang w:eastAsia="en-US"/>
        </w:rPr>
      </w:pPr>
      <w:r w:rsidRPr="00130A71">
        <w:rPr>
          <w:rFonts w:eastAsia="Calibri"/>
          <w:lang w:eastAsia="en-US"/>
        </w:rPr>
        <w:t>государственными информационными ресурсами, содержащими сведения из реестра лицензий;</w:t>
      </w:r>
    </w:p>
    <w:p w:rsidR="00E04298" w:rsidRPr="00130A71" w:rsidRDefault="00E04298" w:rsidP="00DE1661">
      <w:pPr>
        <w:pStyle w:val="13"/>
        <w:rPr>
          <w:rFonts w:eastAsia="Calibri"/>
          <w:lang w:eastAsia="en-US"/>
        </w:rPr>
      </w:pPr>
      <w:r w:rsidRPr="00130A71">
        <w:rPr>
          <w:rFonts w:eastAsia="Calibri"/>
          <w:lang w:eastAsia="en-US"/>
        </w:rPr>
        <w:t>федеральным информационным ресурсом, содержащим 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E04298" w:rsidRPr="00130A71" w:rsidRDefault="00E04298" w:rsidP="00DE1661">
      <w:pPr>
        <w:pStyle w:val="13"/>
        <w:rPr>
          <w:rFonts w:eastAsia="Calibri"/>
          <w:lang w:eastAsia="en-US"/>
        </w:rPr>
      </w:pPr>
      <w:r w:rsidRPr="00130A71">
        <w:rPr>
          <w:rFonts w:eastAsia="Calibri"/>
          <w:lang w:eastAsia="en-US"/>
        </w:rPr>
        <w:t>федеральным информационным ресурсом, содержащим сведения из единого федерального реестра сведений о банкротстве;</w:t>
      </w:r>
    </w:p>
    <w:p w:rsidR="00E04298" w:rsidRPr="00130A71" w:rsidRDefault="0089440F" w:rsidP="00DE1661">
      <w:pPr>
        <w:pStyle w:val="13"/>
        <w:rPr>
          <w:rFonts w:eastAsia="Calibri"/>
          <w:lang w:eastAsia="en-US"/>
        </w:rPr>
      </w:pPr>
      <w:r>
        <w:rPr>
          <w:rFonts w:eastAsia="Calibri"/>
          <w:lang w:eastAsia="en-US"/>
        </w:rPr>
        <w:t>б</w:t>
      </w:r>
      <w:r w:rsidR="00E04298" w:rsidRPr="00130A71">
        <w:rPr>
          <w:rFonts w:eastAsia="Calibri"/>
          <w:lang w:eastAsia="en-US"/>
        </w:rPr>
        <w:t>анком данных об исполнительном производстве;</w:t>
      </w:r>
    </w:p>
    <w:p w:rsidR="00E04298" w:rsidRPr="00130A71" w:rsidRDefault="0089440F" w:rsidP="00DE1661">
      <w:pPr>
        <w:pStyle w:val="13"/>
        <w:rPr>
          <w:rFonts w:eastAsia="Calibri"/>
          <w:lang w:eastAsia="en-US"/>
        </w:rPr>
      </w:pPr>
      <w:r>
        <w:rPr>
          <w:rFonts w:eastAsia="Calibri"/>
          <w:lang w:eastAsia="en-US"/>
        </w:rPr>
        <w:t>ф</w:t>
      </w:r>
      <w:r w:rsidR="00E04298" w:rsidRPr="00130A71">
        <w:rPr>
          <w:rFonts w:eastAsia="Calibri"/>
          <w:lang w:eastAsia="en-US"/>
        </w:rPr>
        <w:t>едеральным информационным реестром гарантирующих поставщиков и зон их деятельности;</w:t>
      </w:r>
    </w:p>
    <w:p w:rsidR="00E04298" w:rsidRPr="00130A71" w:rsidRDefault="00E04298" w:rsidP="00DE1661">
      <w:pPr>
        <w:pStyle w:val="13"/>
        <w:rPr>
          <w:rFonts w:eastAsia="Calibri"/>
          <w:lang w:eastAsia="en-US"/>
        </w:rPr>
      </w:pPr>
      <w:r w:rsidRPr="00130A71">
        <w:rPr>
          <w:rFonts w:eastAsia="Calibri"/>
          <w:lang w:eastAsia="en-US"/>
        </w:rPr>
        <w:t>официальным сайтом Центрального банка России.</w:t>
      </w:r>
    </w:p>
    <w:p w:rsidR="00E04298" w:rsidRPr="00130A71" w:rsidRDefault="00E04298" w:rsidP="00DE1661">
      <w:pPr>
        <w:pStyle w:val="13"/>
        <w:numPr>
          <w:ilvl w:val="0"/>
          <w:numId w:val="0"/>
        </w:numPr>
        <w:ind w:left="851"/>
        <w:rPr>
          <w:rFonts w:eastAsia="Calibri"/>
          <w:lang w:eastAsia="en-US"/>
        </w:rPr>
      </w:pPr>
      <w:r w:rsidRPr="00130A71">
        <w:t>Осуществляется взаимодействие с подсистемами СОБИ ФК:</w:t>
      </w:r>
    </w:p>
    <w:p w:rsidR="00E04298" w:rsidRPr="00130A71" w:rsidRDefault="00E04298" w:rsidP="00DE1661">
      <w:pPr>
        <w:pStyle w:val="13"/>
        <w:rPr>
          <w:rFonts w:eastAsia="Calibri"/>
          <w:lang w:eastAsia="en-US"/>
        </w:rPr>
      </w:pPr>
      <w:r w:rsidRPr="00130A71">
        <w:rPr>
          <w:rFonts w:eastAsia="Calibri"/>
          <w:lang w:eastAsia="en-US"/>
        </w:rPr>
        <w:t>ПОИБ СОБИ ФК;</w:t>
      </w:r>
    </w:p>
    <w:p w:rsidR="00E04298" w:rsidRPr="00130A71" w:rsidRDefault="00E04298" w:rsidP="00DE1661">
      <w:pPr>
        <w:pStyle w:val="13"/>
        <w:rPr>
          <w:bCs/>
          <w:kern w:val="28"/>
        </w:rPr>
      </w:pPr>
      <w:r w:rsidRPr="00130A71">
        <w:rPr>
          <w:rFonts w:eastAsia="Calibri"/>
          <w:lang w:eastAsia="en-US"/>
        </w:rPr>
        <w:t>ПОЮЗД СОБИ ФК.</w:t>
      </w:r>
    </w:p>
    <w:p w:rsidR="0071278D" w:rsidRPr="00E06755" w:rsidRDefault="0071278D" w:rsidP="0071278D">
      <w:pPr>
        <w:pStyle w:val="af0"/>
      </w:pPr>
      <w:r w:rsidRPr="00E06755">
        <w:t>Информационное взаимодействие осуществляется с использованием сервисного</w:t>
      </w:r>
      <w:r w:rsidR="000948D5">
        <w:t xml:space="preserve"> взаимодействия,</w:t>
      </w:r>
      <w:r w:rsidR="00E621FA" w:rsidRPr="00E06755">
        <w:t xml:space="preserve"> прямого подключения к базе данных</w:t>
      </w:r>
      <w:r w:rsidR="000948D5">
        <w:t>, а также выполняется ручная загрузка с использованием инструмента самообслуживания Подсистемы</w:t>
      </w:r>
      <w:r w:rsidR="00E621FA" w:rsidRPr="00E06755">
        <w:t>.</w:t>
      </w:r>
    </w:p>
    <w:p w:rsidR="002D60E6" w:rsidRPr="00E06755" w:rsidRDefault="0071278D" w:rsidP="0071278D">
      <w:pPr>
        <w:pStyle w:val="af0"/>
      </w:pPr>
      <w:r w:rsidRPr="00E06755">
        <w:t xml:space="preserve">Схема информационного взаимодействия Подсистемы с другими системами представлена на рисунке </w:t>
      </w:r>
      <w:r w:rsidR="007C7740" w:rsidRPr="00E06755">
        <w:fldChar w:fldCharType="begin"/>
      </w:r>
      <w:r w:rsidR="007C7740" w:rsidRPr="00E06755">
        <w:instrText xml:space="preserve"> REF _Ref16418731 \h </w:instrText>
      </w:r>
      <w:r w:rsidR="00C501ED" w:rsidRPr="00E06755">
        <w:instrText xml:space="preserve"> \* MERGEFORMAT </w:instrText>
      </w:r>
      <w:r w:rsidR="007C7740" w:rsidRPr="00E06755">
        <w:fldChar w:fldCharType="separate"/>
      </w:r>
      <w:r w:rsidR="00BF0BEE">
        <w:rPr>
          <w:noProof/>
        </w:rPr>
        <w:t>7</w:t>
      </w:r>
      <w:r w:rsidR="007C7740" w:rsidRPr="00E06755">
        <w:fldChar w:fldCharType="end"/>
      </w:r>
      <w:r w:rsidR="007C7740" w:rsidRPr="00E06755">
        <w:t>.</w:t>
      </w:r>
    </w:p>
    <w:bookmarkStart w:id="56" w:name="_Toc494868854"/>
    <w:p w:rsidR="006E4A53" w:rsidRPr="00E06755" w:rsidRDefault="005C6E50" w:rsidP="006E4A53">
      <w:pPr>
        <w:pStyle w:val="afffff7"/>
      </w:pPr>
      <w:r>
        <w:object w:dxaOrig="21219" w:dyaOrig="21876">
          <v:shape id="_x0000_i1031" type="#_x0000_t75" style="width:466.5pt;height:481.5pt" o:ole="">
            <v:imagedata r:id="rId41" o:title=""/>
          </v:shape>
          <o:OLEObject Type="Embed" ProgID="Visio.Drawing.11" ShapeID="_x0000_i1031" DrawAspect="Content" ObjectID="_1730198773" r:id="rId42"/>
        </w:object>
      </w:r>
    </w:p>
    <w:p w:rsidR="00FF409A" w:rsidRPr="00E06755" w:rsidRDefault="007C7740" w:rsidP="00F80CFD">
      <w:pPr>
        <w:pStyle w:val="-0"/>
      </w:pPr>
      <w:bookmarkStart w:id="57" w:name="_Toc119584194"/>
      <w:r w:rsidRPr="00E06755">
        <w:t xml:space="preserve">Рисунок </w:t>
      </w:r>
      <w:fldSimple w:instr=" SEQ Рисунок \* ARABIC ">
        <w:bookmarkStart w:id="58" w:name="_Ref16418731"/>
        <w:r w:rsidR="001860A9">
          <w:rPr>
            <w:noProof/>
          </w:rPr>
          <w:t>7</w:t>
        </w:r>
        <w:bookmarkEnd w:id="58"/>
      </w:fldSimple>
      <w:r w:rsidRPr="00E06755">
        <w:t xml:space="preserve"> – Схема информационного взаимодействия Подсистемы с другими системами</w:t>
      </w:r>
      <w:bookmarkEnd w:id="57"/>
    </w:p>
    <w:p w:rsidR="00FF409A" w:rsidRPr="00E06755" w:rsidRDefault="00FF409A">
      <w:pPr>
        <w:spacing w:after="200" w:line="276" w:lineRule="auto"/>
        <w:jc w:val="left"/>
        <w:rPr>
          <w:rFonts w:eastAsia="Calibri"/>
          <w:snapToGrid/>
          <w:color w:val="auto"/>
          <w:sz w:val="28"/>
          <w:szCs w:val="22"/>
          <w:lang w:eastAsia="en-US"/>
        </w:rPr>
      </w:pPr>
      <w:r w:rsidRPr="00E06755">
        <w:br w:type="page"/>
      </w:r>
    </w:p>
    <w:p w:rsidR="00DD459E" w:rsidRPr="00E06755" w:rsidRDefault="00316A8A" w:rsidP="00DD459E">
      <w:pPr>
        <w:pStyle w:val="14"/>
      </w:pPr>
      <w:bookmarkStart w:id="59" w:name="_Toc404947391"/>
      <w:bookmarkStart w:id="60" w:name="_Toc119585035"/>
      <w:bookmarkEnd w:id="56"/>
      <w:r w:rsidRPr="00E06755">
        <w:t>Описание и</w:t>
      </w:r>
      <w:r w:rsidR="00DD459E" w:rsidRPr="00E06755">
        <w:t>нтерфейс</w:t>
      </w:r>
      <w:r w:rsidRPr="00E06755">
        <w:t>а и управляющих элементов</w:t>
      </w:r>
      <w:r w:rsidR="00DD459E" w:rsidRPr="00E06755">
        <w:t xml:space="preserve"> </w:t>
      </w:r>
      <w:r w:rsidRPr="00E06755">
        <w:t>П</w:t>
      </w:r>
      <w:r w:rsidR="00DD459E" w:rsidRPr="00E06755">
        <w:t>одсистемы</w:t>
      </w:r>
      <w:bookmarkEnd w:id="60"/>
    </w:p>
    <w:p w:rsidR="008438E6" w:rsidRPr="00E06755" w:rsidRDefault="008438E6" w:rsidP="008438E6">
      <w:pPr>
        <w:pStyle w:val="26"/>
      </w:pPr>
      <w:bookmarkStart w:id="61" w:name="_Toc119585036"/>
      <w:r w:rsidRPr="00E06755">
        <w:t xml:space="preserve">Интерфейс </w:t>
      </w:r>
      <w:r w:rsidR="00757F1B">
        <w:t>консоли</w:t>
      </w:r>
      <w:r w:rsidRPr="00E06755">
        <w:t xml:space="preserve"> П</w:t>
      </w:r>
      <w:r w:rsidR="00757F1B">
        <w:t>ИАО</w:t>
      </w:r>
      <w:bookmarkEnd w:id="61"/>
    </w:p>
    <w:p w:rsidR="008438E6" w:rsidRPr="00E06755" w:rsidRDefault="008438E6" w:rsidP="008438E6">
      <w:pPr>
        <w:pStyle w:val="af0"/>
      </w:pPr>
      <w:r w:rsidRPr="00E06755">
        <w:t xml:space="preserve">Интерфейс </w:t>
      </w:r>
      <w:r w:rsidR="00757F1B">
        <w:t>консоли</w:t>
      </w:r>
      <w:r w:rsidRPr="00E06755">
        <w:t xml:space="preserve"> ПИАО представлен на рисунке </w:t>
      </w:r>
      <w:r w:rsidR="000948D5">
        <w:fldChar w:fldCharType="begin"/>
      </w:r>
      <w:r w:rsidR="000948D5">
        <w:instrText xml:space="preserve"> REF р8 \h </w:instrText>
      </w:r>
      <w:r w:rsidR="000948D5">
        <w:fldChar w:fldCharType="separate"/>
      </w:r>
      <w:r w:rsidR="00BF0BEE">
        <w:rPr>
          <w:noProof/>
        </w:rPr>
        <w:t>8</w:t>
      </w:r>
      <w:r w:rsidR="000948D5">
        <w:fldChar w:fldCharType="end"/>
      </w:r>
      <w:r w:rsidR="006745D3">
        <w:t xml:space="preserve"> и</w:t>
      </w:r>
      <w:r w:rsidRPr="00E06755">
        <w:t xml:space="preserve"> состоит из следующих областей:</w:t>
      </w:r>
    </w:p>
    <w:p w:rsidR="008438E6" w:rsidRPr="00E06755" w:rsidRDefault="008438E6" w:rsidP="00DE1661">
      <w:pPr>
        <w:pStyle w:val="13"/>
      </w:pPr>
      <w:r w:rsidRPr="00E06755">
        <w:t>графическая часть</w:t>
      </w:r>
      <w:r w:rsidR="00EE2247">
        <w:t xml:space="preserve"> (шапка)</w:t>
      </w:r>
      <w:r w:rsidRPr="00E06755">
        <w:t xml:space="preserve"> – верхняя часть страницы портала, в которой размещается: </w:t>
      </w:r>
    </w:p>
    <w:p w:rsidR="008438E6" w:rsidRPr="00E06755" w:rsidRDefault="008438E6" w:rsidP="008438E6">
      <w:pPr>
        <w:pStyle w:val="29"/>
      </w:pPr>
      <w:r w:rsidRPr="00E06755">
        <w:t>знак-логотип;</w:t>
      </w:r>
    </w:p>
    <w:p w:rsidR="008438E6" w:rsidRPr="00E06755" w:rsidRDefault="008438E6" w:rsidP="008438E6">
      <w:pPr>
        <w:pStyle w:val="29"/>
      </w:pPr>
      <w:r w:rsidRPr="00E06755">
        <w:t>строка поиска;</w:t>
      </w:r>
    </w:p>
    <w:p w:rsidR="008438E6" w:rsidRDefault="008438E6" w:rsidP="008438E6">
      <w:pPr>
        <w:pStyle w:val="29"/>
      </w:pPr>
      <w:bookmarkStart w:id="62" w:name="OLE_LINK88"/>
      <w:bookmarkStart w:id="63" w:name="OLE_LINK89"/>
      <w:r w:rsidRPr="00E06755">
        <w:t>поле авторизации</w:t>
      </w:r>
      <w:bookmarkEnd w:id="62"/>
      <w:bookmarkEnd w:id="63"/>
      <w:r w:rsidRPr="00E06755">
        <w:t>;</w:t>
      </w:r>
    </w:p>
    <w:p w:rsidR="00EE2247" w:rsidRDefault="00EE2247" w:rsidP="008438E6">
      <w:pPr>
        <w:pStyle w:val="29"/>
      </w:pPr>
      <w:r>
        <w:t>телефон службы поддержки</w:t>
      </w:r>
    </w:p>
    <w:p w:rsidR="00EE2247" w:rsidRPr="00E06755" w:rsidRDefault="00195B4B" w:rsidP="008438E6">
      <w:pPr>
        <w:pStyle w:val="29"/>
      </w:pPr>
      <w:r>
        <w:t>кнопка скрытия бокового меню</w:t>
      </w:r>
      <w:r w:rsidR="00092C59">
        <w:t>.</w:t>
      </w:r>
    </w:p>
    <w:p w:rsidR="008438E6" w:rsidRPr="00E06755" w:rsidRDefault="00757F1B" w:rsidP="00DE1661">
      <w:pPr>
        <w:pStyle w:val="13"/>
      </w:pPr>
      <w:r>
        <w:t>боковое</w:t>
      </w:r>
      <w:r w:rsidR="008438E6" w:rsidRPr="00E06755">
        <w:t xml:space="preserve"> меню</w:t>
      </w:r>
      <w:r>
        <w:t xml:space="preserve"> консоли</w:t>
      </w:r>
      <w:r w:rsidR="008438E6" w:rsidRPr="00E06755">
        <w:t xml:space="preserve"> - содержащее переходы на витрины данных, дерево отчетности, информационные панели, избранное, пользовательские отчеты, настройки информацию о Подсистеме</w:t>
      </w:r>
      <w:r w:rsidR="008438E6" w:rsidRPr="00E06755">
        <w:rPr>
          <w:rStyle w:val="extended-textfull"/>
        </w:rPr>
        <w:t>;</w:t>
      </w:r>
    </w:p>
    <w:p w:rsidR="008438E6" w:rsidRPr="00E06755" w:rsidRDefault="006B4B70" w:rsidP="00DE1661">
      <w:pPr>
        <w:pStyle w:val="13"/>
      </w:pPr>
      <w:r>
        <w:t>контентная область (н</w:t>
      </w:r>
      <w:r w:rsidR="008438E6" w:rsidRPr="00E06755">
        <w:t xml:space="preserve">авигация по контенту информационной витрины)  – основная область страницы портала,  обеспечивающая доступ пользователей подсистемы к аналитическим отчетам, </w:t>
      </w:r>
      <w:r w:rsidR="009E0D42" w:rsidRPr="00E06755">
        <w:t>нерегламентированной</w:t>
      </w:r>
      <w:r w:rsidR="008438E6" w:rsidRPr="00E06755">
        <w:t xml:space="preserve"> отчетности, построенной на основании семантических (презентационных) моделей данных, информационным панелям, набору виджетов, разделам быстрого доступа.</w:t>
      </w:r>
    </w:p>
    <w:p w:rsidR="000948D5" w:rsidRDefault="00A37CBF" w:rsidP="000948D5">
      <w:pPr>
        <w:pStyle w:val="afffff7"/>
        <w:keepNext/>
      </w:pPr>
      <w:r>
        <w:rPr>
          <w:noProof/>
          <w:lang w:eastAsia="ru-RU"/>
        </w:rPr>
        <w:drawing>
          <wp:inline distT="0" distB="0" distL="0" distR="0" wp14:anchorId="67374C1C" wp14:editId="4F6FB652">
            <wp:extent cx="5939790" cy="2900314"/>
            <wp:effectExtent l="0" t="0" r="3810" b="0"/>
            <wp:docPr id="6245" name="Рисунок 6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39790" cy="2900314"/>
                    </a:xfrm>
                    <a:prstGeom prst="rect">
                      <a:avLst/>
                    </a:prstGeom>
                  </pic:spPr>
                </pic:pic>
              </a:graphicData>
            </a:graphic>
          </wp:inline>
        </w:drawing>
      </w:r>
    </w:p>
    <w:p w:rsidR="00BA5D1A" w:rsidRDefault="000948D5" w:rsidP="000948D5">
      <w:pPr>
        <w:pStyle w:val="afff8"/>
        <w:jc w:val="center"/>
      </w:pPr>
      <w:bookmarkStart w:id="64" w:name="_Toc119584195"/>
      <w:r>
        <w:t xml:space="preserve">Рисунок </w:t>
      </w:r>
      <w:bookmarkStart w:id="65" w:name="рис8"/>
      <w:bookmarkStart w:id="66" w:name="р8"/>
      <w:r>
        <w:fldChar w:fldCharType="begin"/>
      </w:r>
      <w:r>
        <w:instrText xml:space="preserve"> SEQ Рисунок \* ARABIC </w:instrText>
      </w:r>
      <w:r>
        <w:fldChar w:fldCharType="separate"/>
      </w:r>
      <w:r w:rsidR="001860A9">
        <w:rPr>
          <w:noProof/>
        </w:rPr>
        <w:t>8</w:t>
      </w:r>
      <w:r>
        <w:fldChar w:fldCharType="end"/>
      </w:r>
      <w:bookmarkEnd w:id="65"/>
      <w:bookmarkEnd w:id="66"/>
      <w:r>
        <w:t xml:space="preserve"> – </w:t>
      </w:r>
      <w:r w:rsidRPr="00E06755">
        <w:t>Интерфейс главной страницы ПИАО</w:t>
      </w:r>
      <w:bookmarkEnd w:id="64"/>
    </w:p>
    <w:p w:rsidR="00EE56BC" w:rsidRPr="00E06755" w:rsidRDefault="00757F1B" w:rsidP="00EE56BC">
      <w:pPr>
        <w:pStyle w:val="26"/>
      </w:pPr>
      <w:bookmarkStart w:id="67" w:name="_Toc119585037"/>
      <w:r>
        <w:t>Боковое</w:t>
      </w:r>
      <w:r w:rsidR="00DE0DC3" w:rsidRPr="00E06755">
        <w:t xml:space="preserve"> меню</w:t>
      </w:r>
      <w:r>
        <w:t xml:space="preserve"> консоли</w:t>
      </w:r>
      <w:r w:rsidR="00EE2247">
        <w:t xml:space="preserve"> ПИАО</w:t>
      </w:r>
      <w:bookmarkEnd w:id="67"/>
    </w:p>
    <w:p w:rsidR="00EE56BC" w:rsidRPr="00E06755" w:rsidRDefault="000228D4" w:rsidP="00DD459E">
      <w:pPr>
        <w:pStyle w:val="af0"/>
      </w:pPr>
      <w:r w:rsidRPr="00E06755">
        <w:t xml:space="preserve">В </w:t>
      </w:r>
      <w:r w:rsidR="00757F1B">
        <w:t>боковом</w:t>
      </w:r>
      <w:r w:rsidRPr="00E06755">
        <w:t xml:space="preserve"> меню</w:t>
      </w:r>
      <w:r w:rsidR="00757F1B">
        <w:t xml:space="preserve"> консоли</w:t>
      </w:r>
      <w:r w:rsidR="00EE56BC" w:rsidRPr="00E06755">
        <w:t xml:space="preserve"> размещен ряд функциональных кнопок. </w:t>
      </w:r>
      <w:r w:rsidR="00EE56BC" w:rsidRPr="00E06755">
        <w:rPr>
          <w:rStyle w:val="extended-textfull"/>
        </w:rPr>
        <w:t>Кнопки содержат иконки соответствующие функциям, которые они выполняют.</w:t>
      </w:r>
    </w:p>
    <w:p w:rsidR="00DD459E" w:rsidRPr="00E06755" w:rsidRDefault="00EE56BC" w:rsidP="00DD459E">
      <w:pPr>
        <w:pStyle w:val="af0"/>
      </w:pPr>
      <w:r w:rsidRPr="00E06755">
        <w:t>О</w:t>
      </w:r>
      <w:r w:rsidR="00DD459E" w:rsidRPr="00E06755">
        <w:t xml:space="preserve">писание </w:t>
      </w:r>
      <w:r w:rsidRPr="00E06755">
        <w:t>функциональных кнопок</w:t>
      </w:r>
      <w:r w:rsidR="00DD459E" w:rsidRPr="00E06755">
        <w:t xml:space="preserve"> </w:t>
      </w:r>
      <w:r w:rsidR="004758B7">
        <w:t>бокового</w:t>
      </w:r>
      <w:r w:rsidR="00F83D32" w:rsidRPr="00E06755">
        <w:t xml:space="preserve"> меню</w:t>
      </w:r>
      <w:r w:rsidRPr="00E06755">
        <w:t xml:space="preserve"> </w:t>
      </w:r>
      <w:r w:rsidR="00DD459E" w:rsidRPr="00E06755">
        <w:t>представлено в таблице</w:t>
      </w:r>
      <w:r w:rsidRPr="00E06755">
        <w:t xml:space="preserve"> </w:t>
      </w:r>
      <w:r w:rsidRPr="00E06755">
        <w:fldChar w:fldCharType="begin"/>
      </w:r>
      <w:r w:rsidRPr="00E06755">
        <w:instrText xml:space="preserve"> REF _Ref16423638 \h </w:instrText>
      </w:r>
      <w:r w:rsidR="00C501ED" w:rsidRPr="00E06755">
        <w:instrText xml:space="preserve"> \* MERGEFORMAT </w:instrText>
      </w:r>
      <w:r w:rsidRPr="00E06755">
        <w:fldChar w:fldCharType="separate"/>
      </w:r>
      <w:r w:rsidR="00BF0BEE">
        <w:rPr>
          <w:noProof/>
        </w:rPr>
        <w:t>1</w:t>
      </w:r>
      <w:r w:rsidRPr="00E06755">
        <w:fldChar w:fldCharType="end"/>
      </w:r>
      <w:r w:rsidR="00DD459E" w:rsidRPr="00E06755">
        <w:t>.</w:t>
      </w:r>
    </w:p>
    <w:p w:rsidR="00EE56BC" w:rsidRPr="00E06755" w:rsidRDefault="00EE56BC" w:rsidP="00F80CFD">
      <w:pPr>
        <w:pStyle w:val="-"/>
      </w:pPr>
      <w:bookmarkStart w:id="68" w:name="_Toc119585142"/>
      <w:r w:rsidRPr="00E06755">
        <w:t xml:space="preserve">Таблица </w:t>
      </w:r>
      <w:fldSimple w:instr=" SEQ Таблица \* ARABIC ">
        <w:bookmarkStart w:id="69" w:name="_Ref16423638"/>
        <w:r w:rsidR="00BF0BEE">
          <w:rPr>
            <w:noProof/>
          </w:rPr>
          <w:t>1</w:t>
        </w:r>
        <w:bookmarkEnd w:id="69"/>
      </w:fldSimple>
      <w:r w:rsidRPr="00E06755">
        <w:t xml:space="preserve"> – Описание </w:t>
      </w:r>
      <w:r w:rsidR="004758B7">
        <w:t>функциональных кнопок бокового</w:t>
      </w:r>
      <w:r w:rsidR="00E2349A" w:rsidRPr="00E06755">
        <w:t xml:space="preserve"> меню</w:t>
      </w:r>
      <w:r w:rsidR="004758B7">
        <w:t xml:space="preserve"> консоли</w:t>
      </w:r>
      <w:bookmarkEnd w:id="68"/>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4047"/>
        <w:gridCol w:w="5603"/>
      </w:tblGrid>
      <w:tr w:rsidR="00DD459E" w:rsidRPr="00E06755" w:rsidTr="003F24C8">
        <w:trPr>
          <w:tblHeader/>
        </w:trPr>
        <w:tc>
          <w:tcPr>
            <w:tcW w:w="404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56BC" w:rsidRPr="00E06755" w:rsidRDefault="00DD459E" w:rsidP="003F24C8">
            <w:pPr>
              <w:pStyle w:val="EBTableHead"/>
              <w:spacing w:line="240" w:lineRule="auto"/>
              <w:rPr>
                <w:sz w:val="24"/>
                <w:szCs w:val="24"/>
              </w:rPr>
            </w:pPr>
            <w:r w:rsidRPr="00E06755">
              <w:rPr>
                <w:sz w:val="24"/>
                <w:szCs w:val="24"/>
              </w:rPr>
              <w:t>Вид кнопки на интерфейсе</w:t>
            </w:r>
          </w:p>
        </w:tc>
        <w:tc>
          <w:tcPr>
            <w:tcW w:w="560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D459E" w:rsidRPr="00E06755" w:rsidRDefault="00DD459E" w:rsidP="003F24C8">
            <w:pPr>
              <w:pStyle w:val="EBTableHead"/>
              <w:spacing w:line="240" w:lineRule="auto"/>
              <w:rPr>
                <w:sz w:val="24"/>
                <w:szCs w:val="24"/>
              </w:rPr>
            </w:pPr>
            <w:r w:rsidRPr="00E06755">
              <w:rPr>
                <w:sz w:val="24"/>
                <w:szCs w:val="24"/>
              </w:rPr>
              <w:t>Значение кнопки (действия, функции)</w:t>
            </w:r>
          </w:p>
        </w:tc>
      </w:tr>
      <w:tr w:rsidR="00580995" w:rsidRPr="00E06755" w:rsidTr="00D207AF">
        <w:trPr>
          <w:trHeight w:val="573"/>
        </w:trPr>
        <w:tc>
          <w:tcPr>
            <w:tcW w:w="4047" w:type="dxa"/>
            <w:shd w:val="clear" w:color="auto" w:fill="auto"/>
          </w:tcPr>
          <w:p w:rsidR="00580995" w:rsidRPr="00E06755" w:rsidRDefault="00580995" w:rsidP="00D207AF">
            <w:pPr>
              <w:pStyle w:val="afffff7"/>
              <w:jc w:val="left"/>
              <w:rPr>
                <w:noProof/>
                <w:lang w:eastAsia="ru-RU"/>
              </w:rPr>
            </w:pPr>
            <w:r>
              <w:rPr>
                <w:noProof/>
                <w:lang w:eastAsia="ru-RU"/>
              </w:rPr>
              <w:drawing>
                <wp:inline distT="0" distB="0" distL="0" distR="0" wp14:anchorId="0BB25410" wp14:editId="534FAF58">
                  <wp:extent cx="390525" cy="34290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90525" cy="342900"/>
                          </a:xfrm>
                          <a:prstGeom prst="rect">
                            <a:avLst/>
                          </a:prstGeom>
                        </pic:spPr>
                      </pic:pic>
                    </a:graphicData>
                  </a:graphic>
                </wp:inline>
              </w:drawing>
            </w:r>
          </w:p>
        </w:tc>
        <w:tc>
          <w:tcPr>
            <w:tcW w:w="5603" w:type="dxa"/>
            <w:shd w:val="clear" w:color="auto" w:fill="auto"/>
            <w:vAlign w:val="center"/>
          </w:tcPr>
          <w:p w:rsidR="00580995" w:rsidRDefault="00580995" w:rsidP="00092C59">
            <w:pPr>
              <w:pStyle w:val="EBTablenorm"/>
              <w:jc w:val="left"/>
            </w:pPr>
            <w:r>
              <w:t>Информационные панели</w:t>
            </w:r>
          </w:p>
        </w:tc>
      </w:tr>
      <w:tr w:rsidR="00DD459E" w:rsidRPr="00E06755" w:rsidTr="00D207AF">
        <w:trPr>
          <w:trHeight w:val="573"/>
        </w:trPr>
        <w:tc>
          <w:tcPr>
            <w:tcW w:w="4047" w:type="dxa"/>
            <w:shd w:val="clear" w:color="auto" w:fill="auto"/>
          </w:tcPr>
          <w:p w:rsidR="00DD459E" w:rsidRPr="00E06755" w:rsidRDefault="00E2349A" w:rsidP="00D207AF">
            <w:pPr>
              <w:pStyle w:val="afffff7"/>
              <w:jc w:val="left"/>
            </w:pPr>
            <w:r w:rsidRPr="00E06755">
              <w:rPr>
                <w:noProof/>
                <w:lang w:eastAsia="ru-RU"/>
              </w:rPr>
              <w:drawing>
                <wp:inline distT="0" distB="0" distL="0" distR="0" wp14:anchorId="3306B263" wp14:editId="22F65DA1">
                  <wp:extent cx="381000" cy="361950"/>
                  <wp:effectExtent l="0" t="0" r="0" b="0"/>
                  <wp:docPr id="6055" name="Рисунок 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092C59" w:rsidP="00092C59">
            <w:pPr>
              <w:pStyle w:val="EBTablenorm"/>
              <w:jc w:val="left"/>
            </w:pPr>
            <w:r>
              <w:t>Главный отчет</w:t>
            </w:r>
          </w:p>
        </w:tc>
      </w:tr>
      <w:tr w:rsidR="00DD459E" w:rsidRPr="00E06755" w:rsidTr="00D207AF">
        <w:tc>
          <w:tcPr>
            <w:tcW w:w="4047" w:type="dxa"/>
            <w:shd w:val="clear" w:color="auto" w:fill="auto"/>
          </w:tcPr>
          <w:p w:rsidR="00DD459E" w:rsidRPr="00E06755" w:rsidRDefault="00E2349A" w:rsidP="00D207AF">
            <w:pPr>
              <w:pStyle w:val="afffff7"/>
              <w:jc w:val="left"/>
            </w:pPr>
            <w:r w:rsidRPr="00E06755">
              <w:rPr>
                <w:noProof/>
                <w:lang w:eastAsia="ru-RU"/>
              </w:rPr>
              <w:drawing>
                <wp:inline distT="0" distB="0" distL="0" distR="0" wp14:anchorId="60729EE9" wp14:editId="28473E0B">
                  <wp:extent cx="381000" cy="361950"/>
                  <wp:effectExtent l="0" t="0" r="0" b="0"/>
                  <wp:docPr id="6054" name="Рисунок 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EE56BC" w:rsidP="00D207AF">
            <w:pPr>
              <w:pStyle w:val="EBTablenorm"/>
              <w:jc w:val="left"/>
            </w:pPr>
            <w:r w:rsidRPr="00E06755">
              <w:t>Витрины</w:t>
            </w:r>
          </w:p>
        </w:tc>
      </w:tr>
      <w:tr w:rsidR="00DD459E" w:rsidRPr="00E06755" w:rsidTr="00D207AF">
        <w:trPr>
          <w:trHeight w:val="626"/>
        </w:trPr>
        <w:tc>
          <w:tcPr>
            <w:tcW w:w="4047" w:type="dxa"/>
            <w:shd w:val="clear" w:color="auto" w:fill="auto"/>
          </w:tcPr>
          <w:p w:rsidR="00DD459E" w:rsidRPr="00E06755" w:rsidRDefault="00E2349A" w:rsidP="00D207AF">
            <w:pPr>
              <w:pStyle w:val="EBTablenorm"/>
            </w:pPr>
            <w:r w:rsidRPr="00E06755">
              <w:rPr>
                <w:noProof/>
              </w:rPr>
              <w:drawing>
                <wp:inline distT="0" distB="0" distL="0" distR="0" wp14:anchorId="5023E6F7" wp14:editId="0C6069B3">
                  <wp:extent cx="381000" cy="361950"/>
                  <wp:effectExtent l="0" t="0" r="0" b="0"/>
                  <wp:docPr id="6053" name="Рисунок 6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DD459E" w:rsidP="00D207AF">
            <w:pPr>
              <w:pStyle w:val="EBTablenorm"/>
              <w:jc w:val="left"/>
            </w:pPr>
            <w:r w:rsidRPr="00E06755">
              <w:t>Избранное</w:t>
            </w:r>
          </w:p>
        </w:tc>
      </w:tr>
      <w:tr w:rsidR="00DD459E" w:rsidRPr="00E06755" w:rsidTr="00D207AF">
        <w:trPr>
          <w:trHeight w:val="561"/>
        </w:trPr>
        <w:tc>
          <w:tcPr>
            <w:tcW w:w="4047" w:type="dxa"/>
            <w:shd w:val="clear" w:color="auto" w:fill="auto"/>
          </w:tcPr>
          <w:p w:rsidR="00DD459E" w:rsidRPr="00E06755" w:rsidRDefault="00E2349A" w:rsidP="00D207AF">
            <w:pPr>
              <w:pStyle w:val="EBTablenorm"/>
            </w:pPr>
            <w:r w:rsidRPr="00E06755">
              <w:rPr>
                <w:noProof/>
              </w:rPr>
              <w:drawing>
                <wp:inline distT="0" distB="0" distL="0" distR="0" wp14:anchorId="69C3B4F1" wp14:editId="1401753E">
                  <wp:extent cx="381000" cy="361950"/>
                  <wp:effectExtent l="0" t="0" r="0" b="0"/>
                  <wp:docPr id="6047" name="Рисунок 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E2349A" w:rsidP="00D207AF">
            <w:pPr>
              <w:pStyle w:val="EBTablenorm"/>
              <w:jc w:val="left"/>
            </w:pPr>
            <w:r w:rsidRPr="00E06755">
              <w:t>Репозиторий содержимого</w:t>
            </w:r>
          </w:p>
        </w:tc>
      </w:tr>
      <w:tr w:rsidR="00DD459E" w:rsidRPr="00E06755" w:rsidTr="00D207AF">
        <w:tc>
          <w:tcPr>
            <w:tcW w:w="4047" w:type="dxa"/>
            <w:shd w:val="clear" w:color="auto" w:fill="auto"/>
          </w:tcPr>
          <w:p w:rsidR="00DD459E" w:rsidRPr="00E06755" w:rsidRDefault="00E2349A" w:rsidP="00D207AF">
            <w:pPr>
              <w:pStyle w:val="EBTablenorm"/>
            </w:pPr>
            <w:r w:rsidRPr="00E06755">
              <w:rPr>
                <w:noProof/>
              </w:rPr>
              <w:drawing>
                <wp:inline distT="0" distB="0" distL="0" distR="0" wp14:anchorId="16FB9063" wp14:editId="4BDED6AB">
                  <wp:extent cx="381000" cy="361950"/>
                  <wp:effectExtent l="0" t="0" r="0" b="0"/>
                  <wp:docPr id="6048" name="Рисунок 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E2349A" w:rsidP="00D207AF">
            <w:pPr>
              <w:pStyle w:val="EBTablenorm"/>
              <w:jc w:val="left"/>
            </w:pPr>
            <w:r w:rsidRPr="00E06755">
              <w:t>Поиск</w:t>
            </w:r>
          </w:p>
        </w:tc>
      </w:tr>
      <w:tr w:rsidR="00EE56BC" w:rsidRPr="00E06755" w:rsidTr="00D207AF">
        <w:tc>
          <w:tcPr>
            <w:tcW w:w="4047" w:type="dxa"/>
            <w:shd w:val="clear" w:color="auto" w:fill="auto"/>
          </w:tcPr>
          <w:p w:rsidR="00EE56BC" w:rsidRPr="00E06755" w:rsidRDefault="00E2349A" w:rsidP="00D207AF">
            <w:pPr>
              <w:pStyle w:val="EBTablenorm"/>
              <w:rPr>
                <w:noProof/>
              </w:rPr>
            </w:pPr>
            <w:r w:rsidRPr="00E06755">
              <w:rPr>
                <w:noProof/>
              </w:rPr>
              <w:drawing>
                <wp:inline distT="0" distB="0" distL="0" distR="0" wp14:anchorId="3EDE3A82" wp14:editId="6E7765A4">
                  <wp:extent cx="381000" cy="361950"/>
                  <wp:effectExtent l="0" t="0" r="0" b="0"/>
                  <wp:docPr id="6050" name="Рисунок 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EE56BC" w:rsidRPr="00E06755" w:rsidRDefault="00E2349A" w:rsidP="00D207AF">
            <w:pPr>
              <w:pStyle w:val="EBTablenorm"/>
              <w:jc w:val="left"/>
            </w:pPr>
            <w:r w:rsidRPr="00E06755">
              <w:t>Уведомления</w:t>
            </w:r>
          </w:p>
        </w:tc>
      </w:tr>
      <w:tr w:rsidR="006668B3" w:rsidRPr="00E06755" w:rsidTr="00D207AF">
        <w:tc>
          <w:tcPr>
            <w:tcW w:w="4047" w:type="dxa"/>
            <w:shd w:val="clear" w:color="auto" w:fill="auto"/>
          </w:tcPr>
          <w:p w:rsidR="006668B3" w:rsidRPr="00E06755" w:rsidRDefault="006668B3" w:rsidP="00D207AF">
            <w:pPr>
              <w:pStyle w:val="EBTablenorm"/>
              <w:rPr>
                <w:noProof/>
              </w:rPr>
            </w:pPr>
            <w:r>
              <w:rPr>
                <w:noProof/>
              </w:rPr>
              <w:drawing>
                <wp:inline distT="0" distB="0" distL="0" distR="0" wp14:anchorId="75832B4D" wp14:editId="44212A60">
                  <wp:extent cx="381000" cy="3429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81000" cy="342900"/>
                          </a:xfrm>
                          <a:prstGeom prst="rect">
                            <a:avLst/>
                          </a:prstGeom>
                        </pic:spPr>
                      </pic:pic>
                    </a:graphicData>
                  </a:graphic>
                </wp:inline>
              </w:drawing>
            </w:r>
          </w:p>
        </w:tc>
        <w:tc>
          <w:tcPr>
            <w:tcW w:w="5603" w:type="dxa"/>
            <w:shd w:val="clear" w:color="auto" w:fill="auto"/>
            <w:vAlign w:val="center"/>
          </w:tcPr>
          <w:p w:rsidR="006668B3" w:rsidRPr="00E06755" w:rsidRDefault="006668B3" w:rsidP="00D207AF">
            <w:pPr>
              <w:pStyle w:val="EBTablenorm"/>
              <w:jc w:val="left"/>
            </w:pPr>
            <w:r>
              <w:t>Конструктор отчетов</w:t>
            </w:r>
          </w:p>
        </w:tc>
      </w:tr>
      <w:tr w:rsidR="006668B3" w:rsidRPr="00E06755" w:rsidTr="00D207AF">
        <w:tc>
          <w:tcPr>
            <w:tcW w:w="4047" w:type="dxa"/>
            <w:shd w:val="clear" w:color="auto" w:fill="auto"/>
          </w:tcPr>
          <w:p w:rsidR="006668B3" w:rsidRDefault="006668B3" w:rsidP="00D207AF">
            <w:pPr>
              <w:pStyle w:val="EBTablenorm"/>
              <w:rPr>
                <w:noProof/>
              </w:rPr>
            </w:pPr>
            <w:r>
              <w:rPr>
                <w:noProof/>
              </w:rPr>
              <w:drawing>
                <wp:inline distT="0" distB="0" distL="0" distR="0" wp14:anchorId="47637306" wp14:editId="4D409854">
                  <wp:extent cx="371475" cy="31432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71475" cy="314325"/>
                          </a:xfrm>
                          <a:prstGeom prst="rect">
                            <a:avLst/>
                          </a:prstGeom>
                        </pic:spPr>
                      </pic:pic>
                    </a:graphicData>
                  </a:graphic>
                </wp:inline>
              </w:drawing>
            </w:r>
          </w:p>
        </w:tc>
        <w:tc>
          <w:tcPr>
            <w:tcW w:w="5603" w:type="dxa"/>
            <w:shd w:val="clear" w:color="auto" w:fill="auto"/>
            <w:vAlign w:val="center"/>
          </w:tcPr>
          <w:p w:rsidR="006668B3" w:rsidRDefault="006668B3" w:rsidP="00D207AF">
            <w:pPr>
              <w:pStyle w:val="EBTablenorm"/>
              <w:jc w:val="left"/>
            </w:pPr>
            <w:r>
              <w:t>Очередь загрузок</w:t>
            </w:r>
          </w:p>
        </w:tc>
      </w:tr>
      <w:tr w:rsidR="0089440F" w:rsidRPr="00E06755" w:rsidTr="00D207AF">
        <w:tc>
          <w:tcPr>
            <w:tcW w:w="4047" w:type="dxa"/>
            <w:shd w:val="clear" w:color="auto" w:fill="auto"/>
          </w:tcPr>
          <w:p w:rsidR="0089440F" w:rsidRDefault="0089440F" w:rsidP="00D207AF">
            <w:pPr>
              <w:pStyle w:val="EBTablenorm"/>
              <w:rPr>
                <w:noProof/>
              </w:rPr>
            </w:pPr>
            <w:r>
              <w:rPr>
                <w:noProof/>
              </w:rPr>
              <w:drawing>
                <wp:inline distT="0" distB="0" distL="0" distR="0" wp14:anchorId="42209E9D" wp14:editId="7871CD8A">
                  <wp:extent cx="352425" cy="352425"/>
                  <wp:effectExtent l="0" t="0" r="9525" b="9525"/>
                  <wp:docPr id="5711" name="Рисунок 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52425" cy="352425"/>
                          </a:xfrm>
                          <a:prstGeom prst="rect">
                            <a:avLst/>
                          </a:prstGeom>
                        </pic:spPr>
                      </pic:pic>
                    </a:graphicData>
                  </a:graphic>
                </wp:inline>
              </w:drawing>
            </w:r>
          </w:p>
        </w:tc>
        <w:tc>
          <w:tcPr>
            <w:tcW w:w="5603" w:type="dxa"/>
            <w:shd w:val="clear" w:color="auto" w:fill="auto"/>
            <w:vAlign w:val="center"/>
          </w:tcPr>
          <w:p w:rsidR="0089440F" w:rsidRPr="003A7E07" w:rsidRDefault="003A7E07" w:rsidP="00D207AF">
            <w:pPr>
              <w:pStyle w:val="EBTablenorm"/>
              <w:jc w:val="left"/>
            </w:pPr>
            <w:r>
              <w:t xml:space="preserve">Диспетчер </w:t>
            </w:r>
            <w:r>
              <w:rPr>
                <w:lang w:val="en-US"/>
              </w:rPr>
              <w:t>ETL</w:t>
            </w:r>
            <w:r>
              <w:t xml:space="preserve"> сценарием (Доступно только под ролью </w:t>
            </w:r>
            <w:r w:rsidRPr="003A7E07">
              <w:t>ПИАО.011 Администратор</w:t>
            </w:r>
            <w:r>
              <w:t>)</w:t>
            </w:r>
          </w:p>
        </w:tc>
      </w:tr>
      <w:tr w:rsidR="006668B3" w:rsidRPr="00E06755" w:rsidTr="00D207AF">
        <w:tc>
          <w:tcPr>
            <w:tcW w:w="4047" w:type="dxa"/>
            <w:shd w:val="clear" w:color="auto" w:fill="auto"/>
          </w:tcPr>
          <w:p w:rsidR="006668B3" w:rsidRDefault="006668B3" w:rsidP="00D207AF">
            <w:pPr>
              <w:pStyle w:val="EBTablenorm"/>
              <w:rPr>
                <w:noProof/>
              </w:rPr>
            </w:pPr>
            <w:r>
              <w:rPr>
                <w:noProof/>
              </w:rPr>
              <w:drawing>
                <wp:inline distT="0" distB="0" distL="0" distR="0" wp14:anchorId="40E7258A" wp14:editId="7E97E317">
                  <wp:extent cx="390525" cy="3143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90525" cy="314325"/>
                          </a:xfrm>
                          <a:prstGeom prst="rect">
                            <a:avLst/>
                          </a:prstGeom>
                        </pic:spPr>
                      </pic:pic>
                    </a:graphicData>
                  </a:graphic>
                </wp:inline>
              </w:drawing>
            </w:r>
          </w:p>
        </w:tc>
        <w:tc>
          <w:tcPr>
            <w:tcW w:w="5603" w:type="dxa"/>
            <w:shd w:val="clear" w:color="auto" w:fill="auto"/>
            <w:vAlign w:val="center"/>
          </w:tcPr>
          <w:p w:rsidR="006668B3" w:rsidRDefault="006668B3" w:rsidP="00D207AF">
            <w:pPr>
              <w:pStyle w:val="EBTablenorm"/>
              <w:jc w:val="left"/>
            </w:pPr>
            <w:r>
              <w:t>Настройки пользователя</w:t>
            </w:r>
          </w:p>
        </w:tc>
      </w:tr>
      <w:tr w:rsidR="00DD459E" w:rsidRPr="00E06755" w:rsidTr="00D207AF">
        <w:tc>
          <w:tcPr>
            <w:tcW w:w="4047" w:type="dxa"/>
            <w:shd w:val="clear" w:color="auto" w:fill="auto"/>
          </w:tcPr>
          <w:p w:rsidR="00DD459E" w:rsidRPr="00E06755" w:rsidRDefault="00E2349A" w:rsidP="00D207AF">
            <w:pPr>
              <w:pStyle w:val="EBTablenorm"/>
            </w:pPr>
            <w:r w:rsidRPr="00E06755">
              <w:rPr>
                <w:noProof/>
              </w:rPr>
              <w:drawing>
                <wp:inline distT="0" distB="0" distL="0" distR="0" wp14:anchorId="23EFDFE5" wp14:editId="446D1574">
                  <wp:extent cx="381000" cy="361950"/>
                  <wp:effectExtent l="0" t="0" r="0" b="0"/>
                  <wp:docPr id="6052" name="Рисунок 6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81000" cy="361950"/>
                          </a:xfrm>
                          <a:prstGeom prst="rect">
                            <a:avLst/>
                          </a:prstGeom>
                        </pic:spPr>
                      </pic:pic>
                    </a:graphicData>
                  </a:graphic>
                </wp:inline>
              </w:drawing>
            </w:r>
          </w:p>
        </w:tc>
        <w:tc>
          <w:tcPr>
            <w:tcW w:w="5603" w:type="dxa"/>
            <w:shd w:val="clear" w:color="auto" w:fill="auto"/>
            <w:vAlign w:val="center"/>
          </w:tcPr>
          <w:p w:rsidR="00DD459E" w:rsidRPr="00E06755" w:rsidRDefault="006668B3" w:rsidP="00D207AF">
            <w:pPr>
              <w:pStyle w:val="EBTablenorm"/>
              <w:jc w:val="left"/>
            </w:pPr>
            <w:r>
              <w:t>О системе (</w:t>
            </w:r>
            <w:r w:rsidR="00DD459E" w:rsidRPr="00E06755">
              <w:t>Информация</w:t>
            </w:r>
            <w:r w:rsidR="00E2349A" w:rsidRPr="00E06755">
              <w:t xml:space="preserve"> о версии подсистемы</w:t>
            </w:r>
            <w:r>
              <w:t>)</w:t>
            </w:r>
          </w:p>
        </w:tc>
      </w:tr>
    </w:tbl>
    <w:p w:rsidR="00697C64" w:rsidRPr="00E06755" w:rsidRDefault="00697C64" w:rsidP="00697C64">
      <w:pPr>
        <w:pStyle w:val="af0"/>
      </w:pPr>
      <w:r w:rsidRPr="00E06755">
        <w:t xml:space="preserve">Скрыть </w:t>
      </w:r>
      <w:r w:rsidR="00084EEF">
        <w:t>боковое</w:t>
      </w:r>
      <w:r w:rsidR="00DE0DC3" w:rsidRPr="00E06755">
        <w:t xml:space="preserve"> меню</w:t>
      </w:r>
      <w:r w:rsidRPr="00E06755">
        <w:t xml:space="preserve"> позволяет значок </w:t>
      </w:r>
      <w:r w:rsidRPr="00E06755">
        <w:rPr>
          <w:noProof/>
          <w:snapToGrid/>
        </w:rPr>
        <w:drawing>
          <wp:inline distT="0" distB="0" distL="0" distR="0" wp14:anchorId="27DCE500" wp14:editId="6049ED04">
            <wp:extent cx="371475" cy="276225"/>
            <wp:effectExtent l="0" t="0" r="9525" b="9525"/>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71475" cy="276225"/>
                    </a:xfrm>
                    <a:prstGeom prst="rect">
                      <a:avLst/>
                    </a:prstGeom>
                  </pic:spPr>
                </pic:pic>
              </a:graphicData>
            </a:graphic>
          </wp:inline>
        </w:drawing>
      </w:r>
      <w:r w:rsidRPr="00E06755">
        <w:t>, размещенный в области графической шапки портала слева от логотипа (Рисунок</w:t>
      </w:r>
      <w:r w:rsidR="007A0266" w:rsidRPr="007A0266">
        <w:t xml:space="preserve"> </w:t>
      </w:r>
      <w:r w:rsidR="007A0266">
        <w:fldChar w:fldCharType="begin"/>
      </w:r>
      <w:r w:rsidR="007A0266">
        <w:instrText xml:space="preserve"> REF _Ref69980413 \h </w:instrText>
      </w:r>
      <w:r w:rsidR="007A0266">
        <w:fldChar w:fldCharType="separate"/>
      </w:r>
      <w:r w:rsidR="00BF0BEE">
        <w:rPr>
          <w:noProof/>
        </w:rPr>
        <w:t>9</w:t>
      </w:r>
      <w:r w:rsidR="007A0266">
        <w:fldChar w:fldCharType="end"/>
      </w:r>
      <w:r w:rsidRPr="00E06755">
        <w:t>).</w:t>
      </w:r>
    </w:p>
    <w:p w:rsidR="007A0266" w:rsidRDefault="00F00CCF" w:rsidP="007A0266">
      <w:pPr>
        <w:pStyle w:val="afffff7"/>
        <w:keepNext/>
      </w:pPr>
      <w:r>
        <w:rPr>
          <w:noProof/>
          <w:lang w:eastAsia="ru-RU"/>
        </w:rPr>
        <w:drawing>
          <wp:inline distT="0" distB="0" distL="0" distR="0" wp14:anchorId="0F169F41" wp14:editId="71E82A32">
            <wp:extent cx="5939790" cy="398479"/>
            <wp:effectExtent l="0" t="0" r="3810" b="1905"/>
            <wp:docPr id="6246" name="Рисунок 6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39790" cy="398479"/>
                    </a:xfrm>
                    <a:prstGeom prst="rect">
                      <a:avLst/>
                    </a:prstGeom>
                  </pic:spPr>
                </pic:pic>
              </a:graphicData>
            </a:graphic>
          </wp:inline>
        </w:drawing>
      </w:r>
    </w:p>
    <w:p w:rsidR="00697C64" w:rsidRPr="00E06755" w:rsidRDefault="007A0266" w:rsidP="007A0266">
      <w:pPr>
        <w:pStyle w:val="-0"/>
      </w:pPr>
      <w:bookmarkStart w:id="70" w:name="_Toc119584196"/>
      <w:r w:rsidRPr="00E06755">
        <w:t xml:space="preserve">Рисунок </w:t>
      </w:r>
      <w:fldSimple w:instr=" SEQ Рисунок \* ARABIC ">
        <w:bookmarkStart w:id="71" w:name="_Ref69980413"/>
        <w:r w:rsidR="001860A9">
          <w:rPr>
            <w:noProof/>
          </w:rPr>
          <w:t>9</w:t>
        </w:r>
        <w:bookmarkEnd w:id="71"/>
      </w:fldSimple>
      <w:r w:rsidRPr="00E06755">
        <w:t xml:space="preserve"> – Значок «Скрыть </w:t>
      </w:r>
      <w:r>
        <w:t>боковое меню</w:t>
      </w:r>
      <w:r w:rsidRPr="00E06755">
        <w:t>»</w:t>
      </w:r>
      <w:bookmarkEnd w:id="70"/>
    </w:p>
    <w:p w:rsidR="00697C64" w:rsidRPr="00E06755" w:rsidRDefault="00697C64" w:rsidP="00697C64">
      <w:pPr>
        <w:pStyle w:val="af0"/>
      </w:pPr>
      <w:r w:rsidRPr="00E06755">
        <w:t>Отображение главной страницы ПИАО со скрыт</w:t>
      </w:r>
      <w:r w:rsidR="00DE0DC3" w:rsidRPr="00E06755">
        <w:t>ым</w:t>
      </w:r>
      <w:r w:rsidRPr="00E06755">
        <w:t xml:space="preserve"> </w:t>
      </w:r>
      <w:r w:rsidR="00DE0DC3" w:rsidRPr="00E06755">
        <w:t>навигационным меню</w:t>
      </w:r>
      <w:r w:rsidRPr="00E06755">
        <w:t xml:space="preserve"> представлено на рисунке</w:t>
      </w:r>
      <w:r w:rsidR="007A0266" w:rsidRPr="007A0266">
        <w:t xml:space="preserve"> </w:t>
      </w:r>
      <w:r w:rsidR="007A0266">
        <w:fldChar w:fldCharType="begin"/>
      </w:r>
      <w:r w:rsidR="007A0266">
        <w:instrText xml:space="preserve"> REF _Ref69980414 \h </w:instrText>
      </w:r>
      <w:r w:rsidR="007A0266">
        <w:fldChar w:fldCharType="separate"/>
      </w:r>
      <w:r w:rsidR="00BF0BEE">
        <w:rPr>
          <w:noProof/>
        </w:rPr>
        <w:t>10</w:t>
      </w:r>
      <w:r w:rsidR="007A0266">
        <w:fldChar w:fldCharType="end"/>
      </w:r>
      <w:r w:rsidRPr="00E06755">
        <w:t>.</w:t>
      </w:r>
    </w:p>
    <w:p w:rsidR="007A0266" w:rsidRDefault="00F00CCF" w:rsidP="007A0266">
      <w:pPr>
        <w:pStyle w:val="afffff7"/>
        <w:keepNext/>
      </w:pPr>
      <w:r>
        <w:rPr>
          <w:noProof/>
          <w:lang w:eastAsia="ru-RU"/>
        </w:rPr>
        <w:drawing>
          <wp:inline distT="0" distB="0" distL="0" distR="0" wp14:anchorId="72A7B918" wp14:editId="2774D484">
            <wp:extent cx="5939790" cy="2898475"/>
            <wp:effectExtent l="0" t="0" r="3810" b="0"/>
            <wp:docPr id="6247" name="Рисунок 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39790" cy="2898475"/>
                    </a:xfrm>
                    <a:prstGeom prst="rect">
                      <a:avLst/>
                    </a:prstGeom>
                  </pic:spPr>
                </pic:pic>
              </a:graphicData>
            </a:graphic>
          </wp:inline>
        </w:drawing>
      </w:r>
    </w:p>
    <w:p w:rsidR="00697C64" w:rsidRPr="00E06755" w:rsidRDefault="007A0266" w:rsidP="007A0266">
      <w:pPr>
        <w:pStyle w:val="-0"/>
      </w:pPr>
      <w:bookmarkStart w:id="72" w:name="_Toc119584197"/>
      <w:r w:rsidRPr="00E06755">
        <w:t xml:space="preserve">Рисунок </w:t>
      </w:r>
      <w:fldSimple w:instr=" SEQ Рисунок \* ARABIC ">
        <w:bookmarkStart w:id="73" w:name="_Ref69980414"/>
        <w:r w:rsidR="001860A9">
          <w:rPr>
            <w:noProof/>
          </w:rPr>
          <w:t>10</w:t>
        </w:r>
        <w:bookmarkEnd w:id="73"/>
      </w:fldSimple>
      <w:r w:rsidRPr="00E06755">
        <w:t xml:space="preserve"> – Интерфейс главной страницы ПИАО со скрытым </w:t>
      </w:r>
      <w:r>
        <w:t>боковым</w:t>
      </w:r>
      <w:r w:rsidRPr="00E06755">
        <w:t xml:space="preserve"> меню</w:t>
      </w:r>
      <w:bookmarkEnd w:id="72"/>
    </w:p>
    <w:p w:rsidR="00580995" w:rsidRDefault="00580995" w:rsidP="00757F1B">
      <w:pPr>
        <w:pStyle w:val="26"/>
      </w:pPr>
      <w:bookmarkStart w:id="74" w:name="_Ref16427716"/>
      <w:bookmarkStart w:id="75" w:name="_Toc119585038"/>
      <w:r>
        <w:t>Интерфейс «Информационные панели»</w:t>
      </w:r>
      <w:bookmarkEnd w:id="75"/>
    </w:p>
    <w:p w:rsidR="003E4546" w:rsidRDefault="009E0D42" w:rsidP="00193134">
      <w:pPr>
        <w:pStyle w:val="afff8"/>
        <w:ind w:firstLine="708"/>
      </w:pPr>
      <w:r>
        <w:t>Интерфейс «Информационные панели» предназначен для отображения набора предопределенных информационных панелей с возможностью навигации между ними (</w:t>
      </w:r>
      <w:r w:rsidR="007A0266">
        <w:t xml:space="preserve">Рисунок </w:t>
      </w:r>
      <w:r w:rsidR="007A0266">
        <w:fldChar w:fldCharType="begin"/>
      </w:r>
      <w:r w:rsidR="007A0266">
        <w:instrText xml:space="preserve"> REF _Ref69980415 \h </w:instrText>
      </w:r>
      <w:r w:rsidR="007A0266">
        <w:fldChar w:fldCharType="separate"/>
      </w:r>
      <w:r w:rsidR="00BF0BEE">
        <w:rPr>
          <w:noProof/>
        </w:rPr>
        <w:t>11</w:t>
      </w:r>
      <w:r w:rsidR="007A0266">
        <w:fldChar w:fldCharType="end"/>
      </w:r>
      <w:r>
        <w:t>).</w:t>
      </w:r>
    </w:p>
    <w:p w:rsidR="007A0266" w:rsidRDefault="00421183" w:rsidP="007A0266">
      <w:pPr>
        <w:pStyle w:val="afff8"/>
        <w:keepNext/>
      </w:pPr>
      <w:r>
        <w:rPr>
          <w:noProof/>
          <w:snapToGrid/>
        </w:rPr>
        <w:drawing>
          <wp:inline distT="0" distB="0" distL="0" distR="0" wp14:anchorId="48099D1A" wp14:editId="33DCBD6C">
            <wp:extent cx="5924550" cy="28765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24550" cy="2876550"/>
                    </a:xfrm>
                    <a:prstGeom prst="rect">
                      <a:avLst/>
                    </a:prstGeom>
                    <a:noFill/>
                    <a:ln>
                      <a:noFill/>
                    </a:ln>
                  </pic:spPr>
                </pic:pic>
              </a:graphicData>
            </a:graphic>
          </wp:inline>
        </w:drawing>
      </w:r>
    </w:p>
    <w:p w:rsidR="003E4546" w:rsidRDefault="007A0266" w:rsidP="007A0266">
      <w:pPr>
        <w:pStyle w:val="-0"/>
      </w:pPr>
      <w:bookmarkStart w:id="76" w:name="_Toc119584198"/>
      <w:r>
        <w:t xml:space="preserve">Рисунок </w:t>
      </w:r>
      <w:fldSimple w:instr=" SEQ Рисунок \* ARABIC ">
        <w:bookmarkStart w:id="77" w:name="_Ref69980415"/>
        <w:r w:rsidR="001860A9">
          <w:rPr>
            <w:noProof/>
          </w:rPr>
          <w:t>11</w:t>
        </w:r>
        <w:bookmarkEnd w:id="77"/>
      </w:fldSimple>
      <w:r>
        <w:t xml:space="preserve"> – Интерфейс «Информационные панели»</w:t>
      </w:r>
      <w:bookmarkEnd w:id="76"/>
    </w:p>
    <w:p w:rsidR="00C1198D" w:rsidRDefault="00563271" w:rsidP="00C1198D">
      <w:pPr>
        <w:pStyle w:val="af0"/>
      </w:pPr>
      <w:r>
        <w:t xml:space="preserve">Заголовки </w:t>
      </w:r>
      <w:r w:rsidR="00173DB4">
        <w:t xml:space="preserve">доступных информационных панелей отображаются над рабочей областью. Для перехода на требуемую панель необходимо нажать левой кнопкой мыши на название панели. </w:t>
      </w:r>
      <w:r w:rsidR="009E0D42">
        <w:t>Название отображаемой панели выделяется синим цветом и подчеркиванием (</w:t>
      </w:r>
      <w:r w:rsidR="009E0D42">
        <w:fldChar w:fldCharType="begin"/>
      </w:r>
      <w:r w:rsidR="009E0D42">
        <w:instrText xml:space="preserve"> REF _Ref58839194 \h </w:instrText>
      </w:r>
      <w:r w:rsidR="009E0D42">
        <w:fldChar w:fldCharType="separate"/>
      </w:r>
      <w:r w:rsidR="00BF0BEE">
        <w:t xml:space="preserve">Рисунок </w:t>
      </w:r>
      <w:r w:rsidR="00BF0BEE">
        <w:rPr>
          <w:noProof/>
        </w:rPr>
        <w:t>12</w:t>
      </w:r>
      <w:r w:rsidR="009E0D42">
        <w:fldChar w:fldCharType="end"/>
      </w:r>
      <w:r w:rsidR="009E0D42">
        <w:t>).</w:t>
      </w:r>
    </w:p>
    <w:p w:rsidR="007C7E49" w:rsidRDefault="007C7E49" w:rsidP="007C7E49">
      <w:pPr>
        <w:pStyle w:val="af0"/>
        <w:ind w:firstLine="0"/>
      </w:pPr>
      <w:r>
        <w:rPr>
          <w:noProof/>
          <w:snapToGrid/>
        </w:rPr>
        <w:drawing>
          <wp:inline distT="0" distB="0" distL="0" distR="0" wp14:anchorId="365B9CF2" wp14:editId="73A0B90B">
            <wp:extent cx="5934075" cy="15240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4075" cy="152400"/>
                    </a:xfrm>
                    <a:prstGeom prst="rect">
                      <a:avLst/>
                    </a:prstGeom>
                    <a:noFill/>
                    <a:ln>
                      <a:noFill/>
                    </a:ln>
                  </pic:spPr>
                </pic:pic>
              </a:graphicData>
            </a:graphic>
          </wp:inline>
        </w:drawing>
      </w:r>
    </w:p>
    <w:p w:rsidR="007C7E49" w:rsidRPr="00580995" w:rsidRDefault="007C7E49" w:rsidP="007C7E49">
      <w:pPr>
        <w:pStyle w:val="afff8"/>
        <w:jc w:val="center"/>
      </w:pPr>
      <w:bookmarkStart w:id="78" w:name="_Ref58839194"/>
      <w:bookmarkStart w:id="79" w:name="_Toc119584199"/>
      <w:r>
        <w:t xml:space="preserve">Рисунок </w:t>
      </w:r>
      <w:fldSimple w:instr=" SEQ Рисунок \* ARABIC ">
        <w:r w:rsidR="001860A9">
          <w:rPr>
            <w:noProof/>
          </w:rPr>
          <w:t>12</w:t>
        </w:r>
      </w:fldSimple>
      <w:bookmarkEnd w:id="78"/>
      <w:r>
        <w:t xml:space="preserve"> – Строка заголовков информационных панелей</w:t>
      </w:r>
      <w:bookmarkEnd w:id="79"/>
    </w:p>
    <w:p w:rsidR="00B548B0" w:rsidRPr="00E06755" w:rsidRDefault="004758B7" w:rsidP="00757F1B">
      <w:pPr>
        <w:pStyle w:val="26"/>
      </w:pPr>
      <w:bookmarkStart w:id="80" w:name="_Toc119585039"/>
      <w:r>
        <w:t>Интерфейс «</w:t>
      </w:r>
      <w:r w:rsidR="00B548B0" w:rsidRPr="00E06755">
        <w:t>Витрины</w:t>
      </w:r>
      <w:r>
        <w:t>»</w:t>
      </w:r>
      <w:bookmarkEnd w:id="80"/>
    </w:p>
    <w:p w:rsidR="00B548B0" w:rsidRPr="00E06755" w:rsidRDefault="00B548B0" w:rsidP="00B548B0">
      <w:pPr>
        <w:pStyle w:val="af0"/>
      </w:pPr>
      <w:r w:rsidRPr="00E06755">
        <w:t>Интерфе</w:t>
      </w:r>
      <w:r w:rsidR="004758B7">
        <w:t>й</w:t>
      </w:r>
      <w:r w:rsidRPr="00E06755">
        <w:t>с «Витрины» предназначен для быстрой навигации по содержимому Подсистемы, а именно по Отчетам, Семантическим моделям, Информационным панелям и Виджетам.</w:t>
      </w:r>
    </w:p>
    <w:p w:rsidR="00B548B0" w:rsidRPr="00E06755" w:rsidRDefault="00B548B0" w:rsidP="00B548B0">
      <w:pPr>
        <w:pStyle w:val="af0"/>
      </w:pPr>
      <w:r w:rsidRPr="00E06755">
        <w:t>Весь контент Подсистемы сгруппирован по тематическим витринам данных:</w:t>
      </w:r>
    </w:p>
    <w:p w:rsidR="00B548B0" w:rsidRPr="00E06755" w:rsidRDefault="00F9276E" w:rsidP="00B05375">
      <w:pPr>
        <w:pStyle w:val="a8"/>
        <w:numPr>
          <w:ilvl w:val="0"/>
          <w:numId w:val="52"/>
        </w:numPr>
      </w:pPr>
      <w:r>
        <w:t>к</w:t>
      </w:r>
      <w:r w:rsidR="00471AAF" w:rsidRPr="00E06755">
        <w:t>ассовое планирование и прогнозирование исполнения федерального бюджета;</w:t>
      </w:r>
    </w:p>
    <w:p w:rsidR="00B548B0" w:rsidRPr="00E06755" w:rsidRDefault="00F9276E" w:rsidP="00471AAF">
      <w:pPr>
        <w:pStyle w:val="a8"/>
      </w:pPr>
      <w:r>
        <w:t>и</w:t>
      </w:r>
      <w:r w:rsidR="00471AAF" w:rsidRPr="00E06755">
        <w:t>сполне</w:t>
      </w:r>
      <w:r w:rsidR="00507FB8">
        <w:t>ние бюджетов бюджетной системы Р</w:t>
      </w:r>
      <w:r w:rsidR="00471AAF" w:rsidRPr="00E06755">
        <w:t>оссийской федерации;</w:t>
      </w:r>
    </w:p>
    <w:p w:rsidR="00B548B0" w:rsidRPr="00E06755" w:rsidRDefault="00F9276E" w:rsidP="00471AAF">
      <w:pPr>
        <w:pStyle w:val="a8"/>
      </w:pPr>
      <w:r>
        <w:t>н</w:t>
      </w:r>
      <w:r w:rsidR="00471AAF" w:rsidRPr="00E06755">
        <w:t>ациональные (федеральные) проекты и государственные программы;</w:t>
      </w:r>
    </w:p>
    <w:p w:rsidR="00B548B0" w:rsidRPr="00E06755" w:rsidRDefault="00F9276E" w:rsidP="00471AAF">
      <w:pPr>
        <w:pStyle w:val="a8"/>
      </w:pPr>
      <w:r>
        <w:t>в</w:t>
      </w:r>
      <w:r w:rsidR="00471AAF" w:rsidRPr="00E06755">
        <w:t>едение перечней и реестров;</w:t>
      </w:r>
    </w:p>
    <w:p w:rsidR="00B548B0" w:rsidRPr="00E06755" w:rsidRDefault="00F9276E" w:rsidP="00471AAF">
      <w:pPr>
        <w:pStyle w:val="a8"/>
      </w:pPr>
      <w:r>
        <w:t>а</w:t>
      </w:r>
      <w:r w:rsidR="00471AAF" w:rsidRPr="00E06755">
        <w:t>нализ закупок товаров, работ, услуг;</w:t>
      </w:r>
    </w:p>
    <w:p w:rsidR="00B548B0" w:rsidRPr="00E06755" w:rsidRDefault="00F9276E" w:rsidP="00471AAF">
      <w:pPr>
        <w:pStyle w:val="a8"/>
      </w:pPr>
      <w:r>
        <w:t>б</w:t>
      </w:r>
      <w:r w:rsidR="00471AAF" w:rsidRPr="00E06755">
        <w:t>юджетный (бухгалтерский) учет;</w:t>
      </w:r>
    </w:p>
    <w:p w:rsidR="00B548B0" w:rsidRPr="00E06755" w:rsidRDefault="00F9276E" w:rsidP="00471AAF">
      <w:pPr>
        <w:pStyle w:val="a8"/>
      </w:pPr>
      <w:r>
        <w:t>к</w:t>
      </w:r>
      <w:r w:rsidR="00471AAF" w:rsidRPr="00E06755">
        <w:t>онтроль и надзор в финансово-бюджетной сфере;</w:t>
      </w:r>
    </w:p>
    <w:p w:rsidR="00B548B0" w:rsidRPr="00E06755" w:rsidRDefault="00F9276E" w:rsidP="00471AAF">
      <w:pPr>
        <w:pStyle w:val="a8"/>
      </w:pPr>
      <w:r>
        <w:t>к</w:t>
      </w:r>
      <w:r w:rsidR="00471AAF" w:rsidRPr="00E06755">
        <w:t>азначейское сопровождение;</w:t>
      </w:r>
    </w:p>
    <w:p w:rsidR="00B548B0" w:rsidRDefault="00F9276E" w:rsidP="00471AAF">
      <w:pPr>
        <w:pStyle w:val="a8"/>
      </w:pPr>
      <w:r>
        <w:t>с</w:t>
      </w:r>
      <w:r w:rsidR="00471AAF" w:rsidRPr="00E06755">
        <w:t>тати</w:t>
      </w:r>
      <w:r>
        <w:t>стика государственных финансов;</w:t>
      </w:r>
    </w:p>
    <w:p w:rsidR="00F9276E" w:rsidRDefault="00F9276E" w:rsidP="00471AAF">
      <w:pPr>
        <w:pStyle w:val="a8"/>
      </w:pPr>
      <w:r>
        <w:t>единый казначейский счет;</w:t>
      </w:r>
    </w:p>
    <w:p w:rsidR="00F9276E" w:rsidRDefault="00F9276E" w:rsidP="00F9276E">
      <w:pPr>
        <w:pStyle w:val="a8"/>
      </w:pPr>
      <w:r>
        <w:t>с</w:t>
      </w:r>
      <w:r w:rsidRPr="00F9276E">
        <w:t>татистика работы пользователей ПИАО и востребованности аналитических отчетов</w:t>
      </w:r>
      <w:r>
        <w:t>.</w:t>
      </w:r>
    </w:p>
    <w:p w:rsidR="00471AAF" w:rsidRPr="00E06755" w:rsidRDefault="006D37D9" w:rsidP="00471AAF">
      <w:pPr>
        <w:pStyle w:val="af0"/>
      </w:pPr>
      <w:r w:rsidRPr="00E06755">
        <w:t xml:space="preserve">Видимость тематических витрин зависит от категории пользователя. Матрица доступа описана в </w:t>
      </w:r>
      <w:r w:rsidR="00461B2C">
        <w:t>п.</w:t>
      </w:r>
      <w:r w:rsidR="00461B2C">
        <w:fldChar w:fldCharType="begin"/>
      </w:r>
      <w:r w:rsidR="00461B2C">
        <w:instrText xml:space="preserve"> REF _Ref19956532 \r \h </w:instrText>
      </w:r>
      <w:r w:rsidR="00461B2C">
        <w:fldChar w:fldCharType="separate"/>
      </w:r>
      <w:r w:rsidR="00BF0BEE">
        <w:t>2.1</w:t>
      </w:r>
      <w:r w:rsidR="00461B2C">
        <w:fldChar w:fldCharType="end"/>
      </w:r>
      <w:r w:rsidR="00461B2C">
        <w:t>.</w:t>
      </w:r>
    </w:p>
    <w:p w:rsidR="006D37D9" w:rsidRPr="00E06755" w:rsidRDefault="006D37D9" w:rsidP="00471AAF">
      <w:pPr>
        <w:pStyle w:val="af0"/>
      </w:pPr>
      <w:r w:rsidRPr="00E06755">
        <w:t>Для быстрой навигации по витринам и облегчения поиска нужного контента Подсистемы предусмотрен фильтр.</w:t>
      </w:r>
    </w:p>
    <w:p w:rsidR="007A0266" w:rsidRDefault="00F00CCF" w:rsidP="007A0266">
      <w:pPr>
        <w:pStyle w:val="afffff7"/>
        <w:keepNext/>
      </w:pPr>
      <w:r>
        <w:rPr>
          <w:noProof/>
          <w:lang w:eastAsia="ru-RU"/>
        </w:rPr>
        <w:drawing>
          <wp:inline distT="0" distB="0" distL="0" distR="0" wp14:anchorId="77E7BF9F" wp14:editId="10AF34DF">
            <wp:extent cx="5939790" cy="2084965"/>
            <wp:effectExtent l="0" t="0" r="3810" b="0"/>
            <wp:docPr id="6248" name="Рисунок 6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39790" cy="2084965"/>
                    </a:xfrm>
                    <a:prstGeom prst="rect">
                      <a:avLst/>
                    </a:prstGeom>
                  </pic:spPr>
                </pic:pic>
              </a:graphicData>
            </a:graphic>
          </wp:inline>
        </w:drawing>
      </w:r>
    </w:p>
    <w:p w:rsidR="006D37D9" w:rsidRPr="00E06755" w:rsidRDefault="007A0266" w:rsidP="007A0266">
      <w:pPr>
        <w:pStyle w:val="-0"/>
      </w:pPr>
      <w:bookmarkStart w:id="81" w:name="_Toc119584200"/>
      <w:r w:rsidRPr="00E06755">
        <w:t xml:space="preserve">Рисунок </w:t>
      </w:r>
      <w:fldSimple w:instr=" SEQ Рисунок \* ARABIC ">
        <w:r w:rsidR="001860A9">
          <w:rPr>
            <w:noProof/>
          </w:rPr>
          <w:t>13</w:t>
        </w:r>
      </w:fldSimple>
      <w:r w:rsidRPr="00E06755">
        <w:t xml:space="preserve"> – Фильтрация контента Подсистемы</w:t>
      </w:r>
      <w:bookmarkEnd w:id="81"/>
    </w:p>
    <w:p w:rsidR="00E94550" w:rsidRPr="00E06755" w:rsidRDefault="00E94550" w:rsidP="006D37D9">
      <w:pPr>
        <w:pStyle w:val="af0"/>
      </w:pPr>
      <w:r w:rsidRPr="00E06755">
        <w:t>Также для быстрой фильтрации контента Подсистемы на панели инструментов предусмотрены элементы фильтрации:</w:t>
      </w:r>
    </w:p>
    <w:p w:rsidR="00B778FD" w:rsidRPr="00E06755" w:rsidRDefault="001A1B35" w:rsidP="00DE1661">
      <w:pPr>
        <w:pStyle w:val="13"/>
      </w:pPr>
      <w:r>
        <w:t>в</w:t>
      </w:r>
      <w:r w:rsidR="00B778FD" w:rsidRPr="00E06755">
        <w:t>се;</w:t>
      </w:r>
    </w:p>
    <w:p w:rsidR="00E94550" w:rsidRPr="00E06755" w:rsidRDefault="001A1B35" w:rsidP="00DE1661">
      <w:pPr>
        <w:pStyle w:val="13"/>
      </w:pPr>
      <w:r>
        <w:t>о</w:t>
      </w:r>
      <w:r w:rsidR="00E94550" w:rsidRPr="00E06755">
        <w:t>тчеты</w:t>
      </w:r>
      <w:r w:rsidR="00B778FD" w:rsidRPr="00E06755">
        <w:t>;</w:t>
      </w:r>
    </w:p>
    <w:p w:rsidR="00E94550" w:rsidRPr="00E06755" w:rsidRDefault="001A1B35" w:rsidP="00DE1661">
      <w:pPr>
        <w:pStyle w:val="13"/>
      </w:pPr>
      <w:r>
        <w:t>к</w:t>
      </w:r>
      <w:r w:rsidR="00E94550" w:rsidRPr="00E06755">
        <w:t>убы</w:t>
      </w:r>
      <w:r w:rsidR="00B778FD" w:rsidRPr="00E06755">
        <w:t>;</w:t>
      </w:r>
    </w:p>
    <w:p w:rsidR="00E94550" w:rsidRPr="00E06755" w:rsidRDefault="00E94550" w:rsidP="00DE1661">
      <w:pPr>
        <w:pStyle w:val="13"/>
      </w:pPr>
      <w:r w:rsidRPr="00E06755">
        <w:rPr>
          <w:lang w:val="en-US"/>
        </w:rPr>
        <w:t>KPI</w:t>
      </w:r>
      <w:r w:rsidRPr="00E06755">
        <w:t xml:space="preserve"> (виджеты)</w:t>
      </w:r>
      <w:r w:rsidR="00B778FD" w:rsidRPr="00E06755">
        <w:t>;</w:t>
      </w:r>
    </w:p>
    <w:p w:rsidR="00E94550" w:rsidRPr="00E06755" w:rsidRDefault="001A1B35" w:rsidP="00DE1661">
      <w:pPr>
        <w:pStyle w:val="13"/>
      </w:pPr>
      <w:r>
        <w:t>и</w:t>
      </w:r>
      <w:r w:rsidR="00E94550" w:rsidRPr="00E06755">
        <w:t>нформационные панели</w:t>
      </w:r>
      <w:r w:rsidR="00B778FD" w:rsidRPr="00E06755">
        <w:t>;</w:t>
      </w:r>
    </w:p>
    <w:p w:rsidR="007A0266" w:rsidRDefault="00E94550" w:rsidP="007A0266">
      <w:pPr>
        <w:pStyle w:val="afffff7"/>
        <w:keepNext/>
      </w:pPr>
      <w:r w:rsidRPr="00E06755">
        <w:rPr>
          <w:noProof/>
          <w:lang w:eastAsia="ru-RU"/>
        </w:rPr>
        <w:drawing>
          <wp:inline distT="0" distB="0" distL="0" distR="0" wp14:anchorId="2C8BF71A" wp14:editId="10935ABE">
            <wp:extent cx="5939790" cy="317500"/>
            <wp:effectExtent l="0" t="0" r="3810" b="635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317500"/>
                    </a:xfrm>
                    <a:prstGeom prst="rect">
                      <a:avLst/>
                    </a:prstGeom>
                  </pic:spPr>
                </pic:pic>
              </a:graphicData>
            </a:graphic>
          </wp:inline>
        </w:drawing>
      </w:r>
    </w:p>
    <w:p w:rsidR="00E94550" w:rsidRPr="00E06755" w:rsidRDefault="007A0266" w:rsidP="007A0266">
      <w:pPr>
        <w:pStyle w:val="-0"/>
      </w:pPr>
      <w:bookmarkStart w:id="82" w:name="_Toc119584201"/>
      <w:r w:rsidRPr="00E06755">
        <w:t xml:space="preserve">Рисунок </w:t>
      </w:r>
      <w:fldSimple w:instr=" SEQ Рисунок \* ARABIC ">
        <w:r w:rsidR="001860A9">
          <w:rPr>
            <w:noProof/>
          </w:rPr>
          <w:t>14</w:t>
        </w:r>
      </w:fldSimple>
      <w:r w:rsidRPr="00E06755">
        <w:t xml:space="preserve"> – Элементы навигации</w:t>
      </w:r>
      <w:bookmarkEnd w:id="82"/>
    </w:p>
    <w:p w:rsidR="00B778FD" w:rsidRPr="00E06755" w:rsidRDefault="00B778FD" w:rsidP="006D37D9">
      <w:pPr>
        <w:pStyle w:val="af0"/>
      </w:pPr>
      <w:r w:rsidRPr="00E06755">
        <w:t>Представление контента Подсистемы может быть в двух видах:</w:t>
      </w:r>
    </w:p>
    <w:p w:rsidR="00B778FD" w:rsidRPr="00E06755" w:rsidRDefault="001A1B35" w:rsidP="00DE1661">
      <w:pPr>
        <w:pStyle w:val="13"/>
      </w:pPr>
      <w:r>
        <w:t>в</w:t>
      </w:r>
      <w:r w:rsidR="00B778FD" w:rsidRPr="00E06755">
        <w:t xml:space="preserve"> виде карточек, по умолчанию включен этот режим.</w:t>
      </w:r>
    </w:p>
    <w:p w:rsidR="007A0266" w:rsidRDefault="002B6101" w:rsidP="007A0266">
      <w:pPr>
        <w:pStyle w:val="afffff7"/>
        <w:keepNext/>
      </w:pPr>
      <w:r>
        <w:rPr>
          <w:noProof/>
          <w:lang w:eastAsia="ru-RU"/>
        </w:rPr>
        <w:drawing>
          <wp:inline distT="0" distB="0" distL="0" distR="0" wp14:anchorId="000CEAA4" wp14:editId="0A92513A">
            <wp:extent cx="5939790" cy="2898475"/>
            <wp:effectExtent l="0" t="0" r="3810" b="0"/>
            <wp:docPr id="6249" name="Рисунок 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39790" cy="2898475"/>
                    </a:xfrm>
                    <a:prstGeom prst="rect">
                      <a:avLst/>
                    </a:prstGeom>
                  </pic:spPr>
                </pic:pic>
              </a:graphicData>
            </a:graphic>
          </wp:inline>
        </w:drawing>
      </w:r>
    </w:p>
    <w:p w:rsidR="007A0266" w:rsidRPr="007A0266" w:rsidRDefault="007A0266" w:rsidP="007A0266">
      <w:pPr>
        <w:pStyle w:val="-0"/>
      </w:pPr>
      <w:bookmarkStart w:id="83" w:name="_Toc119584202"/>
      <w:r>
        <w:t xml:space="preserve">Рисунок </w:t>
      </w:r>
      <w:fldSimple w:instr=" SEQ Рисунок \* ARABIC ">
        <w:r w:rsidR="001860A9">
          <w:rPr>
            <w:noProof/>
          </w:rPr>
          <w:t>15</w:t>
        </w:r>
      </w:fldSimple>
      <w:r>
        <w:t xml:space="preserve"> – </w:t>
      </w:r>
      <w:r w:rsidRPr="00E06755">
        <w:t>Представление контента в виде карточек</w:t>
      </w:r>
      <w:bookmarkEnd w:id="83"/>
    </w:p>
    <w:p w:rsidR="00B778FD" w:rsidRPr="00E06755" w:rsidRDefault="00B778FD" w:rsidP="00DE1661">
      <w:pPr>
        <w:pStyle w:val="13"/>
      </w:pPr>
      <w:r w:rsidRPr="00E06755">
        <w:t>В виде дерева.</w:t>
      </w:r>
    </w:p>
    <w:p w:rsidR="00587A50" w:rsidRDefault="002B6101" w:rsidP="00587A50">
      <w:pPr>
        <w:pStyle w:val="afffff7"/>
        <w:keepNext/>
      </w:pPr>
      <w:r>
        <w:rPr>
          <w:noProof/>
          <w:lang w:eastAsia="ru-RU"/>
        </w:rPr>
        <w:drawing>
          <wp:inline distT="0" distB="0" distL="0" distR="0" wp14:anchorId="2A42C1AA" wp14:editId="5E0C629A">
            <wp:extent cx="5939790" cy="2894184"/>
            <wp:effectExtent l="0" t="0" r="3810" b="1905"/>
            <wp:docPr id="6250" name="Рисунок 6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39790" cy="2894184"/>
                    </a:xfrm>
                    <a:prstGeom prst="rect">
                      <a:avLst/>
                    </a:prstGeom>
                  </pic:spPr>
                </pic:pic>
              </a:graphicData>
            </a:graphic>
          </wp:inline>
        </w:drawing>
      </w:r>
    </w:p>
    <w:p w:rsidR="00587A50" w:rsidRPr="00587A50" w:rsidRDefault="00587A50" w:rsidP="00587A50">
      <w:pPr>
        <w:pStyle w:val="-0"/>
      </w:pPr>
      <w:bookmarkStart w:id="84" w:name="_Toc119584203"/>
      <w:r w:rsidRPr="00E06755">
        <w:t xml:space="preserve">Рисунок </w:t>
      </w:r>
      <w:fldSimple w:instr=" SEQ Рисунок \* ARABIC ">
        <w:r w:rsidR="001860A9">
          <w:rPr>
            <w:noProof/>
          </w:rPr>
          <w:t>16</w:t>
        </w:r>
      </w:fldSimple>
      <w:r>
        <w:t xml:space="preserve"> – </w:t>
      </w:r>
      <w:r w:rsidRPr="00E06755">
        <w:t>Представление контента в виде дерева</w:t>
      </w:r>
      <w:bookmarkEnd w:id="84"/>
    </w:p>
    <w:p w:rsidR="006D37D9" w:rsidRPr="00E06755" w:rsidRDefault="00B778FD" w:rsidP="006D37D9">
      <w:pPr>
        <w:pStyle w:val="af0"/>
      </w:pPr>
      <w:r w:rsidRPr="00E06755">
        <w:t>С</w:t>
      </w:r>
      <w:r w:rsidR="00042FA3">
        <w:t>менить режим отображения</w:t>
      </w:r>
      <w:r w:rsidRPr="00E06755">
        <w:t xml:space="preserve"> контента позволяют функциональные кнопки, которые расположены на панели инструментов.</w:t>
      </w:r>
    </w:p>
    <w:p w:rsidR="00B778FD" w:rsidRPr="00E06755" w:rsidRDefault="00B778FD" w:rsidP="00B778FD">
      <w:pPr>
        <w:pStyle w:val="afffff7"/>
        <w:keepNext/>
      </w:pPr>
      <w:r w:rsidRPr="00E06755">
        <w:rPr>
          <w:noProof/>
          <w:lang w:eastAsia="ru-RU"/>
        </w:rPr>
        <w:drawing>
          <wp:inline distT="0" distB="0" distL="0" distR="0" wp14:anchorId="1C2F9F64" wp14:editId="6A0272F4">
            <wp:extent cx="5939790" cy="347345"/>
            <wp:effectExtent l="0" t="0" r="381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39790" cy="347345"/>
                    </a:xfrm>
                    <a:prstGeom prst="rect">
                      <a:avLst/>
                    </a:prstGeom>
                  </pic:spPr>
                </pic:pic>
              </a:graphicData>
            </a:graphic>
          </wp:inline>
        </w:drawing>
      </w:r>
    </w:p>
    <w:p w:rsidR="00B778FD" w:rsidRPr="00587A50" w:rsidRDefault="00B778FD" w:rsidP="00587A50">
      <w:pPr>
        <w:pStyle w:val="afff8"/>
        <w:jc w:val="center"/>
      </w:pPr>
      <w:bookmarkStart w:id="85" w:name="_Toc119584204"/>
      <w:r w:rsidRPr="00E06755">
        <w:t xml:space="preserve">Рисунок </w:t>
      </w:r>
      <w:fldSimple w:instr=" SEQ Рисунок \* ARABIC ">
        <w:r w:rsidR="001860A9">
          <w:rPr>
            <w:noProof/>
          </w:rPr>
          <w:t>17</w:t>
        </w:r>
      </w:fldSimple>
      <w:r w:rsidRPr="00E06755">
        <w:t xml:space="preserve"> </w:t>
      </w:r>
      <w:r w:rsidR="00587A50">
        <w:t>–</w:t>
      </w:r>
      <w:r w:rsidRPr="00E06755">
        <w:t xml:space="preserve"> Кнопки переключения </w:t>
      </w:r>
      <w:r w:rsidR="00042FA3">
        <w:t xml:space="preserve">режима </w:t>
      </w:r>
      <w:r w:rsidR="009E0D42">
        <w:t>отображения</w:t>
      </w:r>
      <w:bookmarkEnd w:id="85"/>
    </w:p>
    <w:p w:rsidR="001F48B2" w:rsidRPr="00E06755" w:rsidRDefault="004758B7" w:rsidP="00757F1B">
      <w:pPr>
        <w:pStyle w:val="26"/>
      </w:pPr>
      <w:bookmarkStart w:id="86" w:name="_Ref43634995"/>
      <w:bookmarkStart w:id="87" w:name="_Ref43635001"/>
      <w:bookmarkStart w:id="88" w:name="_Toc119585040"/>
      <w:r>
        <w:t>Интерфейс «</w:t>
      </w:r>
      <w:r w:rsidR="001F48B2" w:rsidRPr="00E06755">
        <w:t>Избранное</w:t>
      </w:r>
      <w:bookmarkEnd w:id="74"/>
      <w:r>
        <w:t>» (</w:t>
      </w:r>
      <w:r w:rsidR="00692EA9" w:rsidRPr="00E06755">
        <w:t>Быстрый дост</w:t>
      </w:r>
      <w:r w:rsidR="00BA72BD" w:rsidRPr="00E06755">
        <w:t>уп</w:t>
      </w:r>
      <w:bookmarkEnd w:id="86"/>
      <w:bookmarkEnd w:id="87"/>
      <w:r>
        <w:t>)</w:t>
      </w:r>
      <w:bookmarkEnd w:id="88"/>
    </w:p>
    <w:p w:rsidR="00487776" w:rsidRPr="00E06755" w:rsidRDefault="00692EA9" w:rsidP="00757F1B">
      <w:pPr>
        <w:pStyle w:val="35"/>
      </w:pPr>
      <w:bookmarkStart w:id="89" w:name="_Toc119585041"/>
      <w:r w:rsidRPr="00E06755">
        <w:t>Интерфейс</w:t>
      </w:r>
      <w:r w:rsidR="00487776" w:rsidRPr="00E06755">
        <w:t xml:space="preserve"> </w:t>
      </w:r>
      <w:r w:rsidR="009B56EC" w:rsidRPr="00E06755">
        <w:t>быстрого доступа</w:t>
      </w:r>
      <w:bookmarkEnd w:id="89"/>
    </w:p>
    <w:p w:rsidR="001F48B2" w:rsidRPr="00E06755" w:rsidRDefault="00692EA9" w:rsidP="001F48B2">
      <w:pPr>
        <w:pStyle w:val="af0"/>
      </w:pPr>
      <w:r w:rsidRPr="00E06755">
        <w:t>Интерфейс</w:t>
      </w:r>
      <w:r w:rsidR="001F48B2" w:rsidRPr="00E06755">
        <w:t xml:space="preserve"> «Избранное»</w:t>
      </w:r>
      <w:r w:rsidRPr="00E06755">
        <w:t xml:space="preserve"> или «Быстрый доступ»</w:t>
      </w:r>
      <w:r w:rsidR="001F48B2" w:rsidRPr="00E06755">
        <w:t xml:space="preserve"> позволяет </w:t>
      </w:r>
      <w:r w:rsidR="004C24AC" w:rsidRPr="00E06755">
        <w:t>сохранять ссылки на часто посещаемые аналитические отчеты</w:t>
      </w:r>
      <w:r w:rsidRPr="00E06755">
        <w:t>, информационные панели, кубы</w:t>
      </w:r>
      <w:r w:rsidR="004C24AC" w:rsidRPr="00E06755">
        <w:t xml:space="preserve"> в специальном разделе для быстрого доступа.</w:t>
      </w:r>
    </w:p>
    <w:p w:rsidR="004C24AC" w:rsidRPr="00E06755" w:rsidRDefault="00692EA9" w:rsidP="001F48B2">
      <w:pPr>
        <w:pStyle w:val="af0"/>
      </w:pPr>
      <w:r w:rsidRPr="00E06755">
        <w:t>Интерфейс</w:t>
      </w:r>
      <w:r w:rsidR="004C24AC" w:rsidRPr="00E06755">
        <w:t xml:space="preserve"> «Избранное» </w:t>
      </w:r>
      <w:r w:rsidR="00487776" w:rsidRPr="00E06755">
        <w:t xml:space="preserve">без включенных в него </w:t>
      </w:r>
      <w:r w:rsidRPr="00E06755">
        <w:t>элементов</w:t>
      </w:r>
      <w:r w:rsidR="00487776" w:rsidRPr="00E06755">
        <w:t xml:space="preserve"> </w:t>
      </w:r>
      <w:r w:rsidR="004C24AC" w:rsidRPr="00E06755">
        <w:t xml:space="preserve">представлен на рисунке </w:t>
      </w:r>
      <w:r w:rsidR="004C24AC" w:rsidRPr="00E06755">
        <w:fldChar w:fldCharType="begin"/>
      </w:r>
      <w:r w:rsidR="004C24AC" w:rsidRPr="00E06755">
        <w:instrText xml:space="preserve"> REF _Ref16426740 \h </w:instrText>
      </w:r>
      <w:r w:rsidR="00C501ED" w:rsidRPr="00E06755">
        <w:instrText xml:space="preserve"> \* MERGEFORMAT </w:instrText>
      </w:r>
      <w:r w:rsidR="004C24AC" w:rsidRPr="00E06755">
        <w:fldChar w:fldCharType="separate"/>
      </w:r>
      <w:r w:rsidR="00BF0BEE">
        <w:rPr>
          <w:noProof/>
        </w:rPr>
        <w:t>18</w:t>
      </w:r>
      <w:r w:rsidR="004C24AC" w:rsidRPr="00E06755">
        <w:fldChar w:fldCharType="end"/>
      </w:r>
      <w:r w:rsidR="004C24AC" w:rsidRPr="00E06755">
        <w:t>.</w:t>
      </w:r>
    </w:p>
    <w:p w:rsidR="004C24AC" w:rsidRPr="00E06755" w:rsidRDefault="00292DC3" w:rsidP="004C24AC">
      <w:pPr>
        <w:pStyle w:val="afffff7"/>
        <w:keepNext/>
      </w:pPr>
      <w:r w:rsidRPr="00E06755">
        <w:rPr>
          <w:noProof/>
          <w:lang w:eastAsia="ru-RU"/>
        </w:rPr>
        <w:drawing>
          <wp:inline distT="0" distB="0" distL="0" distR="0" wp14:anchorId="7B00DA3F" wp14:editId="6AC19A65">
            <wp:extent cx="5939790" cy="938530"/>
            <wp:effectExtent l="0" t="0" r="3810" b="0"/>
            <wp:docPr id="6104" name="Рисунок 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39790" cy="938530"/>
                    </a:xfrm>
                    <a:prstGeom prst="rect">
                      <a:avLst/>
                    </a:prstGeom>
                  </pic:spPr>
                </pic:pic>
              </a:graphicData>
            </a:graphic>
          </wp:inline>
        </w:drawing>
      </w:r>
    </w:p>
    <w:p w:rsidR="004C24AC" w:rsidRPr="00E06755" w:rsidRDefault="004C24AC" w:rsidP="004C24AC">
      <w:pPr>
        <w:pStyle w:val="-0"/>
      </w:pPr>
      <w:bookmarkStart w:id="90" w:name="_Toc119584205"/>
      <w:r w:rsidRPr="00E06755">
        <w:t xml:space="preserve">Рисунок </w:t>
      </w:r>
      <w:fldSimple w:instr=" SEQ Рисунок \* ARABIC ">
        <w:bookmarkStart w:id="91" w:name="_Ref16426740"/>
        <w:r w:rsidR="001860A9">
          <w:rPr>
            <w:noProof/>
          </w:rPr>
          <w:t>18</w:t>
        </w:r>
        <w:bookmarkEnd w:id="91"/>
      </w:fldSimple>
      <w:r w:rsidRPr="00E06755">
        <w:t xml:space="preserve"> – </w:t>
      </w:r>
      <w:r w:rsidR="00487776" w:rsidRPr="00E06755">
        <w:t xml:space="preserve">Блок </w:t>
      </w:r>
      <w:r w:rsidRPr="00E06755">
        <w:t>«Избранное»</w:t>
      </w:r>
      <w:r w:rsidR="00487776" w:rsidRPr="00E06755">
        <w:t xml:space="preserve"> без включенных в него отчетов</w:t>
      </w:r>
      <w:bookmarkEnd w:id="90"/>
    </w:p>
    <w:p w:rsidR="00692EA9" w:rsidRPr="00E06755" w:rsidRDefault="00692EA9" w:rsidP="00692EA9">
      <w:pPr>
        <w:pStyle w:val="af0"/>
      </w:pPr>
      <w:r w:rsidRPr="00E06755">
        <w:t>Интерфейс содержит панель инструментов, на которой располагаются следующие функциональные элементы:</w:t>
      </w:r>
    </w:p>
    <w:p w:rsidR="00692EA9" w:rsidRPr="00E06755" w:rsidRDefault="00692EA9" w:rsidP="00DE1661">
      <w:pPr>
        <w:pStyle w:val="13"/>
      </w:pPr>
      <w:r w:rsidRPr="00E06755">
        <w:t>Добавить элемент</w:t>
      </w:r>
      <w:r w:rsidR="0020141F" w:rsidRPr="00E06755">
        <w:t xml:space="preserve"> </w:t>
      </w:r>
      <w:r w:rsidR="0020141F" w:rsidRPr="00E06755">
        <w:rPr>
          <w:noProof/>
          <w:snapToGrid/>
        </w:rPr>
        <w:drawing>
          <wp:inline distT="0" distB="0" distL="0" distR="0" wp14:anchorId="204D0A1B" wp14:editId="4689797C">
            <wp:extent cx="323850" cy="285750"/>
            <wp:effectExtent l="0" t="0" r="0" b="0"/>
            <wp:docPr id="6109" name="Рисунок 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Добавить группу</w:t>
      </w:r>
      <w:r w:rsidR="0020141F" w:rsidRPr="00E06755">
        <w:t xml:space="preserve"> </w:t>
      </w:r>
      <w:r w:rsidR="0020141F" w:rsidRPr="00E06755">
        <w:rPr>
          <w:noProof/>
          <w:snapToGrid/>
        </w:rPr>
        <w:drawing>
          <wp:inline distT="0" distB="0" distL="0" distR="0" wp14:anchorId="2306756C" wp14:editId="49D36EE0">
            <wp:extent cx="323850" cy="285750"/>
            <wp:effectExtent l="0" t="0" r="0" b="0"/>
            <wp:docPr id="6110" name="Рисунок 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Редактировать элемент или группу</w:t>
      </w:r>
      <w:r w:rsidR="0020141F" w:rsidRPr="00E06755">
        <w:t xml:space="preserve"> </w:t>
      </w:r>
      <w:r w:rsidR="0020141F" w:rsidRPr="00E06755">
        <w:rPr>
          <w:noProof/>
          <w:snapToGrid/>
        </w:rPr>
        <w:drawing>
          <wp:inline distT="0" distB="0" distL="0" distR="0" wp14:anchorId="4F515B85" wp14:editId="7F30D67A">
            <wp:extent cx="323850" cy="285750"/>
            <wp:effectExtent l="0" t="0" r="0" b="0"/>
            <wp:docPr id="6111" name="Рисунок 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Удалить элемент или группу</w:t>
      </w:r>
      <w:r w:rsidR="0020141F" w:rsidRPr="00E06755">
        <w:t xml:space="preserve"> </w:t>
      </w:r>
      <w:r w:rsidR="0020141F" w:rsidRPr="00E06755">
        <w:rPr>
          <w:noProof/>
          <w:snapToGrid/>
        </w:rPr>
        <w:drawing>
          <wp:inline distT="0" distB="0" distL="0" distR="0" wp14:anchorId="0FA10C5F" wp14:editId="30644A57">
            <wp:extent cx="323850" cy="285750"/>
            <wp:effectExtent l="0" t="0" r="0" b="0"/>
            <wp:docPr id="6144" name="Рисунок 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Фильтрация элементов</w:t>
      </w:r>
      <w:r w:rsidR="0020141F" w:rsidRPr="00E06755">
        <w:t xml:space="preserve"> </w:t>
      </w:r>
      <w:r w:rsidR="0020141F" w:rsidRPr="00E06755">
        <w:rPr>
          <w:noProof/>
          <w:snapToGrid/>
        </w:rPr>
        <w:drawing>
          <wp:inline distT="0" distB="0" distL="0" distR="0" wp14:anchorId="1284BD6E" wp14:editId="0963E5ED">
            <wp:extent cx="2066925" cy="409575"/>
            <wp:effectExtent l="0" t="0" r="9525" b="9525"/>
            <wp:docPr id="6150" name="Рисунок 6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066925" cy="409575"/>
                    </a:xfrm>
                    <a:prstGeom prst="rect">
                      <a:avLst/>
                    </a:prstGeom>
                  </pic:spPr>
                </pic:pic>
              </a:graphicData>
            </a:graphic>
          </wp:inline>
        </w:drawing>
      </w:r>
    </w:p>
    <w:p w:rsidR="00692EA9" w:rsidRPr="00E06755" w:rsidRDefault="00692EA9" w:rsidP="00DE1661">
      <w:pPr>
        <w:pStyle w:val="13"/>
      </w:pPr>
      <w:r w:rsidRPr="00E06755">
        <w:t>Расхлопнуть все группы</w:t>
      </w:r>
      <w:r w:rsidR="0020141F" w:rsidRPr="00E06755">
        <w:t xml:space="preserve"> </w:t>
      </w:r>
      <w:r w:rsidR="0020141F" w:rsidRPr="00E06755">
        <w:rPr>
          <w:noProof/>
          <w:snapToGrid/>
        </w:rPr>
        <w:drawing>
          <wp:inline distT="0" distB="0" distL="0" distR="0" wp14:anchorId="58787B14" wp14:editId="2116A122">
            <wp:extent cx="323850" cy="285750"/>
            <wp:effectExtent l="0" t="0" r="0" b="0"/>
            <wp:docPr id="6145" name="Рисунок 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Схлопнуть все группы</w:t>
      </w:r>
      <w:r w:rsidR="0020141F" w:rsidRPr="00E06755">
        <w:t xml:space="preserve"> </w:t>
      </w:r>
      <w:r w:rsidR="0020141F" w:rsidRPr="00E06755">
        <w:rPr>
          <w:noProof/>
          <w:snapToGrid/>
        </w:rPr>
        <w:drawing>
          <wp:inline distT="0" distB="0" distL="0" distR="0" wp14:anchorId="7C305A48" wp14:editId="6604808D">
            <wp:extent cx="323850" cy="285750"/>
            <wp:effectExtent l="0" t="0" r="0" b="0"/>
            <wp:docPr id="6146" name="Рисунок 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23850" cy="285750"/>
                    </a:xfrm>
                    <a:prstGeom prst="rect">
                      <a:avLst/>
                    </a:prstGeom>
                  </pic:spPr>
                </pic:pic>
              </a:graphicData>
            </a:graphic>
          </wp:inline>
        </w:drawing>
      </w:r>
    </w:p>
    <w:p w:rsidR="00692EA9" w:rsidRPr="00E06755" w:rsidRDefault="00692EA9" w:rsidP="00DE1661">
      <w:pPr>
        <w:pStyle w:val="13"/>
      </w:pPr>
      <w:r w:rsidRPr="00E06755">
        <w:t>Включить режим отображения – карточки</w:t>
      </w:r>
      <w:r w:rsidR="0020141F" w:rsidRPr="00E06755">
        <w:t xml:space="preserve"> </w:t>
      </w:r>
      <w:r w:rsidR="0020141F" w:rsidRPr="00E06755">
        <w:rPr>
          <w:noProof/>
          <w:snapToGrid/>
        </w:rPr>
        <w:drawing>
          <wp:inline distT="0" distB="0" distL="0" distR="0" wp14:anchorId="55C49FED" wp14:editId="733826DA">
            <wp:extent cx="323850" cy="285750"/>
            <wp:effectExtent l="0" t="0" r="0" b="0"/>
            <wp:docPr id="6149" name="Рисунок 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23850" cy="285750"/>
                    </a:xfrm>
                    <a:prstGeom prst="rect">
                      <a:avLst/>
                    </a:prstGeom>
                  </pic:spPr>
                </pic:pic>
              </a:graphicData>
            </a:graphic>
          </wp:inline>
        </w:drawing>
      </w:r>
      <w:r w:rsidR="0020141F" w:rsidRPr="00E06755">
        <w:rPr>
          <w:noProof/>
          <w:snapToGrid/>
        </w:rPr>
        <w:t xml:space="preserve"> </w:t>
      </w:r>
    </w:p>
    <w:p w:rsidR="00692EA9" w:rsidRPr="00E06755" w:rsidRDefault="00692EA9" w:rsidP="00DE1661">
      <w:pPr>
        <w:pStyle w:val="13"/>
      </w:pPr>
      <w:r w:rsidRPr="00E06755">
        <w:t xml:space="preserve">Включить режим отображения </w:t>
      </w:r>
      <w:r w:rsidR="0020141F" w:rsidRPr="00E06755">
        <w:t>–</w:t>
      </w:r>
      <w:r w:rsidRPr="00E06755">
        <w:t xml:space="preserve"> дерево</w:t>
      </w:r>
      <w:r w:rsidR="0020141F" w:rsidRPr="00E06755">
        <w:t xml:space="preserve"> </w:t>
      </w:r>
      <w:r w:rsidR="0020141F" w:rsidRPr="00E06755">
        <w:rPr>
          <w:noProof/>
          <w:snapToGrid/>
        </w:rPr>
        <w:drawing>
          <wp:inline distT="0" distB="0" distL="0" distR="0" wp14:anchorId="4C377EA4" wp14:editId="080246C1">
            <wp:extent cx="323850" cy="285750"/>
            <wp:effectExtent l="0" t="0" r="0" b="0"/>
            <wp:docPr id="6148" name="Рисунок 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3850" cy="285750"/>
                    </a:xfrm>
                    <a:prstGeom prst="rect">
                      <a:avLst/>
                    </a:prstGeom>
                  </pic:spPr>
                </pic:pic>
              </a:graphicData>
            </a:graphic>
          </wp:inline>
        </w:drawing>
      </w:r>
    </w:p>
    <w:p w:rsidR="00487776" w:rsidRPr="00E06755" w:rsidRDefault="00487776" w:rsidP="00757F1B">
      <w:pPr>
        <w:pStyle w:val="35"/>
      </w:pPr>
      <w:bookmarkStart w:id="92" w:name="_Ref26274623"/>
      <w:bookmarkStart w:id="93" w:name="_Toc119585042"/>
      <w:r w:rsidRPr="00E06755">
        <w:t xml:space="preserve">Добавление </w:t>
      </w:r>
      <w:r w:rsidR="00692EA9" w:rsidRPr="00E06755">
        <w:t>элементов</w:t>
      </w:r>
      <w:r w:rsidRPr="00E06755">
        <w:t xml:space="preserve"> в «Избранное».</w:t>
      </w:r>
      <w:bookmarkEnd w:id="92"/>
      <w:bookmarkEnd w:id="93"/>
    </w:p>
    <w:p w:rsidR="004C24AC" w:rsidRPr="00E06755" w:rsidRDefault="004C24AC" w:rsidP="001F48B2">
      <w:pPr>
        <w:pStyle w:val="af0"/>
      </w:pPr>
      <w:r w:rsidRPr="00E06755">
        <w:t xml:space="preserve">Добавить </w:t>
      </w:r>
      <w:r w:rsidR="0020141F" w:rsidRPr="00E06755">
        <w:t>элемент</w:t>
      </w:r>
      <w:r w:rsidRPr="00E06755">
        <w:t xml:space="preserve"> в «Избранное» можно </w:t>
      </w:r>
      <w:r w:rsidR="001D0553" w:rsidRPr="00E06755">
        <w:t>следующими</w:t>
      </w:r>
      <w:r w:rsidRPr="00E06755">
        <w:t xml:space="preserve"> способами:</w:t>
      </w:r>
    </w:p>
    <w:p w:rsidR="004C24AC" w:rsidRPr="00E06755" w:rsidRDefault="00292DC3" w:rsidP="00DE1661">
      <w:pPr>
        <w:pStyle w:val="13"/>
      </w:pPr>
      <w:r w:rsidRPr="00E06755">
        <w:t xml:space="preserve">способ 1: </w:t>
      </w:r>
      <w:r w:rsidR="004C24AC" w:rsidRPr="00E06755">
        <w:t>непосредст</w:t>
      </w:r>
      <w:r w:rsidR="001D0553" w:rsidRPr="00E06755">
        <w:t>венно через аналитический отчет;</w:t>
      </w:r>
    </w:p>
    <w:p w:rsidR="001D0553" w:rsidRPr="00E06755" w:rsidRDefault="00292DC3" w:rsidP="00DE1661">
      <w:pPr>
        <w:pStyle w:val="13"/>
      </w:pPr>
      <w:r w:rsidRPr="00E06755">
        <w:t xml:space="preserve">способ 2: </w:t>
      </w:r>
      <w:r w:rsidR="001D0553" w:rsidRPr="00E06755">
        <w:t xml:space="preserve">через пункт «Добавить в избранное» </w:t>
      </w:r>
      <w:r w:rsidR="00210C7E" w:rsidRPr="00E06755">
        <w:t xml:space="preserve">контекстное </w:t>
      </w:r>
      <w:r w:rsidR="001D0553" w:rsidRPr="00E06755">
        <w:t xml:space="preserve">меню </w:t>
      </w:r>
      <w:r w:rsidR="00210C7E" w:rsidRPr="00E06755">
        <w:t>элемента навигации</w:t>
      </w:r>
      <w:r w:rsidR="00692EA9" w:rsidRPr="00E06755">
        <w:t xml:space="preserve"> информационной витрины данных</w:t>
      </w:r>
      <w:r w:rsidR="002210A6" w:rsidRPr="00E06755">
        <w:t>;</w:t>
      </w:r>
    </w:p>
    <w:p w:rsidR="002210A6" w:rsidRPr="00E06755" w:rsidRDefault="002210A6" w:rsidP="00DE1661">
      <w:pPr>
        <w:pStyle w:val="13"/>
      </w:pPr>
      <w:r w:rsidRPr="00E06755">
        <w:t>способ 3: из репозитория содержимого пользователя Подсистемы.</w:t>
      </w:r>
    </w:p>
    <w:p w:rsidR="008B7229" w:rsidRPr="00E06755" w:rsidRDefault="004C24AC" w:rsidP="004C24AC">
      <w:pPr>
        <w:pStyle w:val="af0"/>
      </w:pPr>
      <w:r w:rsidRPr="00E06755">
        <w:t xml:space="preserve">Для добавления отчета в перечень избранных первым способом необходимо </w:t>
      </w:r>
      <w:r w:rsidR="00210C7E" w:rsidRPr="00E06755">
        <w:t>выполнить переход в аналитический отчет</w:t>
      </w:r>
      <w:r w:rsidRPr="00E06755">
        <w:t xml:space="preserve"> и кликнуть мышью по значку «</w:t>
      </w:r>
      <w:r w:rsidR="00693B4C" w:rsidRPr="00E06755">
        <w:t>З</w:t>
      </w:r>
      <w:r w:rsidRPr="00E06755">
        <w:t>везда»</w:t>
      </w:r>
      <w:r w:rsidR="00804F85" w:rsidRPr="00E06755">
        <w:t xml:space="preserve"> </w:t>
      </w:r>
      <w:r w:rsidR="00693B4C" w:rsidRPr="00E06755">
        <w:rPr>
          <w:noProof/>
          <w:snapToGrid/>
        </w:rPr>
        <w:drawing>
          <wp:inline distT="0" distB="0" distL="0" distR="0" wp14:anchorId="5A61002D" wp14:editId="5650A2AD">
            <wp:extent cx="381000" cy="295275"/>
            <wp:effectExtent l="0" t="0" r="0" b="9525"/>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81000" cy="295275"/>
                    </a:xfrm>
                    <a:prstGeom prst="rect">
                      <a:avLst/>
                    </a:prstGeom>
                  </pic:spPr>
                </pic:pic>
              </a:graphicData>
            </a:graphic>
          </wp:inline>
        </w:drawing>
      </w:r>
      <w:r w:rsidR="008B7229" w:rsidRPr="00E06755">
        <w:t>, расположенно</w:t>
      </w:r>
      <w:r w:rsidRPr="00E06755">
        <w:t xml:space="preserve">м </w:t>
      </w:r>
      <w:r w:rsidR="00210C7E" w:rsidRPr="00E06755">
        <w:t>в правом верхнем углу см. на рисунке</w:t>
      </w:r>
      <w:r w:rsidR="00814522">
        <w:t xml:space="preserve"> </w:t>
      </w:r>
      <w:r w:rsidR="00814522">
        <w:fldChar w:fldCharType="begin"/>
      </w:r>
      <w:r w:rsidR="00814522">
        <w:instrText xml:space="preserve"> REF _Ref69980428 \h </w:instrText>
      </w:r>
      <w:r w:rsidR="00814522">
        <w:fldChar w:fldCharType="separate"/>
      </w:r>
      <w:r w:rsidR="00BF0BEE">
        <w:rPr>
          <w:noProof/>
        </w:rPr>
        <w:t>19</w:t>
      </w:r>
      <w:r w:rsidR="00814522">
        <w:fldChar w:fldCharType="end"/>
      </w:r>
      <w:r w:rsidR="00804F85" w:rsidRPr="00E06755">
        <w:t>.</w:t>
      </w:r>
    </w:p>
    <w:p w:rsidR="004C24AC" w:rsidRPr="00E06755" w:rsidRDefault="00804F85" w:rsidP="004C24AC">
      <w:pPr>
        <w:pStyle w:val="af0"/>
      </w:pPr>
      <w:r w:rsidRPr="00E06755">
        <w:t>В результате, фон значка «Звезда» изменится на «желтый»</w:t>
      </w:r>
      <w:r w:rsidR="00910BE4" w:rsidRPr="00E06755">
        <w:t>.</w:t>
      </w:r>
    </w:p>
    <w:p w:rsidR="00814522" w:rsidRDefault="002B6101" w:rsidP="00814522">
      <w:pPr>
        <w:pStyle w:val="afffff7"/>
        <w:keepNext/>
      </w:pPr>
      <w:r>
        <w:rPr>
          <w:noProof/>
          <w:lang w:eastAsia="ru-RU"/>
        </w:rPr>
        <w:drawing>
          <wp:inline distT="0" distB="0" distL="0" distR="0" wp14:anchorId="6E7DA900" wp14:editId="65C96341">
            <wp:extent cx="5943600" cy="1549831"/>
            <wp:effectExtent l="0" t="0" r="0" b="0"/>
            <wp:docPr id="6251" name="Рисунок 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939790" cy="1548838"/>
                    </a:xfrm>
                    <a:prstGeom prst="rect">
                      <a:avLst/>
                    </a:prstGeom>
                  </pic:spPr>
                </pic:pic>
              </a:graphicData>
            </a:graphic>
          </wp:inline>
        </w:drawing>
      </w:r>
    </w:p>
    <w:p w:rsidR="004F235C" w:rsidRPr="00E06755" w:rsidRDefault="00814522" w:rsidP="00814522">
      <w:pPr>
        <w:pStyle w:val="-0"/>
      </w:pPr>
      <w:bookmarkStart w:id="94" w:name="_Toc119584206"/>
      <w:r w:rsidRPr="00E06755">
        <w:t xml:space="preserve">Рисунок </w:t>
      </w:r>
      <w:fldSimple w:instr=" SEQ Рисунок \* ARABIC ">
        <w:bookmarkStart w:id="95" w:name="_Ref69980428"/>
        <w:r w:rsidR="001860A9">
          <w:rPr>
            <w:noProof/>
          </w:rPr>
          <w:t>19</w:t>
        </w:r>
        <w:bookmarkEnd w:id="95"/>
      </w:fldSimple>
      <w:r w:rsidRPr="00E06755">
        <w:t xml:space="preserve"> – Добавление отчета в «Избранное»</w:t>
      </w:r>
      <w:bookmarkEnd w:id="94"/>
    </w:p>
    <w:p w:rsidR="00210C7E" w:rsidRPr="00E06755" w:rsidRDefault="00210C7E" w:rsidP="00210C7E">
      <w:pPr>
        <w:pStyle w:val="af0"/>
      </w:pPr>
      <w:r w:rsidRPr="00E06755">
        <w:t xml:space="preserve">Отчеты добавлен в «Избранное» (Рисунок </w:t>
      </w:r>
      <w:r w:rsidRPr="00E06755">
        <w:fldChar w:fldCharType="begin"/>
      </w:r>
      <w:r w:rsidRPr="00E06755">
        <w:instrText xml:space="preserve"> REF _Ref16427988 \h  \* MERGEFORMAT </w:instrText>
      </w:r>
      <w:r w:rsidRPr="00E06755">
        <w:fldChar w:fldCharType="separate"/>
      </w:r>
      <w:r w:rsidR="00BF0BEE">
        <w:t>20</w:t>
      </w:r>
      <w:r w:rsidRPr="00E06755">
        <w:fldChar w:fldCharType="end"/>
      </w:r>
      <w:r w:rsidRPr="00E06755">
        <w:t>)</w:t>
      </w:r>
    </w:p>
    <w:p w:rsidR="00910BE4" w:rsidRPr="00E06755" w:rsidRDefault="00210C7E" w:rsidP="00910BE4">
      <w:pPr>
        <w:pStyle w:val="afffff7"/>
      </w:pPr>
      <w:r w:rsidRPr="00E06755">
        <w:rPr>
          <w:noProof/>
          <w:lang w:eastAsia="ru-RU"/>
        </w:rPr>
        <w:drawing>
          <wp:inline distT="0" distB="0" distL="0" distR="0" wp14:anchorId="79F190FF" wp14:editId="4354856A">
            <wp:extent cx="5939790" cy="1804035"/>
            <wp:effectExtent l="0" t="0" r="3810" b="5715"/>
            <wp:docPr id="6106" name="Рисунок 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39790" cy="1804035"/>
                    </a:xfrm>
                    <a:prstGeom prst="rect">
                      <a:avLst/>
                    </a:prstGeom>
                  </pic:spPr>
                </pic:pic>
              </a:graphicData>
            </a:graphic>
          </wp:inline>
        </w:drawing>
      </w:r>
    </w:p>
    <w:p w:rsidR="00910BE4" w:rsidRPr="00E06755" w:rsidRDefault="00910BE4" w:rsidP="009D7F4A">
      <w:pPr>
        <w:pStyle w:val="-0"/>
      </w:pPr>
      <w:bookmarkStart w:id="96" w:name="_Toc119584207"/>
      <w:r w:rsidRPr="00E06755">
        <w:t xml:space="preserve">Рисунок </w:t>
      </w:r>
      <w:fldSimple w:instr=" SEQ Рисунок \* ARABIC ">
        <w:bookmarkStart w:id="97" w:name="_Ref16427988"/>
        <w:r w:rsidR="001860A9">
          <w:rPr>
            <w:noProof/>
          </w:rPr>
          <w:t>20</w:t>
        </w:r>
        <w:bookmarkEnd w:id="97"/>
      </w:fldSimple>
      <w:r w:rsidRPr="00E06755">
        <w:t xml:space="preserve"> – Панель «Избранное» с перечнем отчетов</w:t>
      </w:r>
      <w:bookmarkEnd w:id="96"/>
    </w:p>
    <w:p w:rsidR="008B7229" w:rsidRPr="00E06755" w:rsidRDefault="009D7F4A" w:rsidP="009D7F4A">
      <w:pPr>
        <w:pStyle w:val="af0"/>
      </w:pPr>
      <w:r w:rsidRPr="00E06755">
        <w:t xml:space="preserve">Для добавления </w:t>
      </w:r>
      <w:r w:rsidR="002210A6" w:rsidRPr="00E06755">
        <w:t>элемента</w:t>
      </w:r>
      <w:r w:rsidRPr="00E06755">
        <w:t xml:space="preserve"> в перечень избранных </w:t>
      </w:r>
      <w:r w:rsidR="00210C7E" w:rsidRPr="00E06755">
        <w:t xml:space="preserve">вторым способом необходимо выполнить переход </w:t>
      </w:r>
      <w:r w:rsidR="00DC1595" w:rsidRPr="00E06755">
        <w:t>в навигацию по информационной витрине, вызвать контекстное меню на элементе навигации и выбрать пункт «Добавить в избранное»</w:t>
      </w:r>
      <w:r w:rsidR="008B7229" w:rsidRPr="00E06755">
        <w:t>, как показано на рисунке</w:t>
      </w:r>
      <w:r w:rsidR="00E42690">
        <w:t xml:space="preserve"> </w:t>
      </w:r>
      <w:r w:rsidR="00E42690">
        <w:fldChar w:fldCharType="begin"/>
      </w:r>
      <w:r w:rsidR="00E42690">
        <w:instrText xml:space="preserve"> REF _Ref69980477 \h </w:instrText>
      </w:r>
      <w:r w:rsidR="00E42690">
        <w:fldChar w:fldCharType="separate"/>
      </w:r>
      <w:r w:rsidR="00BF0BEE">
        <w:rPr>
          <w:noProof/>
        </w:rPr>
        <w:t>21</w:t>
      </w:r>
      <w:r w:rsidR="00E42690">
        <w:fldChar w:fldCharType="end"/>
      </w:r>
      <w:r w:rsidR="008B7229" w:rsidRPr="00E06755">
        <w:t>.</w:t>
      </w:r>
    </w:p>
    <w:p w:rsidR="00E42690" w:rsidRDefault="00C7397C" w:rsidP="00E42690">
      <w:pPr>
        <w:pStyle w:val="afffff7"/>
        <w:keepNext/>
      </w:pPr>
      <w:r>
        <w:rPr>
          <w:noProof/>
          <w:lang w:eastAsia="ru-RU"/>
        </w:rPr>
        <w:drawing>
          <wp:inline distT="0" distB="0" distL="0" distR="0" wp14:anchorId="1C8F1A3D" wp14:editId="38EE4AC3">
            <wp:extent cx="5939790" cy="2891119"/>
            <wp:effectExtent l="0" t="0" r="3810" b="5080"/>
            <wp:docPr id="6252" name="Рисунок 6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939790" cy="2891119"/>
                    </a:xfrm>
                    <a:prstGeom prst="rect">
                      <a:avLst/>
                    </a:prstGeom>
                  </pic:spPr>
                </pic:pic>
              </a:graphicData>
            </a:graphic>
          </wp:inline>
        </w:drawing>
      </w:r>
    </w:p>
    <w:p w:rsidR="008B7229" w:rsidRPr="00E06755" w:rsidRDefault="00E42690" w:rsidP="00E42690">
      <w:pPr>
        <w:pStyle w:val="-0"/>
      </w:pPr>
      <w:bookmarkStart w:id="98" w:name="_Toc119584208"/>
      <w:r w:rsidRPr="00E06755">
        <w:t xml:space="preserve">Рисунок </w:t>
      </w:r>
      <w:fldSimple w:instr=" SEQ Рисунок \* ARABIC ">
        <w:bookmarkStart w:id="99" w:name="_Ref69980477"/>
        <w:r w:rsidR="001860A9">
          <w:rPr>
            <w:noProof/>
          </w:rPr>
          <w:t>21</w:t>
        </w:r>
        <w:bookmarkEnd w:id="99"/>
      </w:fldSimple>
      <w:r w:rsidRPr="00E06755">
        <w:t xml:space="preserve"> – Добавление элемента в «Избранное» через навигационное меню информационной витрины</w:t>
      </w:r>
      <w:bookmarkEnd w:id="98"/>
    </w:p>
    <w:p w:rsidR="002210A6" w:rsidRPr="00E06755" w:rsidRDefault="002210A6" w:rsidP="002210A6">
      <w:pPr>
        <w:pStyle w:val="af0"/>
      </w:pPr>
      <w:r w:rsidRPr="00E06755">
        <w:t>Для добавления элемента в избранно</w:t>
      </w:r>
      <w:r w:rsidR="006A22BA">
        <w:t>е</w:t>
      </w:r>
      <w:r w:rsidRPr="00E06755">
        <w:t xml:space="preserve"> третьим способом необходимо на панели инструментов интерфейса «Избранное» нажать кнопку «Добавить элемент» </w:t>
      </w:r>
      <w:r w:rsidRPr="00E06755">
        <w:rPr>
          <w:noProof/>
          <w:snapToGrid/>
        </w:rPr>
        <w:drawing>
          <wp:inline distT="0" distB="0" distL="0" distR="0" wp14:anchorId="28B6E1F3" wp14:editId="0B06E938">
            <wp:extent cx="323850" cy="285750"/>
            <wp:effectExtent l="0" t="0" r="0" b="0"/>
            <wp:docPr id="6151" name="Рисунок 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23850" cy="285750"/>
                    </a:xfrm>
                    <a:prstGeom prst="rect">
                      <a:avLst/>
                    </a:prstGeom>
                  </pic:spPr>
                </pic:pic>
              </a:graphicData>
            </a:graphic>
          </wp:inline>
        </w:drawing>
      </w:r>
      <w:r w:rsidRPr="00E06755">
        <w:t>. Этот способ применяет пользователем тогда, когда необходимо добавить в избранное элементы, которые пользователь настроить самостоятельно: отчеты, виджеты, информационные панели.</w:t>
      </w:r>
    </w:p>
    <w:p w:rsidR="002210A6" w:rsidRPr="00E06755" w:rsidRDefault="002210A6" w:rsidP="002210A6">
      <w:pPr>
        <w:pStyle w:val="af0"/>
      </w:pPr>
      <w:r w:rsidRPr="00E06755">
        <w:t>Добавление элементов выполняется из репозитория содержимого пользователя</w:t>
      </w:r>
      <w:r w:rsidR="00EC6420" w:rsidRPr="00E06755">
        <w:t xml:space="preserve"> Подсистемы</w:t>
      </w:r>
      <w:r w:rsidRPr="00E06755">
        <w:t>. Интерфейс репозитория открывается после нажатия на кнопку «Добавить элемент»</w:t>
      </w:r>
      <w:r w:rsidR="00EC6420" w:rsidRPr="00E06755">
        <w:t>. Интерфейс представлен на рисунке</w:t>
      </w:r>
      <w:r w:rsidR="003B09FA">
        <w:t xml:space="preserve"> </w:t>
      </w:r>
      <w:r w:rsidR="003B09FA">
        <w:fldChar w:fldCharType="begin"/>
      </w:r>
      <w:r w:rsidR="003B09FA">
        <w:instrText xml:space="preserve"> REF _Ref70323963 \h </w:instrText>
      </w:r>
      <w:r w:rsidR="003B09FA">
        <w:fldChar w:fldCharType="separate"/>
      </w:r>
      <w:r w:rsidR="00BF0BEE">
        <w:rPr>
          <w:noProof/>
        </w:rPr>
        <w:t>22</w:t>
      </w:r>
      <w:r w:rsidR="003B09FA">
        <w:fldChar w:fldCharType="end"/>
      </w:r>
      <w:r w:rsidR="00EC6420" w:rsidRPr="00E06755">
        <w:t>.</w:t>
      </w:r>
    </w:p>
    <w:p w:rsidR="003B09FA" w:rsidRDefault="002210A6" w:rsidP="003B09FA">
      <w:pPr>
        <w:pStyle w:val="afffff7"/>
        <w:keepNext/>
      </w:pPr>
      <w:r w:rsidRPr="00E06755">
        <w:rPr>
          <w:noProof/>
          <w:lang w:eastAsia="ru-RU"/>
        </w:rPr>
        <w:drawing>
          <wp:inline distT="0" distB="0" distL="0" distR="0" wp14:anchorId="232DB6D4" wp14:editId="2BCBA04F">
            <wp:extent cx="5939790" cy="2905760"/>
            <wp:effectExtent l="0" t="0" r="3810" b="8890"/>
            <wp:docPr id="6152" name="Рисунок 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39790" cy="2905760"/>
                    </a:xfrm>
                    <a:prstGeom prst="rect">
                      <a:avLst/>
                    </a:prstGeom>
                  </pic:spPr>
                </pic:pic>
              </a:graphicData>
            </a:graphic>
          </wp:inline>
        </w:drawing>
      </w:r>
    </w:p>
    <w:p w:rsidR="00EC6420" w:rsidRPr="00E06755" w:rsidRDefault="003B09FA" w:rsidP="003B09FA">
      <w:pPr>
        <w:pStyle w:val="-0"/>
      </w:pPr>
      <w:bookmarkStart w:id="100" w:name="_Toc119584209"/>
      <w:r w:rsidRPr="00E06755">
        <w:t xml:space="preserve">Рисунок </w:t>
      </w:r>
      <w:fldSimple w:instr=" SEQ Рисунок \* ARABIC ">
        <w:bookmarkStart w:id="101" w:name="_Ref70323963"/>
        <w:r w:rsidR="001860A9">
          <w:rPr>
            <w:noProof/>
          </w:rPr>
          <w:t>22</w:t>
        </w:r>
        <w:bookmarkEnd w:id="101"/>
      </w:fldSimple>
      <w:r w:rsidRPr="00E06755">
        <w:t xml:space="preserve"> – Репозиторий содержимого пользователя Подсистемы</w:t>
      </w:r>
      <w:bookmarkEnd w:id="100"/>
    </w:p>
    <w:p w:rsidR="00487776" w:rsidRPr="00E06755" w:rsidRDefault="00597740" w:rsidP="00757F1B">
      <w:pPr>
        <w:pStyle w:val="35"/>
      </w:pPr>
      <w:bookmarkStart w:id="102" w:name="_Toc119585043"/>
      <w:r w:rsidRPr="00E06755">
        <w:t>У</w:t>
      </w:r>
      <w:r w:rsidR="00487776" w:rsidRPr="00E06755">
        <w:t xml:space="preserve">даление </w:t>
      </w:r>
      <w:r w:rsidR="00692EA9" w:rsidRPr="00E06755">
        <w:t>элементов</w:t>
      </w:r>
      <w:r w:rsidR="00487776" w:rsidRPr="00E06755">
        <w:t xml:space="preserve"> из «Избранное».</w:t>
      </w:r>
      <w:bookmarkEnd w:id="102"/>
    </w:p>
    <w:p w:rsidR="008B7229" w:rsidRPr="00E06755" w:rsidRDefault="00022D26" w:rsidP="009D7F4A">
      <w:pPr>
        <w:pStyle w:val="af0"/>
      </w:pPr>
      <w:r w:rsidRPr="00E06755">
        <w:t xml:space="preserve">Удалить отчет из перечня избранных отчетов можно </w:t>
      </w:r>
      <w:r w:rsidR="006C518F" w:rsidRPr="00E06755">
        <w:t>тремя</w:t>
      </w:r>
      <w:r w:rsidRPr="00E06755">
        <w:t xml:space="preserve"> способами:</w:t>
      </w:r>
    </w:p>
    <w:p w:rsidR="00022D26" w:rsidRPr="00E06755" w:rsidRDefault="006C518F" w:rsidP="00DE1661">
      <w:pPr>
        <w:pStyle w:val="13"/>
      </w:pPr>
      <w:r w:rsidRPr="00E06755">
        <w:t xml:space="preserve">способ 1: </w:t>
      </w:r>
      <w:r w:rsidR="00EC6420" w:rsidRPr="00E06755">
        <w:t>с помощью функциональной кнопки на панели инструментов интерфейса «Избранное»</w:t>
      </w:r>
      <w:r w:rsidR="00022D26" w:rsidRPr="00E06755">
        <w:t>;</w:t>
      </w:r>
    </w:p>
    <w:p w:rsidR="00022D26" w:rsidRPr="00E06755" w:rsidRDefault="006C518F" w:rsidP="00DE1661">
      <w:pPr>
        <w:pStyle w:val="13"/>
      </w:pPr>
      <w:r w:rsidRPr="00E06755">
        <w:t xml:space="preserve">способ 2: </w:t>
      </w:r>
      <w:r w:rsidR="00022D26" w:rsidRPr="00E06755">
        <w:t>непосредст</w:t>
      </w:r>
      <w:r w:rsidRPr="00E06755">
        <w:t>венно через аналитический отчет;</w:t>
      </w:r>
    </w:p>
    <w:p w:rsidR="006C518F" w:rsidRPr="00E06755" w:rsidRDefault="006C518F" w:rsidP="00DE1661">
      <w:pPr>
        <w:pStyle w:val="13"/>
      </w:pPr>
      <w:r w:rsidRPr="00E06755">
        <w:t>способ 3: через пункт «Исключить из избранного» контекстное меню элемента навигации информационной витрины данных;</w:t>
      </w:r>
    </w:p>
    <w:p w:rsidR="006C518F" w:rsidRPr="00E06755" w:rsidRDefault="006C518F" w:rsidP="009D7F4A">
      <w:pPr>
        <w:pStyle w:val="af0"/>
      </w:pPr>
      <w:r w:rsidRPr="00E06755">
        <w:t>Для удаления элемента из избранного первым способом необходимо в интерфейсе «Избранное»:</w:t>
      </w:r>
    </w:p>
    <w:p w:rsidR="006C518F" w:rsidRPr="00E06755" w:rsidRDefault="006C518F" w:rsidP="00B05375">
      <w:pPr>
        <w:pStyle w:val="a8"/>
        <w:numPr>
          <w:ilvl w:val="0"/>
          <w:numId w:val="47"/>
        </w:numPr>
      </w:pPr>
      <w:r w:rsidRPr="00E06755">
        <w:t xml:space="preserve">включить режим отображения – дерево с помощью кнопки </w:t>
      </w:r>
      <w:r w:rsidRPr="00E06755">
        <w:rPr>
          <w:noProof/>
          <w:snapToGrid/>
        </w:rPr>
        <w:drawing>
          <wp:inline distT="0" distB="0" distL="0" distR="0" wp14:anchorId="3DD1C081" wp14:editId="32D2EB7B">
            <wp:extent cx="323850" cy="285750"/>
            <wp:effectExtent l="0" t="0" r="0" b="0"/>
            <wp:docPr id="6154" name="Рисунок 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3850" cy="285750"/>
                    </a:xfrm>
                    <a:prstGeom prst="rect">
                      <a:avLst/>
                    </a:prstGeom>
                  </pic:spPr>
                </pic:pic>
              </a:graphicData>
            </a:graphic>
          </wp:inline>
        </w:drawing>
      </w:r>
      <w:r w:rsidRPr="00E06755">
        <w:t>;</w:t>
      </w:r>
    </w:p>
    <w:p w:rsidR="006C518F" w:rsidRPr="00E06755" w:rsidRDefault="006C518F" w:rsidP="006C518F">
      <w:pPr>
        <w:pStyle w:val="a8"/>
      </w:pPr>
      <w:r w:rsidRPr="00E06755">
        <w:t>выбрать элемент в навигационном меню;</w:t>
      </w:r>
    </w:p>
    <w:p w:rsidR="00022D26" w:rsidRPr="00E06755" w:rsidRDefault="006C518F" w:rsidP="006C518F">
      <w:pPr>
        <w:pStyle w:val="a8"/>
      </w:pPr>
      <w:r w:rsidRPr="00E06755">
        <w:t xml:space="preserve">на панели инструментов нажать кнопку «Удалить элемент или группу </w:t>
      </w:r>
      <w:r w:rsidRPr="00E06755">
        <w:rPr>
          <w:noProof/>
          <w:snapToGrid/>
        </w:rPr>
        <w:drawing>
          <wp:inline distT="0" distB="0" distL="0" distR="0" wp14:anchorId="60A0A69F" wp14:editId="0E2512E8">
            <wp:extent cx="323850" cy="285750"/>
            <wp:effectExtent l="0" t="0" r="0" b="0"/>
            <wp:docPr id="6153" name="Рисунок 6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23850" cy="285750"/>
                    </a:xfrm>
                    <a:prstGeom prst="rect">
                      <a:avLst/>
                    </a:prstGeom>
                  </pic:spPr>
                </pic:pic>
              </a:graphicData>
            </a:graphic>
          </wp:inline>
        </w:drawing>
      </w:r>
      <w:r w:rsidRPr="00E06755">
        <w:t>» как показано на рисунке</w:t>
      </w:r>
      <w:r w:rsidR="00E42690">
        <w:t xml:space="preserve"> </w:t>
      </w:r>
      <w:r w:rsidR="00E42690">
        <w:fldChar w:fldCharType="begin"/>
      </w:r>
      <w:r w:rsidR="00E42690">
        <w:instrText xml:space="preserve"> REF _Ref69980524 \h </w:instrText>
      </w:r>
      <w:r w:rsidR="00E42690">
        <w:fldChar w:fldCharType="separate"/>
      </w:r>
      <w:r w:rsidR="00BF0BEE">
        <w:rPr>
          <w:noProof/>
        </w:rPr>
        <w:t>23</w:t>
      </w:r>
      <w:r w:rsidR="00E42690">
        <w:fldChar w:fldCharType="end"/>
      </w:r>
      <w:r w:rsidR="00BA72BD" w:rsidRPr="00E06755">
        <w:t>.</w:t>
      </w:r>
    </w:p>
    <w:p w:rsidR="00E42690" w:rsidRDefault="00C7397C" w:rsidP="00E42690">
      <w:pPr>
        <w:pStyle w:val="afffff7"/>
        <w:keepNext/>
      </w:pPr>
      <w:r>
        <w:rPr>
          <w:noProof/>
          <w:lang w:eastAsia="ru-RU"/>
        </w:rPr>
        <w:drawing>
          <wp:inline distT="0" distB="0" distL="0" distR="0" wp14:anchorId="3F530C66" wp14:editId="700F6EC8">
            <wp:extent cx="5939790" cy="1972778"/>
            <wp:effectExtent l="0" t="0" r="3810" b="8890"/>
            <wp:docPr id="6253" name="Рисунок 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939790" cy="1972778"/>
                    </a:xfrm>
                    <a:prstGeom prst="rect">
                      <a:avLst/>
                    </a:prstGeom>
                  </pic:spPr>
                </pic:pic>
              </a:graphicData>
            </a:graphic>
          </wp:inline>
        </w:drawing>
      </w:r>
    </w:p>
    <w:p w:rsidR="00BA72BD" w:rsidRPr="00E06755" w:rsidRDefault="00E42690" w:rsidP="00E42690">
      <w:pPr>
        <w:pStyle w:val="-0"/>
      </w:pPr>
      <w:bookmarkStart w:id="103" w:name="_Toc119584210"/>
      <w:r w:rsidRPr="00E06755">
        <w:t xml:space="preserve">Рисунок </w:t>
      </w:r>
      <w:fldSimple w:instr=" SEQ Рисунок \* ARABIC ">
        <w:bookmarkStart w:id="104" w:name="_Ref69980524"/>
        <w:r w:rsidR="001860A9">
          <w:rPr>
            <w:noProof/>
          </w:rPr>
          <w:t>23</w:t>
        </w:r>
        <w:bookmarkEnd w:id="104"/>
      </w:fldSimple>
      <w:r w:rsidRPr="00E06755">
        <w:t xml:space="preserve"> – Удаление элемента из избранного с помощью интерфейса «Избранное»</w:t>
      </w:r>
      <w:bookmarkEnd w:id="103"/>
    </w:p>
    <w:p w:rsidR="00022D26" w:rsidRPr="00E06755" w:rsidRDefault="006C518F" w:rsidP="009D7F4A">
      <w:pPr>
        <w:pStyle w:val="af0"/>
      </w:pPr>
      <w:r w:rsidRPr="00E06755">
        <w:t>Для удаления элемента из избранного вторым способом необходимо н</w:t>
      </w:r>
      <w:r w:rsidR="00D23A80" w:rsidRPr="00E06755">
        <w:t xml:space="preserve">епосредственно в аналитическом отчете кликнуть мышью по значку </w:t>
      </w:r>
      <w:r w:rsidR="00D23A80" w:rsidRPr="00E06755">
        <w:rPr>
          <w:noProof/>
          <w:snapToGrid/>
        </w:rPr>
        <w:drawing>
          <wp:inline distT="0" distB="0" distL="0" distR="0" wp14:anchorId="1B19E4AC" wp14:editId="4B665142">
            <wp:extent cx="361950" cy="257175"/>
            <wp:effectExtent l="0" t="0" r="0" b="9525"/>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61950" cy="257175"/>
                    </a:xfrm>
                    <a:prstGeom prst="rect">
                      <a:avLst/>
                    </a:prstGeom>
                  </pic:spPr>
                </pic:pic>
              </a:graphicData>
            </a:graphic>
          </wp:inline>
        </w:drawing>
      </w:r>
      <w:r w:rsidR="00D23A80" w:rsidRPr="00E06755">
        <w:t>, как показано на рисунке</w:t>
      </w:r>
      <w:r w:rsidR="00E42690">
        <w:t xml:space="preserve"> </w:t>
      </w:r>
      <w:r w:rsidR="00E42690">
        <w:fldChar w:fldCharType="begin"/>
      </w:r>
      <w:r w:rsidR="00E42690">
        <w:instrText xml:space="preserve"> REF _Ref69980560 \h </w:instrText>
      </w:r>
      <w:r w:rsidR="00E42690">
        <w:fldChar w:fldCharType="separate"/>
      </w:r>
      <w:r w:rsidR="00BF0BEE">
        <w:rPr>
          <w:noProof/>
        </w:rPr>
        <w:t>24</w:t>
      </w:r>
      <w:r w:rsidR="00E42690">
        <w:fldChar w:fldCharType="end"/>
      </w:r>
      <w:r w:rsidR="00D23A80" w:rsidRPr="00E06755">
        <w:t>.</w:t>
      </w:r>
    </w:p>
    <w:p w:rsidR="00E42690" w:rsidRDefault="00462DFC" w:rsidP="00E42690">
      <w:pPr>
        <w:pStyle w:val="afffff7"/>
        <w:keepNext/>
      </w:pPr>
      <w:r>
        <w:rPr>
          <w:noProof/>
          <w:lang w:eastAsia="ru-RU"/>
        </w:rPr>
        <w:drawing>
          <wp:inline distT="0" distB="0" distL="0" distR="0" wp14:anchorId="2F48225A" wp14:editId="7D5A9435">
            <wp:extent cx="5939790" cy="1953160"/>
            <wp:effectExtent l="0" t="0" r="3810" b="9525"/>
            <wp:docPr id="6254" name="Рисунок 6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939790" cy="1953160"/>
                    </a:xfrm>
                    <a:prstGeom prst="rect">
                      <a:avLst/>
                    </a:prstGeom>
                  </pic:spPr>
                </pic:pic>
              </a:graphicData>
            </a:graphic>
          </wp:inline>
        </w:drawing>
      </w:r>
    </w:p>
    <w:p w:rsidR="00D23A80" w:rsidRPr="00E06755" w:rsidRDefault="00E42690" w:rsidP="00E42690">
      <w:pPr>
        <w:pStyle w:val="-0"/>
      </w:pPr>
      <w:bookmarkStart w:id="105" w:name="_Toc119584211"/>
      <w:r w:rsidRPr="00E06755">
        <w:t xml:space="preserve">Рисунок </w:t>
      </w:r>
      <w:fldSimple w:instr=" SEQ Рисунок \* ARABIC ">
        <w:bookmarkStart w:id="106" w:name="_Ref69980560"/>
        <w:r w:rsidR="001860A9">
          <w:rPr>
            <w:noProof/>
          </w:rPr>
          <w:t>24</w:t>
        </w:r>
        <w:bookmarkEnd w:id="106"/>
      </w:fldSimple>
      <w:r w:rsidRPr="00E06755">
        <w:t xml:space="preserve"> – Удаление отчета из перечня избранных через отчет</w:t>
      </w:r>
      <w:bookmarkEnd w:id="105"/>
    </w:p>
    <w:p w:rsidR="006720A1" w:rsidRPr="00E06755" w:rsidRDefault="006720A1" w:rsidP="006720A1">
      <w:pPr>
        <w:pStyle w:val="af0"/>
      </w:pPr>
      <w:r w:rsidRPr="00E06755">
        <w:t>Для удаления элемента из избранного третьим способом необходимо:</w:t>
      </w:r>
    </w:p>
    <w:p w:rsidR="006720A1" w:rsidRPr="00E06755" w:rsidRDefault="006720A1" w:rsidP="00B05375">
      <w:pPr>
        <w:pStyle w:val="a8"/>
        <w:numPr>
          <w:ilvl w:val="0"/>
          <w:numId w:val="48"/>
        </w:numPr>
      </w:pPr>
      <w:r w:rsidRPr="00E06755">
        <w:t>выполнить переход в навигационное меню «Витрины»;</w:t>
      </w:r>
    </w:p>
    <w:p w:rsidR="006720A1" w:rsidRPr="00E06755" w:rsidRDefault="006720A1" w:rsidP="006720A1">
      <w:pPr>
        <w:pStyle w:val="a8"/>
      </w:pPr>
      <w:r w:rsidRPr="00E06755">
        <w:t>выбрать элемент, который необходимо удалить из избранного. Внимание, если включен режим отображения – карточки, то необходимо подвести манипулятор мыши к необходимому элементу;</w:t>
      </w:r>
    </w:p>
    <w:p w:rsidR="006720A1" w:rsidRPr="00E06755" w:rsidRDefault="006720A1" w:rsidP="006720A1">
      <w:pPr>
        <w:pStyle w:val="a8"/>
      </w:pPr>
      <w:r w:rsidRPr="00E06755">
        <w:t xml:space="preserve">вызвать </w:t>
      </w:r>
      <w:r w:rsidR="009E0D42" w:rsidRPr="00E06755">
        <w:t>контекстное</w:t>
      </w:r>
      <w:r w:rsidRPr="00E06755">
        <w:t xml:space="preserve"> меню;</w:t>
      </w:r>
    </w:p>
    <w:p w:rsidR="006720A1" w:rsidRPr="00E06755" w:rsidRDefault="006720A1" w:rsidP="006720A1">
      <w:pPr>
        <w:pStyle w:val="a8"/>
      </w:pPr>
      <w:r w:rsidRPr="00E06755">
        <w:t>выбрать пункт «Исключить из избранного» как показано на рисунке</w:t>
      </w:r>
      <w:r w:rsidR="00E42690">
        <w:t xml:space="preserve"> </w:t>
      </w:r>
      <w:r w:rsidR="00E42690">
        <w:fldChar w:fldCharType="begin"/>
      </w:r>
      <w:r w:rsidR="00E42690">
        <w:instrText xml:space="preserve"> REF _Ref69980595 \h </w:instrText>
      </w:r>
      <w:r w:rsidR="00E42690">
        <w:fldChar w:fldCharType="separate"/>
      </w:r>
      <w:r w:rsidR="00BF0BEE">
        <w:rPr>
          <w:noProof/>
        </w:rPr>
        <w:t>25</w:t>
      </w:r>
      <w:r w:rsidR="00E42690">
        <w:fldChar w:fldCharType="end"/>
      </w:r>
      <w:r w:rsidRPr="00E06755">
        <w:t>.</w:t>
      </w:r>
    </w:p>
    <w:p w:rsidR="00E42690" w:rsidRDefault="00462DFC" w:rsidP="00E42690">
      <w:pPr>
        <w:pStyle w:val="afffff7"/>
        <w:keepNext/>
      </w:pPr>
      <w:r>
        <w:rPr>
          <w:noProof/>
          <w:lang w:eastAsia="ru-RU"/>
        </w:rPr>
        <w:drawing>
          <wp:inline distT="0" distB="0" distL="0" distR="0" wp14:anchorId="16F4BA54" wp14:editId="459CF2C5">
            <wp:extent cx="5939790" cy="2891119"/>
            <wp:effectExtent l="0" t="0" r="3810" b="5080"/>
            <wp:docPr id="6255" name="Рисунок 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939790" cy="2891119"/>
                    </a:xfrm>
                    <a:prstGeom prst="rect">
                      <a:avLst/>
                    </a:prstGeom>
                  </pic:spPr>
                </pic:pic>
              </a:graphicData>
            </a:graphic>
          </wp:inline>
        </w:drawing>
      </w:r>
    </w:p>
    <w:p w:rsidR="006720A1" w:rsidRPr="00704AF7" w:rsidRDefault="00E42690" w:rsidP="00E42690">
      <w:pPr>
        <w:pStyle w:val="-0"/>
      </w:pPr>
      <w:bookmarkStart w:id="107" w:name="_Toc119584212"/>
      <w:r w:rsidRPr="00E06755">
        <w:t xml:space="preserve">Рисунок </w:t>
      </w:r>
      <w:fldSimple w:instr=" SEQ Рисунок \* ARABIC ">
        <w:bookmarkStart w:id="108" w:name="_Ref69980595"/>
        <w:r w:rsidR="001860A9">
          <w:rPr>
            <w:noProof/>
          </w:rPr>
          <w:t>25</w:t>
        </w:r>
        <w:bookmarkEnd w:id="108"/>
      </w:fldSimple>
      <w:r w:rsidRPr="00E06755">
        <w:t xml:space="preserve"> – Исключение элемента из избранного через навигационное меню информационного витрины</w:t>
      </w:r>
      <w:bookmarkEnd w:id="107"/>
    </w:p>
    <w:p w:rsidR="008438E6" w:rsidRPr="00E06755" w:rsidRDefault="008438E6" w:rsidP="00757F1B">
      <w:pPr>
        <w:pStyle w:val="35"/>
      </w:pPr>
      <w:bookmarkStart w:id="109" w:name="_Toc119585044"/>
      <w:r w:rsidRPr="00E06755">
        <w:t>Настройка разделов быстрого доступа</w:t>
      </w:r>
      <w:r w:rsidR="004758B7">
        <w:t xml:space="preserve"> (Избранного)</w:t>
      </w:r>
      <w:bookmarkEnd w:id="109"/>
    </w:p>
    <w:p w:rsidR="009B56EC" w:rsidRPr="00E06755" w:rsidRDefault="009B56EC" w:rsidP="009B56EC">
      <w:pPr>
        <w:pStyle w:val="af0"/>
        <w:rPr>
          <w:rFonts w:eastAsia="Calibri"/>
          <w:lang w:eastAsia="en-US"/>
        </w:rPr>
      </w:pPr>
      <w:r w:rsidRPr="00E06755">
        <w:rPr>
          <w:rFonts w:eastAsia="Calibri"/>
          <w:lang w:eastAsia="en-US"/>
        </w:rPr>
        <w:t>Пользователь подсистемы может выполнять настройки разделов быстрого доступа:</w:t>
      </w:r>
    </w:p>
    <w:p w:rsidR="009B56EC" w:rsidRPr="00E06755" w:rsidRDefault="009B56EC" w:rsidP="00DE1661">
      <w:pPr>
        <w:pStyle w:val="13"/>
        <w:rPr>
          <w:rFonts w:eastAsia="Calibri"/>
          <w:lang w:eastAsia="en-US"/>
        </w:rPr>
      </w:pPr>
      <w:r w:rsidRPr="00E06755">
        <w:rPr>
          <w:rFonts w:eastAsia="Calibri"/>
          <w:lang w:eastAsia="en-US"/>
        </w:rPr>
        <w:t>добавлять разделы быстрого доступа с выбором аналитического отчета из состава аналитических отчетов, с возможностью указания представления аналитического отчета, предустановленных фильтров;</w:t>
      </w:r>
    </w:p>
    <w:p w:rsidR="009B56EC" w:rsidRPr="00E06755" w:rsidRDefault="009B56EC" w:rsidP="00DE1661">
      <w:pPr>
        <w:pStyle w:val="13"/>
        <w:rPr>
          <w:rFonts w:eastAsia="Calibri"/>
          <w:lang w:eastAsia="en-US"/>
        </w:rPr>
      </w:pPr>
      <w:r w:rsidRPr="00E06755">
        <w:rPr>
          <w:rFonts w:eastAsia="Calibri"/>
          <w:lang w:eastAsia="en-US"/>
        </w:rPr>
        <w:t>добавлять разделы быстрого доступа к семантическим (презентационным) моделям данных из состава семантических (презентационных) моделей данных, с возможностью указания преднастроенной нерегламентированной отчетности;</w:t>
      </w:r>
    </w:p>
    <w:p w:rsidR="009B56EC" w:rsidRPr="00E06755" w:rsidRDefault="009B56EC" w:rsidP="00DE1661">
      <w:pPr>
        <w:pStyle w:val="13"/>
        <w:rPr>
          <w:rFonts w:eastAsia="Calibri"/>
          <w:lang w:eastAsia="en-US"/>
        </w:rPr>
      </w:pPr>
      <w:r w:rsidRPr="00E06755">
        <w:rPr>
          <w:rFonts w:eastAsia="Calibri"/>
          <w:lang w:eastAsia="en-US"/>
        </w:rPr>
        <w:t>редактировать разделы быстрого доступа, созданные пользователем Подсистемы;</w:t>
      </w:r>
    </w:p>
    <w:p w:rsidR="006720A1" w:rsidRPr="00E06755" w:rsidRDefault="009B56EC" w:rsidP="00DE1661">
      <w:pPr>
        <w:pStyle w:val="13"/>
      </w:pPr>
      <w:r w:rsidRPr="00E06755">
        <w:rPr>
          <w:rFonts w:eastAsia="Calibri"/>
          <w:lang w:eastAsia="en-US"/>
        </w:rPr>
        <w:t>удалять разделы быстрого доступа, созданные пользователем Подсистемы.</w:t>
      </w:r>
    </w:p>
    <w:p w:rsidR="008438E6" w:rsidRPr="00E06755" w:rsidRDefault="008438E6" w:rsidP="00757F1B">
      <w:pPr>
        <w:pStyle w:val="42"/>
      </w:pPr>
      <w:r w:rsidRPr="00E06755">
        <w:rPr>
          <w:rFonts w:eastAsia="Calibri"/>
        </w:rPr>
        <w:t>Добавление разделов быстрого доступа</w:t>
      </w:r>
    </w:p>
    <w:p w:rsidR="008438E6" w:rsidRPr="00E06755" w:rsidRDefault="00767930" w:rsidP="008438E6">
      <w:pPr>
        <w:pStyle w:val="af0"/>
      </w:pPr>
      <w:r w:rsidRPr="00E06755">
        <w:t xml:space="preserve">Добавление разделов быстрого доступа обеспечено с помощью кнопки на панели инструментов «Добавить группу </w:t>
      </w:r>
      <w:r w:rsidRPr="00E06755">
        <w:rPr>
          <w:noProof/>
          <w:snapToGrid/>
        </w:rPr>
        <w:drawing>
          <wp:inline distT="0" distB="0" distL="0" distR="0" wp14:anchorId="311A49A2" wp14:editId="58878C10">
            <wp:extent cx="323850" cy="285750"/>
            <wp:effectExtent l="0" t="0" r="0" b="0"/>
            <wp:docPr id="6157" name="Рисунок 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3850" cy="285750"/>
                    </a:xfrm>
                    <a:prstGeom prst="rect">
                      <a:avLst/>
                    </a:prstGeom>
                  </pic:spPr>
                </pic:pic>
              </a:graphicData>
            </a:graphic>
          </wp:inline>
        </w:drawing>
      </w:r>
      <w:r w:rsidRPr="00E06755">
        <w:t>» интерфейса «Избранное».</w:t>
      </w:r>
    </w:p>
    <w:p w:rsidR="00767930" w:rsidRPr="00E06755" w:rsidRDefault="00767930" w:rsidP="008438E6">
      <w:pPr>
        <w:pStyle w:val="af0"/>
      </w:pPr>
      <w:r w:rsidRPr="00E06755">
        <w:t>Для добавления нового раздела необходимо:</w:t>
      </w:r>
    </w:p>
    <w:p w:rsidR="00767930" w:rsidRPr="00E06755" w:rsidRDefault="00767930" w:rsidP="00B05375">
      <w:pPr>
        <w:pStyle w:val="a8"/>
        <w:numPr>
          <w:ilvl w:val="0"/>
          <w:numId w:val="51"/>
        </w:numPr>
      </w:pPr>
      <w:r w:rsidRPr="00E06755">
        <w:t xml:space="preserve">Нажать на кнопку «Добавить группу </w:t>
      </w:r>
      <w:r w:rsidRPr="00E06755">
        <w:rPr>
          <w:noProof/>
          <w:snapToGrid/>
        </w:rPr>
        <w:drawing>
          <wp:inline distT="0" distB="0" distL="0" distR="0" wp14:anchorId="63153533" wp14:editId="3FA6DB3D">
            <wp:extent cx="323850" cy="285750"/>
            <wp:effectExtent l="0" t="0" r="0" b="0"/>
            <wp:docPr id="6158" name="Рисунок 6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3850" cy="285750"/>
                    </a:xfrm>
                    <a:prstGeom prst="rect">
                      <a:avLst/>
                    </a:prstGeom>
                  </pic:spPr>
                </pic:pic>
              </a:graphicData>
            </a:graphic>
          </wp:inline>
        </w:drawing>
      </w:r>
      <w:r w:rsidRPr="00E06755">
        <w:t>»;</w:t>
      </w:r>
    </w:p>
    <w:p w:rsidR="00767930" w:rsidRPr="00E06755" w:rsidRDefault="00767930" w:rsidP="004C031F">
      <w:pPr>
        <w:pStyle w:val="a8"/>
      </w:pPr>
      <w:r w:rsidRPr="00E06755">
        <w:t xml:space="preserve">В форме «Создать папку» прописать наименование нового раздела, см. рисунок </w:t>
      </w:r>
      <w:r w:rsidRPr="00E06755">
        <w:fldChar w:fldCharType="begin"/>
      </w:r>
      <w:r w:rsidRPr="00E06755">
        <w:instrText xml:space="preserve"> REF _Ref25669003 \h </w:instrText>
      </w:r>
      <w:r w:rsidR="004C031F" w:rsidRPr="00E06755">
        <w:instrText xml:space="preserve"> \* MERGEFORMAT </w:instrText>
      </w:r>
      <w:r w:rsidRPr="00E06755">
        <w:fldChar w:fldCharType="separate"/>
      </w:r>
      <w:r w:rsidR="00BF0BEE">
        <w:rPr>
          <w:noProof/>
        </w:rPr>
        <w:t>26</w:t>
      </w:r>
      <w:r w:rsidRPr="00E06755">
        <w:fldChar w:fldCharType="end"/>
      </w:r>
      <w:r w:rsidRPr="00E06755">
        <w:t>;</w:t>
      </w:r>
    </w:p>
    <w:p w:rsidR="00767930" w:rsidRPr="00E06755" w:rsidRDefault="00767930" w:rsidP="004C031F">
      <w:pPr>
        <w:pStyle w:val="a8"/>
      </w:pPr>
      <w:r w:rsidRPr="00E06755">
        <w:t>Нажать кнопку сохранить.</w:t>
      </w:r>
    </w:p>
    <w:p w:rsidR="00767930" w:rsidRPr="00E06755" w:rsidRDefault="00767930" w:rsidP="00767930">
      <w:pPr>
        <w:pStyle w:val="afffff7"/>
      </w:pPr>
      <w:r w:rsidRPr="00E06755">
        <w:rPr>
          <w:noProof/>
          <w:lang w:eastAsia="ru-RU"/>
        </w:rPr>
        <w:drawing>
          <wp:inline distT="0" distB="0" distL="0" distR="0" wp14:anchorId="7F359AB5" wp14:editId="467D1301">
            <wp:extent cx="5638800" cy="2819400"/>
            <wp:effectExtent l="0" t="0" r="0" b="0"/>
            <wp:docPr id="6159" name="Рисунок 6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38800" cy="2819400"/>
                    </a:xfrm>
                    <a:prstGeom prst="rect">
                      <a:avLst/>
                    </a:prstGeom>
                  </pic:spPr>
                </pic:pic>
              </a:graphicData>
            </a:graphic>
          </wp:inline>
        </w:drawing>
      </w:r>
    </w:p>
    <w:p w:rsidR="00767930" w:rsidRPr="00E06755" w:rsidRDefault="00767930" w:rsidP="00767930">
      <w:pPr>
        <w:pStyle w:val="-0"/>
      </w:pPr>
      <w:bookmarkStart w:id="110" w:name="_Toc119584213"/>
      <w:r w:rsidRPr="00E06755">
        <w:t xml:space="preserve">Рисунок </w:t>
      </w:r>
      <w:fldSimple w:instr=" SEQ Рисунок \* ARABIC ">
        <w:bookmarkStart w:id="111" w:name="_Ref25669003"/>
        <w:r w:rsidR="001860A9">
          <w:rPr>
            <w:noProof/>
          </w:rPr>
          <w:t>26</w:t>
        </w:r>
        <w:bookmarkEnd w:id="111"/>
      </w:fldSimple>
      <w:r w:rsidRPr="00E06755">
        <w:t xml:space="preserve"> – Добавление нового раздела в Избранное</w:t>
      </w:r>
      <w:bookmarkEnd w:id="110"/>
    </w:p>
    <w:p w:rsidR="00767930" w:rsidRPr="00E06755" w:rsidRDefault="00767930" w:rsidP="00FC7D35">
      <w:pPr>
        <w:pStyle w:val="af0"/>
      </w:pPr>
      <w:r w:rsidRPr="00E06755">
        <w:t>Результат добавления нового раздела представлен на рисунке</w:t>
      </w:r>
      <w:r w:rsidR="00FC7D35" w:rsidRPr="00E06755">
        <w:t xml:space="preserve"> </w:t>
      </w:r>
      <w:r w:rsidR="00FC7D35" w:rsidRPr="00E06755">
        <w:fldChar w:fldCharType="begin"/>
      </w:r>
      <w:r w:rsidR="00FC7D35" w:rsidRPr="00E06755">
        <w:instrText xml:space="preserve"> REF _Ref25669160 \h </w:instrText>
      </w:r>
      <w:r w:rsidR="001F44DA" w:rsidRPr="00E06755">
        <w:instrText xml:space="preserve"> \* MERGEFORMAT </w:instrText>
      </w:r>
      <w:r w:rsidR="00FC7D35" w:rsidRPr="00E06755">
        <w:fldChar w:fldCharType="separate"/>
      </w:r>
      <w:r w:rsidR="00BF0BEE">
        <w:rPr>
          <w:noProof/>
        </w:rPr>
        <w:t>27</w:t>
      </w:r>
      <w:r w:rsidR="00FC7D35" w:rsidRPr="00E06755">
        <w:fldChar w:fldCharType="end"/>
      </w:r>
    </w:p>
    <w:p w:rsidR="00FC7D35" w:rsidRPr="00E06755" w:rsidRDefault="00767930" w:rsidP="00FC7D35">
      <w:pPr>
        <w:pStyle w:val="-0"/>
        <w:keepNext/>
      </w:pPr>
      <w:r w:rsidRPr="00E06755">
        <w:rPr>
          <w:noProof/>
          <w:snapToGrid/>
        </w:rPr>
        <w:drawing>
          <wp:inline distT="0" distB="0" distL="0" distR="0" wp14:anchorId="474EF3F1" wp14:editId="3AF13194">
            <wp:extent cx="5939790" cy="1363980"/>
            <wp:effectExtent l="0" t="0" r="3810" b="7620"/>
            <wp:docPr id="6160" name="Рисунок 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39790" cy="1363980"/>
                    </a:xfrm>
                    <a:prstGeom prst="rect">
                      <a:avLst/>
                    </a:prstGeom>
                  </pic:spPr>
                </pic:pic>
              </a:graphicData>
            </a:graphic>
          </wp:inline>
        </w:drawing>
      </w:r>
    </w:p>
    <w:p w:rsidR="00767930" w:rsidRPr="00E06755" w:rsidRDefault="00FC7D35" w:rsidP="00FC7D35">
      <w:pPr>
        <w:pStyle w:val="afff8"/>
        <w:jc w:val="center"/>
      </w:pPr>
      <w:bookmarkStart w:id="112" w:name="_Toc119584214"/>
      <w:r w:rsidRPr="00E06755">
        <w:t xml:space="preserve">Рисунок </w:t>
      </w:r>
      <w:fldSimple w:instr=" SEQ Рисунок \* ARABIC ">
        <w:bookmarkStart w:id="113" w:name="_Ref25669160"/>
        <w:r w:rsidR="001860A9">
          <w:rPr>
            <w:noProof/>
          </w:rPr>
          <w:t>27</w:t>
        </w:r>
        <w:bookmarkEnd w:id="113"/>
      </w:fldSimple>
      <w:r w:rsidRPr="00E06755">
        <w:t xml:space="preserve"> – Результат добавления нового раздела в Избранное</w:t>
      </w:r>
      <w:bookmarkEnd w:id="112"/>
    </w:p>
    <w:p w:rsidR="00804D09" w:rsidRPr="00E06755" w:rsidRDefault="00804D09" w:rsidP="00757F1B">
      <w:pPr>
        <w:pStyle w:val="42"/>
      </w:pPr>
      <w:r w:rsidRPr="00E06755">
        <w:rPr>
          <w:rFonts w:eastAsia="Calibri"/>
        </w:rPr>
        <w:t>Редактирование разделов быстрого доступа</w:t>
      </w:r>
    </w:p>
    <w:p w:rsidR="00804D09" w:rsidRPr="00E06755" w:rsidRDefault="00804D09" w:rsidP="00804D09">
      <w:pPr>
        <w:pStyle w:val="af0"/>
      </w:pPr>
      <w:r w:rsidRPr="00E06755">
        <w:t xml:space="preserve">Редактирование разделов быстрого обеспечено с помощью кнопки на панели инструментов «Редактировать элемент или группу </w:t>
      </w:r>
      <w:r w:rsidRPr="00E06755">
        <w:rPr>
          <w:noProof/>
          <w:snapToGrid/>
        </w:rPr>
        <w:drawing>
          <wp:inline distT="0" distB="0" distL="0" distR="0" wp14:anchorId="5207CA1D" wp14:editId="0FE1A217">
            <wp:extent cx="323850" cy="285750"/>
            <wp:effectExtent l="0" t="0" r="0" b="0"/>
            <wp:docPr id="5703" name="Рисунок 5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23850" cy="285750"/>
                    </a:xfrm>
                    <a:prstGeom prst="rect">
                      <a:avLst/>
                    </a:prstGeom>
                  </pic:spPr>
                </pic:pic>
              </a:graphicData>
            </a:graphic>
          </wp:inline>
        </w:drawing>
      </w:r>
      <w:r w:rsidRPr="00E06755">
        <w:t>» интерфейса «Избранное».</w:t>
      </w:r>
    </w:p>
    <w:p w:rsidR="00804D09" w:rsidRPr="00E06755" w:rsidRDefault="00804D09" w:rsidP="00804D09">
      <w:pPr>
        <w:pStyle w:val="af0"/>
      </w:pPr>
      <w:r w:rsidRPr="00E06755">
        <w:t>Для редактирования раздела необходимо:</w:t>
      </w:r>
    </w:p>
    <w:p w:rsidR="00804D09" w:rsidRPr="00E06755" w:rsidRDefault="00804D09" w:rsidP="00B05375">
      <w:pPr>
        <w:pStyle w:val="a8"/>
        <w:numPr>
          <w:ilvl w:val="0"/>
          <w:numId w:val="50"/>
        </w:numPr>
      </w:pPr>
      <w:r w:rsidRPr="00E06755">
        <w:t xml:space="preserve">выбрать раздел или элемент раздела. Внимание, для выбора элемента раздела необходимо включить «Режим отображения – дерево </w:t>
      </w:r>
      <w:r w:rsidRPr="00E06755">
        <w:rPr>
          <w:noProof/>
          <w:snapToGrid/>
        </w:rPr>
        <w:drawing>
          <wp:inline distT="0" distB="0" distL="0" distR="0" wp14:anchorId="5E1400E1" wp14:editId="40729E3E">
            <wp:extent cx="323850" cy="28575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3850" cy="285750"/>
                    </a:xfrm>
                    <a:prstGeom prst="rect">
                      <a:avLst/>
                    </a:prstGeom>
                  </pic:spPr>
                </pic:pic>
              </a:graphicData>
            </a:graphic>
          </wp:inline>
        </w:drawing>
      </w:r>
      <w:r w:rsidRPr="00E06755">
        <w:t>»;</w:t>
      </w:r>
    </w:p>
    <w:p w:rsidR="00804D09" w:rsidRPr="00E06755" w:rsidRDefault="00804D09" w:rsidP="004C031F">
      <w:pPr>
        <w:pStyle w:val="a8"/>
      </w:pPr>
      <w:r w:rsidRPr="00E06755">
        <w:t>на панели инструмента нажать кнопку «Редактировать элемент или группу»;</w:t>
      </w:r>
    </w:p>
    <w:p w:rsidR="00804D09" w:rsidRPr="00E06755" w:rsidRDefault="00BD5D52" w:rsidP="004C031F">
      <w:pPr>
        <w:pStyle w:val="a8"/>
      </w:pPr>
      <w:r w:rsidRPr="00E06755">
        <w:t>выполнить редактирование наименования раздела или элемента раздела в интерфейсе «Редактирование папки» или «Редактирование отчета»</w:t>
      </w:r>
      <w:r w:rsidR="00DA52A0" w:rsidRPr="00E06755">
        <w:t>;</w:t>
      </w:r>
    </w:p>
    <w:p w:rsidR="00BD5D52" w:rsidRPr="00E06755" w:rsidRDefault="00BD5D52" w:rsidP="004C031F">
      <w:pPr>
        <w:pStyle w:val="a8"/>
      </w:pPr>
      <w:r w:rsidRPr="00E06755">
        <w:t>нажать кнопку «Сохранить».</w:t>
      </w:r>
    </w:p>
    <w:p w:rsidR="00BD5D52" w:rsidRPr="00E06755" w:rsidRDefault="00BD5D52" w:rsidP="00804D09">
      <w:pPr>
        <w:pStyle w:val="af0"/>
      </w:pPr>
      <w:r w:rsidRPr="00E06755">
        <w:t>Изменить порядок следования разделов или элементов раздела, выполнить перемещение элементов раздела из одного раздела в другой можно выполнить с помощью функции «Drag-and-drop» манипулятором «мышь».</w:t>
      </w:r>
    </w:p>
    <w:p w:rsidR="004C031F" w:rsidRPr="00E06755" w:rsidRDefault="004C031F" w:rsidP="00757F1B">
      <w:pPr>
        <w:pStyle w:val="42"/>
      </w:pPr>
      <w:r w:rsidRPr="00E06755">
        <w:rPr>
          <w:rFonts w:eastAsia="Calibri"/>
        </w:rPr>
        <w:t>Удаление разделов быстрого доступа</w:t>
      </w:r>
    </w:p>
    <w:p w:rsidR="004C031F" w:rsidRPr="00E06755" w:rsidRDefault="004C031F" w:rsidP="00804D09">
      <w:pPr>
        <w:pStyle w:val="af0"/>
      </w:pPr>
      <w:r w:rsidRPr="00E06755">
        <w:t xml:space="preserve">Удаление разделов быстрого обеспечено с помощью кнопки на панели инструментов «Удалить элемент или группу </w:t>
      </w:r>
      <w:r w:rsidRPr="00E06755">
        <w:rPr>
          <w:noProof/>
          <w:snapToGrid/>
        </w:rPr>
        <w:drawing>
          <wp:inline distT="0" distB="0" distL="0" distR="0" wp14:anchorId="082D7696" wp14:editId="532B0599">
            <wp:extent cx="323850" cy="28575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23850" cy="285750"/>
                    </a:xfrm>
                    <a:prstGeom prst="rect">
                      <a:avLst/>
                    </a:prstGeom>
                  </pic:spPr>
                </pic:pic>
              </a:graphicData>
            </a:graphic>
          </wp:inline>
        </w:drawing>
      </w:r>
      <w:r w:rsidRPr="00E06755">
        <w:t>» интерфейса «Избранное».</w:t>
      </w:r>
    </w:p>
    <w:p w:rsidR="004C031F" w:rsidRPr="00E06755" w:rsidRDefault="004C031F" w:rsidP="00804D09">
      <w:pPr>
        <w:pStyle w:val="af0"/>
      </w:pPr>
      <w:r w:rsidRPr="00E06755">
        <w:t>Для удаления раздела или элемента раздела быстрого доступа необходимо:</w:t>
      </w:r>
    </w:p>
    <w:p w:rsidR="004C031F" w:rsidRPr="00E06755" w:rsidRDefault="004C031F" w:rsidP="00B05375">
      <w:pPr>
        <w:pStyle w:val="a8"/>
        <w:numPr>
          <w:ilvl w:val="0"/>
          <w:numId w:val="49"/>
        </w:numPr>
      </w:pPr>
      <w:r w:rsidRPr="00E06755">
        <w:t xml:space="preserve">включить режим отображения – дерево </w:t>
      </w:r>
      <w:r w:rsidRPr="00E06755">
        <w:rPr>
          <w:noProof/>
          <w:snapToGrid/>
        </w:rPr>
        <w:drawing>
          <wp:inline distT="0" distB="0" distL="0" distR="0" wp14:anchorId="3482A5C2" wp14:editId="131DE1E4">
            <wp:extent cx="323850" cy="28575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23850" cy="285750"/>
                    </a:xfrm>
                    <a:prstGeom prst="rect">
                      <a:avLst/>
                    </a:prstGeom>
                  </pic:spPr>
                </pic:pic>
              </a:graphicData>
            </a:graphic>
          </wp:inline>
        </w:drawing>
      </w:r>
      <w:r w:rsidRPr="00E06755">
        <w:t>;</w:t>
      </w:r>
    </w:p>
    <w:p w:rsidR="004C031F" w:rsidRPr="00E06755" w:rsidRDefault="004C031F" w:rsidP="004C031F">
      <w:pPr>
        <w:pStyle w:val="a8"/>
      </w:pPr>
      <w:r w:rsidRPr="00E06755">
        <w:t>выбрать раздел или элемент раздела быстрого доступа;</w:t>
      </w:r>
    </w:p>
    <w:p w:rsidR="004C031F" w:rsidRPr="00E06755" w:rsidRDefault="004C031F" w:rsidP="004C031F">
      <w:pPr>
        <w:pStyle w:val="a8"/>
      </w:pPr>
      <w:r w:rsidRPr="00E06755">
        <w:t>на панели инструментов нажать кнопку «Удалить элемент или группу»;</w:t>
      </w:r>
    </w:p>
    <w:p w:rsidR="004C031F" w:rsidRPr="00E06755" w:rsidRDefault="004C031F" w:rsidP="004C031F">
      <w:pPr>
        <w:pStyle w:val="a8"/>
      </w:pPr>
      <w:r w:rsidRPr="00E06755">
        <w:t>в появившемся диалоговом окне нажать кнопку «Удалить».</w:t>
      </w:r>
    </w:p>
    <w:p w:rsidR="00C369BE" w:rsidRPr="00E06755" w:rsidRDefault="004758B7" w:rsidP="00757F1B">
      <w:pPr>
        <w:pStyle w:val="26"/>
      </w:pPr>
      <w:bookmarkStart w:id="114" w:name="_Ref26262430"/>
      <w:bookmarkStart w:id="115" w:name="_Toc119585045"/>
      <w:r>
        <w:t>Интерфейс «</w:t>
      </w:r>
      <w:r w:rsidR="00C369BE" w:rsidRPr="00E06755">
        <w:t>Репозиторий содержимого</w:t>
      </w:r>
      <w:bookmarkEnd w:id="114"/>
      <w:r>
        <w:t>»</w:t>
      </w:r>
      <w:bookmarkEnd w:id="115"/>
    </w:p>
    <w:p w:rsidR="00C369BE" w:rsidRPr="00E06755" w:rsidRDefault="00C369BE" w:rsidP="00C369BE">
      <w:pPr>
        <w:pStyle w:val="af0"/>
      </w:pPr>
      <w:r w:rsidRPr="00E06755">
        <w:t xml:space="preserve">Интерфейс «Репозиторий содержимого» открывается с помощью функциональной кнопки «Репозиторий содержимого» </w:t>
      </w:r>
      <w:r w:rsidRPr="00E06755">
        <w:rPr>
          <w:noProof/>
        </w:rPr>
        <w:drawing>
          <wp:inline distT="0" distB="0" distL="0" distR="0" wp14:anchorId="7C6F9635" wp14:editId="5FE259CD">
            <wp:extent cx="381000" cy="36195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81000" cy="361950"/>
                    </a:xfrm>
                    <a:prstGeom prst="rect">
                      <a:avLst/>
                    </a:prstGeom>
                  </pic:spPr>
                </pic:pic>
              </a:graphicData>
            </a:graphic>
          </wp:inline>
        </w:drawing>
      </w:r>
      <w:r w:rsidRPr="00E06755">
        <w:t xml:space="preserve"> на панели </w:t>
      </w:r>
      <w:r w:rsidR="004758B7">
        <w:t>бокового меню</w:t>
      </w:r>
      <w:r w:rsidRPr="00E06755">
        <w:t>.</w:t>
      </w:r>
    </w:p>
    <w:p w:rsidR="00B07986" w:rsidRPr="00E06755" w:rsidRDefault="00B07986" w:rsidP="00C369BE">
      <w:pPr>
        <w:pStyle w:val="af0"/>
      </w:pPr>
      <w:r w:rsidRPr="00E06755">
        <w:t>Если пользователь обладает ролью «ПИАО.011 Администратор», то отображается весь контент Подсистемы.</w:t>
      </w:r>
    </w:p>
    <w:p w:rsidR="00B07986" w:rsidRPr="00E06755" w:rsidRDefault="00B07986" w:rsidP="00C369BE">
      <w:pPr>
        <w:pStyle w:val="af0"/>
      </w:pPr>
      <w:r w:rsidRPr="00E06755">
        <w:t>Иначе пользователю отображается только личная папка, имя личной папки «Личная папка &lt;Логин пользователя&gt;».</w:t>
      </w:r>
    </w:p>
    <w:p w:rsidR="00844DA0" w:rsidRDefault="00704AF7" w:rsidP="00844DA0">
      <w:pPr>
        <w:pStyle w:val="afffff7"/>
        <w:keepNext/>
      </w:pPr>
      <w:r>
        <w:rPr>
          <w:noProof/>
          <w:lang w:eastAsia="ru-RU"/>
        </w:rPr>
        <w:drawing>
          <wp:inline distT="0" distB="0" distL="0" distR="0" wp14:anchorId="099BF2B4" wp14:editId="3EBAA614">
            <wp:extent cx="5929630" cy="2891155"/>
            <wp:effectExtent l="0" t="0" r="0" b="4445"/>
            <wp:docPr id="6257" name="Рисунок 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29630" cy="2891155"/>
                    </a:xfrm>
                    <a:prstGeom prst="rect">
                      <a:avLst/>
                    </a:prstGeom>
                    <a:noFill/>
                    <a:ln>
                      <a:noFill/>
                    </a:ln>
                  </pic:spPr>
                </pic:pic>
              </a:graphicData>
            </a:graphic>
          </wp:inline>
        </w:drawing>
      </w:r>
    </w:p>
    <w:p w:rsidR="00B07986" w:rsidRPr="00E06755" w:rsidRDefault="00844DA0" w:rsidP="00844DA0">
      <w:pPr>
        <w:pStyle w:val="-0"/>
      </w:pPr>
      <w:bookmarkStart w:id="116" w:name="_Toc119584215"/>
      <w:r w:rsidRPr="00E06755">
        <w:t xml:space="preserve">Рисунок </w:t>
      </w:r>
      <w:fldSimple w:instr=" SEQ Рисунок \* ARABIC ">
        <w:r w:rsidR="001860A9">
          <w:rPr>
            <w:noProof/>
          </w:rPr>
          <w:t>28</w:t>
        </w:r>
      </w:fldSimple>
      <w:r w:rsidRPr="00E06755">
        <w:t xml:space="preserve"> – Личная папка пользователя Подсистемы в репозитории содержимого</w:t>
      </w:r>
      <w:bookmarkEnd w:id="116"/>
    </w:p>
    <w:p w:rsidR="006C34CD" w:rsidRDefault="006C34CD" w:rsidP="00757F1B">
      <w:pPr>
        <w:pStyle w:val="26"/>
      </w:pPr>
      <w:bookmarkStart w:id="117" w:name="_Toc119585046"/>
      <w:r>
        <w:t>Поисково-аналитическая функция</w:t>
      </w:r>
      <w:bookmarkEnd w:id="117"/>
    </w:p>
    <w:p w:rsidR="006C34CD" w:rsidRDefault="006C34CD" w:rsidP="006C34CD">
      <w:pPr>
        <w:pStyle w:val="af0"/>
      </w:pPr>
      <w:r>
        <w:t xml:space="preserve">Интерфейс поиска открывается с помощью функциональной кнопки </w:t>
      </w:r>
      <w:r>
        <w:rPr>
          <w:noProof/>
          <w:snapToGrid/>
        </w:rPr>
        <w:drawing>
          <wp:inline distT="0" distB="0" distL="0" distR="0" wp14:anchorId="19821A12" wp14:editId="2F2EDEFC">
            <wp:extent cx="400050" cy="333375"/>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400050" cy="333375"/>
                    </a:xfrm>
                    <a:prstGeom prst="rect">
                      <a:avLst/>
                    </a:prstGeom>
                  </pic:spPr>
                </pic:pic>
              </a:graphicData>
            </a:graphic>
          </wp:inline>
        </w:drawing>
      </w:r>
      <w:r>
        <w:t xml:space="preserve"> на панели боковой панели консоли ПИАО.</w:t>
      </w:r>
    </w:p>
    <w:p w:rsidR="00E66299" w:rsidRDefault="00E66299" w:rsidP="006C34CD">
      <w:pPr>
        <w:pStyle w:val="af0"/>
      </w:pPr>
      <w:r>
        <w:t>Поисково-аналитическая функция обеспечивает возможность сквозного поиска в Подсистеме по аналитическим отчетам и семантическим моделям данных, а также возможность расширенного поиска в отдельном окне, включая возможность применения различных фильтров.</w:t>
      </w:r>
    </w:p>
    <w:p w:rsidR="006C34CD" w:rsidRPr="00866C63" w:rsidRDefault="006C34CD" w:rsidP="006C34CD">
      <w:pPr>
        <w:pStyle w:val="af0"/>
      </w:pPr>
      <w:r w:rsidRPr="00866C63">
        <w:t xml:space="preserve">Пользователь переходит к странице поиска в Подсистеме и вводит свой запрос с помощью клавиатуры или голосом. Интерфейс поиска представлен на рисунке </w:t>
      </w:r>
      <w:r w:rsidR="00844DA0">
        <w:fldChar w:fldCharType="begin"/>
      </w:r>
      <w:r w:rsidR="00844DA0">
        <w:instrText xml:space="preserve"> REF _Ref69980710 \h </w:instrText>
      </w:r>
      <w:r w:rsidR="00844DA0">
        <w:fldChar w:fldCharType="separate"/>
      </w:r>
      <w:r w:rsidR="00BF0BEE">
        <w:rPr>
          <w:noProof/>
        </w:rPr>
        <w:t>29</w:t>
      </w:r>
      <w:r w:rsidR="00844DA0">
        <w:fldChar w:fldCharType="end"/>
      </w:r>
      <w:r w:rsidR="003B09FA">
        <w:t>.</w:t>
      </w:r>
    </w:p>
    <w:p w:rsidR="00844DA0" w:rsidRDefault="00704AF7" w:rsidP="00844DA0">
      <w:pPr>
        <w:pStyle w:val="afffff7"/>
        <w:keepNext/>
      </w:pPr>
      <w:r>
        <w:rPr>
          <w:noProof/>
          <w:lang w:eastAsia="ru-RU"/>
        </w:rPr>
        <w:drawing>
          <wp:inline distT="0" distB="0" distL="0" distR="0" wp14:anchorId="342D3719" wp14:editId="45A793D9">
            <wp:extent cx="5939790" cy="1931704"/>
            <wp:effectExtent l="0" t="0" r="3810" b="0"/>
            <wp:docPr id="6258" name="Рисунок 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939790" cy="1931704"/>
                    </a:xfrm>
                    <a:prstGeom prst="rect">
                      <a:avLst/>
                    </a:prstGeom>
                  </pic:spPr>
                </pic:pic>
              </a:graphicData>
            </a:graphic>
          </wp:inline>
        </w:drawing>
      </w:r>
    </w:p>
    <w:p w:rsidR="006C34CD" w:rsidRPr="00866C63" w:rsidRDefault="00844DA0" w:rsidP="00844DA0">
      <w:pPr>
        <w:pStyle w:val="-0"/>
      </w:pPr>
      <w:bookmarkStart w:id="118" w:name="_Toc119584216"/>
      <w:r w:rsidRPr="00866C63">
        <w:t xml:space="preserve">Рисунок </w:t>
      </w:r>
      <w:fldSimple w:instr=" SEQ Рисунок \* ARABIC ">
        <w:bookmarkStart w:id="119" w:name="_Ref69980710"/>
        <w:r w:rsidR="001860A9">
          <w:rPr>
            <w:noProof/>
          </w:rPr>
          <w:t>29</w:t>
        </w:r>
        <w:bookmarkEnd w:id="119"/>
      </w:fldSimple>
      <w:r w:rsidRPr="00866C63">
        <w:t xml:space="preserve"> – Интерфейс расширенного поиска</w:t>
      </w:r>
      <w:bookmarkEnd w:id="118"/>
    </w:p>
    <w:p w:rsidR="006C34CD" w:rsidRPr="00866C63" w:rsidRDefault="006C34CD" w:rsidP="006C34CD">
      <w:pPr>
        <w:pStyle w:val="af0"/>
      </w:pPr>
      <w:r w:rsidRPr="00866C63">
        <w:t>Прикладным программным обеспечением, реализующим поисково-аналитическую функцию</w:t>
      </w:r>
      <w:r>
        <w:t>,</w:t>
      </w:r>
      <w:r w:rsidRPr="00866C63">
        <w:t xml:space="preserve"> запрос распознается, выделяются ключевые слова и строится смысловой семантический граф. По поисковым метаданным Подсистема подбирает наиболее релевантные ответы, сверяет их между собой и определяет наиболее подходящие. Достоверность результатов контролируется алгоритмом выборки.</w:t>
      </w:r>
    </w:p>
    <w:p w:rsidR="006C34CD" w:rsidRPr="00866C63" w:rsidRDefault="006C34CD" w:rsidP="006C34CD">
      <w:pPr>
        <w:pStyle w:val="af0"/>
      </w:pPr>
      <w:r w:rsidRPr="00866C63">
        <w:t xml:space="preserve">Из наиболее релевантных ответов формируется список, который в итоге видит пользователь. Интерфейс с результатами поиска представлен на рисунке </w:t>
      </w:r>
      <w:r w:rsidR="000141C4">
        <w:fldChar w:fldCharType="begin"/>
      </w:r>
      <w:r w:rsidR="000141C4">
        <w:instrText xml:space="preserve"> REF _Ref69980739 \h </w:instrText>
      </w:r>
      <w:r w:rsidR="000141C4">
        <w:fldChar w:fldCharType="separate"/>
      </w:r>
      <w:r w:rsidR="00BF0BEE">
        <w:rPr>
          <w:noProof/>
        </w:rPr>
        <w:t>30</w:t>
      </w:r>
      <w:r w:rsidR="000141C4">
        <w:fldChar w:fldCharType="end"/>
      </w:r>
      <w:r w:rsidR="00342548">
        <w:t>.</w:t>
      </w:r>
    </w:p>
    <w:p w:rsidR="000141C4" w:rsidRDefault="00704AF7" w:rsidP="000141C4">
      <w:pPr>
        <w:pStyle w:val="afffff7"/>
        <w:keepNext/>
      </w:pPr>
      <w:r>
        <w:rPr>
          <w:noProof/>
          <w:lang w:eastAsia="ru-RU"/>
        </w:rPr>
        <w:drawing>
          <wp:inline distT="0" distB="0" distL="0" distR="0" wp14:anchorId="48DFB689" wp14:editId="496A8348">
            <wp:extent cx="5939790" cy="2888054"/>
            <wp:effectExtent l="0" t="0" r="3810" b="762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939790" cy="2888054"/>
                    </a:xfrm>
                    <a:prstGeom prst="rect">
                      <a:avLst/>
                    </a:prstGeom>
                  </pic:spPr>
                </pic:pic>
              </a:graphicData>
            </a:graphic>
          </wp:inline>
        </w:drawing>
      </w:r>
    </w:p>
    <w:p w:rsidR="006C34CD" w:rsidRPr="00866C63" w:rsidRDefault="000141C4" w:rsidP="000141C4">
      <w:pPr>
        <w:pStyle w:val="-0"/>
      </w:pPr>
      <w:bookmarkStart w:id="120" w:name="_Toc119584217"/>
      <w:r w:rsidRPr="00866C63">
        <w:t xml:space="preserve">Рисунок </w:t>
      </w:r>
      <w:fldSimple w:instr=" SEQ Рисунок \* ARABIC ">
        <w:bookmarkStart w:id="121" w:name="_Ref69980739"/>
        <w:r w:rsidR="001860A9">
          <w:rPr>
            <w:noProof/>
          </w:rPr>
          <w:t>30</w:t>
        </w:r>
        <w:bookmarkEnd w:id="121"/>
      </w:fldSimple>
      <w:r w:rsidRPr="00866C63">
        <w:t xml:space="preserve"> – Результаты поиска в интерфейсе Подсистемы</w:t>
      </w:r>
      <w:bookmarkEnd w:id="120"/>
    </w:p>
    <w:p w:rsidR="001C7877" w:rsidRDefault="00433799" w:rsidP="00757F1B">
      <w:pPr>
        <w:pStyle w:val="26"/>
      </w:pPr>
      <w:bookmarkStart w:id="122" w:name="_Toc119585047"/>
      <w:r>
        <w:t>Конструктор отчетов</w:t>
      </w:r>
      <w:bookmarkEnd w:id="122"/>
    </w:p>
    <w:p w:rsidR="00433799" w:rsidRPr="00E06755" w:rsidRDefault="004758B7" w:rsidP="004758B7">
      <w:pPr>
        <w:pStyle w:val="af0"/>
      </w:pPr>
      <w:r>
        <w:t>К</w:t>
      </w:r>
      <w:r w:rsidRPr="00E06755">
        <w:t>онструктор отчетов открывается с помощью функциональной кнопки «</w:t>
      </w:r>
      <w:r>
        <w:t>Конструктор отчетов</w:t>
      </w:r>
      <w:r w:rsidRPr="00E06755">
        <w:t xml:space="preserve">» </w:t>
      </w:r>
      <w:r>
        <w:rPr>
          <w:noProof/>
          <w:snapToGrid/>
        </w:rPr>
        <w:drawing>
          <wp:inline distT="0" distB="0" distL="0" distR="0" wp14:anchorId="163B2F02" wp14:editId="77872EFF">
            <wp:extent cx="333375" cy="276225"/>
            <wp:effectExtent l="0" t="0" r="9525" b="9525"/>
            <wp:docPr id="5813" name="Рисунок 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33375" cy="276225"/>
                    </a:xfrm>
                    <a:prstGeom prst="rect">
                      <a:avLst/>
                    </a:prstGeom>
                  </pic:spPr>
                </pic:pic>
              </a:graphicData>
            </a:graphic>
          </wp:inline>
        </w:drawing>
      </w:r>
      <w:r w:rsidRPr="00E06755">
        <w:t xml:space="preserve"> на панели </w:t>
      </w:r>
      <w:r>
        <w:t xml:space="preserve">бокового меню, </w:t>
      </w:r>
      <w:r w:rsidR="00433799" w:rsidRPr="00E06755">
        <w:t xml:space="preserve">его интерфейс представлен на рисунке </w:t>
      </w:r>
      <w:r w:rsidR="00433799" w:rsidRPr="00E06755">
        <w:fldChar w:fldCharType="begin"/>
      </w:r>
      <w:r w:rsidR="00433799" w:rsidRPr="00E06755">
        <w:instrText xml:space="preserve"> REF _Ref17037184 \h  \* MERGEFORMAT </w:instrText>
      </w:r>
      <w:r w:rsidR="00433799" w:rsidRPr="00E06755">
        <w:fldChar w:fldCharType="separate"/>
      </w:r>
      <w:r w:rsidR="00BF0BEE">
        <w:rPr>
          <w:noProof/>
        </w:rPr>
        <w:t>31</w:t>
      </w:r>
      <w:r w:rsidR="00433799" w:rsidRPr="00E06755">
        <w:fldChar w:fldCharType="end"/>
      </w:r>
      <w:r w:rsidR="00433799" w:rsidRPr="00E06755">
        <w:t>.</w:t>
      </w:r>
    </w:p>
    <w:p w:rsidR="00433799" w:rsidRPr="00E06755" w:rsidRDefault="00433799" w:rsidP="00433799">
      <w:pPr>
        <w:pStyle w:val="afffff7"/>
        <w:keepNext/>
      </w:pPr>
      <w:r w:rsidRPr="00E06755">
        <w:rPr>
          <w:noProof/>
          <w:lang w:eastAsia="ru-RU"/>
        </w:rPr>
        <w:drawing>
          <wp:inline distT="0" distB="0" distL="0" distR="0" wp14:anchorId="1822F396" wp14:editId="0FE77A37">
            <wp:extent cx="5939790" cy="2976332"/>
            <wp:effectExtent l="0" t="0" r="3810" b="0"/>
            <wp:docPr id="5791" name="Рисунок 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939790" cy="2976332"/>
                    </a:xfrm>
                    <a:prstGeom prst="rect">
                      <a:avLst/>
                    </a:prstGeom>
                  </pic:spPr>
                </pic:pic>
              </a:graphicData>
            </a:graphic>
          </wp:inline>
        </w:drawing>
      </w:r>
    </w:p>
    <w:p w:rsidR="00433799" w:rsidRPr="00E06755" w:rsidRDefault="00433799" w:rsidP="00433799">
      <w:pPr>
        <w:pStyle w:val="-0"/>
      </w:pPr>
      <w:bookmarkStart w:id="123" w:name="_Toc119584218"/>
      <w:r w:rsidRPr="00E06755">
        <w:t xml:space="preserve">Рисунок </w:t>
      </w:r>
      <w:fldSimple w:instr=" SEQ Рисунок \* ARABIC ">
        <w:bookmarkStart w:id="124" w:name="_Ref17037184"/>
        <w:r w:rsidR="001860A9">
          <w:rPr>
            <w:noProof/>
          </w:rPr>
          <w:t>31</w:t>
        </w:r>
        <w:bookmarkEnd w:id="124"/>
      </w:fldSimple>
      <w:r w:rsidRPr="00E06755">
        <w:t xml:space="preserve"> – Интерфейс «Конструктор </w:t>
      </w:r>
      <w:r>
        <w:t>отчетов</w:t>
      </w:r>
      <w:r w:rsidRPr="00E06755">
        <w:t>»</w:t>
      </w:r>
      <w:bookmarkEnd w:id="123"/>
      <w:r w:rsidRPr="00E06755">
        <w:t xml:space="preserve"> </w:t>
      </w:r>
    </w:p>
    <w:p w:rsidR="00433799" w:rsidRDefault="00433799" w:rsidP="00433799">
      <w:pPr>
        <w:pStyle w:val="af0"/>
      </w:pPr>
      <w:r>
        <w:rPr>
          <w:rStyle w:val="af1"/>
        </w:rPr>
        <w:t>«Конструктор отчетов</w:t>
      </w:r>
      <w:r w:rsidRPr="005D6DBD">
        <w:rPr>
          <w:rStyle w:val="af1"/>
        </w:rPr>
        <w:t xml:space="preserve">» обеспечивает </w:t>
      </w:r>
      <w:r>
        <w:rPr>
          <w:rStyle w:val="af1"/>
        </w:rPr>
        <w:t>возможность самостоятельного построения пользователем П</w:t>
      </w:r>
      <w:r w:rsidRPr="005D6DBD">
        <w:rPr>
          <w:rStyle w:val="af1"/>
        </w:rPr>
        <w:t>одсистемы</w:t>
      </w:r>
      <w:r>
        <w:t xml:space="preserve"> нерегламентированной отчетности на основании витрины данных.</w:t>
      </w:r>
    </w:p>
    <w:p w:rsidR="00433799" w:rsidRPr="005D6DBD" w:rsidRDefault="00433799" w:rsidP="00433799">
      <w:pPr>
        <w:pStyle w:val="af0"/>
      </w:pPr>
      <w:r>
        <w:t>Н</w:t>
      </w:r>
      <w:r w:rsidRPr="00A5597A">
        <w:t xml:space="preserve">ерегламентированный аналитический отчет может состоять из следующих элементов: таблиц, диаграмм, </w:t>
      </w:r>
      <w:r>
        <w:t>инфографики, картограмм и</w:t>
      </w:r>
      <w:r w:rsidRPr="00A5597A">
        <w:t xml:space="preserve"> индикаторов.</w:t>
      </w:r>
    </w:p>
    <w:p w:rsidR="00433799" w:rsidRPr="00E06755" w:rsidRDefault="00433799" w:rsidP="00433799">
      <w:pPr>
        <w:pStyle w:val="af0"/>
      </w:pPr>
      <w:r w:rsidRPr="00E06755">
        <w:t xml:space="preserve">Описание работы в Конструкторе отчетов представлено в </w:t>
      </w:r>
      <w:r>
        <w:t xml:space="preserve">документе </w:t>
      </w:r>
      <w:r w:rsidRPr="00C15663">
        <w:t xml:space="preserve">«Руководство работников (представителей) участников системы «Электронный бюджет» по работе с </w:t>
      </w:r>
      <w:r>
        <w:t>подсистемой информационно-аналитического обеспечения</w:t>
      </w:r>
      <w:r w:rsidRPr="00C15663">
        <w:t xml:space="preserve"> системы «Электронный бюджет»» (код документа </w:t>
      </w:r>
      <w:r w:rsidR="006D7A48">
        <w:t>30275697.20.11,00.ЭБ26.004-0</w:t>
      </w:r>
      <w:r w:rsidR="003E6C63">
        <w:t>5</w:t>
      </w:r>
      <w:r w:rsidR="00D107E4">
        <w:t>.0</w:t>
      </w:r>
      <w:r w:rsidR="003E6C63">
        <w:t>0</w:t>
      </w:r>
      <w:r w:rsidR="00D107E4">
        <w:t xml:space="preserve"> 9.</w:t>
      </w:r>
    </w:p>
    <w:p w:rsidR="00DF0BB9" w:rsidRDefault="00DF0BB9" w:rsidP="00757F1B">
      <w:pPr>
        <w:pStyle w:val="26"/>
      </w:pPr>
      <w:bookmarkStart w:id="125" w:name="_Ref43632406"/>
      <w:bookmarkStart w:id="126" w:name="_Toc119585048"/>
      <w:r>
        <w:t>Очередь загрузок</w:t>
      </w:r>
      <w:bookmarkEnd w:id="125"/>
      <w:bookmarkEnd w:id="126"/>
    </w:p>
    <w:p w:rsidR="00DF0BB9" w:rsidRPr="00E06755" w:rsidRDefault="00DF0BB9" w:rsidP="00DF0BB9">
      <w:pPr>
        <w:pStyle w:val="af0"/>
      </w:pPr>
      <w:r w:rsidRPr="00E06755">
        <w:t>При выполнении функции «Скачать» в любом аналитическом отчете или информационной панели формируется запись в очереди загрузок пользователя Подсистемы.</w:t>
      </w:r>
    </w:p>
    <w:p w:rsidR="00DF0BB9" w:rsidRPr="00E06755" w:rsidRDefault="00DF0BB9" w:rsidP="00DF0BB9">
      <w:pPr>
        <w:pStyle w:val="af0"/>
      </w:pPr>
      <w:r w:rsidRPr="00E06755">
        <w:t>Все запросы на выгрузку отчетов встают в очередь.</w:t>
      </w:r>
    </w:p>
    <w:p w:rsidR="00DF0BB9" w:rsidRPr="00E06755" w:rsidRDefault="00DF0BB9" w:rsidP="00DF0BB9">
      <w:pPr>
        <w:pStyle w:val="af0"/>
      </w:pPr>
      <w:r w:rsidRPr="00E06755">
        <w:t>Функциональная кнопка «</w:t>
      </w:r>
      <w:r>
        <w:t>О</w:t>
      </w:r>
      <w:r w:rsidRPr="00E06755">
        <w:t>чередь загрузок</w:t>
      </w:r>
      <w:r>
        <w:t>»</w:t>
      </w:r>
      <w:r w:rsidR="004758B7">
        <w:t xml:space="preserve"> </w:t>
      </w:r>
      <w:r w:rsidR="004758B7">
        <w:rPr>
          <w:noProof/>
          <w:snapToGrid/>
        </w:rPr>
        <w:drawing>
          <wp:inline distT="0" distB="0" distL="0" distR="0" wp14:anchorId="3E4856B7" wp14:editId="78336FF0">
            <wp:extent cx="304800" cy="323850"/>
            <wp:effectExtent l="0" t="0" r="0" b="0"/>
            <wp:docPr id="5814" name="Рисунок 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304800" cy="323850"/>
                    </a:xfrm>
                    <a:prstGeom prst="rect">
                      <a:avLst/>
                    </a:prstGeom>
                  </pic:spPr>
                </pic:pic>
              </a:graphicData>
            </a:graphic>
          </wp:inline>
        </w:drawing>
      </w:r>
      <w:r w:rsidR="004758B7">
        <w:t xml:space="preserve"> позволяет перейти в очередь загрузок.</w:t>
      </w:r>
      <w:r w:rsidRPr="00E06755">
        <w:t xml:space="preserve"> </w:t>
      </w:r>
      <w:r w:rsidR="00623C58">
        <w:t>Очередь</w:t>
      </w:r>
      <w:r w:rsidR="004758B7">
        <w:t xml:space="preserve"> загрузок </w:t>
      </w:r>
      <w:r w:rsidR="00623C58">
        <w:t>позволяет выполнять</w:t>
      </w:r>
      <w:r w:rsidRPr="00E06755">
        <w:t xml:space="preserve"> просмотр и скачивать ранее </w:t>
      </w:r>
      <w:r w:rsidR="00623C58">
        <w:t>экспортированные</w:t>
      </w:r>
      <w:r w:rsidRPr="00E06755">
        <w:t xml:space="preserve"> отчеты.</w:t>
      </w:r>
    </w:p>
    <w:p w:rsidR="00DF0BB9" w:rsidRPr="00E06755" w:rsidRDefault="00DF0BB9" w:rsidP="00DF0BB9">
      <w:pPr>
        <w:pStyle w:val="afffff7"/>
      </w:pPr>
      <w:r w:rsidRPr="00E06755">
        <w:rPr>
          <w:noProof/>
          <w:lang w:eastAsia="ru-RU"/>
        </w:rPr>
        <w:drawing>
          <wp:inline distT="0" distB="0" distL="0" distR="0" wp14:anchorId="685A32A3" wp14:editId="67557925">
            <wp:extent cx="5939790" cy="1850390"/>
            <wp:effectExtent l="0" t="0" r="3810" b="0"/>
            <wp:docPr id="5761" name="Рисунок 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39790" cy="1850390"/>
                    </a:xfrm>
                    <a:prstGeom prst="rect">
                      <a:avLst/>
                    </a:prstGeom>
                  </pic:spPr>
                </pic:pic>
              </a:graphicData>
            </a:graphic>
          </wp:inline>
        </w:drawing>
      </w:r>
    </w:p>
    <w:p w:rsidR="00DF0BB9" w:rsidRPr="00E06755" w:rsidRDefault="00DF0BB9" w:rsidP="00DF0BB9">
      <w:pPr>
        <w:pStyle w:val="-0"/>
      </w:pPr>
      <w:bookmarkStart w:id="127" w:name="_Toc119584219"/>
      <w:r w:rsidRPr="00E06755">
        <w:t xml:space="preserve">Рисунок </w:t>
      </w:r>
      <w:fldSimple w:instr=" SEQ Рисунок \* ARABIC ">
        <w:r w:rsidR="001860A9">
          <w:rPr>
            <w:noProof/>
          </w:rPr>
          <w:t>32</w:t>
        </w:r>
      </w:fldSimple>
      <w:r w:rsidRPr="00E06755">
        <w:t xml:space="preserve"> – Очередь загрузок</w:t>
      </w:r>
      <w:bookmarkEnd w:id="127"/>
    </w:p>
    <w:p w:rsidR="00DF0BB9" w:rsidRPr="00E06755" w:rsidRDefault="00DF0BB9" w:rsidP="00DF0BB9">
      <w:pPr>
        <w:pStyle w:val="af0"/>
      </w:pPr>
      <w:r w:rsidRPr="00E06755">
        <w:t>Выполнять скачивание отчетов на локальную машину пользователя можно только в том случае, если в очереди загрузок запись имеет статус «Выполнен», для этого нажмите кнопку «Скачать» рядом с записью.</w:t>
      </w:r>
    </w:p>
    <w:p w:rsidR="00DF0BB9" w:rsidRDefault="00DF0BB9" w:rsidP="00757F1B">
      <w:pPr>
        <w:pStyle w:val="26"/>
      </w:pPr>
      <w:bookmarkStart w:id="128" w:name="_Ref43629970"/>
      <w:bookmarkStart w:id="129" w:name="_Toc119585049"/>
      <w:r>
        <w:t>Настройки пользователя</w:t>
      </w:r>
      <w:bookmarkEnd w:id="128"/>
      <w:bookmarkEnd w:id="129"/>
    </w:p>
    <w:p w:rsidR="005A76E8" w:rsidRDefault="00195059" w:rsidP="005A76E8">
      <w:pPr>
        <w:pStyle w:val="af0"/>
        <w:rPr>
          <w:snapToGrid/>
        </w:rPr>
      </w:pPr>
      <w:r>
        <w:rPr>
          <w:snapToGrid/>
        </w:rPr>
        <w:t>Настройки пользователя</w:t>
      </w:r>
      <w:r w:rsidR="008E7816">
        <w:rPr>
          <w:snapToGrid/>
        </w:rPr>
        <w:t xml:space="preserve"> </w:t>
      </w:r>
      <w:r w:rsidR="008E7816">
        <w:rPr>
          <w:noProof/>
          <w:snapToGrid/>
        </w:rPr>
        <w:drawing>
          <wp:inline distT="0" distB="0" distL="0" distR="0" wp14:anchorId="551569CA" wp14:editId="3188530F">
            <wp:extent cx="323850" cy="352425"/>
            <wp:effectExtent l="0" t="0" r="0" b="9525"/>
            <wp:docPr id="5866" name="Рисунок 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23850" cy="352425"/>
                    </a:xfrm>
                    <a:prstGeom prst="rect">
                      <a:avLst/>
                    </a:prstGeom>
                  </pic:spPr>
                </pic:pic>
              </a:graphicData>
            </a:graphic>
          </wp:inline>
        </w:drawing>
      </w:r>
      <w:r>
        <w:rPr>
          <w:snapToGrid/>
        </w:rPr>
        <w:t xml:space="preserve"> </w:t>
      </w:r>
      <w:r w:rsidR="005A76E8">
        <w:rPr>
          <w:snapToGrid/>
        </w:rPr>
        <w:t>позволяют</w:t>
      </w:r>
      <w:r w:rsidRPr="00195059">
        <w:rPr>
          <w:snapToGrid/>
        </w:rPr>
        <w:t xml:space="preserve"> </w:t>
      </w:r>
      <w:r w:rsidR="005A76E8">
        <w:rPr>
          <w:snapToGrid/>
        </w:rPr>
        <w:t>задавать интерфейс при входе в П</w:t>
      </w:r>
      <w:r w:rsidRPr="00195059">
        <w:rPr>
          <w:snapToGrid/>
        </w:rPr>
        <w:t>одсистему.</w:t>
      </w:r>
    </w:p>
    <w:p w:rsidR="005A76E8" w:rsidRDefault="00C30B16" w:rsidP="005A76E8">
      <w:pPr>
        <w:pStyle w:val="af0"/>
        <w:rPr>
          <w:snapToGrid/>
        </w:rPr>
      </w:pPr>
      <w:r>
        <w:rPr>
          <w:snapToGrid/>
        </w:rPr>
        <w:t>Панель</w:t>
      </w:r>
      <w:r w:rsidR="005A76E8">
        <w:rPr>
          <w:snapToGrid/>
        </w:rPr>
        <w:t xml:space="preserve"> настрое</w:t>
      </w:r>
      <w:r>
        <w:rPr>
          <w:snapToGrid/>
        </w:rPr>
        <w:t>к</w:t>
      </w:r>
      <w:r w:rsidR="005A76E8">
        <w:rPr>
          <w:snapToGrid/>
        </w:rPr>
        <w:t xml:space="preserve"> пользователя представлен</w:t>
      </w:r>
      <w:r>
        <w:rPr>
          <w:snapToGrid/>
        </w:rPr>
        <w:t>а</w:t>
      </w:r>
      <w:r w:rsidR="005A76E8">
        <w:rPr>
          <w:snapToGrid/>
        </w:rPr>
        <w:t xml:space="preserve"> на рисунке</w:t>
      </w:r>
      <w:r w:rsidR="00C16520">
        <w:rPr>
          <w:snapToGrid/>
        </w:rPr>
        <w:t xml:space="preserve"> </w:t>
      </w:r>
      <w:r w:rsidR="00C16520">
        <w:rPr>
          <w:snapToGrid/>
        </w:rPr>
        <w:fldChar w:fldCharType="begin"/>
      </w:r>
      <w:r w:rsidR="00C16520">
        <w:rPr>
          <w:snapToGrid/>
        </w:rPr>
        <w:instrText xml:space="preserve"> REF _Ref69980837 \h </w:instrText>
      </w:r>
      <w:r w:rsidR="00C16520">
        <w:rPr>
          <w:snapToGrid/>
        </w:rPr>
      </w:r>
      <w:r w:rsidR="00C16520">
        <w:rPr>
          <w:snapToGrid/>
        </w:rPr>
        <w:fldChar w:fldCharType="separate"/>
      </w:r>
      <w:r w:rsidR="00BF0BEE">
        <w:rPr>
          <w:noProof/>
        </w:rPr>
        <w:t>33</w:t>
      </w:r>
      <w:r w:rsidR="00C16520">
        <w:rPr>
          <w:snapToGrid/>
        </w:rPr>
        <w:fldChar w:fldCharType="end"/>
      </w:r>
      <w:r>
        <w:rPr>
          <w:snapToGrid/>
        </w:rPr>
        <w:t>.</w:t>
      </w:r>
    </w:p>
    <w:p w:rsidR="00C16520" w:rsidRDefault="00C16520" w:rsidP="00C16520">
      <w:pPr>
        <w:pStyle w:val="afffff7"/>
        <w:keepNext/>
      </w:pPr>
      <w:r>
        <w:rPr>
          <w:noProof/>
          <w:lang w:eastAsia="ru-RU"/>
        </w:rPr>
        <w:drawing>
          <wp:inline distT="0" distB="0" distL="0" distR="0" wp14:anchorId="55E736C5" wp14:editId="222D18FB">
            <wp:extent cx="5939790" cy="2889280"/>
            <wp:effectExtent l="0" t="0" r="3810" b="6350"/>
            <wp:docPr id="5750" name="Рисунок 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5939790" cy="2889280"/>
                    </a:xfrm>
                    <a:prstGeom prst="rect">
                      <a:avLst/>
                    </a:prstGeom>
                  </pic:spPr>
                </pic:pic>
              </a:graphicData>
            </a:graphic>
          </wp:inline>
        </w:drawing>
      </w:r>
    </w:p>
    <w:p w:rsidR="00C16520" w:rsidRDefault="00C16520" w:rsidP="00C16520">
      <w:pPr>
        <w:pStyle w:val="-0"/>
      </w:pPr>
      <w:bookmarkStart w:id="130" w:name="_Toc119584220"/>
      <w:r>
        <w:rPr>
          <w:snapToGrid/>
        </w:rPr>
        <w:t xml:space="preserve">Рисунок </w:t>
      </w:r>
      <w:fldSimple w:instr=" SEQ Рисунок \* ARABIC ">
        <w:bookmarkStart w:id="131" w:name="_Ref69980837"/>
        <w:r w:rsidR="001860A9">
          <w:rPr>
            <w:noProof/>
          </w:rPr>
          <w:t>33</w:t>
        </w:r>
        <w:bookmarkEnd w:id="131"/>
      </w:fldSimple>
      <w:r>
        <w:rPr>
          <w:snapToGrid/>
        </w:rPr>
        <w:t xml:space="preserve"> – Панель «Настройки пользователя»</w:t>
      </w:r>
      <w:bookmarkEnd w:id="130"/>
    </w:p>
    <w:p w:rsidR="00672A82" w:rsidRDefault="00672A82" w:rsidP="005A76E8">
      <w:pPr>
        <w:pStyle w:val="af0"/>
        <w:rPr>
          <w:snapToGrid/>
        </w:rPr>
      </w:pPr>
      <w:r>
        <w:t>На рисунке представлены значения по умолчанию, установленные в Подсистеме.</w:t>
      </w:r>
    </w:p>
    <w:p w:rsidR="00195059" w:rsidRDefault="00195059" w:rsidP="005A76E8">
      <w:pPr>
        <w:pStyle w:val="af0"/>
        <w:rPr>
          <w:snapToGrid/>
        </w:rPr>
      </w:pPr>
      <w:r w:rsidRPr="00195059">
        <w:rPr>
          <w:snapToGrid/>
        </w:rPr>
        <w:t>Пользователь в настройках иметь возможнос</w:t>
      </w:r>
      <w:r w:rsidR="005A76E8">
        <w:rPr>
          <w:snapToGrid/>
        </w:rPr>
        <w:t xml:space="preserve">ть </w:t>
      </w:r>
      <w:r w:rsidR="00672A82">
        <w:rPr>
          <w:snapToGrid/>
        </w:rPr>
        <w:t xml:space="preserve">самостоятельно </w:t>
      </w:r>
      <w:r w:rsidR="005A76E8">
        <w:rPr>
          <w:snapToGrid/>
        </w:rPr>
        <w:t>задавать:</w:t>
      </w:r>
    </w:p>
    <w:p w:rsidR="004A05D5" w:rsidRDefault="00ED2C6A" w:rsidP="005C6E50">
      <w:pPr>
        <w:pStyle w:val="a8"/>
        <w:numPr>
          <w:ilvl w:val="0"/>
          <w:numId w:val="73"/>
        </w:numPr>
        <w:tabs>
          <w:tab w:val="left" w:pos="993"/>
        </w:tabs>
        <w:ind w:firstLine="207"/>
        <w:rPr>
          <w:snapToGrid/>
        </w:rPr>
      </w:pPr>
      <w:r>
        <w:rPr>
          <w:snapToGrid/>
        </w:rPr>
        <w:t>с</w:t>
      </w:r>
      <w:r w:rsidR="004A05D5">
        <w:rPr>
          <w:snapToGrid/>
        </w:rPr>
        <w:t>истемные настройки:</w:t>
      </w:r>
    </w:p>
    <w:p w:rsidR="004A05D5" w:rsidRDefault="00ED2C6A" w:rsidP="004A05D5">
      <w:pPr>
        <w:pStyle w:val="29"/>
        <w:rPr>
          <w:snapToGrid/>
        </w:rPr>
      </w:pPr>
      <w:r>
        <w:rPr>
          <w:snapToGrid/>
        </w:rPr>
        <w:t>с</w:t>
      </w:r>
      <w:r w:rsidR="004A05D5">
        <w:rPr>
          <w:snapToGrid/>
        </w:rPr>
        <w:t>пособ перехода по ссылкам: «Внутри консоли», «Новая вкладка браузера» или «Новое окно браузера»</w:t>
      </w:r>
      <w:r>
        <w:rPr>
          <w:snapToGrid/>
        </w:rPr>
        <w:t>;</w:t>
      </w:r>
    </w:p>
    <w:p w:rsidR="004A05D5" w:rsidRDefault="00ED2C6A" w:rsidP="004A05D5">
      <w:pPr>
        <w:pStyle w:val="29"/>
        <w:rPr>
          <w:snapToGrid/>
        </w:rPr>
      </w:pPr>
      <w:r>
        <w:rPr>
          <w:snapToGrid/>
        </w:rPr>
        <w:t>р</w:t>
      </w:r>
      <w:r w:rsidR="004A05D5">
        <w:rPr>
          <w:snapToGrid/>
        </w:rPr>
        <w:t>ежим отображения» «Персональ</w:t>
      </w:r>
      <w:r>
        <w:rPr>
          <w:snapToGrid/>
        </w:rPr>
        <w:t>ный компьютер» или «Видеостена»;</w:t>
      </w:r>
    </w:p>
    <w:p w:rsidR="00394575" w:rsidRPr="00394575" w:rsidRDefault="00ED2C6A" w:rsidP="005C6E50">
      <w:pPr>
        <w:pStyle w:val="a8"/>
        <w:numPr>
          <w:ilvl w:val="0"/>
          <w:numId w:val="73"/>
        </w:numPr>
        <w:tabs>
          <w:tab w:val="left" w:pos="993"/>
        </w:tabs>
        <w:ind w:firstLine="207"/>
        <w:rPr>
          <w:snapToGrid/>
        </w:rPr>
      </w:pPr>
      <w:r>
        <w:rPr>
          <w:snapToGrid/>
        </w:rPr>
        <w:t>и</w:t>
      </w:r>
      <w:r w:rsidR="00195059" w:rsidRPr="00394575">
        <w:rPr>
          <w:snapToGrid/>
        </w:rPr>
        <w:t>нтерфейс по умолчанию</w:t>
      </w:r>
      <w:r w:rsidR="0047410D">
        <w:rPr>
          <w:snapToGrid/>
        </w:rPr>
        <w:t xml:space="preserve"> (выбор из выпадающего списка)</w:t>
      </w:r>
      <w:r w:rsidR="00394575" w:rsidRPr="00394575">
        <w:rPr>
          <w:snapToGrid/>
        </w:rPr>
        <w:t>:</w:t>
      </w:r>
    </w:p>
    <w:p w:rsidR="00394575" w:rsidRDefault="00ED2C6A" w:rsidP="00394575">
      <w:pPr>
        <w:pStyle w:val="29"/>
        <w:rPr>
          <w:snapToGrid/>
        </w:rPr>
      </w:pPr>
      <w:r>
        <w:rPr>
          <w:snapToGrid/>
        </w:rPr>
        <w:t>г</w:t>
      </w:r>
      <w:r w:rsidR="00394575">
        <w:rPr>
          <w:snapToGrid/>
        </w:rPr>
        <w:t>лавный отчет</w:t>
      </w:r>
      <w:r>
        <w:rPr>
          <w:snapToGrid/>
        </w:rPr>
        <w:t>;</w:t>
      </w:r>
    </w:p>
    <w:p w:rsidR="00394575" w:rsidRDefault="00ED2C6A" w:rsidP="00394575">
      <w:pPr>
        <w:pStyle w:val="29"/>
        <w:rPr>
          <w:snapToGrid/>
        </w:rPr>
      </w:pPr>
      <w:r>
        <w:rPr>
          <w:snapToGrid/>
        </w:rPr>
        <w:t>и</w:t>
      </w:r>
      <w:r w:rsidR="00394575">
        <w:rPr>
          <w:snapToGrid/>
        </w:rPr>
        <w:t>нформационные панели</w:t>
      </w:r>
      <w:r>
        <w:rPr>
          <w:snapToGrid/>
        </w:rPr>
        <w:t>;</w:t>
      </w:r>
    </w:p>
    <w:p w:rsidR="00394575" w:rsidRDefault="00ED2C6A" w:rsidP="00394575">
      <w:pPr>
        <w:pStyle w:val="29"/>
        <w:rPr>
          <w:snapToGrid/>
        </w:rPr>
      </w:pPr>
      <w:r>
        <w:rPr>
          <w:snapToGrid/>
        </w:rPr>
        <w:t>в</w:t>
      </w:r>
      <w:r w:rsidR="00394575">
        <w:rPr>
          <w:snapToGrid/>
        </w:rPr>
        <w:t>итрины</w:t>
      </w:r>
      <w:r>
        <w:rPr>
          <w:snapToGrid/>
        </w:rPr>
        <w:t>;</w:t>
      </w:r>
    </w:p>
    <w:p w:rsidR="00394575" w:rsidRDefault="00ED2C6A" w:rsidP="00394575">
      <w:pPr>
        <w:pStyle w:val="29"/>
        <w:rPr>
          <w:snapToGrid/>
        </w:rPr>
      </w:pPr>
      <w:r>
        <w:rPr>
          <w:snapToGrid/>
        </w:rPr>
        <w:t>и</w:t>
      </w:r>
      <w:r w:rsidR="00394575">
        <w:rPr>
          <w:snapToGrid/>
        </w:rPr>
        <w:t>збранное</w:t>
      </w:r>
      <w:r>
        <w:rPr>
          <w:snapToGrid/>
        </w:rPr>
        <w:t>;</w:t>
      </w:r>
    </w:p>
    <w:p w:rsidR="00394575" w:rsidRDefault="00ED2C6A" w:rsidP="00394575">
      <w:pPr>
        <w:pStyle w:val="29"/>
        <w:rPr>
          <w:snapToGrid/>
        </w:rPr>
      </w:pPr>
      <w:r>
        <w:rPr>
          <w:snapToGrid/>
        </w:rPr>
        <w:t>р</w:t>
      </w:r>
      <w:r w:rsidR="00394575" w:rsidRPr="00394575">
        <w:rPr>
          <w:snapToGrid/>
        </w:rPr>
        <w:t>епозиторий содержимого</w:t>
      </w:r>
      <w:r>
        <w:rPr>
          <w:snapToGrid/>
        </w:rPr>
        <w:t>;</w:t>
      </w:r>
    </w:p>
    <w:p w:rsidR="00394575" w:rsidRDefault="00ED2C6A" w:rsidP="00394575">
      <w:pPr>
        <w:pStyle w:val="29"/>
        <w:rPr>
          <w:snapToGrid/>
        </w:rPr>
      </w:pPr>
      <w:r>
        <w:rPr>
          <w:snapToGrid/>
        </w:rPr>
        <w:t>п</w:t>
      </w:r>
      <w:r w:rsidR="00394575" w:rsidRPr="00394575">
        <w:rPr>
          <w:snapToGrid/>
        </w:rPr>
        <w:t>оиск</w:t>
      </w:r>
      <w:r>
        <w:rPr>
          <w:snapToGrid/>
        </w:rPr>
        <w:t>;</w:t>
      </w:r>
    </w:p>
    <w:p w:rsidR="00394575" w:rsidRDefault="00ED2C6A" w:rsidP="00394575">
      <w:pPr>
        <w:pStyle w:val="29"/>
        <w:rPr>
          <w:snapToGrid/>
        </w:rPr>
      </w:pPr>
      <w:r>
        <w:rPr>
          <w:snapToGrid/>
        </w:rPr>
        <w:t>у</w:t>
      </w:r>
      <w:r w:rsidR="00394575">
        <w:rPr>
          <w:snapToGrid/>
        </w:rPr>
        <w:t>ведомления</w:t>
      </w:r>
      <w:r>
        <w:rPr>
          <w:snapToGrid/>
        </w:rPr>
        <w:t>;</w:t>
      </w:r>
    </w:p>
    <w:p w:rsidR="00394575" w:rsidRDefault="00ED2C6A" w:rsidP="00394575">
      <w:pPr>
        <w:pStyle w:val="29"/>
        <w:rPr>
          <w:snapToGrid/>
        </w:rPr>
      </w:pPr>
      <w:r>
        <w:rPr>
          <w:snapToGrid/>
        </w:rPr>
        <w:t>д</w:t>
      </w:r>
      <w:r w:rsidR="00394575" w:rsidRPr="00394575">
        <w:rPr>
          <w:snapToGrid/>
        </w:rPr>
        <w:t>испетчер ETL-сценариев</w:t>
      </w:r>
      <w:r>
        <w:rPr>
          <w:snapToGrid/>
        </w:rPr>
        <w:t>;</w:t>
      </w:r>
    </w:p>
    <w:p w:rsidR="00195059" w:rsidRPr="00195059" w:rsidRDefault="00ED2C6A" w:rsidP="005C6E50">
      <w:pPr>
        <w:pStyle w:val="a8"/>
        <w:numPr>
          <w:ilvl w:val="0"/>
          <w:numId w:val="73"/>
        </w:numPr>
        <w:tabs>
          <w:tab w:val="left" w:pos="993"/>
        </w:tabs>
        <w:ind w:firstLine="207"/>
        <w:rPr>
          <w:snapToGrid/>
        </w:rPr>
      </w:pPr>
      <w:r>
        <w:rPr>
          <w:snapToGrid/>
        </w:rPr>
        <w:t>д</w:t>
      </w:r>
      <w:r w:rsidR="00195059" w:rsidRPr="00195059">
        <w:rPr>
          <w:snapToGrid/>
        </w:rPr>
        <w:t xml:space="preserve">ля интерфейса витрин: </w:t>
      </w:r>
    </w:p>
    <w:p w:rsidR="00195059" w:rsidRPr="00025A20" w:rsidRDefault="00ED2C6A" w:rsidP="00025A20">
      <w:pPr>
        <w:pStyle w:val="29"/>
        <w:rPr>
          <w:snapToGrid/>
        </w:rPr>
      </w:pPr>
      <w:r>
        <w:rPr>
          <w:snapToGrid/>
        </w:rPr>
        <w:t>в</w:t>
      </w:r>
      <w:r w:rsidR="00195059" w:rsidRPr="00025A20">
        <w:rPr>
          <w:snapToGrid/>
        </w:rPr>
        <w:t>кладку</w:t>
      </w:r>
      <w:r w:rsidR="00025A20" w:rsidRPr="00025A20">
        <w:rPr>
          <w:snapToGrid/>
        </w:rPr>
        <w:t xml:space="preserve">: </w:t>
      </w:r>
      <w:r w:rsidR="00025A20">
        <w:rPr>
          <w:snapToGrid/>
        </w:rPr>
        <w:t>«В</w:t>
      </w:r>
      <w:r w:rsidR="00195059" w:rsidRPr="00025A20">
        <w:rPr>
          <w:snapToGrid/>
        </w:rPr>
        <w:t>се</w:t>
      </w:r>
      <w:r w:rsidR="00025A20">
        <w:rPr>
          <w:snapToGrid/>
        </w:rPr>
        <w:t>»</w:t>
      </w:r>
      <w:r w:rsidR="00195059" w:rsidRPr="00025A20">
        <w:rPr>
          <w:snapToGrid/>
        </w:rPr>
        <w:t xml:space="preserve">, </w:t>
      </w:r>
      <w:r w:rsidR="00025A20">
        <w:rPr>
          <w:snapToGrid/>
        </w:rPr>
        <w:t>«О</w:t>
      </w:r>
      <w:r w:rsidR="00195059" w:rsidRPr="00025A20">
        <w:rPr>
          <w:snapToGrid/>
        </w:rPr>
        <w:t>т</w:t>
      </w:r>
      <w:r w:rsidR="00025A20">
        <w:rPr>
          <w:snapToGrid/>
        </w:rPr>
        <w:t>четы», «Кубы», «KPI» или «Информационные панели»</w:t>
      </w:r>
      <w:r w:rsidR="00672A82">
        <w:rPr>
          <w:snapToGrid/>
        </w:rPr>
        <w:t xml:space="preserve"> (выбор из выпадающего списка)</w:t>
      </w:r>
      <w:r>
        <w:rPr>
          <w:snapToGrid/>
        </w:rPr>
        <w:t>;</w:t>
      </w:r>
    </w:p>
    <w:p w:rsidR="00195059" w:rsidRPr="00195059" w:rsidRDefault="00ED2C6A" w:rsidP="00025A20">
      <w:pPr>
        <w:pStyle w:val="29"/>
        <w:rPr>
          <w:snapToGrid/>
        </w:rPr>
      </w:pPr>
      <w:r>
        <w:rPr>
          <w:snapToGrid/>
        </w:rPr>
        <w:t>р</w:t>
      </w:r>
      <w:r w:rsidR="00195059" w:rsidRPr="00195059">
        <w:rPr>
          <w:snapToGrid/>
        </w:rPr>
        <w:t>ежим отображения</w:t>
      </w:r>
      <w:r w:rsidR="00042FA3">
        <w:rPr>
          <w:snapToGrid/>
        </w:rPr>
        <w:t>: «Карточки» или «Дерево»</w:t>
      </w:r>
      <w:r w:rsidR="00672A82">
        <w:rPr>
          <w:snapToGrid/>
        </w:rPr>
        <w:t xml:space="preserve"> (выбор из выпадающего списка)</w:t>
      </w:r>
      <w:r>
        <w:rPr>
          <w:snapToGrid/>
        </w:rPr>
        <w:t>;</w:t>
      </w:r>
    </w:p>
    <w:p w:rsidR="00195059" w:rsidRPr="00195059" w:rsidRDefault="00ED2C6A" w:rsidP="00025A20">
      <w:pPr>
        <w:pStyle w:val="29"/>
        <w:rPr>
          <w:snapToGrid/>
        </w:rPr>
      </w:pPr>
      <w:r>
        <w:rPr>
          <w:snapToGrid/>
        </w:rPr>
        <w:t>р</w:t>
      </w:r>
      <w:r w:rsidR="00195059" w:rsidRPr="00195059">
        <w:rPr>
          <w:snapToGrid/>
        </w:rPr>
        <w:t>асхлопнуты или схлопнуты все группы по умолчанию</w:t>
      </w:r>
      <w:r w:rsidR="00672A82">
        <w:rPr>
          <w:snapToGrid/>
        </w:rPr>
        <w:t xml:space="preserve"> (чек-бокс)</w:t>
      </w:r>
    </w:p>
    <w:p w:rsidR="00195059" w:rsidRPr="00195059" w:rsidRDefault="00672A82" w:rsidP="00025A20">
      <w:pPr>
        <w:pStyle w:val="29"/>
        <w:rPr>
          <w:snapToGrid/>
        </w:rPr>
      </w:pPr>
      <w:r>
        <w:rPr>
          <w:snapToGrid/>
        </w:rPr>
        <w:t>С</w:t>
      </w:r>
      <w:r w:rsidR="00195059" w:rsidRPr="00195059">
        <w:rPr>
          <w:snapToGrid/>
        </w:rPr>
        <w:t>вернута или развернута область навигации</w:t>
      </w:r>
      <w:r>
        <w:rPr>
          <w:snapToGrid/>
        </w:rPr>
        <w:t xml:space="preserve"> (чек-бокс)</w:t>
      </w:r>
      <w:r w:rsidR="00ED2C6A">
        <w:rPr>
          <w:snapToGrid/>
        </w:rPr>
        <w:t>;</w:t>
      </w:r>
    </w:p>
    <w:p w:rsidR="00195059" w:rsidRPr="00195059" w:rsidRDefault="00ED2C6A" w:rsidP="005C6E50">
      <w:pPr>
        <w:pStyle w:val="a8"/>
        <w:numPr>
          <w:ilvl w:val="0"/>
          <w:numId w:val="73"/>
        </w:numPr>
        <w:tabs>
          <w:tab w:val="left" w:pos="993"/>
        </w:tabs>
        <w:ind w:firstLine="207"/>
        <w:rPr>
          <w:snapToGrid/>
          <w:color w:val="auto"/>
          <w:szCs w:val="24"/>
        </w:rPr>
      </w:pPr>
      <w:r>
        <w:rPr>
          <w:snapToGrid/>
          <w:color w:val="auto"/>
          <w:szCs w:val="24"/>
        </w:rPr>
        <w:t>д</w:t>
      </w:r>
      <w:r w:rsidR="00195059" w:rsidRPr="00195059">
        <w:rPr>
          <w:snapToGrid/>
          <w:color w:val="auto"/>
          <w:szCs w:val="24"/>
        </w:rPr>
        <w:t xml:space="preserve">ля интерфейса </w:t>
      </w:r>
      <w:r w:rsidR="004A05D5">
        <w:rPr>
          <w:snapToGrid/>
          <w:color w:val="auto"/>
          <w:szCs w:val="24"/>
        </w:rPr>
        <w:t>«И</w:t>
      </w:r>
      <w:r w:rsidR="00195059" w:rsidRPr="00195059">
        <w:rPr>
          <w:snapToGrid/>
          <w:color w:val="auto"/>
          <w:szCs w:val="24"/>
        </w:rPr>
        <w:t>збранно</w:t>
      </w:r>
      <w:r w:rsidR="004A05D5">
        <w:rPr>
          <w:snapToGrid/>
          <w:color w:val="auto"/>
          <w:szCs w:val="24"/>
        </w:rPr>
        <w:t>е»</w:t>
      </w:r>
      <w:r w:rsidR="00195059" w:rsidRPr="00195059">
        <w:rPr>
          <w:snapToGrid/>
          <w:color w:val="auto"/>
          <w:szCs w:val="24"/>
        </w:rPr>
        <w:t xml:space="preserve">: </w:t>
      </w:r>
    </w:p>
    <w:p w:rsidR="00195059" w:rsidRPr="00195059" w:rsidRDefault="00ED2C6A" w:rsidP="00884E76">
      <w:pPr>
        <w:pStyle w:val="29"/>
        <w:rPr>
          <w:snapToGrid/>
        </w:rPr>
      </w:pPr>
      <w:r>
        <w:rPr>
          <w:snapToGrid/>
        </w:rPr>
        <w:t>в</w:t>
      </w:r>
      <w:r w:rsidR="00195059" w:rsidRPr="00195059">
        <w:rPr>
          <w:snapToGrid/>
        </w:rPr>
        <w:t xml:space="preserve">кладку </w:t>
      </w:r>
      <w:r w:rsidR="00884E76">
        <w:rPr>
          <w:snapToGrid/>
        </w:rPr>
        <w:t>«В</w:t>
      </w:r>
      <w:r w:rsidR="00884E76" w:rsidRPr="00025A20">
        <w:rPr>
          <w:snapToGrid/>
        </w:rPr>
        <w:t>се</w:t>
      </w:r>
      <w:r w:rsidR="00884E76">
        <w:rPr>
          <w:snapToGrid/>
        </w:rPr>
        <w:t>»</w:t>
      </w:r>
      <w:r w:rsidR="00884E76" w:rsidRPr="00025A20">
        <w:rPr>
          <w:snapToGrid/>
        </w:rPr>
        <w:t xml:space="preserve">, </w:t>
      </w:r>
      <w:r w:rsidR="00884E76">
        <w:rPr>
          <w:snapToGrid/>
        </w:rPr>
        <w:t>«О</w:t>
      </w:r>
      <w:r w:rsidR="00884E76" w:rsidRPr="00025A20">
        <w:rPr>
          <w:snapToGrid/>
        </w:rPr>
        <w:t>т</w:t>
      </w:r>
      <w:r w:rsidR="00884E76">
        <w:rPr>
          <w:snapToGrid/>
        </w:rPr>
        <w:t>четы», «Кубы», «KPI» или «Информационные панели» (выбор из выпадающего списка)</w:t>
      </w:r>
      <w:r>
        <w:rPr>
          <w:snapToGrid/>
        </w:rPr>
        <w:t>;</w:t>
      </w:r>
    </w:p>
    <w:p w:rsidR="00195059" w:rsidRPr="00195059" w:rsidRDefault="00ED2C6A" w:rsidP="00884E76">
      <w:pPr>
        <w:pStyle w:val="29"/>
        <w:rPr>
          <w:snapToGrid/>
        </w:rPr>
      </w:pPr>
      <w:r>
        <w:rPr>
          <w:snapToGrid/>
        </w:rPr>
        <w:t>р</w:t>
      </w:r>
      <w:r w:rsidR="00E143CB" w:rsidRPr="00195059">
        <w:rPr>
          <w:snapToGrid/>
        </w:rPr>
        <w:t>ежим отображения</w:t>
      </w:r>
      <w:r w:rsidR="00E143CB">
        <w:rPr>
          <w:snapToGrid/>
        </w:rPr>
        <w:t>: «Карточки» или «Дерево» (выбор из выпадающего списка)</w:t>
      </w:r>
      <w:r>
        <w:rPr>
          <w:snapToGrid/>
        </w:rPr>
        <w:t>;</w:t>
      </w:r>
    </w:p>
    <w:p w:rsidR="00195059" w:rsidRPr="00195059" w:rsidRDefault="00ED2C6A" w:rsidP="00884E76">
      <w:pPr>
        <w:pStyle w:val="29"/>
        <w:rPr>
          <w:snapToGrid/>
        </w:rPr>
      </w:pPr>
      <w:r>
        <w:rPr>
          <w:snapToGrid/>
        </w:rPr>
        <w:t>р</w:t>
      </w:r>
      <w:r w:rsidR="00195059" w:rsidRPr="00195059">
        <w:rPr>
          <w:snapToGrid/>
        </w:rPr>
        <w:t>асхлопнуты или схлопнуты все группы по умолчанию</w:t>
      </w:r>
      <w:r>
        <w:rPr>
          <w:snapToGrid/>
        </w:rPr>
        <w:t>;</w:t>
      </w:r>
    </w:p>
    <w:p w:rsidR="00195059" w:rsidRDefault="00ED2C6A" w:rsidP="005C6E50">
      <w:pPr>
        <w:pStyle w:val="a8"/>
        <w:numPr>
          <w:ilvl w:val="0"/>
          <w:numId w:val="73"/>
        </w:numPr>
        <w:tabs>
          <w:tab w:val="left" w:pos="993"/>
        </w:tabs>
        <w:ind w:firstLine="207"/>
        <w:rPr>
          <w:snapToGrid/>
          <w:color w:val="auto"/>
          <w:szCs w:val="24"/>
        </w:rPr>
      </w:pPr>
      <w:r>
        <w:rPr>
          <w:snapToGrid/>
          <w:color w:val="auto"/>
          <w:szCs w:val="24"/>
        </w:rPr>
        <w:t>о</w:t>
      </w:r>
      <w:r w:rsidR="00195059" w:rsidRPr="00195059">
        <w:rPr>
          <w:snapToGrid/>
          <w:color w:val="auto"/>
          <w:szCs w:val="24"/>
        </w:rPr>
        <w:t>тображение новостной строки</w:t>
      </w:r>
      <w:r>
        <w:rPr>
          <w:snapToGrid/>
          <w:color w:val="auto"/>
          <w:szCs w:val="24"/>
        </w:rPr>
        <w:t>;</w:t>
      </w:r>
    </w:p>
    <w:p w:rsidR="004A05D5" w:rsidRPr="00195059" w:rsidRDefault="00ED2C6A" w:rsidP="005C6E50">
      <w:pPr>
        <w:pStyle w:val="a8"/>
        <w:numPr>
          <w:ilvl w:val="0"/>
          <w:numId w:val="73"/>
        </w:numPr>
        <w:tabs>
          <w:tab w:val="left" w:pos="993"/>
        </w:tabs>
        <w:ind w:firstLine="207"/>
        <w:rPr>
          <w:snapToGrid/>
          <w:color w:val="auto"/>
          <w:szCs w:val="24"/>
        </w:rPr>
      </w:pPr>
      <w:r>
        <w:rPr>
          <w:snapToGrid/>
          <w:color w:val="auto"/>
          <w:szCs w:val="24"/>
        </w:rPr>
        <w:t>т</w:t>
      </w:r>
      <w:r w:rsidR="004A05D5">
        <w:rPr>
          <w:snapToGrid/>
          <w:color w:val="auto"/>
          <w:szCs w:val="24"/>
        </w:rPr>
        <w:t>ему оформления: «Светлая» или «Темная» (выпадающий список).</w:t>
      </w:r>
    </w:p>
    <w:p w:rsidR="00025A20" w:rsidRDefault="00BE0BF6" w:rsidP="00BE0BF6">
      <w:pPr>
        <w:pStyle w:val="af0"/>
      </w:pPr>
      <w:r>
        <w:t xml:space="preserve">Кнопка «Применить изменения» позволяет сохранить изменения, произведенные пользователем в настройках. </w:t>
      </w:r>
      <w:r w:rsidR="00025A20">
        <w:t>Пока не внесены изменения в форме настроек, кнопка «Применить изменения» не активна. После внесения изменений</w:t>
      </w:r>
      <w:r>
        <w:t xml:space="preserve"> </w:t>
      </w:r>
      <w:r w:rsidR="00025A20">
        <w:t xml:space="preserve">пользователем в </w:t>
      </w:r>
      <w:r>
        <w:t>настройки</w:t>
      </w:r>
      <w:r w:rsidR="00025A20">
        <w:t xml:space="preserve"> кнопка становится активной и подсвечивается синим. После применения изменений кнопка «Применить изменения» снова делается неактивной.</w:t>
      </w:r>
    </w:p>
    <w:p w:rsidR="00BE0BF6" w:rsidRPr="00E46696" w:rsidRDefault="00BE0BF6" w:rsidP="00025A20">
      <w:pPr>
        <w:pStyle w:val="af0"/>
      </w:pPr>
      <w:r>
        <w:t>Кнопка «Восстановить значения по умолчанию» позволяет вернуться к значениям по умолчанию, заданным в Подсистеме.</w:t>
      </w:r>
    </w:p>
    <w:p w:rsidR="00DF0BB9" w:rsidRPr="00E06755" w:rsidRDefault="00DF0BB9" w:rsidP="00757F1B">
      <w:pPr>
        <w:pStyle w:val="26"/>
      </w:pPr>
      <w:bookmarkStart w:id="132" w:name="_Toc119585050"/>
      <w:r>
        <w:t>О системе</w:t>
      </w:r>
      <w:bookmarkEnd w:id="132"/>
    </w:p>
    <w:p w:rsidR="00DF0BB9" w:rsidRPr="00E06755" w:rsidRDefault="00DF0BB9" w:rsidP="00DF0BB9">
      <w:pPr>
        <w:pStyle w:val="af0"/>
      </w:pPr>
      <w:r w:rsidRPr="00E06755">
        <w:t>Кнопка «</w:t>
      </w:r>
      <w:r>
        <w:t>О системе</w:t>
      </w:r>
      <w:r w:rsidRPr="00E06755">
        <w:t>»</w:t>
      </w:r>
      <w:r w:rsidR="008E7816">
        <w:t xml:space="preserve"> </w:t>
      </w:r>
      <w:r w:rsidRPr="00E06755">
        <w:t xml:space="preserve"> на </w:t>
      </w:r>
      <w:r>
        <w:t xml:space="preserve">боковой </w:t>
      </w:r>
      <w:r w:rsidRPr="00E06755">
        <w:t>панели инструментов позволяет просмотреть информацию о текущей версии ППО, как показано на рисунке</w:t>
      </w:r>
      <w:r w:rsidR="009F5A4E">
        <w:t xml:space="preserve"> </w:t>
      </w:r>
      <w:r w:rsidR="009F5A4E">
        <w:fldChar w:fldCharType="begin"/>
      </w:r>
      <w:r w:rsidR="009F5A4E">
        <w:instrText xml:space="preserve"> REF _Ref69980936 \h </w:instrText>
      </w:r>
      <w:r w:rsidR="009F5A4E">
        <w:fldChar w:fldCharType="separate"/>
      </w:r>
      <w:r w:rsidR="00BF0BEE">
        <w:rPr>
          <w:noProof/>
        </w:rPr>
        <w:t>34</w:t>
      </w:r>
      <w:r w:rsidR="009F5A4E">
        <w:fldChar w:fldCharType="end"/>
      </w:r>
      <w:r w:rsidRPr="00E06755">
        <w:t>.</w:t>
      </w:r>
    </w:p>
    <w:p w:rsidR="009F5A4E" w:rsidRDefault="009F5A4E" w:rsidP="009F5A4E">
      <w:pPr>
        <w:pStyle w:val="afffff7"/>
        <w:keepNext/>
      </w:pPr>
      <w:r>
        <w:rPr>
          <w:noProof/>
          <w:lang w:eastAsia="ru-RU"/>
        </w:rPr>
        <w:drawing>
          <wp:inline distT="0" distB="0" distL="0" distR="0" wp14:anchorId="372420DD" wp14:editId="000D834C">
            <wp:extent cx="4631714" cy="4936703"/>
            <wp:effectExtent l="0" t="0" r="0" b="0"/>
            <wp:docPr id="5751" name="Рисунок 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4630855" cy="4935787"/>
                    </a:xfrm>
                    <a:prstGeom prst="rect">
                      <a:avLst/>
                    </a:prstGeom>
                  </pic:spPr>
                </pic:pic>
              </a:graphicData>
            </a:graphic>
          </wp:inline>
        </w:drawing>
      </w:r>
    </w:p>
    <w:p w:rsidR="00DF0BB9" w:rsidRPr="00E06755" w:rsidRDefault="009F5A4E" w:rsidP="009F5A4E">
      <w:pPr>
        <w:pStyle w:val="-0"/>
      </w:pPr>
      <w:bookmarkStart w:id="133" w:name="_Toc119584221"/>
      <w:r w:rsidRPr="00E06755">
        <w:t xml:space="preserve">Рисунок </w:t>
      </w:r>
      <w:fldSimple w:instr=" SEQ Рисунок \* ARABIC ">
        <w:bookmarkStart w:id="134" w:name="_Ref69980936"/>
        <w:r w:rsidR="001860A9">
          <w:rPr>
            <w:noProof/>
          </w:rPr>
          <w:t>34</w:t>
        </w:r>
        <w:bookmarkEnd w:id="134"/>
      </w:fldSimple>
      <w:r w:rsidRPr="00E06755">
        <w:t xml:space="preserve"> – Информация о текущей версии ППО</w:t>
      </w:r>
      <w:bookmarkEnd w:id="133"/>
    </w:p>
    <w:p w:rsidR="00DF0BB9" w:rsidRPr="00E06755" w:rsidRDefault="00DF0BB9" w:rsidP="00DF0BB9">
      <w:pPr>
        <w:pStyle w:val="35"/>
      </w:pPr>
      <w:bookmarkStart w:id="135" w:name="_Toc119585051"/>
      <w:r w:rsidRPr="00E06755">
        <w:t>Порядок действий по внесению информации о версии ППО</w:t>
      </w:r>
      <w:bookmarkEnd w:id="135"/>
    </w:p>
    <w:p w:rsidR="00DF0BB9" w:rsidRPr="00E06755" w:rsidRDefault="00DF0BB9" w:rsidP="00DF0BB9">
      <w:pPr>
        <w:pStyle w:val="af0"/>
      </w:pPr>
      <w:r w:rsidRPr="00E06755">
        <w:t>Действия по внесению информации о версии ППО выполняются пользователем с ролью «ПИАО.011.Администратор».</w:t>
      </w:r>
    </w:p>
    <w:p w:rsidR="00DF0BB9" w:rsidRPr="00E06755" w:rsidRDefault="00DF0BB9" w:rsidP="00DF0BB9">
      <w:pPr>
        <w:pStyle w:val="af0"/>
      </w:pPr>
      <w:r w:rsidRPr="00E06755">
        <w:t xml:space="preserve">Для внесения информации о версии ППО необходимо перейти в Редактор и раскрыть каталог «Конфигурация портала», как показано на рисунке </w:t>
      </w:r>
      <w:r w:rsidRPr="00E06755">
        <w:fldChar w:fldCharType="begin"/>
      </w:r>
      <w:r w:rsidRPr="00E06755">
        <w:instrText xml:space="preserve"> REF _Ref17099452 \h  \* MERGEFORMAT </w:instrText>
      </w:r>
      <w:r w:rsidRPr="00E06755">
        <w:fldChar w:fldCharType="separate"/>
      </w:r>
      <w:r w:rsidR="00BF0BEE">
        <w:rPr>
          <w:noProof/>
        </w:rPr>
        <w:t>35</w:t>
      </w:r>
      <w:r w:rsidRPr="00E06755">
        <w:fldChar w:fldCharType="end"/>
      </w:r>
      <w:r w:rsidRPr="00E06755">
        <w:t>.</w:t>
      </w:r>
    </w:p>
    <w:p w:rsidR="00DF0BB9" w:rsidRPr="00E06755" w:rsidRDefault="00DF0BB9" w:rsidP="00DF0BB9">
      <w:pPr>
        <w:pStyle w:val="afffff7"/>
      </w:pPr>
      <w:r w:rsidRPr="00E06755">
        <w:rPr>
          <w:noProof/>
          <w:lang w:eastAsia="ru-RU"/>
        </w:rPr>
        <w:drawing>
          <wp:inline distT="0" distB="0" distL="0" distR="0" wp14:anchorId="2172B940" wp14:editId="4939A065">
            <wp:extent cx="3305175" cy="3644167"/>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305175" cy="3644167"/>
                    </a:xfrm>
                    <a:prstGeom prst="rect">
                      <a:avLst/>
                    </a:prstGeom>
                  </pic:spPr>
                </pic:pic>
              </a:graphicData>
            </a:graphic>
          </wp:inline>
        </w:drawing>
      </w:r>
    </w:p>
    <w:p w:rsidR="00DF0BB9" w:rsidRPr="00E06755" w:rsidRDefault="00DF0BB9" w:rsidP="00DF0BB9">
      <w:pPr>
        <w:pStyle w:val="-0"/>
      </w:pPr>
      <w:bookmarkStart w:id="136" w:name="_Toc119584222"/>
      <w:r w:rsidRPr="00E06755">
        <w:t xml:space="preserve">Рисунок </w:t>
      </w:r>
      <w:fldSimple w:instr=" SEQ Рисунок \* ARABIC ">
        <w:bookmarkStart w:id="137" w:name="_Ref17099452"/>
        <w:r w:rsidR="001860A9">
          <w:rPr>
            <w:noProof/>
          </w:rPr>
          <w:t>35</w:t>
        </w:r>
        <w:bookmarkEnd w:id="137"/>
      </w:fldSimple>
      <w:r w:rsidRPr="00E06755">
        <w:t xml:space="preserve"> – Каталог «Конфигурация портала»</w:t>
      </w:r>
      <w:bookmarkEnd w:id="136"/>
    </w:p>
    <w:p w:rsidR="00DF0BB9" w:rsidRPr="00E06755" w:rsidRDefault="00DF0BB9" w:rsidP="00DF0BB9">
      <w:pPr>
        <w:pStyle w:val="af0"/>
      </w:pPr>
      <w:r w:rsidRPr="00E06755">
        <w:t>Выбрать отчет «</w:t>
      </w:r>
      <w:r w:rsidRPr="00E06755">
        <w:rPr>
          <w:lang w:val="en-US"/>
        </w:rPr>
        <w:t>portalReport</w:t>
      </w:r>
      <w:r w:rsidRPr="00E06755">
        <w:t xml:space="preserve">» и с помощью функции контекстного меню «Редактировать» открыть его на редактирование (Рисунок </w:t>
      </w:r>
      <w:r w:rsidRPr="00E06755">
        <w:fldChar w:fldCharType="begin"/>
      </w:r>
      <w:r w:rsidRPr="00E06755">
        <w:instrText xml:space="preserve"> REF _Ref17099695 \h  \* MERGEFORMAT </w:instrText>
      </w:r>
      <w:r w:rsidRPr="00E06755">
        <w:fldChar w:fldCharType="separate"/>
      </w:r>
      <w:r w:rsidR="00BF0BEE">
        <w:rPr>
          <w:noProof/>
        </w:rPr>
        <w:t>36</w:t>
      </w:r>
      <w:r w:rsidRPr="00E06755">
        <w:fldChar w:fldCharType="end"/>
      </w:r>
      <w:r w:rsidRPr="00E06755">
        <w:t>).</w:t>
      </w:r>
    </w:p>
    <w:p w:rsidR="00DF0BB9" w:rsidRPr="00E06755" w:rsidRDefault="00DF0BB9" w:rsidP="00DF0BB9">
      <w:pPr>
        <w:pStyle w:val="afffff7"/>
        <w:keepNext/>
      </w:pPr>
      <w:r w:rsidRPr="00E06755">
        <w:rPr>
          <w:noProof/>
          <w:lang w:eastAsia="ru-RU"/>
        </w:rPr>
        <w:drawing>
          <wp:inline distT="0" distB="0" distL="0" distR="0" wp14:anchorId="42CB297E" wp14:editId="0703A8B5">
            <wp:extent cx="2419350" cy="4076011"/>
            <wp:effectExtent l="0" t="0" r="0" b="127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2419350" cy="4076011"/>
                    </a:xfrm>
                    <a:prstGeom prst="rect">
                      <a:avLst/>
                    </a:prstGeom>
                  </pic:spPr>
                </pic:pic>
              </a:graphicData>
            </a:graphic>
          </wp:inline>
        </w:drawing>
      </w:r>
    </w:p>
    <w:p w:rsidR="00DF0BB9" w:rsidRPr="00E06755" w:rsidRDefault="00DF0BB9" w:rsidP="00DF0BB9">
      <w:pPr>
        <w:pStyle w:val="-0"/>
      </w:pPr>
      <w:bookmarkStart w:id="138" w:name="_Toc119584223"/>
      <w:r w:rsidRPr="00E06755">
        <w:t xml:space="preserve">Рисунок </w:t>
      </w:r>
      <w:fldSimple w:instr=" SEQ Рисунок \* ARABIC ">
        <w:bookmarkStart w:id="139" w:name="_Ref17099695"/>
        <w:r w:rsidR="001860A9">
          <w:rPr>
            <w:noProof/>
          </w:rPr>
          <w:t>36</w:t>
        </w:r>
        <w:bookmarkEnd w:id="139"/>
      </w:fldSimple>
      <w:r w:rsidRPr="00E06755">
        <w:t xml:space="preserve"> – Отчет портала ПИАО «</w:t>
      </w:r>
      <w:r w:rsidRPr="00E06755">
        <w:rPr>
          <w:lang w:val="en-US"/>
        </w:rPr>
        <w:t>portalReport</w:t>
      </w:r>
      <w:r w:rsidRPr="00E06755">
        <w:t>». Взятие на редактирование</w:t>
      </w:r>
      <w:bookmarkEnd w:id="138"/>
    </w:p>
    <w:p w:rsidR="00DF0BB9" w:rsidRPr="00E06755" w:rsidRDefault="00DF0BB9" w:rsidP="00DF0BB9">
      <w:pPr>
        <w:pStyle w:val="af0"/>
      </w:pPr>
      <w:r w:rsidRPr="00E06755">
        <w:t xml:space="preserve">В структуре открывшегося отчета выбрать верхний узел «Отчет портала ПИАО». Открыть код узла с помощью функции контекстного меню «Показать код узла», как показано на рисунке </w:t>
      </w:r>
      <w:r w:rsidRPr="00E06755">
        <w:fldChar w:fldCharType="begin"/>
      </w:r>
      <w:r w:rsidRPr="00E06755">
        <w:instrText xml:space="preserve"> REF _Ref17100040 \h  \* MERGEFORMAT </w:instrText>
      </w:r>
      <w:r w:rsidRPr="00E06755">
        <w:fldChar w:fldCharType="separate"/>
      </w:r>
      <w:r w:rsidR="00BF0BEE">
        <w:rPr>
          <w:noProof/>
        </w:rPr>
        <w:t>37</w:t>
      </w:r>
      <w:r w:rsidRPr="00E06755">
        <w:fldChar w:fldCharType="end"/>
      </w:r>
      <w:r w:rsidRPr="00E06755">
        <w:t>.</w:t>
      </w:r>
    </w:p>
    <w:p w:rsidR="00DF0BB9" w:rsidRPr="00E06755" w:rsidRDefault="00DF0BB9" w:rsidP="00DF0BB9">
      <w:pPr>
        <w:pStyle w:val="afffff7"/>
        <w:keepNext/>
      </w:pPr>
      <w:r w:rsidRPr="00E06755">
        <w:rPr>
          <w:noProof/>
          <w:lang w:eastAsia="ru-RU"/>
        </w:rPr>
        <w:drawing>
          <wp:inline distT="0" distB="0" distL="0" distR="0" wp14:anchorId="326BEABE" wp14:editId="71193D55">
            <wp:extent cx="5939790" cy="2230257"/>
            <wp:effectExtent l="0" t="0" r="3810" b="0"/>
            <wp:docPr id="5773" name="Рисунок 5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5939790" cy="2230257"/>
                    </a:xfrm>
                    <a:prstGeom prst="rect">
                      <a:avLst/>
                    </a:prstGeom>
                  </pic:spPr>
                </pic:pic>
              </a:graphicData>
            </a:graphic>
          </wp:inline>
        </w:drawing>
      </w:r>
    </w:p>
    <w:p w:rsidR="00DF0BB9" w:rsidRPr="00E06755" w:rsidRDefault="00DF0BB9" w:rsidP="00DF0BB9">
      <w:pPr>
        <w:pStyle w:val="-0"/>
      </w:pPr>
      <w:bookmarkStart w:id="140" w:name="_Toc119584224"/>
      <w:r w:rsidRPr="00E06755">
        <w:t xml:space="preserve">Рисунок </w:t>
      </w:r>
      <w:fldSimple w:instr=" SEQ Рисунок \* ARABIC ">
        <w:bookmarkStart w:id="141" w:name="_Ref17100040"/>
        <w:r w:rsidR="001860A9">
          <w:rPr>
            <w:noProof/>
          </w:rPr>
          <w:t>37</w:t>
        </w:r>
        <w:bookmarkEnd w:id="141"/>
      </w:fldSimple>
      <w:r w:rsidRPr="00E06755">
        <w:t xml:space="preserve"> – Функция «Показать код узла» для Отчета портала ПИАО</w:t>
      </w:r>
      <w:bookmarkEnd w:id="140"/>
    </w:p>
    <w:p w:rsidR="00DF0BB9" w:rsidRPr="00E06755" w:rsidRDefault="00DF0BB9" w:rsidP="00DF0BB9">
      <w:pPr>
        <w:pStyle w:val="af0"/>
      </w:pPr>
      <w:r w:rsidRPr="00E06755">
        <w:t xml:space="preserve">В коде узла найти строку с версией портала и, в случае необходимости, изменить версию, как показано на рисунке </w:t>
      </w:r>
      <w:r w:rsidRPr="00E06755">
        <w:fldChar w:fldCharType="begin"/>
      </w:r>
      <w:r w:rsidRPr="00E06755">
        <w:instrText xml:space="preserve"> REF _Ref17100374 \h  \* MERGEFORMAT </w:instrText>
      </w:r>
      <w:r w:rsidRPr="00E06755">
        <w:fldChar w:fldCharType="separate"/>
      </w:r>
      <w:r w:rsidR="00BF0BEE">
        <w:rPr>
          <w:noProof/>
        </w:rPr>
        <w:t>38</w:t>
      </w:r>
      <w:r w:rsidRPr="00E06755">
        <w:fldChar w:fldCharType="end"/>
      </w:r>
      <w:r w:rsidRPr="00E06755">
        <w:t>.</w:t>
      </w:r>
    </w:p>
    <w:p w:rsidR="00DF0BB9" w:rsidRPr="00E06755" w:rsidRDefault="00DF0BB9" w:rsidP="00DF0BB9">
      <w:pPr>
        <w:pStyle w:val="afffff7"/>
        <w:keepNext/>
      </w:pPr>
      <w:r w:rsidRPr="00E06755">
        <w:rPr>
          <w:noProof/>
          <w:lang w:eastAsia="ru-RU"/>
        </w:rPr>
        <w:drawing>
          <wp:inline distT="0" distB="0" distL="0" distR="0" wp14:anchorId="7052DC90" wp14:editId="35E475BA">
            <wp:extent cx="5939790" cy="2994110"/>
            <wp:effectExtent l="0" t="0" r="3810" b="0"/>
            <wp:docPr id="5781" name="Рисунок 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5939790" cy="2994110"/>
                    </a:xfrm>
                    <a:prstGeom prst="rect">
                      <a:avLst/>
                    </a:prstGeom>
                  </pic:spPr>
                </pic:pic>
              </a:graphicData>
            </a:graphic>
          </wp:inline>
        </w:drawing>
      </w:r>
    </w:p>
    <w:p w:rsidR="00DF0BB9" w:rsidRPr="00E06755" w:rsidRDefault="00DF0BB9" w:rsidP="00DF0BB9">
      <w:pPr>
        <w:pStyle w:val="-0"/>
      </w:pPr>
      <w:bookmarkStart w:id="142" w:name="_Toc119584225"/>
      <w:r w:rsidRPr="00E06755">
        <w:t xml:space="preserve">Рисунок </w:t>
      </w:r>
      <w:fldSimple w:instr=" SEQ Рисунок \* ARABIC ">
        <w:bookmarkStart w:id="143" w:name="_Ref17100374"/>
        <w:r w:rsidR="001860A9">
          <w:rPr>
            <w:noProof/>
          </w:rPr>
          <w:t>38</w:t>
        </w:r>
        <w:bookmarkEnd w:id="143"/>
      </w:fldSimple>
      <w:r w:rsidRPr="00E06755">
        <w:t xml:space="preserve"> – Строка с номером версии портала в коде узла отчета портала</w:t>
      </w:r>
      <w:bookmarkEnd w:id="142"/>
    </w:p>
    <w:p w:rsidR="00DF0BB9" w:rsidRPr="00E06755" w:rsidRDefault="00DF0BB9" w:rsidP="00DF0BB9">
      <w:pPr>
        <w:pStyle w:val="af0"/>
      </w:pPr>
      <w:r w:rsidRPr="00E06755">
        <w:t>Сохранить изменения, совершенные в коде узла, по кнопке «Применить изменения» и сохранить изменения непосредственно в отчете портала по кнопке «Сохранить».</w:t>
      </w:r>
    </w:p>
    <w:p w:rsidR="00E13B51" w:rsidRDefault="00E13B51" w:rsidP="006A1B2D">
      <w:pPr>
        <w:pStyle w:val="14"/>
      </w:pPr>
      <w:bookmarkStart w:id="144" w:name="_Toc37845305"/>
      <w:bookmarkStart w:id="145" w:name="_Toc37701731"/>
      <w:bookmarkStart w:id="146" w:name="_Toc37949387"/>
      <w:bookmarkStart w:id="147" w:name="_Toc119585052"/>
      <w:r>
        <w:t xml:space="preserve">Описание функционала работы с </w:t>
      </w:r>
      <w:r w:rsidR="003A4F50">
        <w:t xml:space="preserve">аналитическими </w:t>
      </w:r>
      <w:r>
        <w:t>отчетами</w:t>
      </w:r>
      <w:bookmarkEnd w:id="147"/>
    </w:p>
    <w:p w:rsidR="003A4F50" w:rsidRDefault="003A4F50" w:rsidP="003A4F50">
      <w:pPr>
        <w:pStyle w:val="26"/>
      </w:pPr>
      <w:bookmarkStart w:id="148" w:name="_Toc119585053"/>
      <w:r>
        <w:t>Навигация по отчетам</w:t>
      </w:r>
      <w:bookmarkEnd w:id="148"/>
    </w:p>
    <w:p w:rsidR="006E3D07" w:rsidRPr="006E3D07" w:rsidRDefault="006E3D07" w:rsidP="006E3D07">
      <w:pPr>
        <w:pStyle w:val="35"/>
      </w:pPr>
      <w:bookmarkStart w:id="149" w:name="_Toc119585054"/>
      <w:r>
        <w:t>Переход к отчетам из интерфейса «Витрины»</w:t>
      </w:r>
      <w:bookmarkEnd w:id="149"/>
    </w:p>
    <w:p w:rsidR="006F0AA7" w:rsidRDefault="003A4F50" w:rsidP="003A4F50">
      <w:pPr>
        <w:pStyle w:val="af0"/>
      </w:pPr>
      <w:r>
        <w:t>Переход к аналитическим отчетам выполняется с плашки интерфейса «Витрины» при включенном режиме отображения «Карточки», и с наименования отчета при включенном режиме отображения «Список»</w:t>
      </w:r>
      <w:r w:rsidR="006F0AA7">
        <w:t>, как показано на рисунке</w:t>
      </w:r>
      <w:r w:rsidR="009F5A4E">
        <w:t xml:space="preserve"> </w:t>
      </w:r>
      <w:r w:rsidR="009F5A4E">
        <w:fldChar w:fldCharType="begin"/>
      </w:r>
      <w:r w:rsidR="009F5A4E">
        <w:instrText xml:space="preserve"> REF _Ref69980991 \h </w:instrText>
      </w:r>
      <w:r w:rsidR="009F5A4E">
        <w:fldChar w:fldCharType="separate"/>
      </w:r>
      <w:r w:rsidR="00BF0BEE">
        <w:rPr>
          <w:noProof/>
        </w:rPr>
        <w:t>39</w:t>
      </w:r>
      <w:r w:rsidR="009F5A4E">
        <w:fldChar w:fldCharType="end"/>
      </w:r>
      <w:r w:rsidR="006F0AA7">
        <w:t>.</w:t>
      </w:r>
    </w:p>
    <w:p w:rsidR="009F5A4E" w:rsidRDefault="00E90772" w:rsidP="009F5A4E">
      <w:pPr>
        <w:pStyle w:val="afffff7"/>
        <w:keepNext/>
      </w:pPr>
      <w:r>
        <w:rPr>
          <w:noProof/>
          <w:lang w:eastAsia="ru-RU"/>
        </w:rPr>
        <w:drawing>
          <wp:inline distT="0" distB="0" distL="0" distR="0" wp14:anchorId="18852C53" wp14:editId="48023821">
            <wp:extent cx="5939790" cy="2895410"/>
            <wp:effectExtent l="0" t="0" r="3810" b="63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5939790" cy="2895410"/>
                    </a:xfrm>
                    <a:prstGeom prst="rect">
                      <a:avLst/>
                    </a:prstGeom>
                  </pic:spPr>
                </pic:pic>
              </a:graphicData>
            </a:graphic>
          </wp:inline>
        </w:drawing>
      </w:r>
    </w:p>
    <w:p w:rsidR="006F0AA7" w:rsidRDefault="009F5A4E" w:rsidP="009F5A4E">
      <w:pPr>
        <w:pStyle w:val="-0"/>
      </w:pPr>
      <w:bookmarkStart w:id="150" w:name="_Toc119584226"/>
      <w:r>
        <w:t xml:space="preserve">Рисунок </w:t>
      </w:r>
      <w:fldSimple w:instr=" SEQ Рисунок \* ARABIC ">
        <w:bookmarkStart w:id="151" w:name="_Ref69980991"/>
        <w:r w:rsidR="001860A9">
          <w:rPr>
            <w:noProof/>
          </w:rPr>
          <w:t>39</w:t>
        </w:r>
        <w:bookmarkEnd w:id="151"/>
      </w:fldSimple>
      <w:r>
        <w:t xml:space="preserve"> – Переход к аналитическому отчету из интерфейса «Витрины»</w:t>
      </w:r>
      <w:bookmarkEnd w:id="150"/>
    </w:p>
    <w:p w:rsidR="003A4F50" w:rsidRPr="00DC17F7" w:rsidRDefault="003A4F50" w:rsidP="003A4F50">
      <w:pPr>
        <w:pStyle w:val="af0"/>
      </w:pPr>
      <w:r>
        <w:t xml:space="preserve">Переход выполняется к </w:t>
      </w:r>
      <w:r w:rsidR="00617218">
        <w:t>аналитическому</w:t>
      </w:r>
      <w:r>
        <w:t xml:space="preserve"> отчету, отображающему укрупненный </w:t>
      </w:r>
      <w:r w:rsidRPr="007F42DB">
        <w:t>мониторинг, с которого в свою очередь, можно углубиться в еще более детальные данные.</w:t>
      </w:r>
    </w:p>
    <w:p w:rsidR="006F0AA7" w:rsidRPr="006E3D07" w:rsidRDefault="006F0AA7" w:rsidP="006F0AA7">
      <w:pPr>
        <w:pStyle w:val="35"/>
      </w:pPr>
      <w:bookmarkStart w:id="152" w:name="_Toc119585055"/>
      <w:r>
        <w:t>Переход между представлениями отчета</w:t>
      </w:r>
      <w:bookmarkEnd w:id="152"/>
    </w:p>
    <w:p w:rsidR="003A4F50" w:rsidRDefault="003A4F50" w:rsidP="003A4F50">
      <w:pPr>
        <w:pStyle w:val="af0"/>
      </w:pPr>
      <w:r w:rsidRPr="007F42DB">
        <w:t xml:space="preserve">Аналитический отчет может иметь несколько представлений. Для переключения на интересующее представление </w:t>
      </w:r>
      <w:r>
        <w:t xml:space="preserve">необходимо </w:t>
      </w:r>
      <w:r w:rsidRPr="007F42DB">
        <w:t>наж</w:t>
      </w:r>
      <w:r>
        <w:t>ать</w:t>
      </w:r>
      <w:r w:rsidRPr="007F42DB">
        <w:t xml:space="preserve"> на соответствующую </w:t>
      </w:r>
      <w:r>
        <w:t>кнопку</w:t>
      </w:r>
      <w:r w:rsidR="006B0541">
        <w:t xml:space="preserve"> </w:t>
      </w:r>
      <w:r w:rsidR="006F0AA7">
        <w:t xml:space="preserve">представления </w:t>
      </w:r>
      <w:r w:rsidR="006B0541">
        <w:t xml:space="preserve">(Рисунок </w:t>
      </w:r>
      <w:r w:rsidR="006B0541">
        <w:fldChar w:fldCharType="begin"/>
      </w:r>
      <w:r w:rsidR="006B0541">
        <w:instrText xml:space="preserve"> REF _Ref43548107 \h </w:instrText>
      </w:r>
      <w:r w:rsidR="006B0541">
        <w:fldChar w:fldCharType="separate"/>
      </w:r>
      <w:r w:rsidR="00BF0BEE">
        <w:rPr>
          <w:noProof/>
        </w:rPr>
        <w:t>40</w:t>
      </w:r>
      <w:r w:rsidR="006B0541">
        <w:fldChar w:fldCharType="end"/>
      </w:r>
      <w:r w:rsidR="006B0541">
        <w:t>)</w:t>
      </w:r>
      <w:r w:rsidR="00731BF1">
        <w:t>.</w:t>
      </w:r>
    </w:p>
    <w:p w:rsidR="00FA2B8C" w:rsidRDefault="006B0541" w:rsidP="00FA2B8C">
      <w:pPr>
        <w:pStyle w:val="afffff7"/>
        <w:keepNext/>
      </w:pPr>
      <w:r>
        <w:rPr>
          <w:noProof/>
          <w:lang w:eastAsia="ru-RU"/>
        </w:rPr>
        <w:drawing>
          <wp:inline distT="0" distB="0" distL="0" distR="0" wp14:anchorId="18302AE0" wp14:editId="0AE98189">
            <wp:extent cx="5939790" cy="2265200"/>
            <wp:effectExtent l="0" t="0" r="3810"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5939790" cy="2265200"/>
                    </a:xfrm>
                    <a:prstGeom prst="rect">
                      <a:avLst/>
                    </a:prstGeom>
                  </pic:spPr>
                </pic:pic>
              </a:graphicData>
            </a:graphic>
          </wp:inline>
        </w:drawing>
      </w:r>
    </w:p>
    <w:p w:rsidR="006B0541" w:rsidRDefault="006B0541" w:rsidP="006B0541">
      <w:pPr>
        <w:pStyle w:val="-0"/>
      </w:pPr>
      <w:bookmarkStart w:id="153" w:name="_Toc119584227"/>
      <w:r>
        <w:t>Рисунок</w:t>
      </w:r>
      <w:r w:rsidR="00BF7EA4">
        <w:t xml:space="preserve"> </w:t>
      </w:r>
      <w:fldSimple w:instr=" SEQ Рисунок \* ARABIC ">
        <w:bookmarkStart w:id="154" w:name="_Ref43548107"/>
        <w:r w:rsidR="001860A9">
          <w:rPr>
            <w:noProof/>
          </w:rPr>
          <w:t>40</w:t>
        </w:r>
        <w:bookmarkEnd w:id="154"/>
      </w:fldSimple>
      <w:r>
        <w:t xml:space="preserve"> – Кнопки переключения представлений отчета</w:t>
      </w:r>
      <w:bookmarkEnd w:id="153"/>
    </w:p>
    <w:p w:rsidR="006E3D07" w:rsidRPr="006E3D07" w:rsidRDefault="006E3D07" w:rsidP="006E3D07">
      <w:pPr>
        <w:pStyle w:val="35"/>
      </w:pPr>
      <w:bookmarkStart w:id="155" w:name="_Toc119585056"/>
      <w:r>
        <w:t>Переход на детализирующие отчеты</w:t>
      </w:r>
      <w:bookmarkEnd w:id="155"/>
    </w:p>
    <w:p w:rsidR="003A4F50" w:rsidRDefault="003A4F50" w:rsidP="003A4F50">
      <w:pPr>
        <w:pStyle w:val="af0"/>
      </w:pPr>
      <w:r>
        <w:t>О</w:t>
      </w:r>
      <w:r w:rsidRPr="007F42DB">
        <w:t xml:space="preserve">тчет может содержать ссылки на детализирующие отчеты. Переход на такие отчеты осуществляется по ссылке </w:t>
      </w:r>
      <w:r>
        <w:rPr>
          <w:noProof/>
          <w:snapToGrid/>
        </w:rPr>
        <w:drawing>
          <wp:inline distT="0" distB="0" distL="0" distR="0" wp14:anchorId="3B1B140D" wp14:editId="18DD01CE">
            <wp:extent cx="172720" cy="172720"/>
            <wp:effectExtent l="19050" t="0" r="0"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cstate="print"/>
                    <a:srcRect/>
                    <a:stretch>
                      <a:fillRect/>
                    </a:stretch>
                  </pic:blipFill>
                  <pic:spPr bwMode="auto">
                    <a:xfrm>
                      <a:off x="0" y="0"/>
                      <a:ext cx="172720" cy="172720"/>
                    </a:xfrm>
                    <a:prstGeom prst="rect">
                      <a:avLst/>
                    </a:prstGeom>
                    <a:noFill/>
                    <a:ln w="9525">
                      <a:noFill/>
                      <a:miter lim="800000"/>
                      <a:headEnd/>
                      <a:tailEnd/>
                    </a:ln>
                  </pic:spPr>
                </pic:pic>
              </a:graphicData>
            </a:graphic>
          </wp:inline>
        </w:drawing>
      </w:r>
      <w:r w:rsidR="00E05985">
        <w:t>.</w:t>
      </w:r>
      <w:r w:rsidR="006B0541">
        <w:t xml:space="preserve"> </w:t>
      </w:r>
      <w:r w:rsidR="006B0541" w:rsidRPr="006B0541">
        <w:t>Пример ссылки для перехода на детализирующие отчеты</w:t>
      </w:r>
      <w:r w:rsidR="006B0541">
        <w:t xml:space="preserve"> представлен н</w:t>
      </w:r>
      <w:r w:rsidR="005551F8">
        <w:t>а</w:t>
      </w:r>
      <w:r w:rsidR="006B0541">
        <w:t xml:space="preserve"> Рисунке </w:t>
      </w:r>
      <w:r w:rsidR="000D07F8">
        <w:fldChar w:fldCharType="begin"/>
      </w:r>
      <w:r w:rsidR="000D07F8">
        <w:instrText xml:space="preserve"> REF _Ref43548431 \h </w:instrText>
      </w:r>
      <w:r w:rsidR="000D07F8">
        <w:fldChar w:fldCharType="separate"/>
      </w:r>
      <w:r w:rsidR="00BF0BEE">
        <w:rPr>
          <w:noProof/>
        </w:rPr>
        <w:t>41</w:t>
      </w:r>
      <w:r w:rsidR="000D07F8">
        <w:fldChar w:fldCharType="end"/>
      </w:r>
      <w:r w:rsidR="000D07F8">
        <w:t>.</w:t>
      </w:r>
    </w:p>
    <w:p w:rsidR="000D07F8" w:rsidRDefault="006B0541" w:rsidP="000D07F8">
      <w:pPr>
        <w:pStyle w:val="afffff7"/>
        <w:keepNext/>
      </w:pPr>
      <w:r>
        <w:rPr>
          <w:noProof/>
          <w:lang w:eastAsia="ru-RU"/>
        </w:rPr>
        <w:drawing>
          <wp:inline distT="0" distB="0" distL="0" distR="0" wp14:anchorId="719AEF75" wp14:editId="5FE16179">
            <wp:extent cx="5939790" cy="2399457"/>
            <wp:effectExtent l="0" t="0" r="3810" b="127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5939790" cy="2399457"/>
                    </a:xfrm>
                    <a:prstGeom prst="rect">
                      <a:avLst/>
                    </a:prstGeom>
                  </pic:spPr>
                </pic:pic>
              </a:graphicData>
            </a:graphic>
          </wp:inline>
        </w:drawing>
      </w:r>
    </w:p>
    <w:p w:rsidR="000D07F8" w:rsidRPr="000D07F8" w:rsidRDefault="000D07F8" w:rsidP="009F5A4E">
      <w:pPr>
        <w:pStyle w:val="-0"/>
      </w:pPr>
      <w:bookmarkStart w:id="156" w:name="_Toc119584228"/>
      <w:r>
        <w:t xml:space="preserve">Рисунок </w:t>
      </w:r>
      <w:fldSimple w:instr=" SEQ Рисунок \* ARABIC ">
        <w:bookmarkStart w:id="157" w:name="_Ref43548431"/>
        <w:r w:rsidR="001860A9">
          <w:rPr>
            <w:noProof/>
          </w:rPr>
          <w:t>41</w:t>
        </w:r>
        <w:bookmarkEnd w:id="157"/>
      </w:fldSimple>
      <w:r>
        <w:t xml:space="preserve"> – Ссылки для перехода на детализирующие отчеты</w:t>
      </w:r>
      <w:bookmarkEnd w:id="156"/>
    </w:p>
    <w:p w:rsidR="006E3D07" w:rsidRPr="00E06755" w:rsidRDefault="006E3D07" w:rsidP="0028138E">
      <w:pPr>
        <w:pStyle w:val="35"/>
      </w:pPr>
      <w:bookmarkStart w:id="158" w:name="_Toc119585057"/>
      <w:r w:rsidRPr="00E06755">
        <w:t>Навигационная цепочка ссылок</w:t>
      </w:r>
      <w:bookmarkEnd w:id="158"/>
    </w:p>
    <w:p w:rsidR="006E3D07" w:rsidRDefault="006E3D07" w:rsidP="006E3D07">
      <w:pPr>
        <w:pStyle w:val="af0"/>
      </w:pPr>
      <w:r w:rsidRPr="00E0686D">
        <w:t xml:space="preserve">Все переходы на детальные отчеты отображаются в виде заголовков вверху экрана, эти переходы называются </w:t>
      </w:r>
      <w:r>
        <w:rPr>
          <w:szCs w:val="26"/>
          <w:shd w:val="clear" w:color="auto" w:fill="FFFFFF"/>
        </w:rPr>
        <w:t>навигационной цепочкой</w:t>
      </w:r>
      <w:r w:rsidRPr="00E0686D">
        <w:rPr>
          <w:szCs w:val="26"/>
          <w:shd w:val="clear" w:color="auto" w:fill="FFFFFF"/>
        </w:rPr>
        <w:t xml:space="preserve"> или «хлебными крошками»</w:t>
      </w:r>
      <w:r w:rsidRPr="00E0686D">
        <w:t xml:space="preserve">. </w:t>
      </w:r>
    </w:p>
    <w:p w:rsidR="002D12F7" w:rsidRDefault="002D12F7" w:rsidP="002D12F7">
      <w:pPr>
        <w:pStyle w:val="af0"/>
      </w:pPr>
      <w:r w:rsidRPr="00E06755">
        <w:t xml:space="preserve">Навигация в цепочке ссылок построена на основе иерархии и позволяет понять, как много шагов нужно сделать, чтобы вернуться на главную страницу </w:t>
      </w:r>
      <w:r>
        <w:t>консоли ПИАО. К</w:t>
      </w:r>
      <w:r w:rsidRPr="00E06755">
        <w:t>аждый блок цепочки ссылок является кликабельным, вплоть до блока «Витрины»</w:t>
      </w:r>
      <w:r>
        <w:t xml:space="preserve"> </w:t>
      </w:r>
      <w:r>
        <w:rPr>
          <w:noProof/>
          <w:snapToGrid/>
          <w:szCs w:val="28"/>
        </w:rPr>
        <w:drawing>
          <wp:inline distT="0" distB="0" distL="0" distR="0" wp14:anchorId="64655677" wp14:editId="1EB30892">
            <wp:extent cx="170731" cy="170731"/>
            <wp:effectExtent l="19050" t="0" r="719" b="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6" cstate="print"/>
                    <a:srcRect/>
                    <a:stretch>
                      <a:fillRect/>
                    </a:stretch>
                  </pic:blipFill>
                  <pic:spPr bwMode="auto">
                    <a:xfrm>
                      <a:off x="0" y="0"/>
                      <a:ext cx="170446" cy="170446"/>
                    </a:xfrm>
                    <a:prstGeom prst="rect">
                      <a:avLst/>
                    </a:prstGeom>
                    <a:noFill/>
                    <a:ln w="9525">
                      <a:noFill/>
                      <a:miter lim="800000"/>
                      <a:headEnd/>
                      <a:tailEnd/>
                    </a:ln>
                  </pic:spPr>
                </pic:pic>
              </a:graphicData>
            </a:graphic>
          </wp:inline>
        </w:drawing>
      </w:r>
      <w:r w:rsidRPr="00E06755">
        <w:t>.</w:t>
      </w:r>
    </w:p>
    <w:p w:rsidR="006E3D07" w:rsidRDefault="006E3D07" w:rsidP="006E3D07">
      <w:pPr>
        <w:pStyle w:val="af0"/>
      </w:pPr>
      <w:r w:rsidRPr="00E0686D">
        <w:t xml:space="preserve">Соответственно для быстрого перемещения с отчета на отчет достаточно нажать на необходимый заголовок </w:t>
      </w:r>
      <w:r w:rsidR="002D12F7">
        <w:t xml:space="preserve">отчета. </w:t>
      </w:r>
    </w:p>
    <w:p w:rsidR="006E3D07" w:rsidRDefault="006E3D07" w:rsidP="006E3D07">
      <w:pPr>
        <w:pStyle w:val="afffff7"/>
        <w:keepNext/>
      </w:pPr>
      <w:r w:rsidRPr="00E06755">
        <w:rPr>
          <w:noProof/>
          <w:lang w:eastAsia="ru-RU"/>
        </w:rPr>
        <w:drawing>
          <wp:inline distT="0" distB="0" distL="0" distR="0" wp14:anchorId="555C8DBF" wp14:editId="5AB6C7E1">
            <wp:extent cx="5939790" cy="2607945"/>
            <wp:effectExtent l="0" t="0" r="3810" b="1905"/>
            <wp:docPr id="5805" name="Рисунок 5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939790" cy="2607945"/>
                    </a:xfrm>
                    <a:prstGeom prst="rect">
                      <a:avLst/>
                    </a:prstGeom>
                  </pic:spPr>
                </pic:pic>
              </a:graphicData>
            </a:graphic>
          </wp:inline>
        </w:drawing>
      </w:r>
    </w:p>
    <w:p w:rsidR="006E3D07" w:rsidRDefault="006E3D07" w:rsidP="006E3D07">
      <w:pPr>
        <w:pStyle w:val="-0"/>
      </w:pPr>
      <w:bookmarkStart w:id="159" w:name="_Toc119584229"/>
      <w:r>
        <w:t xml:space="preserve">Рисунок </w:t>
      </w:r>
      <w:fldSimple w:instr=" SEQ Рисунок \* ARABIC ">
        <w:r w:rsidR="001860A9">
          <w:rPr>
            <w:noProof/>
          </w:rPr>
          <w:t>42</w:t>
        </w:r>
      </w:fldSimple>
      <w:r>
        <w:t xml:space="preserve"> – </w:t>
      </w:r>
      <w:r w:rsidRPr="00E06755">
        <w:t>Навигационная цепочка ссылок</w:t>
      </w:r>
      <w:bookmarkEnd w:id="159"/>
    </w:p>
    <w:p w:rsidR="0028138E" w:rsidRPr="00E06755" w:rsidRDefault="0028138E" w:rsidP="0028138E">
      <w:pPr>
        <w:pStyle w:val="35"/>
      </w:pPr>
      <w:bookmarkStart w:id="160" w:name="_Toc119585058"/>
      <w:r w:rsidRPr="00E06755">
        <w:t>Блок «Интерфейсы»</w:t>
      </w:r>
      <w:bookmarkEnd w:id="160"/>
    </w:p>
    <w:p w:rsidR="0028138E" w:rsidRPr="00E06755" w:rsidRDefault="0028138E" w:rsidP="0028138E">
      <w:pPr>
        <w:pStyle w:val="af0"/>
      </w:pPr>
      <w:r>
        <w:t>Б</w:t>
      </w:r>
      <w:r w:rsidRPr="00E06755">
        <w:t>лок «Интерфейсы» отображает список последних посещаемых аналитических отчетов с навигационной цепочкой, что позволяет быстро перейти к указанным отчетам (Рисунок</w:t>
      </w:r>
      <w:r w:rsidR="009F5A4E">
        <w:t xml:space="preserve"> </w:t>
      </w:r>
      <w:r w:rsidR="009F5A4E">
        <w:fldChar w:fldCharType="begin"/>
      </w:r>
      <w:r w:rsidR="009F5A4E">
        <w:instrText xml:space="preserve"> REF _Ref69981071 \h </w:instrText>
      </w:r>
      <w:r w:rsidR="009F5A4E">
        <w:fldChar w:fldCharType="separate"/>
      </w:r>
      <w:r w:rsidR="00BF0BEE">
        <w:rPr>
          <w:noProof/>
        </w:rPr>
        <w:t>43</w:t>
      </w:r>
      <w:r w:rsidR="009F5A4E">
        <w:fldChar w:fldCharType="end"/>
      </w:r>
      <w:r w:rsidRPr="00E06755">
        <w:t>).</w:t>
      </w:r>
    </w:p>
    <w:p w:rsidR="009F5A4E" w:rsidRDefault="001021E3" w:rsidP="009F5A4E">
      <w:pPr>
        <w:pStyle w:val="afffff7"/>
        <w:keepNext/>
      </w:pPr>
      <w:r>
        <w:rPr>
          <w:noProof/>
          <w:lang w:eastAsia="ru-RU"/>
        </w:rPr>
        <w:drawing>
          <wp:inline distT="0" distB="0" distL="0" distR="0" wp14:anchorId="311EE75E" wp14:editId="099ED8D1">
            <wp:extent cx="5939790" cy="2891119"/>
            <wp:effectExtent l="0" t="0" r="3810" b="508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5939790" cy="2891119"/>
                    </a:xfrm>
                    <a:prstGeom prst="rect">
                      <a:avLst/>
                    </a:prstGeom>
                  </pic:spPr>
                </pic:pic>
              </a:graphicData>
            </a:graphic>
          </wp:inline>
        </w:drawing>
      </w:r>
    </w:p>
    <w:p w:rsidR="0028138E" w:rsidRPr="00E06755" w:rsidRDefault="009F5A4E" w:rsidP="009F5A4E">
      <w:pPr>
        <w:pStyle w:val="-0"/>
      </w:pPr>
      <w:bookmarkStart w:id="161" w:name="_Toc119584230"/>
      <w:r w:rsidRPr="00E06755">
        <w:t xml:space="preserve">Рисунок </w:t>
      </w:r>
      <w:fldSimple w:instr=" SEQ Рисунок \* ARABIC ">
        <w:bookmarkStart w:id="162" w:name="_Ref69981071"/>
        <w:r w:rsidR="001860A9">
          <w:rPr>
            <w:noProof/>
          </w:rPr>
          <w:t>43</w:t>
        </w:r>
        <w:bookmarkEnd w:id="162"/>
      </w:fldSimple>
      <w:r w:rsidRPr="00E06755">
        <w:t xml:space="preserve"> – Блок «Интерфейсы» в раскрытом виде</w:t>
      </w:r>
      <w:bookmarkEnd w:id="161"/>
    </w:p>
    <w:p w:rsidR="003436BB" w:rsidRPr="00DC17F7" w:rsidRDefault="00C82813" w:rsidP="00C82813">
      <w:pPr>
        <w:pStyle w:val="26"/>
      </w:pPr>
      <w:bookmarkStart w:id="163" w:name="_Toc119585059"/>
      <w:r w:rsidRPr="00DC17F7">
        <w:t>Функциональные кнопки в отчете</w:t>
      </w:r>
      <w:bookmarkEnd w:id="163"/>
    </w:p>
    <w:p w:rsidR="00C82813" w:rsidRPr="00DC17F7" w:rsidRDefault="00DC17F7" w:rsidP="00C82813">
      <w:pPr>
        <w:pStyle w:val="af0"/>
      </w:pPr>
      <w:r>
        <w:t>Непосредственном в</w:t>
      </w:r>
      <w:r w:rsidR="00C82813" w:rsidRPr="00DC17F7">
        <w:t xml:space="preserve"> аналитическом отчете размещается блок с функциональными кнопками</w:t>
      </w:r>
      <w:r w:rsidR="00F171DA" w:rsidRPr="00DC17F7">
        <w:t>,</w:t>
      </w:r>
      <w:r>
        <w:t xml:space="preserve"> которые позволяют выполнить экспорт отчета, добавить отчет в «Избранное», разместить на Стартовой странице и т.д. Функциональные кнопки размещены</w:t>
      </w:r>
      <w:r w:rsidR="00F171DA" w:rsidRPr="00DC17F7">
        <w:t xml:space="preserve"> </w:t>
      </w:r>
      <w:r w:rsidRPr="00DC17F7">
        <w:t xml:space="preserve">в правом верхнем углу </w:t>
      </w:r>
      <w:r>
        <w:t>и</w:t>
      </w:r>
      <w:r w:rsidR="00F171DA" w:rsidRPr="00DC17F7">
        <w:t xml:space="preserve"> представлен</w:t>
      </w:r>
      <w:r>
        <w:t>ы</w:t>
      </w:r>
      <w:r w:rsidR="00F171DA" w:rsidRPr="00DC17F7">
        <w:t xml:space="preserve"> на Рисунке </w:t>
      </w:r>
      <w:r w:rsidR="00F171DA" w:rsidRPr="00DC17F7">
        <w:fldChar w:fldCharType="begin"/>
      </w:r>
      <w:r w:rsidR="00F171DA" w:rsidRPr="00DC17F7">
        <w:instrText xml:space="preserve"> REF _Ref43628704 \h </w:instrText>
      </w:r>
      <w:r>
        <w:instrText xml:space="preserve"> \* MERGEFORMAT </w:instrText>
      </w:r>
      <w:r w:rsidR="00F171DA" w:rsidRPr="00DC17F7">
        <w:fldChar w:fldCharType="separate"/>
      </w:r>
      <w:r w:rsidR="00BF0BEE">
        <w:rPr>
          <w:noProof/>
        </w:rPr>
        <w:t>44</w:t>
      </w:r>
      <w:r w:rsidR="00F171DA" w:rsidRPr="00DC17F7">
        <w:fldChar w:fldCharType="end"/>
      </w:r>
      <w:r>
        <w:t>.</w:t>
      </w:r>
    </w:p>
    <w:p w:rsidR="00F171DA" w:rsidRPr="00DC17F7" w:rsidRDefault="00516E33" w:rsidP="00F171DA">
      <w:pPr>
        <w:pStyle w:val="afffff7"/>
        <w:keepNext/>
      </w:pPr>
      <w:r>
        <w:rPr>
          <w:noProof/>
          <w:lang w:eastAsia="ru-RU"/>
        </w:rPr>
        <w:drawing>
          <wp:inline distT="0" distB="0" distL="0" distR="0" wp14:anchorId="2DF09155" wp14:editId="010447B1">
            <wp:extent cx="5943600" cy="2551814"/>
            <wp:effectExtent l="0" t="0" r="0" b="127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9"/>
                    <a:srcRect b="5026"/>
                    <a:stretch/>
                  </pic:blipFill>
                  <pic:spPr bwMode="auto">
                    <a:xfrm>
                      <a:off x="0" y="0"/>
                      <a:ext cx="5939790" cy="2550178"/>
                    </a:xfrm>
                    <a:prstGeom prst="rect">
                      <a:avLst/>
                    </a:prstGeom>
                    <a:ln>
                      <a:noFill/>
                    </a:ln>
                    <a:extLst>
                      <a:ext uri="{53640926-AAD7-44D8-BBD7-CCE9431645EC}">
                        <a14:shadowObscured xmlns:a14="http://schemas.microsoft.com/office/drawing/2010/main"/>
                      </a:ext>
                    </a:extLst>
                  </pic:spPr>
                </pic:pic>
              </a:graphicData>
            </a:graphic>
          </wp:inline>
        </w:drawing>
      </w:r>
    </w:p>
    <w:p w:rsidR="00F171DA" w:rsidRPr="00DC17F7" w:rsidRDefault="00F171DA" w:rsidP="00F171DA">
      <w:pPr>
        <w:pStyle w:val="afff8"/>
        <w:jc w:val="center"/>
      </w:pPr>
      <w:bookmarkStart w:id="164" w:name="_Toc119584231"/>
      <w:r w:rsidRPr="00DC17F7">
        <w:t xml:space="preserve">Рисунок </w:t>
      </w:r>
      <w:fldSimple w:instr=" SEQ Рисунок \* ARABIC ">
        <w:bookmarkStart w:id="165" w:name="_Ref43628704"/>
        <w:r w:rsidR="001860A9">
          <w:rPr>
            <w:noProof/>
          </w:rPr>
          <w:t>44</w:t>
        </w:r>
        <w:bookmarkEnd w:id="165"/>
      </w:fldSimple>
      <w:r w:rsidRPr="00DC17F7">
        <w:t xml:space="preserve"> – Функциональные кнопки в отчете</w:t>
      </w:r>
      <w:bookmarkEnd w:id="164"/>
    </w:p>
    <w:p w:rsidR="00F52939" w:rsidRDefault="00F52939" w:rsidP="00C82813">
      <w:pPr>
        <w:pStyle w:val="35"/>
      </w:pPr>
      <w:bookmarkStart w:id="166" w:name="_Toc119585060"/>
      <w:r>
        <w:t>Добавить в Избранное</w:t>
      </w:r>
      <w:bookmarkEnd w:id="166"/>
    </w:p>
    <w:p w:rsidR="00973C67" w:rsidRPr="00584177" w:rsidRDefault="00F52939" w:rsidP="00973C67">
      <w:pPr>
        <w:pStyle w:val="af0"/>
      </w:pPr>
      <w:r w:rsidRPr="00F52939">
        <w:t>Функция «</w:t>
      </w:r>
      <w:r>
        <w:t>Добавить в избранное</w:t>
      </w:r>
      <w:r w:rsidRPr="00F52939">
        <w:t xml:space="preserve">» позволяет </w:t>
      </w:r>
      <w:r>
        <w:t xml:space="preserve">добавить отчет в перечень избранных отчетов непосредственно из самого отчета </w:t>
      </w:r>
      <w:r w:rsidRPr="00F52939">
        <w:t>с сохранением параметров вызова отчета</w:t>
      </w:r>
      <w:r>
        <w:t xml:space="preserve"> (выбранного представления и установленных визуальных фильтров)</w:t>
      </w:r>
      <w:r w:rsidRPr="00F52939">
        <w:t>.</w:t>
      </w:r>
      <w:r w:rsidR="00973C67">
        <w:t xml:space="preserve"> К</w:t>
      </w:r>
      <w:r w:rsidR="00973C67" w:rsidRPr="00584177">
        <w:t>нопка вызова этой функции представлена на Рисунке</w:t>
      </w:r>
      <w:r w:rsidR="00973C67">
        <w:t xml:space="preserve"> </w:t>
      </w:r>
      <w:r w:rsidR="00973C67">
        <w:fldChar w:fldCharType="begin"/>
      </w:r>
      <w:r w:rsidR="00973C67">
        <w:instrText xml:space="preserve"> REF _Ref43634369 \h </w:instrText>
      </w:r>
      <w:r w:rsidR="00973C67">
        <w:fldChar w:fldCharType="separate"/>
      </w:r>
      <w:r w:rsidR="00BF0BEE">
        <w:rPr>
          <w:noProof/>
        </w:rPr>
        <w:t>45</w:t>
      </w:r>
      <w:r w:rsidR="00973C67">
        <w:fldChar w:fldCharType="end"/>
      </w:r>
      <w:r w:rsidR="00973C67" w:rsidRPr="00584177">
        <w:t>.</w:t>
      </w:r>
    </w:p>
    <w:p w:rsidR="00973C67" w:rsidRDefault="00973C67" w:rsidP="00973C67">
      <w:pPr>
        <w:pStyle w:val="afffff7"/>
        <w:keepNext/>
      </w:pPr>
      <w:r>
        <w:rPr>
          <w:noProof/>
          <w:lang w:eastAsia="ru-RU"/>
        </w:rPr>
        <w:drawing>
          <wp:inline distT="0" distB="0" distL="0" distR="0" wp14:anchorId="1C3F14AA" wp14:editId="3B087C8D">
            <wp:extent cx="5272644" cy="2966979"/>
            <wp:effectExtent l="0" t="0" r="4445" b="508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5278426" cy="2970233"/>
                    </a:xfrm>
                    <a:prstGeom prst="rect">
                      <a:avLst/>
                    </a:prstGeom>
                  </pic:spPr>
                </pic:pic>
              </a:graphicData>
            </a:graphic>
          </wp:inline>
        </w:drawing>
      </w:r>
    </w:p>
    <w:p w:rsidR="00973C67" w:rsidRPr="00F52939" w:rsidRDefault="00973C67" w:rsidP="00973C67">
      <w:pPr>
        <w:pStyle w:val="-0"/>
      </w:pPr>
      <w:bookmarkStart w:id="167" w:name="_Toc119584232"/>
      <w:r>
        <w:t xml:space="preserve">Рисунок </w:t>
      </w:r>
      <w:fldSimple w:instr=" SEQ Рисунок \* ARABIC ">
        <w:bookmarkStart w:id="168" w:name="_Ref43634369"/>
        <w:r w:rsidR="001860A9">
          <w:rPr>
            <w:noProof/>
          </w:rPr>
          <w:t>45</w:t>
        </w:r>
        <w:bookmarkEnd w:id="168"/>
      </w:fldSimple>
      <w:r>
        <w:t xml:space="preserve"> – Кнопка «Добавить в Избранное» непосредственно из отчета</w:t>
      </w:r>
      <w:bookmarkEnd w:id="167"/>
    </w:p>
    <w:p w:rsidR="00F52939" w:rsidRDefault="002A046C" w:rsidP="0018675B">
      <w:pPr>
        <w:pStyle w:val="af0"/>
      </w:pPr>
      <w:r>
        <w:t>П</w:t>
      </w:r>
      <w:r w:rsidR="0018675B">
        <w:t xml:space="preserve">осле добавления отчета в «Избранное» в правом верхнем углу отчета кнопка «Добавить в Избранное» измениться на «Исключить из Избранного» (Рисунок </w:t>
      </w:r>
      <w:r w:rsidR="00C45F44">
        <w:fldChar w:fldCharType="begin"/>
      </w:r>
      <w:r w:rsidR="00C45F44">
        <w:instrText xml:space="preserve"> REF _Ref43634656 \h </w:instrText>
      </w:r>
      <w:r w:rsidR="00C45F44">
        <w:fldChar w:fldCharType="separate"/>
      </w:r>
      <w:r w:rsidR="00BF0BEE">
        <w:rPr>
          <w:noProof/>
        </w:rPr>
        <w:t>46</w:t>
      </w:r>
      <w:r w:rsidR="00C45F44">
        <w:fldChar w:fldCharType="end"/>
      </w:r>
      <w:r w:rsidR="0018675B">
        <w:t>)</w:t>
      </w:r>
      <w:r>
        <w:t>, а сам отчет будет добавлен в перечень избранных отчетов (раздел «Избранное»)</w:t>
      </w:r>
      <w:r w:rsidR="0018675B">
        <w:t>.</w:t>
      </w:r>
    </w:p>
    <w:p w:rsidR="00C45F44" w:rsidRDefault="00C45F44" w:rsidP="00C45F44">
      <w:pPr>
        <w:pStyle w:val="afffff7"/>
        <w:keepNext/>
      </w:pPr>
      <w:r>
        <w:rPr>
          <w:noProof/>
          <w:lang w:eastAsia="ru-RU"/>
        </w:rPr>
        <w:drawing>
          <wp:inline distT="0" distB="0" distL="0" distR="0" wp14:anchorId="4F9EF471" wp14:editId="201472A9">
            <wp:extent cx="5591175" cy="31146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5591175" cy="3114675"/>
                    </a:xfrm>
                    <a:prstGeom prst="rect">
                      <a:avLst/>
                    </a:prstGeom>
                  </pic:spPr>
                </pic:pic>
              </a:graphicData>
            </a:graphic>
          </wp:inline>
        </w:drawing>
      </w:r>
    </w:p>
    <w:p w:rsidR="00C45F44" w:rsidRDefault="00C45F44" w:rsidP="00C45F44">
      <w:pPr>
        <w:pStyle w:val="-0"/>
      </w:pPr>
      <w:bookmarkStart w:id="169" w:name="_Toc119584233"/>
      <w:r>
        <w:t xml:space="preserve">Рисунок </w:t>
      </w:r>
      <w:fldSimple w:instr=" SEQ Рисунок \* ARABIC ">
        <w:bookmarkStart w:id="170" w:name="_Ref43634656"/>
        <w:r w:rsidR="001860A9">
          <w:rPr>
            <w:noProof/>
          </w:rPr>
          <w:t>46</w:t>
        </w:r>
        <w:bookmarkEnd w:id="170"/>
      </w:fldSimple>
      <w:r>
        <w:t xml:space="preserve"> – Кнопка «Исключить из Избранного» непосредственно из отчета</w:t>
      </w:r>
      <w:bookmarkEnd w:id="169"/>
    </w:p>
    <w:p w:rsidR="002A046C" w:rsidRDefault="002A046C" w:rsidP="002A046C">
      <w:pPr>
        <w:pStyle w:val="af0"/>
      </w:pPr>
      <w:r>
        <w:t xml:space="preserve">Подробное описание раздела «Избранное» и других способов добавления отчета в перечень избранных представлено в п. </w:t>
      </w:r>
      <w:r>
        <w:fldChar w:fldCharType="begin"/>
      </w:r>
      <w:r>
        <w:instrText xml:space="preserve"> REF _Ref43635001 \n \h </w:instrText>
      </w:r>
      <w:r>
        <w:fldChar w:fldCharType="separate"/>
      </w:r>
      <w:r w:rsidR="00BF0BEE">
        <w:t>5.5</w:t>
      </w:r>
      <w:r>
        <w:fldChar w:fldCharType="end"/>
      </w:r>
      <w:r>
        <w:t xml:space="preserve"> настоящего документа.</w:t>
      </w:r>
    </w:p>
    <w:p w:rsidR="00DC17F7" w:rsidRPr="00DC17F7" w:rsidRDefault="00C82813" w:rsidP="00C82813">
      <w:pPr>
        <w:pStyle w:val="35"/>
      </w:pPr>
      <w:bookmarkStart w:id="171" w:name="_Toc119585061"/>
      <w:r w:rsidRPr="00DC17F7">
        <w:t>Разместить на стартовой странице</w:t>
      </w:r>
      <w:bookmarkEnd w:id="171"/>
    </w:p>
    <w:p w:rsidR="00C82813" w:rsidRPr="00F52939" w:rsidRDefault="00DC17F7" w:rsidP="00C82813">
      <w:pPr>
        <w:pStyle w:val="af0"/>
      </w:pPr>
      <w:r w:rsidRPr="00F52939">
        <w:t>Ф</w:t>
      </w:r>
      <w:r w:rsidR="00C82813" w:rsidRPr="00F52939">
        <w:t xml:space="preserve">ункция </w:t>
      </w:r>
      <w:r w:rsidRPr="00F52939">
        <w:t xml:space="preserve">«Разместить на стартовой странице» </w:t>
      </w:r>
      <w:r w:rsidR="00C82813" w:rsidRPr="00F52939">
        <w:t>позволяет по выбору пользователя разместить отчет на стартовой странице с сохранением параметров вызова отчета</w:t>
      </w:r>
      <w:r w:rsidRPr="00F52939">
        <w:t xml:space="preserve"> или исключить со стартовой</w:t>
      </w:r>
      <w:r w:rsidR="00B93264">
        <w:t xml:space="preserve"> страницы</w:t>
      </w:r>
      <w:r w:rsidR="00C82813" w:rsidRPr="00F52939">
        <w:t>.</w:t>
      </w:r>
    </w:p>
    <w:p w:rsidR="00C82813" w:rsidRPr="00584177" w:rsidRDefault="00C82813" w:rsidP="00C82813">
      <w:pPr>
        <w:pStyle w:val="af0"/>
      </w:pPr>
      <w:r w:rsidRPr="00584177">
        <w:t>Если отчет не размещен на стартовой странице, для него доступна функция «Разместить на стартовой странице»</w:t>
      </w:r>
      <w:r w:rsidR="005F14B6" w:rsidRPr="00584177">
        <w:t>, кнопка вызова этой функции представлена на Рисунке</w:t>
      </w:r>
      <w:r w:rsidRPr="00584177">
        <w:t xml:space="preserve"> </w:t>
      </w:r>
      <w:r w:rsidR="005F14B6" w:rsidRPr="00584177">
        <w:fldChar w:fldCharType="begin"/>
      </w:r>
      <w:r w:rsidR="005F14B6" w:rsidRPr="00584177">
        <w:instrText xml:space="preserve"> REF _Ref43629334 \h </w:instrText>
      </w:r>
      <w:r w:rsidR="00584177">
        <w:instrText xml:space="preserve"> \* MERGEFORMAT </w:instrText>
      </w:r>
      <w:r w:rsidR="005F14B6" w:rsidRPr="00584177">
        <w:fldChar w:fldCharType="separate"/>
      </w:r>
      <w:r w:rsidR="00BF0BEE">
        <w:rPr>
          <w:noProof/>
        </w:rPr>
        <w:t>47</w:t>
      </w:r>
      <w:r w:rsidR="005F14B6" w:rsidRPr="00584177">
        <w:fldChar w:fldCharType="end"/>
      </w:r>
      <w:r w:rsidR="005F14B6" w:rsidRPr="00584177">
        <w:t>.</w:t>
      </w:r>
    </w:p>
    <w:p w:rsidR="005F14B6" w:rsidRPr="00584177" w:rsidRDefault="005F14B6" w:rsidP="005F14B6">
      <w:pPr>
        <w:pStyle w:val="afffff7"/>
        <w:keepNext/>
      </w:pPr>
      <w:r w:rsidRPr="00584177">
        <w:rPr>
          <w:noProof/>
        </w:rPr>
        <w:t xml:space="preserve"> </w:t>
      </w:r>
      <w:r w:rsidR="00BE183C">
        <w:rPr>
          <w:noProof/>
          <w:lang w:eastAsia="ru-RU"/>
        </w:rPr>
        <w:drawing>
          <wp:inline distT="0" distB="0" distL="0" distR="0" wp14:anchorId="4B7F8E8B" wp14:editId="778C3978">
            <wp:extent cx="5094514" cy="312961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101104" cy="3133662"/>
                    </a:xfrm>
                    <a:prstGeom prst="rect">
                      <a:avLst/>
                    </a:prstGeom>
                  </pic:spPr>
                </pic:pic>
              </a:graphicData>
            </a:graphic>
          </wp:inline>
        </w:drawing>
      </w:r>
    </w:p>
    <w:p w:rsidR="00C82813" w:rsidRPr="00584177" w:rsidRDefault="005F14B6" w:rsidP="005F14B6">
      <w:pPr>
        <w:pStyle w:val="-0"/>
      </w:pPr>
      <w:bookmarkStart w:id="172" w:name="_Toc119584234"/>
      <w:r w:rsidRPr="00584177">
        <w:t xml:space="preserve">Рисунок </w:t>
      </w:r>
      <w:fldSimple w:instr=" SEQ Рисунок \* ARABIC ">
        <w:bookmarkStart w:id="173" w:name="_Ref43629334"/>
        <w:r w:rsidR="001860A9">
          <w:rPr>
            <w:noProof/>
          </w:rPr>
          <w:t>47</w:t>
        </w:r>
        <w:bookmarkEnd w:id="173"/>
      </w:fldSimple>
      <w:r w:rsidRPr="00584177">
        <w:t xml:space="preserve"> – Кнопка «Разместить на стартовой странице»</w:t>
      </w:r>
      <w:bookmarkEnd w:id="172"/>
    </w:p>
    <w:p w:rsidR="00C82813" w:rsidRPr="00584177" w:rsidRDefault="00C82813" w:rsidP="00C82813">
      <w:pPr>
        <w:pStyle w:val="af0"/>
      </w:pPr>
      <w:r w:rsidRPr="00584177">
        <w:t>При размещении отчета на стартовой странице на панели инструментов появляется иконка «Главный отчет»</w:t>
      </w:r>
      <w:r w:rsidR="004704CC">
        <w:t xml:space="preserve">, </w:t>
      </w:r>
      <w:r w:rsidR="004704CC" w:rsidRPr="00584177">
        <w:t xml:space="preserve">как показано на рисунке </w:t>
      </w:r>
      <w:r w:rsidR="004704CC" w:rsidRPr="00584177">
        <w:fldChar w:fldCharType="begin"/>
      </w:r>
      <w:r w:rsidR="004704CC" w:rsidRPr="00584177">
        <w:instrText xml:space="preserve"> REF _Ref17126487 \h  \* MERGEFORMAT </w:instrText>
      </w:r>
      <w:r w:rsidR="004704CC" w:rsidRPr="00584177">
        <w:fldChar w:fldCharType="separate"/>
      </w:r>
      <w:r w:rsidR="00BF0BEE">
        <w:rPr>
          <w:noProof/>
        </w:rPr>
        <w:t>48</w:t>
      </w:r>
      <w:r w:rsidR="004704CC" w:rsidRPr="00584177">
        <w:fldChar w:fldCharType="end"/>
      </w:r>
      <w:r w:rsidR="004704CC">
        <w:t>.</w:t>
      </w:r>
    </w:p>
    <w:p w:rsidR="007E3A86" w:rsidRDefault="004704CC" w:rsidP="007E3A86">
      <w:pPr>
        <w:pStyle w:val="afffff7"/>
      </w:pPr>
      <w:r w:rsidRPr="007E3A86">
        <w:rPr>
          <w:noProof/>
          <w:lang w:eastAsia="ru-RU"/>
        </w:rPr>
        <w:drawing>
          <wp:inline distT="0" distB="0" distL="0" distR="0" wp14:anchorId="59859BAA" wp14:editId="75B1B853">
            <wp:extent cx="5450774" cy="3421572"/>
            <wp:effectExtent l="0" t="0" r="0"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450315" cy="3421284"/>
                    </a:xfrm>
                    <a:prstGeom prst="rect">
                      <a:avLst/>
                    </a:prstGeom>
                  </pic:spPr>
                </pic:pic>
              </a:graphicData>
            </a:graphic>
          </wp:inline>
        </w:drawing>
      </w:r>
    </w:p>
    <w:p w:rsidR="00C82813" w:rsidRPr="004704CC" w:rsidRDefault="00C82813" w:rsidP="007E3A86">
      <w:pPr>
        <w:pStyle w:val="-0"/>
      </w:pPr>
      <w:bookmarkStart w:id="174" w:name="_Toc119584235"/>
      <w:r w:rsidRPr="004704CC">
        <w:t xml:space="preserve">Рисунок </w:t>
      </w:r>
      <w:fldSimple w:instr=" SEQ Рисунок \* ARABIC ">
        <w:bookmarkStart w:id="175" w:name="_Ref17126487"/>
        <w:r w:rsidR="001860A9">
          <w:rPr>
            <w:noProof/>
          </w:rPr>
          <w:t>48</w:t>
        </w:r>
        <w:bookmarkEnd w:id="175"/>
      </w:fldSimple>
      <w:r w:rsidRPr="004704CC">
        <w:t xml:space="preserve"> – Иконка «Главный отчет» на панели инструментов</w:t>
      </w:r>
      <w:bookmarkEnd w:id="174"/>
    </w:p>
    <w:p w:rsidR="00BE183C" w:rsidRDefault="00C82813" w:rsidP="00C82813">
      <w:pPr>
        <w:pStyle w:val="af0"/>
      </w:pPr>
      <w:r w:rsidRPr="004704CC">
        <w:t xml:space="preserve">Иконка «Главный отчет» позволяет быстро перейти к выбранному пользователем </w:t>
      </w:r>
      <w:r w:rsidR="00584177" w:rsidRPr="004704CC">
        <w:t xml:space="preserve">аналитическому </w:t>
      </w:r>
      <w:r w:rsidR="00BE183C">
        <w:t>отчету.</w:t>
      </w:r>
    </w:p>
    <w:p w:rsidR="00C82813" w:rsidRPr="004704CC" w:rsidRDefault="00584177" w:rsidP="00C82813">
      <w:pPr>
        <w:pStyle w:val="af0"/>
      </w:pPr>
      <w:r w:rsidRPr="004704CC">
        <w:t xml:space="preserve">С помощью </w:t>
      </w:r>
      <w:r w:rsidR="00BE183C">
        <w:t xml:space="preserve">выполненных </w:t>
      </w:r>
      <w:r w:rsidRPr="004704CC">
        <w:t>настроек пользователя п</w:t>
      </w:r>
      <w:r w:rsidR="00C82813" w:rsidRPr="004704CC">
        <w:t xml:space="preserve">ри первоначальном переходе к Подсистеме </w:t>
      </w:r>
      <w:r w:rsidR="004704CC" w:rsidRPr="004704CC">
        <w:t xml:space="preserve">по умолчанию может отображаться </w:t>
      </w:r>
      <w:r w:rsidRPr="004704CC">
        <w:t>интерфейс г</w:t>
      </w:r>
      <w:r w:rsidR="004704CC" w:rsidRPr="004704CC">
        <w:t>лавного</w:t>
      </w:r>
      <w:r w:rsidR="00C82813" w:rsidRPr="004704CC">
        <w:t xml:space="preserve"> отчет</w:t>
      </w:r>
      <w:r w:rsidRPr="004704CC">
        <w:t>а</w:t>
      </w:r>
      <w:r w:rsidR="00C82813" w:rsidRPr="004704CC">
        <w:t>.</w:t>
      </w:r>
      <w:r w:rsidR="004704CC" w:rsidRPr="004704CC">
        <w:t xml:space="preserve"> Настройки пользователя подробнее описаны в п.</w:t>
      </w:r>
      <w:r w:rsidR="004704CC" w:rsidRPr="004704CC">
        <w:fldChar w:fldCharType="begin"/>
      </w:r>
      <w:r w:rsidR="004704CC" w:rsidRPr="004704CC">
        <w:instrText xml:space="preserve"> REF _Ref43629970 \n \h </w:instrText>
      </w:r>
      <w:r w:rsidR="004704CC">
        <w:instrText xml:space="preserve"> \* MERGEFORMAT </w:instrText>
      </w:r>
      <w:r w:rsidR="004704CC" w:rsidRPr="004704CC">
        <w:fldChar w:fldCharType="separate"/>
      </w:r>
      <w:r w:rsidR="00BF0BEE">
        <w:t>5.10</w:t>
      </w:r>
      <w:r w:rsidR="004704CC" w:rsidRPr="004704CC">
        <w:fldChar w:fldCharType="end"/>
      </w:r>
      <w:r w:rsidR="004704CC" w:rsidRPr="004704CC">
        <w:t>.</w:t>
      </w:r>
    </w:p>
    <w:p w:rsidR="004704CC" w:rsidRDefault="004704CC" w:rsidP="004704CC">
      <w:pPr>
        <w:pStyle w:val="af0"/>
      </w:pPr>
      <w:r>
        <w:t>Когда отчет назначен главным, в отчете становится доступна кнопка «Исключить со стартовой страницы»</w:t>
      </w:r>
      <w:r w:rsidR="00BE183C">
        <w:t xml:space="preserve"> (Рисунок </w:t>
      </w:r>
      <w:r w:rsidR="00BE183C">
        <w:fldChar w:fldCharType="begin"/>
      </w:r>
      <w:r w:rsidR="00BE183C">
        <w:instrText xml:space="preserve"> REF _Ref43630588 \h </w:instrText>
      </w:r>
      <w:r w:rsidR="00BE183C">
        <w:fldChar w:fldCharType="separate"/>
      </w:r>
      <w:r w:rsidR="00BF0BEE">
        <w:rPr>
          <w:noProof/>
        </w:rPr>
        <w:t>49</w:t>
      </w:r>
      <w:r w:rsidR="00BE183C">
        <w:fldChar w:fldCharType="end"/>
      </w:r>
      <w:r w:rsidR="00BE183C">
        <w:t>)</w:t>
      </w:r>
      <w:r>
        <w:t>. Кнопка «Исключить со стартовой страницы» позволяет исключи</w:t>
      </w:r>
      <w:r w:rsidR="00BE183C">
        <w:t>ть отчет со стартовой страницы.</w:t>
      </w:r>
    </w:p>
    <w:p w:rsidR="00BE183C" w:rsidRPr="00DE6930" w:rsidRDefault="00BE183C" w:rsidP="00BE183C">
      <w:pPr>
        <w:pStyle w:val="afffff7"/>
        <w:keepNext/>
      </w:pPr>
      <w:r w:rsidRPr="00DE6930">
        <w:rPr>
          <w:noProof/>
          <w:lang w:eastAsia="ru-RU"/>
        </w:rPr>
        <w:drawing>
          <wp:inline distT="0" distB="0" distL="0" distR="0" wp14:anchorId="3DF933C0" wp14:editId="1C43204C">
            <wp:extent cx="5142015" cy="3240541"/>
            <wp:effectExtent l="0" t="0" r="190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144777" cy="3242281"/>
                    </a:xfrm>
                    <a:prstGeom prst="rect">
                      <a:avLst/>
                    </a:prstGeom>
                  </pic:spPr>
                </pic:pic>
              </a:graphicData>
            </a:graphic>
          </wp:inline>
        </w:drawing>
      </w:r>
    </w:p>
    <w:p w:rsidR="00BE183C" w:rsidRPr="00DE6930" w:rsidRDefault="00BE183C" w:rsidP="00BE183C">
      <w:pPr>
        <w:pStyle w:val="-0"/>
      </w:pPr>
      <w:bookmarkStart w:id="176" w:name="_Toc119584236"/>
      <w:r w:rsidRPr="00DE6930">
        <w:t xml:space="preserve">Рисунок </w:t>
      </w:r>
      <w:fldSimple w:instr=" SEQ Рисунок \* ARABIC ">
        <w:bookmarkStart w:id="177" w:name="_Ref43630588"/>
        <w:r w:rsidR="001860A9">
          <w:rPr>
            <w:noProof/>
          </w:rPr>
          <w:t>49</w:t>
        </w:r>
        <w:bookmarkEnd w:id="177"/>
      </w:fldSimple>
      <w:r w:rsidRPr="00DE6930">
        <w:t xml:space="preserve"> – Кнопка «Исключить со стартовой страницы»</w:t>
      </w:r>
      <w:bookmarkEnd w:id="176"/>
    </w:p>
    <w:p w:rsidR="00E13B51" w:rsidRPr="00DE6930" w:rsidRDefault="00E13B51" w:rsidP="00E13B51">
      <w:pPr>
        <w:pStyle w:val="35"/>
      </w:pPr>
      <w:bookmarkStart w:id="178" w:name="_Toc119585062"/>
      <w:r w:rsidRPr="00DE6930">
        <w:t>Редактировать копию</w:t>
      </w:r>
      <w:bookmarkEnd w:id="178"/>
    </w:p>
    <w:p w:rsidR="00E13B51" w:rsidRPr="00DE6930" w:rsidRDefault="00E13B51" w:rsidP="00E13B51">
      <w:pPr>
        <w:pStyle w:val="af0"/>
      </w:pPr>
      <w:r w:rsidRPr="00F408AB">
        <w:t>Функция «Редактировать копию» позволяет редактиров</w:t>
      </w:r>
      <w:r w:rsidR="00DE6930" w:rsidRPr="00F408AB">
        <w:t>ать копию аналитического отчета</w:t>
      </w:r>
      <w:r w:rsidRPr="00F408AB">
        <w:t xml:space="preserve"> в Редакторе</w:t>
      </w:r>
      <w:r w:rsidRPr="00DE6930">
        <w:t xml:space="preserve"> отчетов.</w:t>
      </w:r>
      <w:r w:rsidR="00DE6930" w:rsidRPr="00DE6930">
        <w:t xml:space="preserve"> Кнопка вызова этой функции представлена на Рисунке </w:t>
      </w:r>
      <w:r w:rsidR="00DE6930" w:rsidRPr="00DE6930">
        <w:fldChar w:fldCharType="begin"/>
      </w:r>
      <w:r w:rsidR="00DE6930" w:rsidRPr="00DE6930">
        <w:instrText xml:space="preserve"> REF _Ref43630910 \h </w:instrText>
      </w:r>
      <w:r w:rsidR="00DE6930">
        <w:instrText xml:space="preserve"> \* MERGEFORMAT </w:instrText>
      </w:r>
      <w:r w:rsidR="00DE6930" w:rsidRPr="00DE6930">
        <w:fldChar w:fldCharType="separate"/>
      </w:r>
      <w:r w:rsidR="00BF0BEE">
        <w:rPr>
          <w:noProof/>
        </w:rPr>
        <w:t>50</w:t>
      </w:r>
      <w:r w:rsidR="00DE6930" w:rsidRPr="00DE6930">
        <w:fldChar w:fldCharType="end"/>
      </w:r>
      <w:r w:rsidR="00F408AB" w:rsidRPr="00F408AB">
        <w:t xml:space="preserve"> </w:t>
      </w:r>
      <w:r w:rsidR="00F408AB">
        <w:t xml:space="preserve">и доступна пользователям с ролью </w:t>
      </w:r>
      <w:r w:rsidR="00F408AB" w:rsidRPr="00E06755">
        <w:t>«ПИАО.011.Администратор»</w:t>
      </w:r>
      <w:r w:rsidR="00DE6930" w:rsidRPr="00DE6930">
        <w:t>.</w:t>
      </w:r>
    </w:p>
    <w:p w:rsidR="00DE6930" w:rsidRPr="00DE6930" w:rsidRDefault="00DE6930" w:rsidP="00DE6930">
      <w:pPr>
        <w:pStyle w:val="afffff7"/>
        <w:keepNext/>
      </w:pPr>
      <w:r w:rsidRPr="00DE6930">
        <w:rPr>
          <w:noProof/>
          <w:lang w:eastAsia="ru-RU"/>
        </w:rPr>
        <w:drawing>
          <wp:inline distT="0" distB="0" distL="0" distR="0" wp14:anchorId="563ACB64" wp14:editId="2899959E">
            <wp:extent cx="5534025" cy="336232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534025" cy="3362325"/>
                    </a:xfrm>
                    <a:prstGeom prst="rect">
                      <a:avLst/>
                    </a:prstGeom>
                  </pic:spPr>
                </pic:pic>
              </a:graphicData>
            </a:graphic>
          </wp:inline>
        </w:drawing>
      </w:r>
    </w:p>
    <w:p w:rsidR="00DE6930" w:rsidRPr="00DE6930" w:rsidRDefault="00DE6930" w:rsidP="009F5A4E">
      <w:pPr>
        <w:pStyle w:val="-0"/>
      </w:pPr>
      <w:bookmarkStart w:id="179" w:name="_Toc119584237"/>
      <w:r w:rsidRPr="00DE6930">
        <w:t xml:space="preserve">Рисунок </w:t>
      </w:r>
      <w:fldSimple w:instr=" SEQ Рисунок \* ARABIC ">
        <w:bookmarkStart w:id="180" w:name="_Ref43630910"/>
        <w:r w:rsidR="001860A9">
          <w:rPr>
            <w:noProof/>
          </w:rPr>
          <w:t>50</w:t>
        </w:r>
        <w:bookmarkEnd w:id="180"/>
      </w:fldSimple>
      <w:r w:rsidRPr="00DE6930">
        <w:t xml:space="preserve"> – Кнопка «Редактировать копию»</w:t>
      </w:r>
      <w:bookmarkEnd w:id="179"/>
    </w:p>
    <w:p w:rsidR="00E13B51" w:rsidRPr="0012569A" w:rsidRDefault="00E13B51" w:rsidP="00E13B51">
      <w:pPr>
        <w:pStyle w:val="af0"/>
      </w:pPr>
      <w:r w:rsidRPr="0012569A">
        <w:t xml:space="preserve">При выборе функции «Редактировать копию», отрывается Редактор отчетов, с копией выбранного отчета, как показано на рисунке </w:t>
      </w:r>
      <w:r w:rsidRPr="0012569A">
        <w:fldChar w:fldCharType="begin"/>
      </w:r>
      <w:r w:rsidRPr="0012569A">
        <w:instrText xml:space="preserve"> REF _Ref17037836 \h  \* MERGEFORMAT </w:instrText>
      </w:r>
      <w:r w:rsidRPr="0012569A">
        <w:fldChar w:fldCharType="separate"/>
      </w:r>
      <w:r w:rsidR="00BF0BEE">
        <w:rPr>
          <w:noProof/>
        </w:rPr>
        <w:t>51</w:t>
      </w:r>
      <w:r w:rsidRPr="0012569A">
        <w:fldChar w:fldCharType="end"/>
      </w:r>
      <w:r w:rsidRPr="0012569A">
        <w:t>.</w:t>
      </w:r>
    </w:p>
    <w:p w:rsidR="00E13B51" w:rsidRPr="0012569A" w:rsidRDefault="00E13B51" w:rsidP="00E13B51">
      <w:pPr>
        <w:pStyle w:val="af0"/>
      </w:pPr>
      <w:r w:rsidRPr="0012569A">
        <w:t>Копия отчета автоматически сохраняется в Репозитории содержимого в Личной папке пользователя.</w:t>
      </w:r>
    </w:p>
    <w:p w:rsidR="00E13B51" w:rsidRPr="0012569A" w:rsidRDefault="0012569A" w:rsidP="00E13B51">
      <w:pPr>
        <w:pStyle w:val="afffff7"/>
        <w:keepNext/>
      </w:pPr>
      <w:r w:rsidRPr="0012569A">
        <w:rPr>
          <w:noProof/>
          <w:lang w:eastAsia="ru-RU"/>
        </w:rPr>
        <w:drawing>
          <wp:inline distT="0" distB="0" distL="0" distR="0" wp14:anchorId="270DA385" wp14:editId="5146E5FB">
            <wp:extent cx="5939790" cy="2238839"/>
            <wp:effectExtent l="0" t="0" r="381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939790" cy="2238839"/>
                    </a:xfrm>
                    <a:prstGeom prst="rect">
                      <a:avLst/>
                    </a:prstGeom>
                  </pic:spPr>
                </pic:pic>
              </a:graphicData>
            </a:graphic>
          </wp:inline>
        </w:drawing>
      </w:r>
    </w:p>
    <w:p w:rsidR="00E13B51" w:rsidRPr="0012569A" w:rsidRDefault="00E13B51" w:rsidP="00E13B51">
      <w:pPr>
        <w:pStyle w:val="-0"/>
      </w:pPr>
      <w:bookmarkStart w:id="181" w:name="_Toc119584238"/>
      <w:r w:rsidRPr="0012569A">
        <w:t xml:space="preserve">Рисунок </w:t>
      </w:r>
      <w:fldSimple w:instr=" SEQ Рисунок \* ARABIC ">
        <w:bookmarkStart w:id="182" w:name="_Ref17037836"/>
        <w:r w:rsidR="001860A9">
          <w:rPr>
            <w:noProof/>
          </w:rPr>
          <w:t>51</w:t>
        </w:r>
        <w:bookmarkEnd w:id="182"/>
      </w:fldSimple>
      <w:r w:rsidRPr="0012569A">
        <w:t xml:space="preserve"> – Копия аналитического отчета, открытая для редактирования с помощью функции «Редактировать отчет»</w:t>
      </w:r>
      <w:bookmarkEnd w:id="181"/>
    </w:p>
    <w:p w:rsidR="004C0CE0" w:rsidRDefault="004C0CE0" w:rsidP="004C0CE0">
      <w:pPr>
        <w:pStyle w:val="af0"/>
      </w:pPr>
      <w:r w:rsidRPr="00E06755">
        <w:t xml:space="preserve">Описание работы в </w:t>
      </w:r>
      <w:r>
        <w:t>Редакторе</w:t>
      </w:r>
      <w:r w:rsidRPr="00E06755">
        <w:t xml:space="preserve"> отчетов представлено в </w:t>
      </w:r>
      <w:r>
        <w:t xml:space="preserve">документе </w:t>
      </w:r>
      <w:r w:rsidRPr="00C15663">
        <w:t xml:space="preserve">«Руководство работников (представителей) участников системы «Электронный бюджет» по работе с </w:t>
      </w:r>
      <w:r>
        <w:t>подсистемой информационно-аналитического обеспечения</w:t>
      </w:r>
      <w:r w:rsidRPr="00C15663">
        <w:t xml:space="preserve"> системы «Электронный бюджет»» (код документа 30275697.20.1</w:t>
      </w:r>
      <w:r>
        <w:t>1</w:t>
      </w:r>
      <w:r w:rsidRPr="00C15663">
        <w:t>,00.</w:t>
      </w:r>
      <w:r w:rsidRPr="00051993">
        <w:rPr>
          <w:rStyle w:val="afff3"/>
          <w:b w:val="0"/>
        </w:rPr>
        <w:t>ЭБ26</w:t>
      </w:r>
      <w:r w:rsidRPr="00051993">
        <w:rPr>
          <w:b/>
        </w:rPr>
        <w:t>.</w:t>
      </w:r>
      <w:r w:rsidR="00D107E4">
        <w:t>005-02</w:t>
      </w:r>
      <w:r w:rsidRPr="00C15663">
        <w:t>.0</w:t>
      </w:r>
      <w:r w:rsidR="004805CA">
        <w:t>4</w:t>
      </w:r>
      <w:r w:rsidR="00D107E4">
        <w:t xml:space="preserve"> 9</w:t>
      </w:r>
      <w:r>
        <w:t>)</w:t>
      </w:r>
      <w:r w:rsidRPr="00E06755">
        <w:t>.</w:t>
      </w:r>
      <w:r>
        <w:t xml:space="preserve"> </w:t>
      </w:r>
      <w:bookmarkStart w:id="183" w:name="_Toc425768091"/>
      <w:bookmarkStart w:id="184" w:name="_Toc426635673"/>
      <w:bookmarkStart w:id="185" w:name="_Toc426639416"/>
      <w:bookmarkStart w:id="186" w:name="_Toc442260742"/>
      <w:bookmarkStart w:id="187" w:name="_Toc39606753"/>
    </w:p>
    <w:p w:rsidR="007F3F71" w:rsidRDefault="007F3F71" w:rsidP="004C0CE0">
      <w:pPr>
        <w:pStyle w:val="35"/>
      </w:pPr>
      <w:bookmarkStart w:id="188" w:name="_Toc119585063"/>
      <w:r>
        <w:t>Очистить фильтры</w:t>
      </w:r>
      <w:bookmarkEnd w:id="188"/>
    </w:p>
    <w:p w:rsidR="00FD65E3" w:rsidRPr="00DE6930" w:rsidRDefault="00FD65E3" w:rsidP="00FD65E3">
      <w:pPr>
        <w:pStyle w:val="af0"/>
      </w:pPr>
      <w:r w:rsidRPr="00DE6930">
        <w:t>Функция «</w:t>
      </w:r>
      <w:r>
        <w:t>Очистить фильтры</w:t>
      </w:r>
      <w:r w:rsidRPr="00DE6930">
        <w:t xml:space="preserve">» позволяет </w:t>
      </w:r>
      <w:r>
        <w:t>единовременно сбросить все установленные в отчете фильтры до значений по умолчанию</w:t>
      </w:r>
      <w:r w:rsidRPr="00DE6930">
        <w:t>. Кнопка вызова этой функции представлена на Рисунке</w:t>
      </w:r>
      <w:r>
        <w:t xml:space="preserve"> </w:t>
      </w:r>
      <w:r>
        <w:fldChar w:fldCharType="begin"/>
      </w:r>
      <w:r>
        <w:instrText xml:space="preserve"> REF _Ref43633802 \h </w:instrText>
      </w:r>
      <w:r>
        <w:fldChar w:fldCharType="separate"/>
      </w:r>
      <w:r w:rsidR="00BF0BEE">
        <w:rPr>
          <w:noProof/>
        </w:rPr>
        <w:t>52</w:t>
      </w:r>
      <w:r>
        <w:fldChar w:fldCharType="end"/>
      </w:r>
      <w:r w:rsidRPr="00DE6930">
        <w:t>.</w:t>
      </w:r>
    </w:p>
    <w:p w:rsidR="00FD65E3" w:rsidRDefault="00FD65E3" w:rsidP="00FD65E3">
      <w:pPr>
        <w:pStyle w:val="afffff7"/>
        <w:keepNext/>
      </w:pPr>
      <w:r>
        <w:rPr>
          <w:noProof/>
          <w:lang w:eastAsia="ru-RU"/>
        </w:rPr>
        <w:drawing>
          <wp:inline distT="0" distB="0" distL="0" distR="0" wp14:anchorId="27F19EA9" wp14:editId="7B607004">
            <wp:extent cx="5638800" cy="311467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638800" cy="3114675"/>
                    </a:xfrm>
                    <a:prstGeom prst="rect">
                      <a:avLst/>
                    </a:prstGeom>
                  </pic:spPr>
                </pic:pic>
              </a:graphicData>
            </a:graphic>
          </wp:inline>
        </w:drawing>
      </w:r>
    </w:p>
    <w:p w:rsidR="00FD65E3" w:rsidRPr="00FD65E3" w:rsidRDefault="00FD65E3" w:rsidP="00FD65E3">
      <w:pPr>
        <w:pStyle w:val="-0"/>
      </w:pPr>
      <w:bookmarkStart w:id="189" w:name="_Toc119584239"/>
      <w:r>
        <w:t xml:space="preserve">Рисунок </w:t>
      </w:r>
      <w:fldSimple w:instr=" SEQ Рисунок \* ARABIC ">
        <w:bookmarkStart w:id="190" w:name="_Ref43633802"/>
        <w:r w:rsidR="001860A9">
          <w:rPr>
            <w:noProof/>
          </w:rPr>
          <w:t>52</w:t>
        </w:r>
        <w:bookmarkEnd w:id="190"/>
      </w:fldSimple>
      <w:r>
        <w:t xml:space="preserve"> – Кнопка «Очистить фильтры»</w:t>
      </w:r>
      <w:bookmarkEnd w:id="189"/>
    </w:p>
    <w:p w:rsidR="00C82813" w:rsidRPr="00351022" w:rsidRDefault="00C82813" w:rsidP="004C0CE0">
      <w:pPr>
        <w:pStyle w:val="35"/>
      </w:pPr>
      <w:bookmarkStart w:id="191" w:name="_Toc119585064"/>
      <w:r w:rsidRPr="00351022">
        <w:t>Справка</w:t>
      </w:r>
      <w:bookmarkEnd w:id="183"/>
      <w:bookmarkEnd w:id="184"/>
      <w:bookmarkEnd w:id="185"/>
      <w:bookmarkEnd w:id="186"/>
      <w:bookmarkEnd w:id="187"/>
      <w:bookmarkEnd w:id="191"/>
    </w:p>
    <w:p w:rsidR="00C82813" w:rsidRDefault="00C82813" w:rsidP="00C82813">
      <w:pPr>
        <w:pStyle w:val="af0"/>
        <w:keepNext/>
      </w:pPr>
      <w:r w:rsidRPr="004C0CE0">
        <w:t xml:space="preserve">В каждом </w:t>
      </w:r>
      <w:r w:rsidR="004C0CE0">
        <w:t xml:space="preserve">аналитическом </w:t>
      </w:r>
      <w:r w:rsidRPr="004C0CE0">
        <w:t>отчете расположена справка, которая содержит информацию об отчете и источниках предоставленных данных.</w:t>
      </w:r>
      <w:r>
        <w:t xml:space="preserve"> Кнопка</w:t>
      </w:r>
      <w:r>
        <w:rPr>
          <w:noProof/>
          <w:snapToGrid/>
        </w:rPr>
        <w:drawing>
          <wp:inline distT="0" distB="0" distL="0" distR="0" wp14:anchorId="3DB63341" wp14:editId="11D90A60">
            <wp:extent cx="252009" cy="241539"/>
            <wp:effectExtent l="19050" t="0" r="0" b="0"/>
            <wp:docPr id="63"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8" cstate="print"/>
                    <a:srcRect/>
                    <a:stretch>
                      <a:fillRect/>
                    </a:stretch>
                  </pic:blipFill>
                  <pic:spPr bwMode="auto">
                    <a:xfrm>
                      <a:off x="0" y="0"/>
                      <a:ext cx="255447" cy="244834"/>
                    </a:xfrm>
                    <a:prstGeom prst="rect">
                      <a:avLst/>
                    </a:prstGeom>
                    <a:noFill/>
                    <a:ln w="9525">
                      <a:noFill/>
                      <a:miter lim="800000"/>
                      <a:headEnd/>
                      <a:tailEnd/>
                    </a:ln>
                  </pic:spPr>
                </pic:pic>
              </a:graphicData>
            </a:graphic>
          </wp:inline>
        </w:drawing>
      </w:r>
      <w:r w:rsidR="004C0CE0">
        <w:t>, расположенная в правом верхнем углу,</w:t>
      </w:r>
      <w:r w:rsidRPr="0056147B">
        <w:t xml:space="preserve"> </w:t>
      </w:r>
      <w:r>
        <w:t>дает возможность просмотра</w:t>
      </w:r>
      <w:r w:rsidRPr="007F42DB">
        <w:t xml:space="preserve"> </w:t>
      </w:r>
      <w:r>
        <w:t>с</w:t>
      </w:r>
      <w:r w:rsidRPr="007F42DB">
        <w:t>правк</w:t>
      </w:r>
      <w:r>
        <w:t>и</w:t>
      </w:r>
      <w:r w:rsidRPr="007F42DB">
        <w:t xml:space="preserve"> </w:t>
      </w:r>
      <w:r>
        <w:t>(</w:t>
      </w:r>
      <w:r>
        <w:fldChar w:fldCharType="begin"/>
      </w:r>
      <w:r>
        <w:instrText xml:space="preserve"> REF _Ref9844984 \h </w:instrText>
      </w:r>
      <w:r>
        <w:fldChar w:fldCharType="separate"/>
      </w:r>
      <w:r w:rsidR="00BF0BEE">
        <w:t xml:space="preserve">Рисунок </w:t>
      </w:r>
      <w:r w:rsidR="00BF0BEE">
        <w:rPr>
          <w:noProof/>
        </w:rPr>
        <w:t>53</w:t>
      </w:r>
      <w:r>
        <w:fldChar w:fldCharType="end"/>
      </w:r>
      <w:r>
        <w:t>).</w:t>
      </w:r>
    </w:p>
    <w:p w:rsidR="00C82813" w:rsidRDefault="004C0CE0" w:rsidP="00C82813">
      <w:pPr>
        <w:pStyle w:val="-0"/>
        <w:keepNext/>
      </w:pPr>
      <w:r>
        <w:rPr>
          <w:noProof/>
          <w:snapToGrid/>
        </w:rPr>
        <w:drawing>
          <wp:inline distT="0" distB="0" distL="0" distR="0" wp14:anchorId="4E6FBC79" wp14:editId="2F9E3F41">
            <wp:extent cx="5172075" cy="3144694"/>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5172075" cy="3144694"/>
                    </a:xfrm>
                    <a:prstGeom prst="rect">
                      <a:avLst/>
                    </a:prstGeom>
                  </pic:spPr>
                </pic:pic>
              </a:graphicData>
            </a:graphic>
          </wp:inline>
        </w:drawing>
      </w:r>
      <w:r w:rsidR="00C82813" w:rsidRPr="004A0122">
        <w:rPr>
          <w:noProof/>
          <w:snapToGrid/>
        </w:rPr>
        <w:t xml:space="preserve"> </w:t>
      </w:r>
    </w:p>
    <w:p w:rsidR="00C82813" w:rsidRDefault="00C82813" w:rsidP="00C82813">
      <w:pPr>
        <w:pStyle w:val="-0"/>
      </w:pPr>
      <w:bookmarkStart w:id="192" w:name="_Ref9844984"/>
      <w:bookmarkStart w:id="193" w:name="_Toc39606782"/>
      <w:bookmarkStart w:id="194" w:name="_Toc119584240"/>
      <w:r>
        <w:t xml:space="preserve">Рисунок </w:t>
      </w:r>
      <w:fldSimple w:instr=" SEQ Рисунок \* ARABIC ">
        <w:r w:rsidR="001860A9">
          <w:rPr>
            <w:noProof/>
          </w:rPr>
          <w:t>53</w:t>
        </w:r>
      </w:fldSimple>
      <w:bookmarkEnd w:id="192"/>
      <w:r>
        <w:t xml:space="preserve"> </w:t>
      </w:r>
      <w:r w:rsidR="004C0CE0">
        <w:t>–</w:t>
      </w:r>
      <w:r>
        <w:t xml:space="preserve"> </w:t>
      </w:r>
      <w:bookmarkEnd w:id="193"/>
      <w:r w:rsidR="004C0CE0">
        <w:t>Кнопка «Справка»</w:t>
      </w:r>
      <w:bookmarkEnd w:id="194"/>
    </w:p>
    <w:p w:rsidR="00C82813" w:rsidRPr="00060F56" w:rsidRDefault="00C82813" w:rsidP="00C82813">
      <w:pPr>
        <w:pStyle w:val="af0"/>
        <w:keepNext/>
      </w:pPr>
      <w:r>
        <w:t>Справка в отчете представлена ниже (</w:t>
      </w:r>
      <w:r>
        <w:fldChar w:fldCharType="begin"/>
      </w:r>
      <w:r>
        <w:instrText xml:space="preserve"> REF _Ref9844989 \h </w:instrText>
      </w:r>
      <w:r>
        <w:fldChar w:fldCharType="separate"/>
      </w:r>
      <w:r w:rsidR="00BF0BEE">
        <w:t xml:space="preserve">Рисунок </w:t>
      </w:r>
      <w:r w:rsidR="00BF0BEE">
        <w:rPr>
          <w:noProof/>
        </w:rPr>
        <w:t>54</w:t>
      </w:r>
      <w:r>
        <w:fldChar w:fldCharType="end"/>
      </w:r>
      <w:r>
        <w:t>).</w:t>
      </w:r>
    </w:p>
    <w:p w:rsidR="00C82813" w:rsidRDefault="004C0CE0" w:rsidP="00C82813">
      <w:pPr>
        <w:pStyle w:val="-0"/>
        <w:keepNext/>
      </w:pPr>
      <w:r>
        <w:rPr>
          <w:noProof/>
          <w:snapToGrid/>
        </w:rPr>
        <w:drawing>
          <wp:inline distT="0" distB="0" distL="0" distR="0" wp14:anchorId="64ED7D86" wp14:editId="05F56084">
            <wp:extent cx="5939790" cy="2381066"/>
            <wp:effectExtent l="0" t="0" r="3810" b="63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939790" cy="2381066"/>
                    </a:xfrm>
                    <a:prstGeom prst="rect">
                      <a:avLst/>
                    </a:prstGeom>
                  </pic:spPr>
                </pic:pic>
              </a:graphicData>
            </a:graphic>
          </wp:inline>
        </w:drawing>
      </w:r>
    </w:p>
    <w:p w:rsidR="00C82813" w:rsidRDefault="00C82813" w:rsidP="004C0CE0">
      <w:pPr>
        <w:pStyle w:val="-0"/>
      </w:pPr>
      <w:bookmarkStart w:id="195" w:name="_Ref9844989"/>
      <w:bookmarkStart w:id="196" w:name="_Toc39606783"/>
      <w:bookmarkStart w:id="197" w:name="_Toc119584241"/>
      <w:r>
        <w:t xml:space="preserve">Рисунок </w:t>
      </w:r>
      <w:fldSimple w:instr=" SEQ Рисунок \* ARABIC ">
        <w:r w:rsidR="001860A9">
          <w:rPr>
            <w:noProof/>
          </w:rPr>
          <w:t>54</w:t>
        </w:r>
      </w:fldSimple>
      <w:bookmarkEnd w:id="195"/>
      <w:r>
        <w:t xml:space="preserve"> </w:t>
      </w:r>
      <w:r w:rsidR="004C0CE0">
        <w:t>–</w:t>
      </w:r>
      <w:r>
        <w:t xml:space="preserve"> </w:t>
      </w:r>
      <w:r>
        <w:rPr>
          <w:szCs w:val="28"/>
        </w:rPr>
        <w:t>С</w:t>
      </w:r>
      <w:r w:rsidRPr="007F42DB">
        <w:rPr>
          <w:szCs w:val="28"/>
        </w:rPr>
        <w:t>правка отчета</w:t>
      </w:r>
      <w:bookmarkEnd w:id="196"/>
      <w:bookmarkEnd w:id="197"/>
    </w:p>
    <w:p w:rsidR="00C82813" w:rsidRDefault="004C0CE0" w:rsidP="00E5016D">
      <w:pPr>
        <w:pStyle w:val="af0"/>
      </w:pPr>
      <w:r>
        <w:t>Справка содержит 2 вкладки «Источники данных» и «Описание отчета».</w:t>
      </w:r>
      <w:r w:rsidR="00E5016D">
        <w:t xml:space="preserve"> Вкладка «Источники данных» содержит описание источников информации и периодичности их обновления, вкладка «Описание отчета» - описание отчета, алгоритма его построения.</w:t>
      </w:r>
    </w:p>
    <w:p w:rsidR="00895636" w:rsidRDefault="00295CAC" w:rsidP="00895636">
      <w:pPr>
        <w:pStyle w:val="35"/>
      </w:pPr>
      <w:bookmarkStart w:id="198" w:name="_Toc119585065"/>
      <w:r>
        <w:t>Скачать (экспорт отчета)</w:t>
      </w:r>
      <w:bookmarkEnd w:id="198"/>
    </w:p>
    <w:p w:rsidR="00295CAC" w:rsidRPr="00295CAC" w:rsidRDefault="00295CAC" w:rsidP="00295CAC">
      <w:pPr>
        <w:pStyle w:val="af0"/>
      </w:pPr>
      <w:r>
        <w:t>Функция «Скачать</w:t>
      </w:r>
      <w:r w:rsidRPr="00DE6930">
        <w:t>» позволяет</w:t>
      </w:r>
      <w:r>
        <w:t xml:space="preserve"> скачать аналитический отчет в различные форматы. Кнопка, позволяющая вызвать данную функцию, представлена на рисунке</w:t>
      </w:r>
      <w:r w:rsidR="00DD1320">
        <w:t xml:space="preserve"> </w:t>
      </w:r>
      <w:r w:rsidR="00DD1320">
        <w:fldChar w:fldCharType="begin"/>
      </w:r>
      <w:r w:rsidR="00DD1320">
        <w:instrText xml:space="preserve"> REF _Ref69981191 \h </w:instrText>
      </w:r>
      <w:r w:rsidR="00DD1320">
        <w:fldChar w:fldCharType="separate"/>
      </w:r>
      <w:r w:rsidR="00BF0BEE">
        <w:rPr>
          <w:noProof/>
        </w:rPr>
        <w:t>55</w:t>
      </w:r>
      <w:r w:rsidR="00DD1320">
        <w:fldChar w:fldCharType="end"/>
      </w:r>
      <w:r>
        <w:t>.</w:t>
      </w:r>
    </w:p>
    <w:p w:rsidR="00DD1320" w:rsidRDefault="00024C95" w:rsidP="00DD1320">
      <w:pPr>
        <w:pStyle w:val="afffff7"/>
        <w:keepNext/>
      </w:pPr>
      <w:r>
        <w:rPr>
          <w:noProof/>
          <w:lang w:eastAsia="ru-RU"/>
        </w:rPr>
        <w:drawing>
          <wp:inline distT="0" distB="0" distL="0" distR="0" wp14:anchorId="31844B78" wp14:editId="3B50182E">
            <wp:extent cx="3314700" cy="16859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314700" cy="1685925"/>
                    </a:xfrm>
                    <a:prstGeom prst="rect">
                      <a:avLst/>
                    </a:prstGeom>
                  </pic:spPr>
                </pic:pic>
              </a:graphicData>
            </a:graphic>
          </wp:inline>
        </w:drawing>
      </w:r>
    </w:p>
    <w:p w:rsidR="00895636" w:rsidRDefault="00DD1320" w:rsidP="00DD1320">
      <w:pPr>
        <w:pStyle w:val="-0"/>
      </w:pPr>
      <w:bookmarkStart w:id="199" w:name="_Ref95208566"/>
      <w:bookmarkStart w:id="200" w:name="_Toc119584242"/>
      <w:r>
        <w:t xml:space="preserve">Рисунок </w:t>
      </w:r>
      <w:fldSimple w:instr=" SEQ Рисунок \* ARABIC ">
        <w:bookmarkStart w:id="201" w:name="_Ref69981191"/>
        <w:r w:rsidR="001860A9">
          <w:rPr>
            <w:noProof/>
          </w:rPr>
          <w:t>55</w:t>
        </w:r>
        <w:bookmarkEnd w:id="201"/>
      </w:fldSimple>
      <w:bookmarkEnd w:id="199"/>
      <w:r>
        <w:t xml:space="preserve"> – Кнопка «Скачать»</w:t>
      </w:r>
      <w:bookmarkEnd w:id="200"/>
    </w:p>
    <w:p w:rsidR="00295CAC" w:rsidRDefault="00295CAC" w:rsidP="00295CAC">
      <w:pPr>
        <w:pStyle w:val="af0"/>
      </w:pPr>
      <w:r>
        <w:t>Возможные форматы для экспорта отчета представлены на Рисунке</w:t>
      </w:r>
      <w:r w:rsidR="00DD1320">
        <w:t xml:space="preserve"> </w:t>
      </w:r>
      <w:r w:rsidR="00DD1320">
        <w:fldChar w:fldCharType="begin"/>
      </w:r>
      <w:r w:rsidR="00DD1320">
        <w:instrText xml:space="preserve"> REF _Ref69981239 \h </w:instrText>
      </w:r>
      <w:r w:rsidR="00DD1320">
        <w:fldChar w:fldCharType="separate"/>
      </w:r>
      <w:r w:rsidR="00BF0BEE">
        <w:rPr>
          <w:noProof/>
        </w:rPr>
        <w:t>56</w:t>
      </w:r>
      <w:r w:rsidR="00DD1320">
        <w:fldChar w:fldCharType="end"/>
      </w:r>
      <w:r>
        <w:t>.</w:t>
      </w:r>
    </w:p>
    <w:p w:rsidR="00DD1320" w:rsidRDefault="00024C95" w:rsidP="00DD1320">
      <w:pPr>
        <w:pStyle w:val="afffff7"/>
        <w:keepNext/>
      </w:pPr>
      <w:r>
        <w:rPr>
          <w:noProof/>
          <w:lang w:eastAsia="ru-RU"/>
        </w:rPr>
        <w:drawing>
          <wp:inline distT="0" distB="0" distL="0" distR="0" wp14:anchorId="0ABC7189" wp14:editId="7A5C398E">
            <wp:extent cx="2820202" cy="4632609"/>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2823640" cy="4638257"/>
                    </a:xfrm>
                    <a:prstGeom prst="rect">
                      <a:avLst/>
                    </a:prstGeom>
                  </pic:spPr>
                </pic:pic>
              </a:graphicData>
            </a:graphic>
          </wp:inline>
        </w:drawing>
      </w:r>
    </w:p>
    <w:p w:rsidR="00295CAC" w:rsidRDefault="00DD1320" w:rsidP="00DD1320">
      <w:pPr>
        <w:pStyle w:val="-0"/>
      </w:pPr>
      <w:bookmarkStart w:id="202" w:name="_Toc119584243"/>
      <w:r>
        <w:t xml:space="preserve">Рисунок </w:t>
      </w:r>
      <w:fldSimple w:instr=" SEQ Рисунок \* ARABIC ">
        <w:bookmarkStart w:id="203" w:name="_Ref69981239"/>
        <w:r w:rsidR="001860A9">
          <w:rPr>
            <w:noProof/>
          </w:rPr>
          <w:t>56</w:t>
        </w:r>
        <w:bookmarkEnd w:id="203"/>
      </w:fldSimple>
      <w:r>
        <w:t xml:space="preserve"> – Форматы экспорта отчета</w:t>
      </w:r>
      <w:bookmarkEnd w:id="202"/>
    </w:p>
    <w:p w:rsidR="00CE2B23" w:rsidRDefault="006D505F" w:rsidP="006D505F">
      <w:pPr>
        <w:pStyle w:val="af0"/>
      </w:pPr>
      <w:r w:rsidRPr="00E06755">
        <w:t xml:space="preserve">При </w:t>
      </w:r>
      <w:r w:rsidR="00CE2B23">
        <w:t>скачивании все запросы на выгрузку встают в очередь. Подробное описание очереди загрузок в п.</w:t>
      </w:r>
      <w:r w:rsidR="00CE2B23">
        <w:fldChar w:fldCharType="begin"/>
      </w:r>
      <w:r w:rsidR="00CE2B23">
        <w:instrText xml:space="preserve"> REF _Ref43632406 \n \h </w:instrText>
      </w:r>
      <w:r w:rsidR="00CE2B23">
        <w:fldChar w:fldCharType="separate"/>
      </w:r>
      <w:r w:rsidR="00BF0BEE">
        <w:t>5.9</w:t>
      </w:r>
      <w:r w:rsidR="00CE2B23">
        <w:fldChar w:fldCharType="end"/>
      </w:r>
      <w:r w:rsidR="00CE2B23">
        <w:t>.</w:t>
      </w:r>
    </w:p>
    <w:p w:rsidR="00E47BCC" w:rsidRDefault="00E47BCC" w:rsidP="006D505F">
      <w:pPr>
        <w:pStyle w:val="af0"/>
      </w:pPr>
      <w:r>
        <w:t>После скачивания отчета в правом нижнем углу экрана появляется информационное сообщение, говорящее о том, документ добавлен в очередь.</w:t>
      </w:r>
    </w:p>
    <w:p w:rsidR="00CF01B1" w:rsidRDefault="00003B46" w:rsidP="00CF01B1">
      <w:pPr>
        <w:pStyle w:val="afffff7"/>
        <w:keepNext/>
      </w:pPr>
      <w:r>
        <w:rPr>
          <w:noProof/>
          <w:lang w:eastAsia="ru-RU"/>
        </w:rPr>
        <w:drawing>
          <wp:inline distT="0" distB="0" distL="0" distR="0" wp14:anchorId="3F1903E8" wp14:editId="3DB7B6EB">
            <wp:extent cx="5939790" cy="2889280"/>
            <wp:effectExtent l="0" t="0" r="3810" b="6350"/>
            <wp:docPr id="5698" name="Рисунок 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939790" cy="2889280"/>
                    </a:xfrm>
                    <a:prstGeom prst="rect">
                      <a:avLst/>
                    </a:prstGeom>
                  </pic:spPr>
                </pic:pic>
              </a:graphicData>
            </a:graphic>
          </wp:inline>
        </w:drawing>
      </w:r>
    </w:p>
    <w:p w:rsidR="00E47BCC" w:rsidRDefault="00CF01B1" w:rsidP="00CF01B1">
      <w:pPr>
        <w:pStyle w:val="-0"/>
      </w:pPr>
      <w:bookmarkStart w:id="204" w:name="_Toc119584244"/>
      <w:r>
        <w:t xml:space="preserve">Рисунок </w:t>
      </w:r>
      <w:fldSimple w:instr=" SEQ Рисунок \* ARABIC ">
        <w:r w:rsidR="001860A9">
          <w:rPr>
            <w:noProof/>
          </w:rPr>
          <w:t>57</w:t>
        </w:r>
      </w:fldSimple>
      <w:r>
        <w:t xml:space="preserve"> – Информационное сообщение «Добавлен в очередь загрузки»</w:t>
      </w:r>
      <w:bookmarkEnd w:id="204"/>
    </w:p>
    <w:p w:rsidR="00C55BDD" w:rsidRDefault="00C55BDD" w:rsidP="00C55BDD">
      <w:pPr>
        <w:pStyle w:val="af0"/>
      </w:pPr>
      <w:r>
        <w:t xml:space="preserve">В окне информационного сообщения размещаются кнопки, позволяющие закрыть сообщение </w:t>
      </w:r>
      <w:r w:rsidR="00AB6C67">
        <w:rPr>
          <w:noProof/>
          <w:snapToGrid/>
        </w:rPr>
        <w:drawing>
          <wp:inline distT="0" distB="0" distL="0" distR="0" wp14:anchorId="4BF134D4" wp14:editId="7F849296">
            <wp:extent cx="333375" cy="29527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33375" cy="295275"/>
                    </a:xfrm>
                    <a:prstGeom prst="rect">
                      <a:avLst/>
                    </a:prstGeom>
                  </pic:spPr>
                </pic:pic>
              </a:graphicData>
            </a:graphic>
          </wp:inline>
        </w:drawing>
      </w:r>
      <w:r>
        <w:t>или перейти в очередь загрузок</w:t>
      </w:r>
      <w:r w:rsidR="00AB6C67">
        <w:t xml:space="preserve"> </w:t>
      </w:r>
      <w:r w:rsidR="00AB6C67">
        <w:rPr>
          <w:noProof/>
          <w:snapToGrid/>
        </w:rPr>
        <w:drawing>
          <wp:inline distT="0" distB="0" distL="0" distR="0" wp14:anchorId="1BF88213" wp14:editId="27A2D6DD">
            <wp:extent cx="314325" cy="27622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14325" cy="276225"/>
                    </a:xfrm>
                    <a:prstGeom prst="rect">
                      <a:avLst/>
                    </a:prstGeom>
                  </pic:spPr>
                </pic:pic>
              </a:graphicData>
            </a:graphic>
          </wp:inline>
        </w:drawing>
      </w:r>
      <w:r>
        <w:t>.</w:t>
      </w:r>
    </w:p>
    <w:p w:rsidR="00C55BDD" w:rsidRDefault="00C55BDD" w:rsidP="00C55BDD">
      <w:pPr>
        <w:pStyle w:val="af0"/>
      </w:pPr>
      <w:r>
        <w:t xml:space="preserve">По завершению формирования печатной формы документа в правом нижнем углу появляется соответствующее сообщение, содержащее наименование экспортированного отчета (Рисунок </w:t>
      </w:r>
      <w:r w:rsidR="00CF01B1">
        <w:fldChar w:fldCharType="begin"/>
      </w:r>
      <w:r w:rsidR="00CF01B1">
        <w:instrText xml:space="preserve"> REF _Ref69981366 \h </w:instrText>
      </w:r>
      <w:r w:rsidR="00CF01B1">
        <w:fldChar w:fldCharType="separate"/>
      </w:r>
      <w:r w:rsidR="00BF0BEE">
        <w:rPr>
          <w:noProof/>
        </w:rPr>
        <w:t>58</w:t>
      </w:r>
      <w:r w:rsidR="00CF01B1">
        <w:fldChar w:fldCharType="end"/>
      </w:r>
      <w:r>
        <w:t>).</w:t>
      </w:r>
    </w:p>
    <w:p w:rsidR="00CF01B1" w:rsidRDefault="00A73896" w:rsidP="00CF01B1">
      <w:pPr>
        <w:pStyle w:val="afffff7"/>
        <w:keepNext/>
      </w:pPr>
      <w:r>
        <w:rPr>
          <w:noProof/>
          <w:lang w:eastAsia="ru-RU"/>
        </w:rPr>
        <w:drawing>
          <wp:inline distT="0" distB="0" distL="0" distR="0" wp14:anchorId="2D19AC76" wp14:editId="4CF9EBFB">
            <wp:extent cx="5939790" cy="2889280"/>
            <wp:effectExtent l="0" t="0" r="3810" b="6350"/>
            <wp:docPr id="5699" name="Рисунок 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5939790" cy="2889280"/>
                    </a:xfrm>
                    <a:prstGeom prst="rect">
                      <a:avLst/>
                    </a:prstGeom>
                  </pic:spPr>
                </pic:pic>
              </a:graphicData>
            </a:graphic>
          </wp:inline>
        </w:drawing>
      </w:r>
    </w:p>
    <w:p w:rsidR="00C55BDD" w:rsidRDefault="00CF01B1" w:rsidP="00CF01B1">
      <w:pPr>
        <w:pStyle w:val="-0"/>
      </w:pPr>
      <w:bookmarkStart w:id="205" w:name="_Toc119584245"/>
      <w:r>
        <w:t xml:space="preserve">Рисунок </w:t>
      </w:r>
      <w:fldSimple w:instr=" SEQ Рисунок \* ARABIC ">
        <w:bookmarkStart w:id="206" w:name="_Ref69981366"/>
        <w:r w:rsidR="001860A9">
          <w:rPr>
            <w:noProof/>
          </w:rPr>
          <w:t>58</w:t>
        </w:r>
        <w:bookmarkEnd w:id="206"/>
      </w:fldSimple>
      <w:r>
        <w:t xml:space="preserve"> – Информационное сообщение о выполнении экспорта отчета</w:t>
      </w:r>
      <w:bookmarkEnd w:id="205"/>
    </w:p>
    <w:p w:rsidR="00C42534" w:rsidRDefault="00C42534" w:rsidP="00C42534">
      <w:pPr>
        <w:pStyle w:val="af0"/>
      </w:pPr>
      <w:r w:rsidRPr="00C42534">
        <w:t>В окне информационного сообщения</w:t>
      </w:r>
      <w:r>
        <w:t xml:space="preserve"> о выполнении экспорта размещаются функциональные </w:t>
      </w:r>
      <w:r w:rsidRPr="00C42534">
        <w:t xml:space="preserve">кнопки, позволяющие </w:t>
      </w:r>
      <w:r>
        <w:t>скачать сформированный документ</w:t>
      </w:r>
      <w:r w:rsidR="004B7243">
        <w:t xml:space="preserve"> </w:t>
      </w:r>
      <w:r w:rsidR="004B7243">
        <w:rPr>
          <w:noProof/>
          <w:snapToGrid/>
        </w:rPr>
        <w:drawing>
          <wp:inline distT="0" distB="0" distL="0" distR="0" wp14:anchorId="2ADED01B" wp14:editId="40E26012">
            <wp:extent cx="304800" cy="3238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04800" cy="323850"/>
                    </a:xfrm>
                    <a:prstGeom prst="rect">
                      <a:avLst/>
                    </a:prstGeom>
                  </pic:spPr>
                </pic:pic>
              </a:graphicData>
            </a:graphic>
          </wp:inline>
        </w:drawing>
      </w:r>
      <w:r>
        <w:t xml:space="preserve">, </w:t>
      </w:r>
      <w:r w:rsidRPr="00C42534">
        <w:t>перейти в очередь загрузок</w:t>
      </w:r>
      <w:r w:rsidR="004B7243">
        <w:t xml:space="preserve"> </w:t>
      </w:r>
      <w:r w:rsidR="004B7243">
        <w:rPr>
          <w:noProof/>
          <w:snapToGrid/>
        </w:rPr>
        <w:drawing>
          <wp:inline distT="0" distB="0" distL="0" distR="0" wp14:anchorId="478C5839" wp14:editId="6E2159B2">
            <wp:extent cx="314325" cy="276225"/>
            <wp:effectExtent l="0" t="0" r="952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14325" cy="276225"/>
                    </a:xfrm>
                    <a:prstGeom prst="rect">
                      <a:avLst/>
                    </a:prstGeom>
                  </pic:spPr>
                </pic:pic>
              </a:graphicData>
            </a:graphic>
          </wp:inline>
        </w:drawing>
      </w:r>
      <w:r>
        <w:t xml:space="preserve"> или закрыть сообщение</w:t>
      </w:r>
      <w:r w:rsidR="004B7243">
        <w:t xml:space="preserve"> </w:t>
      </w:r>
      <w:r w:rsidR="004B7243">
        <w:rPr>
          <w:noProof/>
          <w:snapToGrid/>
        </w:rPr>
        <w:drawing>
          <wp:inline distT="0" distB="0" distL="0" distR="0" wp14:anchorId="107AFD73" wp14:editId="5959DAF3">
            <wp:extent cx="333375" cy="29527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33375" cy="295275"/>
                    </a:xfrm>
                    <a:prstGeom prst="rect">
                      <a:avLst/>
                    </a:prstGeom>
                  </pic:spPr>
                </pic:pic>
              </a:graphicData>
            </a:graphic>
          </wp:inline>
        </w:drawing>
      </w:r>
      <w:r>
        <w:t>.</w:t>
      </w:r>
    </w:p>
    <w:p w:rsidR="00B819C6" w:rsidRDefault="00B819C6" w:rsidP="00B819C6">
      <w:pPr>
        <w:pStyle w:val="35"/>
      </w:pPr>
      <w:bookmarkStart w:id="207" w:name="_Ref96259160"/>
      <w:bookmarkStart w:id="208" w:name="_Toc119585066"/>
      <w:r>
        <w:t>Панель фильтров и параметров</w:t>
      </w:r>
      <w:bookmarkEnd w:id="207"/>
      <w:bookmarkEnd w:id="208"/>
    </w:p>
    <w:p w:rsidR="002E255B" w:rsidRDefault="002E255B" w:rsidP="002E255B">
      <w:pPr>
        <w:pStyle w:val="af0"/>
      </w:pPr>
      <w:r>
        <w:t>Функция «Панель фильтров и параметров</w:t>
      </w:r>
      <w:r w:rsidRPr="00DE6930">
        <w:t xml:space="preserve">» </w:t>
      </w:r>
      <w:r w:rsidR="00C066DC">
        <w:t>задать значения предусмотренных визуальных фильтров</w:t>
      </w:r>
      <w:r>
        <w:t>. Кнопка, позволяющая вызвать данную функцию, представлена на рисунке</w:t>
      </w:r>
      <w:r w:rsidR="00C066DC">
        <w:t xml:space="preserve"> </w:t>
      </w:r>
      <w:r w:rsidR="00C066DC">
        <w:fldChar w:fldCharType="begin"/>
      </w:r>
      <w:r w:rsidR="00C066DC">
        <w:instrText xml:space="preserve"> REF _Ref96255222 \h </w:instrText>
      </w:r>
      <w:r w:rsidR="00C066DC">
        <w:fldChar w:fldCharType="separate"/>
      </w:r>
      <w:r w:rsidR="00BF0BEE">
        <w:rPr>
          <w:noProof/>
        </w:rPr>
        <w:t>59</w:t>
      </w:r>
      <w:r w:rsidR="00C066DC">
        <w:fldChar w:fldCharType="end"/>
      </w:r>
      <w:r w:rsidR="00C066DC">
        <w:t>.</w:t>
      </w:r>
    </w:p>
    <w:p w:rsidR="00C066DC" w:rsidRDefault="00C066DC" w:rsidP="00C066DC">
      <w:pPr>
        <w:pStyle w:val="-0"/>
        <w:keepNext/>
      </w:pPr>
      <w:r>
        <w:rPr>
          <w:noProof/>
          <w:snapToGrid/>
        </w:rPr>
        <w:drawing>
          <wp:inline distT="0" distB="0" distL="0" distR="0" wp14:anchorId="673182A1" wp14:editId="716D38F8">
            <wp:extent cx="2552700" cy="76200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552700" cy="762000"/>
                    </a:xfrm>
                    <a:prstGeom prst="rect">
                      <a:avLst/>
                    </a:prstGeom>
                  </pic:spPr>
                </pic:pic>
              </a:graphicData>
            </a:graphic>
          </wp:inline>
        </w:drawing>
      </w:r>
    </w:p>
    <w:p w:rsidR="00C066DC" w:rsidRDefault="00C066DC" w:rsidP="002B351B">
      <w:pPr>
        <w:pStyle w:val="-0"/>
      </w:pPr>
      <w:bookmarkStart w:id="209" w:name="_Toc119584246"/>
      <w:r>
        <w:t xml:space="preserve">Рисунок </w:t>
      </w:r>
      <w:fldSimple w:instr=" SEQ Рисунок \* ARABIC ">
        <w:bookmarkStart w:id="210" w:name="_Ref96255222"/>
        <w:r w:rsidR="001860A9">
          <w:rPr>
            <w:noProof/>
          </w:rPr>
          <w:t>59</w:t>
        </w:r>
        <w:bookmarkEnd w:id="210"/>
      </w:fldSimple>
      <w:r>
        <w:t xml:space="preserve"> – Кнопка «Панель фильтров и параметров»</w:t>
      </w:r>
      <w:bookmarkEnd w:id="209"/>
    </w:p>
    <w:p w:rsidR="00C066DC" w:rsidRDefault="000F5274" w:rsidP="00C066DC">
      <w:pPr>
        <w:pStyle w:val="af0"/>
      </w:pPr>
      <w:r>
        <w:t xml:space="preserve">При нажатии на кнопку «Панель фильтров и параметров» открывается панель «Фильтры и параметры». Панель содержит представление «Основные» и представление «Дополнительные». Панель «Параметры и фильтры» - «Основные» представлена на рисунке </w:t>
      </w:r>
      <w:r>
        <w:fldChar w:fldCharType="begin"/>
      </w:r>
      <w:r>
        <w:instrText xml:space="preserve"> REF _Ref96255375 \h </w:instrText>
      </w:r>
      <w:r>
        <w:fldChar w:fldCharType="separate"/>
      </w:r>
      <w:r w:rsidR="00BF0BEE">
        <w:rPr>
          <w:noProof/>
        </w:rPr>
        <w:t>60</w:t>
      </w:r>
      <w:r>
        <w:fldChar w:fldCharType="end"/>
      </w:r>
      <w:r>
        <w:t>.</w:t>
      </w:r>
    </w:p>
    <w:p w:rsidR="000F5274" w:rsidRDefault="000F5274" w:rsidP="000F5274">
      <w:pPr>
        <w:pStyle w:val="-0"/>
        <w:keepNext/>
      </w:pPr>
      <w:r>
        <w:rPr>
          <w:noProof/>
          <w:snapToGrid/>
        </w:rPr>
        <w:drawing>
          <wp:inline distT="0" distB="0" distL="0" distR="0" wp14:anchorId="062F842C" wp14:editId="67EE4C0C">
            <wp:extent cx="5939790" cy="2685136"/>
            <wp:effectExtent l="0" t="0" r="3810" b="127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939790" cy="2685136"/>
                    </a:xfrm>
                    <a:prstGeom prst="rect">
                      <a:avLst/>
                    </a:prstGeom>
                  </pic:spPr>
                </pic:pic>
              </a:graphicData>
            </a:graphic>
          </wp:inline>
        </w:drawing>
      </w:r>
    </w:p>
    <w:p w:rsidR="000F5274" w:rsidRDefault="000F5274" w:rsidP="002B351B">
      <w:pPr>
        <w:pStyle w:val="-0"/>
      </w:pPr>
      <w:bookmarkStart w:id="211" w:name="_Toc119584247"/>
      <w:r>
        <w:t xml:space="preserve">Рисунок </w:t>
      </w:r>
      <w:fldSimple w:instr=" SEQ Рисунок \* ARABIC ">
        <w:bookmarkStart w:id="212" w:name="_Ref96255375"/>
        <w:r w:rsidR="001860A9">
          <w:rPr>
            <w:noProof/>
          </w:rPr>
          <w:t>60</w:t>
        </w:r>
        <w:bookmarkEnd w:id="212"/>
      </w:fldSimple>
      <w:r>
        <w:t xml:space="preserve"> – Панель «Фильтры и параметры» - «Основные»</w:t>
      </w:r>
      <w:bookmarkEnd w:id="211"/>
    </w:p>
    <w:p w:rsidR="00EF1C0A" w:rsidRDefault="002B351B" w:rsidP="002B351B">
      <w:pPr>
        <w:pStyle w:val="af0"/>
      </w:pPr>
      <w:r>
        <w:t xml:space="preserve">Панель «Параметры и фильтры» - «Дополнительные» представлена на рисунке </w:t>
      </w:r>
      <w:r>
        <w:fldChar w:fldCharType="begin"/>
      </w:r>
      <w:r>
        <w:instrText xml:space="preserve"> REF _Ref96256128 \h </w:instrText>
      </w:r>
      <w:r>
        <w:fldChar w:fldCharType="separate"/>
      </w:r>
      <w:r w:rsidR="00BF0BEE">
        <w:rPr>
          <w:noProof/>
        </w:rPr>
        <w:t>61</w:t>
      </w:r>
      <w:r>
        <w:fldChar w:fldCharType="end"/>
      </w:r>
      <w:r>
        <w:t>.</w:t>
      </w:r>
    </w:p>
    <w:p w:rsidR="002B351B" w:rsidRDefault="002B351B" w:rsidP="002B351B">
      <w:pPr>
        <w:pStyle w:val="-0"/>
      </w:pPr>
      <w:r>
        <w:rPr>
          <w:noProof/>
          <w:snapToGrid/>
        </w:rPr>
        <w:drawing>
          <wp:inline distT="0" distB="0" distL="0" distR="0" wp14:anchorId="3BE84DD0" wp14:editId="59FDFC27">
            <wp:extent cx="5939790" cy="2658775"/>
            <wp:effectExtent l="0" t="0" r="3810" b="825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5939790" cy="2658775"/>
                    </a:xfrm>
                    <a:prstGeom prst="rect">
                      <a:avLst/>
                    </a:prstGeom>
                  </pic:spPr>
                </pic:pic>
              </a:graphicData>
            </a:graphic>
          </wp:inline>
        </w:drawing>
      </w:r>
    </w:p>
    <w:p w:rsidR="002B351B" w:rsidRDefault="002B351B" w:rsidP="002B351B">
      <w:pPr>
        <w:pStyle w:val="-0"/>
      </w:pPr>
      <w:bookmarkStart w:id="213" w:name="_Toc119584248"/>
      <w:r>
        <w:t xml:space="preserve">Рисунок </w:t>
      </w:r>
      <w:fldSimple w:instr=" SEQ Рисунок \* ARABIC ">
        <w:bookmarkStart w:id="214" w:name="_Ref96256128"/>
        <w:r w:rsidR="001860A9">
          <w:rPr>
            <w:noProof/>
          </w:rPr>
          <w:t>61</w:t>
        </w:r>
        <w:bookmarkEnd w:id="214"/>
      </w:fldSimple>
      <w:r>
        <w:t xml:space="preserve"> – Панель «Фильтры и параметры» - «Дополнительные»</w:t>
      </w:r>
      <w:bookmarkEnd w:id="213"/>
    </w:p>
    <w:p w:rsidR="00705849" w:rsidRPr="009814B5" w:rsidRDefault="0009288D" w:rsidP="009814B5">
      <w:pPr>
        <w:pStyle w:val="af0"/>
        <w:rPr>
          <w:rFonts w:eastAsia="Calibri"/>
        </w:rPr>
      </w:pPr>
      <w:r w:rsidRPr="009814B5">
        <w:t xml:space="preserve">В нижней часьти панели </w:t>
      </w:r>
      <w:r w:rsidR="00705849" w:rsidRPr="009814B5">
        <w:t>«Фильтры и параметры»</w:t>
      </w:r>
      <w:r w:rsidRPr="009814B5">
        <w:t xml:space="preserve"> распалагаются функциональные кнопки, которые позволяют применить </w:t>
      </w:r>
      <w:r w:rsidR="00705849" w:rsidRPr="009814B5">
        <w:rPr>
          <w:noProof/>
        </w:rPr>
        <w:drawing>
          <wp:inline distT="0" distB="0" distL="0" distR="0" wp14:anchorId="7FBF4AF7" wp14:editId="68ABEE06">
            <wp:extent cx="1266825" cy="342900"/>
            <wp:effectExtent l="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1266825" cy="342900"/>
                    </a:xfrm>
                    <a:prstGeom prst="rect">
                      <a:avLst/>
                    </a:prstGeom>
                  </pic:spPr>
                </pic:pic>
              </a:graphicData>
            </a:graphic>
          </wp:inline>
        </w:drawing>
      </w:r>
      <w:r w:rsidR="009814B5" w:rsidRPr="009814B5">
        <w:t xml:space="preserve"> в</w:t>
      </w:r>
      <w:r w:rsidR="00705849" w:rsidRPr="009814B5">
        <w:t xml:space="preserve">ыбранные значения визуальных фильтров, </w:t>
      </w:r>
      <w:r w:rsidR="009814B5" w:rsidRPr="009814B5">
        <w:t xml:space="preserve">сбросить </w:t>
      </w:r>
      <w:r w:rsidR="009814B5" w:rsidRPr="009814B5">
        <w:rPr>
          <w:noProof/>
        </w:rPr>
        <w:drawing>
          <wp:inline distT="0" distB="0" distL="0" distR="0" wp14:anchorId="26D7459B" wp14:editId="2B961497">
            <wp:extent cx="742950" cy="29527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742950" cy="295275"/>
                    </a:xfrm>
                    <a:prstGeom prst="rect">
                      <a:avLst/>
                    </a:prstGeom>
                  </pic:spPr>
                </pic:pic>
              </a:graphicData>
            </a:graphic>
          </wp:inline>
        </w:drawing>
      </w:r>
      <w:r w:rsidR="009814B5" w:rsidRPr="009814B5">
        <w:t xml:space="preserve"> </w:t>
      </w:r>
      <w:r w:rsidR="00705849" w:rsidRPr="009814B5">
        <w:rPr>
          <w:rFonts w:eastAsia="Calibri"/>
        </w:rPr>
        <w:t xml:space="preserve">все значения </w:t>
      </w:r>
      <w:r w:rsidR="009814B5" w:rsidRPr="009814B5">
        <w:rPr>
          <w:rFonts w:eastAsia="Calibri"/>
        </w:rPr>
        <w:t xml:space="preserve">визуальных </w:t>
      </w:r>
      <w:r w:rsidR="00705849" w:rsidRPr="009814B5">
        <w:rPr>
          <w:rFonts w:eastAsia="Calibri"/>
        </w:rPr>
        <w:t>фильтров до значений, установленных по умолчанию</w:t>
      </w:r>
      <w:r w:rsidR="009814B5" w:rsidRPr="009814B5">
        <w:t>. П</w:t>
      </w:r>
      <w:r w:rsidR="00705849" w:rsidRPr="009814B5">
        <w:rPr>
          <w:rFonts w:eastAsia="Calibri"/>
        </w:rPr>
        <w:t xml:space="preserve">ри установлении нескольких фильтров </w:t>
      </w:r>
      <w:r w:rsidR="009814B5" w:rsidRPr="009814B5">
        <w:rPr>
          <w:rFonts w:eastAsia="Calibri"/>
        </w:rPr>
        <w:t>предусмотрена</w:t>
      </w:r>
      <w:r w:rsidR="00705849" w:rsidRPr="009814B5">
        <w:rPr>
          <w:rFonts w:eastAsia="Calibri"/>
        </w:rPr>
        <w:t xml:space="preserve"> возможность выбора режима применения нескольких фильтров «И» или «ИЛИ»</w:t>
      </w:r>
      <w:r w:rsidR="009814B5" w:rsidRPr="009814B5">
        <w:rPr>
          <w:rFonts w:eastAsia="Calibri"/>
        </w:rPr>
        <w:t xml:space="preserve"> </w:t>
      </w:r>
      <w:r w:rsidR="009814B5" w:rsidRPr="009814B5">
        <w:rPr>
          <w:noProof/>
        </w:rPr>
        <w:drawing>
          <wp:inline distT="0" distB="0" distL="0" distR="0" wp14:anchorId="37A0B10F" wp14:editId="2AB55BE0">
            <wp:extent cx="666750" cy="295275"/>
            <wp:effectExtent l="0" t="0" r="0"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666750" cy="295275"/>
                    </a:xfrm>
                    <a:prstGeom prst="rect">
                      <a:avLst/>
                    </a:prstGeom>
                  </pic:spPr>
                </pic:pic>
              </a:graphicData>
            </a:graphic>
          </wp:inline>
        </w:drawing>
      </w:r>
      <w:r w:rsidR="00705849" w:rsidRPr="009814B5">
        <w:rPr>
          <w:rFonts w:eastAsia="Calibri"/>
        </w:rPr>
        <w:t>. По умолчанию применя</w:t>
      </w:r>
      <w:r w:rsidR="009814B5" w:rsidRPr="009814B5">
        <w:rPr>
          <w:rFonts w:eastAsia="Calibri"/>
        </w:rPr>
        <w:t>е</w:t>
      </w:r>
      <w:r w:rsidR="00705849" w:rsidRPr="009814B5">
        <w:rPr>
          <w:rFonts w:eastAsia="Calibri"/>
        </w:rPr>
        <w:t>тся режим «И»;</w:t>
      </w:r>
    </w:p>
    <w:p w:rsidR="003C06B9" w:rsidRDefault="003C06B9" w:rsidP="003A1C61">
      <w:pPr>
        <w:pStyle w:val="af0"/>
      </w:pPr>
      <w:r>
        <w:t>Визуальн</w:t>
      </w:r>
      <w:r w:rsidR="00D11AD8">
        <w:t>ый</w:t>
      </w:r>
      <w:r>
        <w:t xml:space="preserve"> фильтр может быть множественным или единичным. </w:t>
      </w:r>
      <w:r w:rsidR="00D11AD8">
        <w:t>Значения м</w:t>
      </w:r>
      <w:r>
        <w:t>ножественн</w:t>
      </w:r>
      <w:r w:rsidR="00D11AD8">
        <w:t>ого</w:t>
      </w:r>
      <w:r>
        <w:t xml:space="preserve"> </w:t>
      </w:r>
      <w:r w:rsidR="00D11AD8">
        <w:t xml:space="preserve">визуального фильтра имеют чек-бокс и </w:t>
      </w:r>
      <w:r w:rsidR="0099298E">
        <w:t>представлен</w:t>
      </w:r>
      <w:r w:rsidR="00D11AD8">
        <w:t>ы</w:t>
      </w:r>
      <w:r w:rsidR="0099298E">
        <w:t xml:space="preserve"> на рисунке </w:t>
      </w:r>
      <w:r w:rsidR="0099298E">
        <w:fldChar w:fldCharType="begin"/>
      </w:r>
      <w:r w:rsidR="0099298E">
        <w:instrText xml:space="preserve"> REF _Ref96256747 \h </w:instrText>
      </w:r>
      <w:r w:rsidR="0099298E">
        <w:fldChar w:fldCharType="separate"/>
      </w:r>
      <w:r w:rsidR="00BF0BEE">
        <w:rPr>
          <w:noProof/>
        </w:rPr>
        <w:t>62</w:t>
      </w:r>
      <w:r w:rsidR="0099298E">
        <w:fldChar w:fldCharType="end"/>
      </w:r>
      <w:r w:rsidR="0099298E">
        <w:t>.</w:t>
      </w:r>
    </w:p>
    <w:p w:rsidR="0099298E" w:rsidRDefault="0099298E" w:rsidP="0099298E">
      <w:pPr>
        <w:pStyle w:val="-0"/>
        <w:keepNext/>
      </w:pPr>
      <w:r>
        <w:rPr>
          <w:noProof/>
          <w:snapToGrid/>
        </w:rPr>
        <w:drawing>
          <wp:inline distT="0" distB="0" distL="0" distR="0" wp14:anchorId="0A926889" wp14:editId="2DC1002D">
            <wp:extent cx="3790950" cy="582930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790950" cy="5829300"/>
                    </a:xfrm>
                    <a:prstGeom prst="rect">
                      <a:avLst/>
                    </a:prstGeom>
                  </pic:spPr>
                </pic:pic>
              </a:graphicData>
            </a:graphic>
          </wp:inline>
        </w:drawing>
      </w:r>
    </w:p>
    <w:p w:rsidR="0099298E" w:rsidRDefault="0099298E" w:rsidP="0099298E">
      <w:pPr>
        <w:pStyle w:val="-0"/>
      </w:pPr>
      <w:bookmarkStart w:id="215" w:name="_Toc119584249"/>
      <w:r>
        <w:t xml:space="preserve">Рисунок </w:t>
      </w:r>
      <w:fldSimple w:instr=" SEQ Рисунок \* ARABIC ">
        <w:bookmarkStart w:id="216" w:name="_Ref96256747"/>
        <w:r w:rsidR="001860A9">
          <w:rPr>
            <w:noProof/>
          </w:rPr>
          <w:t>62</w:t>
        </w:r>
        <w:bookmarkEnd w:id="216"/>
      </w:fldSimple>
      <w:r>
        <w:t xml:space="preserve"> –</w:t>
      </w:r>
      <w:r w:rsidR="00D11AD8">
        <w:t xml:space="preserve"> М</w:t>
      </w:r>
      <w:r>
        <w:t>ножественн</w:t>
      </w:r>
      <w:r w:rsidR="00D11AD8">
        <w:t>ый</w:t>
      </w:r>
      <w:r>
        <w:t xml:space="preserve"> </w:t>
      </w:r>
      <w:r w:rsidR="00D11AD8">
        <w:t>визуальный</w:t>
      </w:r>
      <w:r>
        <w:t xml:space="preserve"> фильтр</w:t>
      </w:r>
      <w:bookmarkEnd w:id="215"/>
    </w:p>
    <w:p w:rsidR="003A1C61" w:rsidRDefault="00D11AD8" w:rsidP="0053140D">
      <w:pPr>
        <w:pStyle w:val="af0"/>
      </w:pPr>
      <w:r>
        <w:t xml:space="preserve">Значения единичного визуального фильтра представлены на рисунке </w:t>
      </w:r>
      <w:r w:rsidR="0053140D">
        <w:fldChar w:fldCharType="begin"/>
      </w:r>
      <w:r w:rsidR="0053140D">
        <w:instrText xml:space="preserve"> REF _Ref96257159 \h </w:instrText>
      </w:r>
      <w:r w:rsidR="0053140D">
        <w:fldChar w:fldCharType="separate"/>
      </w:r>
      <w:r w:rsidR="00BF0BEE">
        <w:rPr>
          <w:noProof/>
        </w:rPr>
        <w:t>63</w:t>
      </w:r>
      <w:r w:rsidR="0053140D">
        <w:fldChar w:fldCharType="end"/>
      </w:r>
      <w:r w:rsidR="0053140D">
        <w:t>.</w:t>
      </w:r>
    </w:p>
    <w:p w:rsidR="0053140D" w:rsidRDefault="0053140D" w:rsidP="0053140D">
      <w:pPr>
        <w:pStyle w:val="-0"/>
      </w:pPr>
      <w:r>
        <w:rPr>
          <w:noProof/>
          <w:snapToGrid/>
        </w:rPr>
        <w:drawing>
          <wp:inline distT="0" distB="0" distL="0" distR="0" wp14:anchorId="60307EDC" wp14:editId="3F7FA6D2">
            <wp:extent cx="3790950" cy="584835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790950" cy="5848350"/>
                    </a:xfrm>
                    <a:prstGeom prst="rect">
                      <a:avLst/>
                    </a:prstGeom>
                  </pic:spPr>
                </pic:pic>
              </a:graphicData>
            </a:graphic>
          </wp:inline>
        </w:drawing>
      </w:r>
    </w:p>
    <w:p w:rsidR="0053140D" w:rsidRDefault="0053140D" w:rsidP="0053140D">
      <w:pPr>
        <w:pStyle w:val="-0"/>
      </w:pPr>
      <w:bookmarkStart w:id="217" w:name="_Toc119584250"/>
      <w:r>
        <w:t xml:space="preserve">Рисунок </w:t>
      </w:r>
      <w:fldSimple w:instr=" SEQ Рисунок \* ARABIC ">
        <w:bookmarkStart w:id="218" w:name="_Ref96257159"/>
        <w:r w:rsidR="001860A9">
          <w:rPr>
            <w:noProof/>
          </w:rPr>
          <w:t>63</w:t>
        </w:r>
        <w:bookmarkEnd w:id="218"/>
      </w:fldSimple>
      <w:r w:rsidR="00D11AD8">
        <w:t xml:space="preserve"> – Единичный визуальный фильтр</w:t>
      </w:r>
      <w:bookmarkEnd w:id="217"/>
    </w:p>
    <w:p w:rsidR="004C30D1" w:rsidRDefault="004C30D1" w:rsidP="004C30D1">
      <w:pPr>
        <w:pStyle w:val="af0"/>
      </w:pPr>
      <w:r>
        <w:t>В нижней часьт</w:t>
      </w:r>
      <w:r w:rsidR="0009288D">
        <w:t>и</w:t>
      </w:r>
      <w:r>
        <w:t xml:space="preserve"> панели визуального фильтра распалагаются функциональные кнопки, которые позволяют применить </w:t>
      </w:r>
      <w:r>
        <w:rPr>
          <w:noProof/>
          <w:snapToGrid/>
        </w:rPr>
        <w:drawing>
          <wp:inline distT="0" distB="0" distL="0" distR="0" wp14:anchorId="1F2FAB85" wp14:editId="02D3D002">
            <wp:extent cx="800100" cy="27622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800100" cy="276225"/>
                    </a:xfrm>
                    <a:prstGeom prst="rect">
                      <a:avLst/>
                    </a:prstGeom>
                  </pic:spPr>
                </pic:pic>
              </a:graphicData>
            </a:graphic>
          </wp:inline>
        </w:drawing>
      </w:r>
      <w:r>
        <w:t xml:space="preserve"> или сбросить</w:t>
      </w:r>
      <w:r w:rsidR="00D225FB">
        <w:t xml:space="preserve"> </w:t>
      </w:r>
      <w:r w:rsidR="00D225FB">
        <w:rPr>
          <w:noProof/>
          <w:snapToGrid/>
        </w:rPr>
        <w:drawing>
          <wp:inline distT="0" distB="0" distL="0" distR="0" wp14:anchorId="12DF832B" wp14:editId="23B7C312">
            <wp:extent cx="742950" cy="2952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742950" cy="295275"/>
                    </a:xfrm>
                    <a:prstGeom prst="rect">
                      <a:avLst/>
                    </a:prstGeom>
                  </pic:spPr>
                </pic:pic>
              </a:graphicData>
            </a:graphic>
          </wp:inline>
        </w:drawing>
      </w:r>
      <w:r>
        <w:t xml:space="preserve"> выбранное значение</w:t>
      </w:r>
      <w:r w:rsidR="00D225FB">
        <w:t xml:space="preserve">, а также вернуться </w:t>
      </w:r>
      <w:r w:rsidR="00D225FB">
        <w:rPr>
          <w:noProof/>
          <w:snapToGrid/>
        </w:rPr>
        <w:drawing>
          <wp:inline distT="0" distB="0" distL="0" distR="0" wp14:anchorId="5BC347BA" wp14:editId="6DA3A1A1">
            <wp:extent cx="581025" cy="304800"/>
            <wp:effectExtent l="0" t="0" r="952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81025" cy="304800"/>
                    </a:xfrm>
                    <a:prstGeom prst="rect">
                      <a:avLst/>
                    </a:prstGeom>
                  </pic:spPr>
                </pic:pic>
              </a:graphicData>
            </a:graphic>
          </wp:inline>
        </w:drawing>
      </w:r>
      <w:r w:rsidR="00D225FB">
        <w:t xml:space="preserve"> к списку визуальных фильтров.</w:t>
      </w:r>
    </w:p>
    <w:p w:rsidR="00D90944" w:rsidRPr="00206C4C" w:rsidRDefault="00D90944" w:rsidP="00D90944">
      <w:pPr>
        <w:pStyle w:val="14"/>
      </w:pPr>
      <w:bookmarkStart w:id="219" w:name="_Toc69290108"/>
      <w:bookmarkStart w:id="220" w:name="_Toc119585067"/>
      <w:bookmarkEnd w:id="144"/>
      <w:r w:rsidRPr="00206C4C">
        <w:t>Описание витрин Подсистемы</w:t>
      </w:r>
      <w:bookmarkEnd w:id="219"/>
      <w:bookmarkEnd w:id="220"/>
    </w:p>
    <w:p w:rsidR="00D90944" w:rsidRPr="00206C4C" w:rsidRDefault="00D90944" w:rsidP="00D90944">
      <w:pPr>
        <w:pStyle w:val="af0"/>
        <w:rPr>
          <w:rFonts w:eastAsia="Calibri"/>
        </w:rPr>
      </w:pPr>
      <w:r w:rsidRPr="00206C4C">
        <w:rPr>
          <w:rFonts w:eastAsia="Calibri"/>
        </w:rPr>
        <w:t>В Подсистеме настроен ряд витрин, содержащих аналитические отчеты, построенные на основе информации, хранящейся в централизованном хра</w:t>
      </w:r>
      <w:r>
        <w:rPr>
          <w:rFonts w:eastAsia="Calibri"/>
        </w:rPr>
        <w:t>нилище данных Подсистемы. Группировка отчетов по витринам выполнена на основе предметной области.</w:t>
      </w:r>
    </w:p>
    <w:p w:rsidR="00D90944" w:rsidRPr="00206C4C" w:rsidRDefault="00D90944" w:rsidP="00D90944">
      <w:pPr>
        <w:pStyle w:val="af0"/>
        <w:rPr>
          <w:rStyle w:val="affff4"/>
          <w:rFonts w:eastAsia="Calibri"/>
          <w:sz w:val="28"/>
          <w:lang w:eastAsia="ru-RU"/>
        </w:rPr>
      </w:pPr>
      <w:r w:rsidRPr="00206C4C">
        <w:rPr>
          <w:rFonts w:eastAsia="Calibri"/>
        </w:rPr>
        <w:t>Перечень преднастроенных витрин Подсистемы:</w:t>
      </w:r>
    </w:p>
    <w:p w:rsidR="00D90944" w:rsidRPr="00206C4C" w:rsidRDefault="00F70F9A" w:rsidP="00DE1661">
      <w:pPr>
        <w:pStyle w:val="13"/>
        <w:rPr>
          <w:rFonts w:eastAsia="Calibri"/>
        </w:rPr>
      </w:pPr>
      <w:r>
        <w:rPr>
          <w:rFonts w:eastAsia="Calibri"/>
        </w:rPr>
        <w:t>к</w:t>
      </w:r>
      <w:r w:rsidR="00D90944" w:rsidRPr="00206C4C">
        <w:rPr>
          <w:rFonts w:eastAsia="Calibri"/>
        </w:rPr>
        <w:t>ассовое планирование и прогнозирование исполнения федерального бюджета;</w:t>
      </w:r>
    </w:p>
    <w:p w:rsidR="00D90944" w:rsidRPr="00990BEB" w:rsidRDefault="00F70F9A" w:rsidP="00DE1661">
      <w:pPr>
        <w:pStyle w:val="13"/>
        <w:rPr>
          <w:rFonts w:eastAsia="Calibri"/>
        </w:rPr>
      </w:pPr>
      <w:r>
        <w:t>и</w:t>
      </w:r>
      <w:r w:rsidR="00D90944">
        <w:t>сполнение бюджетов бюджетной системы Российской Федерации</w:t>
      </w:r>
      <w:r w:rsidR="00D90944" w:rsidRPr="00206C4C">
        <w:t>;</w:t>
      </w:r>
    </w:p>
    <w:p w:rsidR="00D90944" w:rsidRPr="00206C4C" w:rsidRDefault="00F70F9A" w:rsidP="00DE1661">
      <w:pPr>
        <w:pStyle w:val="13"/>
        <w:rPr>
          <w:rFonts w:eastAsia="Calibri"/>
        </w:rPr>
      </w:pPr>
      <w:r>
        <w:t>н</w:t>
      </w:r>
      <w:r w:rsidR="00D90944">
        <w:t>ациональные (федеральные) проекты и государственные программы</w:t>
      </w:r>
    </w:p>
    <w:p w:rsidR="00D90944" w:rsidRPr="00206C4C" w:rsidRDefault="00F70F9A" w:rsidP="00DE1661">
      <w:pPr>
        <w:pStyle w:val="13"/>
        <w:rPr>
          <w:rFonts w:eastAsia="Calibri"/>
        </w:rPr>
      </w:pPr>
      <w:r>
        <w:t>в</w:t>
      </w:r>
      <w:r w:rsidR="00D90944" w:rsidRPr="00206C4C">
        <w:t>едение перечней и реестров;</w:t>
      </w:r>
    </w:p>
    <w:p w:rsidR="00D90944" w:rsidRPr="00206C4C" w:rsidRDefault="00F70F9A" w:rsidP="00DE1661">
      <w:pPr>
        <w:pStyle w:val="13"/>
        <w:rPr>
          <w:rFonts w:eastAsia="Calibri"/>
        </w:rPr>
      </w:pPr>
      <w:r>
        <w:t>а</w:t>
      </w:r>
      <w:r w:rsidR="00D90944" w:rsidRPr="00206C4C">
        <w:t>нализ закупок товаров, работ, услуг;</w:t>
      </w:r>
    </w:p>
    <w:p w:rsidR="00D90944" w:rsidRPr="00206C4C" w:rsidRDefault="00F70F9A" w:rsidP="00DE1661">
      <w:pPr>
        <w:pStyle w:val="13"/>
        <w:rPr>
          <w:rFonts w:eastAsia="Calibri"/>
        </w:rPr>
      </w:pPr>
      <w:r>
        <w:t>б</w:t>
      </w:r>
      <w:r w:rsidR="00D90944">
        <w:t>юджетный (бухгалтерский) учет</w:t>
      </w:r>
      <w:r w:rsidR="00D90944" w:rsidRPr="00206C4C">
        <w:t>;</w:t>
      </w:r>
    </w:p>
    <w:p w:rsidR="00D90944" w:rsidRPr="00206C4C" w:rsidRDefault="00F70F9A" w:rsidP="00DE1661">
      <w:pPr>
        <w:pStyle w:val="13"/>
        <w:rPr>
          <w:rFonts w:eastAsia="Calibri"/>
        </w:rPr>
      </w:pPr>
      <w:r>
        <w:t>к</w:t>
      </w:r>
      <w:r w:rsidR="00D90944" w:rsidRPr="00206C4C">
        <w:t>онтроль и надзор в финансово-бюджетной сфере;</w:t>
      </w:r>
    </w:p>
    <w:p w:rsidR="00D90944" w:rsidRPr="00206C4C" w:rsidRDefault="00F70F9A" w:rsidP="00DE1661">
      <w:pPr>
        <w:pStyle w:val="13"/>
        <w:rPr>
          <w:rFonts w:eastAsia="Calibri"/>
        </w:rPr>
      </w:pPr>
      <w:r>
        <w:t>к</w:t>
      </w:r>
      <w:r w:rsidR="00D90944" w:rsidRPr="00206C4C">
        <w:t>азначейское сопровождение;</w:t>
      </w:r>
    </w:p>
    <w:p w:rsidR="00D90944" w:rsidRDefault="00F70F9A" w:rsidP="00DE1661">
      <w:pPr>
        <w:pStyle w:val="13"/>
        <w:rPr>
          <w:rFonts w:eastAsia="Calibri"/>
        </w:rPr>
      </w:pPr>
      <w:r>
        <w:rPr>
          <w:rFonts w:eastAsia="Calibri"/>
        </w:rPr>
        <w:t>с</w:t>
      </w:r>
      <w:r w:rsidR="00D90944" w:rsidRPr="00206C4C">
        <w:rPr>
          <w:rFonts w:eastAsia="Calibri"/>
        </w:rPr>
        <w:t>тат</w:t>
      </w:r>
      <w:r>
        <w:rPr>
          <w:rFonts w:eastAsia="Calibri"/>
        </w:rPr>
        <w:t>истика государственных финансов;</w:t>
      </w:r>
    </w:p>
    <w:p w:rsidR="00F70F9A" w:rsidRDefault="00F70F9A" w:rsidP="00DE1661">
      <w:pPr>
        <w:pStyle w:val="13"/>
        <w:rPr>
          <w:rFonts w:eastAsia="Calibri"/>
        </w:rPr>
      </w:pPr>
      <w:r>
        <w:rPr>
          <w:rFonts w:eastAsia="Calibri"/>
        </w:rPr>
        <w:t>е</w:t>
      </w:r>
      <w:r w:rsidRPr="00F70F9A">
        <w:rPr>
          <w:rFonts w:eastAsia="Calibri"/>
        </w:rPr>
        <w:t>диный казначейский счет</w:t>
      </w:r>
      <w:r>
        <w:rPr>
          <w:rFonts w:eastAsia="Calibri"/>
        </w:rPr>
        <w:t>;</w:t>
      </w:r>
    </w:p>
    <w:p w:rsidR="00F70F9A" w:rsidRPr="00206C4C" w:rsidRDefault="00F70F9A" w:rsidP="00DE1661">
      <w:pPr>
        <w:pStyle w:val="13"/>
        <w:rPr>
          <w:rFonts w:eastAsia="Calibri"/>
        </w:rPr>
      </w:pPr>
      <w:r>
        <w:rPr>
          <w:rFonts w:eastAsia="Calibri"/>
        </w:rPr>
        <w:t>с</w:t>
      </w:r>
      <w:r w:rsidRPr="00F70F9A">
        <w:rPr>
          <w:rFonts w:eastAsia="Calibri"/>
        </w:rPr>
        <w:t>татистика работы пользователей ПИАО и востребованности аналитических отчетов</w:t>
      </w:r>
      <w:r>
        <w:rPr>
          <w:rFonts w:eastAsia="Calibri"/>
        </w:rPr>
        <w:t>.</w:t>
      </w:r>
    </w:p>
    <w:p w:rsidR="00D90944" w:rsidRPr="00206C4C" w:rsidRDefault="00D90944" w:rsidP="00D90944">
      <w:pPr>
        <w:pStyle w:val="26"/>
      </w:pPr>
      <w:bookmarkStart w:id="221" w:name="_Toc37845306"/>
      <w:bookmarkStart w:id="222" w:name="_Toc69290109"/>
      <w:bookmarkStart w:id="223" w:name="_Toc119585068"/>
      <w:r w:rsidRPr="00206C4C">
        <w:t>Витрина «</w:t>
      </w:r>
      <w:r w:rsidRPr="00206C4C">
        <w:rPr>
          <w:rFonts w:eastAsia="Calibri"/>
        </w:rPr>
        <w:t>Кассовое планирование и прогнозирование исполнения федерального бюджета</w:t>
      </w:r>
      <w:r w:rsidRPr="00206C4C">
        <w:t>»</w:t>
      </w:r>
      <w:bookmarkEnd w:id="221"/>
      <w:bookmarkEnd w:id="222"/>
      <w:bookmarkEnd w:id="223"/>
    </w:p>
    <w:p w:rsidR="00D90944" w:rsidRPr="00206C4C" w:rsidRDefault="00D90944" w:rsidP="00D90944">
      <w:pPr>
        <w:pStyle w:val="af0"/>
        <w:rPr>
          <w:rFonts w:eastAsia="Calibri"/>
        </w:rPr>
      </w:pPr>
      <w:r w:rsidRPr="00206C4C">
        <w:rPr>
          <w:rFonts w:eastAsia="Calibri"/>
        </w:rPr>
        <w:t xml:space="preserve">Витрина содержит информацию об исполнении прогнозных показателей федерального бюджета, в том числе информацию об исполнении прогнозных показателей по доходам федерального бюджета. </w:t>
      </w:r>
    </w:p>
    <w:p w:rsidR="00D90944" w:rsidRPr="00206C4C" w:rsidRDefault="00D90944" w:rsidP="00D90944">
      <w:pPr>
        <w:pStyle w:val="af0"/>
        <w:rPr>
          <w:rFonts w:eastAsia="Calibri"/>
        </w:rPr>
      </w:pPr>
      <w:r w:rsidRPr="00206C4C">
        <w:rPr>
          <w:rFonts w:eastAsia="Calibri"/>
        </w:rPr>
        <w:t>Перечень аналитических отчетов и соответствующих каждому отчету таблиц реляционного хранилища данных приведен в таблице ниже.</w:t>
      </w:r>
    </w:p>
    <w:p w:rsidR="00D90944" w:rsidRPr="00C63CD0" w:rsidRDefault="00D90944" w:rsidP="00E82A76">
      <w:pPr>
        <w:pStyle w:val="-"/>
        <w:rPr>
          <w:noProof/>
        </w:rPr>
      </w:pPr>
      <w:bookmarkStart w:id="224" w:name="_Toc37845343"/>
      <w:bookmarkStart w:id="225" w:name="_Toc69290199"/>
      <w:bookmarkStart w:id="226" w:name="_Toc119585143"/>
      <w:r w:rsidRPr="00206C4C">
        <w:t xml:space="preserve">Таблица </w:t>
      </w:r>
      <w:fldSimple w:instr=" SEQ Таблица \* ARABIC ">
        <w:r w:rsidR="00BF0BEE">
          <w:rPr>
            <w:noProof/>
          </w:rPr>
          <w:t>2</w:t>
        </w:r>
      </w:fldSimple>
      <w:r w:rsidRPr="00C63CD0">
        <w:rPr>
          <w:noProof/>
        </w:rPr>
        <w:t xml:space="preserve"> </w:t>
      </w:r>
      <w:r>
        <w:rPr>
          <w:noProof/>
        </w:rPr>
        <w:t>–</w:t>
      </w:r>
      <w:r w:rsidRPr="00C63CD0">
        <w:rPr>
          <w:noProof/>
        </w:rPr>
        <w:t xml:space="preserve"> </w:t>
      </w:r>
      <w:r w:rsidRPr="00206C4C">
        <w:t>Перечень аналитических отчетов витрины «Кассовое планирование и прогнозирование исполнения федерального бюджета» и соответствующих таблиц БД</w:t>
      </w:r>
      <w:bookmarkEnd w:id="224"/>
      <w:bookmarkEnd w:id="225"/>
      <w:bookmarkEnd w:id="226"/>
    </w:p>
    <w:tbl>
      <w:tblPr>
        <w:tblStyle w:val="affe"/>
        <w:tblW w:w="9606" w:type="dxa"/>
        <w:tblLayout w:type="fixed"/>
        <w:tblLook w:val="04A0" w:firstRow="1" w:lastRow="0" w:firstColumn="1" w:lastColumn="0" w:noHBand="0" w:noVBand="1"/>
      </w:tblPr>
      <w:tblGrid>
        <w:gridCol w:w="4219"/>
        <w:gridCol w:w="2552"/>
        <w:gridCol w:w="2835"/>
      </w:tblGrid>
      <w:tr w:rsidR="00D90944" w:rsidRPr="0088509A" w:rsidTr="00E82A76">
        <w:trPr>
          <w:tblHeader/>
        </w:trPr>
        <w:tc>
          <w:tcPr>
            <w:tcW w:w="4219" w:type="dxa"/>
            <w:shd w:val="clear" w:color="auto" w:fill="D9D9D9" w:themeFill="background1" w:themeFillShade="D9"/>
            <w:vAlign w:val="center"/>
          </w:tcPr>
          <w:p w:rsidR="00D90944" w:rsidRPr="0088509A" w:rsidRDefault="00D90944" w:rsidP="00B41359">
            <w:pPr>
              <w:ind w:firstLine="0"/>
              <w:jc w:val="center"/>
              <w:rPr>
                <w:b/>
                <w:szCs w:val="24"/>
              </w:rPr>
            </w:pPr>
            <w:r w:rsidRPr="0088509A">
              <w:rPr>
                <w:b/>
                <w:szCs w:val="24"/>
              </w:rPr>
              <w:t>Наименование аналитического отчета</w:t>
            </w:r>
          </w:p>
        </w:tc>
        <w:tc>
          <w:tcPr>
            <w:tcW w:w="2552" w:type="dxa"/>
            <w:shd w:val="clear" w:color="auto" w:fill="D9D9D9" w:themeFill="background1" w:themeFillShade="D9"/>
            <w:vAlign w:val="center"/>
          </w:tcPr>
          <w:p w:rsidR="00D90944" w:rsidRPr="0088509A" w:rsidRDefault="00D90944" w:rsidP="00B41359">
            <w:pPr>
              <w:ind w:firstLine="0"/>
              <w:jc w:val="center"/>
              <w:rPr>
                <w:b/>
                <w:szCs w:val="24"/>
              </w:rPr>
            </w:pPr>
            <w:r w:rsidRPr="0088509A">
              <w:rPr>
                <w:b/>
                <w:szCs w:val="24"/>
              </w:rPr>
              <w:t>Код отчета</w:t>
            </w:r>
          </w:p>
        </w:tc>
        <w:tc>
          <w:tcPr>
            <w:tcW w:w="2835" w:type="dxa"/>
            <w:shd w:val="clear" w:color="auto" w:fill="D9D9D9" w:themeFill="background1" w:themeFillShade="D9"/>
            <w:vAlign w:val="center"/>
          </w:tcPr>
          <w:p w:rsidR="00D90944" w:rsidRPr="0088509A" w:rsidRDefault="00D90944" w:rsidP="00B41359">
            <w:pPr>
              <w:ind w:firstLine="0"/>
              <w:jc w:val="center"/>
              <w:rPr>
                <w:b/>
                <w:szCs w:val="24"/>
              </w:rPr>
            </w:pPr>
            <w:r w:rsidRPr="0088509A">
              <w:rPr>
                <w:b/>
                <w:szCs w:val="24"/>
              </w:rPr>
              <w:t>Название таблицы БД</w:t>
            </w:r>
          </w:p>
        </w:tc>
      </w:tr>
      <w:tr w:rsidR="00D90944" w:rsidRPr="0088509A" w:rsidTr="00B41359">
        <w:trPr>
          <w:cantSplit/>
        </w:trPr>
        <w:tc>
          <w:tcPr>
            <w:tcW w:w="4219" w:type="dxa"/>
            <w:vMerge w:val="restart"/>
            <w:vAlign w:val="center"/>
          </w:tcPr>
          <w:p w:rsidR="00D90944" w:rsidRPr="0088509A" w:rsidRDefault="00D90944" w:rsidP="00B41359">
            <w:pPr>
              <w:pStyle w:val="af0"/>
              <w:ind w:firstLine="34"/>
              <w:rPr>
                <w:sz w:val="24"/>
                <w:szCs w:val="24"/>
              </w:rPr>
            </w:pPr>
            <w:r w:rsidRPr="0088509A">
              <w:rPr>
                <w:sz w:val="24"/>
                <w:szCs w:val="24"/>
              </w:rPr>
              <w:t>Плановые и фактические показатели исполнения федерального бюджета</w:t>
            </w:r>
          </w:p>
        </w:tc>
        <w:tc>
          <w:tcPr>
            <w:tcW w:w="2552" w:type="dxa"/>
            <w:vMerge w:val="restart"/>
            <w:vAlign w:val="center"/>
          </w:tcPr>
          <w:p w:rsidR="00D90944" w:rsidRPr="0088509A" w:rsidRDefault="00D90944" w:rsidP="00B41359">
            <w:pPr>
              <w:ind w:firstLine="0"/>
              <w:jc w:val="left"/>
              <w:rPr>
                <w:snapToGrid/>
                <w:color w:val="auto"/>
                <w:szCs w:val="24"/>
              </w:rPr>
            </w:pPr>
            <w:r w:rsidRPr="0088509A">
              <w:rPr>
                <w:snapToGrid/>
                <w:color w:val="auto"/>
                <w:szCs w:val="24"/>
              </w:rPr>
              <w:t>PIAO_114_001_report</w:t>
            </w: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F_GKFB_SVOD</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D_KSPL_MONITORING</w:t>
            </w:r>
          </w:p>
        </w:tc>
      </w:tr>
      <w:tr w:rsidR="00F92180" w:rsidRPr="0088509A" w:rsidTr="00E6583C">
        <w:trPr>
          <w:cantSplit/>
        </w:trPr>
        <w:tc>
          <w:tcPr>
            <w:tcW w:w="4219" w:type="dxa"/>
            <w:vMerge w:val="restart"/>
            <w:vAlign w:val="center"/>
          </w:tcPr>
          <w:p w:rsidR="00F92180" w:rsidRPr="0088509A" w:rsidRDefault="00F92180" w:rsidP="00E6583C">
            <w:pPr>
              <w:pStyle w:val="af0"/>
              <w:ind w:firstLine="34"/>
              <w:rPr>
                <w:sz w:val="24"/>
                <w:szCs w:val="24"/>
              </w:rPr>
            </w:pPr>
            <w:r w:rsidRPr="0088509A">
              <w:rPr>
                <w:sz w:val="24"/>
                <w:szCs w:val="24"/>
              </w:rPr>
              <w:t>Сводная информация по исполнению федерального бюджета</w:t>
            </w:r>
          </w:p>
        </w:tc>
        <w:tc>
          <w:tcPr>
            <w:tcW w:w="2552" w:type="dxa"/>
            <w:vMerge w:val="restart"/>
            <w:vAlign w:val="center"/>
          </w:tcPr>
          <w:p w:rsidR="00F92180" w:rsidRPr="0088509A" w:rsidRDefault="00F92180" w:rsidP="00E6583C">
            <w:pPr>
              <w:ind w:firstLine="0"/>
              <w:jc w:val="left"/>
              <w:rPr>
                <w:snapToGrid/>
                <w:color w:val="auto"/>
                <w:szCs w:val="24"/>
              </w:rPr>
            </w:pPr>
            <w:r w:rsidRPr="0088509A">
              <w:rPr>
                <w:snapToGrid/>
                <w:color w:val="auto"/>
                <w:szCs w:val="24"/>
              </w:rPr>
              <w:t>PIAO_141_001_report</w:t>
            </w: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F_KSPL_I</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F_KSPL_O</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F_KSPL_S</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F_GKFB_I</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F_GKFB_O_REPORT</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F_GKFB_S</w:t>
            </w:r>
          </w:p>
        </w:tc>
      </w:tr>
      <w:tr w:rsidR="00F92180" w:rsidRPr="0088509A" w:rsidTr="00E6583C">
        <w:trPr>
          <w:cantSplit/>
        </w:trPr>
        <w:tc>
          <w:tcPr>
            <w:tcW w:w="4219" w:type="dxa"/>
            <w:vMerge w:val="restart"/>
            <w:vAlign w:val="center"/>
          </w:tcPr>
          <w:p w:rsidR="00F92180" w:rsidRPr="0088509A" w:rsidRDefault="00F92180" w:rsidP="00E6583C">
            <w:pPr>
              <w:pStyle w:val="af0"/>
              <w:ind w:firstLine="34"/>
              <w:rPr>
                <w:sz w:val="24"/>
                <w:szCs w:val="24"/>
              </w:rPr>
            </w:pPr>
            <w:r w:rsidRPr="0088509A">
              <w:rPr>
                <w:sz w:val="24"/>
                <w:szCs w:val="24"/>
              </w:rPr>
              <w:t>Предельные объемы финансирования по расходам федерального бюджета</w:t>
            </w:r>
          </w:p>
        </w:tc>
        <w:tc>
          <w:tcPr>
            <w:tcW w:w="2552" w:type="dxa"/>
            <w:vMerge w:val="restart"/>
            <w:vAlign w:val="center"/>
          </w:tcPr>
          <w:p w:rsidR="00F92180" w:rsidRPr="0088509A" w:rsidRDefault="00F92180" w:rsidP="00E6583C">
            <w:pPr>
              <w:ind w:firstLine="0"/>
              <w:jc w:val="left"/>
              <w:rPr>
                <w:snapToGrid/>
                <w:color w:val="auto"/>
                <w:szCs w:val="24"/>
              </w:rPr>
            </w:pPr>
            <w:r w:rsidRPr="0088509A">
              <w:rPr>
                <w:snapToGrid/>
                <w:color w:val="auto"/>
                <w:szCs w:val="24"/>
              </w:rPr>
              <w:t>PIAO_149_001_report</w:t>
            </w: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F_KSPL_EXECUTEDO</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ind w:firstLine="0"/>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D_KSPL_OMRK</w:t>
            </w:r>
          </w:p>
        </w:tc>
      </w:tr>
      <w:tr w:rsidR="00D90944" w:rsidRPr="0088509A" w:rsidTr="00B41359">
        <w:trPr>
          <w:cantSplit/>
        </w:trPr>
        <w:tc>
          <w:tcPr>
            <w:tcW w:w="4219" w:type="dxa"/>
            <w:vMerge w:val="restart"/>
            <w:vAlign w:val="center"/>
          </w:tcPr>
          <w:p w:rsidR="00D90944" w:rsidRPr="0088509A" w:rsidRDefault="00D90944" w:rsidP="00B41359">
            <w:pPr>
              <w:pStyle w:val="af0"/>
              <w:ind w:firstLine="34"/>
              <w:rPr>
                <w:sz w:val="24"/>
                <w:szCs w:val="24"/>
              </w:rPr>
            </w:pPr>
            <w:r w:rsidRPr="00A95FBE">
              <w:rPr>
                <w:sz w:val="24"/>
                <w:szCs w:val="24"/>
              </w:rPr>
              <w:t>Качество кассового планирования доходов, расходов и источников финансирования федерального бюджета главными администраторами средств федерального бюджета</w:t>
            </w:r>
          </w:p>
        </w:tc>
        <w:tc>
          <w:tcPr>
            <w:tcW w:w="2552" w:type="dxa"/>
            <w:vMerge w:val="restart"/>
            <w:vAlign w:val="center"/>
          </w:tcPr>
          <w:p w:rsidR="00D90944" w:rsidRPr="0088509A" w:rsidRDefault="00D90944" w:rsidP="00B41359">
            <w:pPr>
              <w:ind w:firstLine="0"/>
              <w:jc w:val="left"/>
              <w:rPr>
                <w:snapToGrid/>
                <w:color w:val="auto"/>
                <w:szCs w:val="24"/>
              </w:rPr>
            </w:pPr>
            <w:r w:rsidRPr="0088509A">
              <w:rPr>
                <w:snapToGrid/>
                <w:color w:val="auto"/>
                <w:szCs w:val="24"/>
              </w:rPr>
              <w:t>PIAO_140_001_report</w:t>
            </w: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F_KSPL_I</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F_KSPL_O</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F_KSPL_S</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F_GKFB_I</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F_GKFB_O_REPORT</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F_GKFB_S</w:t>
            </w:r>
          </w:p>
        </w:tc>
      </w:tr>
      <w:tr w:rsidR="00F92180" w:rsidRPr="0088509A" w:rsidTr="00E6583C">
        <w:trPr>
          <w:cantSplit/>
        </w:trPr>
        <w:tc>
          <w:tcPr>
            <w:tcW w:w="4219" w:type="dxa"/>
            <w:vMerge w:val="restart"/>
            <w:vAlign w:val="center"/>
          </w:tcPr>
          <w:p w:rsidR="00F92180" w:rsidRPr="0088509A" w:rsidRDefault="00F92180" w:rsidP="00E6583C">
            <w:pPr>
              <w:pStyle w:val="af0"/>
              <w:ind w:firstLine="34"/>
              <w:rPr>
                <w:sz w:val="24"/>
                <w:szCs w:val="24"/>
              </w:rPr>
            </w:pPr>
            <w:r w:rsidRPr="0088509A">
              <w:rPr>
                <w:sz w:val="24"/>
                <w:szCs w:val="24"/>
              </w:rPr>
              <w:t>Нарушение сроков предоставления сведений для формирования кассового плана исполнения федерального бюджета</w:t>
            </w:r>
          </w:p>
        </w:tc>
        <w:tc>
          <w:tcPr>
            <w:tcW w:w="2552" w:type="dxa"/>
            <w:vMerge w:val="restart"/>
            <w:vAlign w:val="center"/>
          </w:tcPr>
          <w:p w:rsidR="00F92180" w:rsidRPr="0088509A" w:rsidRDefault="00F92180" w:rsidP="00E6583C">
            <w:pPr>
              <w:ind w:firstLine="0"/>
              <w:jc w:val="left"/>
              <w:rPr>
                <w:snapToGrid/>
                <w:color w:val="auto"/>
                <w:szCs w:val="24"/>
              </w:rPr>
            </w:pPr>
            <w:r w:rsidRPr="0088509A">
              <w:rPr>
                <w:snapToGrid/>
                <w:color w:val="auto"/>
                <w:szCs w:val="24"/>
              </w:rPr>
              <w:t>PIAO_114_002_report</w:t>
            </w: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D_KSPL_MONITORING</w:t>
            </w:r>
          </w:p>
        </w:tc>
      </w:tr>
      <w:tr w:rsidR="00F92180" w:rsidRPr="0088509A" w:rsidTr="00E6583C">
        <w:trPr>
          <w:cantSplit/>
        </w:trPr>
        <w:tc>
          <w:tcPr>
            <w:tcW w:w="4219" w:type="dxa"/>
            <w:vMerge/>
            <w:vAlign w:val="center"/>
          </w:tcPr>
          <w:p w:rsidR="00F92180" w:rsidRPr="0088509A" w:rsidRDefault="00F92180" w:rsidP="00E6583C">
            <w:pPr>
              <w:pStyle w:val="af0"/>
              <w:ind w:firstLine="34"/>
              <w:rPr>
                <w:sz w:val="24"/>
                <w:szCs w:val="24"/>
              </w:rPr>
            </w:pPr>
          </w:p>
        </w:tc>
        <w:tc>
          <w:tcPr>
            <w:tcW w:w="2552" w:type="dxa"/>
            <w:vMerge/>
            <w:vAlign w:val="center"/>
          </w:tcPr>
          <w:p w:rsidR="00F92180" w:rsidRPr="0088509A" w:rsidRDefault="00F92180" w:rsidP="00E6583C">
            <w:pPr>
              <w:jc w:val="left"/>
              <w:rPr>
                <w:snapToGrid/>
                <w:color w:val="auto"/>
                <w:szCs w:val="24"/>
              </w:rPr>
            </w:pPr>
          </w:p>
        </w:tc>
        <w:tc>
          <w:tcPr>
            <w:tcW w:w="2835" w:type="dxa"/>
            <w:vAlign w:val="center"/>
          </w:tcPr>
          <w:p w:rsidR="00F92180" w:rsidRPr="0088509A" w:rsidRDefault="00F92180" w:rsidP="00E6583C">
            <w:pPr>
              <w:ind w:firstLine="0"/>
              <w:rPr>
                <w:snapToGrid/>
                <w:color w:val="auto"/>
                <w:szCs w:val="24"/>
              </w:rPr>
            </w:pPr>
            <w:r w:rsidRPr="0088509A">
              <w:rPr>
                <w:snapToGrid/>
                <w:color w:val="auto"/>
                <w:szCs w:val="24"/>
              </w:rPr>
              <w:t>D_KSPL_CALENDAR</w:t>
            </w:r>
          </w:p>
        </w:tc>
      </w:tr>
      <w:tr w:rsidR="00D90944" w:rsidRPr="0088509A" w:rsidTr="00B41359">
        <w:trPr>
          <w:cantSplit/>
        </w:trPr>
        <w:tc>
          <w:tcPr>
            <w:tcW w:w="4219" w:type="dxa"/>
            <w:vMerge w:val="restart"/>
            <w:vAlign w:val="center"/>
          </w:tcPr>
          <w:p w:rsidR="00D90944" w:rsidRPr="0088509A" w:rsidRDefault="00D90944" w:rsidP="00B41359">
            <w:pPr>
              <w:pStyle w:val="af0"/>
              <w:ind w:firstLine="34"/>
              <w:rPr>
                <w:sz w:val="24"/>
                <w:szCs w:val="24"/>
              </w:rPr>
            </w:pPr>
            <w:r w:rsidRPr="0088509A">
              <w:rPr>
                <w:sz w:val="24"/>
                <w:szCs w:val="24"/>
              </w:rPr>
              <w:t>Показатели, предусмотренные (учтенные при формировании) федеральным законом о федеральном бюджете</w:t>
            </w:r>
          </w:p>
        </w:tc>
        <w:tc>
          <w:tcPr>
            <w:tcW w:w="2552" w:type="dxa"/>
            <w:vMerge w:val="restart"/>
            <w:vAlign w:val="center"/>
          </w:tcPr>
          <w:p w:rsidR="00D90944" w:rsidRPr="0088509A" w:rsidRDefault="00D90944" w:rsidP="00B41359">
            <w:pPr>
              <w:ind w:firstLine="0"/>
              <w:jc w:val="left"/>
              <w:rPr>
                <w:snapToGrid/>
                <w:color w:val="auto"/>
                <w:szCs w:val="24"/>
              </w:rPr>
            </w:pPr>
            <w:r w:rsidRPr="0088509A">
              <w:rPr>
                <w:snapToGrid/>
                <w:color w:val="auto"/>
                <w:szCs w:val="24"/>
              </w:rPr>
              <w:t>PIAO_148_001_report</w:t>
            </w: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 xml:space="preserve">F_KSPL_I </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rPr>
            </w:pPr>
            <w:r w:rsidRPr="0088509A">
              <w:rPr>
                <w:snapToGrid/>
                <w:color w:val="auto"/>
                <w:szCs w:val="24"/>
              </w:rPr>
              <w:t>F_KSPL_O</w:t>
            </w:r>
          </w:p>
        </w:tc>
      </w:tr>
      <w:tr w:rsidR="00D90944" w:rsidRPr="0088509A" w:rsidTr="00B41359">
        <w:trPr>
          <w:cantSplit/>
        </w:trPr>
        <w:tc>
          <w:tcPr>
            <w:tcW w:w="4219" w:type="dxa"/>
            <w:vMerge/>
            <w:vAlign w:val="center"/>
          </w:tcPr>
          <w:p w:rsidR="00D90944" w:rsidRPr="0088509A" w:rsidRDefault="00D90944" w:rsidP="00B41359">
            <w:pPr>
              <w:pStyle w:val="af0"/>
              <w:ind w:firstLine="34"/>
              <w:rPr>
                <w:sz w:val="24"/>
                <w:szCs w:val="24"/>
              </w:rPr>
            </w:pPr>
          </w:p>
        </w:tc>
        <w:tc>
          <w:tcPr>
            <w:tcW w:w="2552" w:type="dxa"/>
            <w:vMerge/>
            <w:vAlign w:val="center"/>
          </w:tcPr>
          <w:p w:rsidR="00D90944" w:rsidRPr="0088509A" w:rsidRDefault="00D90944" w:rsidP="00B41359">
            <w:pPr>
              <w:ind w:firstLine="0"/>
              <w:jc w:val="left"/>
              <w:rPr>
                <w:snapToGrid/>
                <w:color w:val="auto"/>
                <w:szCs w:val="24"/>
              </w:rPr>
            </w:pPr>
          </w:p>
        </w:tc>
        <w:tc>
          <w:tcPr>
            <w:tcW w:w="2835" w:type="dxa"/>
            <w:vAlign w:val="center"/>
          </w:tcPr>
          <w:p w:rsidR="00D90944" w:rsidRPr="0088509A" w:rsidRDefault="00D90944" w:rsidP="00B41359">
            <w:pPr>
              <w:ind w:firstLine="0"/>
              <w:rPr>
                <w:snapToGrid/>
                <w:color w:val="auto"/>
                <w:szCs w:val="24"/>
                <w:lang w:val="en-US"/>
              </w:rPr>
            </w:pPr>
            <w:r w:rsidRPr="0088509A">
              <w:rPr>
                <w:snapToGrid/>
                <w:color w:val="auto"/>
                <w:szCs w:val="24"/>
              </w:rPr>
              <w:t>F_KSPL_S</w:t>
            </w:r>
          </w:p>
        </w:tc>
      </w:tr>
      <w:tr w:rsidR="003D6FE9" w:rsidRPr="0088509A" w:rsidTr="00B41359">
        <w:trPr>
          <w:cantSplit/>
        </w:trPr>
        <w:tc>
          <w:tcPr>
            <w:tcW w:w="4219" w:type="dxa"/>
            <w:vAlign w:val="center"/>
          </w:tcPr>
          <w:p w:rsidR="003D6FE9" w:rsidRPr="0088509A" w:rsidRDefault="003D6FE9" w:rsidP="00E6583C">
            <w:pPr>
              <w:pStyle w:val="af0"/>
              <w:ind w:firstLine="34"/>
              <w:rPr>
                <w:sz w:val="24"/>
                <w:szCs w:val="24"/>
              </w:rPr>
            </w:pPr>
            <w:r w:rsidRPr="0088509A">
              <w:rPr>
                <w:sz w:val="24"/>
                <w:szCs w:val="24"/>
              </w:rPr>
              <w:t>Прогноз кассовых поступлений по доходам федерального бюджета</w:t>
            </w:r>
          </w:p>
        </w:tc>
        <w:tc>
          <w:tcPr>
            <w:tcW w:w="2552" w:type="dxa"/>
            <w:vAlign w:val="center"/>
          </w:tcPr>
          <w:p w:rsidR="003D6FE9" w:rsidRPr="0088509A" w:rsidRDefault="003D6FE9" w:rsidP="003D6FE9">
            <w:pPr>
              <w:ind w:firstLine="0"/>
              <w:jc w:val="left"/>
              <w:rPr>
                <w:snapToGrid/>
                <w:color w:val="auto"/>
                <w:szCs w:val="24"/>
              </w:rPr>
            </w:pPr>
            <w:r w:rsidRPr="0088509A">
              <w:rPr>
                <w:snapToGrid/>
                <w:color w:val="auto"/>
                <w:szCs w:val="24"/>
              </w:rPr>
              <w:t>PIAO_105_001_report</w:t>
            </w:r>
          </w:p>
        </w:tc>
        <w:tc>
          <w:tcPr>
            <w:tcW w:w="2835" w:type="dxa"/>
            <w:vAlign w:val="center"/>
          </w:tcPr>
          <w:p w:rsidR="003D6FE9" w:rsidRPr="0088509A" w:rsidRDefault="003D6FE9" w:rsidP="00E6583C">
            <w:pPr>
              <w:ind w:firstLine="0"/>
              <w:rPr>
                <w:snapToGrid/>
                <w:color w:val="auto"/>
                <w:szCs w:val="24"/>
              </w:rPr>
            </w:pPr>
            <w:r w:rsidRPr="0088509A">
              <w:rPr>
                <w:snapToGrid/>
                <w:color w:val="auto"/>
                <w:szCs w:val="24"/>
              </w:rPr>
              <w:t>F_KSPL_I</w:t>
            </w:r>
          </w:p>
        </w:tc>
      </w:tr>
      <w:tr w:rsidR="00683D2A" w:rsidRPr="0088509A" w:rsidTr="00683D2A">
        <w:trPr>
          <w:cantSplit/>
          <w:trHeight w:val="256"/>
        </w:trPr>
        <w:tc>
          <w:tcPr>
            <w:tcW w:w="4219" w:type="dxa"/>
            <w:vMerge w:val="restart"/>
            <w:vAlign w:val="center"/>
          </w:tcPr>
          <w:p w:rsidR="00683D2A" w:rsidRPr="00683D2A" w:rsidRDefault="00683D2A" w:rsidP="00B41359">
            <w:pPr>
              <w:pStyle w:val="af0"/>
              <w:ind w:firstLine="34"/>
              <w:rPr>
                <w:color w:val="000000" w:themeColor="text1"/>
                <w:sz w:val="24"/>
                <w:szCs w:val="24"/>
              </w:rPr>
            </w:pPr>
            <w:r w:rsidRPr="00683D2A">
              <w:rPr>
                <w:color w:val="000000" w:themeColor="text1"/>
                <w:sz w:val="24"/>
                <w:szCs w:val="24"/>
              </w:rPr>
              <w:t>Прогноз кассовых выплат по расходам федерального бюджета</w:t>
            </w:r>
          </w:p>
        </w:tc>
        <w:tc>
          <w:tcPr>
            <w:tcW w:w="2552" w:type="dxa"/>
            <w:vMerge w:val="restart"/>
            <w:vAlign w:val="center"/>
          </w:tcPr>
          <w:p w:rsidR="00683D2A" w:rsidRPr="00683D2A" w:rsidRDefault="00683D2A" w:rsidP="003D6FE9">
            <w:pPr>
              <w:ind w:firstLine="0"/>
              <w:jc w:val="center"/>
              <w:rPr>
                <w:snapToGrid/>
                <w:color w:val="000000" w:themeColor="text1"/>
                <w:szCs w:val="24"/>
              </w:rPr>
            </w:pPr>
            <w:r w:rsidRPr="00683D2A">
              <w:rPr>
                <w:snapToGrid/>
                <w:color w:val="000000" w:themeColor="text1"/>
                <w:szCs w:val="24"/>
              </w:rPr>
              <w:t>PIAO_118_001_report</w:t>
            </w:r>
          </w:p>
        </w:tc>
        <w:tc>
          <w:tcPr>
            <w:tcW w:w="2835" w:type="dxa"/>
            <w:vAlign w:val="center"/>
          </w:tcPr>
          <w:p w:rsidR="00683D2A" w:rsidRPr="00683D2A" w:rsidRDefault="00683D2A" w:rsidP="00683D2A">
            <w:pPr>
              <w:ind w:firstLine="0"/>
              <w:rPr>
                <w:snapToGrid/>
                <w:color w:val="000000" w:themeColor="text1"/>
                <w:szCs w:val="24"/>
              </w:rPr>
            </w:pPr>
            <w:r w:rsidRPr="00683D2A">
              <w:rPr>
                <w:snapToGrid/>
                <w:color w:val="000000" w:themeColor="text1"/>
                <w:szCs w:val="24"/>
                <w:lang w:val="en-US"/>
              </w:rPr>
              <w:t>D_KSPL_OMRK</w:t>
            </w:r>
          </w:p>
        </w:tc>
      </w:tr>
      <w:tr w:rsidR="00683D2A" w:rsidRPr="0088509A" w:rsidTr="00683D2A">
        <w:trPr>
          <w:cantSplit/>
          <w:trHeight w:val="291"/>
        </w:trPr>
        <w:tc>
          <w:tcPr>
            <w:tcW w:w="4219" w:type="dxa"/>
            <w:vMerge/>
            <w:vAlign w:val="center"/>
          </w:tcPr>
          <w:p w:rsidR="00683D2A" w:rsidRPr="00683D2A" w:rsidRDefault="00683D2A" w:rsidP="00B41359">
            <w:pPr>
              <w:pStyle w:val="af0"/>
              <w:ind w:firstLine="34"/>
              <w:rPr>
                <w:color w:val="000000" w:themeColor="text1"/>
                <w:sz w:val="24"/>
                <w:szCs w:val="24"/>
              </w:rPr>
            </w:pPr>
          </w:p>
        </w:tc>
        <w:tc>
          <w:tcPr>
            <w:tcW w:w="2552" w:type="dxa"/>
            <w:vMerge/>
            <w:vAlign w:val="center"/>
          </w:tcPr>
          <w:p w:rsidR="00683D2A" w:rsidRPr="00683D2A" w:rsidRDefault="00683D2A" w:rsidP="003D6FE9">
            <w:pPr>
              <w:jc w:val="center"/>
              <w:rPr>
                <w:snapToGrid/>
                <w:color w:val="000000" w:themeColor="text1"/>
                <w:szCs w:val="24"/>
              </w:rPr>
            </w:pPr>
          </w:p>
        </w:tc>
        <w:tc>
          <w:tcPr>
            <w:tcW w:w="2835" w:type="dxa"/>
            <w:vAlign w:val="center"/>
          </w:tcPr>
          <w:p w:rsidR="00683D2A" w:rsidRPr="00683D2A" w:rsidRDefault="00683D2A" w:rsidP="00683D2A">
            <w:pPr>
              <w:ind w:firstLine="0"/>
              <w:rPr>
                <w:snapToGrid/>
                <w:color w:val="000000" w:themeColor="text1"/>
                <w:szCs w:val="24"/>
                <w:lang w:val="en-US"/>
              </w:rPr>
            </w:pPr>
            <w:r w:rsidRPr="00683D2A">
              <w:rPr>
                <w:snapToGrid/>
                <w:color w:val="000000" w:themeColor="text1"/>
                <w:szCs w:val="24"/>
                <w:lang w:val="en-US"/>
              </w:rPr>
              <w:t>D_KSPL_KVR</w:t>
            </w:r>
          </w:p>
        </w:tc>
      </w:tr>
      <w:tr w:rsidR="00683D2A" w:rsidRPr="00683D2A" w:rsidTr="00683D2A">
        <w:trPr>
          <w:cantSplit/>
          <w:trHeight w:val="300"/>
        </w:trPr>
        <w:tc>
          <w:tcPr>
            <w:tcW w:w="4219" w:type="dxa"/>
            <w:vMerge/>
            <w:vAlign w:val="center"/>
          </w:tcPr>
          <w:p w:rsidR="00683D2A" w:rsidRPr="00683D2A" w:rsidRDefault="00683D2A" w:rsidP="00B41359">
            <w:pPr>
              <w:pStyle w:val="af0"/>
              <w:ind w:firstLine="34"/>
              <w:rPr>
                <w:color w:val="000000" w:themeColor="text1"/>
                <w:sz w:val="24"/>
                <w:szCs w:val="24"/>
              </w:rPr>
            </w:pPr>
          </w:p>
        </w:tc>
        <w:tc>
          <w:tcPr>
            <w:tcW w:w="2552" w:type="dxa"/>
            <w:vMerge/>
            <w:vAlign w:val="center"/>
          </w:tcPr>
          <w:p w:rsidR="00683D2A" w:rsidRPr="00683D2A" w:rsidRDefault="00683D2A" w:rsidP="003D6FE9">
            <w:pPr>
              <w:jc w:val="center"/>
              <w:rPr>
                <w:snapToGrid/>
                <w:color w:val="000000" w:themeColor="text1"/>
                <w:szCs w:val="24"/>
              </w:rPr>
            </w:pPr>
          </w:p>
        </w:tc>
        <w:tc>
          <w:tcPr>
            <w:tcW w:w="2835" w:type="dxa"/>
            <w:vAlign w:val="center"/>
          </w:tcPr>
          <w:p w:rsidR="00683D2A" w:rsidRPr="00683D2A" w:rsidRDefault="00683D2A" w:rsidP="00683D2A">
            <w:pPr>
              <w:ind w:firstLine="0"/>
              <w:rPr>
                <w:snapToGrid/>
                <w:color w:val="000000" w:themeColor="text1"/>
                <w:szCs w:val="24"/>
                <w:lang w:val="en-US"/>
              </w:rPr>
            </w:pPr>
            <w:r w:rsidRPr="00683D2A">
              <w:rPr>
                <w:snapToGrid/>
                <w:color w:val="000000" w:themeColor="text1"/>
                <w:szCs w:val="24"/>
                <w:lang w:val="en-US"/>
              </w:rPr>
              <w:t>D_KSPL_KVSR</w:t>
            </w:r>
          </w:p>
        </w:tc>
      </w:tr>
      <w:tr w:rsidR="00683D2A" w:rsidRPr="00683D2A" w:rsidTr="00B41359">
        <w:trPr>
          <w:cantSplit/>
          <w:trHeight w:val="248"/>
        </w:trPr>
        <w:tc>
          <w:tcPr>
            <w:tcW w:w="4219" w:type="dxa"/>
            <w:vMerge/>
            <w:vAlign w:val="center"/>
          </w:tcPr>
          <w:p w:rsidR="00683D2A" w:rsidRPr="00683D2A" w:rsidRDefault="00683D2A" w:rsidP="00B41359">
            <w:pPr>
              <w:pStyle w:val="af0"/>
              <w:ind w:firstLine="34"/>
              <w:rPr>
                <w:color w:val="000000" w:themeColor="text1"/>
                <w:sz w:val="24"/>
                <w:szCs w:val="24"/>
              </w:rPr>
            </w:pPr>
          </w:p>
        </w:tc>
        <w:tc>
          <w:tcPr>
            <w:tcW w:w="2552" w:type="dxa"/>
            <w:vMerge/>
            <w:vAlign w:val="center"/>
          </w:tcPr>
          <w:p w:rsidR="00683D2A" w:rsidRPr="00683D2A" w:rsidRDefault="00683D2A" w:rsidP="003D6FE9">
            <w:pPr>
              <w:jc w:val="center"/>
              <w:rPr>
                <w:snapToGrid/>
                <w:color w:val="000000" w:themeColor="text1"/>
                <w:szCs w:val="24"/>
              </w:rPr>
            </w:pPr>
          </w:p>
        </w:tc>
        <w:tc>
          <w:tcPr>
            <w:tcW w:w="2835" w:type="dxa"/>
            <w:vAlign w:val="center"/>
          </w:tcPr>
          <w:p w:rsidR="00683D2A" w:rsidRPr="00683D2A" w:rsidRDefault="00683D2A" w:rsidP="00683D2A">
            <w:pPr>
              <w:ind w:firstLine="0"/>
              <w:rPr>
                <w:snapToGrid/>
                <w:color w:val="000000" w:themeColor="text1"/>
                <w:szCs w:val="24"/>
                <w:lang w:val="en-US"/>
              </w:rPr>
            </w:pPr>
            <w:r w:rsidRPr="00683D2A">
              <w:rPr>
                <w:snapToGrid/>
                <w:color w:val="000000" w:themeColor="text1"/>
                <w:szCs w:val="24"/>
                <w:lang w:val="en-US"/>
              </w:rPr>
              <w:t>F_KSPL_O</w:t>
            </w:r>
          </w:p>
        </w:tc>
      </w:tr>
      <w:tr w:rsidR="003D6FE9" w:rsidRPr="0088509A" w:rsidTr="00B41359">
        <w:trPr>
          <w:cantSplit/>
        </w:trPr>
        <w:tc>
          <w:tcPr>
            <w:tcW w:w="4219" w:type="dxa"/>
            <w:vAlign w:val="center"/>
          </w:tcPr>
          <w:p w:rsidR="003D6FE9" w:rsidRPr="0088509A" w:rsidRDefault="003D6FE9" w:rsidP="00B41359">
            <w:pPr>
              <w:pStyle w:val="af0"/>
              <w:ind w:firstLine="34"/>
              <w:rPr>
                <w:sz w:val="24"/>
                <w:szCs w:val="24"/>
              </w:rPr>
            </w:pPr>
            <w:r w:rsidRPr="0088509A">
              <w:rPr>
                <w:sz w:val="24"/>
                <w:szCs w:val="24"/>
              </w:rPr>
              <w:t>Прогноз кассовых поступлений и кассовых выплат по источникам финансирования дефицита федерального бюджета</w:t>
            </w:r>
          </w:p>
        </w:tc>
        <w:tc>
          <w:tcPr>
            <w:tcW w:w="2552" w:type="dxa"/>
            <w:vAlign w:val="center"/>
          </w:tcPr>
          <w:p w:rsidR="003D6FE9" w:rsidRPr="0088509A" w:rsidRDefault="003D6FE9" w:rsidP="00B41359">
            <w:pPr>
              <w:ind w:firstLine="0"/>
              <w:jc w:val="left"/>
              <w:rPr>
                <w:snapToGrid/>
                <w:color w:val="auto"/>
                <w:szCs w:val="24"/>
              </w:rPr>
            </w:pPr>
            <w:r w:rsidRPr="0088509A">
              <w:rPr>
                <w:snapToGrid/>
                <w:color w:val="auto"/>
                <w:szCs w:val="24"/>
              </w:rPr>
              <w:t>PIAO_121_001_report</w:t>
            </w:r>
          </w:p>
        </w:tc>
        <w:tc>
          <w:tcPr>
            <w:tcW w:w="2835" w:type="dxa"/>
            <w:vAlign w:val="center"/>
          </w:tcPr>
          <w:p w:rsidR="003D6FE9" w:rsidRPr="0088509A" w:rsidRDefault="003D6FE9" w:rsidP="00B41359">
            <w:pPr>
              <w:ind w:firstLine="0"/>
              <w:rPr>
                <w:snapToGrid/>
                <w:color w:val="auto"/>
                <w:szCs w:val="24"/>
              </w:rPr>
            </w:pPr>
            <w:r w:rsidRPr="0088509A">
              <w:rPr>
                <w:snapToGrid/>
                <w:color w:val="auto"/>
                <w:szCs w:val="24"/>
              </w:rPr>
              <w:t>F_KSPL_S</w:t>
            </w:r>
          </w:p>
        </w:tc>
      </w:tr>
      <w:tr w:rsidR="003D6FE9" w:rsidRPr="0088509A" w:rsidTr="00B41359">
        <w:trPr>
          <w:cantSplit/>
        </w:trPr>
        <w:tc>
          <w:tcPr>
            <w:tcW w:w="4219" w:type="dxa"/>
            <w:vMerge w:val="restart"/>
            <w:shd w:val="clear" w:color="auto" w:fill="auto"/>
            <w:vAlign w:val="center"/>
          </w:tcPr>
          <w:p w:rsidR="003D6FE9" w:rsidRPr="002F3913" w:rsidRDefault="003C0C67" w:rsidP="00B41359">
            <w:pPr>
              <w:pStyle w:val="af0"/>
              <w:ind w:firstLine="34"/>
              <w:rPr>
                <w:sz w:val="24"/>
                <w:szCs w:val="24"/>
              </w:rPr>
            </w:pPr>
            <w:r w:rsidRPr="003C0C67">
              <w:rPr>
                <w:sz w:val="24"/>
                <w:szCs w:val="24"/>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p>
        </w:tc>
        <w:tc>
          <w:tcPr>
            <w:tcW w:w="2552" w:type="dxa"/>
            <w:vMerge w:val="restart"/>
            <w:shd w:val="clear" w:color="auto" w:fill="auto"/>
            <w:vAlign w:val="center"/>
          </w:tcPr>
          <w:p w:rsidR="003D6FE9" w:rsidRPr="002F3913" w:rsidRDefault="003D6FE9" w:rsidP="00B41359">
            <w:pPr>
              <w:ind w:firstLine="0"/>
              <w:jc w:val="left"/>
              <w:rPr>
                <w:snapToGrid/>
                <w:color w:val="auto"/>
                <w:szCs w:val="24"/>
              </w:rPr>
            </w:pPr>
            <w:r w:rsidRPr="002F3913">
              <w:rPr>
                <w:snapToGrid/>
                <w:color w:val="auto"/>
                <w:szCs w:val="24"/>
              </w:rPr>
              <w:t>PIAO_110_001_report</w:t>
            </w:r>
          </w:p>
        </w:tc>
        <w:tc>
          <w:tcPr>
            <w:tcW w:w="2835" w:type="dxa"/>
            <w:shd w:val="clear" w:color="auto" w:fill="auto"/>
            <w:vAlign w:val="center"/>
          </w:tcPr>
          <w:p w:rsidR="003D6FE9" w:rsidRPr="002F3913" w:rsidRDefault="003D6FE9" w:rsidP="00B41359">
            <w:pPr>
              <w:ind w:firstLine="0"/>
              <w:rPr>
                <w:snapToGrid/>
                <w:color w:val="auto"/>
                <w:szCs w:val="24"/>
              </w:rPr>
            </w:pPr>
            <w:r w:rsidRPr="002F3913">
              <w:rPr>
                <w:snapToGrid/>
                <w:color w:val="auto"/>
                <w:szCs w:val="24"/>
              </w:rPr>
              <w:t>F_KSPL_I</w:t>
            </w:r>
          </w:p>
        </w:tc>
      </w:tr>
      <w:tr w:rsidR="003D6FE9" w:rsidRPr="0088509A" w:rsidTr="00B41359">
        <w:trPr>
          <w:cantSplit/>
        </w:trPr>
        <w:tc>
          <w:tcPr>
            <w:tcW w:w="4219" w:type="dxa"/>
            <w:vMerge/>
            <w:shd w:val="clear" w:color="auto" w:fill="auto"/>
            <w:vAlign w:val="center"/>
          </w:tcPr>
          <w:p w:rsidR="003D6FE9" w:rsidRPr="002F3913" w:rsidRDefault="003D6FE9" w:rsidP="00B41359">
            <w:pPr>
              <w:pStyle w:val="af0"/>
              <w:ind w:firstLine="34"/>
              <w:rPr>
                <w:sz w:val="24"/>
                <w:szCs w:val="24"/>
              </w:rPr>
            </w:pPr>
          </w:p>
        </w:tc>
        <w:tc>
          <w:tcPr>
            <w:tcW w:w="2552" w:type="dxa"/>
            <w:vMerge/>
            <w:shd w:val="clear" w:color="auto" w:fill="auto"/>
            <w:vAlign w:val="center"/>
          </w:tcPr>
          <w:p w:rsidR="003D6FE9" w:rsidRPr="002F3913" w:rsidRDefault="003D6FE9" w:rsidP="00B41359">
            <w:pPr>
              <w:ind w:firstLine="0"/>
              <w:jc w:val="left"/>
              <w:rPr>
                <w:snapToGrid/>
                <w:color w:val="auto"/>
                <w:szCs w:val="24"/>
              </w:rPr>
            </w:pPr>
          </w:p>
        </w:tc>
        <w:tc>
          <w:tcPr>
            <w:tcW w:w="2835" w:type="dxa"/>
            <w:shd w:val="clear" w:color="auto" w:fill="auto"/>
            <w:vAlign w:val="center"/>
          </w:tcPr>
          <w:p w:rsidR="003D6FE9" w:rsidRPr="002F3913" w:rsidRDefault="003D6FE9" w:rsidP="00B41359">
            <w:pPr>
              <w:ind w:firstLine="0"/>
              <w:rPr>
                <w:snapToGrid/>
                <w:color w:val="auto"/>
                <w:szCs w:val="24"/>
              </w:rPr>
            </w:pPr>
            <w:r w:rsidRPr="002F3913">
              <w:rPr>
                <w:snapToGrid/>
                <w:color w:val="auto"/>
                <w:szCs w:val="24"/>
              </w:rPr>
              <w:t>F_GKFB_I</w:t>
            </w:r>
          </w:p>
        </w:tc>
      </w:tr>
    </w:tbl>
    <w:p w:rsidR="00D90944" w:rsidRPr="00206C4C" w:rsidRDefault="00D90944" w:rsidP="00A57D1F">
      <w:pPr>
        <w:pStyle w:val="35"/>
      </w:pPr>
      <w:bookmarkStart w:id="227" w:name="_Toc37845307"/>
      <w:bookmarkStart w:id="228" w:name="_Toc69290110"/>
      <w:bookmarkStart w:id="229" w:name="_Toc119585069"/>
      <w:r w:rsidRPr="00206C4C">
        <w:t>Отчет «Плановые и фактические показатели исполнения федерального бюджета»</w:t>
      </w:r>
      <w:bookmarkEnd w:id="227"/>
      <w:bookmarkEnd w:id="228"/>
      <w:r w:rsidR="00A57D1F">
        <w:t xml:space="preserve"> (</w:t>
      </w:r>
      <w:r w:rsidR="00A57D1F" w:rsidRPr="00A57D1F">
        <w:t>PIAO_11</w:t>
      </w:r>
      <w:r w:rsidR="00494AC5">
        <w:t>4</w:t>
      </w:r>
      <w:r w:rsidR="00A57D1F" w:rsidRPr="00A57D1F">
        <w:t>_001_report</w:t>
      </w:r>
      <w:r w:rsidR="00A57D1F">
        <w:t>)</w:t>
      </w:r>
      <w:bookmarkEnd w:id="229"/>
    </w:p>
    <w:p w:rsidR="00D90944" w:rsidRPr="00206C4C" w:rsidRDefault="00D90944" w:rsidP="00D90944">
      <w:pPr>
        <w:pStyle w:val="af0"/>
        <w:rPr>
          <w:rStyle w:val="af1"/>
        </w:rPr>
      </w:pPr>
      <w:r w:rsidRPr="00206C4C">
        <w:rPr>
          <w:rStyle w:val="af1"/>
        </w:rPr>
        <w:t>Для перехода к отчету «</w:t>
      </w:r>
      <w:r w:rsidRPr="00206C4C">
        <w:t>Плановые и фактические показатели исполнения федерального бюджета</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Плановые и фактические показатели исполнения федерального бюджета</w:t>
      </w:r>
      <w:r w:rsidRPr="00206C4C">
        <w:rPr>
          <w:rStyle w:val="af1"/>
        </w:rPr>
        <w:t>», как показано на рисунке</w:t>
      </w:r>
      <w:r w:rsidR="00AA2FDD">
        <w:rPr>
          <w:rStyle w:val="af1"/>
        </w:rPr>
        <w:t xml:space="preserve"> </w:t>
      </w:r>
      <w:r w:rsidR="00AA2FDD">
        <w:rPr>
          <w:rStyle w:val="af1"/>
        </w:rPr>
        <w:fldChar w:fldCharType="begin"/>
      </w:r>
      <w:r w:rsidR="00AA2FDD">
        <w:rPr>
          <w:rStyle w:val="af1"/>
        </w:rPr>
        <w:instrText xml:space="preserve"> REF _Ref69981414 \h </w:instrText>
      </w:r>
      <w:r w:rsidR="00AA2FDD">
        <w:rPr>
          <w:rStyle w:val="af1"/>
        </w:rPr>
      </w:r>
      <w:r w:rsidR="00AA2FDD">
        <w:rPr>
          <w:rStyle w:val="af1"/>
        </w:rPr>
        <w:fldChar w:fldCharType="separate"/>
      </w:r>
      <w:r w:rsidR="00BF0BEE">
        <w:rPr>
          <w:noProof/>
        </w:rPr>
        <w:t>64</w:t>
      </w:r>
      <w:r w:rsidR="00AA2FDD">
        <w:rPr>
          <w:rStyle w:val="af1"/>
        </w:rPr>
        <w:fldChar w:fldCharType="end"/>
      </w:r>
      <w:r w:rsidRPr="00206C4C">
        <w:rPr>
          <w:rStyle w:val="af1"/>
        </w:rPr>
        <w:t>.</w:t>
      </w:r>
    </w:p>
    <w:p w:rsidR="00AA2FDD" w:rsidRDefault="00F4546B" w:rsidP="00AA2FDD">
      <w:pPr>
        <w:pStyle w:val="-0"/>
        <w:keepNext/>
      </w:pPr>
      <w:r>
        <w:rPr>
          <w:noProof/>
          <w:snapToGrid/>
        </w:rPr>
        <w:drawing>
          <wp:inline distT="0" distB="0" distL="0" distR="0" wp14:anchorId="397C8F61" wp14:editId="7A9559AC">
            <wp:extent cx="5939790" cy="2897249"/>
            <wp:effectExtent l="0" t="0" r="3810" b="0"/>
            <wp:docPr id="5704" name="Рисунок 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939790" cy="2897249"/>
                    </a:xfrm>
                    <a:prstGeom prst="rect">
                      <a:avLst/>
                    </a:prstGeom>
                  </pic:spPr>
                </pic:pic>
              </a:graphicData>
            </a:graphic>
          </wp:inline>
        </w:drawing>
      </w:r>
    </w:p>
    <w:p w:rsidR="00D90944" w:rsidRPr="00206C4C" w:rsidRDefault="00AA2FDD" w:rsidP="00AA2FDD">
      <w:pPr>
        <w:pStyle w:val="-0"/>
      </w:pPr>
      <w:bookmarkStart w:id="230" w:name="_Toc119584251"/>
      <w:r w:rsidRPr="00206C4C">
        <w:t xml:space="preserve">Рисунок </w:t>
      </w:r>
      <w:fldSimple w:instr=" SEQ Рисунок \* ARABIC ">
        <w:bookmarkStart w:id="231" w:name="_Ref69981414"/>
        <w:r w:rsidR="001860A9">
          <w:rPr>
            <w:noProof/>
          </w:rPr>
          <w:t>64</w:t>
        </w:r>
        <w:bookmarkEnd w:id="231"/>
      </w:fldSimple>
      <w:r w:rsidR="005326C7">
        <w:t xml:space="preserve"> </w:t>
      </w:r>
      <w:r w:rsidRPr="00206C4C">
        <w:t xml:space="preserve">– Плашка для перехода к отчету </w:t>
      </w:r>
      <w:r w:rsidRPr="00206C4C">
        <w:rPr>
          <w:rStyle w:val="af1"/>
        </w:rPr>
        <w:t>«</w:t>
      </w:r>
      <w:r w:rsidRPr="00206C4C">
        <w:t>Плановые и фактические показатели исполнения федерального бюджета</w:t>
      </w:r>
      <w:r w:rsidRPr="00206C4C">
        <w:rPr>
          <w:rStyle w:val="af1"/>
        </w:rPr>
        <w:t>»</w:t>
      </w:r>
      <w:bookmarkEnd w:id="230"/>
    </w:p>
    <w:p w:rsidR="00D90944" w:rsidRPr="00206C4C" w:rsidRDefault="00D90944" w:rsidP="00D90944">
      <w:pPr>
        <w:pStyle w:val="af0"/>
        <w:rPr>
          <w:szCs w:val="28"/>
        </w:rPr>
      </w:pPr>
      <w:r w:rsidRPr="00206C4C">
        <w:rPr>
          <w:szCs w:val="28"/>
        </w:rPr>
        <w:t xml:space="preserve">Отчет </w:t>
      </w:r>
      <w:r w:rsidRPr="00206C4C">
        <w:rPr>
          <w:rStyle w:val="af1"/>
        </w:rPr>
        <w:t>«</w:t>
      </w:r>
      <w:r w:rsidRPr="00206C4C">
        <w:t>Плановые и фактические показатели исполнения федерального бюджета</w:t>
      </w:r>
      <w:r w:rsidRPr="00206C4C">
        <w:rPr>
          <w:rStyle w:val="af1"/>
        </w:rPr>
        <w:t xml:space="preserve">» </w:t>
      </w:r>
      <w:r w:rsidRPr="00206C4C">
        <w:rPr>
          <w:szCs w:val="28"/>
        </w:rPr>
        <w:t>обеспечивает возможность анализа показателей  по главным администраторам федерального бюджета, отображаемых в виде 4 таблиц (Рисунок</w:t>
      </w:r>
      <w:r w:rsidR="00AA2FDD">
        <w:rPr>
          <w:szCs w:val="28"/>
        </w:rPr>
        <w:t xml:space="preserve"> </w:t>
      </w:r>
      <w:r w:rsidR="00AA2FDD">
        <w:rPr>
          <w:szCs w:val="28"/>
        </w:rPr>
        <w:fldChar w:fldCharType="begin"/>
      </w:r>
      <w:r w:rsidR="00AA2FDD">
        <w:rPr>
          <w:szCs w:val="28"/>
        </w:rPr>
        <w:instrText xml:space="preserve"> REF _Ref69981448 \h </w:instrText>
      </w:r>
      <w:r w:rsidR="00AA2FDD">
        <w:rPr>
          <w:szCs w:val="28"/>
        </w:rPr>
      </w:r>
      <w:r w:rsidR="00AA2FDD">
        <w:rPr>
          <w:szCs w:val="28"/>
        </w:rPr>
        <w:fldChar w:fldCharType="separate"/>
      </w:r>
      <w:r w:rsidR="00BF0BEE">
        <w:rPr>
          <w:noProof/>
        </w:rPr>
        <w:t>65</w:t>
      </w:r>
      <w:r w:rsidR="00AA2FDD">
        <w:rPr>
          <w:szCs w:val="28"/>
        </w:rPr>
        <w:fldChar w:fldCharType="end"/>
      </w:r>
      <w:r w:rsidRPr="00206C4C">
        <w:rPr>
          <w:szCs w:val="28"/>
        </w:rPr>
        <w:t>):</w:t>
      </w:r>
    </w:p>
    <w:p w:rsidR="00D90944" w:rsidRPr="00206C4C" w:rsidRDefault="00D90944" w:rsidP="00DE1661">
      <w:pPr>
        <w:pStyle w:val="13"/>
      </w:pPr>
      <w:r w:rsidRPr="00206C4C">
        <w:t>Сводная информация по исполнению федерального бюджета;</w:t>
      </w:r>
    </w:p>
    <w:p w:rsidR="00D90944" w:rsidRPr="00206C4C" w:rsidRDefault="00D90944" w:rsidP="00DE1661">
      <w:pPr>
        <w:pStyle w:val="13"/>
      </w:pPr>
      <w:r w:rsidRPr="00206C4C">
        <w:t>Качество кассового планирования;</w:t>
      </w:r>
    </w:p>
    <w:p w:rsidR="00D90944" w:rsidRPr="00206C4C" w:rsidRDefault="00D90944" w:rsidP="00DE1661">
      <w:pPr>
        <w:pStyle w:val="13"/>
      </w:pPr>
      <w:r w:rsidRPr="00206C4C">
        <w:t>Предельные объемы финансирования расходов;</w:t>
      </w:r>
    </w:p>
    <w:p w:rsidR="00D90944" w:rsidRPr="00206C4C" w:rsidRDefault="00D90944" w:rsidP="00DE1661">
      <w:pPr>
        <w:pStyle w:val="13"/>
      </w:pPr>
      <w:r w:rsidRPr="00206C4C">
        <w:t>Нарушение сроков предоставления сведений для формирования кассового плана исполнения федерального бюджета.</w:t>
      </w:r>
    </w:p>
    <w:p w:rsidR="00AA2FDD" w:rsidRDefault="000D7DD8" w:rsidP="00AA2FDD">
      <w:pPr>
        <w:pStyle w:val="-0"/>
        <w:keepNext/>
      </w:pPr>
      <w:r>
        <w:rPr>
          <w:noProof/>
          <w:snapToGrid/>
        </w:rPr>
        <w:drawing>
          <wp:inline distT="0" distB="0" distL="0" distR="0" wp14:anchorId="4E9E08BB" wp14:editId="1FC1C17B">
            <wp:extent cx="5939790" cy="2892345"/>
            <wp:effectExtent l="0" t="0" r="3810" b="3810"/>
            <wp:docPr id="5716" name="Рисунок 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5939790" cy="2892345"/>
                    </a:xfrm>
                    <a:prstGeom prst="rect">
                      <a:avLst/>
                    </a:prstGeom>
                  </pic:spPr>
                </pic:pic>
              </a:graphicData>
            </a:graphic>
          </wp:inline>
        </w:drawing>
      </w:r>
    </w:p>
    <w:p w:rsidR="00D90944" w:rsidRPr="00206C4C" w:rsidRDefault="00AA2FDD" w:rsidP="00AA2FDD">
      <w:pPr>
        <w:pStyle w:val="-0"/>
      </w:pPr>
      <w:bookmarkStart w:id="232" w:name="_Toc119584252"/>
      <w:r w:rsidRPr="00206C4C">
        <w:t xml:space="preserve">Рисунок </w:t>
      </w:r>
      <w:fldSimple w:instr=" SEQ Рисунок \* ARABIC ">
        <w:bookmarkStart w:id="233" w:name="_Ref69981448"/>
        <w:r w:rsidR="001860A9">
          <w:rPr>
            <w:noProof/>
          </w:rPr>
          <w:t>65</w:t>
        </w:r>
        <w:bookmarkEnd w:id="233"/>
      </w:fldSimple>
      <w:r w:rsidRPr="00206C4C">
        <w:t xml:space="preserve"> – </w:t>
      </w:r>
      <w:r w:rsidRPr="00206C4C">
        <w:rPr>
          <w:rStyle w:val="af1"/>
        </w:rPr>
        <w:t>Макет отчета «Плановые и фактические показатели исполнения федерального бюджета»</w:t>
      </w:r>
      <w:bookmarkEnd w:id="232"/>
    </w:p>
    <w:p w:rsidR="00D90944" w:rsidRPr="00206C4C" w:rsidRDefault="00D90944" w:rsidP="00D90944">
      <w:pPr>
        <w:pStyle w:val="af0"/>
      </w:pPr>
      <w:r w:rsidRPr="00206C4C">
        <w:t>Параметры отчета:</w:t>
      </w:r>
    </w:p>
    <w:p w:rsidR="00D90944" w:rsidRPr="00206C4C" w:rsidRDefault="00D90944" w:rsidP="00DE1661">
      <w:pPr>
        <w:pStyle w:val="13"/>
      </w:pPr>
      <w:r w:rsidRPr="00206C4C">
        <w:t>Год: выпадающий список с выбором года отображаемых данных. По умолчанию отображается текущий год;</w:t>
      </w:r>
    </w:p>
    <w:p w:rsidR="00D90944" w:rsidRPr="00206C4C" w:rsidRDefault="00D90944" w:rsidP="00DE1661">
      <w:pPr>
        <w:pStyle w:val="13"/>
      </w:pPr>
      <w:r w:rsidRPr="00206C4C">
        <w:t>Месяц: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pPr>
      <w:r w:rsidRPr="00206C4C">
        <w:t xml:space="preserve">Главный администратор ФБ: выпадающий список с выбором главного администратора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«100 – Федеральное казначейство»;</w:t>
      </w:r>
    </w:p>
    <w:p w:rsidR="00D90944" w:rsidRPr="00206C4C" w:rsidRDefault="00D90944" w:rsidP="00DE1661">
      <w:pPr>
        <w:pStyle w:val="13"/>
      </w:pPr>
      <w:r w:rsidRPr="00206C4C">
        <w:t>Единицы измерения: выпадающий список с выбором единиц измерения. Состоит из элементов: руб., тыс. руб., млн руб., млрд руб.</w:t>
      </w:r>
    </w:p>
    <w:p w:rsidR="00D90944" w:rsidRPr="00206C4C" w:rsidRDefault="00D90944" w:rsidP="00474AE6">
      <w:pPr>
        <w:pStyle w:val="42"/>
      </w:pPr>
      <w:bookmarkStart w:id="234" w:name="_Toc37845308"/>
      <w:bookmarkStart w:id="235" w:name="_Toc69290111"/>
      <w:r w:rsidRPr="00206C4C">
        <w:t>Отчет «</w:t>
      </w:r>
      <w:bookmarkStart w:id="236" w:name="_Toc16603517"/>
      <w:r w:rsidRPr="00206C4C">
        <w:t>Сводная информация по исполнению федерального бюджета</w:t>
      </w:r>
      <w:bookmarkEnd w:id="236"/>
      <w:r w:rsidRPr="00206C4C">
        <w:t>»</w:t>
      </w:r>
      <w:bookmarkEnd w:id="234"/>
      <w:bookmarkEnd w:id="235"/>
    </w:p>
    <w:p w:rsidR="00D90944" w:rsidRPr="00206C4C" w:rsidRDefault="00D90944" w:rsidP="00D90944">
      <w:pPr>
        <w:pStyle w:val="af0"/>
        <w:rPr>
          <w:rStyle w:val="af1"/>
        </w:rPr>
      </w:pPr>
      <w:r w:rsidRPr="00206C4C">
        <w:rPr>
          <w:rStyle w:val="af1"/>
        </w:rPr>
        <w:t>Для перехода к отчету «</w:t>
      </w:r>
      <w:r w:rsidRPr="00206C4C">
        <w:t>Сводная информация по исполнению федерального бюджета</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Плановые и фактические показатели исполнения федерального бюджета</w:t>
      </w:r>
      <w:r w:rsidRPr="00206C4C">
        <w:rPr>
          <w:rStyle w:val="af1"/>
        </w:rPr>
        <w:t>», как показано на рисунке</w:t>
      </w:r>
      <w:r w:rsidR="00494AC5">
        <w:rPr>
          <w:rStyle w:val="af1"/>
        </w:rPr>
        <w:t xml:space="preserve"> </w:t>
      </w:r>
      <w:r w:rsidR="00494AC5">
        <w:rPr>
          <w:rStyle w:val="af1"/>
        </w:rPr>
        <w:fldChar w:fldCharType="begin"/>
      </w:r>
      <w:r w:rsidR="00494AC5">
        <w:rPr>
          <w:rStyle w:val="af1"/>
        </w:rPr>
        <w:instrText xml:space="preserve"> REF _Ref69981414 \h </w:instrText>
      </w:r>
      <w:r w:rsidR="00494AC5">
        <w:rPr>
          <w:rStyle w:val="af1"/>
        </w:rPr>
      </w:r>
      <w:r w:rsidR="00494AC5">
        <w:rPr>
          <w:rStyle w:val="af1"/>
        </w:rPr>
        <w:fldChar w:fldCharType="separate"/>
      </w:r>
      <w:r w:rsidR="00BF0BEE">
        <w:rPr>
          <w:noProof/>
        </w:rPr>
        <w:t>64</w:t>
      </w:r>
      <w:r w:rsidR="00494AC5">
        <w:rPr>
          <w:rStyle w:val="af1"/>
        </w:rPr>
        <w:fldChar w:fldCharType="end"/>
      </w:r>
      <w:r w:rsidRPr="00206C4C">
        <w:rPr>
          <w:rStyle w:val="af1"/>
        </w:rPr>
        <w:t>.</w:t>
      </w:r>
    </w:p>
    <w:p w:rsidR="00D90944" w:rsidRPr="00206C4C" w:rsidRDefault="00D90944" w:rsidP="00D90944">
      <w:pPr>
        <w:pStyle w:val="af0"/>
        <w:rPr>
          <w:rStyle w:val="af1"/>
        </w:rPr>
      </w:pPr>
      <w:r w:rsidRPr="00206C4C">
        <w:rPr>
          <w:rStyle w:val="af1"/>
        </w:rPr>
        <w:t>«</w:t>
      </w:r>
      <w:r w:rsidRPr="00206C4C">
        <w:t>Сводная информация по исполнению федерального бюджета</w:t>
      </w:r>
      <w:r w:rsidRPr="00206C4C">
        <w:rPr>
          <w:rStyle w:val="af1"/>
        </w:rPr>
        <w:t>» представлена в первой таблице отчета «</w:t>
      </w:r>
      <w:r w:rsidRPr="00206C4C">
        <w:t>Плановые и фактические показатели исполнения федерального бюджета</w:t>
      </w:r>
      <w:r w:rsidRPr="00206C4C">
        <w:rPr>
          <w:rStyle w:val="af1"/>
        </w:rPr>
        <w:t>» (Рисунок</w:t>
      </w:r>
      <w:r w:rsidR="00AA2FDD">
        <w:rPr>
          <w:rStyle w:val="af1"/>
        </w:rPr>
        <w:t xml:space="preserve"> </w:t>
      </w:r>
      <w:r w:rsidR="00AA2FDD">
        <w:rPr>
          <w:rStyle w:val="af1"/>
        </w:rPr>
        <w:fldChar w:fldCharType="begin"/>
      </w:r>
      <w:r w:rsidR="00AA2FDD">
        <w:rPr>
          <w:rStyle w:val="af1"/>
        </w:rPr>
        <w:instrText xml:space="preserve"> REF _Ref69981482 \h </w:instrText>
      </w:r>
      <w:r w:rsidR="00AA2FDD">
        <w:rPr>
          <w:rStyle w:val="af1"/>
        </w:rPr>
      </w:r>
      <w:r w:rsidR="00AA2FDD">
        <w:rPr>
          <w:rStyle w:val="af1"/>
        </w:rPr>
        <w:fldChar w:fldCharType="separate"/>
      </w:r>
      <w:r w:rsidR="00BF0BEE">
        <w:rPr>
          <w:noProof/>
        </w:rPr>
        <w:t>66</w:t>
      </w:r>
      <w:r w:rsidR="00AA2FDD">
        <w:rPr>
          <w:rStyle w:val="af1"/>
        </w:rPr>
        <w:fldChar w:fldCharType="end"/>
      </w:r>
      <w:r w:rsidRPr="00206C4C">
        <w:rPr>
          <w:rStyle w:val="af1"/>
        </w:rPr>
        <w:t>).</w:t>
      </w:r>
    </w:p>
    <w:p w:rsidR="00AA2FDD" w:rsidRDefault="000D7DD8" w:rsidP="00AA2FDD">
      <w:pPr>
        <w:pStyle w:val="-0"/>
        <w:keepNext/>
      </w:pPr>
      <w:r>
        <w:rPr>
          <w:noProof/>
          <w:snapToGrid/>
        </w:rPr>
        <w:drawing>
          <wp:inline distT="0" distB="0" distL="0" distR="0" wp14:anchorId="67285376" wp14:editId="1116D686">
            <wp:extent cx="5939790" cy="2889280"/>
            <wp:effectExtent l="0" t="0" r="3810" b="6350"/>
            <wp:docPr id="5717" name="Рисунок 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5939790" cy="2889280"/>
                    </a:xfrm>
                    <a:prstGeom prst="rect">
                      <a:avLst/>
                    </a:prstGeom>
                  </pic:spPr>
                </pic:pic>
              </a:graphicData>
            </a:graphic>
          </wp:inline>
        </w:drawing>
      </w:r>
    </w:p>
    <w:p w:rsidR="000D7DD8" w:rsidRDefault="00AA2FDD" w:rsidP="00AA2FDD">
      <w:pPr>
        <w:pStyle w:val="-0"/>
      </w:pPr>
      <w:bookmarkStart w:id="237" w:name="_Toc119584253"/>
      <w:r>
        <w:rPr>
          <w:rStyle w:val="af1"/>
          <w:rFonts w:eastAsia="Calibri"/>
        </w:rPr>
        <w:t xml:space="preserve">Рисунок </w:t>
      </w:r>
      <w:fldSimple w:instr=" SEQ Рисунок \* ARABIC ">
        <w:bookmarkStart w:id="238" w:name="_Ref69981482"/>
        <w:r w:rsidR="001860A9">
          <w:rPr>
            <w:noProof/>
          </w:rPr>
          <w:t>66</w:t>
        </w:r>
        <w:bookmarkEnd w:id="238"/>
      </w:fldSimple>
      <w:r>
        <w:rPr>
          <w:rStyle w:val="af1"/>
          <w:rFonts w:eastAsia="Calibri"/>
        </w:rPr>
        <w:t xml:space="preserve"> – </w:t>
      </w:r>
      <w:r w:rsidRPr="00206C4C">
        <w:rPr>
          <w:rStyle w:val="af1"/>
          <w:rFonts w:eastAsia="Calibri"/>
        </w:rPr>
        <w:t>Макет т</w:t>
      </w:r>
      <w:r w:rsidRPr="00206C4C">
        <w:rPr>
          <w:rStyle w:val="af1"/>
        </w:rPr>
        <w:t>аблицы «</w:t>
      </w:r>
      <w:r w:rsidRPr="00206C4C">
        <w:t>Сводная информация по исполнению федерального бюджета</w:t>
      </w:r>
      <w:r w:rsidRPr="00206C4C">
        <w:rPr>
          <w:rStyle w:val="af1"/>
        </w:rPr>
        <w:t>» отчета «</w:t>
      </w:r>
      <w:r w:rsidRPr="00206C4C">
        <w:t>Плановые и фактические показатели исполнения федерального бюджета</w:t>
      </w:r>
      <w:r w:rsidRPr="00206C4C">
        <w:rPr>
          <w:rStyle w:val="af1"/>
        </w:rPr>
        <w:t>»</w:t>
      </w:r>
      <w:bookmarkEnd w:id="237"/>
    </w:p>
    <w:p w:rsidR="00D90944" w:rsidRPr="00206C4C" w:rsidRDefault="00D90944" w:rsidP="00D90944">
      <w:pPr>
        <w:pStyle w:val="af0"/>
        <w:rPr>
          <w:szCs w:val="28"/>
        </w:rPr>
      </w:pPr>
      <w:r w:rsidRPr="00206C4C">
        <w:rPr>
          <w:szCs w:val="28"/>
        </w:rPr>
        <w:t>Таблица «Сводная информация по исполнению федерального бюджета» в аналитическом отчете «Плановые и фактические показатели исполнения федерального бюджета» обеспечивает возможность анализа прогнозных и фактических показателей по исполнению доходов, расходов, источников финансирования дефицита федерального бюджета нарастающим итогом с начала текущего месяца и с начала года по главным администраторам федерального бюджета.</w:t>
      </w:r>
    </w:p>
    <w:p w:rsidR="00D90944" w:rsidRPr="00206C4C" w:rsidRDefault="00D90944" w:rsidP="00D90944">
      <w:pPr>
        <w:pStyle w:val="af0"/>
        <w:rPr>
          <w:rFonts w:eastAsia="Calibri"/>
        </w:rPr>
      </w:pPr>
      <w:r w:rsidRPr="00206C4C">
        <w:rPr>
          <w:rFonts w:eastAsia="Calibri"/>
        </w:rPr>
        <w:t xml:space="preserve">Таблица формируется на основе преднастроенной таблицы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SVOD</w:t>
      </w:r>
      <w:r w:rsidRPr="00206C4C">
        <w:rPr>
          <w:rFonts w:eastAsia="Calibri"/>
        </w:rPr>
        <w:t xml:space="preserve"> в базе данных, которая заполняется отдельным сценарием загрузки.</w:t>
      </w:r>
    </w:p>
    <w:p w:rsidR="00D90944" w:rsidRPr="00206C4C" w:rsidRDefault="00D90944" w:rsidP="00D90944">
      <w:pPr>
        <w:pStyle w:val="af0"/>
        <w:rPr>
          <w:rFonts w:eastAsia="Calibri"/>
        </w:rPr>
      </w:pPr>
      <w:r w:rsidRPr="00206C4C">
        <w:rPr>
          <w:szCs w:val="28"/>
        </w:rPr>
        <w:t>Из таблицы обеспечены переходы с тех ячеек, в которых в правом верхнем углу проставлен значок синего треугольника:</w:t>
      </w:r>
    </w:p>
    <w:p w:rsidR="00D90944" w:rsidRPr="00206C4C" w:rsidRDefault="00D90944" w:rsidP="00DE1661">
      <w:pPr>
        <w:pStyle w:val="13"/>
      </w:pPr>
      <w:r w:rsidRPr="00206C4C">
        <w:t>с колонки «Закон о федеральном бюджете» переход к отчету «Показатели, предусмотренные (учтенные при формировании) федеральным законом о федеральном бюджете» в представление в зависимости от строки таблицы, с которой осуществляется переход («Доходы», «Расходы» или «Источники финансирования») (Рисунок</w:t>
      </w:r>
      <w:r w:rsidR="00AA2FDD">
        <w:t xml:space="preserve"> </w:t>
      </w:r>
      <w:r w:rsidR="00AA2FDD">
        <w:fldChar w:fldCharType="begin"/>
      </w:r>
      <w:r w:rsidR="00AA2FDD">
        <w:instrText xml:space="preserve"> REF _Ref69981549 \h </w:instrText>
      </w:r>
      <w:r w:rsidR="00AA2FDD">
        <w:fldChar w:fldCharType="separate"/>
      </w:r>
      <w:r w:rsidR="00BF0BEE">
        <w:rPr>
          <w:noProof/>
        </w:rPr>
        <w:t>67</w:t>
      </w:r>
      <w:r w:rsidR="00AA2FDD">
        <w:fldChar w:fldCharType="end"/>
      </w:r>
      <w:r w:rsidRPr="00206C4C">
        <w:t xml:space="preserve">). </w:t>
      </w:r>
    </w:p>
    <w:p w:rsidR="00D90944" w:rsidRPr="00206C4C" w:rsidRDefault="00D90944" w:rsidP="00DE1661">
      <w:pPr>
        <w:pStyle w:val="13"/>
      </w:pPr>
      <w:r w:rsidRPr="00206C4C">
        <w:t>с колонок «План»:</w:t>
      </w:r>
    </w:p>
    <w:p w:rsidR="00D90944" w:rsidRPr="00206C4C" w:rsidRDefault="00D90944" w:rsidP="00D90944">
      <w:pPr>
        <w:pStyle w:val="29"/>
      </w:pPr>
      <w:r w:rsidRPr="00206C4C">
        <w:t>строка «Доходы» переход к отчету «Прогноз кассовых поступлений по доходам федерального бюджета»;</w:t>
      </w:r>
    </w:p>
    <w:p w:rsidR="00D90944" w:rsidRPr="00206C4C" w:rsidRDefault="00D90944" w:rsidP="00D90944">
      <w:pPr>
        <w:pStyle w:val="29"/>
      </w:pPr>
      <w:r w:rsidRPr="00206C4C">
        <w:t>строка «Расходы» переход к отчету «Прогноз кассовых выплат по расходам федерального бюджета» (</w:t>
      </w:r>
      <w:r w:rsidR="00AA2FDD">
        <w:t xml:space="preserve">Рисунок </w:t>
      </w:r>
      <w:r w:rsidR="009E0EC0">
        <w:fldChar w:fldCharType="begin"/>
      </w:r>
      <w:r w:rsidR="009E0EC0">
        <w:instrText xml:space="preserve"> REF _Ref69981629 \h </w:instrText>
      </w:r>
      <w:r w:rsidR="009E0EC0">
        <w:fldChar w:fldCharType="separate"/>
      </w:r>
      <w:r w:rsidR="00BF0BEE">
        <w:rPr>
          <w:noProof/>
        </w:rPr>
        <w:t>68</w:t>
      </w:r>
      <w:r w:rsidR="009E0EC0">
        <w:fldChar w:fldCharType="end"/>
      </w:r>
      <w:r w:rsidRPr="00206C4C">
        <w:t>).</w:t>
      </w:r>
    </w:p>
    <w:p w:rsidR="00D90944" w:rsidRPr="00206C4C" w:rsidRDefault="00D90944" w:rsidP="00D90944">
      <w:pPr>
        <w:pStyle w:val="29"/>
      </w:pPr>
      <w:r w:rsidRPr="00206C4C">
        <w:t>строка «Источники финансирования» переход к отчету «Прогноз кассовых выплат по источникам финансирования дефицита федерального бюджета;</w:t>
      </w:r>
    </w:p>
    <w:p w:rsidR="00D90944" w:rsidRPr="00206C4C" w:rsidRDefault="00D90944" w:rsidP="00DE1661">
      <w:pPr>
        <w:pStyle w:val="13"/>
      </w:pPr>
      <w:r w:rsidRPr="00206C4C">
        <w:t>с колонок «Исполнено» переход к отчетам «Сводная информация по исполнению федерального бюджета» (Рисунок</w:t>
      </w:r>
      <w:r w:rsidR="009E0EC0">
        <w:t xml:space="preserve"> </w:t>
      </w:r>
      <w:r w:rsidR="009E0EC0">
        <w:fldChar w:fldCharType="begin"/>
      </w:r>
      <w:r w:rsidR="009E0EC0">
        <w:instrText xml:space="preserve"> REF _Ref69981661 \h </w:instrText>
      </w:r>
      <w:r w:rsidR="009E0EC0">
        <w:fldChar w:fldCharType="separate"/>
      </w:r>
      <w:r w:rsidR="00BF0BEE">
        <w:rPr>
          <w:noProof/>
        </w:rPr>
        <w:t>69</w:t>
      </w:r>
      <w:r w:rsidR="009E0EC0">
        <w:fldChar w:fldCharType="end"/>
      </w:r>
      <w:r w:rsidRPr="00206C4C">
        <w:t>) и «</w:t>
      </w:r>
      <w:r w:rsidR="000445C6">
        <w:t>Оперативная и</w:t>
      </w:r>
      <w:r w:rsidRPr="00206C4C">
        <w:t>нформация о кассовых поступлениях и выплатах федерального бюджета» (Рисунок</w:t>
      </w:r>
      <w:r w:rsidR="009E0EC0">
        <w:t xml:space="preserve"> </w:t>
      </w:r>
      <w:r w:rsidR="009E0EC0">
        <w:fldChar w:fldCharType="begin"/>
      </w:r>
      <w:r w:rsidR="009E0EC0">
        <w:instrText xml:space="preserve"> REF _Ref69981700 \h </w:instrText>
      </w:r>
      <w:r w:rsidR="009E0EC0">
        <w:fldChar w:fldCharType="separate"/>
      </w:r>
      <w:r w:rsidR="00BF0BEE">
        <w:rPr>
          <w:noProof/>
        </w:rPr>
        <w:t>70</w:t>
      </w:r>
      <w:r w:rsidR="009E0EC0">
        <w:fldChar w:fldCharType="end"/>
      </w:r>
      <w:r w:rsidRPr="00206C4C">
        <w:t>).</w:t>
      </w:r>
    </w:p>
    <w:p w:rsidR="00AA2FDD" w:rsidRDefault="006C740B" w:rsidP="00AA2FDD">
      <w:pPr>
        <w:pStyle w:val="afffff7"/>
        <w:keepNext/>
      </w:pPr>
      <w:r>
        <w:rPr>
          <w:noProof/>
          <w:lang w:eastAsia="ru-RU"/>
        </w:rPr>
        <w:drawing>
          <wp:inline distT="0" distB="0" distL="0" distR="0" wp14:anchorId="34308170" wp14:editId="43E2665A">
            <wp:extent cx="5939790" cy="2888054"/>
            <wp:effectExtent l="0" t="0" r="3810" b="7620"/>
            <wp:docPr id="5720" name="Рисунок 5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5939790" cy="2888054"/>
                    </a:xfrm>
                    <a:prstGeom prst="rect">
                      <a:avLst/>
                    </a:prstGeom>
                  </pic:spPr>
                </pic:pic>
              </a:graphicData>
            </a:graphic>
          </wp:inline>
        </w:drawing>
      </w:r>
    </w:p>
    <w:p w:rsidR="00D90944" w:rsidRPr="00206C4C" w:rsidRDefault="00AA2FDD" w:rsidP="00AA2FDD">
      <w:pPr>
        <w:pStyle w:val="-0"/>
      </w:pPr>
      <w:bookmarkStart w:id="239" w:name="_Toc119584254"/>
      <w:r w:rsidRPr="00206C4C">
        <w:t xml:space="preserve">Рисунок </w:t>
      </w:r>
      <w:fldSimple w:instr=" SEQ Рисунок \* ARABIC ">
        <w:bookmarkStart w:id="240" w:name="_Ref69981549"/>
        <w:r w:rsidR="001860A9">
          <w:rPr>
            <w:noProof/>
          </w:rPr>
          <w:t>67</w:t>
        </w:r>
        <w:bookmarkEnd w:id="240"/>
      </w:fldSimple>
      <w:r w:rsidRPr="00206C4C">
        <w:t xml:space="preserve"> – Макет отчета «Показатели, предусмотренные (учтенные при формировании) федеральным законом о федеральном бюджете»</w:t>
      </w:r>
      <w:bookmarkEnd w:id="239"/>
    </w:p>
    <w:p w:rsidR="00AA2FDD" w:rsidRDefault="00472875" w:rsidP="00AA2FDD">
      <w:pPr>
        <w:pStyle w:val="afffff7"/>
        <w:keepNext/>
      </w:pPr>
      <w:r>
        <w:rPr>
          <w:noProof/>
          <w:lang w:eastAsia="ru-RU"/>
        </w:rPr>
        <w:drawing>
          <wp:inline distT="0" distB="0" distL="0" distR="0" wp14:anchorId="5F7D5B2B" wp14:editId="671F5D9B">
            <wp:extent cx="5939790" cy="2891119"/>
            <wp:effectExtent l="0" t="0" r="3810" b="508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5939790" cy="2891119"/>
                    </a:xfrm>
                    <a:prstGeom prst="rect">
                      <a:avLst/>
                    </a:prstGeom>
                  </pic:spPr>
                </pic:pic>
              </a:graphicData>
            </a:graphic>
          </wp:inline>
        </w:drawing>
      </w:r>
    </w:p>
    <w:p w:rsidR="00D90944" w:rsidRPr="00206C4C" w:rsidRDefault="009E0EC0" w:rsidP="009E0EC0">
      <w:pPr>
        <w:pStyle w:val="-0"/>
      </w:pPr>
      <w:bookmarkStart w:id="241" w:name="_Toc119584255"/>
      <w:r w:rsidRPr="00206C4C">
        <w:t xml:space="preserve">Рисунок </w:t>
      </w:r>
      <w:fldSimple w:instr=" SEQ Рисунок \* ARABIC ">
        <w:bookmarkStart w:id="242" w:name="_Ref69981629"/>
        <w:r w:rsidR="001860A9">
          <w:rPr>
            <w:noProof/>
          </w:rPr>
          <w:t>68</w:t>
        </w:r>
        <w:bookmarkEnd w:id="242"/>
      </w:fldSimple>
      <w:r w:rsidRPr="00206C4C">
        <w:t xml:space="preserve"> – Макет отчета отчету «Прогноз кассовых выплат по расходам федерального бюджета»</w:t>
      </w:r>
      <w:bookmarkEnd w:id="241"/>
    </w:p>
    <w:p w:rsidR="00AA2FDD" w:rsidRDefault="00472875" w:rsidP="00AA2FDD">
      <w:pPr>
        <w:pStyle w:val="afffff7"/>
        <w:keepNext/>
      </w:pPr>
      <w:r>
        <w:rPr>
          <w:noProof/>
          <w:lang w:eastAsia="ru-RU"/>
        </w:rPr>
        <w:drawing>
          <wp:inline distT="0" distB="0" distL="0" distR="0" wp14:anchorId="3956ED1C" wp14:editId="56D310EE">
            <wp:extent cx="5939790" cy="2880084"/>
            <wp:effectExtent l="0" t="0" r="381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5939790" cy="2880084"/>
                    </a:xfrm>
                    <a:prstGeom prst="rect">
                      <a:avLst/>
                    </a:prstGeom>
                  </pic:spPr>
                </pic:pic>
              </a:graphicData>
            </a:graphic>
          </wp:inline>
        </w:drawing>
      </w:r>
    </w:p>
    <w:p w:rsidR="00D90944" w:rsidRPr="00206C4C" w:rsidRDefault="009E0EC0" w:rsidP="009E0EC0">
      <w:pPr>
        <w:pStyle w:val="-0"/>
      </w:pPr>
      <w:bookmarkStart w:id="243" w:name="_Toc119584256"/>
      <w:r w:rsidRPr="00206C4C">
        <w:t xml:space="preserve">Рисунок </w:t>
      </w:r>
      <w:fldSimple w:instr=" SEQ Рисунок \* ARABIC ">
        <w:bookmarkStart w:id="244" w:name="_Ref69981661"/>
        <w:r w:rsidR="001860A9">
          <w:rPr>
            <w:noProof/>
          </w:rPr>
          <w:t>69</w:t>
        </w:r>
        <w:bookmarkEnd w:id="244"/>
      </w:fldSimple>
      <w:r w:rsidRPr="00206C4C">
        <w:t xml:space="preserve"> – Макет отчета «Сводная информация по исполнению федерального бюджета»</w:t>
      </w:r>
      <w:bookmarkEnd w:id="243"/>
    </w:p>
    <w:p w:rsidR="009E0EC0" w:rsidRDefault="000445C6" w:rsidP="009E0EC0">
      <w:pPr>
        <w:pStyle w:val="afffff7"/>
        <w:keepNext/>
      </w:pPr>
      <w:r>
        <w:rPr>
          <w:noProof/>
          <w:lang w:eastAsia="ru-RU"/>
        </w:rPr>
        <w:drawing>
          <wp:inline distT="0" distB="0" distL="0" distR="0" wp14:anchorId="7A3D586B" wp14:editId="1E75F889">
            <wp:extent cx="5939790" cy="2889280"/>
            <wp:effectExtent l="0" t="0" r="3810" b="6350"/>
            <wp:docPr id="5741" name="Рисунок 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5939790" cy="2889280"/>
                    </a:xfrm>
                    <a:prstGeom prst="rect">
                      <a:avLst/>
                    </a:prstGeom>
                  </pic:spPr>
                </pic:pic>
              </a:graphicData>
            </a:graphic>
          </wp:inline>
        </w:drawing>
      </w:r>
    </w:p>
    <w:p w:rsidR="00D90944" w:rsidRPr="00206C4C" w:rsidRDefault="009E0EC0" w:rsidP="009E0EC0">
      <w:pPr>
        <w:pStyle w:val="-0"/>
      </w:pPr>
      <w:bookmarkStart w:id="245" w:name="_Toc119584257"/>
      <w:r w:rsidRPr="00206C4C">
        <w:t xml:space="preserve">Рисунок </w:t>
      </w:r>
      <w:fldSimple w:instr=" SEQ Рисунок \* ARABIC ">
        <w:bookmarkStart w:id="246" w:name="_Ref69981700"/>
        <w:r w:rsidR="001860A9">
          <w:rPr>
            <w:noProof/>
          </w:rPr>
          <w:t>70</w:t>
        </w:r>
        <w:bookmarkEnd w:id="246"/>
      </w:fldSimple>
      <w:r w:rsidRPr="00206C4C">
        <w:t xml:space="preserve"> – Макет отчета «</w:t>
      </w:r>
      <w:r>
        <w:t>Оперативная и</w:t>
      </w:r>
      <w:r w:rsidRPr="00206C4C">
        <w:t>нформация о кассовых поступлениях и выплатах федерального бюджета»</w:t>
      </w:r>
      <w:bookmarkEnd w:id="245"/>
    </w:p>
    <w:p w:rsidR="00D90944" w:rsidRPr="00206C4C" w:rsidRDefault="00D90944" w:rsidP="00474AE6">
      <w:pPr>
        <w:pStyle w:val="42"/>
      </w:pPr>
      <w:bookmarkStart w:id="247" w:name="_Toc37845309"/>
      <w:bookmarkStart w:id="248" w:name="_Toc69290112"/>
      <w:r w:rsidRPr="00206C4C">
        <w:t>Отчет «Качество кассового планирования»</w:t>
      </w:r>
      <w:bookmarkEnd w:id="247"/>
      <w:bookmarkEnd w:id="248"/>
    </w:p>
    <w:p w:rsidR="00D90944" w:rsidRPr="00206C4C" w:rsidRDefault="00D90944" w:rsidP="00D90944">
      <w:pPr>
        <w:pStyle w:val="af0"/>
        <w:rPr>
          <w:rStyle w:val="af1"/>
        </w:rPr>
      </w:pPr>
      <w:r w:rsidRPr="00206C4C">
        <w:rPr>
          <w:rStyle w:val="af1"/>
        </w:rPr>
        <w:t>Для перехода к отчету «</w:t>
      </w:r>
      <w:r w:rsidRPr="00206C4C">
        <w:t>Качество кассового планирования</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Плановые и фактические показатели исполнения федерального бюджета</w:t>
      </w:r>
      <w:r w:rsidRPr="00206C4C">
        <w:rPr>
          <w:rStyle w:val="af1"/>
        </w:rPr>
        <w:t>», как показано на рисунке</w:t>
      </w:r>
      <w:r w:rsidR="005326C7">
        <w:rPr>
          <w:rStyle w:val="af1"/>
        </w:rPr>
        <w:t xml:space="preserve"> </w:t>
      </w:r>
      <w:r w:rsidR="005326C7">
        <w:rPr>
          <w:rStyle w:val="af1"/>
        </w:rPr>
        <w:fldChar w:fldCharType="begin"/>
      </w:r>
      <w:r w:rsidR="005326C7">
        <w:rPr>
          <w:rStyle w:val="af1"/>
        </w:rPr>
        <w:instrText xml:space="preserve"> REF _Ref69981414 \h </w:instrText>
      </w:r>
      <w:r w:rsidR="005326C7">
        <w:rPr>
          <w:rStyle w:val="af1"/>
        </w:rPr>
      </w:r>
      <w:r w:rsidR="005326C7">
        <w:rPr>
          <w:rStyle w:val="af1"/>
        </w:rPr>
        <w:fldChar w:fldCharType="separate"/>
      </w:r>
      <w:r w:rsidR="00BF0BEE">
        <w:rPr>
          <w:noProof/>
        </w:rPr>
        <w:t>64</w:t>
      </w:r>
      <w:r w:rsidR="005326C7">
        <w:rPr>
          <w:rStyle w:val="af1"/>
        </w:rPr>
        <w:fldChar w:fldCharType="end"/>
      </w:r>
      <w:r w:rsidRPr="00206C4C">
        <w:rPr>
          <w:rStyle w:val="af1"/>
        </w:rPr>
        <w:t>.</w:t>
      </w:r>
    </w:p>
    <w:p w:rsidR="00D90944" w:rsidRPr="00206C4C" w:rsidRDefault="00D90944" w:rsidP="00D90944">
      <w:pPr>
        <w:pStyle w:val="af0"/>
        <w:rPr>
          <w:rStyle w:val="af1"/>
        </w:rPr>
      </w:pPr>
      <w:r w:rsidRPr="00206C4C">
        <w:rPr>
          <w:rStyle w:val="af1"/>
        </w:rPr>
        <w:t>«</w:t>
      </w:r>
      <w:r w:rsidRPr="00206C4C">
        <w:t>Качество кассового планирования</w:t>
      </w:r>
      <w:r w:rsidRPr="00206C4C">
        <w:rPr>
          <w:rStyle w:val="af1"/>
        </w:rPr>
        <w:t>» представлено во второй таблице отчета «</w:t>
      </w:r>
      <w:r w:rsidRPr="00206C4C">
        <w:t>Плановые и фактические показатели исполнения федерального бюджета</w:t>
      </w:r>
      <w:r w:rsidRPr="00206C4C">
        <w:rPr>
          <w:rStyle w:val="af1"/>
        </w:rPr>
        <w:t>» (Рисунок</w:t>
      </w:r>
      <w:r w:rsidR="00726B7B">
        <w:rPr>
          <w:rStyle w:val="af1"/>
        </w:rPr>
        <w:t xml:space="preserve"> </w:t>
      </w:r>
      <w:r w:rsidR="00726B7B">
        <w:rPr>
          <w:rStyle w:val="af1"/>
        </w:rPr>
        <w:fldChar w:fldCharType="begin"/>
      </w:r>
      <w:r w:rsidR="00726B7B">
        <w:rPr>
          <w:rStyle w:val="af1"/>
        </w:rPr>
        <w:instrText xml:space="preserve"> REF _Ref69981899 \h </w:instrText>
      </w:r>
      <w:r w:rsidR="00726B7B">
        <w:rPr>
          <w:rStyle w:val="af1"/>
        </w:rPr>
      </w:r>
      <w:r w:rsidR="00726B7B">
        <w:rPr>
          <w:rStyle w:val="af1"/>
        </w:rPr>
        <w:fldChar w:fldCharType="separate"/>
      </w:r>
      <w:r w:rsidR="00BF0BEE">
        <w:rPr>
          <w:noProof/>
        </w:rPr>
        <w:t>71</w:t>
      </w:r>
      <w:r w:rsidR="00726B7B">
        <w:rPr>
          <w:rStyle w:val="af1"/>
        </w:rPr>
        <w:fldChar w:fldCharType="end"/>
      </w:r>
      <w:r w:rsidRPr="00206C4C">
        <w:rPr>
          <w:rStyle w:val="af1"/>
        </w:rPr>
        <w:t>).</w:t>
      </w:r>
    </w:p>
    <w:p w:rsidR="00D90944" w:rsidRPr="00206C4C" w:rsidRDefault="00D90944" w:rsidP="00D90944">
      <w:pPr>
        <w:pStyle w:val="af0"/>
        <w:rPr>
          <w:rStyle w:val="af1"/>
        </w:rPr>
      </w:pPr>
    </w:p>
    <w:p w:rsidR="00726B7B" w:rsidRDefault="00E773AD" w:rsidP="00726B7B">
      <w:pPr>
        <w:pStyle w:val="afffff7"/>
        <w:keepNext/>
      </w:pPr>
      <w:r>
        <w:rPr>
          <w:noProof/>
          <w:lang w:eastAsia="ru-RU"/>
        </w:rPr>
        <w:drawing>
          <wp:inline distT="0" distB="0" distL="0" distR="0" wp14:anchorId="2ECC5665" wp14:editId="701B2420">
            <wp:extent cx="5939790" cy="2892345"/>
            <wp:effectExtent l="0" t="0" r="3810" b="3810"/>
            <wp:docPr id="5749" name="Рисунок 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5939790" cy="2892345"/>
                    </a:xfrm>
                    <a:prstGeom prst="rect">
                      <a:avLst/>
                    </a:prstGeom>
                  </pic:spPr>
                </pic:pic>
              </a:graphicData>
            </a:graphic>
          </wp:inline>
        </w:drawing>
      </w:r>
    </w:p>
    <w:p w:rsidR="00E773AD" w:rsidRDefault="00726B7B" w:rsidP="00726B7B">
      <w:pPr>
        <w:pStyle w:val="-0"/>
      </w:pPr>
      <w:bookmarkStart w:id="249" w:name="_Toc119584258"/>
      <w:r>
        <w:t>Рисунок</w:t>
      </w:r>
      <w:r w:rsidRPr="00EE7261">
        <w:t xml:space="preserve"> </w:t>
      </w:r>
      <w:fldSimple w:instr=" SEQ Рисунок \* ARABIC ">
        <w:bookmarkStart w:id="250" w:name="_Ref69981899"/>
        <w:r w:rsidR="001860A9">
          <w:rPr>
            <w:noProof/>
          </w:rPr>
          <w:t>71</w:t>
        </w:r>
        <w:bookmarkEnd w:id="250"/>
      </w:fldSimple>
      <w:r w:rsidRPr="00EE7261">
        <w:t xml:space="preserve"> </w:t>
      </w:r>
      <w:r w:rsidRPr="00206C4C">
        <w:t xml:space="preserve">– </w:t>
      </w:r>
      <w:r w:rsidRPr="00206C4C">
        <w:rPr>
          <w:rStyle w:val="af1"/>
        </w:rPr>
        <w:t>Макет таблицы «Качество кассового планирования» отчета «</w:t>
      </w:r>
      <w:r w:rsidRPr="00206C4C">
        <w:t>Плановые и фактические показатели исполнения федерального бюджета</w:t>
      </w:r>
      <w:r w:rsidRPr="00206C4C">
        <w:rPr>
          <w:rStyle w:val="af1"/>
        </w:rPr>
        <w:t>»</w:t>
      </w:r>
      <w:bookmarkEnd w:id="249"/>
    </w:p>
    <w:p w:rsidR="00D90944" w:rsidRPr="00206C4C" w:rsidRDefault="00D90944" w:rsidP="00D90944">
      <w:pPr>
        <w:pStyle w:val="af0"/>
        <w:rPr>
          <w:szCs w:val="28"/>
        </w:rPr>
      </w:pPr>
      <w:r w:rsidRPr="00206C4C">
        <w:rPr>
          <w:szCs w:val="28"/>
        </w:rPr>
        <w:t>Таблица «Качество кассового планирования» в аналитическом отчете «Плановые и фактические показатели исполнения федерального бюджета» обеспечивает возможность мониторинга качества прогнозирования главными администраторами федерального бюджета доходов, расходов и источников финансирования федерального бюджета. В таблице содержатся значения среднемесячного процента исполнения плановых величин с начала года и процента исполнения месячного плана.</w:t>
      </w:r>
    </w:p>
    <w:p w:rsidR="00D90944" w:rsidRPr="00206C4C" w:rsidRDefault="00D90944" w:rsidP="00D90944">
      <w:pPr>
        <w:pStyle w:val="af0"/>
        <w:rPr>
          <w:rFonts w:eastAsia="Calibri"/>
        </w:rPr>
      </w:pPr>
      <w:r w:rsidRPr="00206C4C">
        <w:rPr>
          <w:rFonts w:eastAsia="Calibri"/>
        </w:rPr>
        <w:t>Таблица формируется на основе данных, выводимых в таблицу «Сводная информация по исполнению федерального бюджета»:</w:t>
      </w:r>
    </w:p>
    <w:p w:rsidR="00D90944" w:rsidRPr="00206C4C" w:rsidRDefault="00D90944" w:rsidP="00D90944">
      <w:pPr>
        <w:pStyle w:val="af0"/>
        <w:numPr>
          <w:ilvl w:val="0"/>
          <w:numId w:val="53"/>
        </w:numPr>
        <w:ind w:left="567" w:firstLine="0"/>
        <w:rPr>
          <w:rFonts w:eastAsia="Calibri"/>
        </w:rPr>
      </w:pPr>
      <w:r w:rsidRPr="00206C4C">
        <w:rPr>
          <w:rFonts w:eastAsia="Calibri"/>
        </w:rPr>
        <w:t>«% исполнения плана с начала месяца» рассчитывается как соотношение показателей «Исполнено с начала месяца» и «План на месяц», умноженное на 100%;</w:t>
      </w:r>
    </w:p>
    <w:p w:rsidR="00D90944" w:rsidRPr="00206C4C" w:rsidRDefault="00D90944" w:rsidP="00D90944">
      <w:pPr>
        <w:pStyle w:val="af0"/>
        <w:numPr>
          <w:ilvl w:val="0"/>
          <w:numId w:val="53"/>
        </w:numPr>
        <w:ind w:left="567" w:firstLine="0"/>
      </w:pPr>
      <w:r w:rsidRPr="00206C4C">
        <w:rPr>
          <w:rFonts w:eastAsia="Calibri"/>
        </w:rPr>
        <w:t>«Среднемесячный процент исполнения плана с начала года»</w:t>
      </w:r>
      <w:r w:rsidRPr="00206C4C">
        <w:rPr>
          <w:rFonts w:eastAsia="Calibri"/>
        </w:rPr>
        <w:br/>
        <w:t>рассчитывается как среднеарифметическое значение показателей «% исполнения плана с начала месяца» за каждый месяц в текущем году.</w:t>
      </w:r>
    </w:p>
    <w:p w:rsidR="00D90944" w:rsidRPr="00206C4C" w:rsidRDefault="00D90944" w:rsidP="00D90944">
      <w:pPr>
        <w:pStyle w:val="af0"/>
        <w:spacing w:before="60"/>
        <w:ind w:left="567" w:firstLine="0"/>
        <w:rPr>
          <w:rFonts w:eastAsia="Calibri"/>
        </w:rPr>
      </w:pPr>
      <w:r w:rsidRPr="00206C4C">
        <w:rPr>
          <w:szCs w:val="28"/>
        </w:rPr>
        <w:t>Из таблицы обеспечены следующие переходы:</w:t>
      </w:r>
    </w:p>
    <w:p w:rsidR="00D90944" w:rsidRPr="00206C4C" w:rsidRDefault="00D90944" w:rsidP="00D90944">
      <w:pPr>
        <w:pStyle w:val="af0"/>
        <w:numPr>
          <w:ilvl w:val="0"/>
          <w:numId w:val="53"/>
        </w:numPr>
        <w:ind w:left="567" w:firstLine="0"/>
      </w:pPr>
      <w:r w:rsidRPr="00206C4C">
        <w:t>с колонки «% исполнения плана с начала месяца» переход к отчету «Качество кассового планирования» в представление «С начала месяца»;</w:t>
      </w:r>
    </w:p>
    <w:p w:rsidR="00D90944" w:rsidRPr="00206C4C" w:rsidRDefault="00D90944" w:rsidP="00D90944">
      <w:pPr>
        <w:pStyle w:val="af0"/>
        <w:numPr>
          <w:ilvl w:val="0"/>
          <w:numId w:val="53"/>
        </w:numPr>
        <w:ind w:left="567" w:firstLine="0"/>
      </w:pPr>
      <w:r w:rsidRPr="00206C4C">
        <w:t>с колонки «Среднемесячный процент исполнения плана с начала года» переход к отчету «Качество кассового планирования» в представление «С начала года».</w:t>
      </w:r>
    </w:p>
    <w:p w:rsidR="00D90944" w:rsidRPr="00206C4C" w:rsidRDefault="00D90944" w:rsidP="00DE1661">
      <w:pPr>
        <w:pStyle w:val="13"/>
      </w:pPr>
      <w:r w:rsidRPr="00206C4C">
        <w:t>Переход также осуществляется в представления отчета «Качество кассового планирования» в зависимости от строки таблицы, с которой осуществляется переход («Доходы», «Расходы» или «Источники финансирования»).</w:t>
      </w:r>
    </w:p>
    <w:p w:rsidR="00D90944" w:rsidRPr="00206C4C" w:rsidRDefault="00D90944" w:rsidP="00474AE6">
      <w:pPr>
        <w:pStyle w:val="42"/>
      </w:pPr>
      <w:bookmarkStart w:id="251" w:name="_Toc37845310"/>
      <w:bookmarkStart w:id="252" w:name="_Toc69290113"/>
      <w:r w:rsidRPr="00206C4C">
        <w:t>Отчет «</w:t>
      </w:r>
      <w:bookmarkStart w:id="253" w:name="_Toc16603519"/>
      <w:r w:rsidRPr="00206C4C">
        <w:t>Предельные объемы финансирования расходов</w:t>
      </w:r>
      <w:bookmarkEnd w:id="253"/>
      <w:r w:rsidRPr="00206C4C">
        <w:t>»</w:t>
      </w:r>
      <w:bookmarkEnd w:id="251"/>
      <w:bookmarkEnd w:id="252"/>
    </w:p>
    <w:p w:rsidR="00D90944" w:rsidRPr="00206C4C" w:rsidRDefault="00D90944" w:rsidP="00D90944">
      <w:pPr>
        <w:pStyle w:val="af0"/>
        <w:rPr>
          <w:rStyle w:val="af1"/>
        </w:rPr>
      </w:pPr>
      <w:r w:rsidRPr="00206C4C">
        <w:rPr>
          <w:rStyle w:val="af1"/>
        </w:rPr>
        <w:t>Для перехода к отчету «</w:t>
      </w:r>
      <w:r w:rsidRPr="00206C4C">
        <w:t>Предельные объемы финансирования расходов</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Плановые и фактические показатели исполнения федерального бюджета</w:t>
      </w:r>
      <w:r w:rsidRPr="00206C4C">
        <w:rPr>
          <w:rStyle w:val="af1"/>
        </w:rPr>
        <w:t>», как показано на рисунке</w:t>
      </w:r>
      <w:r w:rsidR="004E0CC5">
        <w:rPr>
          <w:rStyle w:val="af1"/>
        </w:rPr>
        <w:t xml:space="preserve"> </w:t>
      </w:r>
      <w:r w:rsidR="004E0CC5">
        <w:rPr>
          <w:rStyle w:val="af1"/>
        </w:rPr>
        <w:fldChar w:fldCharType="begin"/>
      </w:r>
      <w:r w:rsidR="004E0CC5">
        <w:rPr>
          <w:rStyle w:val="af1"/>
        </w:rPr>
        <w:instrText xml:space="preserve"> REF _Ref69981414 \h </w:instrText>
      </w:r>
      <w:r w:rsidR="004E0CC5">
        <w:rPr>
          <w:rStyle w:val="af1"/>
        </w:rPr>
      </w:r>
      <w:r w:rsidR="004E0CC5">
        <w:rPr>
          <w:rStyle w:val="af1"/>
        </w:rPr>
        <w:fldChar w:fldCharType="separate"/>
      </w:r>
      <w:r w:rsidR="00BF0BEE">
        <w:rPr>
          <w:noProof/>
        </w:rPr>
        <w:t>64</w:t>
      </w:r>
      <w:r w:rsidR="004E0CC5">
        <w:rPr>
          <w:rStyle w:val="af1"/>
        </w:rPr>
        <w:fldChar w:fldCharType="end"/>
      </w:r>
      <w:r w:rsidRPr="00206C4C">
        <w:rPr>
          <w:rStyle w:val="af1"/>
        </w:rPr>
        <w:t>.</w:t>
      </w:r>
    </w:p>
    <w:p w:rsidR="00D90944" w:rsidRPr="00206C4C" w:rsidRDefault="00D90944" w:rsidP="00D90944">
      <w:pPr>
        <w:pStyle w:val="af0"/>
        <w:rPr>
          <w:rStyle w:val="af1"/>
        </w:rPr>
      </w:pPr>
      <w:r w:rsidRPr="00206C4C">
        <w:rPr>
          <w:rStyle w:val="af1"/>
        </w:rPr>
        <w:t>«</w:t>
      </w:r>
      <w:r w:rsidRPr="00206C4C">
        <w:t>Предельные объемы финансирования расходов</w:t>
      </w:r>
      <w:r w:rsidRPr="00206C4C">
        <w:rPr>
          <w:rStyle w:val="af1"/>
        </w:rPr>
        <w:t>» представлены в третьей таблице отчета «</w:t>
      </w:r>
      <w:r w:rsidRPr="00206C4C">
        <w:t>Плановые и фактические показатели исполнения федерального бюджета</w:t>
      </w:r>
      <w:r w:rsidRPr="00206C4C">
        <w:rPr>
          <w:rStyle w:val="af1"/>
        </w:rPr>
        <w:t>» (Рисунок</w:t>
      </w:r>
      <w:r w:rsidR="00F86EFC">
        <w:rPr>
          <w:rStyle w:val="af1"/>
        </w:rPr>
        <w:t xml:space="preserve"> </w:t>
      </w:r>
      <w:r w:rsidR="00F86EFC">
        <w:rPr>
          <w:rStyle w:val="af1"/>
        </w:rPr>
        <w:fldChar w:fldCharType="begin"/>
      </w:r>
      <w:r w:rsidR="00F86EFC">
        <w:rPr>
          <w:rStyle w:val="af1"/>
        </w:rPr>
        <w:instrText xml:space="preserve"> REF _Ref69982052 \h </w:instrText>
      </w:r>
      <w:r w:rsidR="00F86EFC">
        <w:rPr>
          <w:rStyle w:val="af1"/>
        </w:rPr>
      </w:r>
      <w:r w:rsidR="00F86EFC">
        <w:rPr>
          <w:rStyle w:val="af1"/>
        </w:rPr>
        <w:fldChar w:fldCharType="separate"/>
      </w:r>
      <w:r w:rsidR="00BF0BEE">
        <w:rPr>
          <w:noProof/>
        </w:rPr>
        <w:t>72</w:t>
      </w:r>
      <w:r w:rsidR="00F86EFC">
        <w:rPr>
          <w:rStyle w:val="af1"/>
        </w:rPr>
        <w:fldChar w:fldCharType="end"/>
      </w:r>
      <w:r w:rsidRPr="00206C4C">
        <w:rPr>
          <w:rStyle w:val="af1"/>
        </w:rPr>
        <w:t>).</w:t>
      </w:r>
    </w:p>
    <w:p w:rsidR="00F86EFC" w:rsidRDefault="00F86EFC" w:rsidP="00F86EFC">
      <w:pPr>
        <w:pStyle w:val="afffff7"/>
        <w:keepNext/>
      </w:pPr>
      <w:r>
        <w:rPr>
          <w:noProof/>
          <w:lang w:eastAsia="ru-RU"/>
        </w:rPr>
        <w:drawing>
          <wp:inline distT="0" distB="0" distL="0" distR="0" wp14:anchorId="5C45CBBF" wp14:editId="7CA63C6B">
            <wp:extent cx="5939790" cy="2888054"/>
            <wp:effectExtent l="0" t="0" r="3810" b="7620"/>
            <wp:docPr id="5753" name="Рисунок 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5939790" cy="2888054"/>
                    </a:xfrm>
                    <a:prstGeom prst="rect">
                      <a:avLst/>
                    </a:prstGeom>
                  </pic:spPr>
                </pic:pic>
              </a:graphicData>
            </a:graphic>
          </wp:inline>
        </w:drawing>
      </w:r>
    </w:p>
    <w:p w:rsidR="00D90944" w:rsidRPr="00206C4C" w:rsidRDefault="00F86EFC" w:rsidP="00F86EFC">
      <w:pPr>
        <w:pStyle w:val="-0"/>
      </w:pPr>
      <w:bookmarkStart w:id="254" w:name="_Toc119584259"/>
      <w:r w:rsidRPr="00206C4C">
        <w:t xml:space="preserve">Рисунок </w:t>
      </w:r>
      <w:fldSimple w:instr=" SEQ Рисунок \* ARABIC ">
        <w:bookmarkStart w:id="255" w:name="_Ref69982052"/>
        <w:r w:rsidR="001860A9">
          <w:rPr>
            <w:noProof/>
          </w:rPr>
          <w:t>72</w:t>
        </w:r>
        <w:bookmarkEnd w:id="255"/>
      </w:fldSimple>
      <w:r w:rsidRPr="00206C4C">
        <w:t xml:space="preserve"> – Макет таблицы «Предельные объемы финансирования расходов» </w:t>
      </w:r>
      <w:r w:rsidRPr="00206C4C">
        <w:rPr>
          <w:rStyle w:val="af1"/>
        </w:rPr>
        <w:t>отчета «</w:t>
      </w:r>
      <w:r w:rsidRPr="00206C4C">
        <w:t>Плановые и фактические показатели исполнения федерального бюджета</w:t>
      </w:r>
      <w:r w:rsidRPr="00206C4C">
        <w:rPr>
          <w:rStyle w:val="af1"/>
        </w:rPr>
        <w:t>»</w:t>
      </w:r>
      <w:bookmarkEnd w:id="254"/>
    </w:p>
    <w:p w:rsidR="00D90944" w:rsidRPr="00206C4C" w:rsidRDefault="00D90944" w:rsidP="00D90944">
      <w:pPr>
        <w:pStyle w:val="af0"/>
        <w:rPr>
          <w:szCs w:val="28"/>
        </w:rPr>
      </w:pPr>
      <w:r w:rsidRPr="00206C4C">
        <w:rPr>
          <w:szCs w:val="28"/>
        </w:rPr>
        <w:t>Таблица «Предельные объемы финансирования расходов» в аналитическом отчете «Плановые и фактические показатели исполнения федерального бюджета» обеспечивает возможность анализа показателей по утвержденным предельным объемам финансирования расходов федерального бюджета и их кассовому исполнению с помесячной детализацией на текущий квартал.</w:t>
      </w:r>
    </w:p>
    <w:p w:rsidR="00D90944" w:rsidRPr="00206C4C" w:rsidRDefault="00D90944" w:rsidP="00D90944">
      <w:pPr>
        <w:pStyle w:val="af0"/>
        <w:rPr>
          <w:rFonts w:eastAsia="Calibri"/>
        </w:rPr>
      </w:pPr>
      <w:r w:rsidRPr="00206C4C">
        <w:rPr>
          <w:rFonts w:eastAsia="Calibri"/>
        </w:rPr>
        <w:t>Показатели в таблице «Предельные объемы финансирования расходов» формируются на основе таблиц в базе данных, которые заполняются отдельными сценариями загрузки:</w:t>
      </w:r>
    </w:p>
    <w:p w:rsidR="00D90944" w:rsidRPr="00206C4C" w:rsidRDefault="00D90944" w:rsidP="00D90944">
      <w:pPr>
        <w:pStyle w:val="af0"/>
        <w:numPr>
          <w:ilvl w:val="0"/>
          <w:numId w:val="54"/>
        </w:numPr>
        <w:ind w:hanging="720"/>
        <w:rPr>
          <w:rFonts w:eastAsia="Calibri"/>
        </w:rPr>
      </w:pPr>
      <w:r w:rsidRPr="00206C4C">
        <w:rPr>
          <w:rFonts w:eastAsia="Calibri"/>
        </w:rPr>
        <w:t>«Утвержденные ПОФР» заполняется на основе данных ф. 0501093 (</w:t>
      </w:r>
      <w:r w:rsidRPr="00206C4C">
        <w:t>F_KSPL_EXECUTEDO);</w:t>
      </w:r>
    </w:p>
    <w:p w:rsidR="00D90944" w:rsidRPr="00206C4C" w:rsidRDefault="00D90944" w:rsidP="00D90944">
      <w:pPr>
        <w:pStyle w:val="af0"/>
        <w:numPr>
          <w:ilvl w:val="0"/>
          <w:numId w:val="54"/>
        </w:numPr>
        <w:ind w:hanging="720"/>
        <w:rPr>
          <w:rFonts w:eastAsia="Calibri"/>
        </w:rPr>
      </w:pPr>
      <w:r w:rsidRPr="00206C4C">
        <w:rPr>
          <w:rFonts w:eastAsia="Calibri"/>
        </w:rPr>
        <w:t>«Кассовое исполнение» заполняется на основе данных оперативного отчета о кассовых поступлениях и выплатах федерального бюджета (</w:t>
      </w:r>
      <w:r w:rsidRPr="00206C4C">
        <w:rPr>
          <w:rFonts w:eastAsia="Calibri"/>
          <w:lang w:val="en-US"/>
        </w:rPr>
        <w:t>F</w:t>
      </w:r>
      <w:r w:rsidRPr="00206C4C">
        <w:rPr>
          <w:rFonts w:eastAsia="Calibri"/>
        </w:rPr>
        <w:t>_</w:t>
      </w:r>
      <w:r w:rsidRPr="00206C4C">
        <w:rPr>
          <w:rFonts w:eastAsia="Calibri"/>
          <w:lang w:val="en-US"/>
        </w:rPr>
        <w:t>GKFB</w:t>
      </w:r>
      <w:r w:rsidRPr="00206C4C">
        <w:rPr>
          <w:rFonts w:eastAsia="Calibri"/>
        </w:rPr>
        <w:t>_</w:t>
      </w:r>
      <w:r w:rsidRPr="00206C4C">
        <w:rPr>
          <w:rFonts w:eastAsia="Calibri"/>
          <w:lang w:val="en-US"/>
        </w:rPr>
        <w:t>O</w:t>
      </w:r>
      <w:r w:rsidRPr="00206C4C">
        <w:rPr>
          <w:rFonts w:eastAsia="Calibri"/>
        </w:rPr>
        <w:t>);</w:t>
      </w:r>
    </w:p>
    <w:p w:rsidR="00D90944" w:rsidRPr="00206C4C" w:rsidRDefault="00D90944" w:rsidP="00D90944">
      <w:pPr>
        <w:pStyle w:val="af0"/>
        <w:numPr>
          <w:ilvl w:val="0"/>
          <w:numId w:val="54"/>
        </w:numPr>
        <w:ind w:hanging="720"/>
        <w:rPr>
          <w:rFonts w:eastAsia="Calibri"/>
        </w:rPr>
      </w:pPr>
      <w:r w:rsidRPr="00206C4C">
        <w:rPr>
          <w:rFonts w:eastAsia="Calibri"/>
        </w:rPr>
        <w:t>«Остаток ПОФР» рассчитывается как разница между показателями «Утвержденные ПОФР» и «Кассовое исполнение»;</w:t>
      </w:r>
    </w:p>
    <w:p w:rsidR="00D90944" w:rsidRPr="00206C4C" w:rsidRDefault="00D90944" w:rsidP="00D90944">
      <w:pPr>
        <w:pStyle w:val="af0"/>
        <w:numPr>
          <w:ilvl w:val="0"/>
          <w:numId w:val="54"/>
        </w:numPr>
        <w:ind w:hanging="720"/>
        <w:rPr>
          <w:rFonts w:eastAsia="Calibri"/>
        </w:rPr>
      </w:pPr>
      <w:r w:rsidRPr="00206C4C">
        <w:rPr>
          <w:rFonts w:eastAsia="Calibri"/>
        </w:rPr>
        <w:t>«Справочно: План ГРБС» заполняется на основе данных ф. 0501089 (</w:t>
      </w:r>
      <w:r w:rsidRPr="00206C4C">
        <w:t>F_KSPL_</w:t>
      </w:r>
      <w:r w:rsidRPr="00206C4C">
        <w:rPr>
          <w:lang w:val="en-US"/>
        </w:rPr>
        <w:t>O</w:t>
      </w:r>
      <w:r w:rsidRPr="00206C4C">
        <w:t>).</w:t>
      </w:r>
    </w:p>
    <w:p w:rsidR="00D90944" w:rsidRPr="00206C4C" w:rsidRDefault="00D90944" w:rsidP="00D90944">
      <w:pPr>
        <w:pStyle w:val="af0"/>
        <w:rPr>
          <w:rFonts w:eastAsia="Calibri"/>
        </w:rPr>
      </w:pPr>
      <w:r w:rsidRPr="00206C4C">
        <w:t>Из таблицы обеспечены переходы с тех ячеек, в которых в правом верхнем углу проставлен значок синего треугольника:</w:t>
      </w:r>
    </w:p>
    <w:p w:rsidR="00D90944" w:rsidRPr="00206C4C" w:rsidRDefault="00D90944" w:rsidP="00DE1661">
      <w:pPr>
        <w:pStyle w:val="13"/>
      </w:pPr>
      <w:r w:rsidRPr="00206C4C">
        <w:t>«Утвержденные ПОФР» переход к отчету «Предельные объемы финансирования по расходам федерального бюджета»;</w:t>
      </w:r>
    </w:p>
    <w:p w:rsidR="00D90944" w:rsidRPr="00206C4C" w:rsidRDefault="00D90944" w:rsidP="00DE1661">
      <w:pPr>
        <w:pStyle w:val="13"/>
      </w:pPr>
      <w:r w:rsidRPr="00206C4C">
        <w:t>«Кассовое исполнение» переход к отчету «Информация о кассовых поступлениях и выплатах федерального бюджета»;</w:t>
      </w:r>
    </w:p>
    <w:p w:rsidR="00D90944" w:rsidRPr="00206C4C" w:rsidRDefault="00D90944" w:rsidP="00DE1661">
      <w:pPr>
        <w:pStyle w:val="13"/>
      </w:pPr>
      <w:r w:rsidRPr="00206C4C">
        <w:t>«Справочно: План ГРБС» переход к отчету «Прогноз кассовых выплат по расходам федерального бюджета» в представление «ПОФР».</w:t>
      </w:r>
    </w:p>
    <w:p w:rsidR="00D90944" w:rsidRPr="00206C4C" w:rsidRDefault="00D90944" w:rsidP="00474AE6">
      <w:pPr>
        <w:pStyle w:val="42"/>
      </w:pPr>
      <w:bookmarkStart w:id="256" w:name="_Toc37845311"/>
      <w:bookmarkStart w:id="257" w:name="_Toc69290114"/>
      <w:r w:rsidRPr="00206C4C">
        <w:t>Отчет «</w:t>
      </w:r>
      <w:bookmarkStart w:id="258" w:name="_Toc16603520"/>
      <w:r w:rsidRPr="00206C4C">
        <w:t>Нарушение сроков предоставления сведений для формирования кассового плана исполнения федерального бюджета</w:t>
      </w:r>
      <w:bookmarkEnd w:id="258"/>
      <w:r w:rsidRPr="00206C4C">
        <w:t>»</w:t>
      </w:r>
      <w:bookmarkEnd w:id="256"/>
      <w:bookmarkEnd w:id="257"/>
    </w:p>
    <w:p w:rsidR="00D90944" w:rsidRPr="00206C4C" w:rsidRDefault="00D90944" w:rsidP="00D90944">
      <w:pPr>
        <w:pStyle w:val="af0"/>
        <w:rPr>
          <w:rStyle w:val="af1"/>
        </w:rPr>
      </w:pPr>
      <w:r w:rsidRPr="00206C4C">
        <w:rPr>
          <w:rStyle w:val="af1"/>
        </w:rPr>
        <w:t>Для перехода к отчету «</w:t>
      </w:r>
      <w:r w:rsidRPr="00206C4C">
        <w:t>Нарушение сроков предоставления сведений для формирования кассового плана исполнения федерального бюджета</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Плановые и фактические показатели исполнения федерального бюджета</w:t>
      </w:r>
      <w:r w:rsidRPr="00206C4C">
        <w:rPr>
          <w:rStyle w:val="af1"/>
        </w:rPr>
        <w:t>», как показано на рисунке</w:t>
      </w:r>
      <w:r w:rsidR="0069331D">
        <w:rPr>
          <w:rStyle w:val="af1"/>
        </w:rPr>
        <w:t xml:space="preserve"> </w:t>
      </w:r>
      <w:r w:rsidR="0069331D">
        <w:rPr>
          <w:rStyle w:val="af1"/>
        </w:rPr>
        <w:fldChar w:fldCharType="begin"/>
      </w:r>
      <w:r w:rsidR="0069331D">
        <w:rPr>
          <w:rStyle w:val="af1"/>
        </w:rPr>
        <w:instrText xml:space="preserve"> REF _Ref69981414 \h </w:instrText>
      </w:r>
      <w:r w:rsidR="0069331D">
        <w:rPr>
          <w:rStyle w:val="af1"/>
        </w:rPr>
      </w:r>
      <w:r w:rsidR="0069331D">
        <w:rPr>
          <w:rStyle w:val="af1"/>
        </w:rPr>
        <w:fldChar w:fldCharType="separate"/>
      </w:r>
      <w:r w:rsidR="00BF0BEE">
        <w:rPr>
          <w:noProof/>
        </w:rPr>
        <w:t>64</w:t>
      </w:r>
      <w:r w:rsidR="0069331D">
        <w:rPr>
          <w:rStyle w:val="af1"/>
        </w:rPr>
        <w:fldChar w:fldCharType="end"/>
      </w:r>
      <w:r w:rsidRPr="00206C4C">
        <w:rPr>
          <w:rStyle w:val="af1"/>
        </w:rPr>
        <w:t>.</w:t>
      </w:r>
    </w:p>
    <w:p w:rsidR="00D90944" w:rsidRPr="00206C4C" w:rsidRDefault="00D90944" w:rsidP="00D90944">
      <w:pPr>
        <w:pStyle w:val="af0"/>
        <w:rPr>
          <w:rStyle w:val="af1"/>
        </w:rPr>
      </w:pPr>
      <w:r w:rsidRPr="00206C4C">
        <w:rPr>
          <w:rStyle w:val="af1"/>
        </w:rPr>
        <w:t>«</w:t>
      </w:r>
      <w:r w:rsidRPr="00206C4C">
        <w:t>Нарушение сроков предоставления сведений для формирования кассового плана исполнения федерального бюджета</w:t>
      </w:r>
      <w:r w:rsidRPr="00206C4C">
        <w:rPr>
          <w:rStyle w:val="af1"/>
        </w:rPr>
        <w:t>» представлено в четвертой таблице отчета «</w:t>
      </w:r>
      <w:r w:rsidRPr="00206C4C">
        <w:t>Плановые и фактические показатели исполнения федерального бюджета</w:t>
      </w:r>
      <w:r w:rsidRPr="00206C4C">
        <w:rPr>
          <w:rStyle w:val="af1"/>
        </w:rPr>
        <w:t>» (Рисунок</w:t>
      </w:r>
      <w:r w:rsidR="00B47BAE">
        <w:rPr>
          <w:rStyle w:val="af1"/>
        </w:rPr>
        <w:t xml:space="preserve"> </w:t>
      </w:r>
      <w:r w:rsidR="00B47BAE">
        <w:rPr>
          <w:rStyle w:val="af1"/>
        </w:rPr>
        <w:fldChar w:fldCharType="begin"/>
      </w:r>
      <w:r w:rsidR="00B47BAE">
        <w:rPr>
          <w:rStyle w:val="af1"/>
        </w:rPr>
        <w:instrText xml:space="preserve"> REF _Ref69982328 \h </w:instrText>
      </w:r>
      <w:r w:rsidR="00B47BAE">
        <w:rPr>
          <w:rStyle w:val="af1"/>
        </w:rPr>
      </w:r>
      <w:r w:rsidR="00B47BAE">
        <w:rPr>
          <w:rStyle w:val="af1"/>
        </w:rPr>
        <w:fldChar w:fldCharType="separate"/>
      </w:r>
      <w:r w:rsidR="00BF0BEE">
        <w:rPr>
          <w:noProof/>
        </w:rPr>
        <w:t>73</w:t>
      </w:r>
      <w:r w:rsidR="00B47BAE">
        <w:rPr>
          <w:rStyle w:val="af1"/>
        </w:rPr>
        <w:fldChar w:fldCharType="end"/>
      </w:r>
      <w:r w:rsidRPr="00206C4C">
        <w:rPr>
          <w:rStyle w:val="af1"/>
        </w:rPr>
        <w:t>).</w:t>
      </w:r>
    </w:p>
    <w:p w:rsidR="00B47BAE" w:rsidRDefault="00B47BAE" w:rsidP="00B47BAE">
      <w:pPr>
        <w:pStyle w:val="afffff7"/>
        <w:keepNext/>
      </w:pPr>
      <w:r>
        <w:rPr>
          <w:noProof/>
          <w:lang w:eastAsia="ru-RU"/>
        </w:rPr>
        <w:drawing>
          <wp:inline distT="0" distB="0" distL="0" distR="0" wp14:anchorId="1068D381" wp14:editId="2086AE71">
            <wp:extent cx="5939790" cy="2886214"/>
            <wp:effectExtent l="0" t="0" r="3810" b="9525"/>
            <wp:docPr id="5754" name="Рисунок 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5939790" cy="2886214"/>
                    </a:xfrm>
                    <a:prstGeom prst="rect">
                      <a:avLst/>
                    </a:prstGeom>
                  </pic:spPr>
                </pic:pic>
              </a:graphicData>
            </a:graphic>
          </wp:inline>
        </w:drawing>
      </w:r>
    </w:p>
    <w:p w:rsidR="00D90944" w:rsidRPr="00206C4C" w:rsidRDefault="00B47BAE" w:rsidP="00B47BAE">
      <w:pPr>
        <w:pStyle w:val="-0"/>
      </w:pPr>
      <w:bookmarkStart w:id="259" w:name="_Toc119584260"/>
      <w:r w:rsidRPr="00206C4C">
        <w:t xml:space="preserve">Рисунок </w:t>
      </w:r>
      <w:fldSimple w:instr=" SEQ Рисунок \* ARABIC ">
        <w:bookmarkStart w:id="260" w:name="_Ref69982328"/>
        <w:r w:rsidR="001860A9">
          <w:rPr>
            <w:noProof/>
          </w:rPr>
          <w:t>73</w:t>
        </w:r>
        <w:bookmarkEnd w:id="260"/>
      </w:fldSimple>
      <w:r w:rsidRPr="00206C4C">
        <w:t xml:space="preserve"> – Макет таблицы </w:t>
      </w:r>
      <w:r w:rsidRPr="00206C4C">
        <w:rPr>
          <w:rStyle w:val="af1"/>
        </w:rPr>
        <w:t>«</w:t>
      </w:r>
      <w:r w:rsidRPr="00206C4C">
        <w:t>Нарушение сроков предоставления сведений для формирования кассового плана исполнения федерального бюджета</w:t>
      </w:r>
      <w:r w:rsidRPr="00206C4C">
        <w:rPr>
          <w:rStyle w:val="af1"/>
        </w:rPr>
        <w:t>» отчета «</w:t>
      </w:r>
      <w:r w:rsidRPr="00206C4C">
        <w:t>Плановые и фактические показатели исполнения федерального бюджета</w:t>
      </w:r>
      <w:r w:rsidRPr="00206C4C">
        <w:rPr>
          <w:rStyle w:val="af1"/>
        </w:rPr>
        <w:t>»</w:t>
      </w:r>
      <w:bookmarkEnd w:id="259"/>
    </w:p>
    <w:p w:rsidR="00D90944" w:rsidRPr="00206C4C" w:rsidRDefault="00D90944" w:rsidP="00D90944">
      <w:pPr>
        <w:pStyle w:val="af0"/>
        <w:rPr>
          <w:szCs w:val="28"/>
        </w:rPr>
      </w:pPr>
      <w:r w:rsidRPr="00206C4C">
        <w:rPr>
          <w:szCs w:val="28"/>
        </w:rPr>
        <w:t>Таблица «Нарушение сроков предоставления сведений для формирования кассового плана исполнения федерального бюджета» в аналитическом отчете «Плановые и фактические показатели исполнения федерального бюджета» обеспечивает отслеживание нарушений сроков предоставления сведений главными администраторами бюджетных средств для формирования кассового плана исполнения федерального бюджета и способствовать соблюдению кассовой дисциплины.</w:t>
      </w:r>
    </w:p>
    <w:p w:rsidR="00D90944" w:rsidRPr="00206C4C" w:rsidRDefault="00D90944" w:rsidP="00D90944">
      <w:pPr>
        <w:pStyle w:val="af0"/>
        <w:rPr>
          <w:rFonts w:eastAsia="Calibri"/>
        </w:rPr>
      </w:pPr>
      <w:r w:rsidRPr="00206C4C">
        <w:rPr>
          <w:rFonts w:eastAsia="Calibri"/>
        </w:rPr>
        <w:t xml:space="preserve">Таблица формируется на основе таблиц </w:t>
      </w:r>
      <w:r w:rsidRPr="00206C4C">
        <w:rPr>
          <w:rFonts w:eastAsia="Calibri"/>
          <w:lang w:val="en-US"/>
        </w:rPr>
        <w:t>D</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MONITORING</w:t>
      </w:r>
      <w:r w:rsidRPr="00206C4C">
        <w:rPr>
          <w:rFonts w:eastAsia="Calibri"/>
        </w:rPr>
        <w:t xml:space="preserve">  и </w:t>
      </w:r>
      <w:r w:rsidRPr="00206C4C">
        <w:rPr>
          <w:rFonts w:eastAsia="Calibri"/>
          <w:lang w:val="en-US"/>
        </w:rPr>
        <w:t>D</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CALENDAR</w:t>
      </w:r>
      <w:r w:rsidRPr="00206C4C">
        <w:rPr>
          <w:rFonts w:eastAsia="Calibri"/>
        </w:rPr>
        <w:t>, которые заполняются отдельными сценариями загрузки на основе мониторингового отчета сроков предоставления форм кассового плана и информации о датах предоставления прогнозов.</w:t>
      </w:r>
    </w:p>
    <w:p w:rsidR="00D90944" w:rsidRPr="00206C4C" w:rsidRDefault="00D90944" w:rsidP="00D90944">
      <w:pPr>
        <w:pStyle w:val="af0"/>
        <w:rPr>
          <w:rFonts w:eastAsia="Calibri"/>
        </w:rPr>
      </w:pPr>
      <w:r w:rsidRPr="00206C4C">
        <w:rPr>
          <w:szCs w:val="28"/>
        </w:rPr>
        <w:t>Состав и принципы формирования показателей таблицы:</w:t>
      </w:r>
    </w:p>
    <w:p w:rsidR="00D90944" w:rsidRPr="00206C4C" w:rsidRDefault="00D90944" w:rsidP="00D90944">
      <w:pPr>
        <w:pStyle w:val="af0"/>
        <w:numPr>
          <w:ilvl w:val="0"/>
          <w:numId w:val="55"/>
        </w:numPr>
        <w:tabs>
          <w:tab w:val="left" w:pos="1418"/>
        </w:tabs>
        <w:ind w:left="567" w:firstLine="0"/>
        <w:rPr>
          <w:szCs w:val="28"/>
        </w:rPr>
      </w:pPr>
      <w:r w:rsidRPr="00206C4C">
        <w:rPr>
          <w:szCs w:val="28"/>
        </w:rPr>
        <w:t>«Количество нарушений сроков за месяц» определяется количество нарушений сроков по каждому главному администратору федерального бюджета в текущем месяце путем сопоставления фактической даты предоставления формы (</w:t>
      </w:r>
      <w:r w:rsidRPr="00206C4C">
        <w:rPr>
          <w:szCs w:val="28"/>
          <w:lang w:val="en-US"/>
        </w:rPr>
        <w:t>D</w:t>
      </w:r>
      <w:r w:rsidRPr="00206C4C">
        <w:rPr>
          <w:szCs w:val="28"/>
        </w:rPr>
        <w:t>_</w:t>
      </w:r>
      <w:r w:rsidRPr="00206C4C">
        <w:rPr>
          <w:szCs w:val="28"/>
          <w:lang w:val="en-US"/>
        </w:rPr>
        <w:t>KSPL</w:t>
      </w:r>
      <w:r w:rsidRPr="00206C4C">
        <w:rPr>
          <w:szCs w:val="28"/>
        </w:rPr>
        <w:t>_</w:t>
      </w:r>
      <w:r w:rsidRPr="00206C4C">
        <w:rPr>
          <w:szCs w:val="28"/>
          <w:lang w:val="en-US"/>
        </w:rPr>
        <w:t>MONITORING</w:t>
      </w:r>
      <w:r w:rsidRPr="00206C4C">
        <w:rPr>
          <w:szCs w:val="28"/>
        </w:rPr>
        <w:t>) и предельного срока (</w:t>
      </w:r>
      <w:r w:rsidRPr="00206C4C">
        <w:rPr>
          <w:rFonts w:eastAsia="Calibri"/>
          <w:lang w:val="en-US"/>
        </w:rPr>
        <w:t>D</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CALENDAR</w:t>
      </w:r>
      <w:r w:rsidRPr="00206C4C">
        <w:rPr>
          <w:rFonts w:eastAsia="Calibri"/>
        </w:rPr>
        <w:t>)</w:t>
      </w:r>
      <w:r w:rsidRPr="00206C4C">
        <w:rPr>
          <w:szCs w:val="28"/>
        </w:rPr>
        <w:t>;</w:t>
      </w:r>
    </w:p>
    <w:p w:rsidR="00D90944" w:rsidRPr="00206C4C" w:rsidRDefault="00D90944" w:rsidP="00D90944">
      <w:pPr>
        <w:pStyle w:val="af0"/>
        <w:numPr>
          <w:ilvl w:val="0"/>
          <w:numId w:val="55"/>
        </w:numPr>
        <w:tabs>
          <w:tab w:val="left" w:pos="1418"/>
        </w:tabs>
        <w:ind w:left="567" w:firstLine="0"/>
        <w:rPr>
          <w:szCs w:val="28"/>
        </w:rPr>
      </w:pPr>
      <w:r w:rsidRPr="00206C4C">
        <w:rPr>
          <w:szCs w:val="28"/>
        </w:rPr>
        <w:t>«Количество нарушений сроков с начала года» рассчитывается общее количество нарушений сроков нарастающим итогом с начала текущего года.</w:t>
      </w:r>
    </w:p>
    <w:p w:rsidR="00D90944" w:rsidRPr="00206C4C" w:rsidRDefault="00D90944" w:rsidP="00D90944">
      <w:pPr>
        <w:pStyle w:val="af0"/>
      </w:pPr>
      <w:r w:rsidRPr="00206C4C">
        <w:t>Из колонки «Количество нарушений сроков за месяц» по средством контекстного меню обеспечен переход к детальному отчету «Нарушение сроков предоставления сведений для формирования кассового плана исполнения федерального бюджета». По умолчанию в отчете отображается информация по Главному администратору ФБ – «100 – Федеральное казначейство». Отсутствие данных в отчете свидетельствует об отсутствии нарушений со стороны администратора, как показано на рисунке</w:t>
      </w:r>
      <w:r w:rsidR="00EC1F0B">
        <w:t xml:space="preserve"> </w:t>
      </w:r>
      <w:r w:rsidR="00EC1F0B">
        <w:fldChar w:fldCharType="begin"/>
      </w:r>
      <w:r w:rsidR="00EC1F0B">
        <w:instrText xml:space="preserve"> REF _Ref69982662 \h </w:instrText>
      </w:r>
      <w:r w:rsidR="00EC1F0B">
        <w:fldChar w:fldCharType="separate"/>
      </w:r>
      <w:r w:rsidR="00BF0BEE">
        <w:rPr>
          <w:noProof/>
        </w:rPr>
        <w:t>74</w:t>
      </w:r>
      <w:r w:rsidR="00EC1F0B">
        <w:fldChar w:fldCharType="end"/>
      </w:r>
      <w:r w:rsidRPr="00206C4C">
        <w:t>.</w:t>
      </w:r>
    </w:p>
    <w:p w:rsidR="00EC1F0B" w:rsidRDefault="00EC1F0B" w:rsidP="00EC1F0B">
      <w:pPr>
        <w:pStyle w:val="afffff7"/>
        <w:keepNext/>
      </w:pPr>
      <w:r>
        <w:rPr>
          <w:noProof/>
          <w:lang w:eastAsia="ru-RU"/>
        </w:rPr>
        <w:drawing>
          <wp:inline distT="0" distB="0" distL="0" distR="0" wp14:anchorId="69DEEFD4" wp14:editId="28A37C7F">
            <wp:extent cx="5939790" cy="2895410"/>
            <wp:effectExtent l="0" t="0" r="3810" b="635"/>
            <wp:docPr id="5755" name="Рисунок 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5939790" cy="2895410"/>
                    </a:xfrm>
                    <a:prstGeom prst="rect">
                      <a:avLst/>
                    </a:prstGeom>
                  </pic:spPr>
                </pic:pic>
              </a:graphicData>
            </a:graphic>
          </wp:inline>
        </w:drawing>
      </w:r>
    </w:p>
    <w:p w:rsidR="00D90944" w:rsidRPr="00206C4C" w:rsidRDefault="00EC1F0B" w:rsidP="00EC1F0B">
      <w:pPr>
        <w:pStyle w:val="-0"/>
      </w:pPr>
      <w:bookmarkStart w:id="261" w:name="_Toc119584261"/>
      <w:r w:rsidRPr="00206C4C">
        <w:t xml:space="preserve">Рисунок </w:t>
      </w:r>
      <w:fldSimple w:instr=" SEQ Рисунок \* ARABIC ">
        <w:bookmarkStart w:id="262" w:name="_Ref69982662"/>
        <w:r w:rsidR="001860A9">
          <w:rPr>
            <w:noProof/>
          </w:rPr>
          <w:t>74</w:t>
        </w:r>
        <w:bookmarkEnd w:id="262"/>
      </w:fldSimple>
      <w:r w:rsidRPr="00206C4C">
        <w:t xml:space="preserve"> – Отчет «Нарушение сроков предоставления сведений для формирования кассового плана исполнения федерального бюджета» без нарушений со стороны главного администратора ФБ</w:t>
      </w:r>
      <w:bookmarkEnd w:id="261"/>
    </w:p>
    <w:p w:rsidR="00D90944" w:rsidRPr="00206C4C" w:rsidRDefault="00D90944" w:rsidP="00D90944">
      <w:pPr>
        <w:pStyle w:val="af0"/>
      </w:pPr>
      <w:r w:rsidRPr="00206C4C">
        <w:t>Для отображения администраторов, нарушивших сроки предоставления сведений, необходимо в фильтре «Главный администратор ФБ» выбрать значение «Все», как показано на рисунке</w:t>
      </w:r>
      <w:r w:rsidR="00EC1F0B">
        <w:t xml:space="preserve"> </w:t>
      </w:r>
      <w:r w:rsidR="00EC1F0B">
        <w:fldChar w:fldCharType="begin"/>
      </w:r>
      <w:r w:rsidR="00EC1F0B">
        <w:instrText xml:space="preserve"> REF _Ref69982732 \h </w:instrText>
      </w:r>
      <w:r w:rsidR="00EC1F0B">
        <w:fldChar w:fldCharType="separate"/>
      </w:r>
      <w:r w:rsidR="00BF0BEE">
        <w:rPr>
          <w:noProof/>
        </w:rPr>
        <w:t>75</w:t>
      </w:r>
      <w:r w:rsidR="00EC1F0B">
        <w:fldChar w:fldCharType="end"/>
      </w:r>
      <w:r w:rsidRPr="00206C4C">
        <w:t>.</w:t>
      </w:r>
    </w:p>
    <w:p w:rsidR="00EC1F0B" w:rsidRDefault="00EC1F0B" w:rsidP="00EC1F0B">
      <w:pPr>
        <w:pStyle w:val="afffff7"/>
        <w:keepNext/>
      </w:pPr>
      <w:r>
        <w:rPr>
          <w:noProof/>
          <w:lang w:eastAsia="ru-RU"/>
        </w:rPr>
        <w:drawing>
          <wp:inline distT="0" distB="0" distL="0" distR="0" wp14:anchorId="22EBDDDE" wp14:editId="4DAB5D4C">
            <wp:extent cx="5939790" cy="2894184"/>
            <wp:effectExtent l="0" t="0" r="3810" b="1905"/>
            <wp:docPr id="5756" name="Рисунок 5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5939790" cy="2894184"/>
                    </a:xfrm>
                    <a:prstGeom prst="rect">
                      <a:avLst/>
                    </a:prstGeom>
                  </pic:spPr>
                </pic:pic>
              </a:graphicData>
            </a:graphic>
          </wp:inline>
        </w:drawing>
      </w:r>
    </w:p>
    <w:p w:rsidR="00D90944" w:rsidRDefault="00EC1F0B" w:rsidP="00EC1F0B">
      <w:pPr>
        <w:pStyle w:val="-0"/>
      </w:pPr>
      <w:bookmarkStart w:id="263" w:name="_Toc119584262"/>
      <w:r w:rsidRPr="00206C4C">
        <w:t xml:space="preserve">Рисунок </w:t>
      </w:r>
      <w:fldSimple w:instr=" SEQ Рисунок \* ARABIC ">
        <w:bookmarkStart w:id="264" w:name="_Ref69982732"/>
        <w:r w:rsidR="001860A9">
          <w:rPr>
            <w:noProof/>
          </w:rPr>
          <w:t>75</w:t>
        </w:r>
        <w:bookmarkEnd w:id="264"/>
      </w:fldSimple>
      <w:r w:rsidRPr="00206C4C">
        <w:t xml:space="preserve"> – Отчет «Нарушение сроков предоставления сведений для формирования кассового плана исполнения федерального бюджета» с перечнем главных администраторов ФБ, нарушивших сроки предоставления сведений</w:t>
      </w:r>
      <w:bookmarkEnd w:id="263"/>
    </w:p>
    <w:p w:rsidR="0019354C" w:rsidRDefault="0019354C">
      <w:pPr>
        <w:spacing w:after="200" w:line="276" w:lineRule="auto"/>
        <w:jc w:val="left"/>
        <w:rPr>
          <w:bCs/>
          <w:sz w:val="28"/>
        </w:rPr>
      </w:pPr>
      <w:r>
        <w:br w:type="page"/>
      </w:r>
    </w:p>
    <w:p w:rsidR="00D90944" w:rsidRPr="00206C4C" w:rsidRDefault="00D90944" w:rsidP="00D90944">
      <w:pPr>
        <w:pStyle w:val="35"/>
      </w:pPr>
      <w:bookmarkStart w:id="265" w:name="_Toc37845312"/>
      <w:bookmarkStart w:id="266" w:name="_Toc69290115"/>
      <w:bookmarkStart w:id="267" w:name="_Toc119585070"/>
      <w:r w:rsidRPr="00206C4C">
        <w:t>Отчет «Прогноз кассовых поступлений по доходам федерального бюджета»</w:t>
      </w:r>
      <w:bookmarkEnd w:id="265"/>
      <w:bookmarkEnd w:id="266"/>
      <w:r w:rsidR="007B1554" w:rsidRPr="007B1554">
        <w:t xml:space="preserve"> (</w:t>
      </w:r>
      <w:r w:rsidR="007B1554">
        <w:rPr>
          <w:lang w:val="en-US"/>
        </w:rPr>
        <w:t>PIAO</w:t>
      </w:r>
      <w:r w:rsidR="007B1554" w:rsidRPr="007B1554">
        <w:t>_105_001_</w:t>
      </w:r>
      <w:r w:rsidR="007B1554">
        <w:rPr>
          <w:lang w:val="en-US"/>
        </w:rPr>
        <w:t>report</w:t>
      </w:r>
      <w:r w:rsidR="007B1554" w:rsidRPr="007B1554">
        <w:t>)</w:t>
      </w:r>
      <w:bookmarkEnd w:id="267"/>
    </w:p>
    <w:p w:rsidR="00D90944" w:rsidRPr="00206C4C" w:rsidRDefault="00D90944" w:rsidP="00D90944">
      <w:pPr>
        <w:pStyle w:val="af0"/>
        <w:rPr>
          <w:rStyle w:val="af1"/>
        </w:rPr>
      </w:pPr>
      <w:r w:rsidRPr="00206C4C">
        <w:rPr>
          <w:rStyle w:val="af1"/>
        </w:rPr>
        <w:t>Для перехода к отчету «</w:t>
      </w:r>
      <w:r w:rsidRPr="00206C4C">
        <w:t>Прогноз кассовых поступлений по доходам федерального бюджета</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Прогноз кассовых поступлений по доходам федерального бюджета</w:t>
      </w:r>
      <w:r w:rsidRPr="00206C4C">
        <w:rPr>
          <w:rStyle w:val="af1"/>
        </w:rPr>
        <w:t>», как показано на рисунке</w:t>
      </w:r>
      <w:r w:rsidR="00225FDF">
        <w:rPr>
          <w:rStyle w:val="af1"/>
        </w:rPr>
        <w:t xml:space="preserve"> </w:t>
      </w:r>
      <w:r w:rsidR="00225FDF">
        <w:rPr>
          <w:rStyle w:val="af1"/>
        </w:rPr>
        <w:fldChar w:fldCharType="begin"/>
      </w:r>
      <w:r w:rsidR="00225FDF">
        <w:rPr>
          <w:rStyle w:val="af1"/>
        </w:rPr>
        <w:instrText xml:space="preserve"> REF _Ref69982852 \h </w:instrText>
      </w:r>
      <w:r w:rsidR="00225FDF">
        <w:rPr>
          <w:rStyle w:val="af1"/>
        </w:rPr>
      </w:r>
      <w:r w:rsidR="00225FDF">
        <w:rPr>
          <w:rStyle w:val="af1"/>
        </w:rPr>
        <w:fldChar w:fldCharType="separate"/>
      </w:r>
      <w:r w:rsidR="00BF0BEE">
        <w:rPr>
          <w:noProof/>
        </w:rPr>
        <w:t>76</w:t>
      </w:r>
      <w:r w:rsidR="00225FDF">
        <w:rPr>
          <w:rStyle w:val="af1"/>
        </w:rPr>
        <w:fldChar w:fldCharType="end"/>
      </w:r>
      <w:r w:rsidRPr="00206C4C">
        <w:rPr>
          <w:rStyle w:val="af1"/>
        </w:rPr>
        <w:t>.</w:t>
      </w:r>
    </w:p>
    <w:p w:rsidR="00225FDF" w:rsidRDefault="00225FDF" w:rsidP="00225FDF">
      <w:pPr>
        <w:pStyle w:val="-0"/>
        <w:keepNext/>
      </w:pPr>
      <w:r>
        <w:rPr>
          <w:noProof/>
          <w:snapToGrid/>
        </w:rPr>
        <w:drawing>
          <wp:inline distT="0" distB="0" distL="0" distR="0" wp14:anchorId="422709AC" wp14:editId="6EAAD5E3">
            <wp:extent cx="5939790" cy="2894184"/>
            <wp:effectExtent l="0" t="0" r="3810" b="1905"/>
            <wp:docPr id="5800" name="Рисунок 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5939790" cy="2894184"/>
                    </a:xfrm>
                    <a:prstGeom prst="rect">
                      <a:avLst/>
                    </a:prstGeom>
                  </pic:spPr>
                </pic:pic>
              </a:graphicData>
            </a:graphic>
          </wp:inline>
        </w:drawing>
      </w:r>
    </w:p>
    <w:p w:rsidR="00D90944" w:rsidRPr="00206C4C" w:rsidRDefault="00225FDF" w:rsidP="00225FDF">
      <w:pPr>
        <w:pStyle w:val="-0"/>
      </w:pPr>
      <w:bookmarkStart w:id="268" w:name="_Toc119584263"/>
      <w:r w:rsidRPr="00206C4C">
        <w:t xml:space="preserve">Рисунок </w:t>
      </w:r>
      <w:fldSimple w:instr=" SEQ Рисунок \* ARABIC ">
        <w:bookmarkStart w:id="269" w:name="_Ref69982852"/>
        <w:r w:rsidR="001860A9">
          <w:rPr>
            <w:noProof/>
          </w:rPr>
          <w:t>76</w:t>
        </w:r>
        <w:bookmarkEnd w:id="269"/>
      </w:fldSimple>
      <w:r w:rsidRPr="00206C4C">
        <w:t xml:space="preserve"> – Плашка для перехода к отчету «Прогноз кассовых поступлений по доходам федерального бюджета»</w:t>
      </w:r>
      <w:bookmarkEnd w:id="268"/>
    </w:p>
    <w:p w:rsidR="00D90944" w:rsidRPr="00206C4C" w:rsidRDefault="00D90944" w:rsidP="00D90944">
      <w:pPr>
        <w:pStyle w:val="42"/>
      </w:pPr>
      <w:bookmarkStart w:id="270" w:name="_Toc16176709"/>
      <w:r w:rsidRPr="00206C4C">
        <w:rPr>
          <w:snapToGrid/>
        </w:rPr>
        <w:t>Представление «По доходным источникам» - «Таблица</w:t>
      </w:r>
      <w:r w:rsidRPr="00206C4C">
        <w:t>»</w:t>
      </w:r>
      <w:bookmarkEnd w:id="270"/>
    </w:p>
    <w:p w:rsidR="00D90944" w:rsidRPr="00206C4C" w:rsidRDefault="00D90944" w:rsidP="00D90944">
      <w:pPr>
        <w:pStyle w:val="af0"/>
        <w:rPr>
          <w:szCs w:val="28"/>
        </w:rPr>
      </w:pPr>
      <w:r w:rsidRPr="00206C4C">
        <w:rPr>
          <w:szCs w:val="28"/>
        </w:rPr>
        <w:t>Представление «По доходным источникам» - «Таблица» аналитического отчета «Прогноз кассовых поступлений по доходам федерального бюджета» обеспечивает возможность анализа показателей прогноза доходов федерального бюджета, учтенных в федеральном законе о федеральном бюджета, а также прогноза главных администраторов доходов федерального бюджета в помесячной разбивке в разрезе кодов классификации доходов бюджетов Российской Федерации в виде иерархической таблицы с группировкой по уровням бюджетной классификации (Рисунок</w:t>
      </w:r>
      <w:r w:rsidR="00F4193A">
        <w:rPr>
          <w:szCs w:val="28"/>
        </w:rPr>
        <w:t xml:space="preserve"> </w:t>
      </w:r>
      <w:r w:rsidR="00F4193A">
        <w:rPr>
          <w:szCs w:val="28"/>
        </w:rPr>
        <w:fldChar w:fldCharType="begin"/>
      </w:r>
      <w:r w:rsidR="00F4193A">
        <w:rPr>
          <w:szCs w:val="28"/>
        </w:rPr>
        <w:instrText xml:space="preserve"> REF _Ref69982931 \h </w:instrText>
      </w:r>
      <w:r w:rsidR="00F4193A">
        <w:rPr>
          <w:szCs w:val="28"/>
        </w:rPr>
      </w:r>
      <w:r w:rsidR="00F4193A">
        <w:rPr>
          <w:szCs w:val="28"/>
        </w:rPr>
        <w:fldChar w:fldCharType="separate"/>
      </w:r>
      <w:r w:rsidR="00BF0BEE">
        <w:rPr>
          <w:noProof/>
        </w:rPr>
        <w:t>77</w:t>
      </w:r>
      <w:r w:rsidR="00F4193A">
        <w:rPr>
          <w:szCs w:val="28"/>
        </w:rPr>
        <w:fldChar w:fldCharType="end"/>
      </w:r>
      <w:r w:rsidRPr="00206C4C">
        <w:rPr>
          <w:szCs w:val="28"/>
        </w:rPr>
        <w:t>).</w:t>
      </w:r>
    </w:p>
    <w:p w:rsidR="00F4193A" w:rsidRDefault="00F4193A" w:rsidP="00F4193A">
      <w:pPr>
        <w:pStyle w:val="afffff7"/>
        <w:keepNext/>
      </w:pPr>
      <w:r>
        <w:rPr>
          <w:noProof/>
          <w:lang w:eastAsia="ru-RU"/>
        </w:rPr>
        <w:drawing>
          <wp:inline distT="0" distB="0" distL="0" distR="0" wp14:anchorId="2ADC4D78" wp14:editId="6094AC90">
            <wp:extent cx="5939790" cy="2894184"/>
            <wp:effectExtent l="0" t="0" r="3810" b="1905"/>
            <wp:docPr id="5810" name="Рисунок 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5939790" cy="2894184"/>
                    </a:xfrm>
                    <a:prstGeom prst="rect">
                      <a:avLst/>
                    </a:prstGeom>
                  </pic:spPr>
                </pic:pic>
              </a:graphicData>
            </a:graphic>
          </wp:inline>
        </w:drawing>
      </w:r>
    </w:p>
    <w:p w:rsidR="00D90944" w:rsidRPr="00206C4C" w:rsidRDefault="00F4193A" w:rsidP="00F4193A">
      <w:pPr>
        <w:pStyle w:val="-0"/>
      </w:pPr>
      <w:bookmarkStart w:id="271" w:name="_Toc119584264"/>
      <w:r w:rsidRPr="00206C4C">
        <w:rPr>
          <w:szCs w:val="28"/>
        </w:rPr>
        <w:t xml:space="preserve">Рисунок </w:t>
      </w:r>
      <w:fldSimple w:instr=" SEQ Рисунок \* ARABIC ">
        <w:bookmarkStart w:id="272" w:name="_Ref69982931"/>
        <w:r w:rsidR="001860A9">
          <w:rPr>
            <w:noProof/>
          </w:rPr>
          <w:t>77</w:t>
        </w:r>
        <w:bookmarkEnd w:id="272"/>
      </w:fldSimple>
      <w:r w:rsidRPr="00206C4C">
        <w:rPr>
          <w:szCs w:val="28"/>
        </w:rPr>
        <w:t xml:space="preserve"> – </w:t>
      </w:r>
      <w:r w:rsidRPr="00206C4C">
        <w:rPr>
          <w:rStyle w:val="af1"/>
        </w:rPr>
        <w:t>Макет отчета «Прогноз кассовых поступлений по доходам федерального бюджета». Представление «По доходным источникам» - «Таблица»</w:t>
      </w:r>
      <w:bookmarkEnd w:id="271"/>
    </w:p>
    <w:p w:rsidR="00D90944" w:rsidRPr="00206C4C" w:rsidRDefault="00D90944" w:rsidP="00D90944">
      <w:pPr>
        <w:pStyle w:val="af0"/>
        <w:rPr>
          <w:szCs w:val="28"/>
        </w:rPr>
      </w:pPr>
      <w:r w:rsidRPr="00206C4C">
        <w:rPr>
          <w:rFonts w:eastAsia="Calibri"/>
        </w:rPr>
        <w:t xml:space="preserve">Представление формируется на основе таблицы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которая заполняется сценарием загрузки. </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90944" w:rsidP="00DE1661">
      <w:pPr>
        <w:pStyle w:val="13"/>
      </w:pPr>
      <w:r w:rsidRPr="00206C4C">
        <w:t>ГАДБ: выпадающий список с множественным выбором главного администратора доходов федерального бюджета. Формируется на основании справочника D_KSPL_KVSR. По умолчанию отображается значение «Все»;</w:t>
      </w:r>
    </w:p>
    <w:p w:rsidR="00D90944" w:rsidRPr="00206C4C" w:rsidRDefault="00DE1661" w:rsidP="00DE1661">
      <w:pPr>
        <w:pStyle w:val="13"/>
      </w:pPr>
      <w:r>
        <w:t>в</w:t>
      </w:r>
      <w:r w:rsidR="00D90944" w:rsidRPr="00206C4C">
        <w:t>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D_EB_OILUNCOMES. По умолчанию отображается значение «Все»;</w:t>
      </w:r>
    </w:p>
    <w:p w:rsidR="00D90944" w:rsidRPr="00206C4C" w:rsidRDefault="00DE1661" w:rsidP="00DE1661">
      <w:pPr>
        <w:pStyle w:val="13"/>
      </w:pPr>
      <w:r>
        <w:t>и</w:t>
      </w:r>
      <w:r w:rsidR="00D90944" w:rsidRPr="00206C4C">
        <w:t>сточники доходов: выпадающий иерархический список кодов доход федерального бюджета. Формируется на основании справочника D_KSPL_KD. По умолчанию отображается значение «Все»;</w:t>
      </w:r>
    </w:p>
    <w:p w:rsidR="00D90944" w:rsidRPr="00206C4C" w:rsidRDefault="00DE1661" w:rsidP="00DE1661">
      <w:pPr>
        <w:pStyle w:val="13"/>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90944" w:rsidP="00D90944">
      <w:pPr>
        <w:pStyle w:val="42"/>
      </w:pPr>
      <w:bookmarkStart w:id="273" w:name="_Toc16176710"/>
      <w:r w:rsidRPr="00206C4C">
        <w:t>Представление «По ГАДБ» - «Таблица»</w:t>
      </w:r>
      <w:bookmarkEnd w:id="273"/>
    </w:p>
    <w:p w:rsidR="00D90944" w:rsidRPr="00206C4C" w:rsidRDefault="00D90944" w:rsidP="00D90944">
      <w:pPr>
        <w:pStyle w:val="af0"/>
        <w:rPr>
          <w:szCs w:val="28"/>
        </w:rPr>
      </w:pPr>
      <w:r w:rsidRPr="00206C4C">
        <w:rPr>
          <w:szCs w:val="28"/>
        </w:rPr>
        <w:t>Представление «По ГАДБ» - «Таблица» аналитического отчета «Прогноз кассовых поступлений по доходам федерального бюджета» должно обеспечивать возможность анализа показателей прогноза доходов федерального бюджета, учтенных в федеральном законе о федеральном бюджета, а также прогноза главных администраторов доходов федерального бюджета в помесячной разбивке в разрезе главных администраторов в виде таблицы (Рисунок</w:t>
      </w:r>
      <w:r w:rsidR="00F4193A">
        <w:rPr>
          <w:szCs w:val="28"/>
        </w:rPr>
        <w:t xml:space="preserve"> </w:t>
      </w:r>
      <w:r w:rsidR="00F4193A">
        <w:rPr>
          <w:szCs w:val="28"/>
        </w:rPr>
        <w:fldChar w:fldCharType="begin"/>
      </w:r>
      <w:r w:rsidR="00F4193A">
        <w:rPr>
          <w:szCs w:val="28"/>
        </w:rPr>
        <w:instrText xml:space="preserve"> REF _Ref69982989 \h </w:instrText>
      </w:r>
      <w:r w:rsidR="00F4193A">
        <w:rPr>
          <w:szCs w:val="28"/>
        </w:rPr>
      </w:r>
      <w:r w:rsidR="00F4193A">
        <w:rPr>
          <w:szCs w:val="28"/>
        </w:rPr>
        <w:fldChar w:fldCharType="separate"/>
      </w:r>
      <w:r w:rsidR="00BF0BEE">
        <w:rPr>
          <w:noProof/>
        </w:rPr>
        <w:t>78</w:t>
      </w:r>
      <w:r w:rsidR="00F4193A">
        <w:rPr>
          <w:szCs w:val="28"/>
        </w:rPr>
        <w:fldChar w:fldCharType="end"/>
      </w:r>
      <w:r w:rsidRPr="00206C4C">
        <w:rPr>
          <w:szCs w:val="28"/>
        </w:rPr>
        <w:t>).</w:t>
      </w:r>
    </w:p>
    <w:p w:rsidR="00F4193A" w:rsidRDefault="00F4193A" w:rsidP="00F4193A">
      <w:pPr>
        <w:pStyle w:val="afffff7"/>
        <w:keepNext/>
      </w:pPr>
      <w:r>
        <w:rPr>
          <w:noProof/>
          <w:lang w:eastAsia="ru-RU"/>
        </w:rPr>
        <w:drawing>
          <wp:inline distT="0" distB="0" distL="0" distR="0" wp14:anchorId="42AD0474" wp14:editId="02909E73">
            <wp:extent cx="5939790" cy="2884988"/>
            <wp:effectExtent l="0" t="0" r="3810" b="0"/>
            <wp:docPr id="5811" name="Рисунок 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5939790" cy="2884988"/>
                    </a:xfrm>
                    <a:prstGeom prst="rect">
                      <a:avLst/>
                    </a:prstGeom>
                  </pic:spPr>
                </pic:pic>
              </a:graphicData>
            </a:graphic>
          </wp:inline>
        </w:drawing>
      </w:r>
    </w:p>
    <w:p w:rsidR="00D90944" w:rsidRPr="00206C4C" w:rsidRDefault="00F4193A" w:rsidP="00F4193A">
      <w:pPr>
        <w:pStyle w:val="-0"/>
      </w:pPr>
      <w:bookmarkStart w:id="274" w:name="_Toc119584265"/>
      <w:r w:rsidRPr="00206C4C">
        <w:rPr>
          <w:szCs w:val="28"/>
        </w:rPr>
        <w:t xml:space="preserve">Рисунок </w:t>
      </w:r>
      <w:fldSimple w:instr=" SEQ Рисунок \* ARABIC ">
        <w:bookmarkStart w:id="275" w:name="_Ref69982989"/>
        <w:r w:rsidR="001860A9">
          <w:rPr>
            <w:noProof/>
          </w:rPr>
          <w:t>78</w:t>
        </w:r>
        <w:bookmarkEnd w:id="275"/>
      </w:fldSimple>
      <w:r w:rsidRPr="00206C4C">
        <w:rPr>
          <w:szCs w:val="28"/>
        </w:rPr>
        <w:t xml:space="preserve"> – </w:t>
      </w:r>
      <w:r w:rsidRPr="00206C4C">
        <w:t>Макет отчета «Прогноз кассовых поступлений по доходам федерального бюджета». Представление «По ГАДБ» - «Таблица»</w:t>
      </w:r>
      <w:bookmarkEnd w:id="274"/>
    </w:p>
    <w:p w:rsidR="00D90944" w:rsidRPr="00206C4C" w:rsidRDefault="00D90944" w:rsidP="00D90944">
      <w:pPr>
        <w:pStyle w:val="af0"/>
        <w:rPr>
          <w:szCs w:val="28"/>
        </w:rPr>
      </w:pPr>
      <w:r w:rsidRPr="00206C4C">
        <w:rPr>
          <w:rFonts w:eastAsia="Calibri"/>
        </w:rPr>
        <w:t xml:space="preserve">Представление формируется на основе таблицы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которая заполняется сценарием загрузки. </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DE1661"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DE1661"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E1661" w:rsidP="00DE1661">
      <w:pPr>
        <w:pStyle w:val="13"/>
        <w:rPr>
          <w:lang w:eastAsia="en-US"/>
        </w:rPr>
      </w:pPr>
      <w:r>
        <w:t>е</w:t>
      </w:r>
      <w:r w:rsidR="00D90944" w:rsidRPr="00206C4C">
        <w:t>диницы измерения: выпадающий список с выбором единиц измер</w:t>
      </w:r>
      <w:r>
        <w:t>ения. Состоит из элементов: руб</w:t>
      </w:r>
      <w:r w:rsidR="00D90944" w:rsidRPr="00206C4C">
        <w:t>, тыс руб, млн руб, млрд руб.</w:t>
      </w:r>
    </w:p>
    <w:p w:rsidR="00D90944" w:rsidRPr="00206C4C" w:rsidRDefault="00D90944" w:rsidP="00D90944">
      <w:pPr>
        <w:pStyle w:val="42"/>
      </w:pPr>
      <w:r w:rsidRPr="00206C4C">
        <w:t>Представление «По доходным источникам» - «Диаграммы» - «Все доходы»</w:t>
      </w:r>
    </w:p>
    <w:p w:rsidR="00D90944" w:rsidRPr="00206C4C" w:rsidRDefault="00D90944" w:rsidP="00D90944">
      <w:pPr>
        <w:pStyle w:val="af0"/>
        <w:rPr>
          <w:szCs w:val="28"/>
        </w:rPr>
      </w:pPr>
      <w:r w:rsidRPr="00206C4C">
        <w:rPr>
          <w:szCs w:val="28"/>
        </w:rPr>
        <w:t xml:space="preserve">В представлении «По доходным источникам» - «Диаграммы» - «Все доходы» аналитического отчета «Прогноз кассовых поступлений по доходам федерального бюджета» отображаются значения и доля нефтегазовых и ненефтегазовых доходов в общей величине прогноза главных администраторов доходов федерального бюджета, а также значение и доля их крупнейших видов (Рисунки </w:t>
      </w:r>
      <w:r w:rsidR="00450771">
        <w:rPr>
          <w:szCs w:val="28"/>
        </w:rPr>
        <w:fldChar w:fldCharType="begin"/>
      </w:r>
      <w:r w:rsidR="00450771">
        <w:rPr>
          <w:szCs w:val="28"/>
        </w:rPr>
        <w:instrText xml:space="preserve"> REF _Ref69983061 \h </w:instrText>
      </w:r>
      <w:r w:rsidR="00450771">
        <w:rPr>
          <w:szCs w:val="28"/>
        </w:rPr>
      </w:r>
      <w:r w:rsidR="00450771">
        <w:rPr>
          <w:szCs w:val="28"/>
        </w:rPr>
        <w:fldChar w:fldCharType="separate"/>
      </w:r>
      <w:r w:rsidR="00BF0BEE">
        <w:rPr>
          <w:noProof/>
        </w:rPr>
        <w:t>79</w:t>
      </w:r>
      <w:r w:rsidR="00450771">
        <w:rPr>
          <w:szCs w:val="28"/>
        </w:rPr>
        <w:fldChar w:fldCharType="end"/>
      </w:r>
      <w:r w:rsidRPr="00206C4C">
        <w:rPr>
          <w:szCs w:val="28"/>
        </w:rPr>
        <w:t xml:space="preserve"> -</w:t>
      </w:r>
      <w:r w:rsidR="00450771">
        <w:rPr>
          <w:szCs w:val="28"/>
        </w:rPr>
        <w:t xml:space="preserve"> </w:t>
      </w:r>
      <w:r w:rsidR="00450771">
        <w:rPr>
          <w:szCs w:val="28"/>
        </w:rPr>
        <w:fldChar w:fldCharType="begin"/>
      </w:r>
      <w:r w:rsidR="00450771">
        <w:rPr>
          <w:szCs w:val="28"/>
        </w:rPr>
        <w:instrText xml:space="preserve"> REF _Ref69983117 \h </w:instrText>
      </w:r>
      <w:r w:rsidR="00450771">
        <w:rPr>
          <w:szCs w:val="28"/>
        </w:rPr>
      </w:r>
      <w:r w:rsidR="00450771">
        <w:rPr>
          <w:szCs w:val="28"/>
        </w:rPr>
        <w:fldChar w:fldCharType="separate"/>
      </w:r>
      <w:r w:rsidR="00BF0BEE">
        <w:rPr>
          <w:noProof/>
        </w:rPr>
        <w:t>80</w:t>
      </w:r>
      <w:r w:rsidR="00450771">
        <w:rPr>
          <w:szCs w:val="28"/>
        </w:rPr>
        <w:fldChar w:fldCharType="end"/>
      </w:r>
      <w:r w:rsidRPr="00206C4C">
        <w:rPr>
          <w:szCs w:val="28"/>
        </w:rPr>
        <w:t>).</w:t>
      </w:r>
    </w:p>
    <w:p w:rsidR="00450771" w:rsidRDefault="00450771" w:rsidP="00450771">
      <w:pPr>
        <w:pStyle w:val="afffff7"/>
        <w:keepNext/>
      </w:pPr>
      <w:r>
        <w:rPr>
          <w:noProof/>
          <w:lang w:eastAsia="ru-RU"/>
        </w:rPr>
        <w:drawing>
          <wp:inline distT="0" distB="0" distL="0" distR="0" wp14:anchorId="011B601F" wp14:editId="12433D8A">
            <wp:extent cx="5939790" cy="2892345"/>
            <wp:effectExtent l="0" t="0" r="3810" b="3810"/>
            <wp:docPr id="5812" name="Рисунок 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5939790" cy="2892345"/>
                    </a:xfrm>
                    <a:prstGeom prst="rect">
                      <a:avLst/>
                    </a:prstGeom>
                  </pic:spPr>
                </pic:pic>
              </a:graphicData>
            </a:graphic>
          </wp:inline>
        </w:drawing>
      </w:r>
    </w:p>
    <w:p w:rsidR="00D90944" w:rsidRPr="00206C4C" w:rsidRDefault="00450771" w:rsidP="00450771">
      <w:pPr>
        <w:pStyle w:val="-0"/>
      </w:pPr>
      <w:bookmarkStart w:id="276" w:name="_Toc119584266"/>
      <w:r w:rsidRPr="00206C4C">
        <w:rPr>
          <w:szCs w:val="28"/>
        </w:rPr>
        <w:t xml:space="preserve">Рисунок </w:t>
      </w:r>
      <w:fldSimple w:instr=" SEQ Рисунок \* ARABIC ">
        <w:bookmarkStart w:id="277" w:name="_Ref69983061"/>
        <w:r w:rsidR="001860A9">
          <w:rPr>
            <w:noProof/>
          </w:rPr>
          <w:t>79</w:t>
        </w:r>
        <w:bookmarkEnd w:id="277"/>
      </w:fldSimple>
      <w:r w:rsidRPr="00206C4C">
        <w:rPr>
          <w:szCs w:val="28"/>
        </w:rPr>
        <w:t xml:space="preserve"> – </w:t>
      </w:r>
      <w:r w:rsidRPr="00206C4C">
        <w:t>Макет отчета «Прогноз кассовых поступлений по доходам федерального бюджета». Представление «По доходным источникам» - «Диаграммы» - «Все доходы» - «Структура»</w:t>
      </w:r>
      <w:bookmarkEnd w:id="276"/>
    </w:p>
    <w:p w:rsidR="00450771" w:rsidRDefault="00450771" w:rsidP="00450771">
      <w:pPr>
        <w:pStyle w:val="afffff7"/>
        <w:keepNext/>
      </w:pPr>
      <w:r>
        <w:rPr>
          <w:noProof/>
          <w:lang w:eastAsia="ru-RU"/>
        </w:rPr>
        <w:drawing>
          <wp:inline distT="0" distB="0" distL="0" distR="0" wp14:anchorId="389C8B0E" wp14:editId="688F5A14">
            <wp:extent cx="5939790" cy="2897249"/>
            <wp:effectExtent l="0" t="0" r="381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5939790" cy="2897249"/>
                    </a:xfrm>
                    <a:prstGeom prst="rect">
                      <a:avLst/>
                    </a:prstGeom>
                  </pic:spPr>
                </pic:pic>
              </a:graphicData>
            </a:graphic>
          </wp:inline>
        </w:drawing>
      </w:r>
    </w:p>
    <w:p w:rsidR="00D90944" w:rsidRPr="00206C4C" w:rsidRDefault="00450771" w:rsidP="00450771">
      <w:pPr>
        <w:pStyle w:val="-0"/>
      </w:pPr>
      <w:bookmarkStart w:id="278" w:name="_Toc119584267"/>
      <w:r w:rsidRPr="00206C4C">
        <w:t xml:space="preserve">Рисунок </w:t>
      </w:r>
      <w:fldSimple w:instr=" SEQ Рисунок \* ARABIC ">
        <w:bookmarkStart w:id="279" w:name="_Ref69983117"/>
        <w:r w:rsidR="001860A9">
          <w:rPr>
            <w:noProof/>
          </w:rPr>
          <w:t>80</w:t>
        </w:r>
        <w:bookmarkEnd w:id="279"/>
      </w:fldSimple>
      <w:r w:rsidRPr="00206C4C">
        <w:t xml:space="preserve"> – Макет отчета «Прогноз кассовых поступлений по доходам федерального бюджета». Представление «По доходным источникам» - «Диаграммы» - «Все доходы» - «Суммы»</w:t>
      </w:r>
      <w:bookmarkEnd w:id="278"/>
    </w:p>
    <w:p w:rsidR="00D90944" w:rsidRPr="00206C4C" w:rsidRDefault="00D90944" w:rsidP="00D90944">
      <w:pPr>
        <w:pStyle w:val="af0"/>
      </w:pPr>
      <w:r w:rsidRPr="00206C4C">
        <w:rPr>
          <w:rFonts w:eastAsia="Calibri"/>
        </w:rPr>
        <w:t xml:space="preserve">Представление формируется на основе таблицы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которая заполняется сценарием загрузки.</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DE1661"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E1661" w:rsidP="00DE1661">
      <w:pPr>
        <w:pStyle w:val="13"/>
        <w:rPr>
          <w:lang w:eastAsia="en-US"/>
        </w:rPr>
      </w:pPr>
      <w:r>
        <w:t>е</w:t>
      </w:r>
      <w:r w:rsidR="00D90944" w:rsidRPr="00206C4C">
        <w:t>диницы измерения: выпадающий список с выбором единиц измерения. Состоит из элементов: руб, тыс руб, млн руб, млрд руб</w:t>
      </w:r>
      <w:r w:rsidR="00D90944" w:rsidRPr="00206C4C">
        <w:rPr>
          <w:rFonts w:eastAsia="Calibri"/>
        </w:rPr>
        <w:t>.</w:t>
      </w:r>
    </w:p>
    <w:p w:rsidR="00D90944" w:rsidRPr="00206C4C" w:rsidRDefault="00D90944" w:rsidP="00D90944">
      <w:pPr>
        <w:pStyle w:val="af0"/>
        <w:rPr>
          <w:rFonts w:eastAsia="Calibri"/>
        </w:rPr>
      </w:pPr>
      <w:r w:rsidRPr="00206C4C">
        <w:rPr>
          <w:rFonts w:eastAsia="Calibri"/>
        </w:rPr>
        <w:t>На диаграмме реализована возможность включения/отключения отображаемых показателей путем включения/отключения серий в легенде. При наведении курсора мыши на элемент диаграммы должна отображаться всплывающая подсказка, содержащая основную информацию: период, наименование показателя, значение с единицами измерения.</w:t>
      </w:r>
    </w:p>
    <w:p w:rsidR="00D90944" w:rsidRPr="00206C4C" w:rsidRDefault="00D90944" w:rsidP="00D90944">
      <w:pPr>
        <w:pStyle w:val="42"/>
      </w:pPr>
      <w:r w:rsidRPr="00206C4C">
        <w:t>Представление «По доходным источникам» - «Диаграммы» - «Нефтегазовые доходы»</w:t>
      </w:r>
    </w:p>
    <w:p w:rsidR="00D90944" w:rsidRPr="00206C4C" w:rsidRDefault="00D90944" w:rsidP="00D90944">
      <w:pPr>
        <w:pStyle w:val="af0"/>
        <w:rPr>
          <w:szCs w:val="28"/>
        </w:rPr>
      </w:pPr>
      <w:r w:rsidRPr="00206C4C">
        <w:rPr>
          <w:szCs w:val="28"/>
        </w:rPr>
        <w:t xml:space="preserve">В представлении «По доходным источникам» - «Диаграммы» - «Нефтегазовые доходы» аналитического отчета «Прогноз кассовых поступлений по доходам федерального бюджета» отображается структура и значения видов нефтегазовых доходов федерального бюджета (Рисунки </w:t>
      </w:r>
      <w:r w:rsidR="00E22767">
        <w:rPr>
          <w:szCs w:val="28"/>
        </w:rPr>
        <w:fldChar w:fldCharType="begin"/>
      </w:r>
      <w:r w:rsidR="00E22767">
        <w:rPr>
          <w:szCs w:val="28"/>
        </w:rPr>
        <w:instrText xml:space="preserve"> REF _Ref69983192 \h </w:instrText>
      </w:r>
      <w:r w:rsidR="00E22767">
        <w:rPr>
          <w:szCs w:val="28"/>
        </w:rPr>
      </w:r>
      <w:r w:rsidR="00E22767">
        <w:rPr>
          <w:szCs w:val="28"/>
        </w:rPr>
        <w:fldChar w:fldCharType="separate"/>
      </w:r>
      <w:r w:rsidR="00BF0BEE">
        <w:rPr>
          <w:noProof/>
        </w:rPr>
        <w:t>81</w:t>
      </w:r>
      <w:r w:rsidR="00E22767">
        <w:rPr>
          <w:szCs w:val="28"/>
        </w:rPr>
        <w:fldChar w:fldCharType="end"/>
      </w:r>
      <w:r w:rsidRPr="00206C4C">
        <w:rPr>
          <w:szCs w:val="28"/>
        </w:rPr>
        <w:t xml:space="preserve"> -</w:t>
      </w:r>
      <w:r w:rsidR="003C44DF">
        <w:rPr>
          <w:szCs w:val="28"/>
        </w:rPr>
        <w:t xml:space="preserve"> </w:t>
      </w:r>
      <w:r w:rsidR="003C44DF">
        <w:rPr>
          <w:szCs w:val="28"/>
        </w:rPr>
        <w:fldChar w:fldCharType="begin"/>
      </w:r>
      <w:r w:rsidR="003C44DF">
        <w:rPr>
          <w:szCs w:val="28"/>
        </w:rPr>
        <w:instrText xml:space="preserve"> REF _Ref69983252 \h </w:instrText>
      </w:r>
      <w:r w:rsidR="003C44DF">
        <w:rPr>
          <w:szCs w:val="28"/>
        </w:rPr>
      </w:r>
      <w:r w:rsidR="003C44DF">
        <w:rPr>
          <w:szCs w:val="28"/>
        </w:rPr>
        <w:fldChar w:fldCharType="separate"/>
      </w:r>
      <w:r w:rsidR="00BF0BEE">
        <w:rPr>
          <w:noProof/>
        </w:rPr>
        <w:t>82</w:t>
      </w:r>
      <w:r w:rsidR="003C44DF">
        <w:rPr>
          <w:szCs w:val="28"/>
        </w:rPr>
        <w:fldChar w:fldCharType="end"/>
      </w:r>
      <w:r w:rsidRPr="00206C4C">
        <w:rPr>
          <w:szCs w:val="28"/>
        </w:rPr>
        <w:t>).</w:t>
      </w:r>
    </w:p>
    <w:p w:rsidR="00E22767" w:rsidRDefault="00E22767" w:rsidP="00E22767">
      <w:pPr>
        <w:pStyle w:val="afffff7"/>
        <w:keepNext/>
      </w:pPr>
      <w:r>
        <w:rPr>
          <w:noProof/>
          <w:lang w:eastAsia="ru-RU"/>
        </w:rPr>
        <w:drawing>
          <wp:inline distT="0" distB="0" distL="0" distR="0" wp14:anchorId="5E7F93F2" wp14:editId="5F5B8D38">
            <wp:extent cx="5939790" cy="2898475"/>
            <wp:effectExtent l="0" t="0" r="381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5939790" cy="2898475"/>
                    </a:xfrm>
                    <a:prstGeom prst="rect">
                      <a:avLst/>
                    </a:prstGeom>
                  </pic:spPr>
                </pic:pic>
              </a:graphicData>
            </a:graphic>
          </wp:inline>
        </w:drawing>
      </w:r>
    </w:p>
    <w:p w:rsidR="00D90944" w:rsidRPr="00206C4C" w:rsidRDefault="00E22767" w:rsidP="00E22767">
      <w:pPr>
        <w:pStyle w:val="-0"/>
      </w:pPr>
      <w:bookmarkStart w:id="280" w:name="_Toc119584268"/>
      <w:r w:rsidRPr="00206C4C">
        <w:t xml:space="preserve">Рисунок </w:t>
      </w:r>
      <w:fldSimple w:instr=" SEQ Рисунок \* ARABIC ">
        <w:bookmarkStart w:id="281" w:name="_Ref69983192"/>
        <w:r w:rsidR="001860A9">
          <w:rPr>
            <w:noProof/>
          </w:rPr>
          <w:t>81</w:t>
        </w:r>
        <w:bookmarkEnd w:id="281"/>
      </w:fldSimple>
      <w:r w:rsidRPr="00206C4C">
        <w:t xml:space="preserve"> – Макет отчета «Прогноз кассовых поступлений по доходам федерального бюджета». Представление «По доходным источникам» - «Диаграммы» - «Нефтегазовые доходы» - «Структура»</w:t>
      </w:r>
      <w:bookmarkEnd w:id="280"/>
    </w:p>
    <w:p w:rsidR="003C44DF" w:rsidRDefault="003C44DF" w:rsidP="003C44DF">
      <w:pPr>
        <w:pStyle w:val="afffff7"/>
        <w:keepNext/>
      </w:pPr>
      <w:r>
        <w:rPr>
          <w:noProof/>
          <w:lang w:eastAsia="ru-RU"/>
        </w:rPr>
        <w:drawing>
          <wp:inline distT="0" distB="0" distL="0" distR="0" wp14:anchorId="5645832C" wp14:editId="43C6030E">
            <wp:extent cx="5939790" cy="2894184"/>
            <wp:effectExtent l="0" t="0" r="3810" b="1905"/>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5939790" cy="2894184"/>
                    </a:xfrm>
                    <a:prstGeom prst="rect">
                      <a:avLst/>
                    </a:prstGeom>
                  </pic:spPr>
                </pic:pic>
              </a:graphicData>
            </a:graphic>
          </wp:inline>
        </w:drawing>
      </w:r>
    </w:p>
    <w:p w:rsidR="00D90944" w:rsidRPr="00206C4C" w:rsidRDefault="003C44DF" w:rsidP="003C44DF">
      <w:pPr>
        <w:pStyle w:val="-0"/>
      </w:pPr>
      <w:bookmarkStart w:id="282" w:name="_Toc119584269"/>
      <w:r w:rsidRPr="00206C4C">
        <w:t xml:space="preserve">Рисунок </w:t>
      </w:r>
      <w:fldSimple w:instr=" SEQ Рисунок \* ARABIC ">
        <w:bookmarkStart w:id="283" w:name="_Ref69983252"/>
        <w:r w:rsidR="001860A9">
          <w:rPr>
            <w:noProof/>
          </w:rPr>
          <w:t>82</w:t>
        </w:r>
        <w:bookmarkEnd w:id="283"/>
      </w:fldSimple>
      <w:r w:rsidRPr="00206C4C">
        <w:t xml:space="preserve"> – Макет отчета «Прогноз кассовых поступлений по доходам федерального бюджета». Представление «По доходным источникам» - «Диаграммы» - «Нефтегазовые доходы» - «Суммы»</w:t>
      </w:r>
      <w:bookmarkEnd w:id="282"/>
    </w:p>
    <w:p w:rsidR="00D90944" w:rsidRPr="00206C4C" w:rsidRDefault="00D90944" w:rsidP="00D90944">
      <w:pPr>
        <w:pStyle w:val="af0"/>
      </w:pPr>
      <w:r w:rsidRPr="00206C4C">
        <w:rPr>
          <w:rFonts w:eastAsia="Calibri"/>
        </w:rPr>
        <w:t xml:space="preserve">Представление формируется на основе таблицы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которая заполняется сценарием загрузки.</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DE1661"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E1661" w:rsidP="00DE1661">
      <w:pPr>
        <w:pStyle w:val="13"/>
        <w:rPr>
          <w:lang w:eastAsia="en-US"/>
        </w:rPr>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90944" w:rsidP="00D90944">
      <w:pPr>
        <w:pStyle w:val="af0"/>
        <w:rPr>
          <w:lang w:eastAsia="en-US"/>
        </w:rPr>
      </w:pPr>
      <w:r w:rsidRPr="00206C4C">
        <w:rPr>
          <w:lang w:eastAsia="en-US"/>
        </w:rPr>
        <w:t>На диаграмме реализована возможность включения/отключения отображаемых показателей путем включения/отключения серий в легенде. При наведении курсора мыши на элемент диаграммы отображается всплывающая подсказка, содержащая основную информацию: период, наименование показателя, значение с единицами измерения.</w:t>
      </w:r>
    </w:p>
    <w:p w:rsidR="00D90944" w:rsidRPr="00206C4C" w:rsidRDefault="00D90944" w:rsidP="00D90944">
      <w:pPr>
        <w:pStyle w:val="42"/>
      </w:pPr>
      <w:bookmarkStart w:id="284" w:name="_Ref17031020"/>
      <w:r w:rsidRPr="00206C4C">
        <w:t>Представление «По ГАДБ» - «Диаграммы» - «Крупнейшие ГАДБ»</w:t>
      </w:r>
      <w:bookmarkEnd w:id="284"/>
    </w:p>
    <w:p w:rsidR="00D90944" w:rsidRPr="00206C4C" w:rsidRDefault="00D90944" w:rsidP="00D90944">
      <w:pPr>
        <w:pStyle w:val="af0"/>
        <w:rPr>
          <w:szCs w:val="28"/>
        </w:rPr>
      </w:pPr>
      <w:r w:rsidRPr="00206C4C">
        <w:rPr>
          <w:szCs w:val="28"/>
        </w:rPr>
        <w:t>В представлении «По ГАДБ» - «Диаграммы» - «Крупнейшие ГАДБ» аналитического отчета «Прогноз кассовых поступлений по доходам федерального бюджета» отображает прогнозы кассовых поступлений по пяти крупнейшим администраторам доходов федерального бюджета (Рисунок</w:t>
      </w:r>
      <w:r w:rsidR="00864F87">
        <w:rPr>
          <w:szCs w:val="28"/>
        </w:rPr>
        <w:t xml:space="preserve"> </w:t>
      </w:r>
      <w:r w:rsidR="00864F87">
        <w:rPr>
          <w:szCs w:val="28"/>
        </w:rPr>
        <w:fldChar w:fldCharType="begin"/>
      </w:r>
      <w:r w:rsidR="00864F87">
        <w:rPr>
          <w:szCs w:val="28"/>
        </w:rPr>
        <w:instrText xml:space="preserve"> REF _Ref69983346 \h </w:instrText>
      </w:r>
      <w:r w:rsidR="00864F87">
        <w:rPr>
          <w:szCs w:val="28"/>
        </w:rPr>
      </w:r>
      <w:r w:rsidR="00864F87">
        <w:rPr>
          <w:szCs w:val="28"/>
        </w:rPr>
        <w:fldChar w:fldCharType="separate"/>
      </w:r>
      <w:r w:rsidR="00BF0BEE">
        <w:rPr>
          <w:noProof/>
        </w:rPr>
        <w:t>83</w:t>
      </w:r>
      <w:r w:rsidR="00864F87">
        <w:rPr>
          <w:szCs w:val="28"/>
        </w:rPr>
        <w:fldChar w:fldCharType="end"/>
      </w:r>
      <w:r w:rsidRPr="00206C4C">
        <w:rPr>
          <w:szCs w:val="28"/>
        </w:rPr>
        <w:t>):</w:t>
      </w:r>
    </w:p>
    <w:p w:rsidR="00D90944" w:rsidRPr="00206C4C" w:rsidRDefault="00D90944" w:rsidP="00DE1661">
      <w:pPr>
        <w:pStyle w:val="13"/>
      </w:pPr>
      <w:r w:rsidRPr="00206C4C">
        <w:t>Федеральная налоговая служба;</w:t>
      </w:r>
    </w:p>
    <w:p w:rsidR="00D90944" w:rsidRPr="00206C4C" w:rsidRDefault="00D90944" w:rsidP="00DE1661">
      <w:pPr>
        <w:pStyle w:val="13"/>
      </w:pPr>
      <w:r w:rsidRPr="00206C4C">
        <w:t>Федеральная таможенная служба;</w:t>
      </w:r>
    </w:p>
    <w:p w:rsidR="00D90944" w:rsidRPr="00206C4C" w:rsidRDefault="00D90944" w:rsidP="00DE1661">
      <w:pPr>
        <w:pStyle w:val="13"/>
      </w:pPr>
      <w:r w:rsidRPr="00206C4C">
        <w:t>Министерство финансов Российской Федерации;</w:t>
      </w:r>
    </w:p>
    <w:p w:rsidR="00D90944" w:rsidRPr="00206C4C" w:rsidRDefault="00D90944" w:rsidP="00DE1661">
      <w:pPr>
        <w:pStyle w:val="13"/>
      </w:pPr>
      <w:r w:rsidRPr="00206C4C">
        <w:t>Федеральное агентство по управлению государственным имуществом;</w:t>
      </w:r>
    </w:p>
    <w:p w:rsidR="00D90944" w:rsidRPr="00206C4C" w:rsidRDefault="00D90944" w:rsidP="00DE1661">
      <w:pPr>
        <w:pStyle w:val="13"/>
      </w:pPr>
      <w:r w:rsidRPr="00206C4C">
        <w:t>Федеральное казначейство</w:t>
      </w:r>
      <w:r w:rsidRPr="00206C4C">
        <w:rPr>
          <w:shd w:val="clear" w:color="auto" w:fill="FFFFFF"/>
        </w:rPr>
        <w:t>.</w:t>
      </w:r>
    </w:p>
    <w:p w:rsidR="00864F87" w:rsidRDefault="00864F87" w:rsidP="00864F87">
      <w:pPr>
        <w:pStyle w:val="afffff7"/>
        <w:keepNext/>
      </w:pPr>
      <w:r>
        <w:rPr>
          <w:noProof/>
          <w:lang w:eastAsia="ru-RU"/>
        </w:rPr>
        <w:drawing>
          <wp:inline distT="0" distB="0" distL="0" distR="0" wp14:anchorId="1E700249" wp14:editId="4A1467F6">
            <wp:extent cx="5939790" cy="2884988"/>
            <wp:effectExtent l="0" t="0" r="381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5939790" cy="2884988"/>
                    </a:xfrm>
                    <a:prstGeom prst="rect">
                      <a:avLst/>
                    </a:prstGeom>
                  </pic:spPr>
                </pic:pic>
              </a:graphicData>
            </a:graphic>
          </wp:inline>
        </w:drawing>
      </w:r>
    </w:p>
    <w:p w:rsidR="00D90944" w:rsidRPr="00206C4C" w:rsidRDefault="00864F87" w:rsidP="00864F87">
      <w:pPr>
        <w:pStyle w:val="-0"/>
      </w:pPr>
      <w:bookmarkStart w:id="285" w:name="_Toc119584270"/>
      <w:r w:rsidRPr="00206C4C">
        <w:t xml:space="preserve">Рисунок </w:t>
      </w:r>
      <w:fldSimple w:instr=" SEQ Рисунок \* ARABIC ">
        <w:bookmarkStart w:id="286" w:name="_Ref69983346"/>
        <w:r w:rsidR="001860A9">
          <w:rPr>
            <w:noProof/>
          </w:rPr>
          <w:t>83</w:t>
        </w:r>
        <w:bookmarkEnd w:id="286"/>
      </w:fldSimple>
      <w:r w:rsidRPr="00206C4C">
        <w:t xml:space="preserve"> – Макет отчета «Прогноз кассовых поступлений по доходам федерального бюджета». Представление «По ГАДБ» - «Диаграммы» - «Крупнейшие ГАДБ»</w:t>
      </w:r>
      <w:bookmarkEnd w:id="285"/>
    </w:p>
    <w:p w:rsidR="00D90944" w:rsidRPr="00206C4C" w:rsidRDefault="00D90944" w:rsidP="00D90944">
      <w:pPr>
        <w:pStyle w:val="af0"/>
      </w:pPr>
      <w:r w:rsidRPr="00206C4C">
        <w:rPr>
          <w:rFonts w:eastAsia="Calibri"/>
        </w:rPr>
        <w:t>Представление формируется на основе таблицы F_KSPL_I, которая заполняется сценарием загрузки.</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E1661"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DE1661"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E1661" w:rsidP="00DE1661">
      <w:pPr>
        <w:pStyle w:val="13"/>
      </w:pPr>
      <w:r>
        <w:t>е</w:t>
      </w:r>
      <w:r w:rsidR="00D90944" w:rsidRPr="00206C4C">
        <w:t>диницы измерения: выпадающий список с выбором единиц измер</w:t>
      </w:r>
      <w:r>
        <w:t>ения. Состоит из элементов: руб</w:t>
      </w:r>
      <w:r w:rsidR="00D90944" w:rsidRPr="00206C4C">
        <w:t>, тыс руб, млн руб, млрд руб.</w:t>
      </w:r>
    </w:p>
    <w:p w:rsidR="00D90944" w:rsidRPr="00206C4C" w:rsidRDefault="00D90944" w:rsidP="00D90944">
      <w:pPr>
        <w:pStyle w:val="af0"/>
        <w:rPr>
          <w:rFonts w:eastAsia="Calibri"/>
        </w:rPr>
      </w:pPr>
      <w:r w:rsidRPr="00206C4C">
        <w:rPr>
          <w:rFonts w:eastAsia="Calibri"/>
        </w:rPr>
        <w:t>На гистограмме реализована возможность включения/отключения отображаемых столбцов путем включения/отключения серий в легенде. При наведении курсора мыши на элемент диаграммы отображается всплывающая подсказка, содержащая основную информацию: наименование показателя, наименование ГАДБ, значение с единицами измерения.</w:t>
      </w:r>
    </w:p>
    <w:p w:rsidR="00D90944" w:rsidRPr="00206C4C" w:rsidRDefault="00D90944" w:rsidP="00D90944">
      <w:pPr>
        <w:pStyle w:val="42"/>
      </w:pPr>
      <w:r w:rsidRPr="00206C4C">
        <w:t>Представление «По ГАДБ» - «Диаграммы» - «Прочие»</w:t>
      </w:r>
    </w:p>
    <w:p w:rsidR="00D90944" w:rsidRPr="00206C4C" w:rsidRDefault="00D90944" w:rsidP="00D90944">
      <w:pPr>
        <w:pStyle w:val="af0"/>
        <w:rPr>
          <w:shd w:val="clear" w:color="auto" w:fill="FFFFFF"/>
        </w:rPr>
      </w:pPr>
      <w:r w:rsidRPr="00206C4C">
        <w:rPr>
          <w:szCs w:val="28"/>
        </w:rPr>
        <w:t>В представлении «По ГАДБ» - «Диаграммы» - «Прочие» аналитического отчета «Прогноз кассовых поступлений по доходам федерального бюджета» отображаются прогнозы кассовых поступлений по главным администраторам доходов федерального бюджета (кроме перечисленных в подразделе «</w:t>
      </w:r>
      <w:r w:rsidRPr="00206C4C">
        <w:rPr>
          <w:szCs w:val="28"/>
        </w:rPr>
        <w:fldChar w:fldCharType="begin"/>
      </w:r>
      <w:r w:rsidRPr="00206C4C">
        <w:rPr>
          <w:szCs w:val="28"/>
        </w:rPr>
        <w:instrText xml:space="preserve"> REF _Ref17031020 \h  \* MERGEFORMAT </w:instrText>
      </w:r>
      <w:r w:rsidRPr="00206C4C">
        <w:rPr>
          <w:szCs w:val="28"/>
        </w:rPr>
      </w:r>
      <w:r w:rsidRPr="00206C4C">
        <w:rPr>
          <w:szCs w:val="28"/>
        </w:rPr>
        <w:fldChar w:fldCharType="separate"/>
      </w:r>
      <w:r w:rsidR="00BF0BEE" w:rsidRPr="00206C4C">
        <w:t>Представление «По ГАДБ» - «Диаграммы» - «Крупнейшие ГАДБ»</w:t>
      </w:r>
      <w:r w:rsidRPr="00206C4C">
        <w:rPr>
          <w:szCs w:val="28"/>
        </w:rPr>
        <w:fldChar w:fldCharType="end"/>
      </w:r>
      <w:r w:rsidRPr="00206C4C">
        <w:rPr>
          <w:szCs w:val="28"/>
        </w:rPr>
        <w:t>») (Рисунок</w:t>
      </w:r>
      <w:r w:rsidR="00864F87">
        <w:rPr>
          <w:szCs w:val="28"/>
        </w:rPr>
        <w:t xml:space="preserve"> </w:t>
      </w:r>
      <w:r w:rsidR="00864F87">
        <w:rPr>
          <w:szCs w:val="28"/>
        </w:rPr>
        <w:fldChar w:fldCharType="begin"/>
      </w:r>
      <w:r w:rsidR="00864F87">
        <w:rPr>
          <w:szCs w:val="28"/>
        </w:rPr>
        <w:instrText xml:space="preserve"> REF _Ref69983395 \h </w:instrText>
      </w:r>
      <w:r w:rsidR="00864F87">
        <w:rPr>
          <w:szCs w:val="28"/>
        </w:rPr>
      </w:r>
      <w:r w:rsidR="00864F87">
        <w:rPr>
          <w:szCs w:val="28"/>
        </w:rPr>
        <w:fldChar w:fldCharType="separate"/>
      </w:r>
      <w:r w:rsidR="00BF0BEE">
        <w:rPr>
          <w:noProof/>
        </w:rPr>
        <w:t>84</w:t>
      </w:r>
      <w:r w:rsidR="00864F87">
        <w:rPr>
          <w:szCs w:val="28"/>
        </w:rPr>
        <w:fldChar w:fldCharType="end"/>
      </w:r>
      <w:r w:rsidRPr="00206C4C">
        <w:rPr>
          <w:szCs w:val="28"/>
        </w:rPr>
        <w:t>)</w:t>
      </w:r>
      <w:r w:rsidRPr="00206C4C">
        <w:rPr>
          <w:shd w:val="clear" w:color="auto" w:fill="FFFFFF"/>
        </w:rPr>
        <w:t>.</w:t>
      </w:r>
    </w:p>
    <w:p w:rsidR="00864F87" w:rsidRDefault="00864F87" w:rsidP="00864F87">
      <w:pPr>
        <w:pStyle w:val="afffff7"/>
        <w:keepNext/>
      </w:pPr>
      <w:r>
        <w:rPr>
          <w:noProof/>
          <w:lang w:eastAsia="ru-RU"/>
        </w:rPr>
        <w:drawing>
          <wp:inline distT="0" distB="0" distL="0" distR="0" wp14:anchorId="0BE5201D" wp14:editId="700DA08B">
            <wp:extent cx="5939790" cy="2884988"/>
            <wp:effectExtent l="0" t="0" r="381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5939790" cy="2884988"/>
                    </a:xfrm>
                    <a:prstGeom prst="rect">
                      <a:avLst/>
                    </a:prstGeom>
                  </pic:spPr>
                </pic:pic>
              </a:graphicData>
            </a:graphic>
          </wp:inline>
        </w:drawing>
      </w:r>
    </w:p>
    <w:p w:rsidR="00D90944" w:rsidRPr="00206C4C" w:rsidRDefault="00864F87" w:rsidP="00864F87">
      <w:pPr>
        <w:pStyle w:val="-0"/>
      </w:pPr>
      <w:bookmarkStart w:id="287" w:name="_Toc119584271"/>
      <w:r w:rsidRPr="00206C4C">
        <w:t xml:space="preserve">Рисунок </w:t>
      </w:r>
      <w:fldSimple w:instr=" SEQ Рисунок \* ARABIC ">
        <w:bookmarkStart w:id="288" w:name="_Ref69983395"/>
        <w:r w:rsidR="001860A9">
          <w:rPr>
            <w:noProof/>
          </w:rPr>
          <w:t>84</w:t>
        </w:r>
        <w:bookmarkEnd w:id="288"/>
      </w:fldSimple>
      <w:r w:rsidRPr="00206C4C">
        <w:t xml:space="preserve"> – Макет отчета «Прогноз кассовых поступлений по доходам федерального бюджета». Представление «По ГАДБ» - «Диаграммы» - «Прочие»</w:t>
      </w:r>
      <w:bookmarkEnd w:id="287"/>
    </w:p>
    <w:p w:rsidR="00D90944" w:rsidRPr="00206C4C" w:rsidRDefault="00D90944" w:rsidP="00D90944">
      <w:pPr>
        <w:pStyle w:val="af0"/>
      </w:pPr>
      <w:r w:rsidRPr="00206C4C">
        <w:rPr>
          <w:rFonts w:eastAsia="Calibri"/>
        </w:rPr>
        <w:t>Представление формируется на основе таблицы F_KSPL_I, которая заполняется сценарием загрузки.</w:t>
      </w:r>
    </w:p>
    <w:p w:rsidR="00D90944" w:rsidRPr="00206C4C" w:rsidRDefault="00D90944" w:rsidP="00D90944">
      <w:pPr>
        <w:pStyle w:val="af0"/>
      </w:pPr>
      <w:r w:rsidRPr="00206C4C">
        <w:t>Параметры представления:</w:t>
      </w:r>
    </w:p>
    <w:p w:rsidR="00D90944" w:rsidRPr="00206C4C" w:rsidRDefault="00DE1661" w:rsidP="00DE1661">
      <w:pPr>
        <w:pStyle w:val="13"/>
      </w:pPr>
      <w:r>
        <w:t>п</w:t>
      </w:r>
      <w:r w:rsidR="00D90944" w:rsidRPr="00206C4C">
        <w:t>о состоянию на: календарь с выбором даты отображаемых данных;</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DE1661"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DE1661"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E1661" w:rsidP="00DE1661">
      <w:pPr>
        <w:pStyle w:val="13"/>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E1661" w:rsidP="00DE1661">
      <w:pPr>
        <w:pStyle w:val="13"/>
      </w:pPr>
      <w:r>
        <w:t>п</w:t>
      </w:r>
      <w:r w:rsidR="00D90944" w:rsidRPr="00206C4C">
        <w:t>оказатель для сортировки: выпадающий список с выбором показателя. Состоит из элементов: прогноз доходов федерального бюджета, учтенных в федеральном законе о федеральном бюджете; прогноз администраторов на год;</w:t>
      </w:r>
    </w:p>
    <w:p w:rsidR="00D90944" w:rsidRPr="00206C4C" w:rsidRDefault="00DE1661" w:rsidP="00DE1661">
      <w:pPr>
        <w:pStyle w:val="13"/>
      </w:pPr>
      <w:r>
        <w:t>с</w:t>
      </w:r>
      <w:r w:rsidR="00D90944" w:rsidRPr="00206C4C">
        <w:t>пособ сортировки: выпадающий список с выбором показателя. Состоит из элементов: по убыванию, по возрастанию;</w:t>
      </w:r>
    </w:p>
    <w:p w:rsidR="00D90944" w:rsidRPr="00206C4C" w:rsidRDefault="00DE1661" w:rsidP="00DE1661">
      <w:pPr>
        <w:pStyle w:val="13"/>
      </w:pPr>
      <w:r>
        <w:t>с</w:t>
      </w:r>
      <w:r w:rsidR="00D90944" w:rsidRPr="00206C4C">
        <w:t>ортировка по значению: задается диапазон по выбранному в параметре показателю и заданных единицах измерения.</w:t>
      </w:r>
    </w:p>
    <w:p w:rsidR="00D90944" w:rsidRPr="00206C4C" w:rsidRDefault="00D90944" w:rsidP="00D90944">
      <w:pPr>
        <w:pStyle w:val="af0"/>
        <w:rPr>
          <w:rFonts w:eastAsia="Calibri"/>
        </w:rPr>
      </w:pPr>
      <w:r w:rsidRPr="00206C4C">
        <w:rPr>
          <w:rFonts w:eastAsia="Calibri"/>
        </w:rPr>
        <w:t>На гистограмме реализована возможность включения/отключения отображаемых столбцов путем включения/отключения серий в легенде. При наведении курсора мыши на элемент диаграммы отображается всплывающая подсказка, содержащая основную информацию: наименование показателя, наименование ГАДБ, значение с единицами измерения.</w:t>
      </w:r>
    </w:p>
    <w:p w:rsidR="00D90944" w:rsidRPr="00206C4C" w:rsidRDefault="00D90944" w:rsidP="00D90944">
      <w:pPr>
        <w:pStyle w:val="af0"/>
        <w:rPr>
          <w:rFonts w:eastAsia="Calibri"/>
        </w:rPr>
      </w:pPr>
      <w:r w:rsidRPr="00206C4C">
        <w:rPr>
          <w:rFonts w:eastAsia="Calibri"/>
        </w:rPr>
        <w:t>На гистограмме также реализована возможность масштабирования колонок, для укрупнения диапазона отображаемых главных администраторов доходов федерального бюджета.</w:t>
      </w:r>
    </w:p>
    <w:p w:rsidR="00D90944" w:rsidRPr="00206C4C" w:rsidRDefault="00D90944" w:rsidP="00D90944">
      <w:pPr>
        <w:pStyle w:val="af0"/>
        <w:rPr>
          <w:rFonts w:eastAsia="Calibri"/>
        </w:rPr>
      </w:pPr>
      <w:r w:rsidRPr="00206C4C">
        <w:rPr>
          <w:rFonts w:eastAsia="Calibri"/>
        </w:rPr>
        <w:t>Для укрупнения диапазона необходимо на гистограмме с помощью мыши выделить диапазон администраторов, как показано на рисунке</w:t>
      </w:r>
      <w:r w:rsidR="005E01E1">
        <w:rPr>
          <w:rFonts w:eastAsia="Calibri"/>
        </w:rPr>
        <w:t xml:space="preserve"> </w:t>
      </w:r>
      <w:r w:rsidR="005E01E1">
        <w:rPr>
          <w:rFonts w:eastAsia="Calibri"/>
        </w:rPr>
        <w:fldChar w:fldCharType="begin"/>
      </w:r>
      <w:r w:rsidR="005E01E1">
        <w:rPr>
          <w:rFonts w:eastAsia="Calibri"/>
        </w:rPr>
        <w:instrText xml:space="preserve"> REF _Ref69983486 \h </w:instrText>
      </w:r>
      <w:r w:rsidR="005E01E1">
        <w:rPr>
          <w:rFonts w:eastAsia="Calibri"/>
        </w:rPr>
      </w:r>
      <w:r w:rsidR="005E01E1">
        <w:rPr>
          <w:rFonts w:eastAsia="Calibri"/>
        </w:rPr>
        <w:fldChar w:fldCharType="separate"/>
      </w:r>
      <w:r w:rsidR="00BF0BEE">
        <w:rPr>
          <w:noProof/>
        </w:rPr>
        <w:t>85</w:t>
      </w:r>
      <w:r w:rsidR="005E01E1">
        <w:rPr>
          <w:rFonts w:eastAsia="Calibri"/>
        </w:rPr>
        <w:fldChar w:fldCharType="end"/>
      </w:r>
      <w:r w:rsidRPr="00206C4C">
        <w:rPr>
          <w:rFonts w:eastAsia="Calibri"/>
        </w:rPr>
        <w:t>.</w:t>
      </w:r>
    </w:p>
    <w:p w:rsidR="005E01E1" w:rsidRDefault="005E01E1" w:rsidP="005E01E1">
      <w:pPr>
        <w:pStyle w:val="afffff7"/>
        <w:keepNext/>
      </w:pPr>
      <w:r>
        <w:rPr>
          <w:noProof/>
          <w:lang w:eastAsia="ru-RU"/>
        </w:rPr>
        <w:drawing>
          <wp:inline distT="0" distB="0" distL="0" distR="0" wp14:anchorId="55D4F48C" wp14:editId="65B68908">
            <wp:extent cx="5939790" cy="2897249"/>
            <wp:effectExtent l="0" t="0" r="381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5939790" cy="2897249"/>
                    </a:xfrm>
                    <a:prstGeom prst="rect">
                      <a:avLst/>
                    </a:prstGeom>
                  </pic:spPr>
                </pic:pic>
              </a:graphicData>
            </a:graphic>
          </wp:inline>
        </w:drawing>
      </w:r>
    </w:p>
    <w:p w:rsidR="00D90944" w:rsidRPr="00206C4C" w:rsidRDefault="005E01E1" w:rsidP="005E01E1">
      <w:pPr>
        <w:pStyle w:val="-0"/>
      </w:pPr>
      <w:bookmarkStart w:id="289" w:name="_Toc119584272"/>
      <w:r w:rsidRPr="00206C4C">
        <w:t xml:space="preserve">Рисунок </w:t>
      </w:r>
      <w:fldSimple w:instr=" SEQ Рисунок \* ARABIC ">
        <w:bookmarkStart w:id="290" w:name="_Ref69983486"/>
        <w:r w:rsidR="001860A9">
          <w:rPr>
            <w:noProof/>
          </w:rPr>
          <w:t>85</w:t>
        </w:r>
        <w:bookmarkEnd w:id="290"/>
      </w:fldSimple>
      <w:r w:rsidRPr="00206C4C">
        <w:t xml:space="preserve"> –</w:t>
      </w:r>
      <w:r>
        <w:t xml:space="preserve"> </w:t>
      </w:r>
      <w:r w:rsidRPr="00206C4C">
        <w:t>Отчет «Прогноз кассовых поступлений по доходам федерального бюджета». Представление «По ГАДБ» - «Диаграммы» - «Прочие». Выделение диапазона главных администраторов на гистограмме</w:t>
      </w:r>
      <w:bookmarkEnd w:id="289"/>
    </w:p>
    <w:p w:rsidR="00D90944" w:rsidRPr="00206C4C" w:rsidRDefault="00D90944" w:rsidP="00D90944">
      <w:pPr>
        <w:pStyle w:val="af0"/>
        <w:rPr>
          <w:rFonts w:eastAsia="Calibri"/>
        </w:rPr>
      </w:pPr>
      <w:r w:rsidRPr="00206C4C">
        <w:rPr>
          <w:rFonts w:eastAsia="Calibri"/>
        </w:rPr>
        <w:t>В результате на гистограмме отобразится только диапазон выбранных администраторов в укрупненном масштабе, как показано на рисунке</w:t>
      </w:r>
      <w:r w:rsidR="005E01E1">
        <w:rPr>
          <w:rFonts w:eastAsia="Calibri"/>
        </w:rPr>
        <w:t xml:space="preserve"> </w:t>
      </w:r>
      <w:r w:rsidR="005E01E1">
        <w:rPr>
          <w:rFonts w:eastAsia="Calibri"/>
        </w:rPr>
        <w:fldChar w:fldCharType="begin"/>
      </w:r>
      <w:r w:rsidR="005E01E1">
        <w:rPr>
          <w:rFonts w:eastAsia="Calibri"/>
        </w:rPr>
        <w:instrText xml:space="preserve"> REF _Ref69983542 \h </w:instrText>
      </w:r>
      <w:r w:rsidR="005E01E1">
        <w:rPr>
          <w:rFonts w:eastAsia="Calibri"/>
        </w:rPr>
      </w:r>
      <w:r w:rsidR="005E01E1">
        <w:rPr>
          <w:rFonts w:eastAsia="Calibri"/>
        </w:rPr>
        <w:fldChar w:fldCharType="separate"/>
      </w:r>
      <w:r w:rsidR="00BF0BEE">
        <w:rPr>
          <w:noProof/>
        </w:rPr>
        <w:t>86</w:t>
      </w:r>
      <w:r w:rsidR="005E01E1">
        <w:rPr>
          <w:rFonts w:eastAsia="Calibri"/>
        </w:rPr>
        <w:fldChar w:fldCharType="end"/>
      </w:r>
      <w:r w:rsidRPr="00206C4C">
        <w:rPr>
          <w:rFonts w:eastAsia="Calibri"/>
        </w:rPr>
        <w:t>.</w:t>
      </w:r>
    </w:p>
    <w:p w:rsidR="005E01E1" w:rsidRDefault="005E01E1" w:rsidP="005E01E1">
      <w:pPr>
        <w:pStyle w:val="afffff7"/>
        <w:keepNext/>
      </w:pPr>
      <w:r>
        <w:rPr>
          <w:noProof/>
          <w:lang w:eastAsia="ru-RU"/>
        </w:rPr>
        <w:drawing>
          <wp:inline distT="0" distB="0" distL="0" distR="0" wp14:anchorId="26B3E082" wp14:editId="5DB8A494">
            <wp:extent cx="5939790" cy="2904606"/>
            <wp:effectExtent l="0" t="0" r="381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5939790" cy="2904606"/>
                    </a:xfrm>
                    <a:prstGeom prst="rect">
                      <a:avLst/>
                    </a:prstGeom>
                  </pic:spPr>
                </pic:pic>
              </a:graphicData>
            </a:graphic>
          </wp:inline>
        </w:drawing>
      </w:r>
    </w:p>
    <w:p w:rsidR="00D90944" w:rsidRPr="00206C4C" w:rsidRDefault="005E01E1" w:rsidP="005E01E1">
      <w:pPr>
        <w:pStyle w:val="-0"/>
      </w:pPr>
      <w:bookmarkStart w:id="291" w:name="_Toc119584273"/>
      <w:r w:rsidRPr="00206C4C">
        <w:t xml:space="preserve">Рисунок </w:t>
      </w:r>
      <w:fldSimple w:instr=" SEQ Рисунок \* ARABIC ">
        <w:bookmarkStart w:id="292" w:name="_Ref69983542"/>
        <w:r w:rsidR="001860A9">
          <w:rPr>
            <w:noProof/>
          </w:rPr>
          <w:t>86</w:t>
        </w:r>
        <w:bookmarkEnd w:id="292"/>
      </w:fldSimple>
      <w:r w:rsidRPr="00206C4C">
        <w:t xml:space="preserve"> – Отчет «Прогноз кассовых поступлений по доходам федерального бюджета». Представление «По ГАДБ» - «Диаграммы» - «Прочие». Укрупненный масштаб выбранного диапазона главных администраторов</w:t>
      </w:r>
      <w:bookmarkEnd w:id="291"/>
    </w:p>
    <w:p w:rsidR="00D90944" w:rsidRPr="00206C4C" w:rsidRDefault="00D90944" w:rsidP="00D90944">
      <w:pPr>
        <w:pStyle w:val="af0"/>
        <w:sectPr w:rsidR="00D90944" w:rsidRPr="00206C4C" w:rsidSect="00195AA9">
          <w:headerReference w:type="default" r:id="rId161"/>
          <w:headerReference w:type="first" r:id="rId162"/>
          <w:pgSz w:w="11906" w:h="16838"/>
          <w:pgMar w:top="1526" w:right="851" w:bottom="1560" w:left="1701" w:header="1417" w:footer="709" w:gutter="0"/>
          <w:cols w:space="708"/>
          <w:titlePg/>
          <w:docGrid w:linePitch="360"/>
        </w:sectPr>
      </w:pPr>
    </w:p>
    <w:p w:rsidR="00D90944" w:rsidRPr="00206C4C" w:rsidRDefault="00D90944" w:rsidP="00ED0D1E">
      <w:pPr>
        <w:pStyle w:val="35"/>
      </w:pPr>
      <w:bookmarkStart w:id="293" w:name="_Toc37845314"/>
      <w:bookmarkStart w:id="294" w:name="_Toc69290117"/>
      <w:bookmarkStart w:id="295" w:name="_Toc119585071"/>
      <w:r w:rsidRPr="00206C4C">
        <w:t>Отчет «</w:t>
      </w:r>
      <w:r w:rsidR="00ED0D1E" w:rsidRPr="00ED0D1E">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w:t>
      </w:r>
      <w:bookmarkEnd w:id="293"/>
      <w:bookmarkEnd w:id="294"/>
      <w:r w:rsidR="00930893" w:rsidRPr="00930893">
        <w:t xml:space="preserve"> (</w:t>
      </w:r>
      <w:r w:rsidR="00930893">
        <w:rPr>
          <w:lang w:val="en-US"/>
        </w:rPr>
        <w:t>PIAO</w:t>
      </w:r>
      <w:r w:rsidR="00930893" w:rsidRPr="00930893">
        <w:t>_110_001_</w:t>
      </w:r>
      <w:r w:rsidR="00930893">
        <w:rPr>
          <w:lang w:val="en-US"/>
        </w:rPr>
        <w:t>report</w:t>
      </w:r>
      <w:r w:rsidR="00930893" w:rsidRPr="00930893">
        <w:t>)</w:t>
      </w:r>
      <w:bookmarkEnd w:id="295"/>
    </w:p>
    <w:p w:rsidR="00D90944" w:rsidRDefault="00D90944" w:rsidP="00D90944">
      <w:pPr>
        <w:pStyle w:val="af0"/>
        <w:rPr>
          <w:rStyle w:val="af1"/>
        </w:rPr>
      </w:pPr>
      <w:r w:rsidRPr="00206C4C">
        <w:rPr>
          <w:rStyle w:val="af1"/>
        </w:rPr>
        <w:t>Для перехода к отчету «</w:t>
      </w:r>
      <w:r w:rsidR="00203D0F" w:rsidRPr="00203D0F">
        <w:rPr>
          <w:sz w:val="32"/>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00203D0F" w:rsidRPr="00203D0F">
        <w:rPr>
          <w:sz w:val="32"/>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rStyle w:val="af1"/>
        </w:rPr>
        <w:t xml:space="preserve">», как показано на рисунке </w:t>
      </w:r>
      <w:r w:rsidR="00203D0F">
        <w:rPr>
          <w:rStyle w:val="af1"/>
        </w:rPr>
        <w:fldChar w:fldCharType="begin"/>
      </w:r>
      <w:r w:rsidR="00203D0F">
        <w:rPr>
          <w:rStyle w:val="af1"/>
        </w:rPr>
        <w:instrText xml:space="preserve"> REF _Ref69995552 \h </w:instrText>
      </w:r>
      <w:r w:rsidR="00203D0F">
        <w:rPr>
          <w:rStyle w:val="af1"/>
        </w:rPr>
      </w:r>
      <w:r w:rsidR="00203D0F">
        <w:rPr>
          <w:rStyle w:val="af1"/>
        </w:rPr>
        <w:fldChar w:fldCharType="separate"/>
      </w:r>
      <w:r w:rsidR="00BF0BEE">
        <w:rPr>
          <w:rStyle w:val="af1"/>
          <w:noProof/>
        </w:rPr>
        <w:t>87</w:t>
      </w:r>
      <w:r w:rsidR="00203D0F">
        <w:rPr>
          <w:rStyle w:val="af1"/>
        </w:rPr>
        <w:fldChar w:fldCharType="end"/>
      </w:r>
      <w:r w:rsidRPr="00206C4C">
        <w:rPr>
          <w:rStyle w:val="af1"/>
        </w:rPr>
        <w:t>.</w:t>
      </w:r>
    </w:p>
    <w:p w:rsidR="00203D0F" w:rsidRDefault="00203D0F" w:rsidP="00215AC5">
      <w:pPr>
        <w:pStyle w:val="-0"/>
      </w:pPr>
      <w:r>
        <w:rPr>
          <w:noProof/>
          <w:snapToGrid/>
        </w:rPr>
        <w:drawing>
          <wp:inline distT="0" distB="0" distL="0" distR="0" wp14:anchorId="0F8EBB4D" wp14:editId="71B44446">
            <wp:extent cx="6120130" cy="2973844"/>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6120130" cy="2973844"/>
                    </a:xfrm>
                    <a:prstGeom prst="rect">
                      <a:avLst/>
                    </a:prstGeom>
                  </pic:spPr>
                </pic:pic>
              </a:graphicData>
            </a:graphic>
          </wp:inline>
        </w:drawing>
      </w:r>
    </w:p>
    <w:p w:rsidR="00203D0F" w:rsidRPr="00206C4C" w:rsidRDefault="00203D0F" w:rsidP="00184029">
      <w:pPr>
        <w:pStyle w:val="-0"/>
        <w:rPr>
          <w:rStyle w:val="af1"/>
        </w:rPr>
      </w:pPr>
      <w:bookmarkStart w:id="296" w:name="_Toc119584274"/>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bookmarkStart w:id="297" w:name="_Ref69995552"/>
      <w:r w:rsidR="001860A9">
        <w:rPr>
          <w:rStyle w:val="af1"/>
          <w:noProof/>
        </w:rPr>
        <w:t>87</w:t>
      </w:r>
      <w:bookmarkEnd w:id="297"/>
      <w:r>
        <w:rPr>
          <w:rStyle w:val="af1"/>
        </w:rPr>
        <w:fldChar w:fldCharType="end"/>
      </w:r>
      <w:r>
        <w:rPr>
          <w:rStyle w:val="af1"/>
        </w:rPr>
        <w:t xml:space="preserve"> – </w:t>
      </w:r>
      <w:r w:rsidR="00E6583C" w:rsidRPr="00206C4C">
        <w:t xml:space="preserve">Плашка для перехода к отчету </w:t>
      </w:r>
      <w:r>
        <w:rPr>
          <w:rStyle w:val="af1"/>
        </w:rPr>
        <w:t>«</w:t>
      </w:r>
      <w:r w:rsidRPr="00203D0F">
        <w:rPr>
          <w:rStyle w:val="af1"/>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Pr>
          <w:rStyle w:val="af1"/>
        </w:rPr>
        <w:t>»</w:t>
      </w:r>
      <w:bookmarkEnd w:id="296"/>
    </w:p>
    <w:p w:rsidR="00D90944" w:rsidRPr="00206C4C" w:rsidRDefault="00D90944" w:rsidP="00D90944">
      <w:pPr>
        <w:pStyle w:val="42"/>
      </w:pPr>
      <w:r w:rsidRPr="00206C4C">
        <w:rPr>
          <w:snapToGrid/>
        </w:rPr>
        <w:t xml:space="preserve">Представление </w:t>
      </w:r>
      <w:r w:rsidRPr="00206C4C">
        <w:t>«По доходным источникам» - «Таблица» - «По КД»</w:t>
      </w:r>
    </w:p>
    <w:p w:rsidR="00D90944" w:rsidRPr="00206C4C" w:rsidRDefault="00D90944" w:rsidP="00D90944">
      <w:pPr>
        <w:pStyle w:val="af0"/>
        <w:rPr>
          <w:szCs w:val="28"/>
        </w:rPr>
      </w:pPr>
      <w:r w:rsidRPr="00206C4C">
        <w:rPr>
          <w:szCs w:val="28"/>
        </w:rPr>
        <w:t xml:space="preserve">Представление «По доходным источникам» - «Таблица» - «По </w:t>
      </w:r>
      <w:r w:rsidR="00E6583C">
        <w:rPr>
          <w:szCs w:val="28"/>
        </w:rPr>
        <w:t>КД</w:t>
      </w:r>
      <w:r w:rsidRPr="00206C4C">
        <w:rPr>
          <w:szCs w:val="28"/>
        </w:rPr>
        <w:t>» аналитического отчета «</w:t>
      </w:r>
      <w:r w:rsidR="00382B13" w:rsidRPr="00382B13">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обеспечивает анализ показателей исполнения прогноза доходов федерального бюджета, учтенных в федеральном законе о федеральном бюджета, а также прогноза главных администраторов доходов федерального бюджета с начала года и с начала месяца в разрезе кодов классификации доходов бюджетов Российской Федерации в виде иерархической таблицы с группировкой по уровням бюджетной классификации (Рисунок</w:t>
      </w:r>
      <w:r w:rsidR="00382B13">
        <w:rPr>
          <w:szCs w:val="28"/>
        </w:rPr>
        <w:t xml:space="preserve"> </w:t>
      </w:r>
      <w:r w:rsidR="00382B13">
        <w:rPr>
          <w:szCs w:val="28"/>
        </w:rPr>
        <w:fldChar w:fldCharType="begin"/>
      </w:r>
      <w:r w:rsidR="00382B13">
        <w:rPr>
          <w:szCs w:val="28"/>
        </w:rPr>
        <w:instrText xml:space="preserve"> REF _Ref69995760 \h </w:instrText>
      </w:r>
      <w:r w:rsidR="00382B13">
        <w:rPr>
          <w:szCs w:val="28"/>
        </w:rPr>
      </w:r>
      <w:r w:rsidR="00382B13">
        <w:rPr>
          <w:szCs w:val="28"/>
        </w:rPr>
        <w:fldChar w:fldCharType="separate"/>
      </w:r>
      <w:r w:rsidR="00BF0BEE">
        <w:rPr>
          <w:noProof/>
        </w:rPr>
        <w:t>88</w:t>
      </w:r>
      <w:r w:rsidR="00382B13">
        <w:rPr>
          <w:szCs w:val="28"/>
        </w:rPr>
        <w:fldChar w:fldCharType="end"/>
      </w:r>
      <w:r w:rsidRPr="00206C4C">
        <w:rPr>
          <w:szCs w:val="28"/>
        </w:rPr>
        <w:t xml:space="preserve">). </w:t>
      </w:r>
    </w:p>
    <w:p w:rsidR="00382B13" w:rsidRDefault="00382B13" w:rsidP="00382B13">
      <w:pPr>
        <w:pStyle w:val="afffff7"/>
        <w:keepNext/>
      </w:pPr>
      <w:r>
        <w:rPr>
          <w:noProof/>
          <w:lang w:eastAsia="ru-RU"/>
        </w:rPr>
        <w:drawing>
          <wp:inline distT="0" distB="0" distL="0" distR="0" wp14:anchorId="2BAC2053" wp14:editId="0560E367">
            <wp:extent cx="6120130" cy="2983319"/>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6120130" cy="2983319"/>
                    </a:xfrm>
                    <a:prstGeom prst="rect">
                      <a:avLst/>
                    </a:prstGeom>
                  </pic:spPr>
                </pic:pic>
              </a:graphicData>
            </a:graphic>
          </wp:inline>
        </w:drawing>
      </w:r>
    </w:p>
    <w:p w:rsidR="00D90944" w:rsidRPr="00206C4C" w:rsidRDefault="00382B13" w:rsidP="00382B13">
      <w:pPr>
        <w:pStyle w:val="-0"/>
      </w:pPr>
      <w:bookmarkStart w:id="298" w:name="_Toc119584275"/>
      <w:r w:rsidRPr="00206C4C">
        <w:rPr>
          <w:szCs w:val="28"/>
        </w:rPr>
        <w:t xml:space="preserve">Рисунок </w:t>
      </w:r>
      <w:fldSimple w:instr=" SEQ Рисунок \* ARABIC ">
        <w:bookmarkStart w:id="299" w:name="_Ref69995760"/>
        <w:r w:rsidR="001860A9">
          <w:rPr>
            <w:noProof/>
          </w:rPr>
          <w:t>88</w:t>
        </w:r>
        <w:bookmarkEnd w:id="299"/>
      </w:fldSimple>
      <w:r w:rsidRPr="00206C4C">
        <w:rPr>
          <w:szCs w:val="28"/>
        </w:rPr>
        <w:t xml:space="preserve"> – </w:t>
      </w:r>
      <w:r w:rsidRPr="00206C4C">
        <w:rPr>
          <w:rStyle w:val="af1"/>
        </w:rPr>
        <w:t>Макет отчета «</w:t>
      </w:r>
      <w:r w:rsidRPr="00382B13">
        <w:rPr>
          <w:rStyle w:val="af1"/>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rStyle w:val="af1"/>
        </w:rPr>
        <w:t>». Представление «По доходным источникам» - «Таблица» - «По КД»</w:t>
      </w:r>
      <w:bookmarkEnd w:id="298"/>
    </w:p>
    <w:p w:rsidR="00D90944" w:rsidRPr="00206C4C" w:rsidRDefault="00D90944" w:rsidP="00D90944">
      <w:pPr>
        <w:pStyle w:val="af0"/>
        <w:rPr>
          <w:szCs w:val="28"/>
        </w:rPr>
      </w:pPr>
      <w:r w:rsidRPr="00206C4C">
        <w:rPr>
          <w:rFonts w:eastAsia="Calibri"/>
        </w:rPr>
        <w:t xml:space="preserve">Представление формируется на основе таблиц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и </w:t>
      </w:r>
      <w:r w:rsidRPr="00206C4C">
        <w:rPr>
          <w:rFonts w:eastAsia="Calibri"/>
          <w:lang w:val="en-US"/>
        </w:rPr>
        <w:t>F</w:t>
      </w:r>
      <w:r w:rsidRPr="00206C4C">
        <w:rPr>
          <w:rFonts w:eastAsia="Calibri"/>
        </w:rPr>
        <w:t>_</w:t>
      </w:r>
      <w:r w:rsidRPr="00206C4C">
        <w:rPr>
          <w:rFonts w:eastAsia="Calibri"/>
          <w:lang w:val="en-US"/>
        </w:rPr>
        <w:t>GKFB</w:t>
      </w:r>
      <w:r w:rsidRPr="00206C4C">
        <w:rPr>
          <w:rFonts w:eastAsia="Calibri"/>
        </w:rPr>
        <w:t>_</w:t>
      </w:r>
      <w:r w:rsidRPr="00206C4C">
        <w:rPr>
          <w:rFonts w:eastAsia="Calibri"/>
          <w:lang w:val="en-US"/>
        </w:rPr>
        <w:t>I</w:t>
      </w:r>
      <w:r w:rsidRPr="00206C4C">
        <w:rPr>
          <w:rFonts w:eastAsia="Calibri"/>
        </w:rPr>
        <w:t xml:space="preserve">, которые заполняются отдельными сценариями загрузки. В строки таблицы выводятся значения справочника </w:t>
      </w:r>
      <w:r w:rsidRPr="00206C4C">
        <w:rPr>
          <w:rFonts w:eastAsia="Calibri"/>
          <w:lang w:val="en-US"/>
        </w:rPr>
        <w:t>D</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KD</w:t>
      </w:r>
      <w:r w:rsidRPr="00206C4C">
        <w:rPr>
          <w:rFonts w:eastAsia="Calibri"/>
        </w:rPr>
        <w:t>.</w:t>
      </w:r>
    </w:p>
    <w:p w:rsidR="00D90944" w:rsidRPr="00206C4C" w:rsidRDefault="00D90944" w:rsidP="00D90944">
      <w:pPr>
        <w:pStyle w:val="af0"/>
      </w:pPr>
      <w:r w:rsidRPr="00206C4C">
        <w:t>Параметры представления:</w:t>
      </w:r>
    </w:p>
    <w:p w:rsidR="00D90944" w:rsidRPr="00206C4C" w:rsidRDefault="0019354C" w:rsidP="00D90944">
      <w:pPr>
        <w:pStyle w:val="af0"/>
        <w:numPr>
          <w:ilvl w:val="0"/>
          <w:numId w:val="56"/>
        </w:numPr>
        <w:ind w:left="993" w:hanging="426"/>
        <w:rPr>
          <w:rFonts w:eastAsia="Calibri"/>
        </w:rPr>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19354C" w:rsidP="00DE1661">
      <w:pPr>
        <w:pStyle w:val="13"/>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19354C"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19354C" w:rsidP="00DE1661">
      <w:pPr>
        <w:pStyle w:val="13"/>
      </w:pPr>
      <w:r>
        <w:t>и</w:t>
      </w:r>
      <w:r w:rsidR="00D90944" w:rsidRPr="00206C4C">
        <w:t xml:space="preserve">сточники доходов: выпадающий иерархический список кодов доходов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19354C" w:rsidRPr="0019354C" w:rsidRDefault="0019354C" w:rsidP="00DE1661">
      <w:pPr>
        <w:pStyle w:val="13"/>
      </w:pPr>
      <w:r>
        <w:t>е</w:t>
      </w:r>
      <w:r w:rsidR="00D90944" w:rsidRPr="00206C4C">
        <w:t>диницы измерения: выпадающий список с выбором единиц измерения. Состоит из элементов: руб, тыс руб, млн руб, млрд руб.</w:t>
      </w:r>
      <w:r w:rsidR="00D90944" w:rsidRPr="006B4B70">
        <w:rPr>
          <w:snapToGrid/>
        </w:rPr>
        <w:t xml:space="preserve"> </w:t>
      </w:r>
    </w:p>
    <w:p w:rsidR="00D90944" w:rsidRPr="00206C4C" w:rsidRDefault="00D90944" w:rsidP="0019354C">
      <w:pPr>
        <w:pStyle w:val="42"/>
      </w:pPr>
      <w:r w:rsidRPr="006B4B70">
        <w:rPr>
          <w:snapToGrid/>
        </w:rPr>
        <w:t xml:space="preserve">Представление </w:t>
      </w:r>
      <w:r w:rsidRPr="00206C4C">
        <w:t>«По доходным источникам» - «Таблица» - «По видам доходов»</w:t>
      </w:r>
    </w:p>
    <w:p w:rsidR="00D90944" w:rsidRPr="00206C4C" w:rsidRDefault="00D90944" w:rsidP="00D90944">
      <w:pPr>
        <w:pStyle w:val="af0"/>
        <w:rPr>
          <w:szCs w:val="28"/>
        </w:rPr>
      </w:pPr>
      <w:r w:rsidRPr="00206C4C">
        <w:rPr>
          <w:szCs w:val="28"/>
        </w:rPr>
        <w:t xml:space="preserve">Представление «По доходным источникам» - «Таблица» - «По </w:t>
      </w:r>
      <w:r w:rsidR="00382B13">
        <w:rPr>
          <w:szCs w:val="28"/>
        </w:rPr>
        <w:t>категориям</w:t>
      </w:r>
      <w:r w:rsidRPr="00206C4C">
        <w:rPr>
          <w:szCs w:val="28"/>
        </w:rPr>
        <w:t xml:space="preserve"> доходов» аналитического отчета «</w:t>
      </w:r>
      <w:r w:rsidR="00382B13" w:rsidRPr="00382B13">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обеспечивает возможность анализа показателей исполнения прогноза доходов федерального бюджета, учтенных в федеральном законе о федеральном бюджета, а также прогноза главных администраторов доходов федерального бюджета с начала года и с начала месяца в разрезе видов доходов в виде иерархической таблицы с группировкой по уровням нефтегазовых и ненефтегазовых доходов (Рисунок</w:t>
      </w:r>
      <w:r w:rsidR="00382B13">
        <w:rPr>
          <w:szCs w:val="28"/>
        </w:rPr>
        <w:t xml:space="preserve"> </w:t>
      </w:r>
      <w:r w:rsidR="00382B13">
        <w:rPr>
          <w:szCs w:val="28"/>
        </w:rPr>
        <w:fldChar w:fldCharType="begin"/>
      </w:r>
      <w:r w:rsidR="00382B13">
        <w:rPr>
          <w:szCs w:val="28"/>
        </w:rPr>
        <w:instrText xml:space="preserve"> REF _Ref69995888 \h </w:instrText>
      </w:r>
      <w:r w:rsidR="00382B13">
        <w:rPr>
          <w:szCs w:val="28"/>
        </w:rPr>
      </w:r>
      <w:r w:rsidR="00382B13">
        <w:rPr>
          <w:szCs w:val="28"/>
        </w:rPr>
        <w:fldChar w:fldCharType="separate"/>
      </w:r>
      <w:r w:rsidR="00BF0BEE">
        <w:rPr>
          <w:noProof/>
        </w:rPr>
        <w:t>89</w:t>
      </w:r>
      <w:r w:rsidR="00382B13">
        <w:rPr>
          <w:szCs w:val="28"/>
        </w:rPr>
        <w:fldChar w:fldCharType="end"/>
      </w:r>
      <w:r w:rsidRPr="00206C4C">
        <w:rPr>
          <w:szCs w:val="28"/>
        </w:rPr>
        <w:t xml:space="preserve">). </w:t>
      </w:r>
    </w:p>
    <w:p w:rsidR="00382B13" w:rsidRDefault="00382B13" w:rsidP="00382B13">
      <w:pPr>
        <w:pStyle w:val="afffff7"/>
        <w:keepNext/>
      </w:pPr>
      <w:r>
        <w:rPr>
          <w:noProof/>
          <w:lang w:eastAsia="ru-RU"/>
        </w:rPr>
        <w:drawing>
          <wp:inline distT="0" distB="0" distL="0" distR="0" wp14:anchorId="71009253" wp14:editId="3DFA64ED">
            <wp:extent cx="6120130" cy="298016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6120130" cy="2980160"/>
                    </a:xfrm>
                    <a:prstGeom prst="rect">
                      <a:avLst/>
                    </a:prstGeom>
                  </pic:spPr>
                </pic:pic>
              </a:graphicData>
            </a:graphic>
          </wp:inline>
        </w:drawing>
      </w:r>
    </w:p>
    <w:p w:rsidR="00D90944" w:rsidRPr="00206C4C" w:rsidRDefault="00382B13" w:rsidP="00382B13">
      <w:pPr>
        <w:pStyle w:val="-0"/>
      </w:pPr>
      <w:bookmarkStart w:id="300" w:name="_Toc119584276"/>
      <w:r w:rsidRPr="00206C4C">
        <w:t xml:space="preserve">Рисунок </w:t>
      </w:r>
      <w:fldSimple w:instr=" SEQ Рисунок \* ARABIC ">
        <w:bookmarkStart w:id="301" w:name="_Ref69995888"/>
        <w:r w:rsidR="001860A9">
          <w:rPr>
            <w:noProof/>
          </w:rPr>
          <w:t>89</w:t>
        </w:r>
        <w:bookmarkEnd w:id="301"/>
      </w:fldSimple>
      <w:r w:rsidRPr="00206C4C">
        <w:t xml:space="preserve"> – </w:t>
      </w:r>
      <w:r w:rsidRPr="00206C4C">
        <w:rPr>
          <w:rStyle w:val="af1"/>
        </w:rPr>
        <w:t>Макет отчета «</w:t>
      </w:r>
      <w:r w:rsidRPr="00382B13">
        <w:rPr>
          <w:rStyle w:val="af1"/>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rStyle w:val="af1"/>
        </w:rPr>
        <w:t xml:space="preserve">». Представление «По доходным источникам» - «Таблица» - «По </w:t>
      </w:r>
      <w:r>
        <w:rPr>
          <w:rStyle w:val="af1"/>
        </w:rPr>
        <w:t>категориям</w:t>
      </w:r>
      <w:r w:rsidRPr="00206C4C">
        <w:rPr>
          <w:rStyle w:val="af1"/>
        </w:rPr>
        <w:t xml:space="preserve"> доходов»</w:t>
      </w:r>
      <w:bookmarkEnd w:id="300"/>
    </w:p>
    <w:p w:rsidR="00D90944" w:rsidRPr="00206C4C" w:rsidRDefault="00D90944" w:rsidP="00D90944">
      <w:pPr>
        <w:pStyle w:val="af0"/>
        <w:rPr>
          <w:szCs w:val="28"/>
        </w:rPr>
      </w:pPr>
      <w:r w:rsidRPr="00206C4C">
        <w:rPr>
          <w:rFonts w:eastAsia="Calibri"/>
        </w:rPr>
        <w:t xml:space="preserve">Представление формируется на основе таблиц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и </w:t>
      </w:r>
      <w:r w:rsidRPr="00206C4C">
        <w:rPr>
          <w:rFonts w:eastAsia="Calibri"/>
          <w:lang w:val="en-US"/>
        </w:rPr>
        <w:t>F</w:t>
      </w:r>
      <w:r w:rsidRPr="00206C4C">
        <w:rPr>
          <w:rFonts w:eastAsia="Calibri"/>
        </w:rPr>
        <w:t>_</w:t>
      </w:r>
      <w:r w:rsidRPr="00206C4C">
        <w:rPr>
          <w:rFonts w:eastAsia="Calibri"/>
          <w:lang w:val="en-US"/>
        </w:rPr>
        <w:t>GKFB</w:t>
      </w:r>
      <w:r w:rsidRPr="00206C4C">
        <w:rPr>
          <w:rFonts w:eastAsia="Calibri"/>
        </w:rPr>
        <w:t>_</w:t>
      </w:r>
      <w:r w:rsidRPr="00206C4C">
        <w:rPr>
          <w:rFonts w:eastAsia="Calibri"/>
          <w:lang w:val="en-US"/>
        </w:rPr>
        <w:t>I</w:t>
      </w:r>
      <w:r w:rsidRPr="00206C4C">
        <w:rPr>
          <w:rFonts w:eastAsia="Calibri"/>
        </w:rPr>
        <w:t xml:space="preserve">, которые заполняются отдельными сценариями загрузки. В строки таблицы выводятся значения справочника </w:t>
      </w:r>
      <w:r w:rsidRPr="00206C4C">
        <w:rPr>
          <w:rFonts w:eastAsia="Calibri"/>
          <w:lang w:val="en-US"/>
        </w:rPr>
        <w:t>D</w:t>
      </w:r>
      <w:r w:rsidRPr="00206C4C">
        <w:rPr>
          <w:rFonts w:eastAsia="Calibri"/>
        </w:rPr>
        <w:t>_</w:t>
      </w:r>
      <w:r w:rsidRPr="00206C4C">
        <w:rPr>
          <w:rFonts w:eastAsia="Calibri"/>
          <w:lang w:val="en-US"/>
        </w:rPr>
        <w:t>EB</w:t>
      </w:r>
      <w:r w:rsidRPr="00206C4C">
        <w:rPr>
          <w:rFonts w:eastAsia="Calibri"/>
        </w:rPr>
        <w:t>_</w:t>
      </w:r>
      <w:r w:rsidRPr="00206C4C">
        <w:rPr>
          <w:rFonts w:eastAsia="Calibri"/>
          <w:lang w:val="en-US"/>
        </w:rPr>
        <w:t>OILINCOMES</w:t>
      </w:r>
      <w:r w:rsidRPr="00206C4C">
        <w:rPr>
          <w:rFonts w:eastAsia="Calibri"/>
        </w:rPr>
        <w:t>.</w:t>
      </w:r>
    </w:p>
    <w:p w:rsidR="00D90944" w:rsidRPr="00206C4C" w:rsidRDefault="00D90944" w:rsidP="00D90944">
      <w:pPr>
        <w:pStyle w:val="af0"/>
      </w:pPr>
      <w:r w:rsidRPr="00206C4C">
        <w:t>Параметры представления:</w:t>
      </w:r>
    </w:p>
    <w:p w:rsidR="00D90944" w:rsidRPr="00206C4C" w:rsidRDefault="000D0619" w:rsidP="00D90944">
      <w:pPr>
        <w:pStyle w:val="af0"/>
        <w:numPr>
          <w:ilvl w:val="0"/>
          <w:numId w:val="56"/>
        </w:numPr>
        <w:ind w:left="993" w:hanging="426"/>
        <w:rPr>
          <w:rFonts w:eastAsia="Calibri"/>
        </w:rPr>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0D0619" w:rsidP="00DE1661">
      <w:pPr>
        <w:pStyle w:val="13"/>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0D0619" w:rsidP="00DE1661">
      <w:pPr>
        <w:pStyle w:val="13"/>
        <w:rPr>
          <w:noProof/>
        </w:rPr>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90944" w:rsidP="00D90944">
      <w:pPr>
        <w:pStyle w:val="42"/>
      </w:pPr>
      <w:bookmarkStart w:id="302" w:name="_Toc17213995"/>
      <w:r w:rsidRPr="00206C4C">
        <w:t>Представление «По ГАДБ» - «Таблица»</w:t>
      </w:r>
      <w:bookmarkEnd w:id="302"/>
    </w:p>
    <w:p w:rsidR="00D90944" w:rsidRPr="00206C4C" w:rsidRDefault="00D90944" w:rsidP="00D90944">
      <w:pPr>
        <w:pStyle w:val="af0"/>
        <w:rPr>
          <w:szCs w:val="28"/>
        </w:rPr>
      </w:pPr>
      <w:r w:rsidRPr="00206C4C">
        <w:rPr>
          <w:szCs w:val="28"/>
        </w:rPr>
        <w:t>Представление «По ГАДБ» - «Таблица» аналитического отчета «</w:t>
      </w:r>
      <w:r w:rsidR="00382B13" w:rsidRPr="00382B13">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обеспечивает анализ показателей исполнения прогноза доходов федерального бюджета, учтенных в федеральном законе о федеральном бюджета, а также прогноза главных администраторов доходов федерального бюджета в разрезе главных администраторов в виде таблицы (Рисунок</w:t>
      </w:r>
      <w:r w:rsidR="00382B13">
        <w:rPr>
          <w:szCs w:val="28"/>
        </w:rPr>
        <w:t xml:space="preserve"> </w:t>
      </w:r>
      <w:r w:rsidR="00382B13">
        <w:rPr>
          <w:szCs w:val="28"/>
        </w:rPr>
        <w:fldChar w:fldCharType="begin"/>
      </w:r>
      <w:r w:rsidR="00382B13">
        <w:rPr>
          <w:szCs w:val="28"/>
        </w:rPr>
        <w:instrText xml:space="preserve"> REF _Ref69995959 \h </w:instrText>
      </w:r>
      <w:r w:rsidR="00382B13">
        <w:rPr>
          <w:szCs w:val="28"/>
        </w:rPr>
      </w:r>
      <w:r w:rsidR="00382B13">
        <w:rPr>
          <w:szCs w:val="28"/>
        </w:rPr>
        <w:fldChar w:fldCharType="separate"/>
      </w:r>
      <w:r w:rsidR="00BF0BEE">
        <w:rPr>
          <w:noProof/>
        </w:rPr>
        <w:t>90</w:t>
      </w:r>
      <w:r w:rsidR="00382B13">
        <w:rPr>
          <w:szCs w:val="28"/>
        </w:rPr>
        <w:fldChar w:fldCharType="end"/>
      </w:r>
      <w:r w:rsidRPr="00206C4C">
        <w:rPr>
          <w:szCs w:val="28"/>
        </w:rPr>
        <w:t>).</w:t>
      </w:r>
    </w:p>
    <w:p w:rsidR="00382B13" w:rsidRDefault="00382B13" w:rsidP="00382B13">
      <w:pPr>
        <w:pStyle w:val="afffff7"/>
        <w:keepNext/>
      </w:pPr>
      <w:r>
        <w:rPr>
          <w:noProof/>
          <w:lang w:eastAsia="ru-RU"/>
        </w:rPr>
        <w:drawing>
          <wp:inline distT="0" distB="0" distL="0" distR="0" wp14:anchorId="49FEABCB" wp14:editId="4A116077">
            <wp:extent cx="6120130" cy="297258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6120130" cy="2972580"/>
                    </a:xfrm>
                    <a:prstGeom prst="rect">
                      <a:avLst/>
                    </a:prstGeom>
                  </pic:spPr>
                </pic:pic>
              </a:graphicData>
            </a:graphic>
          </wp:inline>
        </w:drawing>
      </w:r>
    </w:p>
    <w:p w:rsidR="00D90944" w:rsidRPr="00206C4C" w:rsidRDefault="00382B13" w:rsidP="00382B13">
      <w:pPr>
        <w:pStyle w:val="-0"/>
      </w:pPr>
      <w:bookmarkStart w:id="303" w:name="_Toc119584277"/>
      <w:r w:rsidRPr="00206C4C">
        <w:t xml:space="preserve">Рисунок </w:t>
      </w:r>
      <w:fldSimple w:instr=" SEQ Рисунок \* ARABIC ">
        <w:bookmarkStart w:id="304" w:name="_Ref69995959"/>
        <w:r w:rsidR="001860A9">
          <w:rPr>
            <w:noProof/>
          </w:rPr>
          <w:t>90</w:t>
        </w:r>
        <w:bookmarkEnd w:id="304"/>
      </w:fldSimple>
      <w:r w:rsidRPr="00206C4C">
        <w:t xml:space="preserve"> – Макет отчета «</w:t>
      </w:r>
      <w:r w:rsidRPr="00382B13">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ГАДБ» - «Таблица»</w:t>
      </w:r>
      <w:bookmarkEnd w:id="303"/>
    </w:p>
    <w:p w:rsidR="00D90944" w:rsidRPr="00206C4C" w:rsidRDefault="00D90944" w:rsidP="00D90944">
      <w:pPr>
        <w:pStyle w:val="af0"/>
        <w:rPr>
          <w:szCs w:val="28"/>
        </w:rPr>
      </w:pPr>
      <w:r w:rsidRPr="00206C4C">
        <w:rPr>
          <w:rFonts w:eastAsia="Calibri"/>
        </w:rPr>
        <w:t xml:space="preserve">Представление формируется на основе таблиц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и </w:t>
      </w:r>
      <w:r w:rsidRPr="00206C4C">
        <w:rPr>
          <w:rFonts w:eastAsia="Calibri"/>
          <w:lang w:val="en-US"/>
        </w:rPr>
        <w:t>F</w:t>
      </w:r>
      <w:r w:rsidRPr="00206C4C">
        <w:rPr>
          <w:rFonts w:eastAsia="Calibri"/>
        </w:rPr>
        <w:t>_</w:t>
      </w:r>
      <w:r w:rsidRPr="00206C4C">
        <w:rPr>
          <w:rFonts w:eastAsia="Calibri"/>
          <w:lang w:val="en-US"/>
        </w:rPr>
        <w:t>GKFB</w:t>
      </w:r>
      <w:r w:rsidRPr="00206C4C">
        <w:rPr>
          <w:rFonts w:eastAsia="Calibri"/>
        </w:rPr>
        <w:t>_</w:t>
      </w:r>
      <w:r w:rsidRPr="00206C4C">
        <w:rPr>
          <w:rFonts w:eastAsia="Calibri"/>
          <w:lang w:val="en-US"/>
        </w:rPr>
        <w:t>I</w:t>
      </w:r>
      <w:r w:rsidRPr="00206C4C">
        <w:rPr>
          <w:rFonts w:eastAsia="Calibri"/>
        </w:rPr>
        <w:t xml:space="preserve">, которые заполняются отдельными сценариями загрузки. В строки таблицы выводятся значения справочника </w:t>
      </w:r>
      <w:r w:rsidRPr="00206C4C">
        <w:rPr>
          <w:rFonts w:eastAsia="Calibri"/>
          <w:lang w:val="en-US"/>
        </w:rPr>
        <w:t>D</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KVSR</w:t>
      </w:r>
      <w:r w:rsidRPr="00206C4C">
        <w:rPr>
          <w:rFonts w:eastAsia="Calibri"/>
        </w:rPr>
        <w:t>.</w:t>
      </w:r>
    </w:p>
    <w:p w:rsidR="00D90944" w:rsidRPr="00206C4C" w:rsidRDefault="00D90944" w:rsidP="00D90944">
      <w:pPr>
        <w:pStyle w:val="af0"/>
      </w:pPr>
      <w:r w:rsidRPr="00206C4C">
        <w:t>Параметры представления:</w:t>
      </w:r>
    </w:p>
    <w:p w:rsidR="00D90944" w:rsidRPr="00206C4C" w:rsidRDefault="000D0619" w:rsidP="00D90944">
      <w:pPr>
        <w:pStyle w:val="af0"/>
        <w:numPr>
          <w:ilvl w:val="0"/>
          <w:numId w:val="56"/>
        </w:numPr>
        <w:ind w:left="993" w:hanging="426"/>
        <w:rPr>
          <w:rFonts w:eastAsia="Calibri"/>
        </w:rPr>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0D0619" w:rsidP="00DE1661">
      <w:pPr>
        <w:pStyle w:val="13"/>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0D0619"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0D0619" w:rsidP="00DE1661">
      <w:pPr>
        <w:pStyle w:val="13"/>
      </w:pPr>
      <w:r>
        <w:t>и</w:t>
      </w:r>
      <w:r w:rsidR="00D90944" w:rsidRPr="00206C4C">
        <w:t xml:space="preserve">сточники доходов: выпадающий иерархический список кодов доходов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0D0619" w:rsidP="00DE1661">
      <w:pPr>
        <w:pStyle w:val="13"/>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90944" w:rsidP="00D90944">
      <w:pPr>
        <w:pStyle w:val="42"/>
      </w:pPr>
      <w:bookmarkStart w:id="305" w:name="_Toc17213996"/>
      <w:r w:rsidRPr="00206C4C">
        <w:t>Представление «По доходным источникам» - «Диаграммы»</w:t>
      </w:r>
      <w:bookmarkEnd w:id="305"/>
    </w:p>
    <w:p w:rsidR="00D90944" w:rsidRPr="00206C4C" w:rsidRDefault="00D90944" w:rsidP="00D90944">
      <w:pPr>
        <w:pStyle w:val="af0"/>
        <w:rPr>
          <w:szCs w:val="28"/>
        </w:rPr>
      </w:pPr>
      <w:r w:rsidRPr="00206C4C">
        <w:rPr>
          <w:szCs w:val="28"/>
        </w:rPr>
        <w:t>Представление «По доходным источникам» - «Диаграммы» аналитического отчета «</w:t>
      </w:r>
      <w:r w:rsidR="00382B13" w:rsidRPr="00382B13">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отображает ежемесячные значения прогнозных и фактических показателей по исполнению доходов федерального бюджета дискретно (Рисунок</w:t>
      </w:r>
      <w:r w:rsidR="0027042D">
        <w:rPr>
          <w:szCs w:val="28"/>
        </w:rPr>
        <w:t xml:space="preserve"> </w:t>
      </w:r>
      <w:r w:rsidR="0027042D">
        <w:rPr>
          <w:szCs w:val="28"/>
        </w:rPr>
        <w:fldChar w:fldCharType="begin"/>
      </w:r>
      <w:r w:rsidR="0027042D">
        <w:rPr>
          <w:szCs w:val="28"/>
        </w:rPr>
        <w:instrText xml:space="preserve"> REF _Ref69996084 \h </w:instrText>
      </w:r>
      <w:r w:rsidR="0027042D">
        <w:rPr>
          <w:szCs w:val="28"/>
        </w:rPr>
      </w:r>
      <w:r w:rsidR="0027042D">
        <w:rPr>
          <w:szCs w:val="28"/>
        </w:rPr>
        <w:fldChar w:fldCharType="separate"/>
      </w:r>
      <w:r w:rsidR="00BF0BEE">
        <w:rPr>
          <w:noProof/>
        </w:rPr>
        <w:t>91</w:t>
      </w:r>
      <w:r w:rsidR="0027042D">
        <w:rPr>
          <w:szCs w:val="28"/>
        </w:rPr>
        <w:fldChar w:fldCharType="end"/>
      </w:r>
      <w:r w:rsidRPr="00206C4C">
        <w:rPr>
          <w:szCs w:val="28"/>
        </w:rPr>
        <w:t>) и нарастающим итогом с начала года (Рисунок</w:t>
      </w:r>
      <w:r w:rsidR="0027042D">
        <w:rPr>
          <w:szCs w:val="28"/>
        </w:rPr>
        <w:t xml:space="preserve"> </w:t>
      </w:r>
      <w:r w:rsidR="0027042D">
        <w:rPr>
          <w:szCs w:val="28"/>
        </w:rPr>
        <w:fldChar w:fldCharType="begin"/>
      </w:r>
      <w:r w:rsidR="0027042D">
        <w:rPr>
          <w:szCs w:val="28"/>
        </w:rPr>
        <w:instrText xml:space="preserve"> REF _Ref69996149 \h </w:instrText>
      </w:r>
      <w:r w:rsidR="0027042D">
        <w:rPr>
          <w:szCs w:val="28"/>
        </w:rPr>
      </w:r>
      <w:r w:rsidR="0027042D">
        <w:rPr>
          <w:szCs w:val="28"/>
        </w:rPr>
        <w:fldChar w:fldCharType="separate"/>
      </w:r>
      <w:r w:rsidR="00BF0BEE">
        <w:rPr>
          <w:noProof/>
        </w:rPr>
        <w:t>92</w:t>
      </w:r>
      <w:r w:rsidR="0027042D">
        <w:rPr>
          <w:szCs w:val="28"/>
        </w:rPr>
        <w:fldChar w:fldCharType="end"/>
      </w:r>
      <w:r w:rsidRPr="00206C4C">
        <w:rPr>
          <w:szCs w:val="28"/>
        </w:rPr>
        <w:t>).</w:t>
      </w:r>
    </w:p>
    <w:p w:rsidR="0027042D" w:rsidRDefault="0027042D" w:rsidP="0027042D">
      <w:pPr>
        <w:pStyle w:val="afffff7"/>
        <w:keepNext/>
      </w:pPr>
      <w:r>
        <w:rPr>
          <w:noProof/>
          <w:lang w:eastAsia="ru-RU"/>
        </w:rPr>
        <w:drawing>
          <wp:inline distT="0" distB="0" distL="0" distR="0" wp14:anchorId="17AE8748" wp14:editId="1D8884AA">
            <wp:extent cx="6152515" cy="2994660"/>
            <wp:effectExtent l="0" t="0" r="63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6152515" cy="2994660"/>
                    </a:xfrm>
                    <a:prstGeom prst="rect">
                      <a:avLst/>
                    </a:prstGeom>
                  </pic:spPr>
                </pic:pic>
              </a:graphicData>
            </a:graphic>
          </wp:inline>
        </w:drawing>
      </w:r>
    </w:p>
    <w:p w:rsidR="0027042D" w:rsidRDefault="0027042D" w:rsidP="0027042D">
      <w:pPr>
        <w:pStyle w:val="-0"/>
      </w:pPr>
      <w:bookmarkStart w:id="306" w:name="_Toc119584278"/>
      <w:r w:rsidRPr="00206C4C">
        <w:t xml:space="preserve">Рисунок </w:t>
      </w:r>
      <w:fldSimple w:instr=" SEQ Рисунок \* ARABIC ">
        <w:bookmarkStart w:id="307" w:name="_Ref69996084"/>
        <w:r w:rsidR="001860A9">
          <w:rPr>
            <w:noProof/>
          </w:rPr>
          <w:t>91</w:t>
        </w:r>
        <w:bookmarkEnd w:id="307"/>
      </w:fldSimple>
      <w:r w:rsidRPr="00206C4C">
        <w:t xml:space="preserve"> – Макет отчета «</w:t>
      </w:r>
      <w:r w:rsidRPr="00382B13">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доходным источникам» - «Диаграмма» - «Дискретный»</w:t>
      </w:r>
      <w:bookmarkEnd w:id="306"/>
    </w:p>
    <w:p w:rsidR="00D90944" w:rsidRPr="00206C4C" w:rsidRDefault="00D90944" w:rsidP="00D90944">
      <w:pPr>
        <w:pStyle w:val="afffff7"/>
      </w:pPr>
    </w:p>
    <w:p w:rsidR="0027042D" w:rsidRDefault="0027042D" w:rsidP="0027042D">
      <w:pPr>
        <w:keepNext/>
      </w:pPr>
      <w:r>
        <w:rPr>
          <w:noProof/>
          <w:snapToGrid/>
        </w:rPr>
        <w:drawing>
          <wp:inline distT="0" distB="0" distL="0" distR="0" wp14:anchorId="19562761" wp14:editId="193181DE">
            <wp:extent cx="6120130" cy="2983319"/>
            <wp:effectExtent l="0" t="0" r="0" b="762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6120130" cy="2983319"/>
                    </a:xfrm>
                    <a:prstGeom prst="rect">
                      <a:avLst/>
                    </a:prstGeom>
                  </pic:spPr>
                </pic:pic>
              </a:graphicData>
            </a:graphic>
          </wp:inline>
        </w:drawing>
      </w:r>
    </w:p>
    <w:p w:rsidR="00D90944" w:rsidRPr="00206C4C" w:rsidRDefault="0027042D" w:rsidP="0027042D">
      <w:pPr>
        <w:pStyle w:val="-0"/>
      </w:pPr>
      <w:bookmarkStart w:id="308" w:name="_Toc119584279"/>
      <w:r w:rsidRPr="00206C4C">
        <w:t xml:space="preserve">Рисунок </w:t>
      </w:r>
      <w:fldSimple w:instr=" SEQ Рисунок \* ARABIC ">
        <w:bookmarkStart w:id="309" w:name="_Ref69996149"/>
        <w:r w:rsidR="001860A9">
          <w:rPr>
            <w:noProof/>
          </w:rPr>
          <w:t>92</w:t>
        </w:r>
        <w:bookmarkEnd w:id="309"/>
      </w:fldSimple>
      <w:r w:rsidRPr="00206C4C">
        <w:t xml:space="preserve"> – Макет отчета «</w:t>
      </w:r>
      <w:r w:rsidRPr="00060055">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доходным источникам» - «Диаграмма» - «С начала года»</w:t>
      </w:r>
      <w:bookmarkEnd w:id="308"/>
    </w:p>
    <w:p w:rsidR="00D90944" w:rsidRPr="00206C4C" w:rsidRDefault="00D90944" w:rsidP="00D90944">
      <w:pPr>
        <w:pStyle w:val="af0"/>
        <w:rPr>
          <w:szCs w:val="28"/>
        </w:rPr>
      </w:pPr>
      <w:r w:rsidRPr="00206C4C">
        <w:rPr>
          <w:szCs w:val="28"/>
        </w:rPr>
        <w:t>Параметры представления:</w:t>
      </w:r>
    </w:p>
    <w:p w:rsidR="00D90944" w:rsidRPr="00206C4C" w:rsidRDefault="002B06BD" w:rsidP="00DE1661">
      <w:pPr>
        <w:pStyle w:val="13"/>
        <w:numPr>
          <w:ilvl w:val="0"/>
          <w:numId w:val="57"/>
        </w:numPr>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2B06BD" w:rsidP="00DE1661">
      <w:pPr>
        <w:pStyle w:val="13"/>
        <w:numPr>
          <w:ilvl w:val="0"/>
          <w:numId w:val="57"/>
        </w:numPr>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numPr>
          <w:ilvl w:val="0"/>
          <w:numId w:val="57"/>
        </w:numPr>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2B06BD" w:rsidP="00DE1661">
      <w:pPr>
        <w:pStyle w:val="13"/>
        <w:numPr>
          <w:ilvl w:val="0"/>
          <w:numId w:val="57"/>
        </w:numPr>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2B06BD" w:rsidP="00DE1661">
      <w:pPr>
        <w:pStyle w:val="13"/>
        <w:numPr>
          <w:ilvl w:val="0"/>
          <w:numId w:val="57"/>
        </w:numPr>
      </w:pPr>
      <w:r>
        <w:t>и</w:t>
      </w:r>
      <w:r w:rsidR="00D90944" w:rsidRPr="00206C4C">
        <w:t xml:space="preserve">сточники доходов: выпадающий иерархический список кодов  доходов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2B06BD" w:rsidP="00DE1661">
      <w:pPr>
        <w:pStyle w:val="13"/>
        <w:numPr>
          <w:ilvl w:val="0"/>
          <w:numId w:val="57"/>
        </w:numPr>
      </w:pPr>
      <w:r>
        <w:t>е</w:t>
      </w:r>
      <w:r w:rsidR="00D90944" w:rsidRPr="00206C4C">
        <w:t>диницы измерения: выпадающий список с выбором единиц измерения. Состоит из элементов: руб, тыс руб</w:t>
      </w:r>
      <w:r>
        <w:t>, млн руб</w:t>
      </w:r>
      <w:r w:rsidR="00D90944" w:rsidRPr="00206C4C">
        <w:t>, млрд руб.</w:t>
      </w:r>
    </w:p>
    <w:p w:rsidR="00D90944" w:rsidRPr="00206C4C" w:rsidRDefault="00D90944" w:rsidP="00D90944">
      <w:pPr>
        <w:pStyle w:val="af0"/>
        <w:rPr>
          <w:rFonts w:eastAsia="Calibri"/>
        </w:rPr>
      </w:pPr>
      <w:r w:rsidRPr="00206C4C">
        <w:rPr>
          <w:rFonts w:eastAsia="Calibri"/>
        </w:rPr>
        <w:t>Показатели в диаграмме формируются на основе таблиц в базе данных, которые заполняются отдельными сценариями загрузки:</w:t>
      </w:r>
    </w:p>
    <w:p w:rsidR="00D90944" w:rsidRPr="00206C4C" w:rsidRDefault="00D90944" w:rsidP="00D90944">
      <w:pPr>
        <w:pStyle w:val="af0"/>
        <w:numPr>
          <w:ilvl w:val="0"/>
          <w:numId w:val="53"/>
        </w:numPr>
        <w:ind w:left="1287" w:hanging="720"/>
        <w:rPr>
          <w:rFonts w:eastAsia="Calibri"/>
        </w:rPr>
      </w:pPr>
      <w:r w:rsidRPr="00206C4C">
        <w:rPr>
          <w:rFonts w:eastAsia="Calibri"/>
        </w:rPr>
        <w:t>«Закон о федеральном бюджете» заполняется на основе данных ф. 0501031 (</w:t>
      </w:r>
      <w:r w:rsidRPr="00206C4C">
        <w:t>F_KSPL_</w:t>
      </w:r>
      <w:r w:rsidRPr="00206C4C">
        <w:rPr>
          <w:lang w:val="en-US"/>
        </w:rPr>
        <w:t>I</w:t>
      </w:r>
      <w:r w:rsidRPr="00206C4C">
        <w:t>);</w:t>
      </w:r>
    </w:p>
    <w:p w:rsidR="00D90944" w:rsidRPr="00206C4C" w:rsidRDefault="00D90944" w:rsidP="00D90944">
      <w:pPr>
        <w:pStyle w:val="af0"/>
        <w:numPr>
          <w:ilvl w:val="0"/>
          <w:numId w:val="53"/>
        </w:numPr>
        <w:ind w:left="1287" w:hanging="720"/>
        <w:rPr>
          <w:rFonts w:eastAsia="Calibri"/>
        </w:rPr>
      </w:pPr>
      <w:r w:rsidRPr="00206C4C">
        <w:rPr>
          <w:rFonts w:eastAsia="Calibri"/>
        </w:rPr>
        <w:t>«Уточненный прогноз ГАДБ (факт)», «Уточненный прогноз ГАДБ (план)» и «Прогноз ГАДБ (дискретный)» заполняются на основе данных ф. 0501083 (</w:t>
      </w:r>
      <w:r w:rsidRPr="00206C4C">
        <w:t>F_KSPL_</w:t>
      </w:r>
      <w:r w:rsidRPr="00206C4C">
        <w:rPr>
          <w:lang w:val="en-US"/>
        </w:rPr>
        <w:t>I</w:t>
      </w:r>
      <w:r w:rsidRPr="00206C4C">
        <w:t>);</w:t>
      </w:r>
    </w:p>
    <w:p w:rsidR="00D90944" w:rsidRPr="00206C4C" w:rsidRDefault="00D90944" w:rsidP="00D90944">
      <w:pPr>
        <w:pStyle w:val="af0"/>
        <w:numPr>
          <w:ilvl w:val="0"/>
          <w:numId w:val="53"/>
        </w:numPr>
        <w:ind w:left="1287" w:hanging="720"/>
        <w:rPr>
          <w:rFonts w:eastAsia="Calibri"/>
        </w:rPr>
      </w:pPr>
      <w:r w:rsidRPr="00206C4C">
        <w:rPr>
          <w:rFonts w:eastAsia="Calibri"/>
        </w:rPr>
        <w:t>«Исполнено за месяц» заполняется на основе данных оперативного отчета о кассовых поступлениях и выплатах федерального бюджета (</w:t>
      </w:r>
      <w:r w:rsidRPr="00206C4C">
        <w:t>F_</w:t>
      </w:r>
      <w:r w:rsidRPr="00206C4C">
        <w:rPr>
          <w:lang w:val="en-US"/>
        </w:rPr>
        <w:t>GKFB</w:t>
      </w:r>
      <w:r w:rsidRPr="00206C4C">
        <w:t>_</w:t>
      </w:r>
      <w:r w:rsidRPr="00206C4C">
        <w:rPr>
          <w:lang w:val="en-US"/>
        </w:rPr>
        <w:t>I</w:t>
      </w:r>
      <w:r w:rsidRPr="00206C4C">
        <w:t>);</w:t>
      </w:r>
    </w:p>
    <w:p w:rsidR="00D90944" w:rsidRPr="00206C4C" w:rsidRDefault="00D90944" w:rsidP="00D90944">
      <w:pPr>
        <w:pStyle w:val="af0"/>
        <w:numPr>
          <w:ilvl w:val="0"/>
          <w:numId w:val="53"/>
        </w:numPr>
        <w:ind w:left="1287" w:hanging="720"/>
        <w:rPr>
          <w:rFonts w:eastAsia="Calibri"/>
        </w:rPr>
      </w:pPr>
      <w:r w:rsidRPr="00206C4C">
        <w:rPr>
          <w:rFonts w:eastAsia="Calibri"/>
        </w:rPr>
        <w:t>«% исполнения закона о федеральном бюджете» рассчитывается как отношение показателей «Исполнено за месяц» и «Закон о федеральном бюджете», умноженное на 100%;</w:t>
      </w:r>
    </w:p>
    <w:p w:rsidR="00D90944" w:rsidRPr="00206C4C" w:rsidRDefault="00D90944" w:rsidP="00D90944">
      <w:pPr>
        <w:pStyle w:val="af0"/>
        <w:numPr>
          <w:ilvl w:val="0"/>
          <w:numId w:val="53"/>
        </w:numPr>
        <w:ind w:left="1287" w:hanging="720"/>
        <w:rPr>
          <w:rFonts w:eastAsia="Calibri"/>
        </w:rPr>
      </w:pPr>
      <w:r w:rsidRPr="00206C4C">
        <w:rPr>
          <w:rFonts w:eastAsia="Calibri"/>
        </w:rPr>
        <w:t>«% исполнения уточненного прогноза ГАДБ» рассчитывается как отношение показателей «Исполнено за месяц» и «Уточненный прогноз ГАДБ (факт)», умноженное на 100%;</w:t>
      </w:r>
    </w:p>
    <w:p w:rsidR="00D90944" w:rsidRPr="00206C4C" w:rsidRDefault="00D90944" w:rsidP="00D90944">
      <w:pPr>
        <w:pStyle w:val="af0"/>
        <w:numPr>
          <w:ilvl w:val="0"/>
          <w:numId w:val="53"/>
        </w:numPr>
        <w:ind w:left="1287" w:hanging="720"/>
        <w:rPr>
          <w:rFonts w:eastAsia="Calibri"/>
        </w:rPr>
      </w:pPr>
      <w:r w:rsidRPr="00206C4C">
        <w:rPr>
          <w:rFonts w:eastAsia="Calibri"/>
        </w:rPr>
        <w:t>«% исполнения прогноза ГАДБ (дискретный)» рассчитывается как отношение показателей «Исполнено за месяц» и «Прогноз ГАДБ (дискретный)», умноженное на 100%;</w:t>
      </w:r>
    </w:p>
    <w:p w:rsidR="00D90944" w:rsidRPr="00206C4C" w:rsidRDefault="00D90944" w:rsidP="00DE1661">
      <w:pPr>
        <w:pStyle w:val="13"/>
      </w:pPr>
      <w:r w:rsidRPr="00206C4C">
        <w:t>В представлении по умолчанию отображаются показатели «Прогноз ГАДБ (дискретный)» и «Исполнено за месяц».</w:t>
      </w:r>
    </w:p>
    <w:p w:rsidR="00D90944" w:rsidRPr="00206C4C" w:rsidRDefault="00D90944" w:rsidP="00D90944">
      <w:pPr>
        <w:ind w:firstLine="567"/>
        <w:rPr>
          <w:color w:val="auto"/>
          <w:sz w:val="28"/>
        </w:rPr>
      </w:pPr>
      <w:r w:rsidRPr="00206C4C">
        <w:rPr>
          <w:color w:val="auto"/>
          <w:sz w:val="28"/>
        </w:rPr>
        <w:t>Красная и зеленая зоны в области диаграммы указывают на качество исполнения плановых значений нефтегазовых доходов федерального бюджета</w:t>
      </w:r>
      <w:r w:rsidRPr="00206C4C">
        <w:t>.</w:t>
      </w:r>
    </w:p>
    <w:p w:rsidR="00D90944" w:rsidRPr="00206C4C" w:rsidRDefault="00D90944" w:rsidP="00D90944">
      <w:pPr>
        <w:pStyle w:val="42"/>
      </w:pPr>
      <w:bookmarkStart w:id="310" w:name="_Toc17213997"/>
      <w:r w:rsidRPr="00206C4C">
        <w:rPr>
          <w:rStyle w:val="47"/>
        </w:rPr>
        <w:t>Представление «По ГАДБ» - «Диаграммы</w:t>
      </w:r>
      <w:r w:rsidRPr="00206C4C">
        <w:t>»</w:t>
      </w:r>
      <w:bookmarkEnd w:id="310"/>
    </w:p>
    <w:p w:rsidR="00D90944" w:rsidRPr="00206C4C" w:rsidRDefault="00D90944" w:rsidP="00D90944">
      <w:pPr>
        <w:pStyle w:val="af0"/>
        <w:rPr>
          <w:szCs w:val="28"/>
        </w:rPr>
      </w:pPr>
      <w:r w:rsidRPr="00206C4C">
        <w:rPr>
          <w:szCs w:val="28"/>
        </w:rPr>
        <w:t>Представление «По ГАДБ» - «Диаграммы» аналитического отчета «</w:t>
      </w:r>
      <w:r w:rsidR="005B3F0E" w:rsidRPr="005B3F0E">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обеспечивает сравнение значений прогноза доходов федерального бюджета и их кассового исполнения по главным администраторам в виде гистограммы.</w:t>
      </w:r>
    </w:p>
    <w:p w:rsidR="00D90944" w:rsidRPr="00206C4C" w:rsidRDefault="00D90944" w:rsidP="00D90944">
      <w:pPr>
        <w:pStyle w:val="af0"/>
        <w:rPr>
          <w:szCs w:val="28"/>
        </w:rPr>
      </w:pPr>
      <w:r w:rsidRPr="00206C4C">
        <w:rPr>
          <w:rFonts w:eastAsia="Calibri"/>
        </w:rPr>
        <w:t xml:space="preserve">Представление формируется на основе таблиц </w:t>
      </w:r>
      <w:r w:rsidRPr="00206C4C">
        <w:rPr>
          <w:rFonts w:eastAsia="Calibri"/>
          <w:lang w:val="en-US"/>
        </w:rPr>
        <w:t>F</w:t>
      </w:r>
      <w:r w:rsidRPr="00206C4C">
        <w:rPr>
          <w:rFonts w:eastAsia="Calibri"/>
        </w:rPr>
        <w:t>_</w:t>
      </w:r>
      <w:r w:rsidRPr="00206C4C">
        <w:rPr>
          <w:rFonts w:eastAsia="Calibri"/>
          <w:lang w:val="en-US"/>
        </w:rPr>
        <w:t>KSPL</w:t>
      </w:r>
      <w:r w:rsidRPr="00206C4C">
        <w:rPr>
          <w:rFonts w:eastAsia="Calibri"/>
        </w:rPr>
        <w:t>_</w:t>
      </w:r>
      <w:r w:rsidRPr="00206C4C">
        <w:rPr>
          <w:rFonts w:eastAsia="Calibri"/>
          <w:lang w:val="en-US"/>
        </w:rPr>
        <w:t>I</w:t>
      </w:r>
      <w:r w:rsidRPr="00206C4C">
        <w:rPr>
          <w:rFonts w:eastAsia="Calibri"/>
        </w:rPr>
        <w:t xml:space="preserve"> и </w:t>
      </w:r>
      <w:r w:rsidRPr="00206C4C">
        <w:rPr>
          <w:rFonts w:eastAsia="Calibri"/>
          <w:lang w:val="en-US"/>
        </w:rPr>
        <w:t>F</w:t>
      </w:r>
      <w:r w:rsidRPr="00206C4C">
        <w:rPr>
          <w:rFonts w:eastAsia="Calibri"/>
        </w:rPr>
        <w:t>_</w:t>
      </w:r>
      <w:r w:rsidRPr="00206C4C">
        <w:rPr>
          <w:rFonts w:eastAsia="Calibri"/>
          <w:lang w:val="en-US"/>
        </w:rPr>
        <w:t>GKFB</w:t>
      </w:r>
      <w:r w:rsidRPr="00206C4C">
        <w:rPr>
          <w:rFonts w:eastAsia="Calibri"/>
        </w:rPr>
        <w:t>_</w:t>
      </w:r>
      <w:r w:rsidRPr="00206C4C">
        <w:rPr>
          <w:rFonts w:eastAsia="Calibri"/>
          <w:lang w:val="en-US"/>
        </w:rPr>
        <w:t>I</w:t>
      </w:r>
      <w:r w:rsidRPr="00206C4C">
        <w:rPr>
          <w:rFonts w:eastAsia="Calibri"/>
        </w:rPr>
        <w:t xml:space="preserve">, которые заполняются отдельными сценариями загрузки. </w:t>
      </w:r>
    </w:p>
    <w:p w:rsidR="00D90944" w:rsidRPr="00206C4C" w:rsidRDefault="00D90944" w:rsidP="00D90944">
      <w:pPr>
        <w:pStyle w:val="53"/>
      </w:pPr>
      <w:bookmarkStart w:id="311" w:name="_Ref18850415"/>
      <w:r w:rsidRPr="00206C4C">
        <w:t>Представление «По ГАДБ» - «Диаграммы» - «Крупнейшие ГАДБ»</w:t>
      </w:r>
      <w:bookmarkEnd w:id="311"/>
    </w:p>
    <w:p w:rsidR="00D90944" w:rsidRPr="00206C4C" w:rsidRDefault="00D90944" w:rsidP="00D90944">
      <w:pPr>
        <w:pStyle w:val="af0"/>
        <w:rPr>
          <w:szCs w:val="28"/>
        </w:rPr>
      </w:pPr>
      <w:r w:rsidRPr="00206C4C">
        <w:rPr>
          <w:szCs w:val="28"/>
        </w:rPr>
        <w:t>В представлении «По ГАДБ» - «Диаграммы» - «Крупнейшие ГАДБ» аналитического отчета «</w:t>
      </w:r>
      <w:r w:rsidR="005B3F0E" w:rsidRPr="005B3F0E">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xml:space="preserve">» отображает значения нарастающим итогом с начала текущего </w:t>
      </w:r>
      <w:r w:rsidRPr="005B3F0E">
        <w:rPr>
          <w:szCs w:val="28"/>
        </w:rPr>
        <w:t>года (Рисунок</w:t>
      </w:r>
      <w:r w:rsidR="005B3F0E">
        <w:rPr>
          <w:szCs w:val="28"/>
        </w:rPr>
        <w:t xml:space="preserve"> </w:t>
      </w:r>
      <w:r w:rsidR="005B3F0E">
        <w:rPr>
          <w:szCs w:val="28"/>
          <w:highlight w:val="yellow"/>
        </w:rPr>
        <w:fldChar w:fldCharType="begin"/>
      </w:r>
      <w:r w:rsidR="005B3F0E">
        <w:rPr>
          <w:szCs w:val="28"/>
        </w:rPr>
        <w:instrText xml:space="preserve"> REF _Ref69996388 \h </w:instrText>
      </w:r>
      <w:r w:rsidR="005B3F0E">
        <w:rPr>
          <w:szCs w:val="28"/>
          <w:highlight w:val="yellow"/>
        </w:rPr>
      </w:r>
      <w:r w:rsidR="005B3F0E">
        <w:rPr>
          <w:szCs w:val="28"/>
          <w:highlight w:val="yellow"/>
        </w:rPr>
        <w:fldChar w:fldCharType="separate"/>
      </w:r>
      <w:r w:rsidR="00BF0BEE">
        <w:rPr>
          <w:noProof/>
        </w:rPr>
        <w:t>93</w:t>
      </w:r>
      <w:r w:rsidR="005B3F0E">
        <w:rPr>
          <w:szCs w:val="28"/>
          <w:highlight w:val="yellow"/>
        </w:rPr>
        <w:fldChar w:fldCharType="end"/>
      </w:r>
      <w:r w:rsidRPr="00206C4C">
        <w:rPr>
          <w:szCs w:val="28"/>
        </w:rPr>
        <w:t>) и за месяц (</w:t>
      </w:r>
      <w:r w:rsidRPr="005B3F0E">
        <w:rPr>
          <w:szCs w:val="28"/>
        </w:rPr>
        <w:t>Рисунок</w:t>
      </w:r>
      <w:r w:rsidR="005B3F0E">
        <w:rPr>
          <w:szCs w:val="28"/>
        </w:rPr>
        <w:t xml:space="preserve"> </w:t>
      </w:r>
      <w:r w:rsidR="005B3F0E">
        <w:rPr>
          <w:szCs w:val="28"/>
          <w:highlight w:val="yellow"/>
        </w:rPr>
        <w:fldChar w:fldCharType="begin"/>
      </w:r>
      <w:r w:rsidR="005B3F0E">
        <w:rPr>
          <w:szCs w:val="28"/>
        </w:rPr>
        <w:instrText xml:space="preserve"> REF _Ref69996489 \h </w:instrText>
      </w:r>
      <w:r w:rsidR="005B3F0E">
        <w:rPr>
          <w:szCs w:val="28"/>
          <w:highlight w:val="yellow"/>
        </w:rPr>
      </w:r>
      <w:r w:rsidR="005B3F0E">
        <w:rPr>
          <w:szCs w:val="28"/>
          <w:highlight w:val="yellow"/>
        </w:rPr>
        <w:fldChar w:fldCharType="separate"/>
      </w:r>
      <w:r w:rsidR="00BF0BEE">
        <w:rPr>
          <w:noProof/>
        </w:rPr>
        <w:t>94</w:t>
      </w:r>
      <w:r w:rsidR="005B3F0E">
        <w:rPr>
          <w:szCs w:val="28"/>
          <w:highlight w:val="yellow"/>
        </w:rPr>
        <w:fldChar w:fldCharType="end"/>
      </w:r>
      <w:r w:rsidRPr="00206C4C">
        <w:rPr>
          <w:szCs w:val="28"/>
        </w:rPr>
        <w:t xml:space="preserve">) по пяти крупнейшим администраторам доходов федерального бюджета: </w:t>
      </w:r>
    </w:p>
    <w:p w:rsidR="00D90944" w:rsidRPr="00206C4C" w:rsidRDefault="00D90944" w:rsidP="00794B58">
      <w:pPr>
        <w:pStyle w:val="af0"/>
        <w:numPr>
          <w:ilvl w:val="0"/>
          <w:numId w:val="58"/>
        </w:numPr>
        <w:ind w:left="993" w:hanging="426"/>
        <w:rPr>
          <w:szCs w:val="28"/>
        </w:rPr>
      </w:pPr>
      <w:r w:rsidRPr="00206C4C">
        <w:rPr>
          <w:szCs w:val="28"/>
        </w:rPr>
        <w:t>Федеральная налоговая служба;</w:t>
      </w:r>
    </w:p>
    <w:p w:rsidR="00D90944" w:rsidRPr="00206C4C" w:rsidRDefault="00D90944" w:rsidP="00794B58">
      <w:pPr>
        <w:pStyle w:val="af0"/>
        <w:numPr>
          <w:ilvl w:val="0"/>
          <w:numId w:val="58"/>
        </w:numPr>
        <w:ind w:left="993" w:hanging="426"/>
        <w:rPr>
          <w:szCs w:val="28"/>
        </w:rPr>
      </w:pPr>
      <w:r w:rsidRPr="00206C4C">
        <w:rPr>
          <w:szCs w:val="28"/>
        </w:rPr>
        <w:t>Федеральная таможенная служба;</w:t>
      </w:r>
    </w:p>
    <w:p w:rsidR="00D90944" w:rsidRPr="00206C4C" w:rsidRDefault="00D90944" w:rsidP="00794B58">
      <w:pPr>
        <w:pStyle w:val="af0"/>
        <w:numPr>
          <w:ilvl w:val="0"/>
          <w:numId w:val="58"/>
        </w:numPr>
        <w:ind w:left="993" w:hanging="426"/>
        <w:rPr>
          <w:szCs w:val="28"/>
        </w:rPr>
      </w:pPr>
      <w:r w:rsidRPr="00206C4C">
        <w:rPr>
          <w:szCs w:val="28"/>
        </w:rPr>
        <w:t>Министерство финансов Российской Федерации;</w:t>
      </w:r>
    </w:p>
    <w:p w:rsidR="00D90944" w:rsidRPr="00206C4C" w:rsidRDefault="00D90944" w:rsidP="00794B58">
      <w:pPr>
        <w:pStyle w:val="af0"/>
        <w:numPr>
          <w:ilvl w:val="0"/>
          <w:numId w:val="58"/>
        </w:numPr>
        <w:ind w:left="993" w:hanging="426"/>
        <w:rPr>
          <w:szCs w:val="28"/>
        </w:rPr>
      </w:pPr>
      <w:r w:rsidRPr="00206C4C">
        <w:rPr>
          <w:szCs w:val="28"/>
        </w:rPr>
        <w:t>Федеральное агентство по управлению государственным имуществом;</w:t>
      </w:r>
    </w:p>
    <w:p w:rsidR="00D90944" w:rsidRPr="00206C4C" w:rsidRDefault="00D90944" w:rsidP="00794B58">
      <w:pPr>
        <w:pStyle w:val="af0"/>
        <w:numPr>
          <w:ilvl w:val="0"/>
          <w:numId w:val="58"/>
        </w:numPr>
        <w:ind w:left="993" w:hanging="426"/>
        <w:rPr>
          <w:szCs w:val="28"/>
        </w:rPr>
      </w:pPr>
      <w:r w:rsidRPr="00206C4C">
        <w:rPr>
          <w:szCs w:val="28"/>
        </w:rPr>
        <w:t>Федеральное казначейство</w:t>
      </w:r>
      <w:r w:rsidRPr="00206C4C">
        <w:rPr>
          <w:shd w:val="clear" w:color="auto" w:fill="FFFFFF"/>
        </w:rPr>
        <w:t>. </w:t>
      </w:r>
    </w:p>
    <w:p w:rsidR="005B3F0E" w:rsidRDefault="005B3F0E" w:rsidP="005B3F0E">
      <w:pPr>
        <w:pStyle w:val="afffff7"/>
        <w:keepNext/>
      </w:pPr>
      <w:r>
        <w:rPr>
          <w:noProof/>
          <w:lang w:eastAsia="ru-RU"/>
        </w:rPr>
        <w:drawing>
          <wp:inline distT="0" distB="0" distL="0" distR="0" wp14:anchorId="1B4FDC05" wp14:editId="61B87266">
            <wp:extent cx="6120130" cy="2977002"/>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6120130" cy="2977002"/>
                    </a:xfrm>
                    <a:prstGeom prst="rect">
                      <a:avLst/>
                    </a:prstGeom>
                  </pic:spPr>
                </pic:pic>
              </a:graphicData>
            </a:graphic>
          </wp:inline>
        </w:drawing>
      </w:r>
    </w:p>
    <w:p w:rsidR="00D90944" w:rsidRPr="00206C4C" w:rsidRDefault="005B3F0E" w:rsidP="005B3F0E">
      <w:pPr>
        <w:pStyle w:val="afff8"/>
        <w:jc w:val="center"/>
      </w:pPr>
      <w:bookmarkStart w:id="312" w:name="_Toc119584280"/>
      <w:r w:rsidRPr="00206C4C">
        <w:t xml:space="preserve">Рисунок </w:t>
      </w:r>
      <w:fldSimple w:instr=" SEQ Рисунок \* ARABIC ">
        <w:bookmarkStart w:id="313" w:name="_Ref69996388"/>
        <w:r w:rsidR="001860A9">
          <w:rPr>
            <w:noProof/>
          </w:rPr>
          <w:t>93</w:t>
        </w:r>
        <w:bookmarkEnd w:id="313"/>
      </w:fldSimple>
      <w:r w:rsidRPr="00206C4C">
        <w:t xml:space="preserve"> – Макет отчета «</w:t>
      </w:r>
      <w:r w:rsidRPr="005B3F0E">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ГАДБ» - «Диаграммы» - «Крупнейшие ГАДБ» - «С начала года»</w:t>
      </w:r>
      <w:bookmarkEnd w:id="312"/>
    </w:p>
    <w:p w:rsidR="005B3F0E" w:rsidRDefault="005B3F0E" w:rsidP="005B3F0E">
      <w:pPr>
        <w:pStyle w:val="afffff7"/>
        <w:keepNext/>
      </w:pPr>
      <w:r>
        <w:rPr>
          <w:noProof/>
          <w:lang w:eastAsia="ru-RU"/>
        </w:rPr>
        <w:drawing>
          <wp:inline distT="0" distB="0" distL="0" distR="0" wp14:anchorId="7C0990F0" wp14:editId="160A37E2">
            <wp:extent cx="6120130" cy="2973844"/>
            <wp:effectExtent l="0" t="0" r="0" b="0"/>
            <wp:docPr id="5748" name="Рисунок 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6120130" cy="2973844"/>
                    </a:xfrm>
                    <a:prstGeom prst="rect">
                      <a:avLst/>
                    </a:prstGeom>
                  </pic:spPr>
                </pic:pic>
              </a:graphicData>
            </a:graphic>
          </wp:inline>
        </w:drawing>
      </w:r>
    </w:p>
    <w:p w:rsidR="00D90944" w:rsidRPr="00206C4C" w:rsidRDefault="005B3F0E" w:rsidP="005B3F0E">
      <w:pPr>
        <w:pStyle w:val="-0"/>
      </w:pPr>
      <w:bookmarkStart w:id="314" w:name="_Toc119584281"/>
      <w:r w:rsidRPr="00206C4C">
        <w:t xml:space="preserve">Рисунок </w:t>
      </w:r>
      <w:fldSimple w:instr=" SEQ Рисунок \* ARABIC ">
        <w:bookmarkStart w:id="315" w:name="_Ref69996489"/>
        <w:r w:rsidR="001860A9">
          <w:rPr>
            <w:noProof/>
          </w:rPr>
          <w:t>94</w:t>
        </w:r>
        <w:bookmarkEnd w:id="315"/>
      </w:fldSimple>
      <w:r w:rsidRPr="00206C4C">
        <w:t xml:space="preserve"> – Макет отчета «</w:t>
      </w:r>
      <w:r w:rsidRPr="005B3F0E">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ГАДБ» - «Диаграммы» - «Крупнейшие ГАДБ» - «За месяц»</w:t>
      </w:r>
      <w:bookmarkEnd w:id="314"/>
    </w:p>
    <w:p w:rsidR="00D90944" w:rsidRPr="00206C4C" w:rsidRDefault="00D90944" w:rsidP="00D90944">
      <w:pPr>
        <w:pStyle w:val="af0"/>
      </w:pPr>
      <w:r w:rsidRPr="00206C4C">
        <w:t>Параметры представления:</w:t>
      </w:r>
    </w:p>
    <w:p w:rsidR="00D90944" w:rsidRPr="00206C4C" w:rsidRDefault="002B06BD" w:rsidP="00DE1661">
      <w:pPr>
        <w:pStyle w:val="13"/>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2B06BD" w:rsidP="00DE1661">
      <w:pPr>
        <w:pStyle w:val="13"/>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2B06BD"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2B06BD" w:rsidP="00DE1661">
      <w:pPr>
        <w:pStyle w:val="13"/>
      </w:pPr>
      <w:r>
        <w:t>и</w:t>
      </w:r>
      <w:r w:rsidR="00D90944" w:rsidRPr="00206C4C">
        <w:t xml:space="preserve">сточники доходов: выпадающий иерархический список кодов доход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2B06BD" w:rsidP="00DE1661">
      <w:pPr>
        <w:pStyle w:val="13"/>
      </w:pPr>
      <w:r>
        <w:t>е</w:t>
      </w:r>
      <w:r w:rsidR="00D90944" w:rsidRPr="00206C4C">
        <w:t>диницы измерения: выпадающий список с выбором единиц измерения. Состоит из элементов: руб, тыс руб, млн руб, млрд руб.</w:t>
      </w:r>
    </w:p>
    <w:p w:rsidR="00D90944" w:rsidRPr="00206C4C" w:rsidRDefault="00D90944" w:rsidP="00D90944">
      <w:pPr>
        <w:pStyle w:val="af0"/>
        <w:rPr>
          <w:rFonts w:eastAsia="Calibri"/>
        </w:rPr>
      </w:pPr>
      <w:r w:rsidRPr="00206C4C">
        <w:rPr>
          <w:rFonts w:eastAsia="Calibri"/>
        </w:rPr>
        <w:t>На гистограмме реализована возможность включения/отключения отображаемых столбцов. При наведении курсора мыши на элемент диаграммы должна отображаться всплывающая подсказка, содержащая основную информацию: наименование показателя, наименование ГАДБ, значение с единицами измерения.</w:t>
      </w:r>
    </w:p>
    <w:p w:rsidR="00D90944" w:rsidRPr="00206C4C" w:rsidRDefault="00D90944" w:rsidP="00D90944">
      <w:pPr>
        <w:pStyle w:val="53"/>
      </w:pPr>
      <w:r w:rsidRPr="00206C4C">
        <w:t>Представление «По ГАДБ» - «Диаграммы» - «Прочие»</w:t>
      </w:r>
    </w:p>
    <w:p w:rsidR="00D90944" w:rsidRPr="00206C4C" w:rsidRDefault="00D90944" w:rsidP="00D90944">
      <w:pPr>
        <w:pStyle w:val="af0"/>
        <w:rPr>
          <w:shd w:val="clear" w:color="auto" w:fill="FFFFFF"/>
        </w:rPr>
      </w:pPr>
      <w:r w:rsidRPr="00206C4C">
        <w:rPr>
          <w:szCs w:val="28"/>
        </w:rPr>
        <w:t>В представлении «По ГАДБ» - «Диаграммы» - «Прочие» аналитического отчета «</w:t>
      </w:r>
      <w:r w:rsidR="005B3F0E" w:rsidRPr="005B3F0E">
        <w:rPr>
          <w:szCs w:val="28"/>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rPr>
          <w:szCs w:val="28"/>
        </w:rPr>
        <w:t>» отображаются значения нарастающим итогом с начала текущего года (</w:t>
      </w:r>
      <w:r w:rsidRPr="00E57431">
        <w:rPr>
          <w:szCs w:val="28"/>
        </w:rPr>
        <w:t>Рисунок</w:t>
      </w:r>
      <w:r w:rsidR="00E57431">
        <w:rPr>
          <w:szCs w:val="28"/>
        </w:rPr>
        <w:t xml:space="preserve"> </w:t>
      </w:r>
      <w:r w:rsidR="00E57431">
        <w:rPr>
          <w:szCs w:val="28"/>
          <w:highlight w:val="yellow"/>
        </w:rPr>
        <w:fldChar w:fldCharType="begin"/>
      </w:r>
      <w:r w:rsidR="00E57431">
        <w:rPr>
          <w:szCs w:val="28"/>
        </w:rPr>
        <w:instrText xml:space="preserve"> REF _Ref69996605 \h </w:instrText>
      </w:r>
      <w:r w:rsidR="00E57431">
        <w:rPr>
          <w:szCs w:val="28"/>
          <w:highlight w:val="yellow"/>
        </w:rPr>
      </w:r>
      <w:r w:rsidR="00E57431">
        <w:rPr>
          <w:szCs w:val="28"/>
          <w:highlight w:val="yellow"/>
        </w:rPr>
        <w:fldChar w:fldCharType="separate"/>
      </w:r>
      <w:r w:rsidR="00BF0BEE">
        <w:rPr>
          <w:noProof/>
        </w:rPr>
        <w:t>95</w:t>
      </w:r>
      <w:r w:rsidR="00E57431">
        <w:rPr>
          <w:szCs w:val="28"/>
          <w:highlight w:val="yellow"/>
        </w:rPr>
        <w:fldChar w:fldCharType="end"/>
      </w:r>
      <w:r w:rsidRPr="00206C4C">
        <w:rPr>
          <w:szCs w:val="28"/>
        </w:rPr>
        <w:t>) и за месяц (</w:t>
      </w:r>
      <w:r w:rsidRPr="00E57431">
        <w:rPr>
          <w:szCs w:val="28"/>
        </w:rPr>
        <w:t>Рисунок</w:t>
      </w:r>
      <w:r w:rsidR="00E57431">
        <w:rPr>
          <w:szCs w:val="28"/>
        </w:rPr>
        <w:t xml:space="preserve"> </w:t>
      </w:r>
      <w:r w:rsidR="00E57431">
        <w:rPr>
          <w:szCs w:val="28"/>
          <w:highlight w:val="yellow"/>
        </w:rPr>
        <w:fldChar w:fldCharType="begin"/>
      </w:r>
      <w:r w:rsidR="00E57431">
        <w:rPr>
          <w:szCs w:val="28"/>
        </w:rPr>
        <w:instrText xml:space="preserve"> REF _Ref69996661 \h </w:instrText>
      </w:r>
      <w:r w:rsidR="00E57431">
        <w:rPr>
          <w:szCs w:val="28"/>
          <w:highlight w:val="yellow"/>
        </w:rPr>
      </w:r>
      <w:r w:rsidR="00E57431">
        <w:rPr>
          <w:szCs w:val="28"/>
          <w:highlight w:val="yellow"/>
        </w:rPr>
        <w:fldChar w:fldCharType="separate"/>
      </w:r>
      <w:r w:rsidR="00BF0BEE">
        <w:rPr>
          <w:noProof/>
        </w:rPr>
        <w:t>96</w:t>
      </w:r>
      <w:r w:rsidR="00E57431">
        <w:rPr>
          <w:szCs w:val="28"/>
          <w:highlight w:val="yellow"/>
        </w:rPr>
        <w:fldChar w:fldCharType="end"/>
      </w:r>
      <w:r w:rsidRPr="00206C4C">
        <w:rPr>
          <w:szCs w:val="28"/>
        </w:rPr>
        <w:t>) по главным администраторам доходов федерального бюджета (кроме перечисленных в подразделе «</w:t>
      </w:r>
      <w:r w:rsidRPr="00206C4C">
        <w:rPr>
          <w:szCs w:val="28"/>
        </w:rPr>
        <w:fldChar w:fldCharType="begin"/>
      </w:r>
      <w:r w:rsidRPr="00206C4C">
        <w:rPr>
          <w:szCs w:val="28"/>
        </w:rPr>
        <w:instrText xml:space="preserve"> REF _Ref18850415 \h  \* MERGEFORMAT </w:instrText>
      </w:r>
      <w:r w:rsidRPr="00206C4C">
        <w:rPr>
          <w:szCs w:val="28"/>
        </w:rPr>
      </w:r>
      <w:r w:rsidRPr="00206C4C">
        <w:rPr>
          <w:szCs w:val="28"/>
        </w:rPr>
        <w:fldChar w:fldCharType="separate"/>
      </w:r>
      <w:r w:rsidR="00BF0BEE" w:rsidRPr="00206C4C">
        <w:t>Представление «По ГАДБ» - «Диаграммы» - «Крупнейшие ГАДБ»</w:t>
      </w:r>
      <w:r w:rsidRPr="00206C4C">
        <w:rPr>
          <w:szCs w:val="28"/>
        </w:rPr>
        <w:fldChar w:fldCharType="end"/>
      </w:r>
      <w:r w:rsidRPr="00206C4C">
        <w:rPr>
          <w:szCs w:val="28"/>
        </w:rPr>
        <w:t>»)</w:t>
      </w:r>
      <w:r w:rsidRPr="00206C4C">
        <w:rPr>
          <w:shd w:val="clear" w:color="auto" w:fill="FFFFFF"/>
        </w:rPr>
        <w:t>. </w:t>
      </w:r>
    </w:p>
    <w:p w:rsidR="00E57431" w:rsidRDefault="00E57431" w:rsidP="00E57431">
      <w:pPr>
        <w:pStyle w:val="afffff7"/>
        <w:keepNext/>
      </w:pPr>
      <w:r>
        <w:rPr>
          <w:noProof/>
          <w:lang w:eastAsia="ru-RU"/>
        </w:rPr>
        <w:drawing>
          <wp:inline distT="0" distB="0" distL="0" distR="0" wp14:anchorId="210E93C6" wp14:editId="4747CF06">
            <wp:extent cx="6120130" cy="2980160"/>
            <wp:effectExtent l="0" t="0" r="0" b="0"/>
            <wp:docPr id="5762" name="Рисунок 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6120130" cy="2980160"/>
                    </a:xfrm>
                    <a:prstGeom prst="rect">
                      <a:avLst/>
                    </a:prstGeom>
                  </pic:spPr>
                </pic:pic>
              </a:graphicData>
            </a:graphic>
          </wp:inline>
        </w:drawing>
      </w:r>
    </w:p>
    <w:p w:rsidR="00D90944" w:rsidRPr="00206C4C" w:rsidRDefault="00E57431" w:rsidP="002B06BD">
      <w:pPr>
        <w:pStyle w:val="-0"/>
      </w:pPr>
      <w:bookmarkStart w:id="316" w:name="_Toc119584282"/>
      <w:r w:rsidRPr="00206C4C">
        <w:t xml:space="preserve">Рисунок </w:t>
      </w:r>
      <w:fldSimple w:instr=" SEQ Рисунок \* ARABIC ">
        <w:bookmarkStart w:id="317" w:name="_Ref69996605"/>
        <w:r w:rsidR="001860A9">
          <w:rPr>
            <w:noProof/>
          </w:rPr>
          <w:t>95</w:t>
        </w:r>
        <w:bookmarkEnd w:id="317"/>
      </w:fldSimple>
      <w:r w:rsidRPr="00206C4C">
        <w:t xml:space="preserve"> – Макет отчета «</w:t>
      </w:r>
      <w:r w:rsidRPr="005B3F0E">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ГАДБ» - «Диаграммы» - «Прочие» - «С начала года»</w:t>
      </w:r>
      <w:bookmarkEnd w:id="316"/>
    </w:p>
    <w:p w:rsidR="00E57431" w:rsidRDefault="00E57431" w:rsidP="00E57431">
      <w:pPr>
        <w:pStyle w:val="afffff7"/>
        <w:keepNext/>
      </w:pPr>
      <w:r>
        <w:rPr>
          <w:noProof/>
          <w:lang w:eastAsia="ru-RU"/>
        </w:rPr>
        <w:drawing>
          <wp:inline distT="0" distB="0" distL="0" distR="0" wp14:anchorId="28DDE695" wp14:editId="63E3ADF4">
            <wp:extent cx="6120130" cy="2980160"/>
            <wp:effectExtent l="0" t="0" r="0" b="0"/>
            <wp:docPr id="5766" name="Рисунок 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6120130" cy="2980160"/>
                    </a:xfrm>
                    <a:prstGeom prst="rect">
                      <a:avLst/>
                    </a:prstGeom>
                  </pic:spPr>
                </pic:pic>
              </a:graphicData>
            </a:graphic>
          </wp:inline>
        </w:drawing>
      </w:r>
    </w:p>
    <w:p w:rsidR="00D90944" w:rsidRPr="00206C4C" w:rsidRDefault="00E57431" w:rsidP="00E57431">
      <w:pPr>
        <w:pStyle w:val="-0"/>
      </w:pPr>
      <w:bookmarkStart w:id="318" w:name="_Toc119584283"/>
      <w:r w:rsidRPr="00206C4C">
        <w:t xml:space="preserve">Рисунок </w:t>
      </w:r>
      <w:fldSimple w:instr=" SEQ Рисунок \* ARABIC ">
        <w:bookmarkStart w:id="319" w:name="_Ref69996661"/>
        <w:r w:rsidR="001860A9">
          <w:rPr>
            <w:noProof/>
          </w:rPr>
          <w:t>96</w:t>
        </w:r>
        <w:bookmarkEnd w:id="319"/>
      </w:fldSimple>
      <w:r w:rsidRPr="00206C4C">
        <w:t xml:space="preserve"> – Макет отчета «</w:t>
      </w:r>
      <w:r w:rsidRPr="005B3F0E">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206C4C">
        <w:t>». Представление «По ГАДБ» - «Диаграммы» - «Прочие» - «За месяц»</w:t>
      </w:r>
      <w:bookmarkEnd w:id="318"/>
    </w:p>
    <w:p w:rsidR="00D90944" w:rsidRPr="00206C4C" w:rsidRDefault="00D90944" w:rsidP="00D90944">
      <w:pPr>
        <w:pStyle w:val="af0"/>
      </w:pPr>
      <w:r w:rsidRPr="00206C4C">
        <w:t>Параметры представления:</w:t>
      </w:r>
    </w:p>
    <w:p w:rsidR="00D90944" w:rsidRPr="00206C4C" w:rsidRDefault="00D2027F" w:rsidP="00DE1661">
      <w:pPr>
        <w:pStyle w:val="13"/>
      </w:pPr>
      <w:r>
        <w:t>г</w:t>
      </w:r>
      <w:r w:rsidR="00D90944" w:rsidRPr="00206C4C">
        <w:t>од: выпадающий список с выбором года отображаемых данных. По умолчанию отображается текущий год.</w:t>
      </w:r>
    </w:p>
    <w:p w:rsidR="00D90944" w:rsidRPr="00206C4C" w:rsidRDefault="00D2027F" w:rsidP="00DE1661">
      <w:pPr>
        <w:pStyle w:val="13"/>
      </w:pPr>
      <w:r>
        <w:t>м</w:t>
      </w:r>
      <w:r w:rsidR="00D90944" w:rsidRPr="00206C4C">
        <w:t>есяц: выпадающий список с выбором месяца отображаемых данных. По умолчанию отображается текущий месяц.</w:t>
      </w:r>
    </w:p>
    <w:p w:rsidR="00D90944" w:rsidRPr="00206C4C" w:rsidRDefault="00D90944" w:rsidP="00DE1661">
      <w:pPr>
        <w:pStyle w:val="13"/>
      </w:pPr>
      <w:r w:rsidRPr="00206C4C">
        <w:t xml:space="preserve">ГАДБ: выпадающий список с множественным выбором главного администратора доходов федерального бюджета. Формируется на основании справочника </w:t>
      </w:r>
      <w:r w:rsidRPr="00206C4C">
        <w:rPr>
          <w:lang w:val="en-US"/>
        </w:rPr>
        <w:t>D</w:t>
      </w:r>
      <w:r w:rsidRPr="00206C4C">
        <w:t>_</w:t>
      </w:r>
      <w:r w:rsidRPr="00206C4C">
        <w:rPr>
          <w:lang w:val="en-US"/>
        </w:rPr>
        <w:t>KSPL</w:t>
      </w:r>
      <w:r w:rsidRPr="00206C4C">
        <w:t>_</w:t>
      </w:r>
      <w:r w:rsidRPr="00206C4C">
        <w:rPr>
          <w:lang w:val="en-US"/>
        </w:rPr>
        <w:t>KVSR</w:t>
      </w:r>
      <w:r w:rsidRPr="00206C4C">
        <w:t>. По умолчанию отображается значение «Все»;</w:t>
      </w:r>
    </w:p>
    <w:p w:rsidR="00D90944" w:rsidRPr="00206C4C" w:rsidRDefault="00D2027F" w:rsidP="00DE1661">
      <w:pPr>
        <w:pStyle w:val="13"/>
      </w:pPr>
      <w:r>
        <w:t>в</w:t>
      </w:r>
      <w:r w:rsidR="00D90944" w:rsidRPr="00206C4C">
        <w:t xml:space="preserve">ид дохода: выпадающий иерархический список классификации видов доходов федерального бюджета, предполагающий деление на нефтегазовые и ненефтегазовые доходы. Формируется на основании справочника </w:t>
      </w:r>
      <w:r w:rsidR="00D90944" w:rsidRPr="00206C4C">
        <w:rPr>
          <w:lang w:val="en-US"/>
        </w:rPr>
        <w:t>D</w:t>
      </w:r>
      <w:r w:rsidR="00D90944" w:rsidRPr="00206C4C">
        <w:t>_</w:t>
      </w:r>
      <w:r w:rsidR="00D90944" w:rsidRPr="00206C4C">
        <w:rPr>
          <w:lang w:val="en-US"/>
        </w:rPr>
        <w:t>EB</w:t>
      </w:r>
      <w:r w:rsidR="00D90944" w:rsidRPr="00206C4C">
        <w:t>_</w:t>
      </w:r>
      <w:r w:rsidR="00D90944" w:rsidRPr="00206C4C">
        <w:rPr>
          <w:lang w:val="en-US"/>
        </w:rPr>
        <w:t>OILUNCOMES</w:t>
      </w:r>
      <w:r w:rsidR="00D90944" w:rsidRPr="00206C4C">
        <w:t>. По умолчанию отображается значение «Все»;</w:t>
      </w:r>
    </w:p>
    <w:p w:rsidR="00D90944" w:rsidRPr="00206C4C" w:rsidRDefault="00D2027F" w:rsidP="00DE1661">
      <w:pPr>
        <w:pStyle w:val="13"/>
      </w:pPr>
      <w:r>
        <w:t>и</w:t>
      </w:r>
      <w:r w:rsidR="00D90944" w:rsidRPr="00206C4C">
        <w:t xml:space="preserve">сточники доходов: выпадающий иерархический список кодов доходов федерального бюджета. Формируется на основании справочника </w:t>
      </w:r>
      <w:r w:rsidR="00D90944" w:rsidRPr="00206C4C">
        <w:rPr>
          <w:lang w:val="en-US"/>
        </w:rPr>
        <w:t>D</w:t>
      </w:r>
      <w:r w:rsidR="00D90944" w:rsidRPr="00206C4C">
        <w:t>_</w:t>
      </w:r>
      <w:r w:rsidR="00D90944" w:rsidRPr="00206C4C">
        <w:rPr>
          <w:lang w:val="en-US"/>
        </w:rPr>
        <w:t>KSPL</w:t>
      </w:r>
      <w:r w:rsidR="00D90944" w:rsidRPr="00206C4C">
        <w:t>_</w:t>
      </w:r>
      <w:r w:rsidR="00D90944" w:rsidRPr="00206C4C">
        <w:rPr>
          <w:lang w:val="en-US"/>
        </w:rPr>
        <w:t>KD</w:t>
      </w:r>
      <w:r w:rsidR="00D90944" w:rsidRPr="00206C4C">
        <w:t>. По умолчанию отображается значение «Все»;</w:t>
      </w:r>
    </w:p>
    <w:p w:rsidR="00D90944" w:rsidRPr="00206C4C" w:rsidRDefault="00D2027F" w:rsidP="00DE1661">
      <w:pPr>
        <w:pStyle w:val="13"/>
      </w:pPr>
      <w:r>
        <w:t>е</w:t>
      </w:r>
      <w:r w:rsidR="00D90944" w:rsidRPr="00206C4C">
        <w:t>диницы измерения: выпадающий список с выбором единиц измер</w:t>
      </w:r>
      <w:r>
        <w:t>ения. Состоит из элементов: руб, тыс</w:t>
      </w:r>
      <w:r w:rsidR="00D90944" w:rsidRPr="00206C4C">
        <w:t xml:space="preserve"> руб, млн руб, млрд руб;</w:t>
      </w:r>
    </w:p>
    <w:p w:rsidR="00D90944" w:rsidRPr="00206C4C" w:rsidRDefault="00FA4C5D" w:rsidP="00DE1661">
      <w:pPr>
        <w:pStyle w:val="13"/>
      </w:pPr>
      <w:r>
        <w:t>п</w:t>
      </w:r>
      <w:r w:rsidR="00D90944" w:rsidRPr="00206C4C">
        <w:t>оказатель для сортировки: выпадающий список с выбором показателя. Состоит из элементов: прогноз доходов федерального бюджета, учтенных в федеральном законе о федеральном бюджете; прогноз администраторов на год;</w:t>
      </w:r>
    </w:p>
    <w:p w:rsidR="00D90944" w:rsidRPr="00206C4C" w:rsidRDefault="00FA4C5D" w:rsidP="00DE1661">
      <w:pPr>
        <w:pStyle w:val="13"/>
      </w:pPr>
      <w:r>
        <w:t>с</w:t>
      </w:r>
      <w:r w:rsidR="00D90944" w:rsidRPr="00206C4C">
        <w:t>пособ сортировки: выпадающий список с выбором показателя. Состоит из элементов: по убыванию, по возрастанию;</w:t>
      </w:r>
    </w:p>
    <w:p w:rsidR="00D90944" w:rsidRPr="00206C4C" w:rsidRDefault="00FA4C5D" w:rsidP="00DE1661">
      <w:pPr>
        <w:pStyle w:val="13"/>
      </w:pPr>
      <w:r>
        <w:t>с</w:t>
      </w:r>
      <w:r w:rsidR="00D90944" w:rsidRPr="00206C4C">
        <w:t>ортировка по значению: задается диапазон по выбранному в параметре показател</w:t>
      </w:r>
      <w:r>
        <w:t>я</w:t>
      </w:r>
      <w:r w:rsidR="00D90944" w:rsidRPr="00206C4C">
        <w:t xml:space="preserve"> и заданных единицах измерения.</w:t>
      </w:r>
    </w:p>
    <w:p w:rsidR="00D90944" w:rsidRPr="00206C4C" w:rsidRDefault="00D90944" w:rsidP="00D90944">
      <w:pPr>
        <w:pStyle w:val="af0"/>
        <w:rPr>
          <w:rFonts w:eastAsia="Calibri"/>
        </w:rPr>
      </w:pPr>
      <w:r w:rsidRPr="00206C4C">
        <w:rPr>
          <w:rFonts w:eastAsia="Calibri"/>
        </w:rPr>
        <w:t>На гистограмме реализована возможность масштабирования колонок, для укрупнения диапазона отображаемых главных администраторов доходов федерального бюджета.</w:t>
      </w:r>
    </w:p>
    <w:p w:rsidR="00D90944" w:rsidRPr="00206C4C" w:rsidRDefault="00D90944" w:rsidP="00D90944">
      <w:pPr>
        <w:pStyle w:val="af0"/>
        <w:rPr>
          <w:rFonts w:eastAsia="Calibri"/>
        </w:rPr>
      </w:pPr>
      <w:r w:rsidRPr="00206C4C">
        <w:rPr>
          <w:rFonts w:eastAsia="Calibri"/>
        </w:rPr>
        <w:t>Для укрупнения диапазона необходимо на гистограмме с помощью мыши выделить диапазон администрато</w:t>
      </w:r>
      <w:r w:rsidR="00B41359">
        <w:rPr>
          <w:rFonts w:eastAsia="Calibri"/>
        </w:rPr>
        <w:t>ров, как показано на рисунке</w:t>
      </w:r>
      <w:r w:rsidRPr="00206C4C">
        <w:rPr>
          <w:rFonts w:eastAsia="Calibri"/>
        </w:rPr>
        <w:t>.</w:t>
      </w:r>
    </w:p>
    <w:p w:rsidR="00B41359" w:rsidRPr="00206C4C" w:rsidRDefault="00B41359" w:rsidP="00B41359">
      <w:pPr>
        <w:pStyle w:val="26"/>
      </w:pPr>
      <w:bookmarkStart w:id="320" w:name="_Toc37845315"/>
      <w:bookmarkStart w:id="321" w:name="_Toc69290118"/>
      <w:bookmarkStart w:id="322" w:name="_Toc37845325"/>
      <w:bookmarkStart w:id="323" w:name="_Toc119585072"/>
      <w:r w:rsidRPr="00206C4C">
        <w:t xml:space="preserve">Витрина «Исполнение </w:t>
      </w:r>
      <w:r>
        <w:t>бюджетов бюджетной системы Российской Федерации</w:t>
      </w:r>
      <w:r w:rsidRPr="00206C4C">
        <w:t>»</w:t>
      </w:r>
      <w:bookmarkEnd w:id="320"/>
      <w:bookmarkEnd w:id="321"/>
      <w:bookmarkEnd w:id="323"/>
    </w:p>
    <w:p w:rsidR="006624FE" w:rsidRPr="00206C4C" w:rsidRDefault="006624FE" w:rsidP="006624FE">
      <w:pPr>
        <w:pStyle w:val="af0"/>
        <w:rPr>
          <w:rFonts w:eastAsia="Calibri"/>
        </w:rPr>
      </w:pPr>
      <w:bookmarkStart w:id="324" w:name="_Toc69290119"/>
      <w:bookmarkStart w:id="325" w:name="_Toc16241092"/>
      <w:bookmarkStart w:id="326" w:name="_Toc37845324"/>
      <w:r w:rsidRPr="00206C4C">
        <w:rPr>
          <w:rFonts w:eastAsia="Calibri"/>
        </w:rPr>
        <w:t xml:space="preserve">Витрина содержит информацию об основных характеристиках исполнения федерального бюджета и исполнения бюджетов бюджетной системы Российской Федерации. </w:t>
      </w:r>
    </w:p>
    <w:p w:rsidR="006624FE" w:rsidRPr="00206C4C" w:rsidRDefault="006624FE" w:rsidP="006624FE">
      <w:pPr>
        <w:pStyle w:val="af0"/>
        <w:rPr>
          <w:rFonts w:eastAsia="Calibri"/>
        </w:rPr>
      </w:pPr>
      <w:r w:rsidRPr="00206C4C">
        <w:rPr>
          <w:rFonts w:eastAsia="Calibri"/>
        </w:rPr>
        <w:t>В рамках витрины исполнения федерального бюджета реализована задача формирования оперативного отчета об исполнении федерального бюджета, что позволяет контролировать не только исполнение федерального бюджета, но и состояние всей бюджетной системы Российской Федерации, в том числе исполнение консолидированных бюджетов субъектов Российской Федерации.</w:t>
      </w:r>
    </w:p>
    <w:p w:rsidR="006624FE" w:rsidRPr="00206C4C" w:rsidRDefault="006624FE" w:rsidP="006624FE">
      <w:pPr>
        <w:pStyle w:val="af0"/>
        <w:rPr>
          <w:rFonts w:eastAsia="Calibri"/>
        </w:rPr>
      </w:pPr>
      <w:r w:rsidRPr="00206C4C">
        <w:rPr>
          <w:rFonts w:eastAsia="Calibri"/>
        </w:rPr>
        <w:t>Перечень аналитических отчетов и соответствующих каждому отчету таблиц реляционного хранилища данных приведен в таблице ниже.</w:t>
      </w:r>
    </w:p>
    <w:p w:rsidR="006624FE" w:rsidRPr="00C63CD0" w:rsidRDefault="006624FE" w:rsidP="006624FE">
      <w:pPr>
        <w:pStyle w:val="-"/>
      </w:pPr>
      <w:bookmarkStart w:id="327" w:name="_Toc37845344"/>
      <w:bookmarkStart w:id="328" w:name="_Toc69290200"/>
      <w:bookmarkStart w:id="329" w:name="_Toc119585144"/>
      <w:r w:rsidRPr="00206C4C">
        <w:t xml:space="preserve">Таблица </w:t>
      </w:r>
      <w:fldSimple w:instr=" SEQ Таблица \* ARABIC ">
        <w:r w:rsidR="00BF0BEE">
          <w:rPr>
            <w:noProof/>
          </w:rPr>
          <w:t>3</w:t>
        </w:r>
      </w:fldSimple>
      <w:r w:rsidRPr="00206C4C">
        <w:t xml:space="preserve"> </w:t>
      </w:r>
      <w:r>
        <w:t>–</w:t>
      </w:r>
      <w:r w:rsidRPr="00C63CD0">
        <w:t xml:space="preserve"> </w:t>
      </w:r>
      <w:r w:rsidRPr="00206C4C">
        <w:t>Перечень аналитических отчетов витрины «Исполнение федерального бюджета» и соответствующих таблиц БД</w:t>
      </w:r>
      <w:bookmarkEnd w:id="327"/>
      <w:bookmarkEnd w:id="328"/>
      <w:bookmarkEnd w:id="329"/>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2549"/>
        <w:gridCol w:w="2980"/>
      </w:tblGrid>
      <w:tr w:rsidR="006624FE" w:rsidRPr="00206C4C" w:rsidTr="00965625">
        <w:trPr>
          <w:trHeight w:val="276"/>
          <w:tblHeader/>
        </w:trPr>
        <w:tc>
          <w:tcPr>
            <w:tcW w:w="217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rPr>
            </w:pPr>
            <w:r w:rsidRPr="00206C4C">
              <w:rPr>
                <w:b/>
              </w:rPr>
              <w:t>Наименование аналитического отчета</w:t>
            </w:r>
          </w:p>
        </w:tc>
        <w:tc>
          <w:tcPr>
            <w:tcW w:w="130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rPr>
            </w:pPr>
            <w:r w:rsidRPr="00206C4C">
              <w:rPr>
                <w:b/>
              </w:rPr>
              <w:t>Код отчета</w:t>
            </w:r>
          </w:p>
        </w:tc>
        <w:tc>
          <w:tcPr>
            <w:tcW w:w="152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rPr>
            </w:pPr>
            <w:r w:rsidRPr="00206C4C">
              <w:rPr>
                <w:b/>
              </w:rPr>
              <w:t>Название таблицы БД</w:t>
            </w:r>
          </w:p>
        </w:tc>
      </w:tr>
      <w:tr w:rsidR="006624FE" w:rsidRPr="00206C4C" w:rsidTr="00965625">
        <w:trPr>
          <w:trHeight w:val="276"/>
          <w:tblHeader/>
        </w:trPr>
        <w:tc>
          <w:tcPr>
            <w:tcW w:w="217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bCs/>
                <w:kern w:val="32"/>
              </w:rPr>
            </w:pPr>
          </w:p>
        </w:tc>
        <w:tc>
          <w:tcPr>
            <w:tcW w:w="130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bCs/>
                <w:kern w:val="32"/>
              </w:rPr>
            </w:pPr>
          </w:p>
        </w:tc>
        <w:tc>
          <w:tcPr>
            <w:tcW w:w="152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24FE" w:rsidRPr="00206C4C" w:rsidRDefault="006624FE" w:rsidP="007E0165">
            <w:pPr>
              <w:jc w:val="center"/>
              <w:rPr>
                <w:b/>
              </w:rPr>
            </w:pPr>
          </w:p>
        </w:tc>
      </w:tr>
      <w:tr w:rsidR="006624FE" w:rsidRPr="00206C4C" w:rsidTr="00965625">
        <w:trPr>
          <w:trHeight w:val="20"/>
        </w:trPr>
        <w:tc>
          <w:tcPr>
            <w:tcW w:w="5000" w:type="pct"/>
            <w:gridSpan w:val="3"/>
            <w:tcBorders>
              <w:top w:val="single" w:sz="4" w:space="0" w:color="auto"/>
              <w:left w:val="single" w:sz="4" w:space="0" w:color="auto"/>
              <w:right w:val="single" w:sz="4" w:space="0" w:color="auto"/>
            </w:tcBorders>
            <w:vAlign w:val="center"/>
          </w:tcPr>
          <w:p w:rsidR="006624FE" w:rsidRPr="003074D4" w:rsidRDefault="006624FE" w:rsidP="007E0165">
            <w:pPr>
              <w:rPr>
                <w:b/>
              </w:rPr>
            </w:pPr>
            <w:r w:rsidRPr="003074D4">
              <w:rPr>
                <w:b/>
              </w:rPr>
              <w:t>Основные характеристики бюджетов бюджетной системы российской Федерации</w:t>
            </w:r>
          </w:p>
        </w:tc>
      </w:tr>
      <w:tr w:rsidR="006624FE" w:rsidRPr="00206C4C" w:rsidTr="00965625">
        <w:trPr>
          <w:trHeight w:val="20"/>
        </w:trPr>
        <w:tc>
          <w:tcPr>
            <w:tcW w:w="2174" w:type="pct"/>
            <w:tcBorders>
              <w:top w:val="single" w:sz="4" w:space="0" w:color="auto"/>
              <w:left w:val="single" w:sz="4" w:space="0" w:color="auto"/>
              <w:right w:val="single" w:sz="4" w:space="0" w:color="auto"/>
            </w:tcBorders>
            <w:vAlign w:val="center"/>
          </w:tcPr>
          <w:p w:rsidR="006624FE" w:rsidRPr="00206C4C" w:rsidRDefault="006624FE" w:rsidP="007E0165">
            <w:r w:rsidRPr="00206C4C">
              <w:t>Основные характеристики федерального бюджета</w:t>
            </w:r>
          </w:p>
        </w:tc>
        <w:tc>
          <w:tcPr>
            <w:tcW w:w="1303" w:type="pct"/>
            <w:tcBorders>
              <w:top w:val="single" w:sz="4" w:space="0" w:color="auto"/>
              <w:left w:val="single" w:sz="4" w:space="0" w:color="auto"/>
              <w:right w:val="single" w:sz="4" w:space="0" w:color="auto"/>
            </w:tcBorders>
            <w:vAlign w:val="center"/>
          </w:tcPr>
          <w:p w:rsidR="006624FE" w:rsidRPr="00206C4C" w:rsidRDefault="006624FE" w:rsidP="007E0165">
            <w:r w:rsidRPr="00206C4C">
              <w:t>PIAO_142_001_report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w:t>
            </w:r>
            <w:r w:rsidRPr="00206C4C">
              <w:rPr>
                <w:lang w:val="en-US"/>
              </w:rPr>
              <w:t>FK</w:t>
            </w:r>
            <w:r w:rsidRPr="00206C4C">
              <w:t>_</w:t>
            </w:r>
            <w:r w:rsidRPr="00206C4C">
              <w:rPr>
                <w:lang w:val="en-US"/>
              </w:rPr>
              <w:t>MAINCHARACT</w:t>
            </w:r>
          </w:p>
        </w:tc>
      </w:tr>
      <w:tr w:rsidR="006624FE" w:rsidRPr="00206C4C" w:rsidTr="00965625">
        <w:trPr>
          <w:trHeight w:val="20"/>
        </w:trPr>
        <w:tc>
          <w:tcPr>
            <w:tcW w:w="2174" w:type="pct"/>
            <w:vMerge w:val="restart"/>
            <w:tcBorders>
              <w:top w:val="single" w:sz="4" w:space="0" w:color="auto"/>
              <w:left w:val="single" w:sz="4" w:space="0" w:color="auto"/>
              <w:right w:val="single" w:sz="4" w:space="0" w:color="auto"/>
            </w:tcBorders>
            <w:vAlign w:val="center"/>
          </w:tcPr>
          <w:p w:rsidR="006624FE" w:rsidRPr="00206C4C" w:rsidRDefault="006624FE" w:rsidP="007E0165">
            <w:r w:rsidRPr="00206C4C">
              <w:t>Информация об исполнении консолидированных бюджетов субъектов Российской Федерации</w:t>
            </w:r>
          </w:p>
        </w:tc>
        <w:tc>
          <w:tcPr>
            <w:tcW w:w="1303" w:type="pct"/>
            <w:vMerge w:val="restart"/>
            <w:tcBorders>
              <w:top w:val="single" w:sz="4" w:space="0" w:color="auto"/>
              <w:left w:val="single" w:sz="4" w:space="0" w:color="auto"/>
              <w:right w:val="single" w:sz="4" w:space="0" w:color="auto"/>
            </w:tcBorders>
            <w:vAlign w:val="center"/>
          </w:tcPr>
          <w:p w:rsidR="006624FE" w:rsidRPr="00206C4C" w:rsidRDefault="006624FE" w:rsidP="007E0165">
            <w:r w:rsidRPr="00206C4C">
              <w:t>PIAO_131_001_report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F_FK_CONSBUDSUBKD</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F_FK_CONSBUDSUBKVR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F_FK_BALANCESBANK</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F_FK_LEAVINGMBT</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F_FK_BAIKONUR</w:t>
            </w:r>
          </w:p>
        </w:tc>
      </w:tr>
      <w:tr w:rsidR="006624FE" w:rsidRPr="00206C4C" w:rsidTr="00965625">
        <w:trPr>
          <w:trHeight w:val="20"/>
        </w:trPr>
        <w:tc>
          <w:tcPr>
            <w:tcW w:w="5000" w:type="pct"/>
            <w:gridSpan w:val="3"/>
            <w:tcBorders>
              <w:left w:val="single" w:sz="4" w:space="0" w:color="auto"/>
              <w:right w:val="single" w:sz="4" w:space="0" w:color="auto"/>
            </w:tcBorders>
            <w:vAlign w:val="center"/>
          </w:tcPr>
          <w:p w:rsidR="006624FE" w:rsidRPr="004C2FD9" w:rsidRDefault="006624FE" w:rsidP="007E0165">
            <w:r w:rsidRPr="00662EC8">
              <w:rPr>
                <w:b/>
              </w:rPr>
              <w:t>Исполнение бюджетов бюджетной системы Росси</w:t>
            </w:r>
            <w:r>
              <w:rPr>
                <w:b/>
              </w:rPr>
              <w:t>йской Федерации по доходам</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0D0967" w:rsidRDefault="006624FE" w:rsidP="007E0165">
            <w:pPr>
              <w:rPr>
                <w:color w:val="auto"/>
              </w:rPr>
            </w:pPr>
            <w:r w:rsidRPr="000D0967">
              <w:rPr>
                <w:color w:val="auto"/>
              </w:rPr>
              <w:t>Информация об исполнении доходов федерального бюджета в разрезе кодов бюджетной классификации</w:t>
            </w:r>
          </w:p>
        </w:tc>
        <w:tc>
          <w:tcPr>
            <w:tcW w:w="1303" w:type="pct"/>
            <w:vMerge w:val="restart"/>
            <w:tcBorders>
              <w:left w:val="single" w:sz="4" w:space="0" w:color="auto"/>
              <w:right w:val="single" w:sz="4" w:space="0" w:color="auto"/>
            </w:tcBorders>
            <w:vAlign w:val="center"/>
          </w:tcPr>
          <w:p w:rsidR="006624FE" w:rsidRPr="000D0967" w:rsidRDefault="006624FE" w:rsidP="007E0165">
            <w:pPr>
              <w:rPr>
                <w:color w:val="auto"/>
              </w:rPr>
            </w:pPr>
            <w:r w:rsidRPr="000D0967">
              <w:rPr>
                <w:color w:val="auto"/>
              </w:rPr>
              <w:t>PIAO_130_002_report</w:t>
            </w: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rPr>
            </w:pPr>
            <w:r w:rsidRPr="000D0967">
              <w:rPr>
                <w:color w:val="auto"/>
                <w:lang w:val="en-US"/>
              </w:rPr>
              <w:t>D_KSPL_KCSR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D_KSPL_KD</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D_KSPL_KIF</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D_KSPL_KVR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D_KSPL_KVSR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w:t>
            </w:r>
            <w:r w:rsidRPr="000D0967">
              <w:rPr>
                <w:color w:val="auto"/>
              </w:rPr>
              <w:t>_</w:t>
            </w:r>
            <w:r w:rsidRPr="000D0967">
              <w:rPr>
                <w:color w:val="auto"/>
                <w:lang w:val="en-US"/>
              </w:rPr>
              <w:t>KSPL</w:t>
            </w:r>
            <w:r w:rsidRPr="000D0967">
              <w:rPr>
                <w:color w:val="auto"/>
              </w:rPr>
              <w:t>_</w:t>
            </w:r>
            <w:r w:rsidRPr="000D0967">
              <w:rPr>
                <w:color w:val="auto"/>
                <w:lang w:val="en-US"/>
              </w:rPr>
              <w:t>RZPR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D_GKFB_MRK</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F_GKFB_I</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F_GKFB_O</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F_GKFB_O_REPORT</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F</w:t>
            </w:r>
            <w:r w:rsidRPr="000D0967">
              <w:rPr>
                <w:color w:val="auto"/>
              </w:rPr>
              <w:t>_</w:t>
            </w:r>
            <w:r w:rsidRPr="000D0967">
              <w:rPr>
                <w:color w:val="auto"/>
                <w:lang w:val="en-US"/>
              </w:rPr>
              <w:t>GKFB</w:t>
            </w:r>
            <w:r w:rsidRPr="000D0967">
              <w:rPr>
                <w:color w:val="auto"/>
              </w:rPr>
              <w:t>_</w:t>
            </w:r>
            <w:r w:rsidRPr="000D0967">
              <w:rPr>
                <w:color w:val="auto"/>
                <w:lang w:val="en-US"/>
              </w:rPr>
              <w:t>RZPR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303" w:type="pct"/>
            <w:vMerge/>
            <w:tcBorders>
              <w:left w:val="single" w:sz="4" w:space="0" w:color="auto"/>
              <w:right w:val="single" w:sz="4" w:space="0" w:color="auto"/>
            </w:tcBorders>
            <w:vAlign w:val="center"/>
          </w:tcPr>
          <w:p w:rsidR="006624FE" w:rsidRPr="000D0967" w:rsidRDefault="006624FE" w:rsidP="007E0165">
            <w:pPr>
              <w:rPr>
                <w:color w:val="auto"/>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color w:val="auto"/>
                <w:lang w:val="en-US"/>
              </w:rPr>
            </w:pPr>
            <w:r w:rsidRPr="000D0967">
              <w:rPr>
                <w:color w:val="auto"/>
                <w:lang w:val="en-US"/>
              </w:rPr>
              <w:t>F_GKFB_KVR</w:t>
            </w:r>
          </w:p>
        </w:tc>
      </w:tr>
      <w:tr w:rsidR="006624FE" w:rsidRPr="000D0967" w:rsidTr="00965625">
        <w:trPr>
          <w:trHeight w:val="20"/>
        </w:trPr>
        <w:tc>
          <w:tcPr>
            <w:tcW w:w="2174" w:type="pct"/>
            <w:vMerge/>
            <w:tcBorders>
              <w:left w:val="single" w:sz="4" w:space="0" w:color="auto"/>
              <w:right w:val="single" w:sz="4" w:space="0" w:color="auto"/>
            </w:tcBorders>
            <w:vAlign w:val="center"/>
          </w:tcPr>
          <w:p w:rsidR="006624FE" w:rsidRPr="00940906" w:rsidRDefault="006624FE" w:rsidP="007E0165">
            <w:pPr>
              <w:rPr>
                <w:color w:val="FF0000"/>
              </w:rPr>
            </w:pPr>
          </w:p>
        </w:tc>
        <w:tc>
          <w:tcPr>
            <w:tcW w:w="1303" w:type="pct"/>
            <w:vMerge/>
            <w:tcBorders>
              <w:left w:val="single" w:sz="4" w:space="0" w:color="auto"/>
              <w:right w:val="single" w:sz="4" w:space="0" w:color="auto"/>
            </w:tcBorders>
            <w:vAlign w:val="center"/>
          </w:tcPr>
          <w:p w:rsidR="006624FE" w:rsidRPr="00940906" w:rsidRDefault="006624FE" w:rsidP="007E0165">
            <w:pPr>
              <w:rPr>
                <w:color w:val="FF0000"/>
              </w:rPr>
            </w:pPr>
          </w:p>
        </w:tc>
        <w:tc>
          <w:tcPr>
            <w:tcW w:w="1523" w:type="pct"/>
            <w:tcBorders>
              <w:top w:val="single" w:sz="4" w:space="0" w:color="auto"/>
              <w:left w:val="single" w:sz="4" w:space="0" w:color="auto"/>
              <w:right w:val="single" w:sz="4" w:space="0" w:color="auto"/>
            </w:tcBorders>
            <w:vAlign w:val="center"/>
          </w:tcPr>
          <w:p w:rsidR="006624FE" w:rsidRPr="000D0967" w:rsidRDefault="006624FE" w:rsidP="007E0165">
            <w:pPr>
              <w:rPr>
                <w:lang w:val="en-US"/>
              </w:rPr>
            </w:pPr>
            <w:r w:rsidRPr="000D0967">
              <w:rPr>
                <w:lang w:val="en-US"/>
              </w:rPr>
              <w:t>F_GKFB_S</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206C4C" w:rsidRDefault="006624FE" w:rsidP="007E0165">
            <w:r w:rsidRPr="00206C4C">
              <w:t>Информация об исполнении доходов федерального бюджета в разрезе основных главных администраторов доходов</w:t>
            </w:r>
          </w:p>
        </w:tc>
        <w:tc>
          <w:tcPr>
            <w:tcW w:w="1303" w:type="pct"/>
            <w:vMerge w:val="restart"/>
            <w:tcBorders>
              <w:left w:val="single" w:sz="4" w:space="0" w:color="auto"/>
              <w:right w:val="single" w:sz="4" w:space="0" w:color="auto"/>
            </w:tcBorders>
            <w:vAlign w:val="center"/>
          </w:tcPr>
          <w:p w:rsidR="006624FE" w:rsidRPr="00206C4C" w:rsidRDefault="006624FE" w:rsidP="007E0165">
            <w:r w:rsidRPr="00206C4C">
              <w:t>PIAO_130_001_report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F_KSPL_I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pPr>
              <w:rPr>
                <w:lang w:val="en-US"/>
              </w:rPr>
            </w:pPr>
            <w:r w:rsidRPr="00206C4C">
              <w:rPr>
                <w:lang w:val="en-US"/>
              </w:rPr>
              <w:t>F_GKFB_I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pPr>
              <w:rPr>
                <w:lang w:val="en-US"/>
              </w:rPr>
            </w:pPr>
            <w:r w:rsidRPr="00206C4C">
              <w:rPr>
                <w:lang w:val="en-US"/>
              </w:rPr>
              <w:t>F_KVRO_I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pPr>
              <w:rPr>
                <w:lang w:val="en-US"/>
              </w:rPr>
            </w:pPr>
            <w:r w:rsidRPr="00206C4C">
              <w:rPr>
                <w:lang w:val="en-US"/>
              </w:rPr>
              <w:t>F_KSPL_EXFB</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1C6500" w:rsidRDefault="006624FE" w:rsidP="007E0165">
            <w:pPr>
              <w:pStyle w:val="af0"/>
              <w:ind w:firstLine="34"/>
              <w:rPr>
                <w:sz w:val="24"/>
                <w:szCs w:val="24"/>
              </w:rPr>
            </w:pPr>
            <w:r w:rsidRPr="001C6500">
              <w:rPr>
                <w:sz w:val="24"/>
                <w:szCs w:val="24"/>
              </w:rPr>
              <w:t>Исполнение нефтегазовых и ненефтегазовых доходов федерального бюджета</w:t>
            </w:r>
          </w:p>
        </w:tc>
        <w:tc>
          <w:tcPr>
            <w:tcW w:w="1303" w:type="pct"/>
            <w:vMerge w:val="restart"/>
            <w:tcBorders>
              <w:left w:val="single" w:sz="4" w:space="0" w:color="auto"/>
              <w:right w:val="single" w:sz="4" w:space="0" w:color="auto"/>
            </w:tcBorders>
            <w:vAlign w:val="center"/>
          </w:tcPr>
          <w:p w:rsidR="006624FE" w:rsidRPr="001C6500" w:rsidRDefault="006624FE" w:rsidP="007E0165">
            <w:pPr>
              <w:jc w:val="left"/>
              <w:rPr>
                <w:snapToGrid/>
                <w:color w:val="auto"/>
                <w:szCs w:val="24"/>
              </w:rPr>
            </w:pPr>
            <w:r w:rsidRPr="001C6500">
              <w:rPr>
                <w:snapToGrid/>
                <w:color w:val="auto"/>
                <w:szCs w:val="24"/>
              </w:rPr>
              <w:t>PIAO_119_001_report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1C6500" w:rsidRDefault="006624FE" w:rsidP="007E0165">
            <w:pPr>
              <w:rPr>
                <w:snapToGrid/>
                <w:color w:val="auto"/>
                <w:szCs w:val="24"/>
              </w:rPr>
            </w:pPr>
            <w:r w:rsidRPr="001C6500">
              <w:rPr>
                <w:snapToGrid/>
                <w:color w:val="auto"/>
                <w:szCs w:val="24"/>
              </w:rPr>
              <w:t>F_KSPL_I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1C6500"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1C6500" w:rsidRDefault="006624FE" w:rsidP="007E0165">
            <w:pPr>
              <w:jc w:val="left"/>
              <w:rPr>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1C6500" w:rsidRDefault="006624FE" w:rsidP="007E0165">
            <w:pPr>
              <w:rPr>
                <w:snapToGrid/>
                <w:color w:val="auto"/>
                <w:szCs w:val="24"/>
              </w:rPr>
            </w:pPr>
            <w:r w:rsidRPr="001C6500">
              <w:rPr>
                <w:snapToGrid/>
                <w:color w:val="auto"/>
                <w:szCs w:val="24"/>
              </w:rPr>
              <w:t>F_GKFB_I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1C6500"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1C6500" w:rsidRDefault="006624FE" w:rsidP="007E0165">
            <w:pPr>
              <w:jc w:val="left"/>
              <w:rPr>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1C6500" w:rsidRDefault="006624FE" w:rsidP="007E0165">
            <w:pPr>
              <w:rPr>
                <w:snapToGrid/>
                <w:color w:val="auto"/>
                <w:szCs w:val="24"/>
              </w:rPr>
            </w:pPr>
            <w:r w:rsidRPr="001C6500">
              <w:rPr>
                <w:snapToGrid/>
                <w:color w:val="auto"/>
                <w:szCs w:val="24"/>
              </w:rPr>
              <w:t>FX_FK_INCFNS</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1C6500"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1C6500" w:rsidRDefault="006624FE" w:rsidP="007E0165">
            <w:pPr>
              <w:jc w:val="left"/>
              <w:rPr>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1C6500" w:rsidRDefault="006624FE" w:rsidP="007E0165">
            <w:pPr>
              <w:rPr>
                <w:snapToGrid/>
                <w:color w:val="auto"/>
                <w:szCs w:val="24"/>
              </w:rPr>
            </w:pPr>
            <w:r w:rsidRPr="001C6500">
              <w:rPr>
                <w:snapToGrid/>
                <w:color w:val="auto"/>
                <w:szCs w:val="24"/>
              </w:rPr>
              <w:t>FX_FK_INCFTS</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76018B" w:rsidRDefault="006624FE" w:rsidP="007E0165">
            <w:r w:rsidRPr="0076018B">
              <w:t>Калькулятор нефтегазовых доходов</w:t>
            </w:r>
          </w:p>
        </w:tc>
        <w:tc>
          <w:tcPr>
            <w:tcW w:w="1303" w:type="pct"/>
            <w:vMerge w:val="restart"/>
            <w:tcBorders>
              <w:left w:val="single" w:sz="4" w:space="0" w:color="auto"/>
              <w:right w:val="single" w:sz="4" w:space="0" w:color="auto"/>
            </w:tcBorders>
            <w:vAlign w:val="center"/>
          </w:tcPr>
          <w:p w:rsidR="006624FE" w:rsidRPr="006624FE" w:rsidRDefault="006624FE" w:rsidP="007E0165">
            <w:r w:rsidRPr="006624FE">
              <w:t>PIAO_106_000_report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pPr>
              <w:rPr>
                <w:snapToGrid/>
                <w:color w:val="auto"/>
                <w:szCs w:val="24"/>
              </w:rPr>
            </w:pPr>
            <w:r w:rsidRPr="006624FE">
              <w:rPr>
                <w:snapToGrid/>
                <w:color w:val="auto"/>
                <w:szCs w:val="24"/>
              </w:rPr>
              <w:t>F_KSPL_I, LYST</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76018B"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6624FE" w:rsidRDefault="006624FE" w:rsidP="007E0165">
            <w:pPr>
              <w:jc w:val="left"/>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pPr>
              <w:rPr>
                <w:snapToGrid/>
                <w:color w:val="auto"/>
                <w:szCs w:val="24"/>
              </w:rPr>
            </w:pPr>
            <w:r w:rsidRPr="006624FE">
              <w:rPr>
                <w:snapToGrid/>
                <w:color w:val="auto"/>
                <w:szCs w:val="24"/>
              </w:rPr>
              <w:t>F_GKFB_I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76018B"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6624FE" w:rsidRDefault="006624FE" w:rsidP="007E0165">
            <w:pPr>
              <w:jc w:val="left"/>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pPr>
              <w:rPr>
                <w:snapToGrid/>
                <w:color w:val="auto"/>
                <w:szCs w:val="24"/>
              </w:rPr>
            </w:pPr>
            <w:r w:rsidRPr="006624FE">
              <w:rPr>
                <w:snapToGrid/>
                <w:color w:val="auto"/>
                <w:szCs w:val="24"/>
              </w:rPr>
              <w:t>F_KNGD_FORECASTFZ,</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76018B"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6624FE" w:rsidRDefault="006624FE" w:rsidP="007E0165">
            <w:pPr>
              <w:jc w:val="left"/>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pPr>
              <w:rPr>
                <w:snapToGrid/>
                <w:color w:val="auto"/>
                <w:szCs w:val="24"/>
              </w:rPr>
            </w:pPr>
            <w:r w:rsidRPr="006624FE">
              <w:rPr>
                <w:snapToGrid/>
                <w:color w:val="auto"/>
                <w:szCs w:val="24"/>
              </w:rPr>
              <w:t>F_KNGD_FORECASTANA</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76018B" w:rsidRDefault="006624FE" w:rsidP="007E0165">
            <w:pPr>
              <w:pStyle w:val="af0"/>
              <w:ind w:firstLine="34"/>
              <w:rPr>
                <w:sz w:val="24"/>
                <w:szCs w:val="24"/>
              </w:rPr>
            </w:pPr>
          </w:p>
        </w:tc>
        <w:tc>
          <w:tcPr>
            <w:tcW w:w="1303" w:type="pct"/>
            <w:vMerge/>
            <w:tcBorders>
              <w:left w:val="single" w:sz="4" w:space="0" w:color="auto"/>
              <w:right w:val="single" w:sz="4" w:space="0" w:color="auto"/>
            </w:tcBorders>
            <w:vAlign w:val="center"/>
          </w:tcPr>
          <w:p w:rsidR="006624FE" w:rsidRPr="0076018B" w:rsidRDefault="006624FE" w:rsidP="007E0165">
            <w:pPr>
              <w:jc w:val="left"/>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76018B" w:rsidRDefault="006624FE" w:rsidP="007E0165">
            <w:pPr>
              <w:rPr>
                <w:snapToGrid/>
                <w:color w:val="auto"/>
                <w:szCs w:val="24"/>
              </w:rPr>
            </w:pPr>
            <w:r w:rsidRPr="0076018B">
              <w:rPr>
                <w:snapToGrid/>
                <w:color w:val="auto"/>
                <w:szCs w:val="24"/>
              </w:rPr>
              <w:t>F_FK_INFONDPI</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Default="006624FE" w:rsidP="007E0165">
            <w:r>
              <w:t>Р</w:t>
            </w:r>
            <w:r w:rsidRPr="00206C4C">
              <w:t xml:space="preserve">аспределение основных видов доходов </w:t>
            </w:r>
          </w:p>
          <w:p w:rsidR="006624FE" w:rsidRPr="00206C4C" w:rsidRDefault="006624FE" w:rsidP="007E0165">
            <w:r w:rsidRPr="00206C4C">
              <w:t>бюджетов бюджетной системы Российской Федерации</w:t>
            </w:r>
          </w:p>
        </w:tc>
        <w:tc>
          <w:tcPr>
            <w:tcW w:w="1303" w:type="pct"/>
            <w:vMerge w:val="restart"/>
            <w:tcBorders>
              <w:left w:val="single" w:sz="4" w:space="0" w:color="auto"/>
              <w:right w:val="single" w:sz="4" w:space="0" w:color="auto"/>
            </w:tcBorders>
            <w:vAlign w:val="center"/>
          </w:tcPr>
          <w:p w:rsidR="006624FE" w:rsidRPr="00206C4C" w:rsidRDefault="006624FE" w:rsidP="007E0165">
            <w:r w:rsidRPr="00206C4C">
              <w:t>PIAO_132_001_report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F_KSPL_I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F_GKFB_I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F_KVRO_I</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F_FK_INCDISTR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pPr>
              <w:pStyle w:val="afff6"/>
              <w:rPr>
                <w:sz w:val="24"/>
              </w:rPr>
            </w:pPr>
          </w:p>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pPr>
              <w:pStyle w:val="afff6"/>
              <w:ind w:hanging="674"/>
              <w:rPr>
                <w:sz w:val="24"/>
              </w:rPr>
            </w:pPr>
            <w:r w:rsidRPr="00206C4C">
              <w:rPr>
                <w:sz w:val="24"/>
              </w:rPr>
              <w:t>F_KO_I</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562B8F" w:rsidRDefault="006624FE" w:rsidP="007E0165">
            <w:r>
              <w:t>Информация об объемах налога на добавленную стоимость в разрезе территорий</w:t>
            </w:r>
          </w:p>
        </w:tc>
        <w:tc>
          <w:tcPr>
            <w:tcW w:w="1303" w:type="pct"/>
            <w:tcBorders>
              <w:left w:val="single" w:sz="4" w:space="0" w:color="auto"/>
              <w:right w:val="single" w:sz="4" w:space="0" w:color="auto"/>
            </w:tcBorders>
            <w:vAlign w:val="center"/>
          </w:tcPr>
          <w:p w:rsidR="006624FE" w:rsidRPr="006624FE" w:rsidRDefault="006624FE" w:rsidP="007E0165">
            <w:r w:rsidRPr="006624FE">
              <w:t>PIAO_151_002_report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r w:rsidRPr="006624FE">
              <w:t>F_FK_VATVOLUME</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206C4C" w:rsidRDefault="006624FE" w:rsidP="007E0165">
            <w:r w:rsidRPr="00206C4C">
              <w:t>Налог на прибыль организаций</w:t>
            </w:r>
          </w:p>
        </w:tc>
        <w:tc>
          <w:tcPr>
            <w:tcW w:w="1303" w:type="pct"/>
            <w:tcBorders>
              <w:left w:val="single" w:sz="4" w:space="0" w:color="auto"/>
              <w:right w:val="single" w:sz="4" w:space="0" w:color="auto"/>
            </w:tcBorders>
            <w:vAlign w:val="center"/>
          </w:tcPr>
          <w:p w:rsidR="006624FE" w:rsidRPr="006624FE" w:rsidRDefault="006624FE" w:rsidP="007E0165">
            <w:pPr>
              <w:rPr>
                <w:szCs w:val="24"/>
              </w:rPr>
            </w:pPr>
            <w:r w:rsidRPr="006624FE">
              <w:rPr>
                <w:szCs w:val="24"/>
              </w:rPr>
              <w:t>EPBS_014_001_report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pPr>
              <w:rPr>
                <w:szCs w:val="24"/>
              </w:rPr>
            </w:pPr>
            <w:r w:rsidRPr="006624FE">
              <w:rPr>
                <w:szCs w:val="24"/>
              </w:rPr>
              <w:t>D_KO_I</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206C4C" w:rsidRDefault="006624FE" w:rsidP="007E0165">
            <w:r>
              <w:rPr>
                <w:rStyle w:val="wrf-favorite-card-cell-text-content"/>
              </w:rPr>
              <w:t>Информация о кассовых поступлениях в консолидированные бюджеты субъектов Российской Федерации, администрируемых Федеральной налоговой службой</w:t>
            </w:r>
          </w:p>
        </w:tc>
        <w:tc>
          <w:tcPr>
            <w:tcW w:w="1303" w:type="pct"/>
            <w:tcBorders>
              <w:left w:val="single" w:sz="4" w:space="0" w:color="auto"/>
              <w:right w:val="single" w:sz="4" w:space="0" w:color="auto"/>
            </w:tcBorders>
            <w:vAlign w:val="center"/>
          </w:tcPr>
          <w:p w:rsidR="006624FE" w:rsidRPr="006624FE" w:rsidRDefault="006624FE" w:rsidP="007E0165">
            <w:r w:rsidRPr="006624FE">
              <w:t>PIAO_172_001_report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6624FE" w:rsidRDefault="006624FE" w:rsidP="007E0165">
            <w:r w:rsidRPr="006624FE">
              <w:t>F_KO_I</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206C4C" w:rsidRDefault="006624FE" w:rsidP="007E0165">
            <w:pPr>
              <w:jc w:val="left"/>
            </w:pPr>
            <w:r w:rsidRPr="004C2FD9">
              <w:rPr>
                <w:snapToGrid/>
                <w:color w:val="auto"/>
                <w:szCs w:val="24"/>
              </w:rPr>
              <w:t>Исполнение бюджетов государственных внебюджетных фондов Российской Федерации</w:t>
            </w:r>
          </w:p>
        </w:tc>
        <w:tc>
          <w:tcPr>
            <w:tcW w:w="1303" w:type="pct"/>
            <w:tcBorders>
              <w:left w:val="single" w:sz="4" w:space="0" w:color="auto"/>
              <w:right w:val="single" w:sz="4" w:space="0" w:color="auto"/>
            </w:tcBorders>
            <w:vAlign w:val="center"/>
          </w:tcPr>
          <w:p w:rsidR="006624FE" w:rsidRPr="00206C4C" w:rsidRDefault="006624FE" w:rsidP="007E0165">
            <w:r w:rsidRPr="00206C4C">
              <w:t>PIAO_1</w:t>
            </w:r>
            <w:r>
              <w:t>74</w:t>
            </w:r>
            <w:r w:rsidRPr="00206C4C">
              <w:t>_00</w:t>
            </w:r>
            <w:r>
              <w:t>1</w:t>
            </w:r>
            <w:r w:rsidRPr="00206C4C">
              <w:t>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890DD0">
              <w:t>F_ASFK_DOHKASSA</w:t>
            </w:r>
          </w:p>
        </w:tc>
      </w:tr>
      <w:tr w:rsidR="006624FE" w:rsidRPr="00206C4C" w:rsidTr="00965625">
        <w:trPr>
          <w:trHeight w:val="20"/>
        </w:trPr>
        <w:tc>
          <w:tcPr>
            <w:tcW w:w="5000" w:type="pct"/>
            <w:gridSpan w:val="3"/>
            <w:tcBorders>
              <w:left w:val="single" w:sz="4" w:space="0" w:color="auto"/>
              <w:right w:val="single" w:sz="4" w:space="0" w:color="auto"/>
            </w:tcBorders>
            <w:vAlign w:val="center"/>
          </w:tcPr>
          <w:p w:rsidR="006624FE" w:rsidRPr="00662EC8" w:rsidRDefault="006624FE" w:rsidP="007E0165">
            <w:pPr>
              <w:rPr>
                <w:b/>
              </w:rPr>
            </w:pPr>
            <w:r w:rsidRPr="00662EC8">
              <w:rPr>
                <w:b/>
              </w:rPr>
              <w:t>Исполнение бюджетов бюджетной системы Российской Федерации по расходам</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206C4C" w:rsidRDefault="006624FE" w:rsidP="007E0165">
            <w:r>
              <w:t>Расходы федерального бюджета</w:t>
            </w:r>
          </w:p>
        </w:tc>
        <w:tc>
          <w:tcPr>
            <w:tcW w:w="1303" w:type="pct"/>
            <w:vMerge w:val="restart"/>
            <w:tcBorders>
              <w:left w:val="single" w:sz="4" w:space="0" w:color="auto"/>
              <w:right w:val="single" w:sz="4" w:space="0" w:color="auto"/>
            </w:tcBorders>
            <w:vAlign w:val="center"/>
          </w:tcPr>
          <w:p w:rsidR="006624FE" w:rsidRPr="00206C4C" w:rsidRDefault="006624FE" w:rsidP="007E0165">
            <w:r>
              <w:t>PIAO_169_001_report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E77706">
              <w:t>D_GOV_DATEYEAR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E77706" w:rsidRDefault="006624FE" w:rsidP="007E0165">
            <w:r w:rsidRPr="00E77706">
              <w:t>D_GRAF_GRUOPSUBSID</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E77706" w:rsidRDefault="006624FE" w:rsidP="007E0165">
            <w:r>
              <w:t>F_GOV_KBK</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206C4C" w:rsidRDefault="006624FE" w:rsidP="007E0165">
            <w:r>
              <w:t>Мониторинг качества данных по расходам федерального бюджета</w:t>
            </w:r>
          </w:p>
        </w:tc>
        <w:tc>
          <w:tcPr>
            <w:tcW w:w="1303" w:type="pct"/>
            <w:tcBorders>
              <w:left w:val="single" w:sz="4" w:space="0" w:color="auto"/>
              <w:right w:val="single" w:sz="4" w:space="0" w:color="auto"/>
            </w:tcBorders>
            <w:vAlign w:val="center"/>
          </w:tcPr>
          <w:p w:rsidR="006624FE" w:rsidRPr="00206C4C" w:rsidRDefault="006624FE" w:rsidP="007E0165">
            <w:r>
              <w:t>PIAO_169_100_report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7E0165" w:rsidP="007E0165">
            <w:r w:rsidRPr="007E0165">
              <w:t>T_PIAO_GK</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206C4C" w:rsidRDefault="006624FE" w:rsidP="007E0165">
            <w:r w:rsidRPr="00940906">
              <w:t>Структура расходов федерального бюджета</w:t>
            </w:r>
          </w:p>
        </w:tc>
        <w:tc>
          <w:tcPr>
            <w:tcW w:w="1303" w:type="pct"/>
            <w:vMerge w:val="restart"/>
            <w:tcBorders>
              <w:left w:val="single" w:sz="4" w:space="0" w:color="auto"/>
              <w:right w:val="single" w:sz="4" w:space="0" w:color="auto"/>
            </w:tcBorders>
            <w:vAlign w:val="center"/>
          </w:tcPr>
          <w:p w:rsidR="006624FE" w:rsidRPr="00206C4C" w:rsidRDefault="006624FE" w:rsidP="007E0165">
            <w:r w:rsidRPr="00206C4C">
              <w:t>PIAO_122_001_report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F_GKFB_KVR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pPr>
              <w:rPr>
                <w:lang w:val="en-US"/>
              </w:rPr>
            </w:pPr>
            <w:r w:rsidRPr="00206C4C">
              <w:t>F_FK_MEANINDEX</w:t>
            </w:r>
          </w:p>
        </w:tc>
      </w:tr>
      <w:tr w:rsidR="006624FE" w:rsidRPr="00206C4C" w:rsidTr="00965625">
        <w:trPr>
          <w:trHeight w:val="20"/>
        </w:trPr>
        <w:tc>
          <w:tcPr>
            <w:tcW w:w="2174" w:type="pct"/>
            <w:tcBorders>
              <w:left w:val="single" w:sz="4" w:space="0" w:color="auto"/>
              <w:right w:val="single" w:sz="4" w:space="0" w:color="auto"/>
            </w:tcBorders>
            <w:vAlign w:val="center"/>
          </w:tcPr>
          <w:p w:rsidR="006624FE" w:rsidRPr="00206C4C" w:rsidRDefault="006624FE" w:rsidP="007E0165">
            <w:r w:rsidRPr="00940906">
              <w:t>Информация об исполнении федерального бюджета по расходам в разрезе главных распорядителей бюджетных средств</w:t>
            </w:r>
          </w:p>
        </w:tc>
        <w:tc>
          <w:tcPr>
            <w:tcW w:w="1303" w:type="pct"/>
            <w:tcBorders>
              <w:left w:val="single" w:sz="4" w:space="0" w:color="auto"/>
              <w:right w:val="single" w:sz="4" w:space="0" w:color="auto"/>
            </w:tcBorders>
            <w:vAlign w:val="center"/>
          </w:tcPr>
          <w:p w:rsidR="006624FE" w:rsidRPr="00206C4C" w:rsidRDefault="006624FE" w:rsidP="007E0165">
            <w:r w:rsidRPr="00206C4C">
              <w:t>PIAO_145_001_report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t>F_FK_EXECFB</w:t>
            </w:r>
          </w:p>
        </w:tc>
      </w:tr>
      <w:tr w:rsidR="007E4091" w:rsidRPr="00206C4C" w:rsidTr="00965625">
        <w:trPr>
          <w:trHeight w:val="20"/>
        </w:trPr>
        <w:tc>
          <w:tcPr>
            <w:tcW w:w="2174" w:type="pct"/>
            <w:vMerge w:val="restart"/>
            <w:tcBorders>
              <w:left w:val="single" w:sz="4" w:space="0" w:color="auto"/>
              <w:right w:val="single" w:sz="4" w:space="0" w:color="auto"/>
            </w:tcBorders>
            <w:vAlign w:val="center"/>
          </w:tcPr>
          <w:p w:rsidR="007E4091" w:rsidRPr="00527DB3" w:rsidRDefault="007E4091" w:rsidP="007E0165">
            <w:pPr>
              <w:rPr>
                <w:color w:val="auto"/>
              </w:rPr>
            </w:pPr>
            <w:r w:rsidRPr="00527DB3">
              <w:rPr>
                <w:color w:val="auto"/>
              </w:rPr>
              <w:t>Исполнение федерального бюджета по расходам в разрезе кодов бюджетной классификации</w:t>
            </w:r>
          </w:p>
        </w:tc>
        <w:tc>
          <w:tcPr>
            <w:tcW w:w="1303" w:type="pct"/>
            <w:vMerge w:val="restart"/>
            <w:tcBorders>
              <w:left w:val="single" w:sz="4" w:space="0" w:color="auto"/>
              <w:right w:val="single" w:sz="4" w:space="0" w:color="auto"/>
            </w:tcBorders>
            <w:vAlign w:val="center"/>
          </w:tcPr>
          <w:p w:rsidR="007E4091" w:rsidRPr="00527DB3" w:rsidRDefault="007E4091" w:rsidP="007E0165">
            <w:pPr>
              <w:rPr>
                <w:color w:val="auto"/>
                <w:highlight w:val="yellow"/>
              </w:rPr>
            </w:pPr>
            <w:r w:rsidRPr="00527DB3">
              <w:rPr>
                <w:color w:val="auto"/>
              </w:rPr>
              <w:t>PIAO_154_001_report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206C4C" w:rsidRDefault="007E4091" w:rsidP="007E4091">
            <w:r w:rsidRPr="007E4091">
              <w:rPr>
                <w:lang w:val="en-US"/>
              </w:rPr>
              <w:t>D_KSPL_KCSR</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D_KSPL_KD</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D_KSPL_KIF</w:t>
            </w:r>
          </w:p>
          <w:p w:rsidR="007E4091" w:rsidRPr="007E4091" w:rsidRDefault="007E4091" w:rsidP="007E4091">
            <w:pPr>
              <w:rPr>
                <w:lang w:val="en-US"/>
              </w:rPr>
            </w:pPr>
            <w:r w:rsidRPr="007E4091">
              <w:rPr>
                <w:lang w:val="en-US"/>
              </w:rPr>
              <w:t>D_KSPL_KVR</w:t>
            </w:r>
          </w:p>
          <w:p w:rsidR="007E4091" w:rsidRPr="007E4091" w:rsidRDefault="007E4091" w:rsidP="007E4091">
            <w:pPr>
              <w:rPr>
                <w:lang w:val="en-US"/>
              </w:rPr>
            </w:pPr>
            <w:r w:rsidRPr="007E4091">
              <w:rPr>
                <w:lang w:val="en-US"/>
              </w:rPr>
              <w:t>D_KSPL_KVSR</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D</w:t>
            </w:r>
            <w:r w:rsidRPr="007E4091">
              <w:t>_</w:t>
            </w:r>
            <w:r w:rsidRPr="007E4091">
              <w:rPr>
                <w:lang w:val="en-US"/>
              </w:rPr>
              <w:t>KSPL</w:t>
            </w:r>
            <w:r w:rsidRPr="007E4091">
              <w:t>_</w:t>
            </w:r>
            <w:r w:rsidRPr="007E4091">
              <w:rPr>
                <w:lang w:val="en-US"/>
              </w:rPr>
              <w:t>RZPR</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D</w:t>
            </w:r>
            <w:r w:rsidRPr="007E4091">
              <w:t>_</w:t>
            </w:r>
            <w:r w:rsidRPr="007E4091">
              <w:rPr>
                <w:lang w:val="en-US"/>
              </w:rPr>
              <w:t>GKFB</w:t>
            </w:r>
            <w:r w:rsidRPr="007E4091">
              <w:t>_</w:t>
            </w:r>
            <w:r w:rsidRPr="007E4091">
              <w:rPr>
                <w:lang w:val="en-US"/>
              </w:rPr>
              <w:t>MRK</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F_GKFB_I</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F_GKFB_O</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F_GKFB_O_REPORT</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F_GKFB_RZPR</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F_GKFB_KVR</w:t>
            </w:r>
          </w:p>
        </w:tc>
      </w:tr>
      <w:tr w:rsidR="007E4091" w:rsidRPr="007E4091" w:rsidTr="00965625">
        <w:trPr>
          <w:trHeight w:val="20"/>
        </w:trPr>
        <w:tc>
          <w:tcPr>
            <w:tcW w:w="2174" w:type="pct"/>
            <w:vMerge/>
            <w:tcBorders>
              <w:left w:val="single" w:sz="4" w:space="0" w:color="auto"/>
              <w:right w:val="single" w:sz="4" w:space="0" w:color="auto"/>
            </w:tcBorders>
            <w:vAlign w:val="center"/>
          </w:tcPr>
          <w:p w:rsidR="007E4091" w:rsidRDefault="007E4091" w:rsidP="007E0165"/>
        </w:tc>
        <w:tc>
          <w:tcPr>
            <w:tcW w:w="1303" w:type="pct"/>
            <w:vMerge/>
            <w:tcBorders>
              <w:left w:val="single" w:sz="4" w:space="0" w:color="auto"/>
              <w:right w:val="single" w:sz="4" w:space="0" w:color="auto"/>
            </w:tcBorders>
            <w:vAlign w:val="center"/>
          </w:tcPr>
          <w:p w:rsidR="007E4091" w:rsidRPr="006624FE" w:rsidRDefault="007E4091"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7E4091" w:rsidRPr="007E4091" w:rsidRDefault="007E4091" w:rsidP="007E4091">
            <w:pPr>
              <w:rPr>
                <w:lang w:val="en-US"/>
              </w:rPr>
            </w:pPr>
            <w:r w:rsidRPr="007E4091">
              <w:rPr>
                <w:lang w:val="en-US"/>
              </w:rPr>
              <w:t>F_GKFB_S</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206C4C" w:rsidRDefault="006624FE" w:rsidP="007E0165">
            <w:r w:rsidRPr="00940906">
              <w:t>Исполнение консолидированных бюджетов субъектов Российской Федерации в разрезе кодов видов расходов</w:t>
            </w:r>
          </w:p>
        </w:tc>
        <w:tc>
          <w:tcPr>
            <w:tcW w:w="1303" w:type="pct"/>
            <w:vMerge w:val="restart"/>
            <w:tcBorders>
              <w:left w:val="single" w:sz="4" w:space="0" w:color="auto"/>
              <w:right w:val="single" w:sz="4" w:space="0" w:color="auto"/>
            </w:tcBorders>
            <w:vAlign w:val="center"/>
          </w:tcPr>
          <w:p w:rsidR="006624FE" w:rsidRPr="00206C4C" w:rsidRDefault="006624FE" w:rsidP="007E0165">
            <w:r w:rsidRPr="00206C4C">
              <w:t>PIAO_127_001_report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F_FK_CONSBUDSUBKVR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206C4C" w:rsidRDefault="006624FE" w:rsidP="007E0165"/>
        </w:tc>
        <w:tc>
          <w:tcPr>
            <w:tcW w:w="1303" w:type="pct"/>
            <w:vMerge/>
            <w:tcBorders>
              <w:left w:val="single" w:sz="4" w:space="0" w:color="auto"/>
              <w:right w:val="single" w:sz="4" w:space="0" w:color="auto"/>
            </w:tcBorders>
            <w:vAlign w:val="center"/>
          </w:tcPr>
          <w:p w:rsidR="006624FE" w:rsidRPr="00206C4C" w:rsidRDefault="006624FE" w:rsidP="007E0165"/>
        </w:tc>
        <w:tc>
          <w:tcPr>
            <w:tcW w:w="1523" w:type="pct"/>
            <w:tcBorders>
              <w:top w:val="single" w:sz="4" w:space="0" w:color="auto"/>
              <w:left w:val="single" w:sz="4" w:space="0" w:color="auto"/>
              <w:bottom w:val="single" w:sz="4" w:space="0" w:color="auto"/>
              <w:right w:val="single" w:sz="4" w:space="0" w:color="auto"/>
            </w:tcBorders>
            <w:vAlign w:val="center"/>
          </w:tcPr>
          <w:p w:rsidR="006624FE" w:rsidRPr="00206C4C" w:rsidRDefault="006624FE" w:rsidP="007E0165">
            <w:r w:rsidRPr="00206C4C">
              <w:rPr>
                <w:lang w:val="en-US"/>
              </w:rPr>
              <w:t>F_FK_BAIKONUR</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206C4C" w:rsidRDefault="006624FE" w:rsidP="007E0165">
            <w:r>
              <w:t>Сведения о б</w:t>
            </w:r>
            <w:r w:rsidRPr="00206C4C">
              <w:t>юджетны</w:t>
            </w:r>
            <w:r>
              <w:t>х и денежных</w:t>
            </w:r>
            <w:r w:rsidRPr="00206C4C">
              <w:t xml:space="preserve"> обязательства</w:t>
            </w:r>
          </w:p>
        </w:tc>
        <w:tc>
          <w:tcPr>
            <w:tcW w:w="1303" w:type="pct"/>
            <w:vMerge w:val="restart"/>
            <w:tcBorders>
              <w:left w:val="single" w:sz="4" w:space="0" w:color="auto"/>
              <w:right w:val="single" w:sz="4" w:space="0" w:color="auto"/>
            </w:tcBorders>
            <w:vAlign w:val="center"/>
          </w:tcPr>
          <w:p w:rsidR="006624FE" w:rsidRPr="00527DB3" w:rsidRDefault="006624FE" w:rsidP="007E0165">
            <w:pPr>
              <w:rPr>
                <w:color w:val="1F497D"/>
              </w:rPr>
            </w:pPr>
            <w:r w:rsidRPr="00527DB3">
              <w:rPr>
                <w:snapToGrid/>
                <w:color w:val="auto"/>
                <w:szCs w:val="24"/>
              </w:rPr>
              <w:t>PIAO_104_001_report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D_BODO_PARAMYEAR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D_BODO_BO</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D_BODO_PBS</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D_BODO_CODEVAL</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D_BODO_CODEFAIP</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D_BODO_CONTRACTOR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R_BODO_BOCONTRACTOR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D_BODO_GRBS</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D_BODO_RZPR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D_BODO_KCSR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D_BODO_KVR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D_BODO_NATPRFEDPR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D_BODO_DO</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F_BODO_DO</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F_BODO_BO</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F_BODO_KBK</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T_PIAO_GK</w:t>
            </w:r>
          </w:p>
        </w:tc>
      </w:tr>
      <w:tr w:rsidR="006624FE" w:rsidRPr="00991B9F" w:rsidTr="00965625">
        <w:trPr>
          <w:trHeight w:val="20"/>
        </w:trPr>
        <w:tc>
          <w:tcPr>
            <w:tcW w:w="2174" w:type="pct"/>
            <w:vMerge/>
            <w:tcBorders>
              <w:left w:val="single" w:sz="4" w:space="0" w:color="auto"/>
              <w:right w:val="single" w:sz="4" w:space="0" w:color="auto"/>
            </w:tcBorders>
            <w:vAlign w:val="center"/>
          </w:tcPr>
          <w:p w:rsidR="006624FE" w:rsidRDefault="006624FE" w:rsidP="007E0165"/>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PIAO.distr_f_bodo_do</w:t>
            </w:r>
          </w:p>
        </w:tc>
      </w:tr>
      <w:tr w:rsidR="006624FE" w:rsidRPr="00991B9F" w:rsidTr="00965625">
        <w:trPr>
          <w:trHeight w:val="20"/>
        </w:trPr>
        <w:tc>
          <w:tcPr>
            <w:tcW w:w="2174" w:type="pct"/>
            <w:vMerge/>
            <w:tcBorders>
              <w:left w:val="single" w:sz="4" w:space="0" w:color="auto"/>
              <w:right w:val="single" w:sz="4" w:space="0" w:color="auto"/>
            </w:tcBorders>
            <w:vAlign w:val="center"/>
          </w:tcPr>
          <w:p w:rsidR="006624FE" w:rsidRPr="009113C0" w:rsidRDefault="006624FE" w:rsidP="007E0165">
            <w:pPr>
              <w:rPr>
                <w:lang w:val="en-US"/>
              </w:rPr>
            </w:pPr>
          </w:p>
        </w:tc>
        <w:tc>
          <w:tcPr>
            <w:tcW w:w="1303" w:type="pct"/>
            <w:vMerge/>
            <w:tcBorders>
              <w:left w:val="single" w:sz="4" w:space="0" w:color="auto"/>
              <w:right w:val="single" w:sz="4" w:space="0" w:color="auto"/>
            </w:tcBorders>
            <w:vAlign w:val="center"/>
          </w:tcPr>
          <w:p w:rsidR="006624FE" w:rsidRPr="00527DB3" w:rsidRDefault="006624FE" w:rsidP="007E0165">
            <w:pPr>
              <w:rPr>
                <w:snapToGrid/>
                <w:color w:val="auto"/>
                <w:szCs w:val="24"/>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pPr>
              <w:rPr>
                <w:lang w:val="en-US"/>
              </w:rPr>
            </w:pPr>
            <w:r w:rsidRPr="00527DB3">
              <w:rPr>
                <w:lang w:val="en-US"/>
              </w:rPr>
              <w:t>PIAO.distr_f_bodo_bo</w:t>
            </w:r>
          </w:p>
        </w:tc>
      </w:tr>
      <w:tr w:rsidR="00C420A3" w:rsidRPr="00C420A3" w:rsidTr="00965625">
        <w:trPr>
          <w:trHeight w:val="20"/>
        </w:trPr>
        <w:tc>
          <w:tcPr>
            <w:tcW w:w="2174" w:type="pct"/>
            <w:tcBorders>
              <w:left w:val="single" w:sz="4" w:space="0" w:color="auto"/>
              <w:right w:val="single" w:sz="4" w:space="0" w:color="auto"/>
            </w:tcBorders>
            <w:vAlign w:val="center"/>
          </w:tcPr>
          <w:p w:rsidR="00C420A3" w:rsidRPr="00C420A3" w:rsidRDefault="00C420A3" w:rsidP="007E0165">
            <w:r w:rsidRPr="00C420A3">
              <w:t>Информация о кассовом исполнении федерального бюджета в части федеральных целевых программ</w:t>
            </w:r>
          </w:p>
        </w:tc>
        <w:tc>
          <w:tcPr>
            <w:tcW w:w="1303" w:type="pct"/>
            <w:tcBorders>
              <w:left w:val="single" w:sz="4" w:space="0" w:color="auto"/>
              <w:right w:val="single" w:sz="4" w:space="0" w:color="auto"/>
            </w:tcBorders>
            <w:vAlign w:val="center"/>
          </w:tcPr>
          <w:p w:rsidR="00C420A3" w:rsidRPr="00C420A3" w:rsidRDefault="00C420A3" w:rsidP="007E0165">
            <w:pPr>
              <w:rPr>
                <w:snapToGrid/>
                <w:color w:val="auto"/>
                <w:szCs w:val="24"/>
              </w:rPr>
            </w:pPr>
            <w:r w:rsidRPr="00C420A3">
              <w:rPr>
                <w:snapToGrid/>
                <w:color w:val="auto"/>
                <w:szCs w:val="24"/>
              </w:rPr>
              <w:t>SC_FCP_0503KVRM</w:t>
            </w:r>
          </w:p>
        </w:tc>
        <w:tc>
          <w:tcPr>
            <w:tcW w:w="1523" w:type="pct"/>
            <w:tcBorders>
              <w:top w:val="single" w:sz="4" w:space="0" w:color="auto"/>
              <w:left w:val="single" w:sz="4" w:space="0" w:color="auto"/>
              <w:bottom w:val="single" w:sz="4" w:space="0" w:color="auto"/>
              <w:right w:val="single" w:sz="4" w:space="0" w:color="auto"/>
            </w:tcBorders>
            <w:vAlign w:val="center"/>
          </w:tcPr>
          <w:p w:rsidR="00C420A3" w:rsidRPr="00C420A3" w:rsidRDefault="00217F94" w:rsidP="007E0165">
            <w:r w:rsidRPr="00217F94">
              <w:t>DV_SC_0503KVRM</w:t>
            </w:r>
          </w:p>
        </w:tc>
      </w:tr>
      <w:tr w:rsidR="006624FE" w:rsidRPr="00206C4C" w:rsidTr="00965625">
        <w:trPr>
          <w:trHeight w:val="20"/>
        </w:trPr>
        <w:tc>
          <w:tcPr>
            <w:tcW w:w="2174" w:type="pct"/>
            <w:vMerge w:val="restart"/>
            <w:tcBorders>
              <w:left w:val="single" w:sz="4" w:space="0" w:color="auto"/>
              <w:right w:val="single" w:sz="4" w:space="0" w:color="auto"/>
            </w:tcBorders>
            <w:vAlign w:val="center"/>
          </w:tcPr>
          <w:p w:rsidR="006624FE" w:rsidRPr="00EB02C3" w:rsidRDefault="006624FE" w:rsidP="007E0165">
            <w:pPr>
              <w:rPr>
                <w:szCs w:val="24"/>
              </w:rPr>
            </w:pPr>
            <w:r w:rsidRPr="00EB02C3">
              <w:rPr>
                <w:szCs w:val="24"/>
              </w:rPr>
              <w:t>Исполнение ФБ по расходам в разрезе бюджетополучателей</w:t>
            </w:r>
          </w:p>
        </w:tc>
        <w:tc>
          <w:tcPr>
            <w:tcW w:w="1303" w:type="pct"/>
            <w:vMerge w:val="restart"/>
            <w:tcBorders>
              <w:left w:val="single" w:sz="4" w:space="0" w:color="auto"/>
              <w:right w:val="single" w:sz="4" w:space="0" w:color="auto"/>
            </w:tcBorders>
            <w:vAlign w:val="center"/>
          </w:tcPr>
          <w:p w:rsidR="006624FE" w:rsidRPr="00EB02C3" w:rsidRDefault="006624FE" w:rsidP="007E0165">
            <w:pPr>
              <w:rPr>
                <w:szCs w:val="24"/>
              </w:rPr>
            </w:pPr>
            <w:r w:rsidRPr="00EB02C3">
              <w:rPr>
                <w:snapToGrid/>
                <w:color w:val="auto"/>
                <w:szCs w:val="24"/>
              </w:rPr>
              <w:t>PIAO_173_001_report</w:t>
            </w: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r w:rsidRPr="00527DB3">
              <w:t>T_EXECUTIONPBS</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EB02C3" w:rsidRDefault="006624FE" w:rsidP="007E0165">
            <w:pPr>
              <w:rPr>
                <w:szCs w:val="24"/>
              </w:rPr>
            </w:pPr>
          </w:p>
        </w:tc>
        <w:tc>
          <w:tcPr>
            <w:tcW w:w="1303" w:type="pct"/>
            <w:vMerge/>
            <w:tcBorders>
              <w:left w:val="single" w:sz="4" w:space="0" w:color="auto"/>
              <w:right w:val="single" w:sz="4" w:space="0" w:color="auto"/>
            </w:tcBorders>
            <w:vAlign w:val="center"/>
          </w:tcPr>
          <w:p w:rsidR="006624FE" w:rsidRPr="00EB02C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r w:rsidRPr="00527DB3">
              <w:t>D_KSPL_KVSR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EB02C3" w:rsidRDefault="006624FE" w:rsidP="007E0165">
            <w:pPr>
              <w:rPr>
                <w:szCs w:val="24"/>
              </w:rPr>
            </w:pPr>
          </w:p>
        </w:tc>
        <w:tc>
          <w:tcPr>
            <w:tcW w:w="1303" w:type="pct"/>
            <w:vMerge/>
            <w:tcBorders>
              <w:left w:val="single" w:sz="4" w:space="0" w:color="auto"/>
              <w:right w:val="single" w:sz="4" w:space="0" w:color="auto"/>
            </w:tcBorders>
            <w:vAlign w:val="center"/>
          </w:tcPr>
          <w:p w:rsidR="006624FE" w:rsidRPr="00EB02C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527DB3" w:rsidRDefault="006624FE" w:rsidP="007E0165">
            <w:r w:rsidRPr="00527DB3">
              <w:t>D_KSPL_RZPR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EB02C3" w:rsidRDefault="006624FE" w:rsidP="007E0165">
            <w:pPr>
              <w:rPr>
                <w:szCs w:val="24"/>
              </w:rPr>
            </w:pPr>
          </w:p>
        </w:tc>
        <w:tc>
          <w:tcPr>
            <w:tcW w:w="1303" w:type="pct"/>
            <w:vMerge/>
            <w:tcBorders>
              <w:left w:val="single" w:sz="4" w:space="0" w:color="auto"/>
              <w:right w:val="single" w:sz="4" w:space="0" w:color="auto"/>
            </w:tcBorders>
            <w:vAlign w:val="center"/>
          </w:tcPr>
          <w:p w:rsidR="006624FE" w:rsidRPr="00EB02C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9113C0" w:rsidRDefault="006624FE" w:rsidP="007E0165">
            <w:r w:rsidRPr="009113C0">
              <w:t>D_KSPL_KCSR</w:t>
            </w:r>
          </w:p>
        </w:tc>
      </w:tr>
      <w:tr w:rsidR="006624FE" w:rsidRPr="00206C4C" w:rsidTr="00965625">
        <w:trPr>
          <w:trHeight w:val="20"/>
        </w:trPr>
        <w:tc>
          <w:tcPr>
            <w:tcW w:w="2174" w:type="pct"/>
            <w:vMerge/>
            <w:tcBorders>
              <w:left w:val="single" w:sz="4" w:space="0" w:color="auto"/>
              <w:right w:val="single" w:sz="4" w:space="0" w:color="auto"/>
            </w:tcBorders>
            <w:vAlign w:val="center"/>
          </w:tcPr>
          <w:p w:rsidR="006624FE" w:rsidRPr="00EB02C3" w:rsidRDefault="006624FE" w:rsidP="007E0165">
            <w:pPr>
              <w:rPr>
                <w:szCs w:val="24"/>
              </w:rPr>
            </w:pPr>
          </w:p>
        </w:tc>
        <w:tc>
          <w:tcPr>
            <w:tcW w:w="1303" w:type="pct"/>
            <w:vMerge/>
            <w:tcBorders>
              <w:left w:val="single" w:sz="4" w:space="0" w:color="auto"/>
              <w:right w:val="single" w:sz="4" w:space="0" w:color="auto"/>
            </w:tcBorders>
            <w:vAlign w:val="center"/>
          </w:tcPr>
          <w:p w:rsidR="006624FE" w:rsidRPr="00EB02C3" w:rsidRDefault="006624FE" w:rsidP="007E0165">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6624FE" w:rsidRPr="009113C0" w:rsidRDefault="006624FE" w:rsidP="007E0165">
            <w:r w:rsidRPr="009113C0">
              <w:t>D_KSPL_KVR</w:t>
            </w:r>
          </w:p>
        </w:tc>
      </w:tr>
      <w:tr w:rsidR="002528F2" w:rsidRPr="00206C4C" w:rsidTr="00965625">
        <w:trPr>
          <w:trHeight w:val="20"/>
        </w:trPr>
        <w:tc>
          <w:tcPr>
            <w:tcW w:w="2174" w:type="pct"/>
            <w:tcBorders>
              <w:left w:val="single" w:sz="4" w:space="0" w:color="auto"/>
              <w:right w:val="single" w:sz="4" w:space="0" w:color="auto"/>
            </w:tcBorders>
            <w:vAlign w:val="center"/>
          </w:tcPr>
          <w:p w:rsidR="002528F2" w:rsidRPr="00EB02C3" w:rsidRDefault="002528F2" w:rsidP="007E0165">
            <w:pPr>
              <w:rPr>
                <w:szCs w:val="24"/>
              </w:rPr>
            </w:pPr>
            <w:r w:rsidRPr="00EB02C3">
              <w:rPr>
                <w:szCs w:val="24"/>
              </w:rPr>
              <w:t>"Лесенка" до получателей</w:t>
            </w:r>
          </w:p>
        </w:tc>
        <w:tc>
          <w:tcPr>
            <w:tcW w:w="1303" w:type="pct"/>
            <w:tcBorders>
              <w:left w:val="single" w:sz="4" w:space="0" w:color="auto"/>
              <w:right w:val="single" w:sz="4" w:space="0" w:color="auto"/>
            </w:tcBorders>
            <w:vAlign w:val="center"/>
          </w:tcPr>
          <w:p w:rsidR="002528F2" w:rsidRPr="00EB02C3" w:rsidRDefault="002528F2" w:rsidP="007C30CD">
            <w:pPr>
              <w:rPr>
                <w:szCs w:val="24"/>
              </w:rPr>
            </w:pPr>
            <w:r w:rsidRPr="00EB02C3">
              <w:rPr>
                <w:snapToGrid/>
                <w:color w:val="auto"/>
                <w:szCs w:val="24"/>
              </w:rPr>
              <w:t>PIAO_183_001_report</w:t>
            </w:r>
          </w:p>
        </w:tc>
        <w:tc>
          <w:tcPr>
            <w:tcW w:w="1523" w:type="pct"/>
            <w:tcBorders>
              <w:top w:val="single" w:sz="4" w:space="0" w:color="auto"/>
              <w:left w:val="single" w:sz="4" w:space="0" w:color="auto"/>
              <w:bottom w:val="single" w:sz="4" w:space="0" w:color="auto"/>
              <w:right w:val="single" w:sz="4" w:space="0" w:color="auto"/>
            </w:tcBorders>
            <w:vAlign w:val="center"/>
          </w:tcPr>
          <w:p w:rsidR="002528F2" w:rsidRPr="009113C0" w:rsidRDefault="00854959" w:rsidP="007E0165">
            <w:r w:rsidRPr="00854959">
              <w:t>F_GRAF_KBKSVOD</w:t>
            </w:r>
          </w:p>
        </w:tc>
      </w:tr>
      <w:tr w:rsidR="00C950C3" w:rsidRPr="00206C4C" w:rsidTr="00C950C3">
        <w:trPr>
          <w:trHeight w:val="278"/>
        </w:trPr>
        <w:tc>
          <w:tcPr>
            <w:tcW w:w="2174" w:type="pct"/>
            <w:vMerge w:val="restart"/>
            <w:tcBorders>
              <w:left w:val="single" w:sz="4" w:space="0" w:color="auto"/>
              <w:right w:val="single" w:sz="4" w:space="0" w:color="auto"/>
            </w:tcBorders>
            <w:vAlign w:val="center"/>
          </w:tcPr>
          <w:p w:rsidR="00C950C3" w:rsidRPr="00EB02C3" w:rsidRDefault="00C950C3" w:rsidP="007E0165">
            <w:pPr>
              <w:rPr>
                <w:szCs w:val="24"/>
              </w:rPr>
            </w:pPr>
            <w:r w:rsidRPr="00EB02C3">
              <w:rPr>
                <w:szCs w:val="24"/>
              </w:rPr>
              <w:t>Перераспределение лимитов по итогам отчетного года</w:t>
            </w:r>
          </w:p>
        </w:tc>
        <w:tc>
          <w:tcPr>
            <w:tcW w:w="1303" w:type="pct"/>
            <w:vMerge w:val="restart"/>
            <w:tcBorders>
              <w:left w:val="single" w:sz="4" w:space="0" w:color="auto"/>
              <w:right w:val="single" w:sz="4" w:space="0" w:color="auto"/>
            </w:tcBorders>
            <w:vAlign w:val="center"/>
          </w:tcPr>
          <w:p w:rsidR="00C950C3" w:rsidRPr="00EB02C3" w:rsidRDefault="00C950C3" w:rsidP="002528F2">
            <w:pPr>
              <w:rPr>
                <w:szCs w:val="24"/>
              </w:rPr>
            </w:pPr>
            <w:r w:rsidRPr="00EB02C3">
              <w:rPr>
                <w:snapToGrid/>
                <w:color w:val="auto"/>
                <w:szCs w:val="24"/>
              </w:rPr>
              <w:t>PIAO_184_001_report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C950C3" w:rsidRPr="00C950C3" w:rsidRDefault="00C950C3" w:rsidP="00C950C3">
            <w:pPr>
              <w:rPr>
                <w:lang w:val="en-US"/>
              </w:rPr>
            </w:pPr>
            <w:r>
              <w:t>D_KSPL_KVR</w:t>
            </w:r>
          </w:p>
        </w:tc>
      </w:tr>
      <w:tr w:rsidR="00C950C3" w:rsidRPr="00206C4C" w:rsidTr="00965625">
        <w:trPr>
          <w:trHeight w:val="277"/>
        </w:trPr>
        <w:tc>
          <w:tcPr>
            <w:tcW w:w="2174" w:type="pct"/>
            <w:vMerge/>
            <w:tcBorders>
              <w:left w:val="single" w:sz="4" w:space="0" w:color="auto"/>
              <w:right w:val="single" w:sz="4" w:space="0" w:color="auto"/>
            </w:tcBorders>
            <w:vAlign w:val="center"/>
          </w:tcPr>
          <w:p w:rsidR="00C950C3" w:rsidRPr="002528F2" w:rsidRDefault="00C950C3" w:rsidP="007E0165"/>
        </w:tc>
        <w:tc>
          <w:tcPr>
            <w:tcW w:w="1303" w:type="pct"/>
            <w:vMerge/>
            <w:tcBorders>
              <w:left w:val="single" w:sz="4" w:space="0" w:color="auto"/>
              <w:right w:val="single" w:sz="4" w:space="0" w:color="auto"/>
            </w:tcBorders>
            <w:vAlign w:val="center"/>
          </w:tcPr>
          <w:p w:rsidR="00C950C3" w:rsidRDefault="00C950C3"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C950C3" w:rsidRPr="009113C0" w:rsidRDefault="00C950C3" w:rsidP="007E0165">
            <w:r>
              <w:t>F_GKFB_KVR</w:t>
            </w:r>
          </w:p>
        </w:tc>
      </w:tr>
      <w:tr w:rsidR="007C30CD" w:rsidRPr="00206C4C" w:rsidTr="007C30CD">
        <w:trPr>
          <w:trHeight w:val="27"/>
        </w:trPr>
        <w:tc>
          <w:tcPr>
            <w:tcW w:w="2174" w:type="pct"/>
            <w:vMerge w:val="restart"/>
            <w:tcBorders>
              <w:left w:val="single" w:sz="4" w:space="0" w:color="auto"/>
              <w:right w:val="single" w:sz="4" w:space="0" w:color="auto"/>
            </w:tcBorders>
            <w:vAlign w:val="center"/>
          </w:tcPr>
          <w:p w:rsidR="007C30CD" w:rsidRPr="002528F2" w:rsidRDefault="007C30CD" w:rsidP="007E0165">
            <w:r w:rsidRPr="002528F2">
              <w:t>Закупка товаров, работ, услуг</w:t>
            </w:r>
          </w:p>
        </w:tc>
        <w:tc>
          <w:tcPr>
            <w:tcW w:w="1303" w:type="pct"/>
            <w:vMerge w:val="restart"/>
            <w:tcBorders>
              <w:left w:val="single" w:sz="4" w:space="0" w:color="auto"/>
              <w:right w:val="single" w:sz="4" w:space="0" w:color="auto"/>
            </w:tcBorders>
            <w:vAlign w:val="center"/>
          </w:tcPr>
          <w:p w:rsidR="007C30CD" w:rsidRPr="00527DB3" w:rsidRDefault="007C30CD" w:rsidP="002528F2">
            <w:r>
              <w:rPr>
                <w:snapToGrid/>
                <w:color w:val="auto"/>
                <w:szCs w:val="24"/>
              </w:rPr>
              <w:t>PIAO_18</w:t>
            </w:r>
            <w:r>
              <w:rPr>
                <w:snapToGrid/>
                <w:color w:val="auto"/>
                <w:szCs w:val="24"/>
                <w:lang w:val="en-US"/>
              </w:rPr>
              <w:t>0</w:t>
            </w:r>
            <w:r w:rsidRPr="00527DB3">
              <w:rPr>
                <w:snapToGrid/>
                <w:color w:val="auto"/>
                <w:szCs w:val="24"/>
              </w:rPr>
              <w:t>_</w:t>
            </w:r>
            <w:r>
              <w:rPr>
                <w:snapToGrid/>
                <w:color w:val="auto"/>
                <w:szCs w:val="24"/>
                <w:lang w:val="en-US"/>
              </w:rPr>
              <w:t>1</w:t>
            </w:r>
            <w:r w:rsidRPr="00527DB3">
              <w:rPr>
                <w:snapToGrid/>
                <w:color w:val="auto"/>
                <w:szCs w:val="24"/>
              </w:rPr>
              <w:t>01_report</w:t>
            </w: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9113C0" w:rsidRDefault="007C30CD" w:rsidP="007E0165">
            <w:r w:rsidRPr="007C30CD">
              <w:t>F_GOVEIS_KBK</w:t>
            </w:r>
          </w:p>
        </w:tc>
      </w:tr>
      <w:tr w:rsidR="007C30CD" w:rsidRPr="00206C4C" w:rsidTr="00965625">
        <w:trPr>
          <w:trHeight w:val="27"/>
        </w:trPr>
        <w:tc>
          <w:tcPr>
            <w:tcW w:w="2174" w:type="pct"/>
            <w:vMerge/>
            <w:tcBorders>
              <w:left w:val="single" w:sz="4" w:space="0" w:color="auto"/>
              <w:right w:val="single" w:sz="4" w:space="0" w:color="auto"/>
            </w:tcBorders>
            <w:vAlign w:val="center"/>
          </w:tcPr>
          <w:p w:rsidR="007C30CD" w:rsidRPr="002528F2"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E0165">
            <w:r w:rsidRPr="00827639">
              <w:rPr>
                <w:lang w:val="en-US"/>
              </w:rPr>
              <w:t>F</w:t>
            </w:r>
            <w:r w:rsidRPr="00AE4676">
              <w:t>_</w:t>
            </w:r>
            <w:r w:rsidRPr="00827639">
              <w:rPr>
                <w:lang w:val="en-US"/>
              </w:rPr>
              <w:t>GOVEIS</w:t>
            </w:r>
            <w:r w:rsidRPr="00AE4676">
              <w:t>_</w:t>
            </w:r>
            <w:r w:rsidRPr="00827639">
              <w:rPr>
                <w:lang w:val="en-US"/>
              </w:rPr>
              <w:t>PG</w:t>
            </w:r>
          </w:p>
        </w:tc>
      </w:tr>
      <w:tr w:rsidR="007C30CD" w:rsidRPr="00206C4C" w:rsidTr="00965625">
        <w:trPr>
          <w:trHeight w:val="27"/>
        </w:trPr>
        <w:tc>
          <w:tcPr>
            <w:tcW w:w="2174" w:type="pct"/>
            <w:vMerge/>
            <w:tcBorders>
              <w:left w:val="single" w:sz="4" w:space="0" w:color="auto"/>
              <w:right w:val="single" w:sz="4" w:space="0" w:color="auto"/>
            </w:tcBorders>
            <w:vAlign w:val="center"/>
          </w:tcPr>
          <w:p w:rsidR="007C30CD" w:rsidRPr="002528F2"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E0165">
            <w:r w:rsidRPr="00827639">
              <w:rPr>
                <w:lang w:val="en-US"/>
              </w:rPr>
              <w:t>D</w:t>
            </w:r>
            <w:r w:rsidRPr="00827639">
              <w:t>_</w:t>
            </w:r>
            <w:r w:rsidRPr="00827639">
              <w:rPr>
                <w:lang w:val="en-US"/>
              </w:rPr>
              <w:t>GOVEIS</w:t>
            </w:r>
            <w:r w:rsidRPr="00827639">
              <w:t>_</w:t>
            </w:r>
            <w:r w:rsidRPr="00827639">
              <w:rPr>
                <w:lang w:val="en-US"/>
              </w:rPr>
              <w:t>CONTRACTS</w:t>
            </w:r>
          </w:p>
        </w:tc>
      </w:tr>
      <w:tr w:rsidR="007C30CD" w:rsidRPr="00206C4C" w:rsidTr="00965625">
        <w:trPr>
          <w:trHeight w:val="27"/>
        </w:trPr>
        <w:tc>
          <w:tcPr>
            <w:tcW w:w="2174" w:type="pct"/>
            <w:vMerge/>
            <w:tcBorders>
              <w:left w:val="single" w:sz="4" w:space="0" w:color="auto"/>
              <w:right w:val="single" w:sz="4" w:space="0" w:color="auto"/>
            </w:tcBorders>
            <w:vAlign w:val="center"/>
          </w:tcPr>
          <w:p w:rsidR="007C30CD" w:rsidRPr="002528F2"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E0165">
            <w:r w:rsidRPr="00827639">
              <w:rPr>
                <w:lang w:val="en-US"/>
              </w:rPr>
              <w:t>D</w:t>
            </w:r>
            <w:r w:rsidRPr="00827639">
              <w:t>_</w:t>
            </w:r>
            <w:r w:rsidRPr="00827639">
              <w:rPr>
                <w:lang w:val="en-US"/>
              </w:rPr>
              <w:t>GOVEIS</w:t>
            </w:r>
            <w:r w:rsidRPr="00827639">
              <w:t>_</w:t>
            </w:r>
            <w:r w:rsidRPr="00827639">
              <w:rPr>
                <w:lang w:val="en-US"/>
              </w:rPr>
              <w:t>RISK</w:t>
            </w:r>
          </w:p>
        </w:tc>
      </w:tr>
      <w:tr w:rsidR="007C30CD" w:rsidRPr="00206C4C" w:rsidTr="00965625">
        <w:trPr>
          <w:trHeight w:val="27"/>
        </w:trPr>
        <w:tc>
          <w:tcPr>
            <w:tcW w:w="2174" w:type="pct"/>
            <w:vMerge/>
            <w:tcBorders>
              <w:left w:val="single" w:sz="4" w:space="0" w:color="auto"/>
              <w:right w:val="single" w:sz="4" w:space="0" w:color="auto"/>
            </w:tcBorders>
            <w:vAlign w:val="center"/>
          </w:tcPr>
          <w:p w:rsidR="007C30CD" w:rsidRPr="002528F2"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E0165">
            <w:r>
              <w:t>D_GOVEIS_STATUS</w:t>
            </w:r>
          </w:p>
        </w:tc>
      </w:tr>
      <w:tr w:rsidR="007C30CD" w:rsidRPr="00206C4C" w:rsidTr="007C30CD">
        <w:trPr>
          <w:trHeight w:val="291"/>
        </w:trPr>
        <w:tc>
          <w:tcPr>
            <w:tcW w:w="2174" w:type="pct"/>
            <w:vMerge/>
            <w:tcBorders>
              <w:left w:val="single" w:sz="4" w:space="0" w:color="auto"/>
              <w:right w:val="single" w:sz="4" w:space="0" w:color="auto"/>
            </w:tcBorders>
            <w:vAlign w:val="center"/>
          </w:tcPr>
          <w:p w:rsidR="007C30CD" w:rsidRPr="002528F2"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right w:val="single" w:sz="4" w:space="0" w:color="auto"/>
            </w:tcBorders>
            <w:vAlign w:val="center"/>
          </w:tcPr>
          <w:p w:rsidR="007C30CD" w:rsidRPr="007C30CD" w:rsidRDefault="007C30CD" w:rsidP="007E0165">
            <w:r>
              <w:t>D_GOVEIS_SUPPLIERS</w:t>
            </w:r>
          </w:p>
        </w:tc>
      </w:tr>
      <w:tr w:rsidR="007C30CD" w:rsidRPr="00206C4C" w:rsidTr="007C30CD">
        <w:trPr>
          <w:trHeight w:val="45"/>
        </w:trPr>
        <w:tc>
          <w:tcPr>
            <w:tcW w:w="2174" w:type="pct"/>
            <w:vMerge w:val="restart"/>
            <w:tcBorders>
              <w:left w:val="single" w:sz="4" w:space="0" w:color="auto"/>
              <w:right w:val="single" w:sz="4" w:space="0" w:color="auto"/>
            </w:tcBorders>
            <w:vAlign w:val="center"/>
          </w:tcPr>
          <w:p w:rsidR="007C30CD" w:rsidRPr="002528F2" w:rsidRDefault="007C30CD" w:rsidP="007E0165">
            <w:r>
              <w:t>Закупка ТРУ Свод</w:t>
            </w:r>
          </w:p>
        </w:tc>
        <w:tc>
          <w:tcPr>
            <w:tcW w:w="1303" w:type="pct"/>
            <w:vMerge w:val="restart"/>
            <w:tcBorders>
              <w:left w:val="single" w:sz="4" w:space="0" w:color="auto"/>
              <w:right w:val="single" w:sz="4" w:space="0" w:color="auto"/>
            </w:tcBorders>
            <w:vAlign w:val="center"/>
          </w:tcPr>
          <w:p w:rsidR="007C30CD" w:rsidRPr="00527DB3" w:rsidRDefault="007C30CD" w:rsidP="002528F2">
            <w:r>
              <w:rPr>
                <w:snapToGrid/>
                <w:color w:val="auto"/>
                <w:szCs w:val="24"/>
              </w:rPr>
              <w:t>PIAO_18</w:t>
            </w:r>
            <w:r>
              <w:rPr>
                <w:snapToGrid/>
                <w:color w:val="auto"/>
                <w:szCs w:val="24"/>
                <w:lang w:val="en-US"/>
              </w:rPr>
              <w:t>0</w:t>
            </w:r>
            <w:r w:rsidRPr="00527DB3">
              <w:rPr>
                <w:snapToGrid/>
                <w:color w:val="auto"/>
                <w:szCs w:val="24"/>
              </w:rPr>
              <w:t>_</w:t>
            </w:r>
            <w:r>
              <w:rPr>
                <w:snapToGrid/>
                <w:color w:val="auto"/>
                <w:szCs w:val="24"/>
                <w:lang w:val="en-US"/>
              </w:rPr>
              <w:t>1</w:t>
            </w:r>
            <w:r w:rsidRPr="00527DB3">
              <w:rPr>
                <w:snapToGrid/>
                <w:color w:val="auto"/>
                <w:szCs w:val="24"/>
              </w:rPr>
              <w:t>0</w:t>
            </w:r>
            <w:r>
              <w:rPr>
                <w:snapToGrid/>
                <w:color w:val="auto"/>
                <w:szCs w:val="24"/>
                <w:lang w:val="en-US"/>
              </w:rPr>
              <w:t>2</w:t>
            </w:r>
            <w:r w:rsidRPr="00527DB3">
              <w:rPr>
                <w:snapToGrid/>
                <w:color w:val="auto"/>
                <w:szCs w:val="24"/>
              </w:rPr>
              <w:t>_report</w:t>
            </w: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9113C0" w:rsidRDefault="007C30CD" w:rsidP="007C30CD">
            <w:r w:rsidRPr="007C30CD">
              <w:t>F_GOVEIS_KBK</w:t>
            </w:r>
          </w:p>
        </w:tc>
      </w:tr>
      <w:tr w:rsidR="007C30CD" w:rsidRPr="00206C4C" w:rsidTr="00965625">
        <w:trPr>
          <w:trHeight w:val="45"/>
        </w:trPr>
        <w:tc>
          <w:tcPr>
            <w:tcW w:w="2174" w:type="pct"/>
            <w:vMerge/>
            <w:tcBorders>
              <w:left w:val="single" w:sz="4" w:space="0" w:color="auto"/>
              <w:right w:val="single" w:sz="4" w:space="0" w:color="auto"/>
            </w:tcBorders>
            <w:vAlign w:val="center"/>
          </w:tcPr>
          <w:p w:rsidR="007C30CD"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C30CD">
            <w:r w:rsidRPr="00827639">
              <w:rPr>
                <w:lang w:val="en-US"/>
              </w:rPr>
              <w:t>F</w:t>
            </w:r>
            <w:r w:rsidRPr="00AE4676">
              <w:t>_</w:t>
            </w:r>
            <w:r w:rsidRPr="00827639">
              <w:rPr>
                <w:lang w:val="en-US"/>
              </w:rPr>
              <w:t>GOVEIS</w:t>
            </w:r>
            <w:r w:rsidRPr="00AE4676">
              <w:t>_</w:t>
            </w:r>
            <w:r w:rsidRPr="00827639">
              <w:rPr>
                <w:lang w:val="en-US"/>
              </w:rPr>
              <w:t>PG</w:t>
            </w:r>
          </w:p>
        </w:tc>
      </w:tr>
      <w:tr w:rsidR="007C30CD" w:rsidRPr="00206C4C" w:rsidTr="00965625">
        <w:trPr>
          <w:trHeight w:val="45"/>
        </w:trPr>
        <w:tc>
          <w:tcPr>
            <w:tcW w:w="2174" w:type="pct"/>
            <w:vMerge/>
            <w:tcBorders>
              <w:left w:val="single" w:sz="4" w:space="0" w:color="auto"/>
              <w:right w:val="single" w:sz="4" w:space="0" w:color="auto"/>
            </w:tcBorders>
            <w:vAlign w:val="center"/>
          </w:tcPr>
          <w:p w:rsidR="007C30CD"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C30CD">
            <w:r w:rsidRPr="00827639">
              <w:rPr>
                <w:lang w:val="en-US"/>
              </w:rPr>
              <w:t>D</w:t>
            </w:r>
            <w:r w:rsidRPr="00827639">
              <w:t>_</w:t>
            </w:r>
            <w:r w:rsidRPr="00827639">
              <w:rPr>
                <w:lang w:val="en-US"/>
              </w:rPr>
              <w:t>GOVEIS</w:t>
            </w:r>
            <w:r w:rsidRPr="00827639">
              <w:t>_</w:t>
            </w:r>
            <w:r w:rsidRPr="00827639">
              <w:rPr>
                <w:lang w:val="en-US"/>
              </w:rPr>
              <w:t>CONTRACTS</w:t>
            </w:r>
          </w:p>
        </w:tc>
      </w:tr>
      <w:tr w:rsidR="007C30CD" w:rsidRPr="00206C4C" w:rsidTr="00965625">
        <w:trPr>
          <w:trHeight w:val="45"/>
        </w:trPr>
        <w:tc>
          <w:tcPr>
            <w:tcW w:w="2174" w:type="pct"/>
            <w:vMerge/>
            <w:tcBorders>
              <w:left w:val="single" w:sz="4" w:space="0" w:color="auto"/>
              <w:right w:val="single" w:sz="4" w:space="0" w:color="auto"/>
            </w:tcBorders>
            <w:vAlign w:val="center"/>
          </w:tcPr>
          <w:p w:rsidR="007C30CD"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C30CD">
            <w:r w:rsidRPr="00827639">
              <w:rPr>
                <w:lang w:val="en-US"/>
              </w:rPr>
              <w:t>D</w:t>
            </w:r>
            <w:r w:rsidRPr="00827639">
              <w:t>_</w:t>
            </w:r>
            <w:r w:rsidRPr="00827639">
              <w:rPr>
                <w:lang w:val="en-US"/>
              </w:rPr>
              <w:t>GOVEIS</w:t>
            </w:r>
            <w:r w:rsidRPr="00827639">
              <w:t>_</w:t>
            </w:r>
            <w:r w:rsidRPr="00827639">
              <w:rPr>
                <w:lang w:val="en-US"/>
              </w:rPr>
              <w:t>RISK</w:t>
            </w:r>
          </w:p>
        </w:tc>
      </w:tr>
      <w:tr w:rsidR="007C30CD" w:rsidRPr="00206C4C" w:rsidTr="00965625">
        <w:trPr>
          <w:trHeight w:val="45"/>
        </w:trPr>
        <w:tc>
          <w:tcPr>
            <w:tcW w:w="2174" w:type="pct"/>
            <w:vMerge/>
            <w:tcBorders>
              <w:left w:val="single" w:sz="4" w:space="0" w:color="auto"/>
              <w:right w:val="single" w:sz="4" w:space="0" w:color="auto"/>
            </w:tcBorders>
            <w:vAlign w:val="center"/>
          </w:tcPr>
          <w:p w:rsidR="007C30CD"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C30CD">
            <w:r>
              <w:t>D_GOVEIS_STATUS</w:t>
            </w:r>
          </w:p>
        </w:tc>
      </w:tr>
      <w:tr w:rsidR="007C30CD" w:rsidRPr="00206C4C" w:rsidTr="00965625">
        <w:trPr>
          <w:trHeight w:val="45"/>
        </w:trPr>
        <w:tc>
          <w:tcPr>
            <w:tcW w:w="2174" w:type="pct"/>
            <w:vMerge/>
            <w:tcBorders>
              <w:left w:val="single" w:sz="4" w:space="0" w:color="auto"/>
              <w:right w:val="single" w:sz="4" w:space="0" w:color="auto"/>
            </w:tcBorders>
            <w:vAlign w:val="center"/>
          </w:tcPr>
          <w:p w:rsidR="007C30CD" w:rsidRDefault="007C30CD" w:rsidP="007E0165"/>
        </w:tc>
        <w:tc>
          <w:tcPr>
            <w:tcW w:w="1303" w:type="pct"/>
            <w:vMerge/>
            <w:tcBorders>
              <w:left w:val="single" w:sz="4" w:space="0" w:color="auto"/>
              <w:right w:val="single" w:sz="4" w:space="0" w:color="auto"/>
            </w:tcBorders>
            <w:vAlign w:val="center"/>
          </w:tcPr>
          <w:p w:rsidR="007C30CD" w:rsidRDefault="007C30CD"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7C30CD" w:rsidRPr="007C30CD" w:rsidRDefault="007C30CD" w:rsidP="007C30CD">
            <w:r>
              <w:t>D_GOVEIS_SUPPLIERS</w:t>
            </w:r>
          </w:p>
        </w:tc>
      </w:tr>
      <w:tr w:rsidR="00DE2F9E" w:rsidRPr="00206C4C" w:rsidTr="00DE2F9E">
        <w:trPr>
          <w:trHeight w:val="275"/>
        </w:trPr>
        <w:tc>
          <w:tcPr>
            <w:tcW w:w="2174" w:type="pct"/>
            <w:vMerge w:val="restart"/>
            <w:tcBorders>
              <w:left w:val="single" w:sz="4" w:space="0" w:color="auto"/>
              <w:right w:val="single" w:sz="4" w:space="0" w:color="auto"/>
            </w:tcBorders>
            <w:vAlign w:val="center"/>
          </w:tcPr>
          <w:p w:rsidR="00DE2F9E" w:rsidRDefault="00DE2F9E" w:rsidP="007E0165">
            <w:r w:rsidRPr="002528F2">
              <w:t>Исполнение федерального бюджета по расходам с применением методики риск-ориентированного подхода</w:t>
            </w:r>
          </w:p>
        </w:tc>
        <w:tc>
          <w:tcPr>
            <w:tcW w:w="1303" w:type="pct"/>
            <w:vMerge w:val="restart"/>
            <w:tcBorders>
              <w:left w:val="single" w:sz="4" w:space="0" w:color="auto"/>
              <w:right w:val="single" w:sz="4" w:space="0" w:color="auto"/>
            </w:tcBorders>
            <w:vAlign w:val="center"/>
          </w:tcPr>
          <w:p w:rsidR="00DE2F9E" w:rsidRPr="00527DB3" w:rsidRDefault="00DE2F9E" w:rsidP="002528F2">
            <w:r>
              <w:rPr>
                <w:snapToGrid/>
                <w:color w:val="auto"/>
                <w:szCs w:val="24"/>
              </w:rPr>
              <w:t>PIAO_1</w:t>
            </w:r>
            <w:r>
              <w:rPr>
                <w:snapToGrid/>
                <w:color w:val="auto"/>
                <w:szCs w:val="24"/>
                <w:lang w:val="en-US"/>
              </w:rPr>
              <w:t>69</w:t>
            </w:r>
            <w:r w:rsidRPr="00527DB3">
              <w:rPr>
                <w:snapToGrid/>
                <w:color w:val="auto"/>
                <w:szCs w:val="24"/>
              </w:rPr>
              <w:t>_</w:t>
            </w:r>
            <w:r>
              <w:rPr>
                <w:snapToGrid/>
                <w:color w:val="auto"/>
                <w:szCs w:val="24"/>
                <w:lang w:val="en-US"/>
              </w:rPr>
              <w:t>2</w:t>
            </w:r>
            <w:r w:rsidRPr="00527DB3">
              <w:rPr>
                <w:snapToGrid/>
                <w:color w:val="auto"/>
                <w:szCs w:val="24"/>
              </w:rPr>
              <w:t>0</w:t>
            </w:r>
            <w:r>
              <w:rPr>
                <w:snapToGrid/>
                <w:color w:val="auto"/>
                <w:szCs w:val="24"/>
                <w:lang w:val="en-US"/>
              </w:rPr>
              <w:t>0</w:t>
            </w:r>
            <w:r w:rsidRPr="00527DB3">
              <w:rPr>
                <w:snapToGrid/>
                <w:color w:val="auto"/>
                <w:szCs w:val="24"/>
              </w:rPr>
              <w:t>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DE2F9E">
            <w:r w:rsidRPr="00E77706">
              <w:t>D_GOV_DATEYEAR</w:t>
            </w:r>
          </w:p>
        </w:tc>
      </w:tr>
      <w:tr w:rsidR="00DE2F9E" w:rsidRPr="00206C4C" w:rsidTr="00965625">
        <w:trPr>
          <w:trHeight w:val="275"/>
        </w:trPr>
        <w:tc>
          <w:tcPr>
            <w:tcW w:w="2174" w:type="pct"/>
            <w:vMerge/>
            <w:tcBorders>
              <w:left w:val="single" w:sz="4" w:space="0" w:color="auto"/>
              <w:right w:val="single" w:sz="4" w:space="0" w:color="auto"/>
            </w:tcBorders>
            <w:vAlign w:val="center"/>
          </w:tcPr>
          <w:p w:rsidR="00DE2F9E" w:rsidRPr="002528F2" w:rsidRDefault="00DE2F9E" w:rsidP="007E0165"/>
        </w:tc>
        <w:tc>
          <w:tcPr>
            <w:tcW w:w="1303" w:type="pct"/>
            <w:vMerge/>
            <w:tcBorders>
              <w:left w:val="single" w:sz="4" w:space="0" w:color="auto"/>
              <w:right w:val="single" w:sz="4" w:space="0" w:color="auto"/>
            </w:tcBorders>
            <w:vAlign w:val="center"/>
          </w:tcPr>
          <w:p w:rsidR="00DE2F9E" w:rsidRDefault="00DE2F9E"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E77706" w:rsidRDefault="00DE2F9E" w:rsidP="00DE2F9E">
            <w:r w:rsidRPr="00E77706">
              <w:t>D_GRAF_GRUOPSUBSID</w:t>
            </w:r>
          </w:p>
        </w:tc>
      </w:tr>
      <w:tr w:rsidR="00DE2F9E" w:rsidRPr="00206C4C" w:rsidTr="00965625">
        <w:trPr>
          <w:trHeight w:val="275"/>
        </w:trPr>
        <w:tc>
          <w:tcPr>
            <w:tcW w:w="2174" w:type="pct"/>
            <w:vMerge/>
            <w:tcBorders>
              <w:left w:val="single" w:sz="4" w:space="0" w:color="auto"/>
              <w:right w:val="single" w:sz="4" w:space="0" w:color="auto"/>
            </w:tcBorders>
            <w:vAlign w:val="center"/>
          </w:tcPr>
          <w:p w:rsidR="00DE2F9E" w:rsidRPr="002528F2" w:rsidRDefault="00DE2F9E" w:rsidP="007E0165"/>
        </w:tc>
        <w:tc>
          <w:tcPr>
            <w:tcW w:w="1303" w:type="pct"/>
            <w:vMerge/>
            <w:tcBorders>
              <w:left w:val="single" w:sz="4" w:space="0" w:color="auto"/>
              <w:right w:val="single" w:sz="4" w:space="0" w:color="auto"/>
            </w:tcBorders>
            <w:vAlign w:val="center"/>
          </w:tcPr>
          <w:p w:rsidR="00DE2F9E" w:rsidRDefault="00DE2F9E"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E77706" w:rsidRDefault="00DE2F9E" w:rsidP="00DE2F9E">
            <w:r>
              <w:t>F_GOV_KBK</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528F2" w:rsidRDefault="00DE2F9E" w:rsidP="007E0165">
            <w:r w:rsidRPr="002528F2">
              <w:t>Мониторинг предоставления субъектами РФ и муниципальными образованиями сведений об исполнении бюджетов по расходам</w:t>
            </w:r>
          </w:p>
        </w:tc>
        <w:tc>
          <w:tcPr>
            <w:tcW w:w="1303" w:type="pct"/>
            <w:tcBorders>
              <w:left w:val="single" w:sz="4" w:space="0" w:color="auto"/>
              <w:right w:val="single" w:sz="4" w:space="0" w:color="auto"/>
            </w:tcBorders>
            <w:vAlign w:val="center"/>
          </w:tcPr>
          <w:p w:rsidR="00DE2F9E" w:rsidRPr="00527DB3" w:rsidRDefault="00DE2F9E" w:rsidP="002528F2">
            <w:r>
              <w:rPr>
                <w:snapToGrid/>
                <w:color w:val="auto"/>
                <w:szCs w:val="24"/>
              </w:rPr>
              <w:t>PIAO_18</w:t>
            </w:r>
            <w:r>
              <w:rPr>
                <w:snapToGrid/>
                <w:color w:val="auto"/>
                <w:szCs w:val="24"/>
                <w:lang w:val="en-US"/>
              </w:rPr>
              <w:t>7</w:t>
            </w:r>
            <w:r w:rsidRPr="00527DB3">
              <w:rPr>
                <w:snapToGrid/>
                <w:color w:val="auto"/>
                <w:szCs w:val="24"/>
              </w:rPr>
              <w:t>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113C0" w:rsidRDefault="00EB02C3" w:rsidP="007E0165">
            <w:r w:rsidRPr="00EB02C3">
              <w:t>F_SVOD_RASH</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528F2" w:rsidRDefault="00DE2F9E" w:rsidP="007E0165">
            <w:r w:rsidRPr="002528F2">
              <w:t>Информация об исполнении бюджетов субъектов РФ и местных бюджетов по расходам</w:t>
            </w:r>
          </w:p>
        </w:tc>
        <w:tc>
          <w:tcPr>
            <w:tcW w:w="1303" w:type="pct"/>
            <w:tcBorders>
              <w:left w:val="single" w:sz="4" w:space="0" w:color="auto"/>
              <w:right w:val="single" w:sz="4" w:space="0" w:color="auto"/>
            </w:tcBorders>
            <w:vAlign w:val="center"/>
          </w:tcPr>
          <w:p w:rsidR="00DE2F9E" w:rsidRPr="00527DB3" w:rsidRDefault="00DE2F9E" w:rsidP="002528F2">
            <w:r>
              <w:rPr>
                <w:snapToGrid/>
                <w:color w:val="auto"/>
                <w:szCs w:val="24"/>
              </w:rPr>
              <w:t>PIAO_18</w:t>
            </w:r>
            <w:r>
              <w:rPr>
                <w:snapToGrid/>
                <w:color w:val="auto"/>
                <w:szCs w:val="24"/>
                <w:lang w:val="en-US"/>
              </w:rPr>
              <w:t>7</w:t>
            </w:r>
            <w:r w:rsidRPr="00527DB3">
              <w:rPr>
                <w:snapToGrid/>
                <w:color w:val="auto"/>
                <w:szCs w:val="24"/>
              </w:rPr>
              <w:t>_00</w:t>
            </w:r>
            <w:r>
              <w:rPr>
                <w:snapToGrid/>
                <w:color w:val="auto"/>
                <w:szCs w:val="24"/>
                <w:lang w:val="en-US"/>
              </w:rPr>
              <w:t>2</w:t>
            </w:r>
            <w:r w:rsidRPr="00527DB3">
              <w:rPr>
                <w:snapToGrid/>
                <w:color w:val="auto"/>
                <w:szCs w:val="24"/>
              </w:rPr>
              <w:t>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113C0" w:rsidRDefault="00EB02C3" w:rsidP="007E0165">
            <w:r w:rsidRPr="00EB02C3">
              <w:t>F_SVOD_RASH</w:t>
            </w:r>
          </w:p>
        </w:tc>
      </w:tr>
      <w:tr w:rsidR="00DE2F9E" w:rsidRPr="00206C4C" w:rsidTr="00DE2F9E">
        <w:trPr>
          <w:trHeight w:val="185"/>
        </w:trPr>
        <w:tc>
          <w:tcPr>
            <w:tcW w:w="2174" w:type="pct"/>
            <w:vMerge w:val="restart"/>
            <w:tcBorders>
              <w:left w:val="single" w:sz="4" w:space="0" w:color="auto"/>
              <w:right w:val="single" w:sz="4" w:space="0" w:color="auto"/>
            </w:tcBorders>
            <w:vAlign w:val="center"/>
          </w:tcPr>
          <w:p w:rsidR="00DE2F9E" w:rsidRPr="002528F2" w:rsidRDefault="00DE2F9E" w:rsidP="007E0165">
            <w:r w:rsidRPr="002528F2">
              <w:t>Расходы федерального бюджета на объекты капитального строительства</w:t>
            </w:r>
          </w:p>
        </w:tc>
        <w:tc>
          <w:tcPr>
            <w:tcW w:w="1303" w:type="pct"/>
            <w:vMerge w:val="restart"/>
            <w:tcBorders>
              <w:left w:val="single" w:sz="4" w:space="0" w:color="auto"/>
              <w:right w:val="single" w:sz="4" w:space="0" w:color="auto"/>
            </w:tcBorders>
            <w:vAlign w:val="center"/>
          </w:tcPr>
          <w:p w:rsidR="00DE2F9E" w:rsidRPr="00527DB3" w:rsidRDefault="00DE2F9E" w:rsidP="002528F2">
            <w:r>
              <w:rPr>
                <w:snapToGrid/>
                <w:color w:val="auto"/>
                <w:szCs w:val="24"/>
              </w:rPr>
              <w:t>PIAO_1</w:t>
            </w:r>
            <w:r>
              <w:rPr>
                <w:snapToGrid/>
                <w:color w:val="auto"/>
                <w:szCs w:val="24"/>
                <w:lang w:val="en-US"/>
              </w:rPr>
              <w:t>69</w:t>
            </w:r>
            <w:r w:rsidRPr="00527DB3">
              <w:rPr>
                <w:snapToGrid/>
                <w:color w:val="auto"/>
                <w:szCs w:val="24"/>
              </w:rPr>
              <w:t>_</w:t>
            </w:r>
            <w:r>
              <w:rPr>
                <w:snapToGrid/>
                <w:color w:val="auto"/>
                <w:szCs w:val="24"/>
                <w:lang w:val="en-US"/>
              </w:rPr>
              <w:t>3</w:t>
            </w:r>
            <w:r w:rsidRPr="00527DB3">
              <w:rPr>
                <w:snapToGrid/>
                <w:color w:val="auto"/>
                <w:szCs w:val="24"/>
              </w:rPr>
              <w:t>00</w:t>
            </w:r>
            <w:r>
              <w:rPr>
                <w:snapToGrid/>
                <w:color w:val="auto"/>
                <w:szCs w:val="24"/>
                <w:lang w:val="en-US"/>
              </w:rPr>
              <w:t>_</w:t>
            </w:r>
            <w:r w:rsidRPr="00527DB3">
              <w:rPr>
                <w:snapToGrid/>
                <w:color w:val="auto"/>
                <w:szCs w:val="24"/>
              </w:rPr>
              <w:t>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DE2F9E">
            <w:r w:rsidRPr="00E77706">
              <w:t>D_GOV_DATEYEAR</w:t>
            </w:r>
          </w:p>
        </w:tc>
      </w:tr>
      <w:tr w:rsidR="00DE2F9E" w:rsidRPr="00206C4C" w:rsidTr="00965625">
        <w:trPr>
          <w:trHeight w:val="185"/>
        </w:trPr>
        <w:tc>
          <w:tcPr>
            <w:tcW w:w="2174" w:type="pct"/>
            <w:vMerge/>
            <w:tcBorders>
              <w:left w:val="single" w:sz="4" w:space="0" w:color="auto"/>
              <w:right w:val="single" w:sz="4" w:space="0" w:color="auto"/>
            </w:tcBorders>
            <w:vAlign w:val="center"/>
          </w:tcPr>
          <w:p w:rsidR="00DE2F9E" w:rsidRPr="002528F2" w:rsidRDefault="00DE2F9E" w:rsidP="007E0165"/>
        </w:tc>
        <w:tc>
          <w:tcPr>
            <w:tcW w:w="1303" w:type="pct"/>
            <w:vMerge/>
            <w:tcBorders>
              <w:left w:val="single" w:sz="4" w:space="0" w:color="auto"/>
              <w:right w:val="single" w:sz="4" w:space="0" w:color="auto"/>
            </w:tcBorders>
            <w:vAlign w:val="center"/>
          </w:tcPr>
          <w:p w:rsidR="00DE2F9E" w:rsidRDefault="00DE2F9E"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E77706" w:rsidRDefault="00DE2F9E" w:rsidP="00DE2F9E">
            <w:r w:rsidRPr="00E77706">
              <w:t>D_GRAF_GRUOPSUBSID</w:t>
            </w:r>
          </w:p>
        </w:tc>
      </w:tr>
      <w:tr w:rsidR="00DE2F9E" w:rsidRPr="00206C4C" w:rsidTr="00965625">
        <w:trPr>
          <w:trHeight w:val="185"/>
        </w:trPr>
        <w:tc>
          <w:tcPr>
            <w:tcW w:w="2174" w:type="pct"/>
            <w:vMerge/>
            <w:tcBorders>
              <w:left w:val="single" w:sz="4" w:space="0" w:color="auto"/>
              <w:right w:val="single" w:sz="4" w:space="0" w:color="auto"/>
            </w:tcBorders>
            <w:vAlign w:val="center"/>
          </w:tcPr>
          <w:p w:rsidR="00DE2F9E" w:rsidRPr="002528F2" w:rsidRDefault="00DE2F9E" w:rsidP="007E0165"/>
        </w:tc>
        <w:tc>
          <w:tcPr>
            <w:tcW w:w="1303" w:type="pct"/>
            <w:vMerge/>
            <w:tcBorders>
              <w:left w:val="single" w:sz="4" w:space="0" w:color="auto"/>
              <w:right w:val="single" w:sz="4" w:space="0" w:color="auto"/>
            </w:tcBorders>
            <w:vAlign w:val="center"/>
          </w:tcPr>
          <w:p w:rsidR="00DE2F9E" w:rsidRDefault="00DE2F9E" w:rsidP="002528F2">
            <w:pPr>
              <w:rPr>
                <w:snapToGrid/>
                <w:color w:val="auto"/>
                <w:szCs w:val="24"/>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E77706" w:rsidRDefault="00DE2F9E" w:rsidP="00DE2F9E">
            <w:r>
              <w:t>F_GOV_KBK</w:t>
            </w:r>
          </w:p>
        </w:tc>
      </w:tr>
      <w:tr w:rsidR="00DE2F9E" w:rsidRPr="00206C4C" w:rsidTr="00965625">
        <w:trPr>
          <w:trHeight w:val="20"/>
        </w:trPr>
        <w:tc>
          <w:tcPr>
            <w:tcW w:w="5000" w:type="pct"/>
            <w:gridSpan w:val="3"/>
            <w:tcBorders>
              <w:left w:val="single" w:sz="4" w:space="0" w:color="auto"/>
              <w:right w:val="single" w:sz="4" w:space="0" w:color="auto"/>
            </w:tcBorders>
            <w:vAlign w:val="center"/>
          </w:tcPr>
          <w:p w:rsidR="00DE2F9E" w:rsidRPr="00206C4C" w:rsidRDefault="00DE2F9E" w:rsidP="007E0165">
            <w:pPr>
              <w:snapToGrid w:val="0"/>
              <w:spacing w:line="276" w:lineRule="auto"/>
              <w:rPr>
                <w:szCs w:val="24"/>
              </w:rPr>
            </w:pPr>
            <w:r>
              <w:rPr>
                <w:b/>
              </w:rPr>
              <w:t>Отчеты по плательщикам и получателям</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rsidRPr="00206C4C">
              <w:rPr>
                <w:rStyle w:val="tooltip"/>
              </w:rPr>
              <w:t>Информация о поступлении от организаций и осуществлении выплат в адрес организаций (в разрезе территорий, организаций)</w:t>
            </w:r>
          </w:p>
        </w:tc>
        <w:tc>
          <w:tcPr>
            <w:tcW w:w="1303" w:type="pct"/>
            <w:tcBorders>
              <w:left w:val="single" w:sz="4" w:space="0" w:color="auto"/>
              <w:right w:val="single" w:sz="4" w:space="0" w:color="auto"/>
            </w:tcBorders>
            <w:vAlign w:val="center"/>
          </w:tcPr>
          <w:p w:rsidR="00DE2F9E" w:rsidRPr="00527DB3" w:rsidRDefault="00DE2F9E" w:rsidP="007E0165">
            <w:pPr>
              <w:rPr>
                <w:color w:val="1F497D"/>
              </w:rPr>
            </w:pPr>
            <w:r w:rsidRPr="00527DB3">
              <w:rPr>
                <w:snapToGrid/>
                <w:color w:val="auto"/>
                <w:szCs w:val="24"/>
              </w:rPr>
              <w:t>PIAO_129_009_report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rPr>
            </w:pPr>
            <w:r w:rsidRPr="00527DB3">
              <w:rPr>
                <w:szCs w:val="24"/>
              </w:rPr>
              <w:t>T_ASFK_PAYERS_TEMP – представление «Доходы»;</w:t>
            </w:r>
          </w:p>
          <w:p w:rsidR="00DE2F9E" w:rsidRPr="00527DB3" w:rsidRDefault="00DE2F9E" w:rsidP="007E0165">
            <w:pPr>
              <w:snapToGrid w:val="0"/>
              <w:spacing w:line="276" w:lineRule="auto"/>
              <w:rPr>
                <w:szCs w:val="24"/>
              </w:rPr>
            </w:pPr>
            <w:r w:rsidRPr="00527DB3">
              <w:rPr>
                <w:szCs w:val="24"/>
              </w:rPr>
              <w:t>T_ASFK1_PAYERS_TEMP – представление  «Расходы»;</w:t>
            </w:r>
          </w:p>
          <w:p w:rsidR="00DE2F9E" w:rsidRPr="00527DB3" w:rsidRDefault="00DE2F9E" w:rsidP="007E0165">
            <w:pPr>
              <w:rPr>
                <w:color w:val="1F497D"/>
              </w:rPr>
            </w:pPr>
            <w:r w:rsidRPr="00527DB3">
              <w:rPr>
                <w:szCs w:val="24"/>
              </w:rPr>
              <w:t>T_ASFK2_PAYERS_TEMP – представление «Источники финансирования».</w:t>
            </w:r>
          </w:p>
        </w:tc>
      </w:tr>
      <w:tr w:rsidR="00DE2F9E" w:rsidRPr="006D18EC" w:rsidTr="00965625">
        <w:trPr>
          <w:trHeight w:val="20"/>
        </w:trPr>
        <w:tc>
          <w:tcPr>
            <w:tcW w:w="2174" w:type="pct"/>
            <w:vMerge w:val="restart"/>
            <w:tcBorders>
              <w:left w:val="single" w:sz="4" w:space="0" w:color="auto"/>
              <w:right w:val="single" w:sz="4" w:space="0" w:color="auto"/>
            </w:tcBorders>
            <w:vAlign w:val="center"/>
          </w:tcPr>
          <w:p w:rsidR="00DE2F9E" w:rsidRPr="00206C4C" w:rsidRDefault="00DE2F9E" w:rsidP="007E0165">
            <w:pPr>
              <w:rPr>
                <w:rStyle w:val="tooltip"/>
              </w:rPr>
            </w:pPr>
            <w:r>
              <w:rPr>
                <w:rStyle w:val="tooltip"/>
              </w:rPr>
              <w:t>Мониторинг загрузки в ПИАО данных из АСФК по описям платежных документов</w:t>
            </w:r>
          </w:p>
        </w:tc>
        <w:tc>
          <w:tcPr>
            <w:tcW w:w="1303" w:type="pct"/>
            <w:vMerge w:val="restart"/>
            <w:tcBorders>
              <w:left w:val="single" w:sz="4" w:space="0" w:color="auto"/>
              <w:right w:val="single" w:sz="4" w:space="0" w:color="auto"/>
            </w:tcBorders>
            <w:vAlign w:val="center"/>
          </w:tcPr>
          <w:p w:rsidR="00DE2F9E" w:rsidRPr="00527DB3" w:rsidRDefault="00DE2F9E" w:rsidP="007E0165">
            <w:pPr>
              <w:rPr>
                <w:snapToGrid/>
                <w:color w:val="auto"/>
                <w:szCs w:val="24"/>
              </w:rPr>
            </w:pPr>
            <w:r w:rsidRPr="00527DB3">
              <w:t>PIAO_129_013_report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lang w:val="en-US"/>
              </w:rPr>
            </w:pPr>
            <w:r w:rsidRPr="00527DB3">
              <w:rPr>
                <w:szCs w:val="24"/>
                <w:lang w:val="en-US"/>
              </w:rPr>
              <w:t>F_ASFK_PAYERS</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tooltip"/>
              </w:rPr>
            </w:pPr>
          </w:p>
        </w:tc>
        <w:tc>
          <w:tcPr>
            <w:tcW w:w="1303" w:type="pct"/>
            <w:vMerge/>
            <w:tcBorders>
              <w:left w:val="single" w:sz="4" w:space="0" w:color="auto"/>
              <w:right w:val="single" w:sz="4" w:space="0" w:color="auto"/>
            </w:tcBorders>
            <w:vAlign w:val="center"/>
          </w:tcPr>
          <w:p w:rsidR="00DE2F9E" w:rsidRPr="00527DB3"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lang w:val="en-US"/>
              </w:rPr>
            </w:pPr>
            <w:r w:rsidRPr="00527DB3">
              <w:rPr>
                <w:szCs w:val="24"/>
                <w:lang w:val="en-US"/>
              </w:rPr>
              <w:t>T_ASFK_MONITORING</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tooltip"/>
              </w:rPr>
            </w:pPr>
          </w:p>
        </w:tc>
        <w:tc>
          <w:tcPr>
            <w:tcW w:w="1303" w:type="pct"/>
            <w:vMerge/>
            <w:tcBorders>
              <w:left w:val="single" w:sz="4" w:space="0" w:color="auto"/>
              <w:right w:val="single" w:sz="4" w:space="0" w:color="auto"/>
            </w:tcBorders>
            <w:vAlign w:val="center"/>
          </w:tcPr>
          <w:p w:rsidR="00DE2F9E" w:rsidRPr="00527DB3"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lang w:val="en-US"/>
              </w:rPr>
            </w:pPr>
            <w:r w:rsidRPr="00527DB3">
              <w:rPr>
                <w:szCs w:val="24"/>
                <w:lang w:val="en-US"/>
              </w:rPr>
              <w:t>T_ASFK_MONITORING_KBK</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Pr="00206C4C" w:rsidRDefault="00DE2F9E" w:rsidP="007E0165">
            <w:pPr>
              <w:jc w:val="left"/>
              <w:rPr>
                <w:rStyle w:val="tooltip"/>
              </w:rPr>
            </w:pPr>
            <w:r w:rsidRPr="00DB13F4">
              <w:rPr>
                <w:snapToGrid/>
                <w:color w:val="auto"/>
                <w:szCs w:val="24"/>
              </w:rPr>
              <w:t>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собственности</w:t>
            </w:r>
          </w:p>
        </w:tc>
        <w:tc>
          <w:tcPr>
            <w:tcW w:w="1303" w:type="pct"/>
            <w:vMerge w:val="restart"/>
            <w:tcBorders>
              <w:left w:val="single" w:sz="4" w:space="0" w:color="auto"/>
              <w:right w:val="single" w:sz="4" w:space="0" w:color="auto"/>
            </w:tcBorders>
            <w:vAlign w:val="center"/>
          </w:tcPr>
          <w:p w:rsidR="00DE2F9E" w:rsidRPr="00527DB3" w:rsidRDefault="00DE2F9E" w:rsidP="007E0165">
            <w:pPr>
              <w:rPr>
                <w:snapToGrid/>
                <w:color w:val="auto"/>
                <w:szCs w:val="24"/>
              </w:rPr>
            </w:pPr>
            <w:r w:rsidRPr="00527DB3">
              <w:t>PIAO_129_014_report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rPr>
            </w:pPr>
            <w:r w:rsidRPr="00527DB3">
              <w:rPr>
                <w:szCs w:val="24"/>
                <w:lang w:val="en-US"/>
              </w:rPr>
              <w:t>F_ASFK_PAYERS</w:t>
            </w:r>
          </w:p>
        </w:tc>
      </w:tr>
      <w:tr w:rsidR="00DE2F9E" w:rsidRPr="00991B9F"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527DB3"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7E0165">
            <w:pPr>
              <w:snapToGrid w:val="0"/>
              <w:spacing w:line="276" w:lineRule="auto"/>
              <w:rPr>
                <w:szCs w:val="24"/>
                <w:lang w:val="en-US"/>
              </w:rPr>
            </w:pPr>
            <w:r w:rsidRPr="00527DB3">
              <w:rPr>
                <w:szCs w:val="24"/>
                <w:lang w:val="en-US"/>
              </w:rPr>
              <w:t>T_ASFK_BIGGEST_TOFK_PAYERS</w:t>
            </w:r>
          </w:p>
        </w:tc>
      </w:tr>
      <w:tr w:rsidR="00DE2F9E" w:rsidRPr="00206C4C" w:rsidTr="00965625">
        <w:trPr>
          <w:trHeight w:val="20"/>
        </w:trPr>
        <w:tc>
          <w:tcPr>
            <w:tcW w:w="5000" w:type="pct"/>
            <w:gridSpan w:val="3"/>
            <w:tcBorders>
              <w:left w:val="single" w:sz="4" w:space="0" w:color="auto"/>
              <w:right w:val="single" w:sz="4" w:space="0" w:color="auto"/>
            </w:tcBorders>
            <w:vAlign w:val="center"/>
          </w:tcPr>
          <w:p w:rsidR="00DE2F9E" w:rsidRPr="00206C4C" w:rsidRDefault="00DE2F9E" w:rsidP="007E0165">
            <w:pPr>
              <w:snapToGrid w:val="0"/>
              <w:spacing w:line="276" w:lineRule="auto"/>
              <w:rPr>
                <w:szCs w:val="24"/>
              </w:rPr>
            </w:pPr>
            <w:r w:rsidRPr="00CA10BA">
              <w:rPr>
                <w:b/>
              </w:rPr>
              <w:t>Межбюджетные трансферты</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t>Отчет об операциях консолидированного бюджета субъекта Российской Федерации и бюджетов государственных внебюджетных фондов по использованию целевых средств</w:t>
            </w:r>
          </w:p>
        </w:tc>
        <w:tc>
          <w:tcPr>
            <w:tcW w:w="1303" w:type="pct"/>
            <w:vMerge w:val="restart"/>
            <w:tcBorders>
              <w:left w:val="single" w:sz="4" w:space="0" w:color="auto"/>
              <w:right w:val="single" w:sz="4" w:space="0" w:color="auto"/>
            </w:tcBorders>
            <w:vAlign w:val="center"/>
          </w:tcPr>
          <w:p w:rsidR="00DE2F9E" w:rsidRPr="006624FE" w:rsidRDefault="00DE2F9E" w:rsidP="007E0165">
            <w:pPr>
              <w:rPr>
                <w:color w:val="FF0000"/>
              </w:rPr>
            </w:pPr>
            <w:r w:rsidRPr="00504FBB">
              <w:rPr>
                <w:color w:val="auto"/>
              </w:rPr>
              <w:t>PIAO_157_001_report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527DB3">
            <w:pPr>
              <w:snapToGrid w:val="0"/>
              <w:spacing w:line="276" w:lineRule="auto"/>
              <w:rPr>
                <w:szCs w:val="24"/>
              </w:rPr>
            </w:pPr>
            <w:r w:rsidRPr="00527DB3">
              <w:rPr>
                <w:szCs w:val="24"/>
              </w:rPr>
              <w:t>F_ASFK_MEJBUDG_TSEL</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rPr>
            </w:pPr>
            <w:r w:rsidRPr="00527DB3">
              <w:rPr>
                <w:szCs w:val="24"/>
              </w:rPr>
              <w:t>F_ASFK_MEJBUDG_TSMO</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F_ASFK_MBTCBS</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D_ASFK_GOALCODE_KBK</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D_FK_UFK</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D_ASFK_TOFK</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w:t>
            </w:r>
            <w:r w:rsidRPr="00527DB3">
              <w:rPr>
                <w:szCs w:val="24"/>
              </w:rPr>
              <w:t>_</w:t>
            </w:r>
            <w:r w:rsidRPr="00527DB3">
              <w:rPr>
                <w:szCs w:val="24"/>
                <w:lang w:val="en-US"/>
              </w:rPr>
              <w:t>ASFK</w:t>
            </w:r>
            <w:r w:rsidRPr="00527DB3">
              <w:rPr>
                <w:szCs w:val="24"/>
              </w:rPr>
              <w:t>_</w:t>
            </w:r>
            <w:r w:rsidRPr="00527DB3">
              <w:rPr>
                <w:szCs w:val="24"/>
                <w:lang w:val="en-US"/>
              </w:rPr>
              <w:t>KVSR</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D_KSPL_KVSR</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D_ASFK_BUDGET</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FX_ASFK_IND</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FX_DATE_YEARDAYUNV</w:t>
            </w:r>
          </w:p>
        </w:tc>
      </w:tr>
      <w:tr w:rsidR="00DE2F9E" w:rsidRPr="00527DB3"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27DB3" w:rsidRDefault="00DE2F9E" w:rsidP="00527DB3">
            <w:pPr>
              <w:snapToGrid w:val="0"/>
              <w:spacing w:line="276" w:lineRule="auto"/>
              <w:rPr>
                <w:szCs w:val="24"/>
                <w:lang w:val="en-US"/>
              </w:rPr>
            </w:pPr>
            <w:r w:rsidRPr="00527DB3">
              <w:rPr>
                <w:szCs w:val="24"/>
                <w:lang w:val="en-US"/>
              </w:rPr>
              <w:t>D_ASFK_GOALCODE</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t>Информация об операциях бюджетов субъектов (местных бюджетов) с целевыми средствами</w:t>
            </w:r>
          </w:p>
        </w:tc>
        <w:tc>
          <w:tcPr>
            <w:tcW w:w="1303" w:type="pct"/>
            <w:vMerge w:val="restart"/>
            <w:tcBorders>
              <w:left w:val="single" w:sz="4" w:space="0" w:color="auto"/>
              <w:right w:val="single" w:sz="4" w:space="0" w:color="auto"/>
            </w:tcBorders>
            <w:vAlign w:val="center"/>
          </w:tcPr>
          <w:p w:rsidR="00DE2F9E" w:rsidRPr="00965625" w:rsidRDefault="00DE2F9E" w:rsidP="007E0165">
            <w:pPr>
              <w:rPr>
                <w:color w:val="auto"/>
              </w:rPr>
            </w:pPr>
            <w:r w:rsidRPr="00965625">
              <w:rPr>
                <w:color w:val="auto"/>
              </w:rPr>
              <w:t>PIAO_161_001_report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rPr>
            </w:pPr>
            <w:r w:rsidRPr="00965625">
              <w:rPr>
                <w:color w:val="auto"/>
                <w:szCs w:val="24"/>
              </w:rPr>
              <w:t>D_OMB_PERSACCOUNT</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lang w:val="en-US"/>
              </w:rPr>
            </w:pPr>
            <w:r w:rsidRPr="00965625">
              <w:rPr>
                <w:color w:val="auto"/>
                <w:szCs w:val="24"/>
                <w:lang w:val="en-US"/>
              </w:rPr>
              <w:t>D_OMB_BUDGETS</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rPr>
            </w:pPr>
            <w:r w:rsidRPr="00965625">
              <w:rPr>
                <w:color w:val="auto"/>
                <w:szCs w:val="24"/>
                <w:lang w:val="en-US"/>
              </w:rPr>
              <w:t>D_OMB_GLAVABK</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lang w:val="en-US"/>
              </w:rPr>
            </w:pPr>
            <w:r w:rsidRPr="00965625">
              <w:rPr>
                <w:color w:val="auto"/>
                <w:szCs w:val="24"/>
                <w:lang w:val="en-US"/>
              </w:rPr>
              <w:t>D_OMB_GOALCODE</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lang w:val="en-US"/>
              </w:rPr>
            </w:pPr>
            <w:r w:rsidRPr="00965625">
              <w:rPr>
                <w:color w:val="auto"/>
                <w:szCs w:val="24"/>
                <w:lang w:val="en-US"/>
              </w:rPr>
              <w:t>F_OMB_TICKET</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504FBB">
            <w:pPr>
              <w:snapToGrid w:val="0"/>
              <w:spacing w:line="276" w:lineRule="auto"/>
              <w:rPr>
                <w:color w:val="auto"/>
                <w:szCs w:val="24"/>
                <w:lang w:val="en-US"/>
              </w:rPr>
            </w:pPr>
            <w:r w:rsidRPr="00965625">
              <w:rPr>
                <w:szCs w:val="24"/>
                <w:lang w:val="en-US"/>
              </w:rPr>
              <w:t>F_OMB_INFLSBUDGETSUB</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04FBB" w:rsidRDefault="00DE2F9E" w:rsidP="00504FBB">
            <w:pPr>
              <w:snapToGrid w:val="0"/>
              <w:spacing w:line="276" w:lineRule="auto"/>
              <w:rPr>
                <w:szCs w:val="24"/>
                <w:lang w:val="en-US"/>
              </w:rPr>
            </w:pPr>
            <w:r w:rsidRPr="00504FBB">
              <w:rPr>
                <w:szCs w:val="24"/>
                <w:lang w:val="en-US"/>
              </w:rPr>
              <w:t>F_OMB_MBT</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04FBB" w:rsidRDefault="00DE2F9E" w:rsidP="00504FBB">
            <w:pPr>
              <w:snapToGrid w:val="0"/>
              <w:spacing w:line="276" w:lineRule="auto"/>
              <w:rPr>
                <w:szCs w:val="24"/>
                <w:lang w:val="en-US"/>
              </w:rPr>
            </w:pPr>
            <w:r w:rsidRPr="00504FBB">
              <w:rPr>
                <w:szCs w:val="24"/>
                <w:lang w:val="en-US"/>
              </w:rPr>
              <w:t>F_OMB_INFODOC</w:t>
            </w:r>
          </w:p>
        </w:tc>
      </w:tr>
      <w:tr w:rsidR="00DE2F9E" w:rsidRPr="00504FBB" w:rsidTr="00965625">
        <w:trPr>
          <w:trHeight w:val="20"/>
        </w:trPr>
        <w:tc>
          <w:tcPr>
            <w:tcW w:w="2174" w:type="pct"/>
            <w:vMerge/>
            <w:tcBorders>
              <w:left w:val="single" w:sz="4" w:space="0" w:color="auto"/>
              <w:right w:val="single" w:sz="4" w:space="0" w:color="auto"/>
            </w:tcBorders>
            <w:vAlign w:val="center"/>
          </w:tcPr>
          <w:p w:rsidR="00DE2F9E" w:rsidRPr="00504FBB" w:rsidRDefault="00DE2F9E" w:rsidP="007E0165">
            <w:pPr>
              <w:rPr>
                <w:lang w:val="en-US"/>
              </w:rPr>
            </w:pPr>
          </w:p>
        </w:tc>
        <w:tc>
          <w:tcPr>
            <w:tcW w:w="1303" w:type="pct"/>
            <w:vMerge/>
            <w:tcBorders>
              <w:left w:val="single" w:sz="4" w:space="0" w:color="auto"/>
              <w:right w:val="single" w:sz="4" w:space="0" w:color="auto"/>
            </w:tcBorders>
            <w:vAlign w:val="center"/>
          </w:tcPr>
          <w:p w:rsidR="00DE2F9E" w:rsidRPr="00504FBB" w:rsidRDefault="00DE2F9E" w:rsidP="007E0165">
            <w:pPr>
              <w:rPr>
                <w:color w:val="FF0000"/>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504FBB" w:rsidRDefault="00DE2F9E" w:rsidP="00504FBB">
            <w:pPr>
              <w:snapToGrid w:val="0"/>
              <w:spacing w:line="276" w:lineRule="auto"/>
              <w:rPr>
                <w:szCs w:val="24"/>
                <w:lang w:val="en-US"/>
              </w:rPr>
            </w:pPr>
            <w:r w:rsidRPr="00504FBB">
              <w:rPr>
                <w:szCs w:val="24"/>
                <w:lang w:val="en-US"/>
              </w:rPr>
              <w:t>D_OMB_OPERATIONMBT</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t>Мониторинг предоставления УФК и загрузки в ПИАО описей по межбюджетным трансфертам</w:t>
            </w:r>
          </w:p>
        </w:tc>
        <w:tc>
          <w:tcPr>
            <w:tcW w:w="1303" w:type="pct"/>
            <w:vMerge w:val="restart"/>
            <w:tcBorders>
              <w:left w:val="single" w:sz="4" w:space="0" w:color="auto"/>
              <w:right w:val="single" w:sz="4" w:space="0" w:color="auto"/>
            </w:tcBorders>
            <w:vAlign w:val="center"/>
          </w:tcPr>
          <w:p w:rsidR="00DE2F9E" w:rsidRPr="00965625" w:rsidRDefault="00DE2F9E" w:rsidP="007E0165">
            <w:pPr>
              <w:rPr>
                <w:color w:val="auto"/>
              </w:rPr>
            </w:pPr>
            <w:r w:rsidRPr="00965625">
              <w:rPr>
                <w:color w:val="auto"/>
              </w:rPr>
              <w:t>PIAO_171_001_report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rPr>
            </w:pPr>
            <w:r w:rsidRPr="00965625">
              <w:rPr>
                <w:color w:val="auto"/>
                <w:szCs w:val="24"/>
              </w:rPr>
              <w:t>F_ASFK_MEJBUDG_TSEL</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rPr>
            </w:pPr>
            <w:r w:rsidRPr="00965625">
              <w:rPr>
                <w:color w:val="auto"/>
                <w:szCs w:val="24"/>
              </w:rPr>
              <w:t>F_ASFK_MEJBUDG_TSMO</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lang w:val="en-US"/>
              </w:rPr>
            </w:pPr>
            <w:r w:rsidRPr="00965625">
              <w:rPr>
                <w:color w:val="auto"/>
                <w:szCs w:val="24"/>
                <w:lang w:val="en-US"/>
              </w:rPr>
              <w:t>F_ASFK_MBTCBS</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lang w:val="en-US"/>
              </w:rPr>
            </w:pPr>
            <w:r w:rsidRPr="00965625">
              <w:rPr>
                <w:color w:val="auto"/>
                <w:szCs w:val="24"/>
                <w:lang w:val="en-US"/>
              </w:rPr>
              <w:t>D_ASFK_GOALCODE_KBK</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lang w:val="en-US"/>
              </w:rPr>
            </w:pPr>
            <w:r w:rsidRPr="00965625">
              <w:rPr>
                <w:color w:val="auto"/>
                <w:szCs w:val="24"/>
                <w:lang w:val="en-US"/>
              </w:rPr>
              <w:t>D_FK_UFK</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lang w:val="en-US"/>
              </w:rPr>
            </w:pPr>
            <w:r w:rsidRPr="00965625">
              <w:rPr>
                <w:color w:val="auto"/>
                <w:szCs w:val="24"/>
                <w:lang w:val="en-US"/>
              </w:rPr>
              <w:t>D_ASFK_TOFK</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color w:val="auto"/>
                <w:szCs w:val="24"/>
                <w:lang w:val="en-US"/>
              </w:rPr>
            </w:pPr>
            <w:r w:rsidRPr="00965625">
              <w:rPr>
                <w:color w:val="auto"/>
                <w:szCs w:val="24"/>
                <w:lang w:val="en-US"/>
              </w:rPr>
              <w:t>D</w:t>
            </w:r>
            <w:r w:rsidRPr="00965625">
              <w:rPr>
                <w:color w:val="auto"/>
                <w:szCs w:val="24"/>
              </w:rPr>
              <w:t>_</w:t>
            </w:r>
            <w:r w:rsidRPr="00965625">
              <w:rPr>
                <w:color w:val="auto"/>
                <w:szCs w:val="24"/>
                <w:lang w:val="en-US"/>
              </w:rPr>
              <w:t>ASFK</w:t>
            </w:r>
            <w:r w:rsidRPr="00965625">
              <w:rPr>
                <w:color w:val="auto"/>
                <w:szCs w:val="24"/>
              </w:rPr>
              <w:t>_</w:t>
            </w:r>
            <w:r w:rsidRPr="00965625">
              <w:rPr>
                <w:color w:val="auto"/>
                <w:szCs w:val="24"/>
                <w:lang w:val="en-US"/>
              </w:rPr>
              <w:t>KVSR</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szCs w:val="24"/>
                <w:lang w:val="en-US"/>
              </w:rPr>
            </w:pPr>
            <w:r w:rsidRPr="00965625">
              <w:rPr>
                <w:szCs w:val="24"/>
                <w:lang w:val="en-US"/>
              </w:rPr>
              <w:t>D_KSPL_KVSR</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szCs w:val="24"/>
                <w:lang w:val="en-US"/>
              </w:rPr>
            </w:pPr>
            <w:r w:rsidRPr="00965625">
              <w:rPr>
                <w:szCs w:val="24"/>
                <w:lang w:val="en-US"/>
              </w:rPr>
              <w:t>D_ASFK_BUDGET</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szCs w:val="24"/>
                <w:lang w:val="en-US"/>
              </w:rPr>
            </w:pPr>
            <w:r w:rsidRPr="00965625">
              <w:rPr>
                <w:szCs w:val="24"/>
                <w:lang w:val="en-US"/>
              </w:rPr>
              <w:t>FX_ASFK_IND</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szCs w:val="24"/>
                <w:lang w:val="en-US"/>
              </w:rPr>
            </w:pPr>
            <w:r w:rsidRPr="00965625">
              <w:rPr>
                <w:szCs w:val="24"/>
                <w:lang w:val="en-US"/>
              </w:rPr>
              <w:t>FX_DATE_YEARDAYUNV</w:t>
            </w:r>
          </w:p>
        </w:tc>
      </w:tr>
      <w:tr w:rsidR="00DE2F9E" w:rsidRPr="00965625"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6624FE"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965625">
            <w:pPr>
              <w:snapToGrid w:val="0"/>
              <w:spacing w:line="276" w:lineRule="auto"/>
              <w:rPr>
                <w:szCs w:val="24"/>
                <w:lang w:val="en-US"/>
              </w:rPr>
            </w:pPr>
            <w:r w:rsidRPr="00965625">
              <w:rPr>
                <w:szCs w:val="24"/>
                <w:lang w:val="en-US"/>
              </w:rPr>
              <w:t>D_ASFK_GOALCODE</w:t>
            </w:r>
          </w:p>
        </w:tc>
      </w:tr>
      <w:tr w:rsidR="00DE2F9E" w:rsidRPr="00206C4C" w:rsidTr="00965625">
        <w:trPr>
          <w:trHeight w:val="20"/>
        </w:trPr>
        <w:tc>
          <w:tcPr>
            <w:tcW w:w="5000" w:type="pct"/>
            <w:gridSpan w:val="3"/>
            <w:tcBorders>
              <w:left w:val="single" w:sz="4" w:space="0" w:color="auto"/>
              <w:right w:val="single" w:sz="4" w:space="0" w:color="auto"/>
            </w:tcBorders>
            <w:vAlign w:val="center"/>
          </w:tcPr>
          <w:p w:rsidR="00DE2F9E" w:rsidRPr="00206C4C" w:rsidRDefault="00DE2F9E" w:rsidP="007E0165">
            <w:pPr>
              <w:snapToGrid w:val="0"/>
              <w:spacing w:line="276" w:lineRule="auto"/>
              <w:rPr>
                <w:szCs w:val="24"/>
              </w:rPr>
            </w:pPr>
            <w:r w:rsidRPr="00CA10BA">
              <w:rPr>
                <w:b/>
              </w:rPr>
              <w:t>Отчеты по ФАИП</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t>Мониторинг объектов капитального строительства в рамках реализации федеральной адресной инвестиционной программы</w:t>
            </w:r>
          </w:p>
        </w:tc>
        <w:tc>
          <w:tcPr>
            <w:tcW w:w="1303" w:type="pct"/>
            <w:vMerge w:val="restart"/>
            <w:tcBorders>
              <w:left w:val="single" w:sz="4" w:space="0" w:color="auto"/>
              <w:right w:val="single" w:sz="4" w:space="0" w:color="auto"/>
            </w:tcBorders>
            <w:vAlign w:val="center"/>
          </w:tcPr>
          <w:p w:rsidR="00DE2F9E" w:rsidRPr="00965625" w:rsidRDefault="00DE2F9E" w:rsidP="007E0165">
            <w:r w:rsidRPr="00965625">
              <w:t>PIAO_164_001_report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rPr>
            </w:pPr>
            <w:r w:rsidRPr="00965625">
              <w:rPr>
                <w:szCs w:val="28"/>
              </w:rPr>
              <w:t>F_FAIP_LBO</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t>F_FAIP_BO</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F_FAIP_BSMB</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F_FAIP_0506604</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F_FAIP_128</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rPr>
                <w:szCs w:val="24"/>
              </w:rPr>
              <w:t>D_NSI_FAIP</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rPr>
                <w:szCs w:val="24"/>
              </w:rPr>
              <w:t>D_KSPL_KVSR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t>D_KSPL_RZPR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D_KSPL_KCSR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rPr>
                <w:szCs w:val="24"/>
              </w:rPr>
              <w:t>D_KSPL_KVR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rPr>
            </w:pPr>
            <w:r w:rsidRPr="00965625">
              <w:rPr>
                <w:rFonts w:eastAsia="Calibri"/>
                <w:color w:val="auto"/>
                <w:szCs w:val="24"/>
                <w:lang w:val="en-US"/>
              </w:rPr>
              <w:t>F_FAIP_BSMB</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rFonts w:eastAsia="Calibri"/>
                <w:color w:val="auto"/>
                <w:szCs w:val="24"/>
                <w:lang w:val="en-US"/>
              </w:rPr>
            </w:pPr>
            <w:r w:rsidRPr="00965625">
              <w:rPr>
                <w:szCs w:val="24"/>
                <w:lang w:val="en-US"/>
              </w:rPr>
              <w:t>F</w:t>
            </w:r>
            <w:r w:rsidRPr="00965625">
              <w:rPr>
                <w:szCs w:val="24"/>
              </w:rPr>
              <w:t>_</w:t>
            </w:r>
            <w:r w:rsidRPr="00965625">
              <w:rPr>
                <w:szCs w:val="24"/>
                <w:lang w:val="en-US"/>
              </w:rPr>
              <w:t>INDNI</w:t>
            </w:r>
            <w:r w:rsidRPr="00965625">
              <w:rPr>
                <w:szCs w:val="24"/>
              </w:rPr>
              <w:t>_</w:t>
            </w:r>
            <w:r w:rsidRPr="00965625">
              <w:rPr>
                <w:szCs w:val="24"/>
                <w:lang w:val="en-US"/>
              </w:rPr>
              <w:t>RASHKASSAMO</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lang w:val="en-US"/>
              </w:rPr>
            </w:pPr>
            <w:r w:rsidRPr="00965625">
              <w:rPr>
                <w:lang w:val="en-US" w:eastAsia="en-US"/>
              </w:rPr>
              <w:t>F_RS_PLANTRANSFERSSUBT</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rPr>
                <w:rStyle w:val="wrf-favorite-card-cell-text-content"/>
              </w:rPr>
              <w:t>Мониторинг качества данных отчета по исполнению ФАИП и ОКС</w:t>
            </w:r>
          </w:p>
        </w:tc>
        <w:tc>
          <w:tcPr>
            <w:tcW w:w="1303" w:type="pct"/>
            <w:vMerge w:val="restart"/>
            <w:tcBorders>
              <w:left w:val="single" w:sz="4" w:space="0" w:color="auto"/>
              <w:right w:val="single" w:sz="4" w:space="0" w:color="auto"/>
            </w:tcBorders>
            <w:vAlign w:val="center"/>
          </w:tcPr>
          <w:p w:rsidR="00DE2F9E" w:rsidRPr="00965625" w:rsidRDefault="00DE2F9E" w:rsidP="007E0165">
            <w:r w:rsidRPr="00965625">
              <w:t>PIAO_164_003_report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rPr>
            </w:pPr>
            <w:r w:rsidRPr="00965625">
              <w:rPr>
                <w:szCs w:val="28"/>
              </w:rPr>
              <w:t>F_FAIP_LBO</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8"/>
              </w:rPr>
            </w:pPr>
            <w:r w:rsidRPr="00965625">
              <w:t>F_FAIP_BO</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F_FAIP_0506604</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t>F_FAIP_128</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pPr>
            <w:r w:rsidRPr="00965625">
              <w:rPr>
                <w:szCs w:val="24"/>
                <w:lang w:val="en-US"/>
              </w:rPr>
              <w:t>D</w:t>
            </w:r>
            <w:r w:rsidRPr="00965625">
              <w:rPr>
                <w:szCs w:val="24"/>
              </w:rPr>
              <w:t>_</w:t>
            </w:r>
            <w:r w:rsidRPr="00965625">
              <w:rPr>
                <w:szCs w:val="24"/>
                <w:lang w:val="en-US"/>
              </w:rPr>
              <w:t>NSI</w:t>
            </w:r>
            <w:r w:rsidRPr="00965625">
              <w:rPr>
                <w:szCs w:val="24"/>
              </w:rPr>
              <w:t>_</w:t>
            </w:r>
            <w:r w:rsidRPr="00965625">
              <w:rPr>
                <w:szCs w:val="24"/>
                <w:lang w:val="en-US"/>
              </w:rPr>
              <w:t>FAIP</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lang w:val="en-US"/>
              </w:rPr>
            </w:pPr>
            <w:r w:rsidRPr="00965625">
              <w:rPr>
                <w:szCs w:val="24"/>
              </w:rPr>
              <w:t>D_KSPL_KVSR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Pr="00965625"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965625" w:rsidRDefault="00DE2F9E" w:rsidP="007E0165">
            <w:pPr>
              <w:snapToGrid w:val="0"/>
              <w:spacing w:line="276" w:lineRule="auto"/>
              <w:rPr>
                <w:szCs w:val="24"/>
              </w:rPr>
            </w:pPr>
            <w:r w:rsidRPr="00965625">
              <w:rPr>
                <w:szCs w:val="24"/>
              </w:rPr>
              <w:t>D_KSPL_RZPR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B152B6" w:rsidRDefault="00DE2F9E" w:rsidP="007E0165">
            <w:pPr>
              <w:snapToGrid w:val="0"/>
              <w:spacing w:line="276" w:lineRule="auto"/>
              <w:rPr>
                <w:szCs w:val="24"/>
              </w:rPr>
            </w:pPr>
            <w:r w:rsidRPr="00B152B6">
              <w:rPr>
                <w:szCs w:val="24"/>
              </w:rPr>
              <w:t>D_KSPL_KCSR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B152B6" w:rsidRDefault="00DE2F9E" w:rsidP="007E0165">
            <w:pPr>
              <w:snapToGrid w:val="0"/>
              <w:spacing w:line="276" w:lineRule="auto"/>
              <w:rPr>
                <w:szCs w:val="24"/>
              </w:rPr>
            </w:pPr>
            <w:r w:rsidRPr="00B152B6">
              <w:rPr>
                <w:szCs w:val="24"/>
              </w:rPr>
              <w:t>D_KSPL_KVR</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B152B6" w:rsidRDefault="00DE2F9E" w:rsidP="007E0165">
            <w:pPr>
              <w:snapToGrid w:val="0"/>
              <w:spacing w:line="276" w:lineRule="auto"/>
              <w:rPr>
                <w:szCs w:val="24"/>
              </w:rPr>
            </w:pPr>
            <w:r w:rsidRPr="00B152B6">
              <w:rPr>
                <w:szCs w:val="24"/>
                <w:lang w:val="en-US"/>
              </w:rPr>
              <w:t>T_PIAO_BODOTEST_KBK</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pPr>
              <w:rPr>
                <w:rStyle w:val="wrf-favorite-card-cell-text-content"/>
              </w:rPr>
            </w:pPr>
          </w:p>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B152B6" w:rsidRDefault="00DE2F9E" w:rsidP="007E0165">
            <w:pPr>
              <w:snapToGrid w:val="0"/>
              <w:spacing w:line="276" w:lineRule="auto"/>
              <w:rPr>
                <w:szCs w:val="24"/>
                <w:lang w:val="en-US"/>
              </w:rPr>
            </w:pPr>
            <w:r w:rsidRPr="00B152B6">
              <w:rPr>
                <w:szCs w:val="24"/>
              </w:rPr>
              <w:t>D_FK_UFK</w:t>
            </w:r>
          </w:p>
        </w:tc>
      </w:tr>
      <w:tr w:rsidR="00DE2F9E" w:rsidRPr="00206C4C" w:rsidTr="00965625">
        <w:trPr>
          <w:trHeight w:val="20"/>
        </w:trPr>
        <w:tc>
          <w:tcPr>
            <w:tcW w:w="5000" w:type="pct"/>
            <w:gridSpan w:val="3"/>
            <w:tcBorders>
              <w:left w:val="single" w:sz="4" w:space="0" w:color="auto"/>
              <w:right w:val="single" w:sz="4" w:space="0" w:color="auto"/>
            </w:tcBorders>
            <w:vAlign w:val="center"/>
          </w:tcPr>
          <w:p w:rsidR="00DE2F9E" w:rsidRPr="00206C4C" w:rsidRDefault="00DE2F9E" w:rsidP="007E0165">
            <w:pPr>
              <w:snapToGrid w:val="0"/>
              <w:spacing w:line="276" w:lineRule="auto"/>
              <w:rPr>
                <w:szCs w:val="24"/>
              </w:rPr>
            </w:pPr>
            <w:r w:rsidRPr="00FD3A33">
              <w:rPr>
                <w:b/>
              </w:rPr>
              <w:t>Справочная информация</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rsidRPr="00206C4C">
              <w:t>Справочная макроэкономическая информация</w:t>
            </w:r>
          </w:p>
        </w:tc>
        <w:tc>
          <w:tcPr>
            <w:tcW w:w="1303" w:type="pct"/>
            <w:tcBorders>
              <w:left w:val="single" w:sz="4" w:space="0" w:color="auto"/>
              <w:right w:val="single" w:sz="4" w:space="0" w:color="auto"/>
            </w:tcBorders>
            <w:vAlign w:val="center"/>
          </w:tcPr>
          <w:p w:rsidR="00DE2F9E" w:rsidRPr="00206C4C" w:rsidRDefault="00DE2F9E" w:rsidP="007E0165">
            <w:r w:rsidRPr="00206C4C">
              <w:t>PIAO_144_001_report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r w:rsidRPr="00206C4C">
              <w:t>F_FK_INFECONMACR</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rsidRPr="00206C4C">
              <w:t>Поступление ввозных таможенных и других пошлин в рамках ЕВРАЗЭС</w:t>
            </w:r>
          </w:p>
        </w:tc>
        <w:tc>
          <w:tcPr>
            <w:tcW w:w="1303" w:type="pct"/>
            <w:tcBorders>
              <w:left w:val="single" w:sz="4" w:space="0" w:color="auto"/>
              <w:right w:val="single" w:sz="4" w:space="0" w:color="auto"/>
            </w:tcBorders>
            <w:vAlign w:val="center"/>
          </w:tcPr>
          <w:p w:rsidR="00DE2F9E" w:rsidRPr="00206C4C" w:rsidRDefault="00DE2F9E" w:rsidP="007E0165">
            <w:r w:rsidRPr="00206C4C">
              <w:t>PIAO_143_001_report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r w:rsidRPr="00206C4C">
              <w:t>F_FK_EAEUDUES</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rsidRPr="00206C4C">
              <w:t>Остатки средств на счетах Банка России и в кредитных организациях</w:t>
            </w:r>
          </w:p>
        </w:tc>
        <w:tc>
          <w:tcPr>
            <w:tcW w:w="1303" w:type="pct"/>
            <w:tcBorders>
              <w:left w:val="single" w:sz="4" w:space="0" w:color="auto"/>
              <w:right w:val="single" w:sz="4" w:space="0" w:color="auto"/>
            </w:tcBorders>
            <w:vAlign w:val="center"/>
          </w:tcPr>
          <w:p w:rsidR="00DE2F9E" w:rsidRPr="00206C4C" w:rsidRDefault="00DE2F9E" w:rsidP="007E0165">
            <w:r w:rsidRPr="00206C4C">
              <w:t>PIAO_112_001_report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r w:rsidRPr="00206C4C">
              <w:t>F_FK_BALANCESBANK</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Pr="00206C4C" w:rsidRDefault="00DE2F9E" w:rsidP="007E0165">
            <w:r>
              <w:t>Структура ликвидности на счетах федерального казначейства</w:t>
            </w:r>
          </w:p>
        </w:tc>
        <w:tc>
          <w:tcPr>
            <w:tcW w:w="1303" w:type="pct"/>
            <w:vMerge w:val="restart"/>
            <w:tcBorders>
              <w:left w:val="single" w:sz="4" w:space="0" w:color="auto"/>
              <w:right w:val="single" w:sz="4" w:space="0" w:color="auto"/>
            </w:tcBorders>
            <w:vAlign w:val="center"/>
          </w:tcPr>
          <w:p w:rsidR="00DE2F9E" w:rsidRPr="00206C4C" w:rsidRDefault="00DE2F9E" w:rsidP="007E0165">
            <w:r>
              <w:t>PIAO_113_001_report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r w:rsidRPr="00206C4C">
              <w:rPr>
                <w:lang w:val="en-US"/>
              </w:rPr>
              <w:t>F_FK_BALANSFK</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r w:rsidRPr="00206C4C">
              <w:rPr>
                <w:lang w:val="en-US"/>
              </w:rPr>
              <w:t>F_FK_CASHACCOUNTS</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rsidRPr="00206C4C">
              <w:t>Фонд национального благосостояния</w:t>
            </w:r>
          </w:p>
        </w:tc>
        <w:tc>
          <w:tcPr>
            <w:tcW w:w="1303" w:type="pct"/>
            <w:tcBorders>
              <w:left w:val="single" w:sz="4" w:space="0" w:color="auto"/>
              <w:right w:val="single" w:sz="4" w:space="0" w:color="auto"/>
            </w:tcBorders>
            <w:vAlign w:val="center"/>
          </w:tcPr>
          <w:p w:rsidR="00DE2F9E" w:rsidRPr="00206C4C" w:rsidRDefault="00DE2F9E" w:rsidP="007E0165">
            <w:r w:rsidRPr="00206C4C">
              <w:t>PIAO_126_001_report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pPr>
              <w:rPr>
                <w:lang w:val="en-US"/>
              </w:rPr>
            </w:pPr>
            <w:r w:rsidRPr="00206C4C">
              <w:rPr>
                <w:lang w:val="en-US"/>
              </w:rPr>
              <w:t>F_FK_BALANCESRFFNB</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Pr="006624FE" w:rsidRDefault="00DE2F9E" w:rsidP="007E0165">
            <w:pPr>
              <w:rPr>
                <w:color w:val="auto"/>
              </w:rPr>
            </w:pPr>
            <w:r w:rsidRPr="006624FE">
              <w:rPr>
                <w:color w:val="auto"/>
              </w:rPr>
              <w:t>Обзор исполнения федерального бюджета по главным администраторам средств федерального бюджета</w:t>
            </w:r>
          </w:p>
        </w:tc>
        <w:tc>
          <w:tcPr>
            <w:tcW w:w="1303" w:type="pct"/>
            <w:vMerge w:val="restart"/>
            <w:tcBorders>
              <w:left w:val="single" w:sz="4" w:space="0" w:color="auto"/>
              <w:right w:val="single" w:sz="4" w:space="0" w:color="auto"/>
            </w:tcBorders>
            <w:vAlign w:val="center"/>
          </w:tcPr>
          <w:p w:rsidR="00DE2F9E" w:rsidRPr="006624FE" w:rsidRDefault="00DE2F9E" w:rsidP="007E0165">
            <w:pPr>
              <w:rPr>
                <w:color w:val="auto"/>
              </w:rPr>
            </w:pPr>
            <w:r w:rsidRPr="006624FE">
              <w:rPr>
                <w:color w:val="auto"/>
              </w:rPr>
              <w:t>PIAO_156_000</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rPr>
            </w:pPr>
            <w:r w:rsidRPr="006624FE">
              <w:rPr>
                <w:color w:val="auto"/>
                <w:lang w:val="en-US"/>
              </w:rPr>
              <w:t>D_KSPL_KCSR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D_KSPL_KD</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D_KSPL_KIF</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D_KSPL_KVR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D_KSPL_KVSR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w:t>
            </w:r>
            <w:r w:rsidRPr="006624FE">
              <w:rPr>
                <w:color w:val="auto"/>
              </w:rPr>
              <w:t>_</w:t>
            </w:r>
            <w:r w:rsidRPr="006624FE">
              <w:rPr>
                <w:color w:val="auto"/>
                <w:lang w:val="en-US"/>
              </w:rPr>
              <w:t>KSPL</w:t>
            </w:r>
            <w:r w:rsidRPr="006624FE">
              <w:rPr>
                <w:color w:val="auto"/>
              </w:rPr>
              <w:t>_</w:t>
            </w:r>
            <w:r w:rsidRPr="006624FE">
              <w:rPr>
                <w:color w:val="auto"/>
                <w:lang w:val="en-US"/>
              </w:rPr>
              <w:t>RZPR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D_GKFB_MRK</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F_GKFB_I</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F_GKFB_O</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F_GKFB_O_REPORT</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F</w:t>
            </w:r>
            <w:r w:rsidRPr="006624FE">
              <w:rPr>
                <w:color w:val="auto"/>
              </w:rPr>
              <w:t>_</w:t>
            </w:r>
            <w:r w:rsidRPr="006624FE">
              <w:rPr>
                <w:color w:val="auto"/>
                <w:lang w:val="en-US"/>
              </w:rPr>
              <w:t>GKFB</w:t>
            </w:r>
            <w:r w:rsidRPr="006624FE">
              <w:rPr>
                <w:color w:val="auto"/>
              </w:rPr>
              <w:t>_</w:t>
            </w:r>
            <w:r w:rsidRPr="006624FE">
              <w:rPr>
                <w:color w:val="auto"/>
                <w:lang w:val="en-US"/>
              </w:rPr>
              <w:t>RZPR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303" w:type="pct"/>
            <w:vMerge/>
            <w:tcBorders>
              <w:left w:val="single" w:sz="4" w:space="0" w:color="auto"/>
              <w:right w:val="single" w:sz="4" w:space="0" w:color="auto"/>
            </w:tcBorders>
            <w:vAlign w:val="center"/>
          </w:tcPr>
          <w:p w:rsidR="00DE2F9E" w:rsidRPr="006624FE" w:rsidRDefault="00DE2F9E" w:rsidP="007E0165">
            <w:pPr>
              <w:rPr>
                <w:color w:val="auto"/>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color w:val="auto"/>
                <w:lang w:val="en-US"/>
              </w:rPr>
            </w:pPr>
            <w:r w:rsidRPr="006624FE">
              <w:rPr>
                <w:color w:val="auto"/>
                <w:lang w:val="en-US"/>
              </w:rPr>
              <w:t>F_GKFB_KVR</w:t>
            </w:r>
          </w:p>
        </w:tc>
      </w:tr>
      <w:tr w:rsidR="00DE2F9E" w:rsidRPr="006624FE" w:rsidTr="00965625">
        <w:trPr>
          <w:trHeight w:val="20"/>
        </w:trPr>
        <w:tc>
          <w:tcPr>
            <w:tcW w:w="2174" w:type="pct"/>
            <w:vMerge/>
            <w:tcBorders>
              <w:left w:val="single" w:sz="4" w:space="0" w:color="auto"/>
              <w:right w:val="single" w:sz="4" w:space="0" w:color="auto"/>
            </w:tcBorders>
            <w:vAlign w:val="center"/>
          </w:tcPr>
          <w:p w:rsidR="00DE2F9E" w:rsidRPr="00562B8F" w:rsidRDefault="00DE2F9E" w:rsidP="007E0165">
            <w:pPr>
              <w:rPr>
                <w:color w:val="FF0000"/>
              </w:rPr>
            </w:pPr>
          </w:p>
        </w:tc>
        <w:tc>
          <w:tcPr>
            <w:tcW w:w="1303" w:type="pct"/>
            <w:vMerge/>
            <w:tcBorders>
              <w:left w:val="single" w:sz="4" w:space="0" w:color="auto"/>
              <w:right w:val="single" w:sz="4" w:space="0" w:color="auto"/>
            </w:tcBorders>
            <w:vAlign w:val="center"/>
          </w:tcPr>
          <w:p w:rsidR="00DE2F9E" w:rsidRPr="00562B8F" w:rsidRDefault="00DE2F9E" w:rsidP="007E0165">
            <w:pPr>
              <w:rPr>
                <w:color w:val="FF0000"/>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624FE" w:rsidRDefault="00DE2F9E" w:rsidP="006624FE">
            <w:pPr>
              <w:rPr>
                <w:lang w:val="en-US"/>
              </w:rPr>
            </w:pPr>
            <w:r w:rsidRPr="006624FE">
              <w:rPr>
                <w:lang w:val="en-US"/>
              </w:rPr>
              <w:t>F_GKFB_S</w:t>
            </w:r>
          </w:p>
        </w:tc>
      </w:tr>
      <w:tr w:rsidR="00DE2F9E" w:rsidRPr="00206C4C" w:rsidTr="00965625">
        <w:trPr>
          <w:trHeight w:val="20"/>
        </w:trPr>
        <w:tc>
          <w:tcPr>
            <w:tcW w:w="2174" w:type="pct"/>
            <w:tcBorders>
              <w:left w:val="single" w:sz="4" w:space="0" w:color="auto"/>
              <w:right w:val="single" w:sz="4" w:space="0" w:color="auto"/>
            </w:tcBorders>
            <w:vAlign w:val="center"/>
          </w:tcPr>
          <w:p w:rsidR="00DE2F9E" w:rsidRPr="00206C4C" w:rsidRDefault="00DE2F9E" w:rsidP="007E0165">
            <w:r>
              <w:t>Базовые и ключевые показатели исполнения бюджетов бюджетной системы РФ</w:t>
            </w:r>
          </w:p>
        </w:tc>
        <w:tc>
          <w:tcPr>
            <w:tcW w:w="1303" w:type="pct"/>
            <w:tcBorders>
              <w:left w:val="single" w:sz="4" w:space="0" w:color="auto"/>
              <w:right w:val="single" w:sz="4" w:space="0" w:color="auto"/>
            </w:tcBorders>
            <w:vAlign w:val="center"/>
          </w:tcPr>
          <w:p w:rsidR="00DE2F9E" w:rsidRPr="00206C4C" w:rsidRDefault="00DE2F9E" w:rsidP="007E0165">
            <w:r>
              <w:t>PIAO_175_001_report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Default="00DE2F9E" w:rsidP="007E0165">
            <w:pPr>
              <w:rPr>
                <w:lang w:val="en-US"/>
              </w:rPr>
            </w:pPr>
            <w:r w:rsidRPr="00343668">
              <w:rPr>
                <w:lang w:val="en-US"/>
              </w:rPr>
              <w:t>F_INDNI_DOHKASSA</w:t>
            </w:r>
          </w:p>
          <w:p w:rsidR="00DE2F9E" w:rsidRDefault="00DE2F9E" w:rsidP="007E0165">
            <w:pPr>
              <w:rPr>
                <w:lang w:val="en-US"/>
              </w:rPr>
            </w:pPr>
            <w:r w:rsidRPr="00890DD0">
              <w:rPr>
                <w:lang w:val="en-US"/>
              </w:rPr>
              <w:t>F_INDNI_RASHKASSAFB</w:t>
            </w:r>
          </w:p>
          <w:p w:rsidR="00DE2F9E" w:rsidRPr="00890DD0" w:rsidRDefault="00DE2F9E" w:rsidP="007E0165">
            <w:pPr>
              <w:rPr>
                <w:lang w:val="en-US"/>
              </w:rPr>
            </w:pPr>
            <w:r w:rsidRPr="00890DD0">
              <w:rPr>
                <w:lang w:val="en-US"/>
              </w:rPr>
              <w:t>F_INDNI_RASHKASSAMO</w:t>
            </w:r>
          </w:p>
        </w:tc>
      </w:tr>
      <w:tr w:rsidR="00DE2F9E" w:rsidRPr="00991B9F" w:rsidTr="00965625">
        <w:trPr>
          <w:trHeight w:val="20"/>
        </w:trPr>
        <w:tc>
          <w:tcPr>
            <w:tcW w:w="2174" w:type="pct"/>
            <w:tcBorders>
              <w:left w:val="single" w:sz="4" w:space="0" w:color="auto"/>
              <w:right w:val="single" w:sz="4" w:space="0" w:color="auto"/>
            </w:tcBorders>
            <w:vAlign w:val="center"/>
          </w:tcPr>
          <w:p w:rsidR="00DE2F9E" w:rsidRDefault="00DE2F9E" w:rsidP="007E0165">
            <w:pPr>
              <w:jc w:val="left"/>
            </w:pPr>
            <w:r w:rsidRPr="00C81784">
              <w:rPr>
                <w:snapToGrid/>
                <w:color w:val="auto"/>
                <w:szCs w:val="24"/>
              </w:rPr>
              <w:t>Кассовый расход в разрезе бюджетов муниципальных образований, входящих в Арктическую зону</w:t>
            </w:r>
          </w:p>
        </w:tc>
        <w:tc>
          <w:tcPr>
            <w:tcW w:w="1303" w:type="pct"/>
            <w:tcBorders>
              <w:left w:val="single" w:sz="4" w:space="0" w:color="auto"/>
              <w:right w:val="single" w:sz="4" w:space="0" w:color="auto"/>
            </w:tcBorders>
            <w:vAlign w:val="center"/>
          </w:tcPr>
          <w:p w:rsidR="00DE2F9E" w:rsidRDefault="00DE2F9E" w:rsidP="007E0165">
            <w:r>
              <w:t>PIAO_177_001_report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Default="00DE2F9E" w:rsidP="007E0165">
            <w:pPr>
              <w:snapToGrid w:val="0"/>
              <w:spacing w:line="276" w:lineRule="auto"/>
              <w:rPr>
                <w:szCs w:val="24"/>
                <w:lang w:val="en-US"/>
              </w:rPr>
            </w:pPr>
            <w:r w:rsidRPr="00343668">
              <w:rPr>
                <w:szCs w:val="24"/>
                <w:lang w:val="en-US"/>
              </w:rPr>
              <w:t>F_INDNI_RASHKASSAMO</w:t>
            </w:r>
          </w:p>
          <w:p w:rsidR="00DE2F9E" w:rsidRPr="00890DD0" w:rsidRDefault="00DE2F9E" w:rsidP="007E0165">
            <w:pPr>
              <w:snapToGrid w:val="0"/>
              <w:spacing w:line="276" w:lineRule="auto"/>
              <w:rPr>
                <w:szCs w:val="24"/>
                <w:lang w:val="en-US"/>
              </w:rPr>
            </w:pPr>
            <w:r w:rsidRPr="00890DD0">
              <w:rPr>
                <w:szCs w:val="24"/>
                <w:lang w:val="en-US"/>
              </w:rPr>
              <w:t>F_INDNI_RASH_KASSA_BU</w:t>
            </w:r>
          </w:p>
        </w:tc>
      </w:tr>
      <w:tr w:rsidR="00DE2F9E" w:rsidRPr="00206C4C"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r>
              <w:t>Информация об остатках средств на казначейских счетах, открытых органам Федерального казначейства</w:t>
            </w:r>
          </w:p>
        </w:tc>
        <w:tc>
          <w:tcPr>
            <w:tcW w:w="1303" w:type="pct"/>
            <w:vMerge w:val="restart"/>
            <w:tcBorders>
              <w:left w:val="single" w:sz="4" w:space="0" w:color="auto"/>
              <w:right w:val="single" w:sz="4" w:space="0" w:color="auto"/>
            </w:tcBorders>
            <w:vAlign w:val="center"/>
          </w:tcPr>
          <w:p w:rsidR="00DE2F9E" w:rsidRDefault="00DE2F9E" w:rsidP="007E0165">
            <w:r>
              <w:t>PIAO_112_100_report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206C4C" w:rsidRDefault="00DE2F9E" w:rsidP="007E0165">
            <w:pPr>
              <w:snapToGrid w:val="0"/>
              <w:spacing w:line="276" w:lineRule="auto"/>
              <w:rPr>
                <w:szCs w:val="24"/>
              </w:rPr>
            </w:pPr>
            <w:r w:rsidRPr="00890DD0">
              <w:rPr>
                <w:szCs w:val="24"/>
              </w:rPr>
              <w:t>F_BO_OBALANCESKP</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890DD0" w:rsidRDefault="00DE2F9E" w:rsidP="007E0165">
            <w:pPr>
              <w:snapToGrid w:val="0"/>
              <w:spacing w:line="276" w:lineRule="auto"/>
              <w:rPr>
                <w:szCs w:val="24"/>
              </w:rPr>
            </w:pPr>
            <w:r w:rsidRPr="00890DD0">
              <w:rPr>
                <w:szCs w:val="24"/>
              </w:rPr>
              <w:t>D_BO_MROBALSKP</w:t>
            </w:r>
          </w:p>
        </w:tc>
      </w:tr>
      <w:tr w:rsidR="00DE2F9E" w:rsidRPr="00206C4C" w:rsidTr="00965625">
        <w:trPr>
          <w:trHeight w:val="20"/>
        </w:trPr>
        <w:tc>
          <w:tcPr>
            <w:tcW w:w="2174" w:type="pct"/>
            <w:vMerge/>
            <w:tcBorders>
              <w:left w:val="single" w:sz="4" w:space="0" w:color="auto"/>
              <w:right w:val="single" w:sz="4" w:space="0" w:color="auto"/>
            </w:tcBorders>
            <w:vAlign w:val="center"/>
          </w:tcPr>
          <w:p w:rsidR="00DE2F9E" w:rsidRDefault="00DE2F9E" w:rsidP="007E0165"/>
        </w:tc>
        <w:tc>
          <w:tcPr>
            <w:tcW w:w="1303" w:type="pct"/>
            <w:vMerge/>
            <w:tcBorders>
              <w:left w:val="single" w:sz="4" w:space="0" w:color="auto"/>
              <w:right w:val="single" w:sz="4" w:space="0" w:color="auto"/>
            </w:tcBorders>
            <w:vAlign w:val="center"/>
          </w:tcPr>
          <w:p w:rsidR="00DE2F9E" w:rsidRDefault="00DE2F9E" w:rsidP="007E0165"/>
        </w:tc>
        <w:tc>
          <w:tcPr>
            <w:tcW w:w="1523" w:type="pct"/>
            <w:tcBorders>
              <w:top w:val="single" w:sz="4" w:space="0" w:color="auto"/>
              <w:left w:val="single" w:sz="4" w:space="0" w:color="auto"/>
              <w:bottom w:val="single" w:sz="4" w:space="0" w:color="auto"/>
              <w:right w:val="single" w:sz="4" w:space="0" w:color="auto"/>
            </w:tcBorders>
            <w:vAlign w:val="center"/>
          </w:tcPr>
          <w:p w:rsidR="00DE2F9E" w:rsidRPr="00890DD0" w:rsidRDefault="00DE2F9E" w:rsidP="007E0165">
            <w:pPr>
              <w:snapToGrid w:val="0"/>
              <w:spacing w:line="276" w:lineRule="auto"/>
              <w:rPr>
                <w:szCs w:val="24"/>
              </w:rPr>
            </w:pPr>
            <w:r w:rsidRPr="00890DD0">
              <w:t>D_FK_BALANSFK</w:t>
            </w:r>
          </w:p>
        </w:tc>
      </w:tr>
      <w:tr w:rsidR="00DE2F9E" w:rsidRPr="00206C4C" w:rsidTr="00965625">
        <w:trPr>
          <w:trHeight w:val="20"/>
        </w:trPr>
        <w:tc>
          <w:tcPr>
            <w:tcW w:w="5000" w:type="pct"/>
            <w:gridSpan w:val="3"/>
            <w:tcBorders>
              <w:left w:val="single" w:sz="4" w:space="0" w:color="auto"/>
              <w:right w:val="single" w:sz="4" w:space="0" w:color="auto"/>
            </w:tcBorders>
            <w:vAlign w:val="center"/>
          </w:tcPr>
          <w:p w:rsidR="00DE2F9E" w:rsidRPr="00206C4C" w:rsidRDefault="00DE2F9E" w:rsidP="007E0165">
            <w:pPr>
              <w:snapToGrid w:val="0"/>
              <w:spacing w:line="276" w:lineRule="auto"/>
              <w:rPr>
                <w:szCs w:val="24"/>
              </w:rPr>
            </w:pPr>
            <w:r w:rsidRPr="00FD3A33">
              <w:rPr>
                <w:b/>
              </w:rPr>
              <w:t>Горячее питание</w:t>
            </w:r>
          </w:p>
        </w:tc>
      </w:tr>
      <w:tr w:rsidR="00DE2F9E" w:rsidRPr="00991B9F" w:rsidTr="00965625">
        <w:trPr>
          <w:trHeight w:val="20"/>
        </w:trPr>
        <w:tc>
          <w:tcPr>
            <w:tcW w:w="2174" w:type="pct"/>
            <w:vMerge w:val="restart"/>
            <w:tcBorders>
              <w:left w:val="single" w:sz="4" w:space="0" w:color="auto"/>
              <w:right w:val="single" w:sz="4" w:space="0" w:color="auto"/>
            </w:tcBorders>
            <w:vAlign w:val="center"/>
          </w:tcPr>
          <w:p w:rsidR="00DE2F9E" w:rsidRDefault="00DE2F9E" w:rsidP="007E0165">
            <w:pPr>
              <w:jc w:val="left"/>
            </w:pPr>
            <w:r w:rsidRPr="00FD3A33">
              <w:rPr>
                <w:snapToGrid/>
                <w:color w:val="auto"/>
                <w:szCs w:val="24"/>
              </w:rPr>
              <w:t>Мониторинг обеспечения школьников начальных классов горячим питанием</w:t>
            </w:r>
          </w:p>
        </w:tc>
        <w:tc>
          <w:tcPr>
            <w:tcW w:w="1303" w:type="pct"/>
            <w:vMerge w:val="restart"/>
            <w:tcBorders>
              <w:left w:val="single" w:sz="4" w:space="0" w:color="auto"/>
              <w:right w:val="single" w:sz="4" w:space="0" w:color="auto"/>
            </w:tcBorders>
            <w:vAlign w:val="center"/>
          </w:tcPr>
          <w:p w:rsidR="00DE2F9E" w:rsidRDefault="00DE2F9E" w:rsidP="007E0165">
            <w:r>
              <w:t>PIAO_168_001_report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 xml:space="preserve">T_PIAO_HOTMEAL_MO_UPDATE_2021 </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T_PIAO_HOTMEAL_UPDATE_2021</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T_PIAO_HOTMEAL_UPDATE</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T_PIAO_HOTMEAL_MO</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T_PIAO_HOTMEAL_MAIN</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T_PIAO_HOTMEAL_MO_2021</w:t>
            </w:r>
          </w:p>
        </w:tc>
      </w:tr>
      <w:tr w:rsidR="00DE2F9E" w:rsidRPr="006D18EC" w:rsidTr="00965625">
        <w:trPr>
          <w:trHeight w:val="20"/>
        </w:trPr>
        <w:tc>
          <w:tcPr>
            <w:tcW w:w="2174" w:type="pct"/>
            <w:vMerge/>
            <w:tcBorders>
              <w:left w:val="single" w:sz="4" w:space="0" w:color="auto"/>
              <w:right w:val="single" w:sz="4" w:space="0" w:color="auto"/>
            </w:tcBorders>
            <w:vAlign w:val="center"/>
          </w:tcPr>
          <w:p w:rsidR="00DE2F9E" w:rsidRPr="006D18EC" w:rsidRDefault="00DE2F9E" w:rsidP="007E0165">
            <w:pPr>
              <w:jc w:val="left"/>
              <w:rPr>
                <w:snapToGrid/>
                <w:color w:val="auto"/>
                <w:szCs w:val="24"/>
                <w:lang w:val="en-US"/>
              </w:rPr>
            </w:pPr>
          </w:p>
        </w:tc>
        <w:tc>
          <w:tcPr>
            <w:tcW w:w="1303" w:type="pct"/>
            <w:vMerge/>
            <w:tcBorders>
              <w:left w:val="single" w:sz="4" w:space="0" w:color="auto"/>
              <w:right w:val="single" w:sz="4" w:space="0" w:color="auto"/>
            </w:tcBorders>
            <w:vAlign w:val="center"/>
          </w:tcPr>
          <w:p w:rsidR="00DE2F9E" w:rsidRPr="006D18EC" w:rsidRDefault="00DE2F9E" w:rsidP="007E0165">
            <w:pPr>
              <w:rPr>
                <w:lang w:val="en-US"/>
              </w:rPr>
            </w:pP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6D18EC" w:rsidRDefault="00DE2F9E" w:rsidP="007E0165">
            <w:pPr>
              <w:snapToGrid w:val="0"/>
              <w:spacing w:line="276" w:lineRule="auto"/>
              <w:rPr>
                <w:szCs w:val="24"/>
                <w:lang w:val="en-US"/>
              </w:rPr>
            </w:pPr>
            <w:r w:rsidRPr="006D18EC">
              <w:rPr>
                <w:szCs w:val="24"/>
                <w:lang w:val="en-US"/>
              </w:rPr>
              <w:t>T_PIAO_HOTMEAL_MAIN_2021</w:t>
            </w:r>
          </w:p>
        </w:tc>
      </w:tr>
      <w:tr w:rsidR="00DE2F9E" w:rsidRPr="006D18EC" w:rsidTr="007C30CD">
        <w:trPr>
          <w:trHeight w:val="20"/>
        </w:trPr>
        <w:tc>
          <w:tcPr>
            <w:tcW w:w="5000" w:type="pct"/>
            <w:gridSpan w:val="3"/>
            <w:tcBorders>
              <w:left w:val="single" w:sz="4" w:space="0" w:color="auto"/>
              <w:right w:val="single" w:sz="4" w:space="0" w:color="auto"/>
            </w:tcBorders>
            <w:vAlign w:val="center"/>
          </w:tcPr>
          <w:p w:rsidR="00DE2F9E" w:rsidRPr="007C30CD" w:rsidRDefault="00DE2F9E" w:rsidP="007E0165">
            <w:pPr>
              <w:snapToGrid w:val="0"/>
              <w:spacing w:line="276" w:lineRule="auto"/>
              <w:rPr>
                <w:szCs w:val="24"/>
              </w:rPr>
            </w:pPr>
            <w:r w:rsidRPr="007C30CD">
              <w:rPr>
                <w:b/>
              </w:rPr>
              <w:t>Мониторинг мер поддержки в условиях распространения COVID-19</w:t>
            </w:r>
          </w:p>
        </w:tc>
      </w:tr>
      <w:tr w:rsidR="00DE2F9E" w:rsidRPr="006D18EC" w:rsidTr="00965625">
        <w:trPr>
          <w:trHeight w:val="20"/>
        </w:trPr>
        <w:tc>
          <w:tcPr>
            <w:tcW w:w="2174" w:type="pct"/>
            <w:tcBorders>
              <w:left w:val="single" w:sz="4" w:space="0" w:color="auto"/>
              <w:right w:val="single" w:sz="4" w:space="0" w:color="auto"/>
            </w:tcBorders>
            <w:vAlign w:val="center"/>
          </w:tcPr>
          <w:p w:rsidR="00DE2F9E" w:rsidRPr="00012B75" w:rsidRDefault="00DE2F9E" w:rsidP="007E0165">
            <w:pPr>
              <w:jc w:val="left"/>
            </w:pPr>
            <w:r w:rsidRPr="00012B75">
              <w:t>Дотации бюджетам субъектов РФ согласно РП РФ от 29.10.2020 № 2804-р</w:t>
            </w:r>
          </w:p>
        </w:tc>
        <w:tc>
          <w:tcPr>
            <w:tcW w:w="1303" w:type="pct"/>
            <w:tcBorders>
              <w:left w:val="single" w:sz="4" w:space="0" w:color="auto"/>
              <w:right w:val="single" w:sz="4" w:space="0" w:color="auto"/>
            </w:tcBorders>
            <w:vAlign w:val="center"/>
          </w:tcPr>
          <w:p w:rsidR="00DE2F9E" w:rsidRDefault="00DE2F9E" w:rsidP="00012B75">
            <w:r>
              <w:t>PIAO_165_066_report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012B75" w:rsidRDefault="009E01D3" w:rsidP="007E0165">
            <w:pPr>
              <w:snapToGrid w:val="0"/>
              <w:spacing w:line="276" w:lineRule="auto"/>
              <w:rPr>
                <w:szCs w:val="24"/>
              </w:rPr>
            </w:pPr>
            <w:r w:rsidRPr="009E01D3">
              <w:rPr>
                <w:szCs w:val="24"/>
              </w:rPr>
              <w:t>T_PIAO_Minzdrav_NOVEMBER</w:t>
            </w:r>
          </w:p>
        </w:tc>
      </w:tr>
      <w:tr w:rsidR="00DE2F9E" w:rsidRPr="006D18EC" w:rsidTr="00965625">
        <w:trPr>
          <w:trHeight w:val="20"/>
        </w:trPr>
        <w:tc>
          <w:tcPr>
            <w:tcW w:w="2174" w:type="pct"/>
            <w:tcBorders>
              <w:left w:val="single" w:sz="4" w:space="0" w:color="auto"/>
              <w:right w:val="single" w:sz="4" w:space="0" w:color="auto"/>
            </w:tcBorders>
            <w:vAlign w:val="center"/>
          </w:tcPr>
          <w:p w:rsidR="00DE2F9E" w:rsidRPr="00012B75" w:rsidRDefault="00DE2F9E" w:rsidP="007E0165">
            <w:pPr>
              <w:jc w:val="left"/>
            </w:pPr>
            <w:r w:rsidRPr="00012B75">
              <w:t>Приобретение лекарственных препаратов согласно РП РФ от 29.10.2020 № 2805-р</w:t>
            </w:r>
          </w:p>
        </w:tc>
        <w:tc>
          <w:tcPr>
            <w:tcW w:w="1303" w:type="pct"/>
            <w:tcBorders>
              <w:left w:val="single" w:sz="4" w:space="0" w:color="auto"/>
              <w:right w:val="single" w:sz="4" w:space="0" w:color="auto"/>
            </w:tcBorders>
            <w:vAlign w:val="center"/>
          </w:tcPr>
          <w:p w:rsidR="00DE2F9E" w:rsidRDefault="00DE2F9E" w:rsidP="00012B75">
            <w:r>
              <w:t>PIAO_165_067_report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012B75" w:rsidRDefault="009E01D3" w:rsidP="007E0165">
            <w:pPr>
              <w:snapToGrid w:val="0"/>
              <w:spacing w:line="276" w:lineRule="auto"/>
              <w:rPr>
                <w:szCs w:val="24"/>
              </w:rPr>
            </w:pPr>
            <w:r w:rsidRPr="009E01D3">
              <w:rPr>
                <w:szCs w:val="24"/>
              </w:rPr>
              <w:t>T_PIAO_Minzdrav_NOVEMBER</w:t>
            </w:r>
          </w:p>
        </w:tc>
      </w:tr>
      <w:tr w:rsidR="00DE2F9E" w:rsidRPr="006D18EC" w:rsidTr="00965625">
        <w:trPr>
          <w:trHeight w:val="20"/>
        </w:trPr>
        <w:tc>
          <w:tcPr>
            <w:tcW w:w="2174" w:type="pct"/>
            <w:tcBorders>
              <w:left w:val="single" w:sz="4" w:space="0" w:color="auto"/>
              <w:right w:val="single" w:sz="4" w:space="0" w:color="auto"/>
            </w:tcBorders>
            <w:vAlign w:val="center"/>
          </w:tcPr>
          <w:p w:rsidR="00DE2F9E" w:rsidRPr="00012B75" w:rsidRDefault="00DE2F9E" w:rsidP="007E0165">
            <w:pPr>
              <w:jc w:val="left"/>
            </w:pPr>
            <w:r w:rsidRPr="00012B75">
              <w:t>Оснащение (переоснащение) лабораторий согласно РП РФ от 29.10.2020 № 2806-р</w:t>
            </w:r>
          </w:p>
        </w:tc>
        <w:tc>
          <w:tcPr>
            <w:tcW w:w="1303" w:type="pct"/>
            <w:tcBorders>
              <w:left w:val="single" w:sz="4" w:space="0" w:color="auto"/>
              <w:right w:val="single" w:sz="4" w:space="0" w:color="auto"/>
            </w:tcBorders>
            <w:vAlign w:val="center"/>
          </w:tcPr>
          <w:p w:rsidR="00DE2F9E" w:rsidRDefault="00DE2F9E" w:rsidP="00012B75">
            <w:r>
              <w:t>PIAO_165_068_report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012B75" w:rsidRDefault="009E01D3" w:rsidP="007E0165">
            <w:pPr>
              <w:snapToGrid w:val="0"/>
              <w:spacing w:line="276" w:lineRule="auto"/>
              <w:rPr>
                <w:szCs w:val="24"/>
              </w:rPr>
            </w:pPr>
            <w:r w:rsidRPr="009E01D3">
              <w:rPr>
                <w:szCs w:val="24"/>
              </w:rPr>
              <w:t>T_PIAO_Minzdrav_NOVEMBER</w:t>
            </w:r>
          </w:p>
        </w:tc>
      </w:tr>
      <w:tr w:rsidR="00DE2F9E" w:rsidRPr="006D18EC" w:rsidTr="00965625">
        <w:trPr>
          <w:trHeight w:val="20"/>
        </w:trPr>
        <w:tc>
          <w:tcPr>
            <w:tcW w:w="2174" w:type="pct"/>
            <w:tcBorders>
              <w:left w:val="single" w:sz="4" w:space="0" w:color="auto"/>
              <w:right w:val="single" w:sz="4" w:space="0" w:color="auto"/>
            </w:tcBorders>
            <w:vAlign w:val="center"/>
          </w:tcPr>
          <w:p w:rsidR="00DE2F9E" w:rsidRPr="00012B75" w:rsidRDefault="00DE2F9E" w:rsidP="007E0165">
            <w:pPr>
              <w:jc w:val="left"/>
            </w:pPr>
            <w:r w:rsidRPr="00012B75">
              <w:t>Приобретение лекарственных препаратов согласно РП РФ от 12.12.2020 № 3300-р</w:t>
            </w:r>
          </w:p>
        </w:tc>
        <w:tc>
          <w:tcPr>
            <w:tcW w:w="1303" w:type="pct"/>
            <w:tcBorders>
              <w:left w:val="single" w:sz="4" w:space="0" w:color="auto"/>
              <w:right w:val="single" w:sz="4" w:space="0" w:color="auto"/>
            </w:tcBorders>
            <w:vAlign w:val="center"/>
          </w:tcPr>
          <w:p w:rsidR="00DE2F9E" w:rsidRDefault="00DE2F9E" w:rsidP="00012B75">
            <w:r>
              <w:t>PIAO_165_069_report</w:t>
            </w:r>
          </w:p>
        </w:tc>
        <w:tc>
          <w:tcPr>
            <w:tcW w:w="1523" w:type="pct"/>
            <w:tcBorders>
              <w:top w:val="single" w:sz="4" w:space="0" w:color="auto"/>
              <w:left w:val="single" w:sz="4" w:space="0" w:color="auto"/>
              <w:bottom w:val="single" w:sz="4" w:space="0" w:color="auto"/>
              <w:right w:val="single" w:sz="4" w:space="0" w:color="auto"/>
            </w:tcBorders>
            <w:vAlign w:val="center"/>
          </w:tcPr>
          <w:p w:rsidR="00DE2F9E" w:rsidRPr="00012B75" w:rsidRDefault="009E01D3" w:rsidP="007E0165">
            <w:pPr>
              <w:snapToGrid w:val="0"/>
              <w:spacing w:line="276" w:lineRule="auto"/>
              <w:rPr>
                <w:szCs w:val="24"/>
              </w:rPr>
            </w:pPr>
            <w:r w:rsidRPr="009E01D3">
              <w:rPr>
                <w:szCs w:val="24"/>
              </w:rPr>
              <w:t>T_PIAO_Minzdrav_NOVEMBER</w:t>
            </w:r>
          </w:p>
        </w:tc>
      </w:tr>
    </w:tbl>
    <w:p w:rsidR="005F4D60" w:rsidRDefault="005F4D60" w:rsidP="005F4D60">
      <w:pPr>
        <w:pStyle w:val="35"/>
        <w:ind w:left="142"/>
      </w:pPr>
      <w:bookmarkStart w:id="330" w:name="_Toc37845313"/>
      <w:bookmarkStart w:id="331" w:name="_Toc69290116"/>
      <w:bookmarkStart w:id="332" w:name="_Toc69290121"/>
      <w:bookmarkStart w:id="333" w:name="_Toc119585073"/>
      <w:bookmarkEnd w:id="324"/>
      <w:r>
        <w:t>Отчет «Информация о кассовых поступлениях в консолидированные бюджеты субъектов Российской Федерации, администрируемых Федеральной налоговой службой»          (</w:t>
      </w:r>
      <w:r w:rsidRPr="00562B8F">
        <w:t>PIAO_172_001_report</w:t>
      </w:r>
      <w:r>
        <w:t>)</w:t>
      </w:r>
      <w:bookmarkEnd w:id="333"/>
    </w:p>
    <w:p w:rsidR="005F4D60" w:rsidRDefault="005F4D60" w:rsidP="005F4D60">
      <w:pPr>
        <w:pStyle w:val="af0"/>
        <w:rPr>
          <w:rStyle w:val="af1"/>
        </w:rPr>
      </w:pPr>
      <w:r w:rsidRPr="00206C4C">
        <w:rPr>
          <w:rStyle w:val="af1"/>
        </w:rPr>
        <w:t>Для перехода к отчету «</w:t>
      </w:r>
      <w:r>
        <w:t>Информация о кассовых поступлениях в консолидированные бюджеты субъектов Российской Федерации, администрируемых Федеральной налоговой службой</w:t>
      </w:r>
      <w:r w:rsidRPr="00206C4C">
        <w:rPr>
          <w:rStyle w:val="af1"/>
        </w:rPr>
        <w:t>» необходимо перейти к витрине «</w:t>
      </w:r>
      <w:r w:rsidRPr="00206C4C">
        <w:t xml:space="preserve">Исполнение </w:t>
      </w:r>
      <w:r>
        <w:t>бюджетов бюджетной системы Российской Федерации</w:t>
      </w:r>
      <w:r w:rsidRPr="00206C4C">
        <w:rPr>
          <w:rStyle w:val="af1"/>
        </w:rPr>
        <w:t>»</w:t>
      </w:r>
      <w:r>
        <w:rPr>
          <w:rStyle w:val="af1"/>
        </w:rPr>
        <w:t xml:space="preserve">, раскрыть каталог «Исполнение бюджетов бюджетной системы Российской Федерации по доходам» и кликнуть мышью по соответствующей плашке (Рисунок </w:t>
      </w:r>
      <w:r>
        <w:rPr>
          <w:rStyle w:val="af1"/>
        </w:rPr>
        <w:fldChar w:fldCharType="begin"/>
      </w:r>
      <w:r>
        <w:rPr>
          <w:rStyle w:val="af1"/>
        </w:rPr>
        <w:instrText xml:space="preserve"> REF _Ref69208706 \h </w:instrText>
      </w:r>
      <w:r>
        <w:rPr>
          <w:rStyle w:val="af1"/>
        </w:rPr>
      </w:r>
      <w:r>
        <w:rPr>
          <w:rStyle w:val="af1"/>
        </w:rPr>
        <w:fldChar w:fldCharType="separate"/>
      </w:r>
      <w:r w:rsidR="00BF0BEE">
        <w:rPr>
          <w:rStyle w:val="af1"/>
          <w:noProof/>
        </w:rPr>
        <w:t>97</w:t>
      </w:r>
      <w:r>
        <w:rPr>
          <w:rStyle w:val="af1"/>
        </w:rPr>
        <w:fldChar w:fldCharType="end"/>
      </w:r>
      <w:r>
        <w:rPr>
          <w:rStyle w:val="af1"/>
        </w:rPr>
        <w:t>).</w:t>
      </w:r>
    </w:p>
    <w:p w:rsidR="005F4D60" w:rsidRDefault="005F4D60" w:rsidP="005F4D60">
      <w:pPr>
        <w:pStyle w:val="-0"/>
      </w:pPr>
      <w:r>
        <w:rPr>
          <w:noProof/>
          <w:snapToGrid/>
        </w:rPr>
        <w:drawing>
          <wp:inline distT="0" distB="0" distL="0" distR="0" wp14:anchorId="309562F3" wp14:editId="6E01E109">
            <wp:extent cx="6152515" cy="2190750"/>
            <wp:effectExtent l="0" t="0" r="635" b="0"/>
            <wp:docPr id="6484" name="Рисунок 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6152515" cy="2190750"/>
                    </a:xfrm>
                    <a:prstGeom prst="rect">
                      <a:avLst/>
                    </a:prstGeom>
                  </pic:spPr>
                </pic:pic>
              </a:graphicData>
            </a:graphic>
          </wp:inline>
        </w:drawing>
      </w:r>
    </w:p>
    <w:p w:rsidR="005F4D60" w:rsidRDefault="005F4D60" w:rsidP="005F4D60">
      <w:pPr>
        <w:pStyle w:val="-0"/>
        <w:rPr>
          <w:rStyle w:val="af1"/>
        </w:rPr>
      </w:pPr>
      <w:bookmarkStart w:id="334" w:name="_Toc69290318"/>
      <w:bookmarkStart w:id="335" w:name="_Toc69980117"/>
      <w:bookmarkStart w:id="336" w:name="_Toc119584284"/>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bookmarkStart w:id="337" w:name="_Ref69208706"/>
      <w:r w:rsidR="001860A9">
        <w:rPr>
          <w:rStyle w:val="af1"/>
          <w:noProof/>
        </w:rPr>
        <w:t>97</w:t>
      </w:r>
      <w:bookmarkEnd w:id="337"/>
      <w:r>
        <w:rPr>
          <w:rStyle w:val="af1"/>
        </w:rPr>
        <w:fldChar w:fldCharType="end"/>
      </w:r>
      <w:r>
        <w:rPr>
          <w:rStyle w:val="af1"/>
        </w:rPr>
        <w:t xml:space="preserve"> – Переход к отчету </w:t>
      </w:r>
      <w:r w:rsidRPr="00206C4C">
        <w:rPr>
          <w:rStyle w:val="af1"/>
        </w:rPr>
        <w:t>«</w:t>
      </w:r>
      <w:r>
        <w:t>Информация о кассовых поступлениях в консолидированные бюджеты субъектов Российской Федерации, администрируемых Федеральной налоговой службой</w:t>
      </w:r>
      <w:r w:rsidRPr="00206C4C">
        <w:rPr>
          <w:rStyle w:val="af1"/>
        </w:rPr>
        <w:t>»</w:t>
      </w:r>
      <w:bookmarkEnd w:id="334"/>
      <w:bookmarkEnd w:id="335"/>
      <w:bookmarkEnd w:id="336"/>
    </w:p>
    <w:p w:rsidR="005F4D60" w:rsidRDefault="005F4D60" w:rsidP="00764D73">
      <w:pPr>
        <w:pStyle w:val="42"/>
      </w:pPr>
      <w:bookmarkStart w:id="338" w:name="_Toc54775387"/>
      <w:r>
        <w:t>Представление «По доходным источникам»</w:t>
      </w:r>
      <w:bookmarkEnd w:id="338"/>
    </w:p>
    <w:p w:rsidR="005F4D60" w:rsidRPr="00722488" w:rsidRDefault="005F4D60" w:rsidP="005F4D60">
      <w:pPr>
        <w:spacing w:before="120" w:after="120"/>
        <w:ind w:firstLine="567"/>
        <w:rPr>
          <w:sz w:val="28"/>
          <w:szCs w:val="28"/>
        </w:rPr>
      </w:pPr>
      <w:r w:rsidRPr="00257ADB">
        <w:rPr>
          <w:sz w:val="28"/>
          <w:szCs w:val="28"/>
        </w:rPr>
        <w:t>Представление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rPr>
          <w:sz w:val="28"/>
          <w:szCs w:val="28"/>
        </w:rPr>
        <w:t xml:space="preserve"> - «По доходным источникам»</w:t>
      </w:r>
      <w:r w:rsidRPr="00257ADB">
        <w:rPr>
          <w:sz w:val="28"/>
          <w:szCs w:val="28"/>
        </w:rPr>
        <w:t xml:space="preserve"> отображает информацию о кассовых поступлениях в консолидированные бюджеты субъектов Российской Федерации, администрируемых Федеральной налоговой службой </w:t>
      </w:r>
      <w:r>
        <w:rPr>
          <w:sz w:val="28"/>
          <w:szCs w:val="28"/>
        </w:rPr>
        <w:t>в разрезе бюджетной классификации в форме таблицы</w:t>
      </w:r>
      <w:r w:rsidRPr="00257ADB">
        <w:rPr>
          <w:sz w:val="28"/>
          <w:szCs w:val="28"/>
        </w:rPr>
        <w:t>.</w:t>
      </w:r>
    </w:p>
    <w:p w:rsidR="005F4D60" w:rsidRPr="00F15236" w:rsidRDefault="005F4D60" w:rsidP="005F4D60">
      <w:pPr>
        <w:spacing w:before="120" w:after="120"/>
        <w:ind w:firstLine="567"/>
        <w:rPr>
          <w:b/>
          <w:sz w:val="28"/>
          <w:szCs w:val="28"/>
        </w:rPr>
      </w:pPr>
      <w:r w:rsidRPr="00F15236">
        <w:rPr>
          <w:b/>
          <w:sz w:val="28"/>
          <w:szCs w:val="28"/>
        </w:rPr>
        <w:t>Параметры отчета:</w:t>
      </w:r>
    </w:p>
    <w:p w:rsidR="005F4D60" w:rsidRPr="00F15236" w:rsidRDefault="005F4D60" w:rsidP="00DE1661">
      <w:pPr>
        <w:pStyle w:val="13"/>
      </w:pPr>
      <w:r>
        <w:t>«</w:t>
      </w:r>
      <w:r w:rsidRPr="00F15236">
        <w:t>По состоянию на</w:t>
      </w:r>
      <w:r>
        <w:t>»</w:t>
      </w:r>
      <w:r w:rsidRPr="00F15236">
        <w:t>:</w:t>
      </w:r>
      <w:r>
        <w:t xml:space="preserve"> </w:t>
      </w:r>
      <w:r w:rsidRPr="00F15236">
        <w:t>Календарь с выбором даты отображаемых данных.</w:t>
      </w:r>
      <w:r>
        <w:t xml:space="preserve"> </w:t>
      </w:r>
      <w:r w:rsidRPr="00F15236">
        <w:t>По умолчанию отображается последняя дата обновления данных;</w:t>
      </w:r>
    </w:p>
    <w:p w:rsidR="005F4D60" w:rsidRPr="00F15236" w:rsidRDefault="005F4D60" w:rsidP="00DE1661">
      <w:pPr>
        <w:pStyle w:val="13"/>
      </w:pPr>
      <w:r>
        <w:t xml:space="preserve"> «</w:t>
      </w:r>
      <w:r w:rsidRPr="00F15236">
        <w:t>Субъект РФ</w:t>
      </w:r>
      <w:r>
        <w:t>»</w:t>
      </w:r>
      <w:r w:rsidRPr="00F15236">
        <w:t>:</w:t>
      </w:r>
      <w:r>
        <w:t xml:space="preserve"> </w:t>
      </w:r>
      <w:r w:rsidRPr="00F15236">
        <w:t>Выпадающий список с множественным выбором. По умолчанию выводится значение «Все». В параметр выводится наименование территории.</w:t>
      </w:r>
      <w:r>
        <w:t xml:space="preserve"> </w:t>
      </w:r>
      <w:r w:rsidRPr="00F15236">
        <w:t>Возможность контекстного поиска по наименованию территории;</w:t>
      </w:r>
    </w:p>
    <w:p w:rsidR="005F4D60" w:rsidRPr="00F15236" w:rsidRDefault="005F4D60" w:rsidP="00DE1661">
      <w:pPr>
        <w:pStyle w:val="13"/>
      </w:pPr>
      <w:r>
        <w:t>«</w:t>
      </w:r>
      <w:r w:rsidRPr="00F15236">
        <w:t>Единицы измерения</w:t>
      </w:r>
      <w:r>
        <w:t>»</w:t>
      </w:r>
      <w:r w:rsidRPr="00F15236">
        <w:t>:</w:t>
      </w:r>
      <w:r>
        <w:t xml:space="preserve"> </w:t>
      </w:r>
      <w:r w:rsidRPr="00F15236">
        <w:t>Выпадающий список с выбором единиц измерения. Состоит из элементов: руб., тыс. руб., млн руб., млрд руб.</w:t>
      </w:r>
    </w:p>
    <w:p w:rsidR="005F4D60" w:rsidRPr="00F15236" w:rsidRDefault="005F4D60" w:rsidP="005F4D60">
      <w:pPr>
        <w:spacing w:before="120" w:after="120"/>
        <w:ind w:firstLine="567"/>
        <w:rPr>
          <w:b/>
          <w:sz w:val="28"/>
          <w:szCs w:val="28"/>
        </w:rPr>
      </w:pPr>
      <w:r w:rsidRPr="00F15236">
        <w:rPr>
          <w:b/>
          <w:sz w:val="28"/>
          <w:szCs w:val="28"/>
        </w:rPr>
        <w:t>Наименования колонок:</w:t>
      </w:r>
    </w:p>
    <w:p w:rsidR="005F4D60" w:rsidRDefault="005F4D60" w:rsidP="00DE1661">
      <w:pPr>
        <w:pStyle w:val="13"/>
      </w:pPr>
      <w:r w:rsidRPr="00257ADB">
        <w:t>Исполнено доходов</w:t>
      </w:r>
      <w:r>
        <w:t xml:space="preserve"> с начала года (Данные формы </w:t>
      </w:r>
      <w:r w:rsidRPr="00BF0FBC">
        <w:t>0503152</w:t>
      </w:r>
      <w:r>
        <w:t>)</w:t>
      </w:r>
      <w:r w:rsidRPr="00257ADB">
        <w:t>;</w:t>
      </w:r>
    </w:p>
    <w:p w:rsidR="005F4D60" w:rsidRPr="00800860" w:rsidRDefault="005F4D60" w:rsidP="00DE1661">
      <w:pPr>
        <w:pStyle w:val="13"/>
      </w:pPr>
      <w:r w:rsidRPr="00257ADB">
        <w:t>Исполнено доходов</w:t>
      </w:r>
      <w:r>
        <w:t xml:space="preserve"> с начала месяца (Данные формы </w:t>
      </w:r>
      <w:r w:rsidRPr="00BF0FBC">
        <w:t>0503152</w:t>
      </w:r>
      <w:r>
        <w:t>)</w:t>
      </w:r>
      <w:r w:rsidRPr="00257ADB">
        <w:t>;</w:t>
      </w:r>
    </w:p>
    <w:p w:rsidR="005F4D60" w:rsidRDefault="005F4D60" w:rsidP="00DE1661">
      <w:pPr>
        <w:pStyle w:val="13"/>
      </w:pPr>
      <w:r w:rsidRPr="00257ADB">
        <w:t>Темп прироста к аналогичному периоду</w:t>
      </w:r>
      <w:r>
        <w:t xml:space="preserve"> прошлого года к году (Показатель рассчитывается по формуле: «(Исполнено доходов с начала года/Исполнено за аналогичный период прошлого года с начала года) * 100% - 100%)»;</w:t>
      </w:r>
    </w:p>
    <w:p w:rsidR="005F4D60" w:rsidRPr="00091631" w:rsidRDefault="005F4D60" w:rsidP="00DE1661">
      <w:pPr>
        <w:pStyle w:val="13"/>
      </w:pPr>
      <w:r w:rsidRPr="00257ADB">
        <w:t>Темп прироста к аналогичному периоду</w:t>
      </w:r>
      <w:r>
        <w:t xml:space="preserve"> прошлого года к месяцу (Показатель рассчитывается по формуле: «(Исполнено доходов с начала месяца/Исполнено за аналогичный период прошлого года с начала месяца) * 100% - 100%)»;</w:t>
      </w:r>
    </w:p>
    <w:p w:rsidR="005F4D60" w:rsidRDefault="005F4D60" w:rsidP="00DE1661">
      <w:pPr>
        <w:pStyle w:val="13"/>
      </w:pPr>
      <w:r w:rsidRPr="00257ADB">
        <w:t xml:space="preserve">Исполнено </w:t>
      </w:r>
      <w:r>
        <w:t xml:space="preserve">за аналогичный период прошлого года с начала года (Данные формы </w:t>
      </w:r>
      <w:r w:rsidRPr="00BF0FBC">
        <w:t>0503152</w:t>
      </w:r>
      <w:r>
        <w:t>)</w:t>
      </w:r>
      <w:r w:rsidRPr="00257ADB">
        <w:t>;</w:t>
      </w:r>
    </w:p>
    <w:p w:rsidR="005F4D60" w:rsidRDefault="005F4D60" w:rsidP="00DE1661">
      <w:pPr>
        <w:pStyle w:val="13"/>
      </w:pPr>
      <w:r w:rsidRPr="00257ADB">
        <w:t xml:space="preserve">Исполнено </w:t>
      </w:r>
      <w:r>
        <w:t xml:space="preserve">за аналогичный период прошлого года с начала с начала месяца (Данные формы </w:t>
      </w:r>
      <w:r w:rsidRPr="00BF0FBC">
        <w:t>0503152</w:t>
      </w:r>
      <w:r>
        <w:t>).</w:t>
      </w:r>
    </w:p>
    <w:p w:rsidR="005F4D60" w:rsidRPr="00722488" w:rsidRDefault="005F4D60" w:rsidP="005F4D60">
      <w:pPr>
        <w:pStyle w:val="-0"/>
      </w:pPr>
      <w:r>
        <w:rPr>
          <w:noProof/>
          <w:snapToGrid/>
        </w:rPr>
        <w:drawing>
          <wp:inline distT="0" distB="0" distL="0" distR="0" wp14:anchorId="59231186" wp14:editId="31643A3E">
            <wp:extent cx="5934075" cy="1819275"/>
            <wp:effectExtent l="19050" t="0" r="9525" b="0"/>
            <wp:docPr id="6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4" cstate="print"/>
                    <a:srcRect/>
                    <a:stretch>
                      <a:fillRect/>
                    </a:stretch>
                  </pic:blipFill>
                  <pic:spPr bwMode="auto">
                    <a:xfrm>
                      <a:off x="0" y="0"/>
                      <a:ext cx="5934075" cy="1819275"/>
                    </a:xfrm>
                    <a:prstGeom prst="rect">
                      <a:avLst/>
                    </a:prstGeom>
                    <a:noFill/>
                    <a:ln w="9525">
                      <a:noFill/>
                      <a:miter lim="800000"/>
                      <a:headEnd/>
                      <a:tailEnd/>
                    </a:ln>
                  </pic:spPr>
                </pic:pic>
              </a:graphicData>
            </a:graphic>
          </wp:inline>
        </w:drawing>
      </w:r>
    </w:p>
    <w:p w:rsidR="005F4D60" w:rsidRDefault="005F4D60" w:rsidP="005F4D60">
      <w:pPr>
        <w:pStyle w:val="-0"/>
      </w:pPr>
      <w:bookmarkStart w:id="339" w:name="_Toc33795390"/>
      <w:bookmarkStart w:id="340" w:name="_Toc54775481"/>
      <w:bookmarkStart w:id="341" w:name="_Toc69290319"/>
      <w:bookmarkStart w:id="342" w:name="_Toc69980118"/>
      <w:bookmarkStart w:id="343" w:name="_Toc119584285"/>
      <w:r w:rsidRPr="00091631">
        <w:t xml:space="preserve">Рисунок </w:t>
      </w:r>
      <w:fldSimple w:instr=" SEQ Рисунок \* ARABIC ">
        <w:r w:rsidR="001860A9">
          <w:rPr>
            <w:noProof/>
          </w:rPr>
          <w:t>98</w:t>
        </w:r>
      </w:fldSimple>
      <w:r>
        <w:t xml:space="preserve"> – </w:t>
      </w:r>
      <w:r w:rsidRPr="00091631">
        <w:t>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rsidRPr="00D8413B">
        <w:t>»</w:t>
      </w:r>
      <w:bookmarkEnd w:id="339"/>
      <w:r>
        <w:t xml:space="preserve"> - «По доходным источникам»</w:t>
      </w:r>
      <w:bookmarkEnd w:id="340"/>
      <w:bookmarkEnd w:id="341"/>
      <w:bookmarkEnd w:id="342"/>
      <w:bookmarkEnd w:id="343"/>
    </w:p>
    <w:p w:rsidR="005F4D60" w:rsidRDefault="005F4D60" w:rsidP="00764D73">
      <w:pPr>
        <w:pStyle w:val="42"/>
      </w:pPr>
      <w:bookmarkStart w:id="344" w:name="_Toc54775388"/>
      <w:r>
        <w:t>Представление «По субъектам»</w:t>
      </w:r>
      <w:bookmarkEnd w:id="344"/>
    </w:p>
    <w:p w:rsidR="005F4D60" w:rsidRDefault="005F4D60" w:rsidP="005F4D60">
      <w:pPr>
        <w:pStyle w:val="af0"/>
      </w:pPr>
      <w:r w:rsidRPr="00257ADB">
        <w:t>Представление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t xml:space="preserve"> - «По субъектам»</w:t>
      </w:r>
      <w:r w:rsidRPr="00257ADB">
        <w:t xml:space="preserve"> отображает информацию о кассовых поступлениях в консолидированные бюджеты</w:t>
      </w:r>
      <w:r>
        <w:t>, администрируемых</w:t>
      </w:r>
      <w:r w:rsidRPr="005D7695">
        <w:t xml:space="preserve"> </w:t>
      </w:r>
      <w:r w:rsidRPr="00257ADB">
        <w:t>Федеральной налоговой службой</w:t>
      </w:r>
      <w:r>
        <w:t>, в разрезе</w:t>
      </w:r>
      <w:r w:rsidRPr="00257ADB">
        <w:t xml:space="preserve"> субъектов Российск</w:t>
      </w:r>
      <w:r>
        <w:t>ой Федерации в форме таблицы.</w:t>
      </w:r>
    </w:p>
    <w:p w:rsidR="005F4D60" w:rsidRPr="00F15236" w:rsidRDefault="005F4D60" w:rsidP="005F4D60">
      <w:pPr>
        <w:spacing w:before="120" w:after="120"/>
        <w:ind w:firstLine="567"/>
        <w:rPr>
          <w:b/>
          <w:sz w:val="28"/>
          <w:szCs w:val="28"/>
        </w:rPr>
      </w:pPr>
      <w:r w:rsidRPr="00F15236">
        <w:rPr>
          <w:b/>
          <w:sz w:val="28"/>
          <w:szCs w:val="28"/>
        </w:rPr>
        <w:t>Параметры отчета:</w:t>
      </w:r>
    </w:p>
    <w:p w:rsidR="005F4D60" w:rsidRPr="00F15236" w:rsidRDefault="005F4D60" w:rsidP="00DE1661">
      <w:pPr>
        <w:pStyle w:val="13"/>
      </w:pPr>
      <w:r>
        <w:t>«</w:t>
      </w:r>
      <w:r w:rsidRPr="00F15236">
        <w:t>По состоянию на</w:t>
      </w:r>
      <w:r>
        <w:t>»</w:t>
      </w:r>
      <w:r w:rsidRPr="00F15236">
        <w:t>:</w:t>
      </w:r>
      <w:r>
        <w:t xml:space="preserve"> </w:t>
      </w:r>
      <w:r w:rsidRPr="00F15236">
        <w:t>Календарь с выбором даты отображаемых данных.</w:t>
      </w:r>
      <w:r>
        <w:t xml:space="preserve"> </w:t>
      </w:r>
      <w:r w:rsidRPr="00F15236">
        <w:t>По умолчанию отображается последняя дата обновления данных;</w:t>
      </w:r>
    </w:p>
    <w:p w:rsidR="005F4D60" w:rsidRDefault="005F4D60" w:rsidP="00DE1661">
      <w:pPr>
        <w:pStyle w:val="13"/>
      </w:pPr>
      <w:r>
        <w:t>Чек-бокс «По федеральным округам». При нажатии чек-бокса данные отображаются в группировке по федеральным округам (активен по умолчанию);</w:t>
      </w:r>
    </w:p>
    <w:p w:rsidR="005F4D60" w:rsidRDefault="005F4D60" w:rsidP="00DE1661">
      <w:pPr>
        <w:pStyle w:val="13"/>
      </w:pPr>
      <w:r>
        <w:t>«Код по БК»: Выпадающий иерархический список с выбором кода бюджетной классификации по доходам;</w:t>
      </w:r>
    </w:p>
    <w:p w:rsidR="005F4D60" w:rsidRDefault="005F4D60" w:rsidP="00DE1661">
      <w:pPr>
        <w:pStyle w:val="13"/>
      </w:pPr>
      <w:r>
        <w:t xml:space="preserve"> «</w:t>
      </w:r>
      <w:r w:rsidRPr="00F15236">
        <w:t>Единицы измерения</w:t>
      </w:r>
      <w:r>
        <w:t>»</w:t>
      </w:r>
      <w:r w:rsidRPr="00F15236">
        <w:t>:</w:t>
      </w:r>
      <w:r>
        <w:t xml:space="preserve"> </w:t>
      </w:r>
      <w:r w:rsidRPr="00F15236">
        <w:t>Выпадающий список с выбором единиц измерения. Состоит из элементов: руб., тыс. руб., млн руб., млрд руб.</w:t>
      </w:r>
    </w:p>
    <w:p w:rsidR="005F4D60" w:rsidRPr="00F15236" w:rsidRDefault="005F4D60" w:rsidP="005F4D60">
      <w:pPr>
        <w:spacing w:before="120" w:after="120"/>
        <w:ind w:firstLine="567"/>
        <w:rPr>
          <w:b/>
          <w:sz w:val="28"/>
          <w:szCs w:val="28"/>
        </w:rPr>
      </w:pPr>
      <w:r w:rsidRPr="00F15236">
        <w:rPr>
          <w:b/>
          <w:sz w:val="28"/>
          <w:szCs w:val="28"/>
        </w:rPr>
        <w:t>Наименования колонок:</w:t>
      </w:r>
    </w:p>
    <w:p w:rsidR="005F4D60" w:rsidRDefault="005F4D60" w:rsidP="00DE1661">
      <w:pPr>
        <w:pStyle w:val="13"/>
      </w:pPr>
      <w:r w:rsidRPr="00257ADB">
        <w:t>Исполнено доходов</w:t>
      </w:r>
      <w:r>
        <w:t xml:space="preserve"> с начала года (Данные формы </w:t>
      </w:r>
      <w:r w:rsidRPr="00BF0FBC">
        <w:t>0503152</w:t>
      </w:r>
      <w:r>
        <w:t>)</w:t>
      </w:r>
      <w:r w:rsidRPr="00257ADB">
        <w:t>;</w:t>
      </w:r>
    </w:p>
    <w:p w:rsidR="005F4D60" w:rsidRPr="00800860" w:rsidRDefault="005F4D60" w:rsidP="00DE1661">
      <w:pPr>
        <w:pStyle w:val="13"/>
      </w:pPr>
      <w:r w:rsidRPr="00257ADB">
        <w:t>Исполнено доходов</w:t>
      </w:r>
      <w:r>
        <w:t xml:space="preserve"> с начала месяца (Данные формы </w:t>
      </w:r>
      <w:r w:rsidRPr="00BF0FBC">
        <w:t>0503152</w:t>
      </w:r>
      <w:r>
        <w:t>)</w:t>
      </w:r>
      <w:r w:rsidRPr="00257ADB">
        <w:t>;</w:t>
      </w:r>
    </w:p>
    <w:p w:rsidR="005F4D60" w:rsidRDefault="005F4D60" w:rsidP="00DE1661">
      <w:pPr>
        <w:pStyle w:val="13"/>
      </w:pPr>
      <w:r w:rsidRPr="00257ADB">
        <w:t>Темп прироста к аналогичному периоду</w:t>
      </w:r>
      <w:r>
        <w:t xml:space="preserve"> прошлого года к году (Показатель рассчитывается по формуле: «(Исполнено доходов с начала года/Исполнено за аналогичный период прошлого года с начала года) * 100% - 100%)»;</w:t>
      </w:r>
    </w:p>
    <w:p w:rsidR="005F4D60" w:rsidRPr="00091631" w:rsidRDefault="005F4D60" w:rsidP="00DE1661">
      <w:pPr>
        <w:pStyle w:val="13"/>
      </w:pPr>
      <w:r w:rsidRPr="00257ADB">
        <w:t>Темп прироста к аналогичному периоду</w:t>
      </w:r>
      <w:r>
        <w:t xml:space="preserve"> прошлого года к месяцу (Показатель рассчитывается по формуле: «(Исполнено доходов с начала месяца/Исполнено за аналогичный период прошлого года с начала месяца) * 100% - 100%)»;</w:t>
      </w:r>
    </w:p>
    <w:p w:rsidR="005F4D60" w:rsidRDefault="005F4D60" w:rsidP="00DE1661">
      <w:pPr>
        <w:pStyle w:val="13"/>
      </w:pPr>
      <w:r w:rsidRPr="00257ADB">
        <w:t xml:space="preserve">Исполнено </w:t>
      </w:r>
      <w:r>
        <w:t xml:space="preserve">за аналогичный период прошлого года с начала года (Данные формы </w:t>
      </w:r>
      <w:r w:rsidRPr="00BF0FBC">
        <w:t>0503152</w:t>
      </w:r>
      <w:r>
        <w:t>)</w:t>
      </w:r>
      <w:r w:rsidRPr="00257ADB">
        <w:t>;</w:t>
      </w:r>
    </w:p>
    <w:p w:rsidR="005F4D60" w:rsidRDefault="005F4D60" w:rsidP="00DE1661">
      <w:pPr>
        <w:pStyle w:val="13"/>
      </w:pPr>
      <w:r w:rsidRPr="00257ADB">
        <w:t xml:space="preserve">Исполнено </w:t>
      </w:r>
      <w:r>
        <w:t xml:space="preserve">за аналогичный период прошлого года с начала с начала месяца (Данные формы </w:t>
      </w:r>
      <w:r w:rsidRPr="00BF0FBC">
        <w:t>0503152</w:t>
      </w:r>
      <w:r>
        <w:t>).</w:t>
      </w:r>
    </w:p>
    <w:p w:rsidR="005F4D60" w:rsidRDefault="005F4D60" w:rsidP="005F4D60">
      <w:pPr>
        <w:pStyle w:val="-0"/>
      </w:pPr>
      <w:r>
        <w:rPr>
          <w:noProof/>
          <w:snapToGrid/>
        </w:rPr>
        <w:drawing>
          <wp:inline distT="0" distB="0" distL="0" distR="0" wp14:anchorId="6D1B19F6" wp14:editId="43BFF079">
            <wp:extent cx="5934075" cy="2209800"/>
            <wp:effectExtent l="19050" t="0" r="9525" b="0"/>
            <wp:docPr id="6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cstate="print"/>
                    <a:srcRect/>
                    <a:stretch>
                      <a:fillRect/>
                    </a:stretch>
                  </pic:blipFill>
                  <pic:spPr bwMode="auto">
                    <a:xfrm>
                      <a:off x="0" y="0"/>
                      <a:ext cx="5934075" cy="2209800"/>
                    </a:xfrm>
                    <a:prstGeom prst="rect">
                      <a:avLst/>
                    </a:prstGeom>
                    <a:noFill/>
                    <a:ln w="9525">
                      <a:noFill/>
                      <a:miter lim="800000"/>
                      <a:headEnd/>
                      <a:tailEnd/>
                    </a:ln>
                  </pic:spPr>
                </pic:pic>
              </a:graphicData>
            </a:graphic>
          </wp:inline>
        </w:drawing>
      </w:r>
    </w:p>
    <w:p w:rsidR="005F4D60" w:rsidRDefault="005F4D60" w:rsidP="005F4D60">
      <w:pPr>
        <w:jc w:val="center"/>
        <w:rPr>
          <w:sz w:val="28"/>
          <w:szCs w:val="28"/>
        </w:rPr>
      </w:pPr>
      <w:bookmarkStart w:id="345" w:name="_Toc54775482"/>
      <w:bookmarkStart w:id="346" w:name="_Toc69290320"/>
      <w:bookmarkStart w:id="347" w:name="_Toc69980119"/>
      <w:bookmarkStart w:id="348" w:name="_Toc119584286"/>
      <w:r w:rsidRPr="00091631">
        <w:rPr>
          <w:sz w:val="28"/>
          <w:szCs w:val="28"/>
        </w:rPr>
        <w:t xml:space="preserve">Рисунок </w:t>
      </w:r>
      <w:r w:rsidRPr="00091631">
        <w:rPr>
          <w:sz w:val="28"/>
          <w:szCs w:val="28"/>
        </w:rPr>
        <w:fldChar w:fldCharType="begin"/>
      </w:r>
      <w:r w:rsidRPr="00091631">
        <w:rPr>
          <w:sz w:val="28"/>
          <w:szCs w:val="28"/>
        </w:rPr>
        <w:instrText xml:space="preserve"> SEQ Рисунок \* ARABIC </w:instrText>
      </w:r>
      <w:r w:rsidRPr="00091631">
        <w:rPr>
          <w:sz w:val="28"/>
          <w:szCs w:val="28"/>
        </w:rPr>
        <w:fldChar w:fldCharType="separate"/>
      </w:r>
      <w:r w:rsidR="001860A9">
        <w:rPr>
          <w:noProof/>
          <w:sz w:val="28"/>
          <w:szCs w:val="28"/>
        </w:rPr>
        <w:t>99</w:t>
      </w:r>
      <w:r w:rsidRPr="00091631">
        <w:rPr>
          <w:sz w:val="28"/>
          <w:szCs w:val="28"/>
        </w:rPr>
        <w:fldChar w:fldCharType="end"/>
      </w:r>
      <w:r>
        <w:rPr>
          <w:sz w:val="28"/>
          <w:szCs w:val="28"/>
        </w:rPr>
        <w:t xml:space="preserve"> – </w:t>
      </w:r>
      <w:r w:rsidRPr="00091631">
        <w:rPr>
          <w:sz w:val="28"/>
          <w:szCs w:val="28"/>
        </w:rPr>
        <w:t>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rsidRPr="00D8413B">
        <w:rPr>
          <w:sz w:val="28"/>
          <w:szCs w:val="28"/>
        </w:rPr>
        <w:t>»</w:t>
      </w:r>
      <w:r>
        <w:rPr>
          <w:sz w:val="28"/>
          <w:szCs w:val="28"/>
        </w:rPr>
        <w:t xml:space="preserve"> - «По субъектам»</w:t>
      </w:r>
      <w:bookmarkEnd w:id="345"/>
      <w:bookmarkEnd w:id="346"/>
      <w:bookmarkEnd w:id="347"/>
      <w:bookmarkEnd w:id="348"/>
    </w:p>
    <w:p w:rsidR="005F4D60" w:rsidRDefault="005F4D60" w:rsidP="00764D73">
      <w:pPr>
        <w:pStyle w:val="42"/>
      </w:pPr>
      <w:bookmarkStart w:id="349" w:name="_Toc54775389"/>
      <w:r>
        <w:t>Представление «Карта»</w:t>
      </w:r>
      <w:bookmarkEnd w:id="349"/>
    </w:p>
    <w:p w:rsidR="005F4D60" w:rsidRDefault="005F4D60" w:rsidP="005F4D60">
      <w:pPr>
        <w:pStyle w:val="af0"/>
      </w:pPr>
      <w:r w:rsidRPr="00257ADB">
        <w:t>Представление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t xml:space="preserve"> - «Карта»</w:t>
      </w:r>
      <w:r w:rsidRPr="00257ADB">
        <w:t xml:space="preserve"> отображает информацию о кассовых поступлениях в консолидированные бюджеты</w:t>
      </w:r>
      <w:r>
        <w:t>, администрируемых</w:t>
      </w:r>
      <w:r w:rsidRPr="005D7695">
        <w:t xml:space="preserve"> </w:t>
      </w:r>
      <w:r w:rsidRPr="00257ADB">
        <w:t>Федеральной налоговой службой</w:t>
      </w:r>
      <w:r>
        <w:t>, в разрезе</w:t>
      </w:r>
      <w:r w:rsidRPr="00257ADB">
        <w:t xml:space="preserve"> субъектов Российск</w:t>
      </w:r>
      <w:r>
        <w:t>ой Федерации и федеральных округов в форме карты.</w:t>
      </w:r>
    </w:p>
    <w:p w:rsidR="005F4D60" w:rsidRPr="00F15236" w:rsidRDefault="005F4D60" w:rsidP="005F4D60">
      <w:pPr>
        <w:spacing w:before="120" w:after="120"/>
        <w:ind w:firstLine="567"/>
        <w:rPr>
          <w:b/>
          <w:sz w:val="28"/>
          <w:szCs w:val="28"/>
        </w:rPr>
      </w:pPr>
      <w:r w:rsidRPr="00F15236">
        <w:rPr>
          <w:b/>
          <w:sz w:val="28"/>
          <w:szCs w:val="28"/>
        </w:rPr>
        <w:t>Параметры отчета:</w:t>
      </w:r>
    </w:p>
    <w:p w:rsidR="005F4D60" w:rsidRPr="00F15236" w:rsidRDefault="005F4D60" w:rsidP="00DE1661">
      <w:pPr>
        <w:pStyle w:val="13"/>
      </w:pPr>
      <w:r>
        <w:t>«</w:t>
      </w:r>
      <w:r w:rsidRPr="00F15236">
        <w:t>По состоянию на</w:t>
      </w:r>
      <w:r>
        <w:t>»</w:t>
      </w:r>
      <w:r w:rsidRPr="00F15236">
        <w:t>:</w:t>
      </w:r>
      <w:r>
        <w:t xml:space="preserve"> </w:t>
      </w:r>
      <w:r w:rsidRPr="00F15236">
        <w:t>Календарь с выбором даты отображаемых данных.</w:t>
      </w:r>
      <w:r>
        <w:t xml:space="preserve"> </w:t>
      </w:r>
      <w:r w:rsidRPr="00F15236">
        <w:t>По умолчанию отображается последняя дата обновления данных;</w:t>
      </w:r>
    </w:p>
    <w:p w:rsidR="005F4D60" w:rsidRDefault="005F4D60" w:rsidP="00DE1661">
      <w:pPr>
        <w:pStyle w:val="13"/>
      </w:pPr>
      <w:r>
        <w:t xml:space="preserve"> «Код по БК»: Выпадающий иерархический список с выбором кода бюджетной классификации по доходам;</w:t>
      </w:r>
    </w:p>
    <w:p w:rsidR="005F4D60" w:rsidRPr="008A4CAB" w:rsidRDefault="005F4D60" w:rsidP="00DE1661">
      <w:pPr>
        <w:pStyle w:val="13"/>
      </w:pPr>
      <w:r>
        <w:t xml:space="preserve"> «</w:t>
      </w:r>
      <w:r w:rsidRPr="00F15236">
        <w:t>Единицы измерения</w:t>
      </w:r>
      <w:r>
        <w:t>»</w:t>
      </w:r>
      <w:r w:rsidRPr="00F15236">
        <w:t>:</w:t>
      </w:r>
      <w:r>
        <w:t xml:space="preserve"> </w:t>
      </w:r>
      <w:r w:rsidRPr="00F15236">
        <w:t>Выпадающий список с выбором единиц измерения. Состоит из элементов: руб., тыс. руб., млн руб., млрд руб.</w:t>
      </w:r>
    </w:p>
    <w:p w:rsidR="005F4D60" w:rsidRDefault="005F4D60" w:rsidP="005F4D60">
      <w:pPr>
        <w:pStyle w:val="-0"/>
      </w:pPr>
      <w:r>
        <w:rPr>
          <w:noProof/>
          <w:snapToGrid/>
        </w:rPr>
        <w:drawing>
          <wp:inline distT="0" distB="0" distL="0" distR="0" wp14:anchorId="35792068" wp14:editId="02DD1671">
            <wp:extent cx="5934075" cy="2990850"/>
            <wp:effectExtent l="19050" t="0" r="9525" b="0"/>
            <wp:docPr id="648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6" cstate="print"/>
                    <a:srcRect/>
                    <a:stretch>
                      <a:fillRect/>
                    </a:stretch>
                  </pic:blipFill>
                  <pic:spPr bwMode="auto">
                    <a:xfrm>
                      <a:off x="0" y="0"/>
                      <a:ext cx="5934075" cy="2990850"/>
                    </a:xfrm>
                    <a:prstGeom prst="rect">
                      <a:avLst/>
                    </a:prstGeom>
                    <a:noFill/>
                    <a:ln w="9525">
                      <a:noFill/>
                      <a:miter lim="800000"/>
                      <a:headEnd/>
                      <a:tailEnd/>
                    </a:ln>
                  </pic:spPr>
                </pic:pic>
              </a:graphicData>
            </a:graphic>
          </wp:inline>
        </w:drawing>
      </w:r>
    </w:p>
    <w:p w:rsidR="005F4D60" w:rsidRDefault="005F4D60" w:rsidP="005F4D60">
      <w:pPr>
        <w:pStyle w:val="-0"/>
      </w:pPr>
      <w:bookmarkStart w:id="350" w:name="_Toc54775483"/>
      <w:bookmarkStart w:id="351" w:name="_Toc69290321"/>
      <w:bookmarkStart w:id="352" w:name="_Toc69980120"/>
      <w:bookmarkStart w:id="353" w:name="_Toc119584287"/>
      <w:r w:rsidRPr="00091631">
        <w:t xml:space="preserve">Рисунок </w:t>
      </w:r>
      <w:fldSimple w:instr=" SEQ Рисунок \* ARABIC ">
        <w:r w:rsidR="001860A9">
          <w:rPr>
            <w:noProof/>
          </w:rPr>
          <w:t>100</w:t>
        </w:r>
      </w:fldSimple>
      <w:r>
        <w:t xml:space="preserve"> – </w:t>
      </w:r>
      <w:r w:rsidRPr="00091631">
        <w:t>Макет аналитического отчета «Информация о кассовых поступлениях в консолидированные бюджеты субъектов Российской Федерации, администрируемых Федеральной налоговой службой</w:t>
      </w:r>
      <w:r w:rsidRPr="00D8413B">
        <w:t>»</w:t>
      </w:r>
      <w:r>
        <w:t xml:space="preserve"> - «Карта»</w:t>
      </w:r>
      <w:bookmarkEnd w:id="350"/>
      <w:bookmarkEnd w:id="351"/>
      <w:bookmarkEnd w:id="352"/>
      <w:bookmarkEnd w:id="353"/>
    </w:p>
    <w:p w:rsidR="005F4D60" w:rsidRDefault="005F4D60" w:rsidP="005F4D60">
      <w:pPr>
        <w:pStyle w:val="35"/>
        <w:ind w:left="142"/>
      </w:pPr>
      <w:bookmarkStart w:id="354" w:name="_Toc119585074"/>
      <w:r>
        <w:t>Отчет «</w:t>
      </w:r>
      <w:r w:rsidRPr="004A5A64">
        <w:t>Информация об объемах налога на добавленную стоимость</w:t>
      </w:r>
      <w:r>
        <w:t xml:space="preserve"> </w:t>
      </w:r>
      <w:r w:rsidRPr="004A5A64">
        <w:t>в разрезе территорий</w:t>
      </w:r>
      <w:r>
        <w:t>» (</w:t>
      </w:r>
      <w:r w:rsidRPr="00562B8F">
        <w:t>PIAO_1</w:t>
      </w:r>
      <w:r>
        <w:t>51</w:t>
      </w:r>
      <w:r w:rsidRPr="00562B8F">
        <w:t>_00</w:t>
      </w:r>
      <w:r>
        <w:t>2</w:t>
      </w:r>
      <w:r w:rsidRPr="00562B8F">
        <w:t>_report</w:t>
      </w:r>
      <w:r>
        <w:t>)</w:t>
      </w:r>
      <w:bookmarkEnd w:id="354"/>
    </w:p>
    <w:p w:rsidR="005F4D60" w:rsidRDefault="005F4D60" w:rsidP="005F4D60">
      <w:pPr>
        <w:pStyle w:val="af0"/>
        <w:rPr>
          <w:rStyle w:val="af1"/>
          <w:snapToGrid w:val="0"/>
        </w:rPr>
      </w:pPr>
      <w:r w:rsidRPr="00A17AF9">
        <w:rPr>
          <w:rStyle w:val="af1"/>
          <w:snapToGrid w:val="0"/>
        </w:rPr>
        <w:t>Для перехода к отчету «</w:t>
      </w:r>
      <w:r w:rsidRPr="004A5A64">
        <w:t>Информация об объемах налога на добавленную стоимость</w:t>
      </w:r>
      <w:r>
        <w:t xml:space="preserve"> </w:t>
      </w:r>
      <w:r w:rsidRPr="004A5A64">
        <w:t>в разрезе территорий</w:t>
      </w:r>
      <w:r w:rsidRPr="00A17AF9">
        <w:rPr>
          <w:rStyle w:val="af1"/>
          <w:snapToGrid w:val="0"/>
        </w:rPr>
        <w:t>» необходимо перейти к витрине «</w:t>
      </w:r>
      <w:r w:rsidRPr="00A17AF9">
        <w:t>Исполнение бюджетов бюджетной системы Российской Федерации</w:t>
      </w:r>
      <w:r w:rsidRPr="00A17AF9">
        <w:rPr>
          <w:rStyle w:val="af1"/>
          <w:snapToGrid w:val="0"/>
        </w:rPr>
        <w:t xml:space="preserve">», раскрыть каталог «Исполнение бюджетов бюджетной системы Российской Федерации по </w:t>
      </w:r>
      <w:r>
        <w:rPr>
          <w:rStyle w:val="af1"/>
          <w:snapToGrid w:val="0"/>
        </w:rPr>
        <w:t>доходам</w:t>
      </w:r>
      <w:r w:rsidRPr="00A17AF9">
        <w:rPr>
          <w:rStyle w:val="af1"/>
          <w:snapToGrid w:val="0"/>
        </w:rPr>
        <w:t>» и кликнуть мышью по соответствующей плашке (Рисунок</w:t>
      </w:r>
      <w:r w:rsidR="00DD2EFB">
        <w:rPr>
          <w:rStyle w:val="af1"/>
          <w:snapToGrid w:val="0"/>
        </w:rPr>
        <w:t xml:space="preserve"> </w:t>
      </w:r>
      <w:r w:rsidR="00DD2EFB">
        <w:rPr>
          <w:rStyle w:val="af1"/>
          <w:snapToGrid w:val="0"/>
        </w:rPr>
        <w:fldChar w:fldCharType="begin"/>
      </w:r>
      <w:r w:rsidR="00DD2EFB">
        <w:rPr>
          <w:rStyle w:val="af1"/>
          <w:snapToGrid w:val="0"/>
        </w:rPr>
        <w:instrText xml:space="preserve"> REF _Ref70324979 \h </w:instrText>
      </w:r>
      <w:r w:rsidR="00DD2EFB">
        <w:rPr>
          <w:rStyle w:val="af1"/>
          <w:snapToGrid w:val="0"/>
        </w:rPr>
      </w:r>
      <w:r w:rsidR="00DD2EFB">
        <w:rPr>
          <w:rStyle w:val="af1"/>
          <w:snapToGrid w:val="0"/>
        </w:rPr>
        <w:fldChar w:fldCharType="separate"/>
      </w:r>
      <w:r w:rsidR="00BF0BEE">
        <w:rPr>
          <w:rStyle w:val="af1"/>
          <w:rFonts w:eastAsia="Calibri"/>
          <w:noProof/>
          <w:snapToGrid w:val="0"/>
        </w:rPr>
        <w:t>101</w:t>
      </w:r>
      <w:r w:rsidR="00DD2EFB">
        <w:rPr>
          <w:rStyle w:val="af1"/>
          <w:snapToGrid w:val="0"/>
        </w:rPr>
        <w:fldChar w:fldCharType="end"/>
      </w:r>
      <w:r w:rsidRPr="00A17AF9">
        <w:rPr>
          <w:rStyle w:val="af1"/>
          <w:snapToGrid w:val="0"/>
        </w:rPr>
        <w:t>).</w:t>
      </w:r>
    </w:p>
    <w:p w:rsidR="005F4D60" w:rsidRDefault="005F4D60" w:rsidP="005F4D60">
      <w:pPr>
        <w:pStyle w:val="afffff7"/>
        <w:keepNext/>
      </w:pPr>
      <w:r>
        <w:rPr>
          <w:noProof/>
          <w:lang w:eastAsia="ru-RU"/>
        </w:rPr>
        <w:drawing>
          <wp:inline distT="0" distB="0" distL="0" distR="0" wp14:anchorId="76B2ACA9" wp14:editId="3F96D7C4">
            <wp:extent cx="6152515" cy="2396490"/>
            <wp:effectExtent l="0" t="0" r="635" b="3810"/>
            <wp:docPr id="5721" name="Рисунок 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6152515" cy="2396490"/>
                    </a:xfrm>
                    <a:prstGeom prst="rect">
                      <a:avLst/>
                    </a:prstGeom>
                  </pic:spPr>
                </pic:pic>
              </a:graphicData>
            </a:graphic>
          </wp:inline>
        </w:drawing>
      </w:r>
    </w:p>
    <w:p w:rsidR="005F4D60" w:rsidRPr="004A5A64" w:rsidRDefault="005F4D60" w:rsidP="005F4D60">
      <w:pPr>
        <w:pStyle w:val="-0"/>
        <w:rPr>
          <w:rStyle w:val="af1"/>
          <w:snapToGrid w:val="0"/>
        </w:rPr>
      </w:pPr>
      <w:bookmarkStart w:id="355" w:name="_Toc119584288"/>
      <w:r w:rsidRPr="004A5A64">
        <w:rPr>
          <w:rStyle w:val="af1"/>
          <w:rFonts w:eastAsia="Calibri"/>
          <w:snapToGrid w:val="0"/>
        </w:rPr>
        <w:t xml:space="preserve">Рисунок </w:t>
      </w:r>
      <w:r w:rsidRPr="004A5A64">
        <w:rPr>
          <w:rStyle w:val="af1"/>
          <w:rFonts w:eastAsia="Calibri"/>
          <w:snapToGrid w:val="0"/>
        </w:rPr>
        <w:fldChar w:fldCharType="begin"/>
      </w:r>
      <w:r w:rsidRPr="004A5A64">
        <w:rPr>
          <w:rStyle w:val="af1"/>
          <w:rFonts w:eastAsia="Calibri"/>
          <w:snapToGrid w:val="0"/>
        </w:rPr>
        <w:instrText xml:space="preserve"> SEQ Рисунок \* ARABIC </w:instrText>
      </w:r>
      <w:r w:rsidRPr="004A5A64">
        <w:rPr>
          <w:rStyle w:val="af1"/>
          <w:rFonts w:eastAsia="Calibri"/>
          <w:snapToGrid w:val="0"/>
        </w:rPr>
        <w:fldChar w:fldCharType="separate"/>
      </w:r>
      <w:bookmarkStart w:id="356" w:name="_Ref70324979"/>
      <w:r w:rsidR="001860A9">
        <w:rPr>
          <w:rStyle w:val="af1"/>
          <w:rFonts w:eastAsia="Calibri"/>
          <w:noProof/>
          <w:snapToGrid w:val="0"/>
        </w:rPr>
        <w:t>101</w:t>
      </w:r>
      <w:bookmarkEnd w:id="356"/>
      <w:r w:rsidRPr="004A5A64">
        <w:rPr>
          <w:rStyle w:val="af1"/>
          <w:rFonts w:eastAsia="Calibri"/>
          <w:snapToGrid w:val="0"/>
        </w:rPr>
        <w:fldChar w:fldCharType="end"/>
      </w:r>
      <w:r w:rsidRPr="004A5A64">
        <w:t xml:space="preserve">– Переход к отчету </w:t>
      </w:r>
      <w:r w:rsidRPr="004A5A64">
        <w:rPr>
          <w:rStyle w:val="af1"/>
          <w:snapToGrid w:val="0"/>
        </w:rPr>
        <w:t>«</w:t>
      </w:r>
      <w:r w:rsidRPr="004A5A64">
        <w:t>Информация об объемах налога на добавленную стоимость</w:t>
      </w:r>
      <w:r>
        <w:t xml:space="preserve"> </w:t>
      </w:r>
      <w:r w:rsidRPr="004A5A64">
        <w:t>в разрезе территорий</w:t>
      </w:r>
      <w:r w:rsidRPr="004A5A64">
        <w:rPr>
          <w:rStyle w:val="af1"/>
          <w:snapToGrid w:val="0"/>
        </w:rPr>
        <w:t>»</w:t>
      </w:r>
      <w:bookmarkEnd w:id="355"/>
    </w:p>
    <w:p w:rsidR="005F4D60" w:rsidRPr="003532F1" w:rsidRDefault="005F4D60" w:rsidP="005F4D60">
      <w:pPr>
        <w:pStyle w:val="af0"/>
      </w:pPr>
      <w:r w:rsidRPr="003532F1">
        <w:t>Отчет «Информация об объемах налога на добавленную стоимость в разрезе территорий» отображает информацию об объеме налога на добавленную стоимость на товары (работы, услуги), реализуемые на территории РФ (код бюджетной классификации 18210301000010000110) относительно аналогичного периода прошлого года.</w:t>
      </w:r>
    </w:p>
    <w:p w:rsidR="005F4D60" w:rsidRPr="003532F1" w:rsidRDefault="005F4D60" w:rsidP="005F4D60">
      <w:pPr>
        <w:pStyle w:val="af0"/>
      </w:pPr>
      <w:r w:rsidRPr="003532F1">
        <w:t>Информация в представления выводится в форме таблицы, карты, диаграммы.</w:t>
      </w:r>
    </w:p>
    <w:p w:rsidR="005F4D60" w:rsidRDefault="005F4D60" w:rsidP="005F4D60">
      <w:pPr>
        <w:pStyle w:val="42"/>
        <w:ind w:left="284"/>
        <w:jc w:val="left"/>
        <w:rPr>
          <w:snapToGrid/>
        </w:rPr>
      </w:pPr>
      <w:r>
        <w:rPr>
          <w:snapToGrid/>
        </w:rPr>
        <w:t>Представление «Таблица»</w:t>
      </w:r>
    </w:p>
    <w:p w:rsidR="005F4D60" w:rsidRDefault="005F4D60" w:rsidP="005F4D60">
      <w:pPr>
        <w:pStyle w:val="afffff7"/>
        <w:keepNext/>
      </w:pPr>
      <w:r>
        <w:rPr>
          <w:noProof/>
          <w:lang w:eastAsia="ru-RU"/>
        </w:rPr>
        <w:drawing>
          <wp:inline distT="0" distB="0" distL="0" distR="0" wp14:anchorId="18E05B3D" wp14:editId="7218EF40">
            <wp:extent cx="6152515" cy="1851025"/>
            <wp:effectExtent l="0" t="0" r="635" b="0"/>
            <wp:docPr id="5722" name="Рисунок 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6152515" cy="1851025"/>
                    </a:xfrm>
                    <a:prstGeom prst="rect">
                      <a:avLst/>
                    </a:prstGeom>
                  </pic:spPr>
                </pic:pic>
              </a:graphicData>
            </a:graphic>
          </wp:inline>
        </w:drawing>
      </w:r>
    </w:p>
    <w:p w:rsidR="005F4D60" w:rsidRPr="003532F1" w:rsidRDefault="005F4D60" w:rsidP="005F4D60">
      <w:pPr>
        <w:pStyle w:val="-0"/>
      </w:pPr>
      <w:bookmarkStart w:id="357" w:name="_Toc119584289"/>
      <w:r w:rsidRPr="003532F1">
        <w:rPr>
          <w:rStyle w:val="af1"/>
          <w:rFonts w:eastAsia="Calibri"/>
          <w:snapToGrid w:val="0"/>
        </w:rPr>
        <w:t>Рисунок</w:t>
      </w:r>
      <w:r w:rsidRPr="003532F1">
        <w:t xml:space="preserve"> </w:t>
      </w:r>
      <w:fldSimple w:instr=" SEQ Рисунок \* ARABIC ">
        <w:r w:rsidR="001860A9">
          <w:rPr>
            <w:noProof/>
          </w:rPr>
          <w:t>102</w:t>
        </w:r>
      </w:fldSimple>
      <w:r w:rsidRPr="003532F1">
        <w:t xml:space="preserve"> – Макет аналитического отчета «Информация об объемах налога на добавленную стоимость в разрезе территорий» представление  «Таблица»</w:t>
      </w:r>
      <w:bookmarkEnd w:id="357"/>
    </w:p>
    <w:p w:rsidR="005F4D60" w:rsidRPr="00F13F95" w:rsidRDefault="005F4D60" w:rsidP="005F4D60">
      <w:pPr>
        <w:pStyle w:val="af0"/>
        <w:rPr>
          <w:b/>
          <w:szCs w:val="28"/>
        </w:rPr>
      </w:pPr>
      <w:r w:rsidRPr="00F13F95">
        <w:rPr>
          <w:szCs w:val="28"/>
        </w:rPr>
        <w:t>Параметры отчета:</w:t>
      </w:r>
    </w:p>
    <w:p w:rsidR="005F4D60" w:rsidRPr="00F13F95" w:rsidRDefault="005F4D60" w:rsidP="005C6E50">
      <w:pPr>
        <w:numPr>
          <w:ilvl w:val="0"/>
          <w:numId w:val="113"/>
        </w:numPr>
        <w:ind w:left="1068"/>
        <w:rPr>
          <w:sz w:val="28"/>
          <w:szCs w:val="28"/>
        </w:rPr>
      </w:pPr>
      <w:r w:rsidRPr="00F13F95">
        <w:rPr>
          <w:rFonts w:eastAsia="Calibri"/>
          <w:sz w:val="28"/>
          <w:szCs w:val="28"/>
        </w:rPr>
        <w:t xml:space="preserve"> «По состоянию на»:</w:t>
      </w:r>
      <w:r w:rsidRPr="00F13F95">
        <w:rPr>
          <w:sz w:val="28"/>
          <w:szCs w:val="28"/>
        </w:rPr>
        <w:t xml:space="preserve"> Календарь с выбором даты отображаемых данных. </w:t>
      </w:r>
    </w:p>
    <w:p w:rsidR="005F4D60" w:rsidRPr="00F13F95" w:rsidRDefault="005F4D60" w:rsidP="005F4D60">
      <w:pPr>
        <w:pStyle w:val="29"/>
        <w:numPr>
          <w:ilvl w:val="0"/>
          <w:numId w:val="0"/>
        </w:numPr>
        <w:ind w:left="992"/>
        <w:rPr>
          <w:rFonts w:eastAsia="Calibri"/>
          <w:szCs w:val="28"/>
        </w:rPr>
      </w:pPr>
      <w:r w:rsidRPr="00F13F95">
        <w:rPr>
          <w:szCs w:val="28"/>
        </w:rPr>
        <w:t>По умолчанию отображается последняя дата обновления данных</w:t>
      </w:r>
    </w:p>
    <w:p w:rsidR="005F4D60" w:rsidRPr="00F13F95" w:rsidRDefault="005F4D60" w:rsidP="005C6E50">
      <w:pPr>
        <w:numPr>
          <w:ilvl w:val="0"/>
          <w:numId w:val="113"/>
        </w:numPr>
        <w:ind w:left="1068"/>
        <w:rPr>
          <w:sz w:val="28"/>
          <w:szCs w:val="28"/>
        </w:rPr>
      </w:pPr>
      <w:r w:rsidRPr="00F13F95">
        <w:rPr>
          <w:rFonts w:eastAsia="Calibri"/>
          <w:sz w:val="28"/>
          <w:szCs w:val="28"/>
        </w:rPr>
        <w:t xml:space="preserve"> «КБК»:</w:t>
      </w:r>
      <w:r w:rsidRPr="00F13F95">
        <w:rPr>
          <w:sz w:val="28"/>
          <w:szCs w:val="28"/>
        </w:rPr>
        <w:t xml:space="preserve"> Выпадающий линейный список с множественным выбором. </w:t>
      </w:r>
    </w:p>
    <w:p w:rsidR="005F4D60" w:rsidRPr="00F13F95" w:rsidRDefault="005F4D60" w:rsidP="005F4D60">
      <w:pPr>
        <w:pStyle w:val="29"/>
        <w:numPr>
          <w:ilvl w:val="0"/>
          <w:numId w:val="0"/>
        </w:numPr>
        <w:ind w:left="1276"/>
        <w:rPr>
          <w:szCs w:val="28"/>
        </w:rPr>
      </w:pPr>
      <w:r w:rsidRPr="00F13F95">
        <w:rPr>
          <w:szCs w:val="28"/>
        </w:rPr>
        <w:t>Выводятся только коды по БК по маске 10301% (то есть все записи подчиненные записи. Возможность контекстного поиска по наименованию бюджетной классификации доходов.</w:t>
      </w:r>
    </w:p>
    <w:p w:rsidR="005F4D60" w:rsidRPr="00F13F95" w:rsidRDefault="005F4D60" w:rsidP="005C6E50">
      <w:pPr>
        <w:numPr>
          <w:ilvl w:val="0"/>
          <w:numId w:val="113"/>
        </w:numPr>
        <w:ind w:left="1068"/>
        <w:rPr>
          <w:sz w:val="28"/>
          <w:szCs w:val="28"/>
        </w:rPr>
      </w:pPr>
      <w:r w:rsidRPr="00F13F95">
        <w:rPr>
          <w:rFonts w:eastAsia="Calibri"/>
          <w:sz w:val="28"/>
          <w:szCs w:val="28"/>
        </w:rPr>
        <w:t xml:space="preserve"> «ОРФК»</w:t>
      </w:r>
      <w:r w:rsidRPr="00F13F95">
        <w:rPr>
          <w:sz w:val="28"/>
          <w:szCs w:val="28"/>
        </w:rPr>
        <w:t xml:space="preserve">: </w:t>
      </w:r>
      <w:r w:rsidRPr="00F13F95">
        <w:rPr>
          <w:rFonts w:eastAsia="Calibri"/>
          <w:sz w:val="28"/>
          <w:szCs w:val="28"/>
        </w:rPr>
        <w:t>Выпадающий список с множественным выбором</w:t>
      </w:r>
      <w:r w:rsidRPr="00F13F95">
        <w:rPr>
          <w:sz w:val="28"/>
          <w:szCs w:val="28"/>
        </w:rPr>
        <w:t xml:space="preserve">. </w:t>
      </w:r>
    </w:p>
    <w:p w:rsidR="005F4D60" w:rsidRPr="00F13F95" w:rsidRDefault="005F4D60" w:rsidP="005F4D60">
      <w:pPr>
        <w:pStyle w:val="29"/>
        <w:numPr>
          <w:ilvl w:val="0"/>
          <w:numId w:val="0"/>
        </w:numPr>
        <w:ind w:left="1276"/>
        <w:rPr>
          <w:rFonts w:eastAsia="Calibri"/>
          <w:snapToGrid/>
          <w:szCs w:val="28"/>
        </w:rPr>
      </w:pPr>
      <w:r w:rsidRPr="00F13F95">
        <w:rPr>
          <w:rFonts w:eastAsia="Calibri"/>
          <w:snapToGrid/>
          <w:szCs w:val="28"/>
        </w:rPr>
        <w:t>По умолчанию выводится значение «Все».</w:t>
      </w:r>
      <w:r w:rsidRPr="00F13F95">
        <w:rPr>
          <w:snapToGrid/>
          <w:szCs w:val="28"/>
        </w:rPr>
        <w:t xml:space="preserve"> </w:t>
      </w:r>
      <w:r w:rsidRPr="00F13F95">
        <w:rPr>
          <w:rFonts w:eastAsia="Calibri"/>
          <w:snapToGrid/>
          <w:szCs w:val="28"/>
        </w:rPr>
        <w:t>В параметр выводим код и наименование органов федерального казначейства.</w:t>
      </w:r>
      <w:r w:rsidRPr="00F13F95">
        <w:rPr>
          <w:snapToGrid/>
          <w:szCs w:val="28"/>
        </w:rPr>
        <w:t xml:space="preserve"> </w:t>
      </w:r>
      <w:r w:rsidRPr="00F13F95">
        <w:rPr>
          <w:rFonts w:eastAsia="Calibri"/>
          <w:snapToGrid/>
          <w:szCs w:val="28"/>
        </w:rPr>
        <w:t>Поиск значений по коду и наименованию органов федерального казначейства.</w:t>
      </w:r>
    </w:p>
    <w:p w:rsidR="005F4D60" w:rsidRPr="00F13F95" w:rsidRDefault="005F4D60" w:rsidP="005C6E50">
      <w:pPr>
        <w:numPr>
          <w:ilvl w:val="0"/>
          <w:numId w:val="113"/>
        </w:numPr>
        <w:ind w:left="1068"/>
        <w:rPr>
          <w:snapToGrid/>
          <w:sz w:val="28"/>
          <w:szCs w:val="28"/>
        </w:rPr>
      </w:pPr>
      <w:r w:rsidRPr="00F13F95">
        <w:rPr>
          <w:rFonts w:eastAsia="Calibri"/>
          <w:snapToGrid/>
          <w:sz w:val="28"/>
          <w:szCs w:val="28"/>
        </w:rPr>
        <w:t>Выпадающий список с выбором единиц измерения. Состоит из элементов: руб, тыс руб, млн руб, млрд руб. По умолчанию значение параметра</w:t>
      </w:r>
      <w:r w:rsidRPr="00F13F95">
        <w:rPr>
          <w:snapToGrid/>
          <w:sz w:val="28"/>
          <w:szCs w:val="28"/>
        </w:rPr>
        <w:t xml:space="preserve"> «млрд руб».</w:t>
      </w:r>
    </w:p>
    <w:p w:rsidR="005F4D60" w:rsidRPr="00F13F95" w:rsidRDefault="005F4D60" w:rsidP="005F4D60">
      <w:pPr>
        <w:pStyle w:val="af0"/>
        <w:rPr>
          <w:szCs w:val="28"/>
        </w:rPr>
      </w:pPr>
      <w:r w:rsidRPr="00F13F95">
        <w:rPr>
          <w:szCs w:val="28"/>
        </w:rPr>
        <w:t>Наименования колонок:</w:t>
      </w:r>
    </w:p>
    <w:p w:rsidR="005F4D60" w:rsidRPr="00F13F95" w:rsidRDefault="005F4D60" w:rsidP="005C6E50">
      <w:pPr>
        <w:numPr>
          <w:ilvl w:val="0"/>
          <w:numId w:val="113"/>
        </w:numPr>
        <w:ind w:left="1068"/>
        <w:rPr>
          <w:sz w:val="28"/>
          <w:szCs w:val="28"/>
        </w:rPr>
      </w:pPr>
      <w:r w:rsidRPr="00F13F95">
        <w:rPr>
          <w:sz w:val="28"/>
          <w:szCs w:val="28"/>
        </w:rPr>
        <w:t>Наименование показателя;</w:t>
      </w:r>
    </w:p>
    <w:p w:rsidR="005F4D60" w:rsidRDefault="005F4D60" w:rsidP="005C6E50">
      <w:pPr>
        <w:numPr>
          <w:ilvl w:val="0"/>
          <w:numId w:val="113"/>
        </w:numPr>
        <w:ind w:left="1068"/>
        <w:rPr>
          <w:sz w:val="28"/>
          <w:szCs w:val="28"/>
        </w:rPr>
      </w:pPr>
      <w:r w:rsidRPr="00F13F95">
        <w:rPr>
          <w:sz w:val="28"/>
          <w:szCs w:val="28"/>
        </w:rPr>
        <w:t>Чистое поступление («ПБ303 - Объем</w:t>
      </w:r>
      <w:r w:rsidRPr="007C64E1">
        <w:rPr>
          <w:sz w:val="28"/>
          <w:szCs w:val="28"/>
        </w:rPr>
        <w:t xml:space="preserve"> поступлений по доходам»</w:t>
      </w:r>
      <w:r>
        <w:rPr>
          <w:sz w:val="28"/>
          <w:szCs w:val="28"/>
        </w:rPr>
        <w:t xml:space="preserve">. Показатель возможно рассчитать по формуле: </w:t>
      </w:r>
    </w:p>
    <w:p w:rsidR="005F4D60" w:rsidRDefault="005F4D60" w:rsidP="005F4D60">
      <w:pPr>
        <w:ind w:left="1068"/>
        <w:rPr>
          <w:sz w:val="28"/>
          <w:szCs w:val="28"/>
        </w:rPr>
      </w:pPr>
      <w:r>
        <w:rPr>
          <w:sz w:val="28"/>
          <w:szCs w:val="28"/>
        </w:rPr>
        <w:t>Чистое поступление=Поступило-Возвращено+Уточнено);</w:t>
      </w:r>
    </w:p>
    <w:p w:rsidR="005F4D60" w:rsidRDefault="005F4D60" w:rsidP="005C6E50">
      <w:pPr>
        <w:numPr>
          <w:ilvl w:val="0"/>
          <w:numId w:val="113"/>
        </w:numPr>
        <w:ind w:left="1068"/>
        <w:rPr>
          <w:sz w:val="28"/>
          <w:szCs w:val="28"/>
        </w:rPr>
      </w:pPr>
      <w:r>
        <w:rPr>
          <w:sz w:val="28"/>
          <w:szCs w:val="28"/>
        </w:rPr>
        <w:t xml:space="preserve">Темп прироста к прошлому году </w:t>
      </w:r>
    </w:p>
    <w:p w:rsidR="005F4D60" w:rsidRDefault="005F4D60" w:rsidP="005F4D60">
      <w:pPr>
        <w:ind w:left="1068"/>
        <w:rPr>
          <w:sz w:val="28"/>
          <w:szCs w:val="28"/>
        </w:rPr>
      </w:pPr>
      <w:r>
        <w:rPr>
          <w:sz w:val="28"/>
          <w:szCs w:val="28"/>
        </w:rPr>
        <w:t xml:space="preserve">(Показатель рассчитывается по формуле </w:t>
      </w:r>
    </w:p>
    <w:p w:rsidR="005F4D60" w:rsidRDefault="005F4D60" w:rsidP="005F4D60">
      <w:pPr>
        <w:ind w:left="1068"/>
        <w:rPr>
          <w:sz w:val="28"/>
          <w:szCs w:val="28"/>
        </w:rPr>
      </w:pPr>
      <w:r>
        <w:rPr>
          <w:sz w:val="28"/>
          <w:szCs w:val="28"/>
        </w:rPr>
        <w:t>Чистое поступление на ДД.ММ.ГГГГ /Чистое поступление на ДД.ММ.ГГГГ-1) * 100% - 100%);</w:t>
      </w:r>
    </w:p>
    <w:p w:rsidR="005F4D60" w:rsidRDefault="005F4D60" w:rsidP="005C6E50">
      <w:pPr>
        <w:numPr>
          <w:ilvl w:val="0"/>
          <w:numId w:val="113"/>
        </w:numPr>
        <w:ind w:left="1068"/>
        <w:rPr>
          <w:sz w:val="28"/>
          <w:szCs w:val="28"/>
        </w:rPr>
      </w:pPr>
      <w:r>
        <w:rPr>
          <w:sz w:val="28"/>
          <w:szCs w:val="28"/>
        </w:rPr>
        <w:t>Поступило (</w:t>
      </w:r>
      <w:r w:rsidRPr="00375C0D">
        <w:rPr>
          <w:sz w:val="28"/>
          <w:szCs w:val="28"/>
        </w:rPr>
        <w:t>«ПБ303.011 - Объем поступлений НДС»</w:t>
      </w:r>
      <w:r>
        <w:rPr>
          <w:sz w:val="28"/>
          <w:szCs w:val="28"/>
        </w:rPr>
        <w:t>);</w:t>
      </w:r>
    </w:p>
    <w:p w:rsidR="005F4D60" w:rsidRDefault="005F4D60" w:rsidP="005C6E50">
      <w:pPr>
        <w:numPr>
          <w:ilvl w:val="0"/>
          <w:numId w:val="113"/>
        </w:numPr>
        <w:ind w:left="1068"/>
        <w:rPr>
          <w:sz w:val="28"/>
          <w:szCs w:val="28"/>
        </w:rPr>
      </w:pPr>
      <w:r>
        <w:rPr>
          <w:sz w:val="28"/>
          <w:szCs w:val="28"/>
        </w:rPr>
        <w:t>Темп прироста к прошлому году</w:t>
      </w:r>
    </w:p>
    <w:p w:rsidR="005F4D60" w:rsidRPr="00375C0D" w:rsidRDefault="005F4D60" w:rsidP="005F4D60">
      <w:pPr>
        <w:ind w:left="1068"/>
        <w:rPr>
          <w:sz w:val="28"/>
          <w:szCs w:val="28"/>
        </w:rPr>
      </w:pPr>
      <w:r w:rsidRPr="00375C0D">
        <w:rPr>
          <w:sz w:val="28"/>
          <w:szCs w:val="28"/>
        </w:rPr>
        <w:t xml:space="preserve">(Показатель рассчитывается по формуле </w:t>
      </w:r>
    </w:p>
    <w:p w:rsidR="005F4D60" w:rsidRDefault="005F4D60" w:rsidP="005F4D60">
      <w:pPr>
        <w:ind w:left="1068"/>
        <w:rPr>
          <w:sz w:val="28"/>
          <w:szCs w:val="28"/>
        </w:rPr>
      </w:pPr>
      <w:r>
        <w:rPr>
          <w:sz w:val="28"/>
          <w:szCs w:val="28"/>
        </w:rPr>
        <w:t xml:space="preserve">Поступило </w:t>
      </w:r>
      <w:r w:rsidRPr="00375C0D">
        <w:rPr>
          <w:sz w:val="28"/>
          <w:szCs w:val="28"/>
        </w:rPr>
        <w:t xml:space="preserve">на ДД.ММ.ГГГГ / </w:t>
      </w:r>
      <w:r>
        <w:rPr>
          <w:sz w:val="28"/>
          <w:szCs w:val="28"/>
        </w:rPr>
        <w:t xml:space="preserve">Поступило </w:t>
      </w:r>
      <w:r w:rsidRPr="00375C0D">
        <w:rPr>
          <w:sz w:val="28"/>
          <w:szCs w:val="28"/>
        </w:rPr>
        <w:t>на ДД.ММ.ГГГГ-1) * 100% - 100%);</w:t>
      </w:r>
    </w:p>
    <w:p w:rsidR="005F4D60" w:rsidRDefault="005F4D60" w:rsidP="005C6E50">
      <w:pPr>
        <w:numPr>
          <w:ilvl w:val="0"/>
          <w:numId w:val="113"/>
        </w:numPr>
        <w:ind w:left="1068"/>
        <w:rPr>
          <w:sz w:val="28"/>
          <w:szCs w:val="28"/>
        </w:rPr>
      </w:pPr>
      <w:r w:rsidRPr="00A0415D">
        <w:rPr>
          <w:sz w:val="28"/>
          <w:szCs w:val="28"/>
        </w:rPr>
        <w:t>Воз</w:t>
      </w:r>
      <w:r>
        <w:rPr>
          <w:sz w:val="28"/>
          <w:szCs w:val="28"/>
        </w:rPr>
        <w:t>вращено (</w:t>
      </w:r>
      <w:r w:rsidRPr="00375C0D">
        <w:rPr>
          <w:sz w:val="28"/>
          <w:szCs w:val="28"/>
        </w:rPr>
        <w:t>ПБ303.01</w:t>
      </w:r>
      <w:r>
        <w:rPr>
          <w:sz w:val="28"/>
          <w:szCs w:val="28"/>
        </w:rPr>
        <w:t>2</w:t>
      </w:r>
      <w:r w:rsidRPr="00375C0D">
        <w:rPr>
          <w:sz w:val="28"/>
          <w:szCs w:val="28"/>
        </w:rPr>
        <w:t xml:space="preserve"> - Объем возмещения (возврата) НДС»</w:t>
      </w:r>
      <w:r>
        <w:rPr>
          <w:sz w:val="28"/>
          <w:szCs w:val="28"/>
        </w:rPr>
        <w:t>);</w:t>
      </w:r>
    </w:p>
    <w:p w:rsidR="005F4D60" w:rsidRDefault="005F4D60" w:rsidP="005C6E50">
      <w:pPr>
        <w:numPr>
          <w:ilvl w:val="0"/>
          <w:numId w:val="113"/>
        </w:numPr>
        <w:ind w:left="1068"/>
        <w:rPr>
          <w:sz w:val="28"/>
          <w:szCs w:val="28"/>
        </w:rPr>
      </w:pPr>
      <w:r>
        <w:rPr>
          <w:sz w:val="28"/>
          <w:szCs w:val="28"/>
        </w:rPr>
        <w:t xml:space="preserve">Темп прироста к прошлому году </w:t>
      </w:r>
    </w:p>
    <w:p w:rsidR="005F4D60" w:rsidRPr="00375C0D" w:rsidRDefault="005F4D60" w:rsidP="005F4D60">
      <w:pPr>
        <w:ind w:left="1068"/>
        <w:rPr>
          <w:sz w:val="28"/>
          <w:szCs w:val="28"/>
        </w:rPr>
      </w:pPr>
      <w:r w:rsidRPr="00375C0D">
        <w:rPr>
          <w:sz w:val="28"/>
          <w:szCs w:val="28"/>
        </w:rPr>
        <w:t xml:space="preserve">(Показатель рассчитывается по формуле </w:t>
      </w:r>
    </w:p>
    <w:p w:rsidR="005F4D60" w:rsidRDefault="005F4D60" w:rsidP="005F4D60">
      <w:pPr>
        <w:ind w:left="1068"/>
        <w:rPr>
          <w:sz w:val="28"/>
          <w:szCs w:val="28"/>
        </w:rPr>
      </w:pPr>
      <w:r w:rsidRPr="00A0415D">
        <w:rPr>
          <w:sz w:val="28"/>
          <w:szCs w:val="28"/>
        </w:rPr>
        <w:t>Воз</w:t>
      </w:r>
      <w:r>
        <w:rPr>
          <w:sz w:val="28"/>
          <w:szCs w:val="28"/>
        </w:rPr>
        <w:t>вращено</w:t>
      </w:r>
      <w:r w:rsidRPr="00A0415D">
        <w:rPr>
          <w:sz w:val="28"/>
          <w:szCs w:val="28"/>
        </w:rPr>
        <w:t xml:space="preserve"> </w:t>
      </w:r>
      <w:r w:rsidRPr="00375C0D">
        <w:rPr>
          <w:sz w:val="28"/>
          <w:szCs w:val="28"/>
        </w:rPr>
        <w:t xml:space="preserve">на ДД.ММ.ГГГГ / </w:t>
      </w:r>
      <w:r w:rsidRPr="00A0415D">
        <w:rPr>
          <w:sz w:val="28"/>
          <w:szCs w:val="28"/>
        </w:rPr>
        <w:t>Воз</w:t>
      </w:r>
      <w:r>
        <w:rPr>
          <w:sz w:val="28"/>
          <w:szCs w:val="28"/>
        </w:rPr>
        <w:t>вращено</w:t>
      </w:r>
      <w:r w:rsidRPr="00A0415D">
        <w:rPr>
          <w:sz w:val="28"/>
          <w:szCs w:val="28"/>
        </w:rPr>
        <w:t xml:space="preserve"> </w:t>
      </w:r>
      <w:r w:rsidRPr="00375C0D">
        <w:rPr>
          <w:sz w:val="28"/>
          <w:szCs w:val="28"/>
        </w:rPr>
        <w:t>на ДД.ММ.ГГГГ-1) * 100% - 100%);</w:t>
      </w:r>
    </w:p>
    <w:p w:rsidR="005F4D60" w:rsidRDefault="005F4D60" w:rsidP="005C6E50">
      <w:pPr>
        <w:numPr>
          <w:ilvl w:val="0"/>
          <w:numId w:val="113"/>
        </w:numPr>
        <w:ind w:left="1068"/>
        <w:rPr>
          <w:sz w:val="28"/>
          <w:szCs w:val="28"/>
        </w:rPr>
      </w:pPr>
      <w:r>
        <w:rPr>
          <w:sz w:val="28"/>
          <w:szCs w:val="28"/>
        </w:rPr>
        <w:t>Уточнено («</w:t>
      </w:r>
      <w:r w:rsidRPr="00375C0D">
        <w:rPr>
          <w:sz w:val="28"/>
          <w:szCs w:val="28"/>
        </w:rPr>
        <w:t xml:space="preserve">ПБ303.013 </w:t>
      </w:r>
      <w:r>
        <w:rPr>
          <w:sz w:val="28"/>
          <w:szCs w:val="28"/>
        </w:rPr>
        <w:t>- Объем зачета (уточнения) НДС»);</w:t>
      </w:r>
    </w:p>
    <w:p w:rsidR="005F4D60" w:rsidRDefault="005F4D60" w:rsidP="005C6E50">
      <w:pPr>
        <w:numPr>
          <w:ilvl w:val="0"/>
          <w:numId w:val="113"/>
        </w:numPr>
        <w:ind w:left="1068"/>
        <w:rPr>
          <w:sz w:val="28"/>
          <w:szCs w:val="28"/>
        </w:rPr>
      </w:pPr>
      <w:r>
        <w:rPr>
          <w:sz w:val="28"/>
          <w:szCs w:val="28"/>
        </w:rPr>
        <w:t>Темп прироста к прошлому году</w:t>
      </w:r>
    </w:p>
    <w:p w:rsidR="005F4D60" w:rsidRPr="00375C0D" w:rsidRDefault="005F4D60" w:rsidP="005F4D60">
      <w:pPr>
        <w:ind w:left="1068"/>
        <w:rPr>
          <w:sz w:val="28"/>
          <w:szCs w:val="28"/>
        </w:rPr>
      </w:pPr>
      <w:r w:rsidRPr="00375C0D">
        <w:rPr>
          <w:sz w:val="28"/>
          <w:szCs w:val="28"/>
        </w:rPr>
        <w:t xml:space="preserve">(Показатель рассчитывается по формуле </w:t>
      </w:r>
    </w:p>
    <w:p w:rsidR="005F4D60" w:rsidRDefault="005F4D60" w:rsidP="005F4D60">
      <w:pPr>
        <w:ind w:left="1068"/>
        <w:rPr>
          <w:sz w:val="28"/>
          <w:szCs w:val="28"/>
        </w:rPr>
      </w:pPr>
      <w:r>
        <w:rPr>
          <w:sz w:val="28"/>
          <w:szCs w:val="28"/>
        </w:rPr>
        <w:t xml:space="preserve">Уточнено </w:t>
      </w:r>
      <w:r w:rsidRPr="00375C0D">
        <w:rPr>
          <w:sz w:val="28"/>
          <w:szCs w:val="28"/>
        </w:rPr>
        <w:t xml:space="preserve">на ДД.ММ.ГГГГ / </w:t>
      </w:r>
      <w:r>
        <w:rPr>
          <w:sz w:val="28"/>
          <w:szCs w:val="28"/>
        </w:rPr>
        <w:t>Уточнено на ДД.ММ.ГГГГ-1) * 100% - 100%).</w:t>
      </w:r>
    </w:p>
    <w:p w:rsidR="005F4D60" w:rsidRPr="000A5C36" w:rsidRDefault="005F4D60" w:rsidP="005F4D60">
      <w:pPr>
        <w:spacing w:before="120" w:after="60"/>
        <w:ind w:firstLine="567"/>
        <w:contextualSpacing/>
        <w:rPr>
          <w:snapToGrid/>
          <w:color w:val="auto"/>
          <w:sz w:val="28"/>
          <w:szCs w:val="28"/>
        </w:rPr>
      </w:pPr>
      <w:r w:rsidRPr="000A5C36">
        <w:rPr>
          <w:snapToGrid/>
          <w:color w:val="auto"/>
          <w:sz w:val="28"/>
          <w:szCs w:val="28"/>
        </w:rPr>
        <w:t>Переходы:</w:t>
      </w:r>
    </w:p>
    <w:p w:rsidR="005F4D60" w:rsidRDefault="005F4D60" w:rsidP="005C6E50">
      <w:pPr>
        <w:numPr>
          <w:ilvl w:val="0"/>
          <w:numId w:val="113"/>
        </w:numPr>
        <w:rPr>
          <w:sz w:val="28"/>
          <w:szCs w:val="28"/>
        </w:rPr>
      </w:pPr>
      <w:r w:rsidRPr="00375C0D">
        <w:rPr>
          <w:sz w:val="28"/>
          <w:szCs w:val="28"/>
        </w:rPr>
        <w:t xml:space="preserve">С первой строки отчета колонок «Чистое поступление», «Поступило», «Возвращено», «Уточнено» возможен переход к представлению «По </w:t>
      </w:r>
      <w:r>
        <w:rPr>
          <w:sz w:val="28"/>
          <w:szCs w:val="28"/>
        </w:rPr>
        <w:t>ОРФК</w:t>
      </w:r>
      <w:r w:rsidRPr="00375C0D">
        <w:rPr>
          <w:sz w:val="28"/>
          <w:szCs w:val="28"/>
        </w:rPr>
        <w:t>».</w:t>
      </w:r>
    </w:p>
    <w:p w:rsidR="005F4D60" w:rsidRDefault="005F4D60" w:rsidP="005C6E50">
      <w:pPr>
        <w:numPr>
          <w:ilvl w:val="0"/>
          <w:numId w:val="113"/>
        </w:numPr>
        <w:rPr>
          <w:sz w:val="28"/>
          <w:szCs w:val="28"/>
        </w:rPr>
      </w:pPr>
      <w:r w:rsidRPr="00375C0D">
        <w:rPr>
          <w:sz w:val="28"/>
          <w:szCs w:val="28"/>
        </w:rPr>
        <w:t>С первой строки отчета колонок «Чистое поступление», «Поступило», «Возвращено», «Уточнено» возможен переход к представлению «</w:t>
      </w:r>
      <w:r>
        <w:rPr>
          <w:sz w:val="28"/>
          <w:szCs w:val="28"/>
        </w:rPr>
        <w:t>Карта</w:t>
      </w:r>
      <w:r w:rsidRPr="00375C0D">
        <w:rPr>
          <w:sz w:val="28"/>
          <w:szCs w:val="28"/>
        </w:rPr>
        <w:t xml:space="preserve">» с передачей </w:t>
      </w:r>
      <w:r>
        <w:rPr>
          <w:sz w:val="28"/>
          <w:szCs w:val="28"/>
        </w:rPr>
        <w:t>названия показателя</w:t>
      </w:r>
      <w:r w:rsidRPr="00A64319">
        <w:rPr>
          <w:sz w:val="28"/>
          <w:szCs w:val="28"/>
        </w:rPr>
        <w:t xml:space="preserve"> </w:t>
      </w:r>
      <w:r>
        <w:rPr>
          <w:sz w:val="28"/>
          <w:szCs w:val="28"/>
        </w:rPr>
        <w:t xml:space="preserve">в столбце </w:t>
      </w:r>
      <w:r w:rsidRPr="00375C0D">
        <w:rPr>
          <w:sz w:val="28"/>
          <w:szCs w:val="28"/>
        </w:rPr>
        <w:t>в параметр «</w:t>
      </w:r>
      <w:r>
        <w:rPr>
          <w:sz w:val="28"/>
          <w:szCs w:val="28"/>
        </w:rPr>
        <w:t>Показатель</w:t>
      </w:r>
      <w:r w:rsidRPr="00375C0D">
        <w:rPr>
          <w:sz w:val="28"/>
          <w:szCs w:val="28"/>
        </w:rPr>
        <w:t>».</w:t>
      </w:r>
    </w:p>
    <w:p w:rsidR="005F4D60" w:rsidRDefault="005F4D60" w:rsidP="005F4D60">
      <w:pPr>
        <w:pStyle w:val="42"/>
        <w:ind w:left="284"/>
        <w:jc w:val="left"/>
        <w:rPr>
          <w:snapToGrid/>
        </w:rPr>
      </w:pPr>
      <w:r w:rsidRPr="003532F1">
        <w:rPr>
          <w:snapToGrid/>
        </w:rPr>
        <w:t>Представление «По ОРФК»</w:t>
      </w:r>
    </w:p>
    <w:p w:rsidR="005F4D60" w:rsidRDefault="005F4D60" w:rsidP="005F4D60">
      <w:pPr>
        <w:pStyle w:val="afffff7"/>
        <w:keepNext/>
      </w:pPr>
      <w:r>
        <w:rPr>
          <w:noProof/>
          <w:lang w:eastAsia="ru-RU"/>
        </w:rPr>
        <w:drawing>
          <wp:inline distT="0" distB="0" distL="0" distR="0" wp14:anchorId="419F5E04" wp14:editId="19E68B5C">
            <wp:extent cx="6152515" cy="2222500"/>
            <wp:effectExtent l="0" t="0" r="635" b="6350"/>
            <wp:docPr id="5723" name="Рисунок 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6152515" cy="2222500"/>
                    </a:xfrm>
                    <a:prstGeom prst="rect">
                      <a:avLst/>
                    </a:prstGeom>
                  </pic:spPr>
                </pic:pic>
              </a:graphicData>
            </a:graphic>
          </wp:inline>
        </w:drawing>
      </w:r>
    </w:p>
    <w:p w:rsidR="005F4D60" w:rsidRPr="003532F1" w:rsidRDefault="005F4D60" w:rsidP="005F4D60">
      <w:pPr>
        <w:pStyle w:val="-0"/>
      </w:pPr>
      <w:bookmarkStart w:id="358" w:name="_Toc119584290"/>
      <w:r w:rsidRPr="003532F1">
        <w:t xml:space="preserve">Рисунок </w:t>
      </w:r>
      <w:fldSimple w:instr=" SEQ Рисунок \* ARABIC ">
        <w:r w:rsidR="001860A9">
          <w:rPr>
            <w:noProof/>
          </w:rPr>
          <w:t>103</w:t>
        </w:r>
      </w:fldSimple>
      <w:r w:rsidR="00124418">
        <w:t xml:space="preserve"> </w:t>
      </w:r>
      <w:r w:rsidRPr="003532F1">
        <w:t>– Макет аналитического отчета «Информация об объемах налога на добавленную стоимость в разрезе территорий» представление  «По ОРФК»</w:t>
      </w:r>
      <w:bookmarkEnd w:id="358"/>
    </w:p>
    <w:p w:rsidR="005F4D60" w:rsidRPr="009709FB" w:rsidRDefault="005F4D60" w:rsidP="005F4D60">
      <w:pPr>
        <w:pStyle w:val="af0"/>
        <w:rPr>
          <w:b/>
          <w:szCs w:val="28"/>
        </w:rPr>
      </w:pPr>
      <w:r w:rsidRPr="00DA608C">
        <w:rPr>
          <w:szCs w:val="28"/>
        </w:rPr>
        <w:t>Параметры отчета:</w:t>
      </w:r>
    </w:p>
    <w:p w:rsidR="005F4D60" w:rsidRPr="00FF55C6"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«По состоянию на».</w:t>
      </w:r>
    </w:p>
    <w:p w:rsidR="005F4D60" w:rsidRPr="00F271E7" w:rsidRDefault="005F4D60" w:rsidP="005F4D60">
      <w:pPr>
        <w:pStyle w:val="afff6"/>
        <w:spacing w:line="360" w:lineRule="exact"/>
        <w:ind w:left="1068"/>
        <w:rPr>
          <w:snapToGrid/>
          <w:color w:val="auto"/>
          <w:szCs w:val="28"/>
        </w:rPr>
      </w:pPr>
      <w:r w:rsidRPr="00F271E7">
        <w:rPr>
          <w:snapToGrid/>
          <w:color w:val="auto"/>
          <w:szCs w:val="28"/>
        </w:rPr>
        <w:t>Календарь с выбором даты отображаемых данных.</w:t>
      </w:r>
    </w:p>
    <w:p w:rsidR="005F4D60" w:rsidRPr="00F271E7" w:rsidRDefault="005F4D60" w:rsidP="005F4D60">
      <w:pPr>
        <w:pStyle w:val="afff6"/>
        <w:ind w:left="1068"/>
        <w:rPr>
          <w:rFonts w:eastAsia="Calibri"/>
          <w:snapToGrid/>
          <w:color w:val="auto"/>
          <w:szCs w:val="28"/>
        </w:rPr>
      </w:pPr>
      <w:r w:rsidRPr="00F271E7">
        <w:rPr>
          <w:snapToGrid/>
          <w:color w:val="auto"/>
          <w:szCs w:val="28"/>
        </w:rPr>
        <w:t>По умолчанию отображается последняя дата обновления данных</w:t>
      </w:r>
      <w:r w:rsidRPr="00F271E7">
        <w:rPr>
          <w:rFonts w:eastAsia="Calibri"/>
          <w:snapToGrid/>
          <w:color w:val="auto"/>
          <w:szCs w:val="28"/>
        </w:rPr>
        <w:t>.</w:t>
      </w:r>
    </w:p>
    <w:p w:rsidR="005F4D60"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w:t>
      </w:r>
      <w:r>
        <w:rPr>
          <w:rFonts w:eastAsia="Calibri"/>
          <w:snapToGrid/>
          <w:color w:val="auto"/>
          <w:sz w:val="28"/>
          <w:szCs w:val="28"/>
        </w:rPr>
        <w:t>Код по БК</w:t>
      </w:r>
      <w:r w:rsidRPr="00FF55C6">
        <w:rPr>
          <w:rFonts w:eastAsia="Calibri"/>
          <w:snapToGrid/>
          <w:color w:val="auto"/>
          <w:sz w:val="28"/>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Выпадающий</w:t>
      </w:r>
      <w:r>
        <w:rPr>
          <w:snapToGrid/>
          <w:color w:val="auto"/>
          <w:szCs w:val="28"/>
        </w:rPr>
        <w:t xml:space="preserve"> линейный список с множественным выбором</w:t>
      </w:r>
      <w:r w:rsidRPr="00F271E7">
        <w:rPr>
          <w:snapToGrid/>
          <w:color w:val="auto"/>
          <w:szCs w:val="28"/>
        </w:rPr>
        <w:t>.</w:t>
      </w:r>
    </w:p>
    <w:p w:rsidR="005F4D60" w:rsidRPr="00F271E7" w:rsidRDefault="005F4D60" w:rsidP="005F4D60">
      <w:pPr>
        <w:pStyle w:val="afff6"/>
        <w:spacing w:line="360" w:lineRule="exact"/>
        <w:ind w:left="1068"/>
        <w:rPr>
          <w:snapToGrid/>
          <w:color w:val="auto"/>
          <w:szCs w:val="28"/>
        </w:rPr>
      </w:pPr>
      <w:r>
        <w:rPr>
          <w:snapToGrid/>
          <w:color w:val="auto"/>
          <w:szCs w:val="28"/>
        </w:rPr>
        <w:t xml:space="preserve">Выводятся только коды по БК по маске </w:t>
      </w:r>
      <w:r w:rsidRPr="00F06BD6">
        <w:rPr>
          <w:snapToGrid/>
          <w:color w:val="auto"/>
          <w:szCs w:val="28"/>
        </w:rPr>
        <w:t>10301</w:t>
      </w:r>
      <w:r>
        <w:rPr>
          <w:snapToGrid/>
          <w:color w:val="auto"/>
          <w:szCs w:val="28"/>
        </w:rPr>
        <w:t xml:space="preserve">% (то есть все записи подчиненные записи </w:t>
      </w:r>
      <w:r w:rsidRPr="00F47CD2">
        <w:rPr>
          <w:snapToGrid/>
          <w:color w:val="auto"/>
          <w:szCs w:val="28"/>
        </w:rPr>
        <w:t>18210301000010000110)</w:t>
      </w:r>
      <w:r>
        <w:rPr>
          <w:snapToGrid/>
          <w:color w:val="auto"/>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 xml:space="preserve">По умолчанию выводится значение «Все». </w:t>
      </w:r>
    </w:p>
    <w:p w:rsidR="005F4D60" w:rsidRDefault="005F4D60" w:rsidP="005F4D60">
      <w:pPr>
        <w:pStyle w:val="afff6"/>
        <w:spacing w:line="360" w:lineRule="exact"/>
        <w:ind w:left="1068"/>
        <w:rPr>
          <w:snapToGrid/>
          <w:color w:val="auto"/>
          <w:szCs w:val="28"/>
        </w:rPr>
      </w:pPr>
      <w:r w:rsidRPr="00FA2D0D">
        <w:rPr>
          <w:snapToGrid/>
          <w:color w:val="auto"/>
          <w:szCs w:val="28"/>
        </w:rPr>
        <w:t>В параметр вы</w:t>
      </w:r>
      <w:r>
        <w:rPr>
          <w:snapToGrid/>
          <w:color w:val="auto"/>
          <w:szCs w:val="28"/>
        </w:rPr>
        <w:t>водим наименования бюджетной классификации доходов.</w:t>
      </w:r>
    </w:p>
    <w:p w:rsidR="005F4D60" w:rsidRPr="00F271E7" w:rsidRDefault="005F4D60" w:rsidP="005F4D60">
      <w:pPr>
        <w:pStyle w:val="afff6"/>
        <w:spacing w:line="360" w:lineRule="exact"/>
        <w:ind w:left="1068"/>
      </w:pPr>
      <w:r w:rsidRPr="00FA2D0D">
        <w:rPr>
          <w:snapToGrid/>
          <w:color w:val="auto"/>
          <w:szCs w:val="28"/>
        </w:rPr>
        <w:t>Возможность контекстного поиска по наименованию</w:t>
      </w:r>
      <w:r w:rsidRPr="00F271E7">
        <w:rPr>
          <w:snapToGrid/>
          <w:color w:val="auto"/>
          <w:szCs w:val="28"/>
        </w:rPr>
        <w:t xml:space="preserve"> </w:t>
      </w:r>
      <w:r>
        <w:rPr>
          <w:snapToGrid/>
          <w:color w:val="auto"/>
          <w:szCs w:val="28"/>
        </w:rPr>
        <w:t>бюджетной классификации доходов.</w:t>
      </w:r>
    </w:p>
    <w:p w:rsidR="005F4D60" w:rsidRDefault="005F4D60" w:rsidP="005C6E50">
      <w:pPr>
        <w:numPr>
          <w:ilvl w:val="0"/>
          <w:numId w:val="113"/>
        </w:numPr>
        <w:ind w:left="1068"/>
        <w:rPr>
          <w:rFonts w:eastAsia="Calibri"/>
          <w:snapToGrid/>
          <w:color w:val="auto"/>
          <w:sz w:val="28"/>
          <w:szCs w:val="28"/>
        </w:rPr>
      </w:pPr>
      <w:r>
        <w:rPr>
          <w:rFonts w:eastAsia="Calibri"/>
          <w:snapToGrid/>
          <w:color w:val="auto"/>
          <w:sz w:val="28"/>
          <w:szCs w:val="28"/>
        </w:rPr>
        <w:t>«ОРФК».</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Выпадающий список с множественным выбором.</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По умолчанию выводится значение «Все».</w:t>
      </w:r>
    </w:p>
    <w:p w:rsidR="005F4D60" w:rsidRDefault="005F4D60" w:rsidP="005F4D60">
      <w:pPr>
        <w:ind w:left="1068"/>
        <w:rPr>
          <w:rFonts w:eastAsia="Calibri"/>
          <w:snapToGrid/>
          <w:color w:val="auto"/>
          <w:sz w:val="28"/>
          <w:szCs w:val="28"/>
        </w:rPr>
      </w:pPr>
      <w:r w:rsidRPr="007C64E1">
        <w:rPr>
          <w:rFonts w:eastAsia="Calibri"/>
          <w:snapToGrid/>
          <w:color w:val="auto"/>
          <w:sz w:val="28"/>
          <w:szCs w:val="28"/>
        </w:rPr>
        <w:t>В параметр выводим код и наименование органов федерального казначейства.</w:t>
      </w:r>
    </w:p>
    <w:p w:rsidR="005F4D60" w:rsidRDefault="005F4D60" w:rsidP="005F4D60">
      <w:pPr>
        <w:ind w:left="1068"/>
        <w:rPr>
          <w:rFonts w:eastAsia="Calibri"/>
          <w:snapToGrid/>
          <w:color w:val="auto"/>
          <w:sz w:val="28"/>
          <w:szCs w:val="28"/>
        </w:rPr>
      </w:pPr>
      <w:r>
        <w:rPr>
          <w:rFonts w:eastAsia="Calibri"/>
          <w:snapToGrid/>
          <w:color w:val="auto"/>
          <w:sz w:val="28"/>
          <w:szCs w:val="28"/>
        </w:rPr>
        <w:t>Поиск значений по коду и наименованию</w:t>
      </w:r>
      <w:r w:rsidRPr="007C64E1">
        <w:rPr>
          <w:rFonts w:eastAsia="Calibri"/>
          <w:snapToGrid/>
          <w:color w:val="auto"/>
          <w:sz w:val="28"/>
          <w:szCs w:val="28"/>
        </w:rPr>
        <w:t xml:space="preserve"> органов федерального казначейства.</w:t>
      </w:r>
    </w:p>
    <w:p w:rsidR="005F4D60" w:rsidRPr="00FF55C6" w:rsidRDefault="005F4D60" w:rsidP="005C6E50">
      <w:pPr>
        <w:numPr>
          <w:ilvl w:val="0"/>
          <w:numId w:val="113"/>
        </w:numPr>
        <w:ind w:left="1068"/>
        <w:rPr>
          <w:rFonts w:eastAsia="Calibri"/>
          <w:snapToGrid/>
          <w:color w:val="auto"/>
          <w:sz w:val="28"/>
          <w:szCs w:val="28"/>
        </w:rPr>
      </w:pPr>
      <w:r>
        <w:rPr>
          <w:rFonts w:eastAsia="Calibri"/>
          <w:snapToGrid/>
          <w:color w:val="auto"/>
          <w:sz w:val="28"/>
          <w:szCs w:val="28"/>
        </w:rPr>
        <w:t>Чек бокс «По федеральным округам».</w:t>
      </w:r>
    </w:p>
    <w:p w:rsidR="005F4D60" w:rsidRDefault="005F4D60" w:rsidP="005F4D60">
      <w:pPr>
        <w:ind w:left="1068"/>
        <w:rPr>
          <w:snapToGrid/>
          <w:sz w:val="28"/>
          <w:szCs w:val="28"/>
        </w:rPr>
      </w:pPr>
      <w:r>
        <w:rPr>
          <w:snapToGrid/>
          <w:sz w:val="28"/>
          <w:szCs w:val="28"/>
        </w:rPr>
        <w:t>При нажатии на чек-бокс изменяется группировка строк отчета: ТОФК группируются по федеральным округам.</w:t>
      </w:r>
    </w:p>
    <w:p w:rsidR="005F4D60" w:rsidRPr="003532F1" w:rsidRDefault="005F4D60" w:rsidP="005C6E50">
      <w:pPr>
        <w:numPr>
          <w:ilvl w:val="0"/>
          <w:numId w:val="113"/>
        </w:numPr>
        <w:ind w:left="1068"/>
        <w:rPr>
          <w:rFonts w:eastAsia="Calibri"/>
          <w:snapToGrid/>
          <w:color w:val="auto"/>
          <w:sz w:val="28"/>
          <w:szCs w:val="28"/>
        </w:rPr>
      </w:pPr>
      <w:r w:rsidRPr="003532F1">
        <w:rPr>
          <w:rFonts w:eastAsia="Calibri"/>
          <w:snapToGrid/>
          <w:color w:val="auto"/>
          <w:sz w:val="28"/>
          <w:szCs w:val="28"/>
        </w:rPr>
        <w:t>Выпадающий список с выбором единиц измерения. Состоит из элементов: руб, тыс руб, млн руб, млрд руб. По умолчанию значение параметра «млрд руб».</w:t>
      </w:r>
    </w:p>
    <w:p w:rsidR="005F4D60" w:rsidRDefault="005F4D60" w:rsidP="005F4D60">
      <w:pPr>
        <w:pStyle w:val="af0"/>
        <w:rPr>
          <w:szCs w:val="28"/>
        </w:rPr>
      </w:pPr>
      <w:r>
        <w:rPr>
          <w:szCs w:val="28"/>
        </w:rPr>
        <w:t>Наименования колонок:</w:t>
      </w:r>
    </w:p>
    <w:p w:rsidR="005F4D60" w:rsidRDefault="005F4D60" w:rsidP="005C6E50">
      <w:pPr>
        <w:numPr>
          <w:ilvl w:val="0"/>
          <w:numId w:val="113"/>
        </w:numPr>
        <w:ind w:left="1068"/>
        <w:rPr>
          <w:sz w:val="28"/>
          <w:szCs w:val="28"/>
        </w:rPr>
      </w:pPr>
      <w:r w:rsidRPr="0044464A">
        <w:rPr>
          <w:sz w:val="28"/>
          <w:szCs w:val="28"/>
        </w:rPr>
        <w:t>Наименование</w:t>
      </w:r>
      <w:r>
        <w:rPr>
          <w:sz w:val="28"/>
          <w:szCs w:val="28"/>
        </w:rPr>
        <w:t>;</w:t>
      </w:r>
    </w:p>
    <w:p w:rsidR="005F4D60" w:rsidRDefault="005F4D60" w:rsidP="005C6E50">
      <w:pPr>
        <w:numPr>
          <w:ilvl w:val="0"/>
          <w:numId w:val="113"/>
        </w:numPr>
        <w:ind w:left="1068"/>
        <w:rPr>
          <w:sz w:val="28"/>
          <w:szCs w:val="28"/>
        </w:rPr>
      </w:pPr>
      <w:r>
        <w:rPr>
          <w:sz w:val="28"/>
          <w:szCs w:val="28"/>
        </w:rPr>
        <w:t>Код ТОФК;</w:t>
      </w:r>
    </w:p>
    <w:p w:rsidR="005F4D60" w:rsidRDefault="005F4D60" w:rsidP="005C6E50">
      <w:pPr>
        <w:numPr>
          <w:ilvl w:val="0"/>
          <w:numId w:val="113"/>
        </w:numPr>
        <w:ind w:left="1068"/>
        <w:rPr>
          <w:sz w:val="28"/>
          <w:szCs w:val="28"/>
        </w:rPr>
      </w:pPr>
      <w:r>
        <w:rPr>
          <w:sz w:val="28"/>
          <w:szCs w:val="28"/>
        </w:rPr>
        <w:t>Чистое поступление (</w:t>
      </w:r>
      <w:r w:rsidRPr="007C64E1">
        <w:rPr>
          <w:sz w:val="28"/>
          <w:szCs w:val="28"/>
        </w:rPr>
        <w:t>«ПБ303 - Объем поступлений по доходам»</w:t>
      </w:r>
      <w:r>
        <w:rPr>
          <w:sz w:val="28"/>
          <w:szCs w:val="28"/>
        </w:rPr>
        <w:t xml:space="preserve">. Показатель возможно рассчитать по формуле: </w:t>
      </w:r>
    </w:p>
    <w:p w:rsidR="005F4D60" w:rsidRDefault="005F4D60" w:rsidP="005F4D60">
      <w:pPr>
        <w:ind w:left="1068"/>
        <w:rPr>
          <w:sz w:val="28"/>
          <w:szCs w:val="28"/>
        </w:rPr>
      </w:pPr>
      <w:r>
        <w:rPr>
          <w:sz w:val="28"/>
          <w:szCs w:val="28"/>
        </w:rPr>
        <w:t>Чистое поступление=Поступило-Возвращено+Уточнено);</w:t>
      </w:r>
    </w:p>
    <w:p w:rsidR="005F4D60" w:rsidRPr="00A0415D" w:rsidRDefault="005F4D60" w:rsidP="005C6E50">
      <w:pPr>
        <w:numPr>
          <w:ilvl w:val="0"/>
          <w:numId w:val="113"/>
        </w:numPr>
        <w:ind w:left="1068"/>
        <w:rPr>
          <w:sz w:val="28"/>
          <w:szCs w:val="28"/>
        </w:rPr>
      </w:pPr>
      <w:r>
        <w:rPr>
          <w:sz w:val="28"/>
          <w:szCs w:val="28"/>
        </w:rPr>
        <w:t xml:space="preserve">Темп прироста к прошлому году, %. </w:t>
      </w:r>
      <w:r w:rsidRPr="00A0415D">
        <w:rPr>
          <w:sz w:val="28"/>
          <w:szCs w:val="28"/>
        </w:rPr>
        <w:t xml:space="preserve">(Показатель рассчитывается по формуле </w:t>
      </w:r>
    </w:p>
    <w:p w:rsidR="005F4D60" w:rsidRPr="003532F1" w:rsidRDefault="005F4D60" w:rsidP="005F4D60">
      <w:pPr>
        <w:ind w:left="1068"/>
        <w:rPr>
          <w:sz w:val="28"/>
          <w:szCs w:val="28"/>
        </w:rPr>
      </w:pPr>
      <w:r>
        <w:rPr>
          <w:sz w:val="28"/>
          <w:szCs w:val="28"/>
        </w:rPr>
        <w:t>Чистое поступление на ДД.ММ.ГГГГ /Чистое поступление на ДД.ММ.ГГГГ-1) * 100% - 100%);</w:t>
      </w:r>
    </w:p>
    <w:p w:rsidR="005F4D60" w:rsidRDefault="005F4D60" w:rsidP="005C6E50">
      <w:pPr>
        <w:numPr>
          <w:ilvl w:val="0"/>
          <w:numId w:val="113"/>
        </w:numPr>
        <w:ind w:left="1068"/>
        <w:rPr>
          <w:sz w:val="28"/>
          <w:szCs w:val="28"/>
        </w:rPr>
      </w:pPr>
      <w:r>
        <w:rPr>
          <w:sz w:val="28"/>
          <w:szCs w:val="28"/>
        </w:rPr>
        <w:t>Поступило (</w:t>
      </w:r>
      <w:r w:rsidRPr="00375C0D">
        <w:rPr>
          <w:sz w:val="28"/>
          <w:szCs w:val="28"/>
        </w:rPr>
        <w:t>«ПБ303.011 - Объем поступлений НДС»</w:t>
      </w:r>
      <w:r>
        <w:rPr>
          <w:sz w:val="28"/>
          <w:szCs w:val="28"/>
        </w:rPr>
        <w:t>);</w:t>
      </w:r>
    </w:p>
    <w:p w:rsidR="005F4D60" w:rsidRPr="003532F1" w:rsidRDefault="005F4D60" w:rsidP="005C6E50">
      <w:pPr>
        <w:numPr>
          <w:ilvl w:val="0"/>
          <w:numId w:val="113"/>
        </w:numPr>
        <w:rPr>
          <w:sz w:val="28"/>
          <w:szCs w:val="28"/>
        </w:rPr>
      </w:pPr>
      <w:r>
        <w:rPr>
          <w:sz w:val="28"/>
          <w:szCs w:val="28"/>
        </w:rPr>
        <w:t xml:space="preserve">Темп прироста к прошлому году, %; </w:t>
      </w:r>
      <w:r w:rsidRPr="003532F1">
        <w:rPr>
          <w:sz w:val="28"/>
          <w:szCs w:val="28"/>
        </w:rPr>
        <w:t xml:space="preserve">(Показатель рассчитывается по формуле </w:t>
      </w:r>
    </w:p>
    <w:p w:rsidR="005F4D60" w:rsidRPr="003532F1" w:rsidRDefault="005F4D60" w:rsidP="005F4D60">
      <w:pPr>
        <w:ind w:left="720"/>
        <w:rPr>
          <w:sz w:val="28"/>
          <w:szCs w:val="28"/>
        </w:rPr>
      </w:pPr>
      <w:r w:rsidRPr="003532F1">
        <w:rPr>
          <w:sz w:val="28"/>
          <w:szCs w:val="28"/>
        </w:rPr>
        <w:t>Поступило на ДД.ММ.ГГГГ / Поступило на ДД.ММ.ГГГГ-1) * 100% - 100%);</w:t>
      </w:r>
    </w:p>
    <w:p w:rsidR="005F4D60" w:rsidRDefault="005F4D60" w:rsidP="005C6E50">
      <w:pPr>
        <w:numPr>
          <w:ilvl w:val="0"/>
          <w:numId w:val="113"/>
        </w:numPr>
        <w:ind w:left="1068"/>
        <w:rPr>
          <w:sz w:val="28"/>
          <w:szCs w:val="28"/>
        </w:rPr>
      </w:pPr>
      <w:r w:rsidRPr="00A0415D">
        <w:rPr>
          <w:sz w:val="28"/>
          <w:szCs w:val="28"/>
        </w:rPr>
        <w:t>Воз</w:t>
      </w:r>
      <w:r>
        <w:rPr>
          <w:sz w:val="28"/>
          <w:szCs w:val="28"/>
        </w:rPr>
        <w:t>вращено</w:t>
      </w:r>
      <w:r w:rsidRPr="00A64319">
        <w:rPr>
          <w:sz w:val="28"/>
          <w:szCs w:val="28"/>
        </w:rPr>
        <w:t xml:space="preserve"> </w:t>
      </w:r>
      <w:r>
        <w:rPr>
          <w:sz w:val="28"/>
          <w:szCs w:val="28"/>
        </w:rPr>
        <w:t>(</w:t>
      </w:r>
      <w:r w:rsidRPr="00375C0D">
        <w:rPr>
          <w:sz w:val="28"/>
          <w:szCs w:val="28"/>
        </w:rPr>
        <w:t>«ПБ303.01</w:t>
      </w:r>
      <w:r>
        <w:rPr>
          <w:sz w:val="28"/>
          <w:szCs w:val="28"/>
        </w:rPr>
        <w:t>2</w:t>
      </w:r>
      <w:r w:rsidRPr="00375C0D">
        <w:rPr>
          <w:sz w:val="28"/>
          <w:szCs w:val="28"/>
        </w:rPr>
        <w:t xml:space="preserve"> - Объем возмещения (возврата) НДС»</w:t>
      </w:r>
      <w:r>
        <w:rPr>
          <w:sz w:val="28"/>
          <w:szCs w:val="28"/>
        </w:rPr>
        <w:t>);</w:t>
      </w:r>
    </w:p>
    <w:p w:rsidR="005F4D60" w:rsidRPr="00375C0D" w:rsidRDefault="005F4D60" w:rsidP="005F4D60">
      <w:pPr>
        <w:pStyle w:val="afff6"/>
        <w:ind w:left="1428"/>
        <w:rPr>
          <w:szCs w:val="28"/>
        </w:rPr>
      </w:pPr>
      <w:r>
        <w:rPr>
          <w:szCs w:val="28"/>
        </w:rPr>
        <w:t xml:space="preserve">Темп прироста к прошлому году, %; </w:t>
      </w:r>
      <w:r w:rsidRPr="00375C0D">
        <w:rPr>
          <w:szCs w:val="28"/>
        </w:rPr>
        <w:t xml:space="preserve">(Показатель рассчитывается по формуле </w:t>
      </w:r>
    </w:p>
    <w:p w:rsidR="005F4D60" w:rsidRDefault="005F4D60" w:rsidP="005F4D60">
      <w:pPr>
        <w:pStyle w:val="afff6"/>
        <w:ind w:left="1428"/>
        <w:rPr>
          <w:szCs w:val="28"/>
        </w:rPr>
      </w:pPr>
      <w:r w:rsidRPr="00A0415D">
        <w:rPr>
          <w:szCs w:val="28"/>
        </w:rPr>
        <w:t>Воз</w:t>
      </w:r>
      <w:r>
        <w:rPr>
          <w:szCs w:val="28"/>
        </w:rPr>
        <w:t>вращено</w:t>
      </w:r>
      <w:r w:rsidRPr="00A0415D">
        <w:rPr>
          <w:szCs w:val="28"/>
        </w:rPr>
        <w:t xml:space="preserve"> </w:t>
      </w:r>
      <w:r w:rsidRPr="00375C0D">
        <w:rPr>
          <w:szCs w:val="28"/>
        </w:rPr>
        <w:t xml:space="preserve">на ДД.ММ.ГГГГ / </w:t>
      </w:r>
      <w:r w:rsidRPr="00A0415D">
        <w:rPr>
          <w:szCs w:val="28"/>
        </w:rPr>
        <w:t>Воз</w:t>
      </w:r>
      <w:r>
        <w:rPr>
          <w:szCs w:val="28"/>
        </w:rPr>
        <w:t>вращено</w:t>
      </w:r>
      <w:r w:rsidRPr="00A0415D">
        <w:rPr>
          <w:szCs w:val="28"/>
        </w:rPr>
        <w:t xml:space="preserve"> </w:t>
      </w:r>
      <w:r w:rsidRPr="00375C0D">
        <w:rPr>
          <w:szCs w:val="28"/>
        </w:rPr>
        <w:t>на ДД.ММ.ГГГГ-1) * 100% - 100%);</w:t>
      </w:r>
    </w:p>
    <w:p w:rsidR="005F4D60" w:rsidRDefault="005F4D60" w:rsidP="005C6E50">
      <w:pPr>
        <w:numPr>
          <w:ilvl w:val="0"/>
          <w:numId w:val="113"/>
        </w:numPr>
        <w:ind w:left="1068"/>
        <w:rPr>
          <w:sz w:val="28"/>
          <w:szCs w:val="28"/>
        </w:rPr>
      </w:pPr>
      <w:r>
        <w:rPr>
          <w:sz w:val="28"/>
          <w:szCs w:val="28"/>
        </w:rPr>
        <w:t>Уточнено («</w:t>
      </w:r>
      <w:r w:rsidRPr="00375C0D">
        <w:rPr>
          <w:sz w:val="28"/>
          <w:szCs w:val="28"/>
        </w:rPr>
        <w:t xml:space="preserve">ПБ303.013 </w:t>
      </w:r>
      <w:r>
        <w:rPr>
          <w:sz w:val="28"/>
          <w:szCs w:val="28"/>
        </w:rPr>
        <w:t>- Объем зачета (уточнения) НДС»);</w:t>
      </w:r>
    </w:p>
    <w:p w:rsidR="005F4D60" w:rsidRPr="00375C0D" w:rsidRDefault="005F4D60" w:rsidP="005F4D60">
      <w:pPr>
        <w:pStyle w:val="afff6"/>
        <w:ind w:left="1428"/>
        <w:rPr>
          <w:szCs w:val="28"/>
        </w:rPr>
      </w:pPr>
      <w:r>
        <w:rPr>
          <w:szCs w:val="28"/>
        </w:rPr>
        <w:t xml:space="preserve">Темп прироста к прошлому году, %; </w:t>
      </w:r>
      <w:r w:rsidRPr="00375C0D">
        <w:rPr>
          <w:szCs w:val="28"/>
        </w:rPr>
        <w:t xml:space="preserve">(Показатель рассчитывается по формуле </w:t>
      </w:r>
    </w:p>
    <w:p w:rsidR="005F4D60" w:rsidRDefault="005F4D60" w:rsidP="005F4D60">
      <w:pPr>
        <w:pStyle w:val="afff6"/>
        <w:ind w:left="1428"/>
        <w:rPr>
          <w:szCs w:val="28"/>
        </w:rPr>
      </w:pPr>
      <w:r>
        <w:rPr>
          <w:szCs w:val="28"/>
        </w:rPr>
        <w:t xml:space="preserve">Уточнено </w:t>
      </w:r>
      <w:r w:rsidRPr="00375C0D">
        <w:rPr>
          <w:szCs w:val="28"/>
        </w:rPr>
        <w:t xml:space="preserve">на ДД.ММ.ГГГГ / </w:t>
      </w:r>
      <w:r>
        <w:rPr>
          <w:szCs w:val="28"/>
        </w:rPr>
        <w:t>Уточнено на ДД.ММ.ГГГГ-1) * 100% - 100%).</w:t>
      </w:r>
    </w:p>
    <w:p w:rsidR="005F4D60" w:rsidRDefault="005F4D60" w:rsidP="005F4D60">
      <w:pPr>
        <w:pStyle w:val="42"/>
        <w:ind w:left="284"/>
        <w:jc w:val="left"/>
        <w:rPr>
          <w:snapToGrid/>
        </w:rPr>
      </w:pPr>
      <w:r w:rsidRPr="003532F1">
        <w:rPr>
          <w:snapToGrid/>
        </w:rPr>
        <w:t>Представление «</w:t>
      </w:r>
      <w:r>
        <w:rPr>
          <w:snapToGrid/>
        </w:rPr>
        <w:t>Карта</w:t>
      </w:r>
      <w:r w:rsidRPr="003532F1">
        <w:rPr>
          <w:snapToGrid/>
        </w:rPr>
        <w:t>»</w:t>
      </w:r>
    </w:p>
    <w:p w:rsidR="005F4D60" w:rsidRDefault="005F4D60" w:rsidP="005F4D60">
      <w:pPr>
        <w:pStyle w:val="afffff7"/>
        <w:keepNext/>
      </w:pPr>
      <w:r>
        <w:rPr>
          <w:noProof/>
          <w:lang w:eastAsia="ru-RU"/>
        </w:rPr>
        <w:drawing>
          <wp:inline distT="0" distB="0" distL="0" distR="0" wp14:anchorId="3C7CFBF9" wp14:editId="21DB5819">
            <wp:extent cx="6152515" cy="2540000"/>
            <wp:effectExtent l="0" t="0" r="635" b="0"/>
            <wp:docPr id="5725" name="Рисунок 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6152515" cy="2540000"/>
                    </a:xfrm>
                    <a:prstGeom prst="rect">
                      <a:avLst/>
                    </a:prstGeom>
                  </pic:spPr>
                </pic:pic>
              </a:graphicData>
            </a:graphic>
          </wp:inline>
        </w:drawing>
      </w:r>
    </w:p>
    <w:p w:rsidR="005F4D60" w:rsidRPr="003532F1" w:rsidRDefault="005F4D60" w:rsidP="005F4D60">
      <w:pPr>
        <w:pStyle w:val="-0"/>
      </w:pPr>
      <w:bookmarkStart w:id="359" w:name="_Toc119584291"/>
      <w:r w:rsidRPr="003532F1">
        <w:t xml:space="preserve">Рисунок </w:t>
      </w:r>
      <w:fldSimple w:instr=" SEQ Рисунок \* ARABIC ">
        <w:r w:rsidR="001860A9">
          <w:rPr>
            <w:noProof/>
          </w:rPr>
          <w:t>104</w:t>
        </w:r>
      </w:fldSimple>
      <w:r w:rsidR="00124418">
        <w:t xml:space="preserve"> </w:t>
      </w:r>
      <w:r w:rsidRPr="003532F1">
        <w:t>– Макет аналитического отчета «Информация об объемах налога на добавленную стоимость в разрезе территорий» представление  «Карта»</w:t>
      </w:r>
      <w:bookmarkEnd w:id="359"/>
    </w:p>
    <w:p w:rsidR="005F4D60" w:rsidRPr="000A5C36" w:rsidRDefault="005F4D60" w:rsidP="005F4D60">
      <w:pPr>
        <w:spacing w:before="120" w:after="60"/>
        <w:ind w:firstLine="567"/>
        <w:contextualSpacing/>
        <w:rPr>
          <w:snapToGrid/>
          <w:color w:val="auto"/>
          <w:sz w:val="28"/>
          <w:szCs w:val="28"/>
        </w:rPr>
      </w:pPr>
      <w:r w:rsidRPr="000A5C36">
        <w:rPr>
          <w:snapToGrid/>
          <w:color w:val="auto"/>
          <w:sz w:val="28"/>
          <w:szCs w:val="28"/>
        </w:rPr>
        <w:t xml:space="preserve">Представление «Карта» реализовано в виде карты: </w:t>
      </w:r>
    </w:p>
    <w:p w:rsidR="005F4D60" w:rsidRPr="00BF2A04" w:rsidRDefault="005F4D60" w:rsidP="005C6E50">
      <w:pPr>
        <w:numPr>
          <w:ilvl w:val="0"/>
          <w:numId w:val="113"/>
        </w:numPr>
        <w:ind w:left="1068"/>
        <w:rPr>
          <w:sz w:val="28"/>
          <w:szCs w:val="28"/>
        </w:rPr>
      </w:pPr>
      <w:r w:rsidRPr="00BF2A04">
        <w:rPr>
          <w:sz w:val="28"/>
          <w:szCs w:val="28"/>
        </w:rPr>
        <w:t>По ФО;</w:t>
      </w:r>
    </w:p>
    <w:p w:rsidR="005F4D60" w:rsidRPr="00BF2A04" w:rsidRDefault="005F4D60" w:rsidP="005C6E50">
      <w:pPr>
        <w:numPr>
          <w:ilvl w:val="0"/>
          <w:numId w:val="113"/>
        </w:numPr>
        <w:ind w:left="1068"/>
        <w:rPr>
          <w:sz w:val="28"/>
          <w:szCs w:val="28"/>
        </w:rPr>
      </w:pPr>
      <w:r w:rsidRPr="00BF2A04">
        <w:rPr>
          <w:sz w:val="28"/>
          <w:szCs w:val="28"/>
        </w:rPr>
        <w:t>По субъектам (значение по умолчанию);</w:t>
      </w:r>
    </w:p>
    <w:p w:rsidR="005F4D60" w:rsidRPr="00BF2A04" w:rsidRDefault="005F4D60" w:rsidP="005C6E50">
      <w:pPr>
        <w:numPr>
          <w:ilvl w:val="0"/>
          <w:numId w:val="113"/>
        </w:numPr>
        <w:ind w:left="1068"/>
        <w:rPr>
          <w:sz w:val="28"/>
          <w:szCs w:val="28"/>
        </w:rPr>
      </w:pPr>
      <w:r w:rsidRPr="00BF2A04">
        <w:rPr>
          <w:sz w:val="28"/>
          <w:szCs w:val="28"/>
        </w:rPr>
        <w:t>ЦФО;</w:t>
      </w:r>
    </w:p>
    <w:p w:rsidR="005F4D60" w:rsidRPr="00BF2A04" w:rsidRDefault="005F4D60" w:rsidP="005C6E50">
      <w:pPr>
        <w:numPr>
          <w:ilvl w:val="0"/>
          <w:numId w:val="113"/>
        </w:numPr>
        <w:ind w:left="1068"/>
        <w:rPr>
          <w:sz w:val="28"/>
          <w:szCs w:val="28"/>
        </w:rPr>
      </w:pPr>
      <w:r w:rsidRPr="00BF2A04">
        <w:rPr>
          <w:sz w:val="28"/>
          <w:szCs w:val="28"/>
        </w:rPr>
        <w:t>ЮФО;</w:t>
      </w:r>
    </w:p>
    <w:p w:rsidR="005F4D60" w:rsidRPr="00BF2A04" w:rsidRDefault="005F4D60" w:rsidP="005C6E50">
      <w:pPr>
        <w:numPr>
          <w:ilvl w:val="0"/>
          <w:numId w:val="113"/>
        </w:numPr>
        <w:ind w:left="1068"/>
        <w:rPr>
          <w:sz w:val="28"/>
          <w:szCs w:val="28"/>
        </w:rPr>
      </w:pPr>
      <w:r w:rsidRPr="00BF2A04">
        <w:rPr>
          <w:sz w:val="28"/>
          <w:szCs w:val="28"/>
        </w:rPr>
        <w:t>С-ЗФО;</w:t>
      </w:r>
    </w:p>
    <w:p w:rsidR="005F4D60" w:rsidRPr="00BF2A04" w:rsidRDefault="005F4D60" w:rsidP="005C6E50">
      <w:pPr>
        <w:numPr>
          <w:ilvl w:val="0"/>
          <w:numId w:val="113"/>
        </w:numPr>
        <w:ind w:left="1068"/>
        <w:rPr>
          <w:sz w:val="28"/>
          <w:szCs w:val="28"/>
        </w:rPr>
      </w:pPr>
      <w:r w:rsidRPr="00BF2A04">
        <w:rPr>
          <w:sz w:val="28"/>
          <w:szCs w:val="28"/>
        </w:rPr>
        <w:t>ДФО;</w:t>
      </w:r>
    </w:p>
    <w:p w:rsidR="005F4D60" w:rsidRPr="00BF2A04" w:rsidRDefault="005F4D60" w:rsidP="005C6E50">
      <w:pPr>
        <w:numPr>
          <w:ilvl w:val="0"/>
          <w:numId w:val="113"/>
        </w:numPr>
        <w:ind w:left="1068"/>
        <w:rPr>
          <w:sz w:val="28"/>
          <w:szCs w:val="28"/>
        </w:rPr>
      </w:pPr>
      <w:r w:rsidRPr="00BF2A04">
        <w:rPr>
          <w:sz w:val="28"/>
          <w:szCs w:val="28"/>
        </w:rPr>
        <w:t>СФО;</w:t>
      </w:r>
    </w:p>
    <w:p w:rsidR="005F4D60" w:rsidRPr="00BF2A04" w:rsidRDefault="005F4D60" w:rsidP="005C6E50">
      <w:pPr>
        <w:numPr>
          <w:ilvl w:val="0"/>
          <w:numId w:val="113"/>
        </w:numPr>
        <w:ind w:left="1068"/>
        <w:rPr>
          <w:sz w:val="28"/>
          <w:szCs w:val="28"/>
        </w:rPr>
      </w:pPr>
      <w:r w:rsidRPr="00BF2A04">
        <w:rPr>
          <w:sz w:val="28"/>
          <w:szCs w:val="28"/>
        </w:rPr>
        <w:t>УФО;</w:t>
      </w:r>
    </w:p>
    <w:p w:rsidR="005F4D60" w:rsidRPr="00BF2A04" w:rsidRDefault="005F4D60" w:rsidP="005C6E50">
      <w:pPr>
        <w:numPr>
          <w:ilvl w:val="0"/>
          <w:numId w:val="113"/>
        </w:numPr>
        <w:ind w:left="1068"/>
        <w:rPr>
          <w:sz w:val="28"/>
          <w:szCs w:val="28"/>
        </w:rPr>
      </w:pPr>
      <w:r w:rsidRPr="00BF2A04">
        <w:rPr>
          <w:sz w:val="28"/>
          <w:szCs w:val="28"/>
        </w:rPr>
        <w:t>ПФО;</w:t>
      </w:r>
    </w:p>
    <w:p w:rsidR="005F4D60" w:rsidRPr="003532F1" w:rsidRDefault="005F4D60" w:rsidP="005C6E50">
      <w:pPr>
        <w:numPr>
          <w:ilvl w:val="0"/>
          <w:numId w:val="113"/>
        </w:numPr>
        <w:ind w:left="1068"/>
        <w:rPr>
          <w:sz w:val="28"/>
          <w:szCs w:val="28"/>
        </w:rPr>
      </w:pPr>
      <w:r w:rsidRPr="00BF2A04">
        <w:rPr>
          <w:sz w:val="28"/>
          <w:szCs w:val="28"/>
        </w:rPr>
        <w:t>С-КФО.</w:t>
      </w:r>
    </w:p>
    <w:p w:rsidR="005F4D60" w:rsidRPr="009709FB" w:rsidRDefault="005F4D60" w:rsidP="005F4D60">
      <w:pPr>
        <w:pStyle w:val="af0"/>
        <w:rPr>
          <w:b/>
          <w:szCs w:val="28"/>
        </w:rPr>
      </w:pPr>
      <w:r w:rsidRPr="00DA608C">
        <w:rPr>
          <w:szCs w:val="28"/>
        </w:rPr>
        <w:t>Параметры отчета:</w:t>
      </w:r>
    </w:p>
    <w:p w:rsidR="005F4D60" w:rsidRPr="00FF55C6"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«По состоянию на».</w:t>
      </w:r>
    </w:p>
    <w:p w:rsidR="005F4D60" w:rsidRPr="00F271E7" w:rsidRDefault="005F4D60" w:rsidP="005F4D60">
      <w:pPr>
        <w:pStyle w:val="afff6"/>
        <w:spacing w:line="360" w:lineRule="exact"/>
        <w:ind w:left="1068"/>
        <w:rPr>
          <w:snapToGrid/>
          <w:color w:val="auto"/>
          <w:szCs w:val="28"/>
        </w:rPr>
      </w:pPr>
      <w:r w:rsidRPr="00F271E7">
        <w:rPr>
          <w:snapToGrid/>
          <w:color w:val="auto"/>
          <w:szCs w:val="28"/>
        </w:rPr>
        <w:t>Календарь с выбором даты отображаемых данных.</w:t>
      </w:r>
    </w:p>
    <w:p w:rsidR="005F4D60" w:rsidRPr="00F271E7" w:rsidRDefault="005F4D60" w:rsidP="005F4D60">
      <w:pPr>
        <w:pStyle w:val="afff6"/>
        <w:ind w:left="1068"/>
        <w:rPr>
          <w:rFonts w:eastAsia="Calibri"/>
          <w:snapToGrid/>
          <w:color w:val="auto"/>
          <w:szCs w:val="28"/>
        </w:rPr>
      </w:pPr>
      <w:r w:rsidRPr="00F271E7">
        <w:rPr>
          <w:snapToGrid/>
          <w:color w:val="auto"/>
          <w:szCs w:val="28"/>
        </w:rPr>
        <w:t>По умолчанию отображается последняя дата обновления данных</w:t>
      </w:r>
      <w:r w:rsidRPr="00F271E7">
        <w:rPr>
          <w:rFonts w:eastAsia="Calibri"/>
          <w:snapToGrid/>
          <w:color w:val="auto"/>
          <w:szCs w:val="28"/>
        </w:rPr>
        <w:t>.</w:t>
      </w:r>
    </w:p>
    <w:p w:rsidR="005F4D60"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w:t>
      </w:r>
      <w:r>
        <w:rPr>
          <w:rFonts w:eastAsia="Calibri"/>
          <w:snapToGrid/>
          <w:color w:val="auto"/>
          <w:sz w:val="28"/>
          <w:szCs w:val="28"/>
        </w:rPr>
        <w:t>КБК</w:t>
      </w:r>
      <w:r w:rsidRPr="00FF55C6">
        <w:rPr>
          <w:rFonts w:eastAsia="Calibri"/>
          <w:snapToGrid/>
          <w:color w:val="auto"/>
          <w:sz w:val="28"/>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Выпадающий</w:t>
      </w:r>
      <w:r>
        <w:rPr>
          <w:snapToGrid/>
          <w:color w:val="auto"/>
          <w:szCs w:val="28"/>
        </w:rPr>
        <w:t xml:space="preserve"> линейный список с множественным выбором</w:t>
      </w:r>
      <w:r w:rsidRPr="00F271E7">
        <w:rPr>
          <w:snapToGrid/>
          <w:color w:val="auto"/>
          <w:szCs w:val="28"/>
        </w:rPr>
        <w:t>.</w:t>
      </w:r>
    </w:p>
    <w:p w:rsidR="005F4D60" w:rsidRPr="00F271E7" w:rsidRDefault="005F4D60" w:rsidP="005F4D60">
      <w:pPr>
        <w:pStyle w:val="afff6"/>
        <w:spacing w:line="360" w:lineRule="exact"/>
        <w:ind w:left="1068"/>
        <w:rPr>
          <w:snapToGrid/>
          <w:color w:val="auto"/>
          <w:szCs w:val="28"/>
        </w:rPr>
      </w:pPr>
      <w:r>
        <w:rPr>
          <w:snapToGrid/>
          <w:color w:val="auto"/>
          <w:szCs w:val="28"/>
        </w:rPr>
        <w:t xml:space="preserve">Выводятся только коды по БК по маске </w:t>
      </w:r>
      <w:r w:rsidRPr="00F06BD6">
        <w:rPr>
          <w:snapToGrid/>
          <w:color w:val="auto"/>
          <w:szCs w:val="28"/>
        </w:rPr>
        <w:t>10301</w:t>
      </w:r>
      <w:r>
        <w:rPr>
          <w:snapToGrid/>
          <w:color w:val="auto"/>
          <w:szCs w:val="28"/>
        </w:rPr>
        <w:t xml:space="preserve">% (то есть все записи подчиненные записи </w:t>
      </w:r>
      <w:r w:rsidRPr="00F47CD2">
        <w:rPr>
          <w:snapToGrid/>
          <w:color w:val="auto"/>
          <w:szCs w:val="28"/>
        </w:rPr>
        <w:t>18210301000010000110)</w:t>
      </w:r>
      <w:r>
        <w:rPr>
          <w:snapToGrid/>
          <w:color w:val="auto"/>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 xml:space="preserve">По умолчанию выводится значение «Все». </w:t>
      </w:r>
    </w:p>
    <w:p w:rsidR="005F4D60" w:rsidRDefault="005F4D60" w:rsidP="005F4D60">
      <w:pPr>
        <w:pStyle w:val="afff6"/>
        <w:spacing w:line="360" w:lineRule="exact"/>
        <w:ind w:left="1068"/>
        <w:rPr>
          <w:snapToGrid/>
          <w:color w:val="auto"/>
          <w:szCs w:val="28"/>
        </w:rPr>
      </w:pPr>
      <w:r w:rsidRPr="00FA2D0D">
        <w:rPr>
          <w:snapToGrid/>
          <w:color w:val="auto"/>
          <w:szCs w:val="28"/>
        </w:rPr>
        <w:t>В параметр вы</w:t>
      </w:r>
      <w:r>
        <w:rPr>
          <w:snapToGrid/>
          <w:color w:val="auto"/>
          <w:szCs w:val="28"/>
        </w:rPr>
        <w:t>водим наименования бюджетной классификации доходов.</w:t>
      </w:r>
    </w:p>
    <w:p w:rsidR="005F4D60" w:rsidRPr="00F271E7" w:rsidRDefault="005F4D60" w:rsidP="005F4D60">
      <w:pPr>
        <w:pStyle w:val="afff6"/>
        <w:spacing w:line="360" w:lineRule="exact"/>
        <w:ind w:left="1068"/>
      </w:pPr>
      <w:r w:rsidRPr="00FA2D0D">
        <w:rPr>
          <w:snapToGrid/>
          <w:color w:val="auto"/>
          <w:szCs w:val="28"/>
        </w:rPr>
        <w:t>Возможность контекстного поиска по наименованию</w:t>
      </w:r>
      <w:r w:rsidRPr="00F271E7">
        <w:rPr>
          <w:snapToGrid/>
          <w:color w:val="auto"/>
          <w:szCs w:val="28"/>
        </w:rPr>
        <w:t xml:space="preserve"> </w:t>
      </w:r>
      <w:r>
        <w:rPr>
          <w:snapToGrid/>
          <w:color w:val="auto"/>
          <w:szCs w:val="28"/>
        </w:rPr>
        <w:t>бюджетной классификации доходов.</w:t>
      </w:r>
    </w:p>
    <w:p w:rsidR="005F4D60" w:rsidRDefault="005F4D60" w:rsidP="005C6E50">
      <w:pPr>
        <w:numPr>
          <w:ilvl w:val="0"/>
          <w:numId w:val="113"/>
        </w:numPr>
        <w:ind w:left="1068"/>
        <w:rPr>
          <w:rFonts w:eastAsia="Calibri"/>
          <w:snapToGrid/>
          <w:color w:val="auto"/>
          <w:sz w:val="28"/>
          <w:szCs w:val="28"/>
        </w:rPr>
      </w:pPr>
      <w:r>
        <w:rPr>
          <w:rFonts w:eastAsia="Calibri"/>
          <w:snapToGrid/>
          <w:color w:val="auto"/>
          <w:sz w:val="28"/>
          <w:szCs w:val="28"/>
        </w:rPr>
        <w:t>«ОРФК».</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Выпадающий список с множественным выбором.</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По умолчанию выводится значение «Все».</w:t>
      </w:r>
    </w:p>
    <w:p w:rsidR="005F4D60" w:rsidRDefault="005F4D60" w:rsidP="005F4D60">
      <w:pPr>
        <w:ind w:left="1068"/>
        <w:rPr>
          <w:rFonts w:eastAsia="Calibri"/>
          <w:snapToGrid/>
          <w:color w:val="auto"/>
          <w:sz w:val="28"/>
          <w:szCs w:val="28"/>
        </w:rPr>
      </w:pPr>
      <w:r w:rsidRPr="007C64E1">
        <w:rPr>
          <w:rFonts w:eastAsia="Calibri"/>
          <w:snapToGrid/>
          <w:color w:val="auto"/>
          <w:sz w:val="28"/>
          <w:szCs w:val="28"/>
        </w:rPr>
        <w:t>В параметр выводим код и наименование органов федерального казначейства.</w:t>
      </w:r>
    </w:p>
    <w:p w:rsidR="005F4D60" w:rsidRDefault="005F4D60" w:rsidP="005F4D60">
      <w:pPr>
        <w:ind w:left="1068"/>
        <w:rPr>
          <w:rFonts w:eastAsia="Calibri"/>
          <w:snapToGrid/>
          <w:color w:val="auto"/>
          <w:sz w:val="28"/>
          <w:szCs w:val="28"/>
        </w:rPr>
      </w:pPr>
      <w:r>
        <w:rPr>
          <w:rFonts w:eastAsia="Calibri"/>
          <w:snapToGrid/>
          <w:color w:val="auto"/>
          <w:sz w:val="28"/>
          <w:szCs w:val="28"/>
        </w:rPr>
        <w:t>Поиск значений по коду и наименованию</w:t>
      </w:r>
      <w:r w:rsidRPr="007C64E1">
        <w:rPr>
          <w:rFonts w:eastAsia="Calibri"/>
          <w:snapToGrid/>
          <w:color w:val="auto"/>
          <w:sz w:val="28"/>
          <w:szCs w:val="28"/>
        </w:rPr>
        <w:t xml:space="preserve"> органов федерального казначейства.</w:t>
      </w:r>
    </w:p>
    <w:p w:rsidR="005F4D60" w:rsidRDefault="005F4D60" w:rsidP="005C6E50">
      <w:pPr>
        <w:numPr>
          <w:ilvl w:val="0"/>
          <w:numId w:val="113"/>
        </w:numPr>
        <w:ind w:left="1068"/>
        <w:rPr>
          <w:rFonts w:eastAsia="Calibri"/>
          <w:snapToGrid/>
          <w:color w:val="auto"/>
          <w:sz w:val="28"/>
          <w:szCs w:val="28"/>
        </w:rPr>
      </w:pPr>
      <w:r>
        <w:rPr>
          <w:rFonts w:eastAsia="Calibri"/>
          <w:snapToGrid/>
          <w:color w:val="auto"/>
          <w:sz w:val="28"/>
          <w:szCs w:val="28"/>
        </w:rPr>
        <w:t>«Показатель»</w:t>
      </w:r>
    </w:p>
    <w:p w:rsidR="005F4D60" w:rsidRDefault="005F4D60" w:rsidP="005F4D60">
      <w:pPr>
        <w:ind w:left="1068"/>
        <w:rPr>
          <w:rFonts w:eastAsia="Calibri"/>
          <w:snapToGrid/>
          <w:color w:val="auto"/>
          <w:sz w:val="28"/>
          <w:szCs w:val="28"/>
        </w:rPr>
      </w:pPr>
      <w:r>
        <w:rPr>
          <w:rFonts w:eastAsia="Calibri"/>
          <w:snapToGrid/>
          <w:color w:val="auto"/>
          <w:sz w:val="28"/>
          <w:szCs w:val="28"/>
        </w:rPr>
        <w:t>Выпадающий список с выбором показателя для отображения на карте.</w:t>
      </w:r>
    </w:p>
    <w:p w:rsidR="005F4D60" w:rsidRDefault="005F4D60" w:rsidP="005F4D60">
      <w:pPr>
        <w:ind w:left="1068"/>
        <w:rPr>
          <w:rFonts w:eastAsia="Calibri"/>
          <w:snapToGrid/>
          <w:color w:val="auto"/>
          <w:sz w:val="28"/>
          <w:szCs w:val="28"/>
        </w:rPr>
      </w:pPr>
      <w:r w:rsidRPr="00F271E7">
        <w:rPr>
          <w:rFonts w:eastAsia="Calibri"/>
          <w:snapToGrid/>
          <w:color w:val="auto"/>
          <w:sz w:val="28"/>
          <w:szCs w:val="28"/>
        </w:rPr>
        <w:t xml:space="preserve">Состоит из элементов: </w:t>
      </w:r>
      <w:r>
        <w:rPr>
          <w:rFonts w:eastAsia="Calibri"/>
          <w:snapToGrid/>
          <w:color w:val="auto"/>
          <w:sz w:val="28"/>
          <w:szCs w:val="28"/>
        </w:rPr>
        <w:t>«Чистое поступление», «Поступило», «Возвращено», «Уточнено»;</w:t>
      </w:r>
    </w:p>
    <w:p w:rsidR="005F4D60" w:rsidRPr="003677DE" w:rsidRDefault="005F4D60" w:rsidP="005F4D60">
      <w:pPr>
        <w:ind w:left="1068"/>
        <w:rPr>
          <w:snapToGrid/>
          <w:sz w:val="28"/>
          <w:szCs w:val="28"/>
        </w:rPr>
      </w:pPr>
      <w:r w:rsidRPr="00C54C97">
        <w:rPr>
          <w:rFonts w:eastAsia="Calibri"/>
          <w:snapToGrid/>
          <w:color w:val="auto"/>
          <w:sz w:val="28"/>
          <w:szCs w:val="28"/>
        </w:rPr>
        <w:t>По умолчанию значение параметра</w:t>
      </w:r>
      <w:r>
        <w:rPr>
          <w:snapToGrid/>
          <w:sz w:val="28"/>
          <w:szCs w:val="28"/>
        </w:rPr>
        <w:t xml:space="preserve"> «Чистое поступление».</w:t>
      </w:r>
    </w:p>
    <w:p w:rsidR="005F4D60" w:rsidRPr="00C54C97" w:rsidRDefault="005F4D60" w:rsidP="005C6E50">
      <w:pPr>
        <w:numPr>
          <w:ilvl w:val="0"/>
          <w:numId w:val="113"/>
        </w:numPr>
        <w:ind w:left="1068"/>
        <w:rPr>
          <w:rFonts w:eastAsia="Calibri"/>
          <w:snapToGrid/>
          <w:color w:val="auto"/>
          <w:sz w:val="28"/>
          <w:szCs w:val="28"/>
        </w:rPr>
      </w:pPr>
      <w:r w:rsidRPr="00C54C97">
        <w:rPr>
          <w:rFonts w:eastAsia="Calibri"/>
          <w:snapToGrid/>
          <w:color w:val="auto"/>
          <w:sz w:val="28"/>
          <w:szCs w:val="28"/>
        </w:rPr>
        <w:t>Выпадающий список с выбором единиц измерения.</w:t>
      </w:r>
    </w:p>
    <w:p w:rsidR="005F4D60" w:rsidRDefault="005F4D60" w:rsidP="005F4D60">
      <w:pPr>
        <w:ind w:left="1068"/>
        <w:rPr>
          <w:rFonts w:eastAsia="Calibri"/>
          <w:snapToGrid/>
          <w:color w:val="auto"/>
          <w:sz w:val="28"/>
          <w:szCs w:val="28"/>
        </w:rPr>
      </w:pPr>
      <w:r w:rsidRPr="00F271E7">
        <w:rPr>
          <w:rFonts w:eastAsia="Calibri"/>
          <w:snapToGrid/>
          <w:color w:val="auto"/>
          <w:sz w:val="28"/>
          <w:szCs w:val="28"/>
        </w:rPr>
        <w:t>Состоит из элементов: руб, тыс руб, млн руб, млрд руб.</w:t>
      </w:r>
    </w:p>
    <w:p w:rsidR="005F4D60" w:rsidRDefault="005F4D60" w:rsidP="005F4D60">
      <w:pPr>
        <w:ind w:left="1068"/>
        <w:rPr>
          <w:snapToGrid/>
          <w:sz w:val="28"/>
          <w:szCs w:val="28"/>
        </w:rPr>
      </w:pPr>
      <w:r w:rsidRPr="00C54C97">
        <w:rPr>
          <w:rFonts w:eastAsia="Calibri"/>
          <w:snapToGrid/>
          <w:color w:val="auto"/>
          <w:sz w:val="28"/>
          <w:szCs w:val="28"/>
        </w:rPr>
        <w:t>По умолчанию значение параметра</w:t>
      </w:r>
      <w:r>
        <w:rPr>
          <w:snapToGrid/>
          <w:sz w:val="28"/>
          <w:szCs w:val="28"/>
        </w:rPr>
        <w:t xml:space="preserve"> «млрд руб».</w:t>
      </w:r>
    </w:p>
    <w:p w:rsidR="005F4D60" w:rsidRDefault="005F4D60" w:rsidP="005F4D60">
      <w:pPr>
        <w:pStyle w:val="42"/>
        <w:ind w:left="284"/>
        <w:jc w:val="left"/>
        <w:rPr>
          <w:snapToGrid/>
        </w:rPr>
      </w:pPr>
      <w:r w:rsidRPr="003532F1">
        <w:rPr>
          <w:snapToGrid/>
        </w:rPr>
        <w:t>Представление «</w:t>
      </w:r>
      <w:r>
        <w:rPr>
          <w:snapToGrid/>
        </w:rPr>
        <w:t>Диаграмма</w:t>
      </w:r>
      <w:r w:rsidRPr="003532F1">
        <w:rPr>
          <w:snapToGrid/>
        </w:rPr>
        <w:t>»</w:t>
      </w:r>
    </w:p>
    <w:p w:rsidR="005F4D60" w:rsidRDefault="005F4D60" w:rsidP="005F4D60">
      <w:pPr>
        <w:pStyle w:val="afffff7"/>
        <w:keepNext/>
      </w:pPr>
      <w:r>
        <w:rPr>
          <w:noProof/>
          <w:lang w:eastAsia="ru-RU"/>
        </w:rPr>
        <w:drawing>
          <wp:inline distT="0" distB="0" distL="0" distR="0" wp14:anchorId="76CF8C59" wp14:editId="1348274C">
            <wp:extent cx="6152515" cy="2298065"/>
            <wp:effectExtent l="0" t="0" r="635" b="6985"/>
            <wp:docPr id="5726" name="Рисунок 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6152515" cy="2298065"/>
                    </a:xfrm>
                    <a:prstGeom prst="rect">
                      <a:avLst/>
                    </a:prstGeom>
                  </pic:spPr>
                </pic:pic>
              </a:graphicData>
            </a:graphic>
          </wp:inline>
        </w:drawing>
      </w:r>
    </w:p>
    <w:p w:rsidR="005F4D60" w:rsidRPr="003532F1" w:rsidRDefault="005F4D60" w:rsidP="005F4D60">
      <w:pPr>
        <w:pStyle w:val="-0"/>
      </w:pPr>
      <w:bookmarkStart w:id="360" w:name="_Toc119584292"/>
      <w:r w:rsidRPr="003532F1">
        <w:t xml:space="preserve">Рисунок </w:t>
      </w:r>
      <w:fldSimple w:instr=" SEQ Рисунок \* ARABIC ">
        <w:r w:rsidR="001860A9">
          <w:rPr>
            <w:noProof/>
          </w:rPr>
          <w:t>105</w:t>
        </w:r>
      </w:fldSimple>
      <w:r w:rsidRPr="003532F1">
        <w:t xml:space="preserve"> – Макет аналитического отчета «Информация об объемах налога на добавленную стоимость в разрезе территорий» представление  «</w:t>
      </w:r>
      <w:r>
        <w:t>Диаграмма</w:t>
      </w:r>
      <w:r w:rsidRPr="003532F1">
        <w:t>»</w:t>
      </w:r>
      <w:bookmarkEnd w:id="360"/>
    </w:p>
    <w:p w:rsidR="005F4D60" w:rsidRPr="000A5C36" w:rsidRDefault="005F4D60" w:rsidP="005F4D60">
      <w:pPr>
        <w:ind w:firstLine="567"/>
        <w:rPr>
          <w:snapToGrid/>
          <w:color w:val="auto"/>
          <w:sz w:val="28"/>
          <w:szCs w:val="28"/>
        </w:rPr>
      </w:pPr>
      <w:r w:rsidRPr="000A5C36">
        <w:rPr>
          <w:snapToGrid/>
          <w:color w:val="auto"/>
          <w:sz w:val="28"/>
          <w:szCs w:val="28"/>
        </w:rPr>
        <w:t xml:space="preserve">Представление «Диаграмма» реализовано в виде гистограммы, отображающая суммы по </w:t>
      </w:r>
      <w:r>
        <w:rPr>
          <w:snapToGrid/>
          <w:color w:val="auto"/>
          <w:sz w:val="28"/>
          <w:szCs w:val="28"/>
        </w:rPr>
        <w:t>показателям «Чистое поступление», «Поступило», «Возвращено», «Уточнено» по выбранному органу федерального казначейства в параметре «ОРФК»</w:t>
      </w:r>
      <w:r w:rsidRPr="000A5C36">
        <w:rPr>
          <w:snapToGrid/>
          <w:color w:val="auto"/>
          <w:sz w:val="28"/>
          <w:szCs w:val="28"/>
        </w:rPr>
        <w:t>.</w:t>
      </w:r>
    </w:p>
    <w:p w:rsidR="005F4D60" w:rsidRPr="009709FB" w:rsidRDefault="005F4D60" w:rsidP="005F4D60">
      <w:pPr>
        <w:pStyle w:val="af0"/>
        <w:rPr>
          <w:b/>
          <w:szCs w:val="28"/>
        </w:rPr>
      </w:pPr>
      <w:r w:rsidRPr="00DA608C">
        <w:rPr>
          <w:szCs w:val="28"/>
        </w:rPr>
        <w:t>Параметры отчета:</w:t>
      </w:r>
    </w:p>
    <w:p w:rsidR="005F4D60" w:rsidRPr="00FF55C6"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«По состоянию на».</w:t>
      </w:r>
    </w:p>
    <w:p w:rsidR="005F4D60" w:rsidRPr="00F271E7" w:rsidRDefault="005F4D60" w:rsidP="005F4D60">
      <w:pPr>
        <w:pStyle w:val="afff6"/>
        <w:spacing w:line="360" w:lineRule="exact"/>
        <w:ind w:left="1068"/>
        <w:rPr>
          <w:snapToGrid/>
          <w:color w:val="auto"/>
          <w:szCs w:val="28"/>
        </w:rPr>
      </w:pPr>
      <w:r w:rsidRPr="00F271E7">
        <w:rPr>
          <w:snapToGrid/>
          <w:color w:val="auto"/>
          <w:szCs w:val="28"/>
        </w:rPr>
        <w:t>Календарь с выбором даты отображаемых данных.</w:t>
      </w:r>
    </w:p>
    <w:p w:rsidR="005F4D60" w:rsidRPr="00F271E7" w:rsidRDefault="005F4D60" w:rsidP="005F4D60">
      <w:pPr>
        <w:pStyle w:val="afff6"/>
        <w:ind w:left="1068"/>
        <w:rPr>
          <w:rFonts w:eastAsia="Calibri"/>
          <w:snapToGrid/>
          <w:color w:val="auto"/>
          <w:szCs w:val="28"/>
        </w:rPr>
      </w:pPr>
      <w:r w:rsidRPr="00F271E7">
        <w:rPr>
          <w:snapToGrid/>
          <w:color w:val="auto"/>
          <w:szCs w:val="28"/>
        </w:rPr>
        <w:t>По умолчанию отображается последняя дата обновления данных</w:t>
      </w:r>
      <w:r w:rsidRPr="00F271E7">
        <w:rPr>
          <w:rFonts w:eastAsia="Calibri"/>
          <w:snapToGrid/>
          <w:color w:val="auto"/>
          <w:szCs w:val="28"/>
        </w:rPr>
        <w:t>.</w:t>
      </w:r>
    </w:p>
    <w:p w:rsidR="005F4D60" w:rsidRDefault="005F4D60" w:rsidP="005C6E50">
      <w:pPr>
        <w:numPr>
          <w:ilvl w:val="0"/>
          <w:numId w:val="113"/>
        </w:numPr>
        <w:ind w:left="1068"/>
        <w:rPr>
          <w:rFonts w:eastAsia="Calibri"/>
          <w:snapToGrid/>
          <w:color w:val="auto"/>
          <w:sz w:val="28"/>
          <w:szCs w:val="28"/>
        </w:rPr>
      </w:pPr>
      <w:r w:rsidRPr="00FF55C6">
        <w:rPr>
          <w:rFonts w:eastAsia="Calibri"/>
          <w:snapToGrid/>
          <w:color w:val="auto"/>
          <w:sz w:val="28"/>
          <w:szCs w:val="28"/>
        </w:rPr>
        <w:t>«</w:t>
      </w:r>
      <w:r>
        <w:rPr>
          <w:rFonts w:eastAsia="Calibri"/>
          <w:snapToGrid/>
          <w:color w:val="auto"/>
          <w:sz w:val="28"/>
          <w:szCs w:val="28"/>
        </w:rPr>
        <w:t>КБК</w:t>
      </w:r>
      <w:r w:rsidRPr="00FF55C6">
        <w:rPr>
          <w:rFonts w:eastAsia="Calibri"/>
          <w:snapToGrid/>
          <w:color w:val="auto"/>
          <w:sz w:val="28"/>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Выпадающий</w:t>
      </w:r>
      <w:r>
        <w:rPr>
          <w:snapToGrid/>
          <w:color w:val="auto"/>
          <w:szCs w:val="28"/>
        </w:rPr>
        <w:t xml:space="preserve"> линейный список с множественным выбором</w:t>
      </w:r>
      <w:r w:rsidRPr="00F271E7">
        <w:rPr>
          <w:snapToGrid/>
          <w:color w:val="auto"/>
          <w:szCs w:val="28"/>
        </w:rPr>
        <w:t>.</w:t>
      </w:r>
    </w:p>
    <w:p w:rsidR="005F4D60" w:rsidRPr="00F271E7" w:rsidRDefault="005F4D60" w:rsidP="005F4D60">
      <w:pPr>
        <w:pStyle w:val="afff6"/>
        <w:spacing w:line="360" w:lineRule="exact"/>
        <w:ind w:left="1068"/>
        <w:rPr>
          <w:snapToGrid/>
          <w:color w:val="auto"/>
          <w:szCs w:val="28"/>
        </w:rPr>
      </w:pPr>
      <w:r>
        <w:rPr>
          <w:snapToGrid/>
          <w:color w:val="auto"/>
          <w:szCs w:val="28"/>
        </w:rPr>
        <w:t xml:space="preserve">Выводятся только коды по БК по маске </w:t>
      </w:r>
      <w:r w:rsidRPr="00F06BD6">
        <w:rPr>
          <w:snapToGrid/>
          <w:color w:val="auto"/>
          <w:szCs w:val="28"/>
        </w:rPr>
        <w:t>10301</w:t>
      </w:r>
      <w:r>
        <w:rPr>
          <w:snapToGrid/>
          <w:color w:val="auto"/>
          <w:szCs w:val="28"/>
        </w:rPr>
        <w:t xml:space="preserve">% (то есть все записи подчиненные записи </w:t>
      </w:r>
      <w:r w:rsidRPr="00F47CD2">
        <w:rPr>
          <w:snapToGrid/>
          <w:color w:val="auto"/>
          <w:szCs w:val="28"/>
        </w:rPr>
        <w:t>18210301000010000110)</w:t>
      </w:r>
      <w:r>
        <w:rPr>
          <w:snapToGrid/>
          <w:color w:val="auto"/>
          <w:szCs w:val="28"/>
        </w:rPr>
        <w:t>.</w:t>
      </w:r>
    </w:p>
    <w:p w:rsidR="005F4D60" w:rsidRDefault="005F4D60" w:rsidP="005F4D60">
      <w:pPr>
        <w:pStyle w:val="afff6"/>
        <w:spacing w:line="360" w:lineRule="exact"/>
        <w:ind w:left="1068"/>
        <w:rPr>
          <w:snapToGrid/>
          <w:color w:val="auto"/>
          <w:szCs w:val="28"/>
        </w:rPr>
      </w:pPr>
      <w:r w:rsidRPr="00F271E7">
        <w:rPr>
          <w:snapToGrid/>
          <w:color w:val="auto"/>
          <w:szCs w:val="28"/>
        </w:rPr>
        <w:t xml:space="preserve">По умолчанию выводится значение «Все». </w:t>
      </w:r>
    </w:p>
    <w:p w:rsidR="005F4D60" w:rsidRDefault="005F4D60" w:rsidP="005F4D60">
      <w:pPr>
        <w:pStyle w:val="afff6"/>
        <w:spacing w:line="360" w:lineRule="exact"/>
        <w:ind w:left="1068"/>
        <w:rPr>
          <w:snapToGrid/>
          <w:color w:val="auto"/>
          <w:szCs w:val="28"/>
        </w:rPr>
      </w:pPr>
      <w:r w:rsidRPr="00FA2D0D">
        <w:rPr>
          <w:snapToGrid/>
          <w:color w:val="auto"/>
          <w:szCs w:val="28"/>
        </w:rPr>
        <w:t>В параметр вы</w:t>
      </w:r>
      <w:r>
        <w:rPr>
          <w:snapToGrid/>
          <w:color w:val="auto"/>
          <w:szCs w:val="28"/>
        </w:rPr>
        <w:t>водим наименования бюджетной классификации доходов.</w:t>
      </w:r>
    </w:p>
    <w:p w:rsidR="005F4D60" w:rsidRPr="00F271E7" w:rsidRDefault="005F4D60" w:rsidP="005F4D60">
      <w:pPr>
        <w:pStyle w:val="afff6"/>
        <w:spacing w:line="360" w:lineRule="exact"/>
        <w:ind w:left="1068"/>
      </w:pPr>
      <w:r w:rsidRPr="00FA2D0D">
        <w:rPr>
          <w:snapToGrid/>
          <w:color w:val="auto"/>
          <w:szCs w:val="28"/>
        </w:rPr>
        <w:t>Возможность контекстного поиска по наименованию</w:t>
      </w:r>
      <w:r w:rsidRPr="00F271E7">
        <w:rPr>
          <w:snapToGrid/>
          <w:color w:val="auto"/>
          <w:szCs w:val="28"/>
        </w:rPr>
        <w:t xml:space="preserve"> </w:t>
      </w:r>
      <w:r>
        <w:rPr>
          <w:snapToGrid/>
          <w:color w:val="auto"/>
          <w:szCs w:val="28"/>
        </w:rPr>
        <w:t>бюджетной классификации доходов.</w:t>
      </w:r>
    </w:p>
    <w:p w:rsidR="005F4D60" w:rsidRDefault="005F4D60" w:rsidP="005C6E50">
      <w:pPr>
        <w:numPr>
          <w:ilvl w:val="0"/>
          <w:numId w:val="113"/>
        </w:numPr>
        <w:ind w:left="1068"/>
        <w:rPr>
          <w:rFonts w:eastAsia="Calibri"/>
          <w:snapToGrid/>
          <w:color w:val="auto"/>
          <w:sz w:val="28"/>
          <w:szCs w:val="28"/>
        </w:rPr>
      </w:pPr>
      <w:r>
        <w:rPr>
          <w:rFonts w:eastAsia="Calibri"/>
          <w:snapToGrid/>
          <w:color w:val="auto"/>
          <w:sz w:val="28"/>
          <w:szCs w:val="28"/>
        </w:rPr>
        <w:t>«ОРФК».</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Выпадающий список с множественным выбором.</w:t>
      </w:r>
    </w:p>
    <w:p w:rsidR="005F4D60" w:rsidRPr="007C64E1" w:rsidRDefault="005F4D60" w:rsidP="005F4D60">
      <w:pPr>
        <w:ind w:left="1068"/>
        <w:rPr>
          <w:rFonts w:eastAsia="Calibri"/>
          <w:snapToGrid/>
          <w:color w:val="auto"/>
          <w:sz w:val="28"/>
          <w:szCs w:val="28"/>
        </w:rPr>
      </w:pPr>
      <w:r w:rsidRPr="007C64E1">
        <w:rPr>
          <w:rFonts w:eastAsia="Calibri"/>
          <w:snapToGrid/>
          <w:color w:val="auto"/>
          <w:sz w:val="28"/>
          <w:szCs w:val="28"/>
        </w:rPr>
        <w:t>По умолчанию выводится значение «Все».</w:t>
      </w:r>
    </w:p>
    <w:p w:rsidR="005F4D60" w:rsidRDefault="005F4D60" w:rsidP="005F4D60">
      <w:pPr>
        <w:ind w:left="1068"/>
        <w:rPr>
          <w:rFonts w:eastAsia="Calibri"/>
          <w:snapToGrid/>
          <w:color w:val="auto"/>
          <w:sz w:val="28"/>
          <w:szCs w:val="28"/>
        </w:rPr>
      </w:pPr>
      <w:r w:rsidRPr="007C64E1">
        <w:rPr>
          <w:rFonts w:eastAsia="Calibri"/>
          <w:snapToGrid/>
          <w:color w:val="auto"/>
          <w:sz w:val="28"/>
          <w:szCs w:val="28"/>
        </w:rPr>
        <w:t>В параметр выводим код и наименование органов федерального казначейства.</w:t>
      </w:r>
    </w:p>
    <w:p w:rsidR="005F4D60" w:rsidRDefault="005F4D60" w:rsidP="005F4D60">
      <w:pPr>
        <w:ind w:left="1068"/>
        <w:rPr>
          <w:rFonts w:eastAsia="Calibri"/>
          <w:snapToGrid/>
          <w:color w:val="auto"/>
          <w:sz w:val="28"/>
          <w:szCs w:val="28"/>
        </w:rPr>
      </w:pPr>
      <w:r>
        <w:rPr>
          <w:rFonts w:eastAsia="Calibri"/>
          <w:snapToGrid/>
          <w:color w:val="auto"/>
          <w:sz w:val="28"/>
          <w:szCs w:val="28"/>
        </w:rPr>
        <w:t>Поиск значений по коду и наименованию</w:t>
      </w:r>
      <w:r w:rsidRPr="007C64E1">
        <w:rPr>
          <w:rFonts w:eastAsia="Calibri"/>
          <w:snapToGrid/>
          <w:color w:val="auto"/>
          <w:sz w:val="28"/>
          <w:szCs w:val="28"/>
        </w:rPr>
        <w:t xml:space="preserve"> органов федерального казначейства.</w:t>
      </w:r>
    </w:p>
    <w:p w:rsidR="005F4D60" w:rsidRPr="00C54C97" w:rsidRDefault="005F4D60" w:rsidP="005C6E50">
      <w:pPr>
        <w:numPr>
          <w:ilvl w:val="0"/>
          <w:numId w:val="113"/>
        </w:numPr>
        <w:ind w:left="1068"/>
        <w:rPr>
          <w:rFonts w:eastAsia="Calibri"/>
          <w:snapToGrid/>
          <w:color w:val="auto"/>
          <w:sz w:val="28"/>
          <w:szCs w:val="28"/>
        </w:rPr>
      </w:pPr>
      <w:r w:rsidRPr="00C54C97">
        <w:rPr>
          <w:rFonts w:eastAsia="Calibri"/>
          <w:snapToGrid/>
          <w:color w:val="auto"/>
          <w:sz w:val="28"/>
          <w:szCs w:val="28"/>
        </w:rPr>
        <w:t>Выпадающий список с выбором единиц измерения.</w:t>
      </w:r>
    </w:p>
    <w:p w:rsidR="005F4D60" w:rsidRDefault="005F4D60" w:rsidP="005F4D60">
      <w:pPr>
        <w:ind w:left="1068"/>
        <w:rPr>
          <w:rFonts w:eastAsia="Calibri"/>
          <w:snapToGrid/>
          <w:color w:val="auto"/>
          <w:sz w:val="28"/>
          <w:szCs w:val="28"/>
        </w:rPr>
      </w:pPr>
      <w:r w:rsidRPr="00F271E7">
        <w:rPr>
          <w:rFonts w:eastAsia="Calibri"/>
          <w:snapToGrid/>
          <w:color w:val="auto"/>
          <w:sz w:val="28"/>
          <w:szCs w:val="28"/>
        </w:rPr>
        <w:t>Состоит из элементов: руб., тыс. руб., млн руб., млрд руб.</w:t>
      </w:r>
    </w:p>
    <w:p w:rsidR="005F4D60" w:rsidRDefault="005F4D60" w:rsidP="005F4D60">
      <w:pPr>
        <w:ind w:left="1068"/>
        <w:rPr>
          <w:snapToGrid/>
          <w:sz w:val="28"/>
          <w:szCs w:val="28"/>
        </w:rPr>
      </w:pPr>
      <w:r w:rsidRPr="00C54C97">
        <w:rPr>
          <w:rFonts w:eastAsia="Calibri"/>
          <w:snapToGrid/>
          <w:color w:val="auto"/>
          <w:sz w:val="28"/>
          <w:szCs w:val="28"/>
        </w:rPr>
        <w:t>По умолчанию значение параметра</w:t>
      </w:r>
      <w:r>
        <w:rPr>
          <w:snapToGrid/>
          <w:sz w:val="28"/>
          <w:szCs w:val="28"/>
        </w:rPr>
        <w:t xml:space="preserve"> «млрд руб.».</w:t>
      </w:r>
    </w:p>
    <w:p w:rsidR="000E18B7" w:rsidRDefault="000E18B7" w:rsidP="000E18B7">
      <w:pPr>
        <w:pStyle w:val="35"/>
        <w:ind w:left="142"/>
      </w:pPr>
      <w:bookmarkStart w:id="361" w:name="_Toc119585075"/>
      <w:bookmarkEnd w:id="322"/>
      <w:bookmarkEnd w:id="325"/>
      <w:bookmarkEnd w:id="326"/>
      <w:bookmarkEnd w:id="330"/>
      <w:bookmarkEnd w:id="331"/>
      <w:bookmarkEnd w:id="332"/>
      <w:r>
        <w:t>Отчет «</w:t>
      </w:r>
      <w:r w:rsidRPr="00562B8F">
        <w:t>Сведения о бюджетных и денежных обязательствах</w:t>
      </w:r>
      <w:r>
        <w:t>» (</w:t>
      </w:r>
      <w:r w:rsidRPr="00562B8F">
        <w:t>PIAO_104_001_report</w:t>
      </w:r>
      <w:r>
        <w:t>)</w:t>
      </w:r>
      <w:bookmarkEnd w:id="361"/>
    </w:p>
    <w:p w:rsidR="000E18B7" w:rsidRPr="00A17AF9" w:rsidRDefault="000E18B7" w:rsidP="000E18B7">
      <w:pPr>
        <w:pStyle w:val="af0"/>
        <w:rPr>
          <w:rStyle w:val="af1"/>
          <w:snapToGrid w:val="0"/>
        </w:rPr>
      </w:pPr>
      <w:r w:rsidRPr="00A17AF9">
        <w:rPr>
          <w:rStyle w:val="af1"/>
          <w:snapToGrid w:val="0"/>
        </w:rPr>
        <w:t>Для перехода к отчету «</w:t>
      </w:r>
      <w:r w:rsidRPr="00A17AF9">
        <w:t>Сведения о бюджетных и денежных обязательствах</w:t>
      </w:r>
      <w:r w:rsidRPr="00A17AF9">
        <w:rPr>
          <w:rStyle w:val="af1"/>
          <w:snapToGrid w:val="0"/>
        </w:rPr>
        <w:t>» необходимо перейти к витрине «</w:t>
      </w:r>
      <w:r w:rsidRPr="00A17AF9">
        <w:t>Исполнение бюджетов бюджетной системы Российской Федерации</w:t>
      </w:r>
      <w:r w:rsidRPr="00A17AF9">
        <w:rPr>
          <w:rStyle w:val="af1"/>
          <w:snapToGrid w:val="0"/>
        </w:rPr>
        <w:t>», раскрыть каталог «Исполнение бюджетов бюджетной системы Российской Федерации по расходам» и кликнуть мышью по соответствующей плашке (Рисунок</w:t>
      </w:r>
      <w:r w:rsidR="005C4CD6">
        <w:rPr>
          <w:rStyle w:val="af1"/>
          <w:snapToGrid w:val="0"/>
        </w:rPr>
        <w:t xml:space="preserve"> </w:t>
      </w:r>
      <w:r w:rsidR="005C4CD6">
        <w:rPr>
          <w:rStyle w:val="af1"/>
          <w:snapToGrid w:val="0"/>
        </w:rPr>
        <w:fldChar w:fldCharType="begin"/>
      </w:r>
      <w:r w:rsidR="005C4CD6">
        <w:rPr>
          <w:rStyle w:val="af1"/>
          <w:snapToGrid w:val="0"/>
        </w:rPr>
        <w:instrText xml:space="preserve"> REF _Ref70325393 \h </w:instrText>
      </w:r>
      <w:r w:rsidR="005C4CD6">
        <w:rPr>
          <w:rStyle w:val="af1"/>
          <w:snapToGrid w:val="0"/>
        </w:rPr>
      </w:r>
      <w:r w:rsidR="005C4CD6">
        <w:rPr>
          <w:rStyle w:val="af1"/>
          <w:snapToGrid w:val="0"/>
        </w:rPr>
        <w:fldChar w:fldCharType="separate"/>
      </w:r>
      <w:r w:rsidR="00BF0BEE">
        <w:rPr>
          <w:noProof/>
        </w:rPr>
        <w:t>106</w:t>
      </w:r>
      <w:r w:rsidR="005C4CD6">
        <w:rPr>
          <w:rStyle w:val="af1"/>
          <w:snapToGrid w:val="0"/>
        </w:rPr>
        <w:fldChar w:fldCharType="end"/>
      </w:r>
      <w:r w:rsidRPr="00A17AF9">
        <w:rPr>
          <w:rStyle w:val="af1"/>
          <w:snapToGrid w:val="0"/>
        </w:rPr>
        <w:t>).</w:t>
      </w:r>
    </w:p>
    <w:p w:rsidR="000E18B7" w:rsidRDefault="000E18B7" w:rsidP="000E18B7">
      <w:pPr>
        <w:pStyle w:val="afffff7"/>
        <w:keepNext/>
      </w:pPr>
      <w:r>
        <w:rPr>
          <w:noProof/>
          <w:lang w:eastAsia="ru-RU"/>
        </w:rPr>
        <w:drawing>
          <wp:inline distT="0" distB="0" distL="0" distR="0" wp14:anchorId="521856EA" wp14:editId="0ACB33B7">
            <wp:extent cx="6152515" cy="2526665"/>
            <wp:effectExtent l="0" t="0" r="635" b="6985"/>
            <wp:docPr id="5728" name="Рисунок 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6152515" cy="2526665"/>
                    </a:xfrm>
                    <a:prstGeom prst="rect">
                      <a:avLst/>
                    </a:prstGeom>
                  </pic:spPr>
                </pic:pic>
              </a:graphicData>
            </a:graphic>
          </wp:inline>
        </w:drawing>
      </w:r>
    </w:p>
    <w:p w:rsidR="000E18B7" w:rsidRDefault="000E18B7" w:rsidP="000E18B7">
      <w:pPr>
        <w:pStyle w:val="-0"/>
        <w:rPr>
          <w:rStyle w:val="af1"/>
          <w:snapToGrid w:val="0"/>
        </w:rPr>
      </w:pPr>
      <w:bookmarkStart w:id="362" w:name="_Toc119584293"/>
      <w:r w:rsidRPr="00562B8F">
        <w:t xml:space="preserve">Рисунок </w:t>
      </w:r>
      <w:fldSimple w:instr=" SEQ Рисунок \* ARABIC ">
        <w:bookmarkStart w:id="363" w:name="_Ref70325393"/>
        <w:r w:rsidR="001860A9">
          <w:rPr>
            <w:noProof/>
          </w:rPr>
          <w:t>106</w:t>
        </w:r>
        <w:bookmarkEnd w:id="363"/>
      </w:fldSimple>
      <w:r w:rsidR="00124418">
        <w:t xml:space="preserve"> </w:t>
      </w:r>
      <w:r w:rsidRPr="00562B8F">
        <w:t xml:space="preserve">– Переход к отчету </w:t>
      </w:r>
      <w:r w:rsidRPr="00562B8F">
        <w:rPr>
          <w:rStyle w:val="af1"/>
          <w:snapToGrid w:val="0"/>
        </w:rPr>
        <w:t>«</w:t>
      </w:r>
      <w:r w:rsidRPr="00562B8F">
        <w:t>Сведения о бюджетных и денежных обязательствах</w:t>
      </w:r>
      <w:r w:rsidRPr="00562B8F">
        <w:rPr>
          <w:rStyle w:val="af1"/>
          <w:snapToGrid w:val="0"/>
        </w:rPr>
        <w:t>»</w:t>
      </w:r>
      <w:bookmarkEnd w:id="362"/>
    </w:p>
    <w:p w:rsidR="000E18B7" w:rsidRDefault="000E18B7" w:rsidP="000D2A6E">
      <w:pPr>
        <w:pStyle w:val="42"/>
        <w:ind w:left="284"/>
        <w:jc w:val="left"/>
      </w:pPr>
      <w:r>
        <w:t>Представление «По ГРБС»</w:t>
      </w:r>
    </w:p>
    <w:p w:rsidR="000E18B7" w:rsidRDefault="000E18B7" w:rsidP="000E18B7">
      <w:pPr>
        <w:pStyle w:val="af0"/>
      </w:pPr>
      <w:r w:rsidRPr="00562B8F">
        <w:t>Аналитический отчет «Сведения о бюджетных и денежных обязательствах по ГРБС» обеспечива</w:t>
      </w:r>
      <w:r>
        <w:t>ет</w:t>
      </w:r>
      <w:r w:rsidRPr="00562B8F">
        <w:t xml:space="preserve"> возможность анализа информации о суммах бюджетных ассигнований, лимитах бюджетных обязательств, суммах бюджетных и денежных обязательств, разнице между суммами бюджетных и денежных обязательств, суммах неисполненных бюджетных и денежных обязательств в разрезе ГРБС. </w:t>
      </w:r>
    </w:p>
    <w:p w:rsidR="000E18B7" w:rsidRDefault="000E18B7" w:rsidP="000E18B7">
      <w:pPr>
        <w:pStyle w:val="afffff7"/>
        <w:keepNext/>
      </w:pPr>
      <w:r>
        <w:rPr>
          <w:noProof/>
          <w:lang w:eastAsia="ru-RU"/>
        </w:rPr>
        <w:drawing>
          <wp:inline distT="0" distB="0" distL="0" distR="0" wp14:anchorId="308BABC1" wp14:editId="7948CE65">
            <wp:extent cx="6152515" cy="1843405"/>
            <wp:effectExtent l="0" t="0" r="635" b="4445"/>
            <wp:docPr id="5729" name="Рисунок 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6152515" cy="1843405"/>
                    </a:xfrm>
                    <a:prstGeom prst="rect">
                      <a:avLst/>
                    </a:prstGeom>
                  </pic:spPr>
                </pic:pic>
              </a:graphicData>
            </a:graphic>
          </wp:inline>
        </w:drawing>
      </w:r>
    </w:p>
    <w:p w:rsidR="000E18B7" w:rsidRPr="00562B8F" w:rsidRDefault="000E18B7" w:rsidP="000E18B7">
      <w:pPr>
        <w:pStyle w:val="-0"/>
      </w:pPr>
      <w:bookmarkStart w:id="364" w:name="_Toc119584294"/>
      <w:r w:rsidRPr="00562B8F">
        <w:t xml:space="preserve">Рисунок </w:t>
      </w:r>
      <w:fldSimple w:instr=" SEQ Рисунок \* ARABIC ">
        <w:r w:rsidR="001860A9">
          <w:rPr>
            <w:noProof/>
          </w:rPr>
          <w:t>107</w:t>
        </w:r>
      </w:fldSimple>
      <w:r w:rsidRPr="00562B8F">
        <w:t xml:space="preserve"> –</w:t>
      </w:r>
      <w:r>
        <w:t xml:space="preserve"> </w:t>
      </w:r>
      <w:r w:rsidRPr="00562B8F">
        <w:t>Макет аналитического отчета «Сведения о бюджетных и денежных обязательствах»</w:t>
      </w:r>
      <w:r>
        <w:t xml:space="preserve"> представление « По ГРБС»</w:t>
      </w:r>
      <w:bookmarkEnd w:id="364"/>
    </w:p>
    <w:p w:rsidR="000E18B7" w:rsidRPr="00562B8F" w:rsidRDefault="000E18B7" w:rsidP="000E18B7">
      <w:pPr>
        <w:pStyle w:val="afff8"/>
        <w:jc w:val="center"/>
        <w:rPr>
          <w:szCs w:val="28"/>
        </w:rPr>
      </w:pPr>
    </w:p>
    <w:p w:rsidR="000E18B7" w:rsidRPr="001F67A6" w:rsidRDefault="000E18B7" w:rsidP="000E18B7">
      <w:pPr>
        <w:spacing w:before="120" w:after="120"/>
        <w:ind w:firstLine="567"/>
        <w:rPr>
          <w:sz w:val="28"/>
          <w:szCs w:val="28"/>
        </w:rPr>
      </w:pPr>
      <w:r w:rsidRPr="00A17AF9">
        <w:rPr>
          <w:sz w:val="28"/>
        </w:rPr>
        <w:t xml:space="preserve">Параметры </w:t>
      </w:r>
      <w:r w:rsidRPr="001F67A6">
        <w:rPr>
          <w:sz w:val="28"/>
          <w:szCs w:val="28"/>
        </w:rPr>
        <w:t>представления:</w:t>
      </w:r>
    </w:p>
    <w:p w:rsidR="001F67A6" w:rsidRPr="001F67A6" w:rsidRDefault="000E18B7" w:rsidP="005C6E50">
      <w:pPr>
        <w:numPr>
          <w:ilvl w:val="0"/>
          <w:numId w:val="113"/>
        </w:numPr>
        <w:ind w:left="1068"/>
        <w:rPr>
          <w:sz w:val="28"/>
          <w:szCs w:val="28"/>
        </w:rPr>
      </w:pPr>
      <w:r w:rsidRPr="001F67A6">
        <w:rPr>
          <w:rFonts w:eastAsia="Calibri"/>
          <w:snapToGrid/>
          <w:sz w:val="28"/>
          <w:szCs w:val="28"/>
        </w:rPr>
        <w:t>«Год»: Фильтр с выбором года отображаемых данных. По умолчанию</w:t>
      </w:r>
      <w:r w:rsidRPr="001F67A6">
        <w:rPr>
          <w:sz w:val="28"/>
          <w:szCs w:val="28"/>
        </w:rPr>
        <w:t xml:space="preserve"> отображается текущий год обновления данных;</w:t>
      </w:r>
    </w:p>
    <w:p w:rsidR="001F67A6" w:rsidRPr="001F67A6" w:rsidRDefault="000E18B7" w:rsidP="005C6E50">
      <w:pPr>
        <w:numPr>
          <w:ilvl w:val="0"/>
          <w:numId w:val="113"/>
        </w:numPr>
        <w:ind w:left="1068"/>
        <w:rPr>
          <w:sz w:val="28"/>
          <w:szCs w:val="28"/>
        </w:rPr>
      </w:pPr>
      <w:r w:rsidRPr="001F67A6">
        <w:rPr>
          <w:sz w:val="28"/>
          <w:szCs w:val="28"/>
        </w:rPr>
        <w:t xml:space="preserve"> «ГРБС»: Выпадающий список с множественным выбором. По умолчанию выводится значение «Все». В параметр выводится наименование главных распорядителей бюджетных средств. Возможность контекстного поиска по коду и наименованию главного распорядителя;</w:t>
      </w:r>
    </w:p>
    <w:p w:rsidR="001F67A6" w:rsidRPr="001F67A6" w:rsidRDefault="000E18B7" w:rsidP="005C6E50">
      <w:pPr>
        <w:numPr>
          <w:ilvl w:val="0"/>
          <w:numId w:val="113"/>
        </w:numPr>
        <w:ind w:left="1068"/>
        <w:rPr>
          <w:sz w:val="28"/>
          <w:szCs w:val="28"/>
        </w:rPr>
      </w:pPr>
      <w:r w:rsidRPr="001F67A6">
        <w:rPr>
          <w:sz w:val="28"/>
          <w:szCs w:val="28"/>
        </w:rPr>
        <w:t>«Единицы измерения»: Выпадающий список с выбором единиц измерения. Состоит из элементов: руб., тыс. руб., млн руб., млрд руб.</w:t>
      </w:r>
    </w:p>
    <w:p w:rsidR="001F67A6" w:rsidRPr="001F67A6" w:rsidRDefault="000E18B7" w:rsidP="005C6E50">
      <w:pPr>
        <w:numPr>
          <w:ilvl w:val="0"/>
          <w:numId w:val="113"/>
        </w:numPr>
        <w:ind w:left="1068"/>
        <w:rPr>
          <w:sz w:val="28"/>
          <w:szCs w:val="28"/>
        </w:rPr>
      </w:pPr>
      <w:r w:rsidRPr="001F67A6">
        <w:rPr>
          <w:sz w:val="28"/>
          <w:szCs w:val="28"/>
        </w:rPr>
        <w:t>«Национальный проект»: Выпадающий список с множественным выбором нескольких значений. По умолчанию выводится значение «Все». В параметр выводится наименование национального проекта. Возможность контекстного поиска по коду и наименованию национального проекта;</w:t>
      </w:r>
    </w:p>
    <w:p w:rsidR="000E18B7" w:rsidRPr="001F67A6" w:rsidRDefault="000E18B7" w:rsidP="005C6E50">
      <w:pPr>
        <w:numPr>
          <w:ilvl w:val="0"/>
          <w:numId w:val="113"/>
        </w:numPr>
        <w:ind w:left="1068"/>
        <w:rPr>
          <w:sz w:val="28"/>
          <w:szCs w:val="28"/>
        </w:rPr>
      </w:pPr>
      <w:r w:rsidRPr="001F67A6">
        <w:rPr>
          <w:sz w:val="28"/>
          <w:szCs w:val="28"/>
        </w:rPr>
        <w:t>«Казначейское сопровождение»: Чек-бокс одинарная галочка. При простановке галочки выводятся только строки, для которых значение признака казначейское сопровождение равно «да».</w:t>
      </w:r>
    </w:p>
    <w:p w:rsidR="000E18B7" w:rsidRPr="00F15236" w:rsidRDefault="000E18B7" w:rsidP="000E18B7">
      <w:pPr>
        <w:pStyle w:val="af0"/>
      </w:pPr>
      <w:r w:rsidRPr="00F15236">
        <w:t>Наименования колонок:</w:t>
      </w:r>
    </w:p>
    <w:p w:rsidR="000E18B7" w:rsidRPr="004A5A64" w:rsidRDefault="000E18B7" w:rsidP="005C6E50">
      <w:pPr>
        <w:numPr>
          <w:ilvl w:val="0"/>
          <w:numId w:val="113"/>
        </w:numPr>
        <w:ind w:left="1068"/>
      </w:pPr>
      <w:r w:rsidRPr="004A5A64">
        <w:t>ГРБС (БД ПУР ЭБ)</w:t>
      </w:r>
    </w:p>
    <w:p w:rsidR="000E18B7" w:rsidRPr="001F67A6" w:rsidRDefault="000E18B7" w:rsidP="005C6E50">
      <w:pPr>
        <w:numPr>
          <w:ilvl w:val="0"/>
          <w:numId w:val="113"/>
        </w:numPr>
        <w:ind w:left="1068"/>
        <w:rPr>
          <w:sz w:val="28"/>
          <w:szCs w:val="28"/>
        </w:rPr>
      </w:pPr>
      <w:r w:rsidRPr="001F67A6">
        <w:rPr>
          <w:sz w:val="28"/>
          <w:szCs w:val="28"/>
        </w:rPr>
        <w:t xml:space="preserve">Наименование ГРБС </w:t>
      </w:r>
    </w:p>
    <w:p w:rsidR="000E18B7" w:rsidRPr="001F67A6" w:rsidRDefault="000E18B7" w:rsidP="005C6E50">
      <w:pPr>
        <w:numPr>
          <w:ilvl w:val="0"/>
          <w:numId w:val="113"/>
        </w:numPr>
        <w:ind w:left="1068"/>
        <w:rPr>
          <w:sz w:val="28"/>
          <w:szCs w:val="28"/>
        </w:rPr>
      </w:pPr>
      <w:r w:rsidRPr="001F67A6">
        <w:rPr>
          <w:sz w:val="28"/>
          <w:szCs w:val="28"/>
        </w:rPr>
        <w:t xml:space="preserve">Бюджетные данные: Бюджетные ассигнования; </w:t>
      </w:r>
    </w:p>
    <w:p w:rsidR="000E18B7" w:rsidRPr="001F67A6" w:rsidRDefault="000E18B7" w:rsidP="005C6E50">
      <w:pPr>
        <w:numPr>
          <w:ilvl w:val="0"/>
          <w:numId w:val="113"/>
        </w:numPr>
        <w:ind w:left="1068"/>
        <w:rPr>
          <w:sz w:val="28"/>
          <w:szCs w:val="28"/>
        </w:rPr>
      </w:pPr>
      <w:r w:rsidRPr="001F67A6">
        <w:rPr>
          <w:sz w:val="28"/>
          <w:szCs w:val="28"/>
        </w:rPr>
        <w:t>Бюджетные данные: Доведенные ЛБО (БА на ПНО);</w:t>
      </w:r>
    </w:p>
    <w:p w:rsidR="000E18B7" w:rsidRPr="001F67A6" w:rsidRDefault="000E18B7" w:rsidP="005C6E50">
      <w:pPr>
        <w:numPr>
          <w:ilvl w:val="0"/>
          <w:numId w:val="113"/>
        </w:numPr>
        <w:ind w:left="1068"/>
        <w:rPr>
          <w:sz w:val="28"/>
          <w:szCs w:val="28"/>
        </w:rPr>
      </w:pPr>
      <w:r w:rsidRPr="001F67A6">
        <w:rPr>
          <w:sz w:val="28"/>
          <w:szCs w:val="28"/>
        </w:rPr>
        <w:t>Бюджетные данные: Доведенные ЛБО</w:t>
      </w:r>
    </w:p>
    <w:p w:rsidR="000E18B7" w:rsidRPr="001F67A6" w:rsidRDefault="000E18B7" w:rsidP="005C6E50">
      <w:pPr>
        <w:numPr>
          <w:ilvl w:val="0"/>
          <w:numId w:val="113"/>
        </w:numPr>
        <w:ind w:left="1068"/>
        <w:rPr>
          <w:sz w:val="28"/>
          <w:szCs w:val="28"/>
        </w:rPr>
      </w:pPr>
      <w:r w:rsidRPr="001F67A6">
        <w:rPr>
          <w:sz w:val="28"/>
          <w:szCs w:val="28"/>
        </w:rPr>
        <w:t>Бюджетные данные: БА на ПНО (доведено ФК)</w:t>
      </w:r>
    </w:p>
    <w:p w:rsidR="000E18B7" w:rsidRPr="001F67A6" w:rsidRDefault="000E18B7" w:rsidP="005C6E50">
      <w:pPr>
        <w:numPr>
          <w:ilvl w:val="0"/>
          <w:numId w:val="113"/>
        </w:numPr>
        <w:ind w:left="1068"/>
        <w:rPr>
          <w:sz w:val="28"/>
          <w:szCs w:val="28"/>
        </w:rPr>
      </w:pPr>
      <w:r w:rsidRPr="001F67A6">
        <w:rPr>
          <w:sz w:val="28"/>
          <w:szCs w:val="28"/>
        </w:rPr>
        <w:t>Бюджетные обязательства: Кол-во</w:t>
      </w:r>
    </w:p>
    <w:p w:rsidR="000E18B7" w:rsidRPr="001F67A6" w:rsidRDefault="000E18B7" w:rsidP="005C6E50">
      <w:pPr>
        <w:numPr>
          <w:ilvl w:val="0"/>
          <w:numId w:val="113"/>
        </w:numPr>
        <w:ind w:left="1068"/>
        <w:rPr>
          <w:sz w:val="28"/>
          <w:szCs w:val="28"/>
        </w:rPr>
      </w:pPr>
      <w:r w:rsidRPr="001F67A6">
        <w:rPr>
          <w:sz w:val="28"/>
          <w:szCs w:val="28"/>
        </w:rPr>
        <w:t>Бюджетные обязательства: Сумма</w:t>
      </w:r>
    </w:p>
    <w:p w:rsidR="000E18B7" w:rsidRPr="001F67A6" w:rsidRDefault="000E18B7" w:rsidP="005C6E50">
      <w:pPr>
        <w:numPr>
          <w:ilvl w:val="0"/>
          <w:numId w:val="113"/>
        </w:numPr>
        <w:ind w:left="1068"/>
        <w:rPr>
          <w:sz w:val="28"/>
          <w:szCs w:val="28"/>
        </w:rPr>
      </w:pPr>
      <w:r w:rsidRPr="001F67A6">
        <w:rPr>
          <w:sz w:val="28"/>
          <w:szCs w:val="28"/>
        </w:rPr>
        <w:t>Денежные обязательства: Кол-во</w:t>
      </w:r>
    </w:p>
    <w:p w:rsidR="000E18B7" w:rsidRPr="001F67A6" w:rsidRDefault="000E18B7" w:rsidP="005C6E50">
      <w:pPr>
        <w:numPr>
          <w:ilvl w:val="0"/>
          <w:numId w:val="113"/>
        </w:numPr>
        <w:ind w:left="1068"/>
        <w:rPr>
          <w:sz w:val="28"/>
          <w:szCs w:val="28"/>
        </w:rPr>
      </w:pPr>
      <w:r w:rsidRPr="001F67A6">
        <w:rPr>
          <w:sz w:val="28"/>
          <w:szCs w:val="28"/>
        </w:rPr>
        <w:t>Денежные обязательства: Сумма</w:t>
      </w:r>
    </w:p>
    <w:p w:rsidR="000E18B7" w:rsidRPr="001F67A6" w:rsidRDefault="000E18B7" w:rsidP="005C6E50">
      <w:pPr>
        <w:numPr>
          <w:ilvl w:val="0"/>
          <w:numId w:val="113"/>
        </w:numPr>
        <w:ind w:left="1068"/>
        <w:rPr>
          <w:sz w:val="28"/>
          <w:szCs w:val="28"/>
        </w:rPr>
      </w:pPr>
      <w:r w:rsidRPr="001F67A6">
        <w:rPr>
          <w:sz w:val="28"/>
          <w:szCs w:val="28"/>
        </w:rPr>
        <w:t>Сумма БО - Сумма ДО</w:t>
      </w:r>
    </w:p>
    <w:p w:rsidR="000E18B7" w:rsidRPr="001F67A6" w:rsidRDefault="000E18B7" w:rsidP="005C6E50">
      <w:pPr>
        <w:numPr>
          <w:ilvl w:val="0"/>
          <w:numId w:val="113"/>
        </w:numPr>
        <w:ind w:left="1068"/>
        <w:rPr>
          <w:sz w:val="28"/>
          <w:szCs w:val="28"/>
        </w:rPr>
      </w:pPr>
      <w:r w:rsidRPr="001F67A6">
        <w:rPr>
          <w:sz w:val="28"/>
          <w:szCs w:val="28"/>
        </w:rPr>
        <w:t>Исполнено БО: Сумма</w:t>
      </w:r>
    </w:p>
    <w:p w:rsidR="000E18B7" w:rsidRPr="001F67A6" w:rsidRDefault="000E18B7" w:rsidP="005C6E50">
      <w:pPr>
        <w:numPr>
          <w:ilvl w:val="0"/>
          <w:numId w:val="113"/>
        </w:numPr>
        <w:ind w:left="1068"/>
        <w:rPr>
          <w:sz w:val="28"/>
          <w:szCs w:val="28"/>
        </w:rPr>
      </w:pPr>
      <w:r w:rsidRPr="001F67A6">
        <w:rPr>
          <w:sz w:val="28"/>
          <w:szCs w:val="28"/>
        </w:rPr>
        <w:t>Исполнено БО: %</w:t>
      </w:r>
    </w:p>
    <w:p w:rsidR="000E18B7" w:rsidRPr="001F67A6" w:rsidRDefault="000E18B7" w:rsidP="005C6E50">
      <w:pPr>
        <w:numPr>
          <w:ilvl w:val="0"/>
          <w:numId w:val="113"/>
        </w:numPr>
        <w:ind w:left="1068"/>
        <w:rPr>
          <w:sz w:val="28"/>
          <w:szCs w:val="28"/>
        </w:rPr>
      </w:pPr>
      <w:r w:rsidRPr="001F67A6">
        <w:rPr>
          <w:sz w:val="28"/>
          <w:szCs w:val="28"/>
        </w:rPr>
        <w:t>Не исполнено БО: сумма</w:t>
      </w:r>
    </w:p>
    <w:p w:rsidR="000E18B7" w:rsidRPr="001F67A6" w:rsidRDefault="000E18B7" w:rsidP="005C6E50">
      <w:pPr>
        <w:numPr>
          <w:ilvl w:val="0"/>
          <w:numId w:val="113"/>
        </w:numPr>
        <w:ind w:left="1068"/>
        <w:rPr>
          <w:sz w:val="28"/>
          <w:szCs w:val="28"/>
        </w:rPr>
      </w:pPr>
      <w:r w:rsidRPr="001F67A6">
        <w:rPr>
          <w:sz w:val="28"/>
          <w:szCs w:val="28"/>
        </w:rPr>
        <w:t>Не исполнено БО: %</w:t>
      </w:r>
    </w:p>
    <w:p w:rsidR="000E18B7" w:rsidRPr="001F67A6" w:rsidRDefault="000E18B7" w:rsidP="005C6E50">
      <w:pPr>
        <w:numPr>
          <w:ilvl w:val="0"/>
          <w:numId w:val="113"/>
        </w:numPr>
        <w:ind w:left="1068"/>
        <w:rPr>
          <w:sz w:val="28"/>
          <w:szCs w:val="28"/>
        </w:rPr>
      </w:pPr>
      <w:r w:rsidRPr="001F67A6">
        <w:rPr>
          <w:sz w:val="28"/>
          <w:szCs w:val="28"/>
        </w:rPr>
        <w:t>Не исполнено ДО: сумма</w:t>
      </w:r>
    </w:p>
    <w:p w:rsidR="000E18B7" w:rsidRPr="004A5A64" w:rsidRDefault="000E18B7" w:rsidP="005C6E50">
      <w:pPr>
        <w:numPr>
          <w:ilvl w:val="0"/>
          <w:numId w:val="113"/>
        </w:numPr>
        <w:ind w:left="1068"/>
      </w:pPr>
      <w:r w:rsidRPr="001F67A6">
        <w:rPr>
          <w:sz w:val="28"/>
          <w:szCs w:val="28"/>
        </w:rPr>
        <w:t>Не исполнено ДО:</w:t>
      </w:r>
      <w:r w:rsidRPr="004A5A64">
        <w:t xml:space="preserve"> %</w:t>
      </w:r>
    </w:p>
    <w:p w:rsidR="000E18B7" w:rsidRDefault="000E18B7" w:rsidP="00F13F95">
      <w:pPr>
        <w:pStyle w:val="42"/>
        <w:ind w:left="284"/>
        <w:jc w:val="left"/>
      </w:pPr>
      <w:r>
        <w:t>Представление «По КБК»</w:t>
      </w:r>
    </w:p>
    <w:p w:rsidR="000E18B7" w:rsidRDefault="000E18B7" w:rsidP="000E18B7">
      <w:pPr>
        <w:pStyle w:val="af0"/>
      </w:pPr>
      <w:r w:rsidRPr="00562B8F">
        <w:t>Аналитический отчет «Сведения о бюджетных и денежных обязательствах», «По КБК» обеспечива</w:t>
      </w:r>
      <w:r>
        <w:t>ет</w:t>
      </w:r>
      <w:r w:rsidRPr="00562B8F">
        <w:t xml:space="preserve"> возможность анализа информации, включающей в себя сведения о лимитах бюджетных обязательств, количестве и суммах бюджетных и денежных обязательств, разнице между суммами бюджетных и денежных обязательств, суммах неисполненных бюджетных и денежных обязательств в разрезе КБК. </w:t>
      </w:r>
    </w:p>
    <w:p w:rsidR="000E18B7" w:rsidRDefault="000E18B7" w:rsidP="000E18B7">
      <w:pPr>
        <w:pStyle w:val="afffff7"/>
        <w:keepNext/>
      </w:pPr>
      <w:r w:rsidRPr="00562B8F">
        <w:rPr>
          <w:noProof/>
          <w:lang w:eastAsia="ru-RU"/>
        </w:rPr>
        <w:drawing>
          <wp:inline distT="0" distB="0" distL="0" distR="0" wp14:anchorId="7922FD3D" wp14:editId="4E59F370">
            <wp:extent cx="6152515" cy="2153920"/>
            <wp:effectExtent l="0" t="0" r="635" b="0"/>
            <wp:docPr id="5956" name="Рисунок 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6152515" cy="2153920"/>
                    </a:xfrm>
                    <a:prstGeom prst="rect">
                      <a:avLst/>
                    </a:prstGeom>
                  </pic:spPr>
                </pic:pic>
              </a:graphicData>
            </a:graphic>
          </wp:inline>
        </w:drawing>
      </w:r>
    </w:p>
    <w:p w:rsidR="000E18B7" w:rsidRDefault="000E18B7" w:rsidP="000E18B7">
      <w:pPr>
        <w:pStyle w:val="-0"/>
      </w:pPr>
      <w:bookmarkStart w:id="365" w:name="_Toc119584295"/>
      <w:r w:rsidRPr="00562B8F">
        <w:t>Рисунок</w:t>
      </w:r>
      <w:r>
        <w:t xml:space="preserve"> </w:t>
      </w:r>
      <w:fldSimple w:instr=" SEQ Рисунок \* ARABIC ">
        <w:r w:rsidR="001860A9">
          <w:rPr>
            <w:noProof/>
          </w:rPr>
          <w:t>108</w:t>
        </w:r>
      </w:fldSimple>
      <w:r w:rsidR="00124418">
        <w:t xml:space="preserve"> </w:t>
      </w:r>
      <w:r w:rsidRPr="00562B8F">
        <w:t>–</w:t>
      </w:r>
      <w:r>
        <w:t xml:space="preserve"> </w:t>
      </w:r>
      <w:r w:rsidRPr="00562B8F">
        <w:t>Макет аналитического отчета «Сведения о бюджетных и денежных обязательствах»</w:t>
      </w:r>
      <w:r>
        <w:t xml:space="preserve"> представление « По ГРБС»</w:t>
      </w:r>
      <w:bookmarkEnd w:id="365"/>
    </w:p>
    <w:p w:rsidR="000E18B7" w:rsidRPr="00F15236" w:rsidRDefault="000E18B7" w:rsidP="000E18B7">
      <w:pPr>
        <w:pStyle w:val="af0"/>
      </w:pPr>
      <w:r w:rsidRPr="00F15236">
        <w:t xml:space="preserve">Параметры </w:t>
      </w:r>
      <w:r>
        <w:t>представления</w:t>
      </w:r>
      <w:r w:rsidRPr="00F15236">
        <w:t>:</w:t>
      </w:r>
    </w:p>
    <w:p w:rsidR="000E18B7" w:rsidRPr="001F67A6" w:rsidRDefault="000E18B7" w:rsidP="00FC5449">
      <w:pPr>
        <w:pStyle w:val="13"/>
      </w:pPr>
      <w:r w:rsidRPr="001F67A6">
        <w:t>«Год»: Фильтр с выбором года отображаемых данных. По умолчанию отображается текущий год обновления данных;</w:t>
      </w:r>
    </w:p>
    <w:p w:rsidR="000E18B7" w:rsidRPr="001F67A6" w:rsidRDefault="000E18B7" w:rsidP="00FC5449">
      <w:pPr>
        <w:pStyle w:val="13"/>
      </w:pPr>
      <w:r w:rsidRPr="001F67A6">
        <w:t>«ГРБС»: Выпадающий список с множественным выбором. По умолчанию выводится значение «Все». В параметр выводится наименование главных распорядителей бюджетных средств. Возможность контекстного поиска по коду и наименованию главного распорядителя;</w:t>
      </w:r>
    </w:p>
    <w:p w:rsidR="000E18B7" w:rsidRPr="001F67A6" w:rsidRDefault="000E18B7" w:rsidP="00FC5449">
      <w:pPr>
        <w:pStyle w:val="13"/>
      </w:pPr>
      <w:r w:rsidRPr="001F67A6">
        <w:t>«РЗПР»: выпадающий список с вариантами выбора;</w:t>
      </w:r>
    </w:p>
    <w:p w:rsidR="000E18B7" w:rsidRPr="001F67A6" w:rsidRDefault="000E18B7" w:rsidP="00FC5449">
      <w:pPr>
        <w:pStyle w:val="13"/>
      </w:pPr>
      <w:r w:rsidRPr="001F67A6">
        <w:t>«КЦСР»: выпадающий список с вариантами выбора;</w:t>
      </w:r>
    </w:p>
    <w:p w:rsidR="000E18B7" w:rsidRPr="001F67A6" w:rsidRDefault="000E18B7" w:rsidP="00FC5449">
      <w:pPr>
        <w:pStyle w:val="13"/>
      </w:pPr>
      <w:r w:rsidRPr="001F67A6">
        <w:t>«КВР»: выпадающий список с возможностью выбора необходимых КВР;</w:t>
      </w:r>
    </w:p>
    <w:p w:rsidR="000E18B7" w:rsidRPr="001F67A6" w:rsidRDefault="000E18B7" w:rsidP="00FC5449">
      <w:pPr>
        <w:pStyle w:val="13"/>
      </w:pPr>
      <w:r w:rsidRPr="001F67A6">
        <w:t>«Единицы измерения»: Выпадающий список с выбором единиц измерения. Состоит из элементов: руб., тыс. руб., млн руб., млрд руб.</w:t>
      </w:r>
    </w:p>
    <w:p w:rsidR="000E18B7" w:rsidRPr="001F67A6" w:rsidRDefault="000E18B7" w:rsidP="00FC5449">
      <w:pPr>
        <w:pStyle w:val="13"/>
      </w:pPr>
      <w:r w:rsidRPr="001F67A6">
        <w:t>«Национальный проект»: Выпадающий список с множественным выбором нескольких значений. По умолчанию выводится значение «Все». В параметр выводится наименование национального проекта. Возможность контекстного поиска по коду и наименованию национального проекта;</w:t>
      </w:r>
    </w:p>
    <w:p w:rsidR="000E18B7" w:rsidRPr="001F67A6" w:rsidRDefault="000E18B7" w:rsidP="00FC5449">
      <w:pPr>
        <w:pStyle w:val="13"/>
      </w:pPr>
      <w:r w:rsidRPr="001F67A6">
        <w:t>«Казначейское сопровождение»: Чек-бокс одинарная галочка. При простановке галочки выводятся только строки, для которых значение признака казначейское сопровождение равно «да».</w:t>
      </w:r>
    </w:p>
    <w:p w:rsidR="000E18B7" w:rsidRPr="00F15236" w:rsidRDefault="000E18B7" w:rsidP="000E18B7">
      <w:pPr>
        <w:pStyle w:val="af0"/>
      </w:pPr>
      <w:r w:rsidRPr="00F15236">
        <w:t>Наименования колонок:</w:t>
      </w:r>
    </w:p>
    <w:p w:rsidR="000E18B7" w:rsidRPr="001F67A6" w:rsidRDefault="000E18B7" w:rsidP="00FC5449">
      <w:pPr>
        <w:pStyle w:val="13"/>
      </w:pPr>
      <w:r w:rsidRPr="001F67A6">
        <w:t>ГРБС</w:t>
      </w:r>
    </w:p>
    <w:p w:rsidR="000E18B7" w:rsidRPr="001F67A6" w:rsidRDefault="000E18B7" w:rsidP="00FC5449">
      <w:pPr>
        <w:pStyle w:val="13"/>
      </w:pPr>
      <w:r w:rsidRPr="001F67A6">
        <w:t>Наименование ГРБС</w:t>
      </w:r>
    </w:p>
    <w:p w:rsidR="000E18B7" w:rsidRPr="001F67A6" w:rsidRDefault="000E18B7" w:rsidP="00FC5449">
      <w:pPr>
        <w:pStyle w:val="13"/>
      </w:pPr>
      <w:r w:rsidRPr="001F67A6">
        <w:t>РзПр</w:t>
      </w:r>
    </w:p>
    <w:p w:rsidR="000E18B7" w:rsidRPr="001F67A6" w:rsidRDefault="000E18B7" w:rsidP="00FC5449">
      <w:pPr>
        <w:pStyle w:val="13"/>
      </w:pPr>
      <w:r w:rsidRPr="001F67A6">
        <w:t>Наименование РзПр</w:t>
      </w:r>
    </w:p>
    <w:p w:rsidR="000E18B7" w:rsidRPr="001F67A6" w:rsidRDefault="000E18B7" w:rsidP="00FC5449">
      <w:pPr>
        <w:pStyle w:val="13"/>
      </w:pPr>
      <w:r w:rsidRPr="001F67A6">
        <w:t>КЦСР</w:t>
      </w:r>
    </w:p>
    <w:p w:rsidR="000E18B7" w:rsidRPr="001F67A6" w:rsidRDefault="000E18B7" w:rsidP="00FC5449">
      <w:pPr>
        <w:pStyle w:val="13"/>
      </w:pPr>
      <w:r w:rsidRPr="001F67A6">
        <w:t>Наименование КЦСР</w:t>
      </w:r>
    </w:p>
    <w:p w:rsidR="000E18B7" w:rsidRPr="001F67A6" w:rsidRDefault="000E18B7" w:rsidP="00FC5449">
      <w:pPr>
        <w:pStyle w:val="13"/>
      </w:pPr>
      <w:r w:rsidRPr="001F67A6">
        <w:t>КВР</w:t>
      </w:r>
    </w:p>
    <w:p w:rsidR="000E18B7" w:rsidRPr="001F67A6" w:rsidRDefault="000E18B7" w:rsidP="00FC5449">
      <w:pPr>
        <w:pStyle w:val="13"/>
      </w:pPr>
      <w:r w:rsidRPr="001F67A6">
        <w:t>Наименование КВР</w:t>
      </w:r>
    </w:p>
    <w:p w:rsidR="000E18B7" w:rsidRPr="001F67A6" w:rsidRDefault="000E18B7" w:rsidP="00FC5449">
      <w:pPr>
        <w:pStyle w:val="13"/>
      </w:pPr>
      <w:r w:rsidRPr="001F67A6">
        <w:t>Доведенные ЛБО (БА на ПНО)</w:t>
      </w:r>
    </w:p>
    <w:p w:rsidR="000E18B7" w:rsidRPr="001F67A6" w:rsidRDefault="000E18B7" w:rsidP="00FC5449">
      <w:pPr>
        <w:pStyle w:val="13"/>
      </w:pPr>
      <w:r w:rsidRPr="001F67A6">
        <w:t>Доведенные ЛБО</w:t>
      </w:r>
    </w:p>
    <w:p w:rsidR="000E18B7" w:rsidRPr="001F67A6" w:rsidRDefault="000E18B7" w:rsidP="00FC5449">
      <w:pPr>
        <w:pStyle w:val="13"/>
      </w:pPr>
      <w:r w:rsidRPr="001F67A6">
        <w:t>БА на ПНО (Доведено ФК)</w:t>
      </w:r>
    </w:p>
    <w:p w:rsidR="000E18B7" w:rsidRPr="001F67A6" w:rsidRDefault="000E18B7" w:rsidP="00FC5449">
      <w:pPr>
        <w:pStyle w:val="13"/>
      </w:pPr>
      <w:r w:rsidRPr="001F67A6">
        <w:t>Бюджетные обязательства: Кол-во</w:t>
      </w:r>
    </w:p>
    <w:p w:rsidR="000E18B7" w:rsidRPr="001F67A6" w:rsidRDefault="000E18B7" w:rsidP="00FC5449">
      <w:pPr>
        <w:pStyle w:val="13"/>
      </w:pPr>
      <w:r w:rsidRPr="001F67A6">
        <w:t>Бюджетные обязательства: Сумма</w:t>
      </w:r>
    </w:p>
    <w:p w:rsidR="000E18B7" w:rsidRPr="001F67A6" w:rsidRDefault="000E18B7" w:rsidP="00FC5449">
      <w:pPr>
        <w:pStyle w:val="13"/>
      </w:pPr>
      <w:r w:rsidRPr="001F67A6">
        <w:t>Денежные обязательства: Кол-во</w:t>
      </w:r>
    </w:p>
    <w:p w:rsidR="000E18B7" w:rsidRPr="001F67A6" w:rsidRDefault="000E18B7" w:rsidP="00FC5449">
      <w:pPr>
        <w:pStyle w:val="13"/>
      </w:pPr>
      <w:r w:rsidRPr="001F67A6">
        <w:t>Денежные обязательства: Сумма</w:t>
      </w:r>
    </w:p>
    <w:p w:rsidR="000E18B7" w:rsidRPr="001F67A6" w:rsidRDefault="000E18B7" w:rsidP="00FC5449">
      <w:pPr>
        <w:pStyle w:val="13"/>
      </w:pPr>
      <w:r w:rsidRPr="001F67A6">
        <w:t>Сумма БО - Сумма ДО</w:t>
      </w:r>
    </w:p>
    <w:p w:rsidR="000E18B7" w:rsidRPr="001F67A6" w:rsidRDefault="000E18B7" w:rsidP="00FC5449">
      <w:pPr>
        <w:pStyle w:val="13"/>
      </w:pPr>
      <w:r w:rsidRPr="001F67A6">
        <w:t>Исполнено БО: сумма</w:t>
      </w:r>
    </w:p>
    <w:p w:rsidR="000E18B7" w:rsidRPr="001F67A6" w:rsidRDefault="000E18B7" w:rsidP="00FC5449">
      <w:pPr>
        <w:pStyle w:val="13"/>
      </w:pPr>
      <w:r w:rsidRPr="001F67A6">
        <w:t>Исполнено БО: %</w:t>
      </w:r>
    </w:p>
    <w:p w:rsidR="000E18B7" w:rsidRPr="001F67A6" w:rsidRDefault="000E18B7" w:rsidP="00FC5449">
      <w:pPr>
        <w:pStyle w:val="13"/>
      </w:pPr>
      <w:r w:rsidRPr="001F67A6">
        <w:t>Не исполнено БО: сумма</w:t>
      </w:r>
    </w:p>
    <w:p w:rsidR="000E18B7" w:rsidRPr="001F67A6" w:rsidRDefault="000E18B7" w:rsidP="00FC5449">
      <w:pPr>
        <w:pStyle w:val="13"/>
      </w:pPr>
      <w:r w:rsidRPr="001F67A6">
        <w:t>Не исполнено БО: %</w:t>
      </w:r>
    </w:p>
    <w:p w:rsidR="000E18B7" w:rsidRPr="001F67A6" w:rsidRDefault="000E18B7" w:rsidP="00FC5449">
      <w:pPr>
        <w:pStyle w:val="13"/>
      </w:pPr>
      <w:r w:rsidRPr="001F67A6">
        <w:t>Не исполнено ДО: сумма</w:t>
      </w:r>
    </w:p>
    <w:p w:rsidR="000E18B7" w:rsidRPr="001F67A6" w:rsidRDefault="000E18B7" w:rsidP="00FC5449">
      <w:pPr>
        <w:pStyle w:val="13"/>
      </w:pPr>
      <w:r w:rsidRPr="001F67A6">
        <w:t>Не исполнено ДО: %</w:t>
      </w:r>
    </w:p>
    <w:p w:rsidR="000E18B7" w:rsidRDefault="000E18B7" w:rsidP="001F67A6">
      <w:pPr>
        <w:pStyle w:val="42"/>
        <w:ind w:left="284"/>
        <w:jc w:val="left"/>
      </w:pPr>
      <w:r>
        <w:t>Представление «БО»</w:t>
      </w:r>
    </w:p>
    <w:p w:rsidR="000E18B7" w:rsidRPr="00A17AF9" w:rsidRDefault="000E18B7" w:rsidP="000E18B7">
      <w:pPr>
        <w:pStyle w:val="af0"/>
      </w:pPr>
      <w:r w:rsidRPr="00A17AF9">
        <w:t>Аналитический отчет «Сведения о бюджетных и</w:t>
      </w:r>
      <w:r>
        <w:t xml:space="preserve"> денежных обязательствах», «БО» </w:t>
      </w:r>
      <w:r w:rsidRPr="00A17AF9">
        <w:t>обеспечива</w:t>
      </w:r>
      <w:r>
        <w:t>ет</w:t>
      </w:r>
      <w:r w:rsidRPr="00A17AF9">
        <w:t xml:space="preserve"> возможность анализа информации, включающей в себя сведения о КБК, лимитах бюджетных обязательств, номере бюджетных обязательств, дате постановки на учет и дате последнего изменения бюджетного обязательства, документе-основании, получателе бюджетных средств, контрагенте, суммах бюджетных и денежных обязательств, количестве денежных обязательств, разнице между суммами бюджетных и денежных обязательств, суммах неисполненных бюджетных и денежных обязательств в разрезе конкретного бюджетного обязательства.</w:t>
      </w:r>
      <w:r>
        <w:t xml:space="preserve"> (</w:t>
      </w:r>
      <w:r>
        <w:fldChar w:fldCharType="begin"/>
      </w:r>
      <w:r>
        <w:instrText xml:space="preserve"> REF _Ref70084339 \h </w:instrText>
      </w:r>
      <w:r>
        <w:fldChar w:fldCharType="separate"/>
      </w:r>
      <w:r w:rsidR="00BF0BEE" w:rsidRPr="00A17AF9">
        <w:t xml:space="preserve">Рисунок </w:t>
      </w:r>
      <w:r w:rsidR="00BF0BEE">
        <w:rPr>
          <w:noProof/>
        </w:rPr>
        <w:t>109</w:t>
      </w:r>
      <w:r>
        <w:fldChar w:fldCharType="end"/>
      </w:r>
      <w:r>
        <w:t>)</w:t>
      </w:r>
    </w:p>
    <w:p w:rsidR="000E18B7" w:rsidRDefault="000E18B7" w:rsidP="000E18B7">
      <w:pPr>
        <w:pStyle w:val="afffff7"/>
        <w:keepNext/>
      </w:pPr>
      <w:r>
        <w:rPr>
          <w:noProof/>
          <w:lang w:eastAsia="ru-RU"/>
        </w:rPr>
        <w:drawing>
          <wp:inline distT="0" distB="0" distL="0" distR="0" wp14:anchorId="6BDCE747" wp14:editId="14A17599">
            <wp:extent cx="6152515" cy="2638425"/>
            <wp:effectExtent l="0" t="0" r="635" b="9525"/>
            <wp:docPr id="5957" name="Рисунок 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6152515" cy="2638425"/>
                    </a:xfrm>
                    <a:prstGeom prst="rect">
                      <a:avLst/>
                    </a:prstGeom>
                  </pic:spPr>
                </pic:pic>
              </a:graphicData>
            </a:graphic>
          </wp:inline>
        </w:drawing>
      </w:r>
    </w:p>
    <w:p w:rsidR="000E18B7" w:rsidRPr="00A17AF9" w:rsidRDefault="000E18B7" w:rsidP="000E18B7">
      <w:pPr>
        <w:pStyle w:val="-0"/>
      </w:pPr>
      <w:bookmarkStart w:id="366" w:name="_Ref70084339"/>
      <w:bookmarkStart w:id="367" w:name="_Ref70084331"/>
      <w:bookmarkStart w:id="368" w:name="_Toc119584296"/>
      <w:r w:rsidRPr="00A17AF9">
        <w:t xml:space="preserve">Рисунок </w:t>
      </w:r>
      <w:fldSimple w:instr=" SEQ Рисунок \* ARABIC ">
        <w:r w:rsidR="001860A9">
          <w:rPr>
            <w:noProof/>
          </w:rPr>
          <w:t>109</w:t>
        </w:r>
      </w:fldSimple>
      <w:bookmarkEnd w:id="366"/>
      <w:r w:rsidRPr="00A17AF9">
        <w:t xml:space="preserve"> – Макет аналитического отчета «Сведения о бюджетных и денежных обязательствах» представление « БО»</w:t>
      </w:r>
      <w:bookmarkEnd w:id="367"/>
      <w:bookmarkEnd w:id="368"/>
    </w:p>
    <w:p w:rsidR="000E18B7" w:rsidRPr="00A17AF9" w:rsidRDefault="000E18B7" w:rsidP="000E18B7">
      <w:pPr>
        <w:pStyle w:val="af0"/>
      </w:pPr>
      <w:r w:rsidRPr="00A17AF9">
        <w:t>Параметры представления:</w:t>
      </w:r>
    </w:p>
    <w:p w:rsidR="000E18B7" w:rsidRPr="00BC0D4C" w:rsidRDefault="000E18B7" w:rsidP="00FC5449">
      <w:pPr>
        <w:pStyle w:val="13"/>
      </w:pPr>
      <w:r w:rsidRPr="00BC0D4C">
        <w:t>«Год»: Фильтр с выбором года отображаемых данных. По умолчанию отображается текущий год обновления данных;</w:t>
      </w:r>
    </w:p>
    <w:p w:rsidR="000E18B7" w:rsidRPr="00BC0D4C" w:rsidRDefault="000E18B7" w:rsidP="00FC5449">
      <w:pPr>
        <w:pStyle w:val="13"/>
      </w:pPr>
      <w:r w:rsidRPr="00BC0D4C">
        <w:t xml:space="preserve"> «ГРБС»: Выпадающий список с множественным выбором. По умолчанию выводится значение «Все». В параметр выводится наименование главных распорядителей бюджетных средств. Возможность контекстного поиска по коду и наименованию главного распорядителя;</w:t>
      </w:r>
    </w:p>
    <w:p w:rsidR="000E18B7" w:rsidRPr="00BC0D4C" w:rsidRDefault="000E18B7" w:rsidP="00FC5449">
      <w:pPr>
        <w:pStyle w:val="13"/>
      </w:pPr>
      <w:r w:rsidRPr="00BC0D4C">
        <w:t>«РЗПР»: Выпадающий список с вариантами выбора;</w:t>
      </w:r>
    </w:p>
    <w:p w:rsidR="000E18B7" w:rsidRPr="00BC0D4C" w:rsidRDefault="000E18B7" w:rsidP="00FC5449">
      <w:pPr>
        <w:pStyle w:val="13"/>
      </w:pPr>
      <w:r w:rsidRPr="00BC0D4C">
        <w:t>«КЦСР»: Выпадающий список с вариантами выбора;</w:t>
      </w:r>
    </w:p>
    <w:p w:rsidR="000E18B7" w:rsidRPr="00BC0D4C" w:rsidRDefault="000E18B7" w:rsidP="00FC5449">
      <w:pPr>
        <w:pStyle w:val="13"/>
      </w:pPr>
      <w:r w:rsidRPr="00BC0D4C">
        <w:t>«КВР»: Выпадающий список с возможностью выбора необходимых КВР;</w:t>
      </w:r>
    </w:p>
    <w:p w:rsidR="000E18B7" w:rsidRPr="00BC0D4C" w:rsidRDefault="000E18B7" w:rsidP="00FC5449">
      <w:pPr>
        <w:pStyle w:val="13"/>
      </w:pPr>
      <w:r w:rsidRPr="00BC0D4C">
        <w:t>«Единицы измерения»: Выпадающий список с выбором единиц измерения. Состоит из элементов: руб., тыс. руб., млн руб., млрд руб.</w:t>
      </w:r>
    </w:p>
    <w:p w:rsidR="000E18B7" w:rsidRPr="00BC0D4C" w:rsidRDefault="000E18B7" w:rsidP="00FC5449">
      <w:pPr>
        <w:pStyle w:val="13"/>
      </w:pPr>
      <w:r w:rsidRPr="00BC0D4C">
        <w:t>«Национальный проект»: Выпадающий список с множественным выбором нескольких значений. По умолчанию выводится значение «Все». В параметр выводится наименование национального проекта. Возможность контекстного поиска по коду и наименованию национального проекта;</w:t>
      </w:r>
    </w:p>
    <w:p w:rsidR="000E18B7" w:rsidRPr="00BC0D4C" w:rsidRDefault="000E18B7" w:rsidP="00FC5449">
      <w:pPr>
        <w:pStyle w:val="13"/>
      </w:pPr>
      <w:r w:rsidRPr="00BC0D4C">
        <w:t>«Казначейское сопровождение»: Чек-бокс одинарная галочка. При простановке галочки выводятся только строки, для которых значение признака казначейское сопровождение равно «да»;</w:t>
      </w:r>
    </w:p>
    <w:p w:rsidR="000E18B7" w:rsidRPr="00BC0D4C" w:rsidRDefault="000E18B7" w:rsidP="00FC5449">
      <w:pPr>
        <w:pStyle w:val="13"/>
      </w:pPr>
      <w:r w:rsidRPr="00BC0D4C">
        <w:t>«ФАИП (КМИ)»: Выпадающий список с вариантами выбора нужного объекта ФАИП (КМИ). Фильтр зависит от выбора в фильтре «ГРБС» и «Год»</w:t>
      </w:r>
    </w:p>
    <w:p w:rsidR="000E18B7" w:rsidRPr="00BC0D4C" w:rsidRDefault="000E18B7" w:rsidP="00FC5449">
      <w:pPr>
        <w:pStyle w:val="13"/>
      </w:pPr>
      <w:r w:rsidRPr="00BC0D4C">
        <w:t xml:space="preserve"> «Код валюты»: Выпадающий  список с выбором нужного кода валюты;</w:t>
      </w:r>
    </w:p>
    <w:p w:rsidR="000E18B7" w:rsidRPr="00BC0D4C" w:rsidRDefault="000E18B7" w:rsidP="00FC5449">
      <w:pPr>
        <w:pStyle w:val="13"/>
      </w:pPr>
      <w:r w:rsidRPr="00BC0D4C">
        <w:t>«БО»: Поиск по учетному номеру бюджетного обязательства;</w:t>
      </w:r>
    </w:p>
    <w:p w:rsidR="000E18B7" w:rsidRPr="00BC0D4C" w:rsidRDefault="000E18B7" w:rsidP="00FC5449">
      <w:pPr>
        <w:pStyle w:val="13"/>
      </w:pPr>
      <w:r w:rsidRPr="00BC0D4C">
        <w:t>«Номер документа-основания»: Поиск по номеру или уникальному номеру реестровой записи документа-основания;</w:t>
      </w:r>
    </w:p>
    <w:p w:rsidR="000E18B7" w:rsidRPr="00BC0D4C" w:rsidRDefault="000E18B7" w:rsidP="00FC5449">
      <w:pPr>
        <w:pStyle w:val="13"/>
      </w:pPr>
      <w:r w:rsidRPr="00BC0D4C">
        <w:t>«ПБС (Заказчик)»: Поиск по коду по сводному реестру участников и не участников бюджетного процесса или номеру лицевого счета получателя бюджетных средств;</w:t>
      </w:r>
    </w:p>
    <w:p w:rsidR="000E18B7" w:rsidRPr="00BC0D4C" w:rsidRDefault="000E18B7" w:rsidP="00FC5449">
      <w:pPr>
        <w:pStyle w:val="13"/>
      </w:pPr>
      <w:r w:rsidRPr="00BC0D4C">
        <w:t>«Контрагент»: Поиск по ИНН или наименованию контрагента.</w:t>
      </w:r>
    </w:p>
    <w:p w:rsidR="000E18B7" w:rsidRPr="00BC0D4C" w:rsidRDefault="000E18B7" w:rsidP="00FC5449">
      <w:pPr>
        <w:pStyle w:val="13"/>
      </w:pPr>
      <w:r w:rsidRPr="00BC0D4C">
        <w:t>«Число выводимых записей»: Количество отображаемых записей на странице. По умолчанию стоит 20.</w:t>
      </w:r>
    </w:p>
    <w:p w:rsidR="000E18B7" w:rsidRPr="00BC0D4C" w:rsidRDefault="000E18B7" w:rsidP="00FC5449">
      <w:pPr>
        <w:pStyle w:val="13"/>
      </w:pPr>
      <w:r w:rsidRPr="00BC0D4C">
        <w:t>«Сортировка»: Выбор сортировки в колонках.</w:t>
      </w:r>
    </w:p>
    <w:p w:rsidR="000E18B7" w:rsidRDefault="000E18B7" w:rsidP="000E18B7">
      <w:pPr>
        <w:pStyle w:val="af0"/>
      </w:pPr>
      <w:r w:rsidRPr="00206C4C">
        <w:t>Из представления</w:t>
      </w:r>
      <w:r>
        <w:t xml:space="preserve"> </w:t>
      </w:r>
      <w:r w:rsidRPr="00206C4C">
        <w:t>обеспечены следующие переходы:</w:t>
      </w:r>
    </w:p>
    <w:p w:rsidR="000E18B7" w:rsidRPr="00BC0D4C" w:rsidRDefault="000E18B7" w:rsidP="00FC5449">
      <w:pPr>
        <w:pStyle w:val="13"/>
      </w:pPr>
      <w:r w:rsidRPr="00BC0D4C">
        <w:t>Из таблицы Детализация с графы Учетный номер БО в ПУР ЭБ в соответствующий формуляр бюджетного обязательства;</w:t>
      </w:r>
    </w:p>
    <w:p w:rsidR="000E18B7" w:rsidRPr="00BC0D4C" w:rsidRDefault="000E18B7" w:rsidP="00FC5449">
      <w:pPr>
        <w:pStyle w:val="13"/>
      </w:pPr>
      <w:r w:rsidRPr="00BC0D4C">
        <w:t xml:space="preserve">Из таблицы Детализация с графы Документ-основание: Номер в Реестр соглашений (договоров) о предоставлении субсидий, бюджетных инвестиций, межбюджетных трансфертов; </w:t>
      </w:r>
    </w:p>
    <w:p w:rsidR="000E18B7" w:rsidRPr="00BC0D4C" w:rsidRDefault="000E18B7" w:rsidP="00FC5449">
      <w:pPr>
        <w:pStyle w:val="13"/>
      </w:pPr>
      <w:r w:rsidRPr="00BC0D4C">
        <w:t xml:space="preserve">Из таблицы Детализация с графы Документ-основание: Номер в ПУР ЭБ в соответствующий формуляр соглашения; </w:t>
      </w:r>
    </w:p>
    <w:p w:rsidR="000E18B7" w:rsidRPr="00A17AF9" w:rsidRDefault="000E18B7" w:rsidP="000E18B7">
      <w:pPr>
        <w:pStyle w:val="af0"/>
      </w:pPr>
      <w:r w:rsidRPr="00A17AF9">
        <w:t>Представление имеет две таблицы. В одной представлены Итоги, в другой Детализация.</w:t>
      </w:r>
    </w:p>
    <w:p w:rsidR="000E18B7" w:rsidRDefault="000E18B7" w:rsidP="000E18B7">
      <w:pPr>
        <w:pStyle w:val="af0"/>
      </w:pPr>
      <w:r w:rsidRPr="00A17AF9">
        <w:t>Наименования колонок:</w:t>
      </w:r>
    </w:p>
    <w:p w:rsidR="000E18B7" w:rsidRPr="00BC0D4C" w:rsidRDefault="000E18B7" w:rsidP="00FC5449">
      <w:pPr>
        <w:pStyle w:val="13"/>
      </w:pPr>
      <w:r w:rsidRPr="00BC0D4C">
        <w:t>Бюджетные обязательства: Учетный номер БО</w:t>
      </w:r>
    </w:p>
    <w:p w:rsidR="000E18B7" w:rsidRPr="00BC0D4C" w:rsidRDefault="000E18B7" w:rsidP="00FC5449">
      <w:pPr>
        <w:pStyle w:val="13"/>
      </w:pPr>
      <w:r w:rsidRPr="00BC0D4C">
        <w:t>Бюджетные обязательства: Дата постановки на учет</w:t>
      </w:r>
    </w:p>
    <w:p w:rsidR="000E18B7" w:rsidRPr="00BC0D4C" w:rsidRDefault="000E18B7" w:rsidP="00FC5449">
      <w:pPr>
        <w:pStyle w:val="13"/>
      </w:pPr>
      <w:r w:rsidRPr="00BC0D4C">
        <w:t>Бюджетные обязательства: Дата последнего изменения</w:t>
      </w:r>
    </w:p>
    <w:p w:rsidR="000E18B7" w:rsidRPr="00BC0D4C" w:rsidRDefault="000E18B7" w:rsidP="00FC5449">
      <w:pPr>
        <w:pStyle w:val="13"/>
      </w:pPr>
      <w:r w:rsidRPr="00BC0D4C">
        <w:t>Бюджетные обязательства: Сумма БО на текущий год</w:t>
      </w:r>
    </w:p>
    <w:p w:rsidR="000E18B7" w:rsidRPr="00BC0D4C" w:rsidRDefault="000E18B7" w:rsidP="00FC5449">
      <w:pPr>
        <w:pStyle w:val="13"/>
      </w:pPr>
      <w:r w:rsidRPr="00BC0D4C">
        <w:t>Документ-основание: Вид</w:t>
      </w:r>
    </w:p>
    <w:p w:rsidR="000E18B7" w:rsidRPr="00BC0D4C" w:rsidRDefault="000E18B7" w:rsidP="00FC5449">
      <w:pPr>
        <w:pStyle w:val="13"/>
      </w:pPr>
      <w:r w:rsidRPr="00BC0D4C">
        <w:t>Документ-основание: Номер</w:t>
      </w:r>
    </w:p>
    <w:p w:rsidR="000E18B7" w:rsidRPr="00BC0D4C" w:rsidRDefault="000E18B7" w:rsidP="00FC5449">
      <w:pPr>
        <w:pStyle w:val="13"/>
      </w:pPr>
      <w:r w:rsidRPr="00BC0D4C">
        <w:t>Документ-основание: Уникальный номер реестровой записи</w:t>
      </w:r>
    </w:p>
    <w:p w:rsidR="000E18B7" w:rsidRPr="00BC0D4C" w:rsidRDefault="000E18B7" w:rsidP="00FC5449">
      <w:pPr>
        <w:pStyle w:val="13"/>
      </w:pPr>
      <w:r w:rsidRPr="00BC0D4C">
        <w:t>Документ-основание: Дата</w:t>
      </w:r>
    </w:p>
    <w:p w:rsidR="000E18B7" w:rsidRPr="00BC0D4C" w:rsidRDefault="000E18B7" w:rsidP="00FC5449">
      <w:pPr>
        <w:pStyle w:val="13"/>
      </w:pPr>
      <w:r w:rsidRPr="00BC0D4C">
        <w:t>Документ-основание: Сумма в валюте РФ</w:t>
      </w:r>
    </w:p>
    <w:p w:rsidR="000E18B7" w:rsidRPr="00BC0D4C" w:rsidRDefault="000E18B7" w:rsidP="00FC5449">
      <w:pPr>
        <w:pStyle w:val="13"/>
      </w:pPr>
      <w:r w:rsidRPr="00BC0D4C">
        <w:t>Документ-основание: Сумма исполнения прошлых лет</w:t>
      </w:r>
    </w:p>
    <w:p w:rsidR="000E18B7" w:rsidRPr="00BC0D4C" w:rsidRDefault="000E18B7" w:rsidP="00FC5449">
      <w:pPr>
        <w:pStyle w:val="13"/>
      </w:pPr>
      <w:r w:rsidRPr="00BC0D4C">
        <w:t>Получатель бюджетных средств (заказчик): Код по сводному реестру</w:t>
      </w:r>
    </w:p>
    <w:p w:rsidR="000E18B7" w:rsidRPr="00BC0D4C" w:rsidRDefault="000E18B7" w:rsidP="00FC5449">
      <w:pPr>
        <w:pStyle w:val="13"/>
      </w:pPr>
      <w:r w:rsidRPr="00BC0D4C">
        <w:t>Получатель бюджетных средств (заказчик): Наименование</w:t>
      </w:r>
    </w:p>
    <w:p w:rsidR="000E18B7" w:rsidRPr="00BC0D4C" w:rsidRDefault="000E18B7" w:rsidP="00FC5449">
      <w:pPr>
        <w:pStyle w:val="13"/>
      </w:pPr>
      <w:r w:rsidRPr="00BC0D4C">
        <w:t>Получатель бюджетных средств (заказчик): Номер лицевого счета</w:t>
      </w:r>
    </w:p>
    <w:p w:rsidR="000E18B7" w:rsidRPr="00BC0D4C" w:rsidRDefault="000E18B7" w:rsidP="00FC5449">
      <w:pPr>
        <w:pStyle w:val="13"/>
      </w:pPr>
      <w:r w:rsidRPr="00BC0D4C">
        <w:t>Контрагент: Наименование</w:t>
      </w:r>
    </w:p>
    <w:p w:rsidR="000E18B7" w:rsidRPr="00BC0D4C" w:rsidRDefault="000E18B7" w:rsidP="00FC5449">
      <w:pPr>
        <w:pStyle w:val="13"/>
      </w:pPr>
      <w:r w:rsidRPr="00BC0D4C">
        <w:t>Контрагент: ИНН</w:t>
      </w:r>
    </w:p>
    <w:p w:rsidR="000E18B7" w:rsidRPr="00BC0D4C" w:rsidRDefault="000E18B7" w:rsidP="00FC5449">
      <w:pPr>
        <w:pStyle w:val="13"/>
      </w:pPr>
      <w:r w:rsidRPr="00BC0D4C">
        <w:t>Контрагент: КПП</w:t>
      </w:r>
    </w:p>
    <w:p w:rsidR="000E18B7" w:rsidRPr="00BC0D4C" w:rsidRDefault="000E18B7" w:rsidP="00FC5449">
      <w:pPr>
        <w:pStyle w:val="13"/>
      </w:pPr>
      <w:r w:rsidRPr="00BC0D4C">
        <w:t>Денежные обязательства: Кол-во</w:t>
      </w:r>
    </w:p>
    <w:p w:rsidR="000E18B7" w:rsidRPr="00BC0D4C" w:rsidRDefault="000E18B7" w:rsidP="00FC5449">
      <w:pPr>
        <w:pStyle w:val="13"/>
      </w:pPr>
      <w:r w:rsidRPr="00BC0D4C">
        <w:t>Денежные обязательства: Сумма</w:t>
      </w:r>
    </w:p>
    <w:p w:rsidR="000E18B7" w:rsidRPr="00BC0D4C" w:rsidRDefault="000E18B7" w:rsidP="00FC5449">
      <w:pPr>
        <w:pStyle w:val="13"/>
      </w:pPr>
      <w:r w:rsidRPr="00BC0D4C">
        <w:t>ГРБС</w:t>
      </w:r>
    </w:p>
    <w:p w:rsidR="000E18B7" w:rsidRPr="00BC0D4C" w:rsidRDefault="000E18B7" w:rsidP="00FC5449">
      <w:pPr>
        <w:pStyle w:val="13"/>
      </w:pPr>
      <w:r w:rsidRPr="00BC0D4C">
        <w:t>РзПр</w:t>
      </w:r>
    </w:p>
    <w:p w:rsidR="000E18B7" w:rsidRPr="00BC0D4C" w:rsidRDefault="000E18B7" w:rsidP="00FC5449">
      <w:pPr>
        <w:pStyle w:val="13"/>
      </w:pPr>
      <w:r w:rsidRPr="00BC0D4C">
        <w:t>КЦСР</w:t>
      </w:r>
    </w:p>
    <w:p w:rsidR="000E18B7" w:rsidRPr="00BC0D4C" w:rsidRDefault="000E18B7" w:rsidP="00FC5449">
      <w:pPr>
        <w:pStyle w:val="13"/>
      </w:pPr>
      <w:r w:rsidRPr="00BC0D4C">
        <w:t>КВР</w:t>
      </w:r>
    </w:p>
    <w:p w:rsidR="000E18B7" w:rsidRPr="00BC0D4C" w:rsidRDefault="000E18B7" w:rsidP="00FC5449">
      <w:pPr>
        <w:pStyle w:val="13"/>
      </w:pPr>
      <w:r w:rsidRPr="00BC0D4C">
        <w:t>Сумма БО - Сумма ДО</w:t>
      </w:r>
    </w:p>
    <w:p w:rsidR="000E18B7" w:rsidRPr="00BC0D4C" w:rsidRDefault="000E18B7" w:rsidP="00FC5449">
      <w:pPr>
        <w:pStyle w:val="13"/>
      </w:pPr>
      <w:r w:rsidRPr="00BC0D4C">
        <w:t>Исполнено БО: сумма</w:t>
      </w:r>
    </w:p>
    <w:p w:rsidR="000E18B7" w:rsidRPr="00BC0D4C" w:rsidRDefault="000E18B7" w:rsidP="00FC5449">
      <w:pPr>
        <w:pStyle w:val="13"/>
      </w:pPr>
      <w:r w:rsidRPr="00BC0D4C">
        <w:t>Исполнено БО: %</w:t>
      </w:r>
    </w:p>
    <w:p w:rsidR="000E18B7" w:rsidRPr="00BC0D4C" w:rsidRDefault="000E18B7" w:rsidP="00FC5449">
      <w:pPr>
        <w:pStyle w:val="13"/>
      </w:pPr>
      <w:r w:rsidRPr="00BC0D4C">
        <w:t>Не исполнено БО: сумма</w:t>
      </w:r>
    </w:p>
    <w:p w:rsidR="000E18B7" w:rsidRPr="00BC0D4C" w:rsidRDefault="000E18B7" w:rsidP="00FC5449">
      <w:pPr>
        <w:pStyle w:val="13"/>
      </w:pPr>
      <w:r w:rsidRPr="00BC0D4C">
        <w:t>Не исполнено БО: %</w:t>
      </w:r>
    </w:p>
    <w:p w:rsidR="000E18B7" w:rsidRPr="00BC0D4C" w:rsidRDefault="000E18B7" w:rsidP="00FC5449">
      <w:pPr>
        <w:pStyle w:val="13"/>
      </w:pPr>
      <w:r w:rsidRPr="00BC0D4C">
        <w:t>Не исполнено ДО: сумма</w:t>
      </w:r>
    </w:p>
    <w:p w:rsidR="000E18B7" w:rsidRPr="00BC0D4C" w:rsidRDefault="000E18B7" w:rsidP="00FC5449">
      <w:pPr>
        <w:pStyle w:val="13"/>
      </w:pPr>
      <w:r w:rsidRPr="00BC0D4C">
        <w:t>Не исполнено ДО: %</w:t>
      </w:r>
    </w:p>
    <w:p w:rsidR="000E18B7" w:rsidRPr="00BC0D4C" w:rsidRDefault="000E18B7" w:rsidP="00FC5449">
      <w:pPr>
        <w:pStyle w:val="13"/>
      </w:pPr>
      <w:r w:rsidRPr="00BC0D4C">
        <w:t>ФАИП (КМИ): Код объекта</w:t>
      </w:r>
    </w:p>
    <w:p w:rsidR="000E18B7" w:rsidRPr="00BC0D4C" w:rsidRDefault="000E18B7" w:rsidP="00FC5449">
      <w:pPr>
        <w:pStyle w:val="13"/>
      </w:pPr>
      <w:r w:rsidRPr="00BC0D4C">
        <w:t>ФАИП (КМИ): Наименование</w:t>
      </w:r>
    </w:p>
    <w:p w:rsidR="000E18B7" w:rsidRPr="00BC0D4C" w:rsidRDefault="000E18B7" w:rsidP="00FC5449">
      <w:pPr>
        <w:pStyle w:val="13"/>
      </w:pPr>
      <w:r w:rsidRPr="00BC0D4C">
        <w:t>Национальный проект: Код</w:t>
      </w:r>
    </w:p>
    <w:p w:rsidR="000E18B7" w:rsidRPr="00BC0D4C" w:rsidRDefault="000E18B7" w:rsidP="00FC5449">
      <w:pPr>
        <w:pStyle w:val="13"/>
      </w:pPr>
      <w:r w:rsidRPr="00BC0D4C">
        <w:t>Национальный проект: Наименование</w:t>
      </w:r>
    </w:p>
    <w:p w:rsidR="000E18B7" w:rsidRDefault="000E18B7" w:rsidP="00BC0D4C">
      <w:pPr>
        <w:pStyle w:val="42"/>
        <w:ind w:left="284"/>
        <w:jc w:val="left"/>
      </w:pPr>
      <w:r>
        <w:t>Представление «ДО»</w:t>
      </w:r>
    </w:p>
    <w:p w:rsidR="000E18B7" w:rsidRDefault="000E18B7" w:rsidP="000E18B7">
      <w:pPr>
        <w:pStyle w:val="af0"/>
      </w:pPr>
      <w:r w:rsidRPr="003060D3">
        <w:t>Аналитический отчет «Сведения о бюджетных и денежных обязательствах», «ДО» обеспечива</w:t>
      </w:r>
      <w:r>
        <w:t>ет</w:t>
      </w:r>
      <w:r w:rsidRPr="003060D3">
        <w:t xml:space="preserve"> возможность анализа информации, включающей в себя сведения о номере бюджетного обязательства, номере денежного обязательства, КБК, сумме денежного обязательства, суммах исполненного и неиспол</w:t>
      </w:r>
      <w:r>
        <w:t>ненного денежного обязательства (</w:t>
      </w:r>
      <w:r>
        <w:fldChar w:fldCharType="begin"/>
      </w:r>
      <w:r>
        <w:instrText xml:space="preserve"> REF _Ref70084538 \h </w:instrText>
      </w:r>
      <w:r>
        <w:fldChar w:fldCharType="separate"/>
      </w:r>
      <w:r w:rsidR="00BF0BEE">
        <w:t xml:space="preserve">Рисунок </w:t>
      </w:r>
      <w:r w:rsidR="00BF0BEE">
        <w:rPr>
          <w:noProof/>
        </w:rPr>
        <w:t>110</w:t>
      </w:r>
      <w:r>
        <w:fldChar w:fldCharType="end"/>
      </w:r>
      <w:r>
        <w:t>)</w:t>
      </w:r>
    </w:p>
    <w:p w:rsidR="000E18B7" w:rsidRDefault="000E18B7" w:rsidP="000E18B7">
      <w:pPr>
        <w:pStyle w:val="afffff7"/>
        <w:keepNext/>
      </w:pPr>
      <w:r>
        <w:rPr>
          <w:noProof/>
          <w:lang w:eastAsia="ru-RU"/>
        </w:rPr>
        <w:drawing>
          <wp:inline distT="0" distB="0" distL="0" distR="0" wp14:anchorId="11292A27" wp14:editId="7342DD27">
            <wp:extent cx="6152515" cy="2727960"/>
            <wp:effectExtent l="0" t="0" r="635" b="0"/>
            <wp:docPr id="5958" name="Рисунок 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6152515" cy="2727960"/>
                    </a:xfrm>
                    <a:prstGeom prst="rect">
                      <a:avLst/>
                    </a:prstGeom>
                  </pic:spPr>
                </pic:pic>
              </a:graphicData>
            </a:graphic>
          </wp:inline>
        </w:drawing>
      </w:r>
    </w:p>
    <w:p w:rsidR="000E18B7" w:rsidRDefault="000E18B7" w:rsidP="000E18B7">
      <w:pPr>
        <w:pStyle w:val="-0"/>
      </w:pPr>
      <w:bookmarkStart w:id="369" w:name="_Ref70084538"/>
      <w:bookmarkStart w:id="370" w:name="_Toc119584297"/>
      <w:r>
        <w:t xml:space="preserve">Рисунок </w:t>
      </w:r>
      <w:fldSimple w:instr=" SEQ Рисунок \* ARABIC ">
        <w:r w:rsidR="001860A9">
          <w:rPr>
            <w:noProof/>
          </w:rPr>
          <w:t>110</w:t>
        </w:r>
      </w:fldSimple>
      <w:bookmarkEnd w:id="369"/>
      <w:r>
        <w:t xml:space="preserve"> – </w:t>
      </w:r>
      <w:r w:rsidRPr="00A17AF9">
        <w:t xml:space="preserve">Макет аналитического отчета «Сведения о бюджетных и денежных обязательствах» представление « </w:t>
      </w:r>
      <w:r>
        <w:t>ДО</w:t>
      </w:r>
      <w:r w:rsidRPr="00A17AF9">
        <w:t>»</w:t>
      </w:r>
      <w:bookmarkEnd w:id="370"/>
    </w:p>
    <w:p w:rsidR="000E18B7" w:rsidRPr="00A17AF9" w:rsidRDefault="000E18B7" w:rsidP="000E18B7">
      <w:pPr>
        <w:pStyle w:val="af0"/>
      </w:pPr>
      <w:r w:rsidRPr="00A17AF9">
        <w:t>Параметры представления:</w:t>
      </w:r>
    </w:p>
    <w:p w:rsidR="000E18B7" w:rsidRPr="005043B8" w:rsidRDefault="000E18B7" w:rsidP="00FC5449">
      <w:pPr>
        <w:pStyle w:val="13"/>
      </w:pPr>
      <w:r w:rsidRPr="005043B8">
        <w:t>«Год»: Фильтр с выбором года отображаемых данных. По умолчанию отображается текущий год обновления данных;</w:t>
      </w:r>
    </w:p>
    <w:p w:rsidR="000E18B7" w:rsidRPr="005043B8" w:rsidRDefault="000E18B7" w:rsidP="00FC5449">
      <w:pPr>
        <w:pStyle w:val="13"/>
      </w:pPr>
      <w:r w:rsidRPr="005043B8">
        <w:t xml:space="preserve"> «ГРБС»: Выпадающий список с множественным выбором. По умолчанию выводится значение «Все». В параметр выводится наименование главных распорядителей бюджетных средств. Возможность контекстного поиска по коду и наименованию главного распорядителя;</w:t>
      </w:r>
    </w:p>
    <w:p w:rsidR="000E18B7" w:rsidRPr="005043B8" w:rsidRDefault="000E18B7" w:rsidP="00FC5449">
      <w:pPr>
        <w:pStyle w:val="13"/>
      </w:pPr>
      <w:r w:rsidRPr="005043B8">
        <w:t>«РЗПР»: Выпадающий список с вариантами выбора;</w:t>
      </w:r>
    </w:p>
    <w:p w:rsidR="000E18B7" w:rsidRPr="005043B8" w:rsidRDefault="000E18B7" w:rsidP="00FC5449">
      <w:pPr>
        <w:pStyle w:val="13"/>
      </w:pPr>
      <w:r w:rsidRPr="005043B8">
        <w:t>«КЦСР»: Выпадающий список с вариантами выбора;</w:t>
      </w:r>
    </w:p>
    <w:p w:rsidR="000E18B7" w:rsidRPr="005043B8" w:rsidRDefault="000E18B7" w:rsidP="00FC5449">
      <w:pPr>
        <w:pStyle w:val="13"/>
      </w:pPr>
      <w:r w:rsidRPr="005043B8">
        <w:t>«КВР»: Выпадающий список с возможностью выбора необходимых КВР;</w:t>
      </w:r>
    </w:p>
    <w:p w:rsidR="000E18B7" w:rsidRPr="005043B8" w:rsidRDefault="000E18B7" w:rsidP="00FC5449">
      <w:pPr>
        <w:pStyle w:val="13"/>
      </w:pPr>
      <w:r w:rsidRPr="005043B8">
        <w:t>«Единицы измерения»: Выпадающий список с выбором единиц измерения. Состоит из элементов: руб., тыс. руб., млн руб., млрд руб.</w:t>
      </w:r>
    </w:p>
    <w:p w:rsidR="000E18B7" w:rsidRPr="005043B8" w:rsidRDefault="000E18B7" w:rsidP="00FC5449">
      <w:pPr>
        <w:pStyle w:val="13"/>
      </w:pPr>
      <w:r w:rsidRPr="005043B8">
        <w:t>«Национальный проект»: Выпадающий список с множественным выбором нескольких значений. По умолчанию выводится значение «Все». В параметр выводится наименование национального проекта. Возможность контекстного поиска по коду и наименованию национального проекта;</w:t>
      </w:r>
    </w:p>
    <w:p w:rsidR="000E18B7" w:rsidRPr="005043B8" w:rsidRDefault="000E18B7" w:rsidP="00FC5449">
      <w:pPr>
        <w:pStyle w:val="13"/>
      </w:pPr>
      <w:r w:rsidRPr="005043B8">
        <w:t>«Казначейское сопровождение»: Чек-бокс одинарная галочка. При простановке галочки выводятся только строки, для которых значение признака казначейское сопровождение равно «да»;</w:t>
      </w:r>
    </w:p>
    <w:p w:rsidR="000E18B7" w:rsidRPr="005043B8" w:rsidRDefault="000E18B7" w:rsidP="00FC5449">
      <w:pPr>
        <w:pStyle w:val="13"/>
      </w:pPr>
      <w:r w:rsidRPr="005043B8">
        <w:t xml:space="preserve"> «БО»: Поиск по учетному номеру бюджетного обязательства;</w:t>
      </w:r>
    </w:p>
    <w:p w:rsidR="000E18B7" w:rsidRPr="005043B8" w:rsidRDefault="000E18B7" w:rsidP="00FC5449">
      <w:pPr>
        <w:pStyle w:val="13"/>
      </w:pPr>
      <w:r w:rsidRPr="005043B8">
        <w:t>«ДО»: Поиск по учетному номеру денежного обязательства;</w:t>
      </w:r>
    </w:p>
    <w:p w:rsidR="000E18B7" w:rsidRPr="005043B8" w:rsidRDefault="000E18B7" w:rsidP="00FC5449">
      <w:pPr>
        <w:pStyle w:val="13"/>
      </w:pPr>
      <w:r w:rsidRPr="005043B8">
        <w:t>«Число выводимых записей»: Количество отображаемых записей на странице. По умолчанию стоит 20.</w:t>
      </w:r>
    </w:p>
    <w:p w:rsidR="000E18B7" w:rsidRPr="005043B8" w:rsidRDefault="000E18B7" w:rsidP="00FC5449">
      <w:pPr>
        <w:pStyle w:val="13"/>
      </w:pPr>
      <w:r w:rsidRPr="005043B8">
        <w:t>«Сортировка»: Выбор сортировки в колонках.</w:t>
      </w:r>
    </w:p>
    <w:p w:rsidR="000E18B7" w:rsidRDefault="000E18B7" w:rsidP="000E18B7">
      <w:pPr>
        <w:pStyle w:val="af0"/>
      </w:pPr>
      <w:r w:rsidRPr="00206C4C">
        <w:t>Из представления</w:t>
      </w:r>
      <w:r>
        <w:t xml:space="preserve"> </w:t>
      </w:r>
      <w:r w:rsidRPr="00206C4C">
        <w:t>обеспечены следующие переходы:</w:t>
      </w:r>
    </w:p>
    <w:p w:rsidR="000E18B7" w:rsidRPr="005043B8" w:rsidRDefault="00FC5449" w:rsidP="00FC5449">
      <w:pPr>
        <w:pStyle w:val="13"/>
      </w:pPr>
      <w:r>
        <w:t>и</w:t>
      </w:r>
      <w:r w:rsidR="000E18B7" w:rsidRPr="005043B8">
        <w:t>з таблицы Детализация с графы Номер ДО  в  ПУР ЭБ в соответствующий формуляр денежного обязательства;</w:t>
      </w:r>
    </w:p>
    <w:p w:rsidR="000E18B7" w:rsidRPr="005043B8" w:rsidRDefault="00FC5449" w:rsidP="00FC5449">
      <w:pPr>
        <w:pStyle w:val="13"/>
      </w:pPr>
      <w:r>
        <w:t>и</w:t>
      </w:r>
      <w:r w:rsidR="000E18B7" w:rsidRPr="005043B8">
        <w:t>з таблицы Детализация с графы Номер БО  в  ПУР ЭБ в соответствующий формуляр бюджетного обязательства;</w:t>
      </w:r>
    </w:p>
    <w:p w:rsidR="000E18B7" w:rsidRPr="00A17AF9" w:rsidRDefault="000E18B7" w:rsidP="000E18B7">
      <w:pPr>
        <w:pStyle w:val="af0"/>
      </w:pPr>
      <w:r w:rsidRPr="00A17AF9">
        <w:t>Представление имеет две таблицы. В одной представлены Итоги, в другой Детализация.</w:t>
      </w:r>
    </w:p>
    <w:p w:rsidR="000E18B7" w:rsidRDefault="000E18B7" w:rsidP="000E18B7">
      <w:pPr>
        <w:pStyle w:val="af0"/>
      </w:pPr>
      <w:r w:rsidRPr="00A17AF9">
        <w:t>Наименования колонок:</w:t>
      </w:r>
    </w:p>
    <w:p w:rsidR="000E18B7" w:rsidRPr="005043B8" w:rsidRDefault="000E18B7" w:rsidP="00FC5449">
      <w:pPr>
        <w:pStyle w:val="13"/>
      </w:pPr>
      <w:r w:rsidRPr="005043B8">
        <w:t>Номер ДО</w:t>
      </w:r>
    </w:p>
    <w:p w:rsidR="000E18B7" w:rsidRPr="005043B8" w:rsidRDefault="000E18B7" w:rsidP="00FC5449">
      <w:pPr>
        <w:pStyle w:val="13"/>
      </w:pPr>
      <w:r w:rsidRPr="005043B8">
        <w:t>Номер БО</w:t>
      </w:r>
    </w:p>
    <w:p w:rsidR="000E18B7" w:rsidRPr="005043B8" w:rsidRDefault="000E18B7" w:rsidP="00FC5449">
      <w:pPr>
        <w:pStyle w:val="13"/>
      </w:pPr>
      <w:r w:rsidRPr="005043B8">
        <w:t>Сумма ДО</w:t>
      </w:r>
    </w:p>
    <w:p w:rsidR="000E18B7" w:rsidRPr="005043B8" w:rsidRDefault="000E18B7" w:rsidP="00FC5449">
      <w:pPr>
        <w:pStyle w:val="13"/>
      </w:pPr>
      <w:r w:rsidRPr="005043B8">
        <w:t>Оплачено ДО: Сумма</w:t>
      </w:r>
    </w:p>
    <w:p w:rsidR="000E18B7" w:rsidRPr="005043B8" w:rsidRDefault="000E18B7" w:rsidP="00FC5449">
      <w:pPr>
        <w:pStyle w:val="13"/>
      </w:pPr>
      <w:r w:rsidRPr="005043B8">
        <w:t>Оплачено ДО: %</w:t>
      </w:r>
    </w:p>
    <w:p w:rsidR="000E18B7" w:rsidRPr="005043B8" w:rsidRDefault="000E18B7" w:rsidP="00FC5449">
      <w:pPr>
        <w:pStyle w:val="13"/>
      </w:pPr>
      <w:r w:rsidRPr="005043B8">
        <w:t>Не исполнено ДО: Сумма</w:t>
      </w:r>
    </w:p>
    <w:p w:rsidR="000E18B7" w:rsidRPr="005043B8" w:rsidRDefault="000E18B7" w:rsidP="00FC5449">
      <w:pPr>
        <w:pStyle w:val="13"/>
      </w:pPr>
      <w:r w:rsidRPr="005043B8">
        <w:t>Не исполнено ДО: %</w:t>
      </w:r>
    </w:p>
    <w:p w:rsidR="000E18B7" w:rsidRPr="005043B8" w:rsidRDefault="000E18B7" w:rsidP="00FC5449">
      <w:pPr>
        <w:pStyle w:val="13"/>
      </w:pPr>
      <w:r w:rsidRPr="005043B8">
        <w:t>ГРБС</w:t>
      </w:r>
    </w:p>
    <w:p w:rsidR="000E18B7" w:rsidRPr="005043B8" w:rsidRDefault="000E18B7" w:rsidP="00FC5449">
      <w:pPr>
        <w:pStyle w:val="13"/>
      </w:pPr>
      <w:r w:rsidRPr="005043B8">
        <w:t>РзПр</w:t>
      </w:r>
    </w:p>
    <w:p w:rsidR="000E18B7" w:rsidRPr="005043B8" w:rsidRDefault="000E18B7" w:rsidP="00FC5449">
      <w:pPr>
        <w:pStyle w:val="13"/>
      </w:pPr>
      <w:r w:rsidRPr="005043B8">
        <w:t>КЦСР</w:t>
      </w:r>
    </w:p>
    <w:p w:rsidR="000E18B7" w:rsidRPr="005043B8" w:rsidRDefault="000E18B7" w:rsidP="00FC5449">
      <w:pPr>
        <w:pStyle w:val="13"/>
      </w:pPr>
      <w:r w:rsidRPr="005043B8">
        <w:t>КВР</w:t>
      </w:r>
    </w:p>
    <w:p w:rsidR="000E18B7" w:rsidRDefault="000E18B7" w:rsidP="000E18B7">
      <w:pPr>
        <w:pStyle w:val="35"/>
        <w:ind w:left="142"/>
      </w:pPr>
      <w:bookmarkStart w:id="371" w:name="_Toc69290120"/>
      <w:bookmarkStart w:id="372" w:name="_Toc119585076"/>
      <w:r>
        <w:t>Отчет «</w:t>
      </w:r>
      <w:r w:rsidRPr="007D2CC3">
        <w:t xml:space="preserve">Исполнение </w:t>
      </w:r>
      <w:r>
        <w:t>ФБ</w:t>
      </w:r>
      <w:r w:rsidRPr="007D2CC3">
        <w:t xml:space="preserve"> по расходам в разрезе бюджетополучателей</w:t>
      </w:r>
      <w:r>
        <w:t>»</w:t>
      </w:r>
      <w:bookmarkEnd w:id="371"/>
      <w:r>
        <w:t xml:space="preserve"> (</w:t>
      </w:r>
      <w:r w:rsidRPr="00562B8F">
        <w:t>PIAO_173_001_report</w:t>
      </w:r>
      <w:r>
        <w:t>)</w:t>
      </w:r>
      <w:bookmarkEnd w:id="372"/>
    </w:p>
    <w:p w:rsidR="000E18B7" w:rsidRDefault="000E18B7" w:rsidP="000E18B7">
      <w:pPr>
        <w:pStyle w:val="af0"/>
        <w:rPr>
          <w:rStyle w:val="af1"/>
        </w:rPr>
      </w:pPr>
      <w:r w:rsidRPr="00206C4C">
        <w:rPr>
          <w:rStyle w:val="af1"/>
        </w:rPr>
        <w:t>Для перехода к отчету «</w:t>
      </w:r>
      <w:r w:rsidRPr="007D2CC3">
        <w:t xml:space="preserve">Исполнение </w:t>
      </w:r>
      <w:r>
        <w:t>ФБ</w:t>
      </w:r>
      <w:r w:rsidRPr="007D2CC3">
        <w:t xml:space="preserve"> по расходам в разрезе бюджетополучателей</w:t>
      </w:r>
      <w:r w:rsidRPr="00206C4C">
        <w:rPr>
          <w:rStyle w:val="af1"/>
        </w:rPr>
        <w:t>» необходимо перейти к витрине «</w:t>
      </w:r>
      <w:r w:rsidRPr="00206C4C">
        <w:t xml:space="preserve">Исполнение </w:t>
      </w:r>
      <w:r>
        <w:t>бюджетов бюджетной системы Российской Федерации</w:t>
      </w:r>
      <w:r w:rsidRPr="00206C4C">
        <w:rPr>
          <w:rStyle w:val="af1"/>
        </w:rPr>
        <w:t>»</w:t>
      </w:r>
      <w:r>
        <w:rPr>
          <w:rStyle w:val="af1"/>
        </w:rPr>
        <w:t xml:space="preserve">, раскрыть каталог «Исполнение бюджетов бюджетной системы Российской Федерации по расходам» и кликнуть мышью по соответствующей плашке (Рисунок </w:t>
      </w:r>
      <w:r>
        <w:rPr>
          <w:rStyle w:val="af1"/>
        </w:rPr>
        <w:fldChar w:fldCharType="begin"/>
      </w:r>
      <w:r>
        <w:rPr>
          <w:rStyle w:val="af1"/>
        </w:rPr>
        <w:instrText xml:space="preserve"> REF _Ref69206614 \h </w:instrText>
      </w:r>
      <w:r>
        <w:rPr>
          <w:rStyle w:val="af1"/>
        </w:rPr>
      </w:r>
      <w:r>
        <w:rPr>
          <w:rStyle w:val="af1"/>
        </w:rPr>
        <w:fldChar w:fldCharType="separate"/>
      </w:r>
      <w:r w:rsidR="00BF0BEE">
        <w:rPr>
          <w:noProof/>
        </w:rPr>
        <w:t>111</w:t>
      </w:r>
      <w:r>
        <w:rPr>
          <w:rStyle w:val="af1"/>
        </w:rPr>
        <w:fldChar w:fldCharType="end"/>
      </w:r>
      <w:r>
        <w:rPr>
          <w:rStyle w:val="af1"/>
        </w:rPr>
        <w:t>).</w:t>
      </w:r>
    </w:p>
    <w:p w:rsidR="000E18B7" w:rsidRDefault="000E18B7" w:rsidP="000E18B7">
      <w:pPr>
        <w:pStyle w:val="-0"/>
      </w:pPr>
      <w:r>
        <w:rPr>
          <w:noProof/>
          <w:snapToGrid/>
        </w:rPr>
        <w:drawing>
          <wp:inline distT="0" distB="0" distL="0" distR="0" wp14:anchorId="672B09D7" wp14:editId="792573DD">
            <wp:extent cx="5939790" cy="2599309"/>
            <wp:effectExtent l="0" t="0" r="3810" b="0"/>
            <wp:docPr id="6481" name="Рисунок 6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5939790" cy="2599309"/>
                    </a:xfrm>
                    <a:prstGeom prst="rect">
                      <a:avLst/>
                    </a:prstGeom>
                  </pic:spPr>
                </pic:pic>
              </a:graphicData>
            </a:graphic>
          </wp:inline>
        </w:drawing>
      </w:r>
    </w:p>
    <w:p w:rsidR="000E18B7" w:rsidRDefault="000E18B7" w:rsidP="000E18B7">
      <w:pPr>
        <w:pStyle w:val="-0"/>
        <w:rPr>
          <w:rStyle w:val="af1"/>
        </w:rPr>
      </w:pPr>
      <w:bookmarkStart w:id="373" w:name="_Toc69290322"/>
      <w:bookmarkStart w:id="374" w:name="_Toc69980121"/>
      <w:bookmarkStart w:id="375" w:name="_Toc119584298"/>
      <w:r>
        <w:t xml:space="preserve">Рисунок </w:t>
      </w:r>
      <w:fldSimple w:instr=" SEQ Рисунок \* ARABIC ">
        <w:bookmarkStart w:id="376" w:name="_Ref69206614"/>
        <w:r w:rsidR="001860A9">
          <w:rPr>
            <w:noProof/>
          </w:rPr>
          <w:t>111</w:t>
        </w:r>
        <w:bookmarkEnd w:id="376"/>
      </w:fldSimple>
      <w:r>
        <w:t xml:space="preserve"> – Переход к отчету </w:t>
      </w:r>
      <w:r w:rsidRPr="00206C4C">
        <w:rPr>
          <w:rStyle w:val="af1"/>
        </w:rPr>
        <w:t>«</w:t>
      </w:r>
      <w:r w:rsidRPr="007D2CC3">
        <w:t xml:space="preserve">Исполнение </w:t>
      </w:r>
      <w:r>
        <w:t>ФБ</w:t>
      </w:r>
      <w:r w:rsidRPr="007D2CC3">
        <w:t xml:space="preserve"> по расходам в разрезе бюджетополучателей</w:t>
      </w:r>
      <w:r w:rsidRPr="00206C4C">
        <w:rPr>
          <w:rStyle w:val="af1"/>
        </w:rPr>
        <w:t>»</w:t>
      </w:r>
      <w:bookmarkEnd w:id="373"/>
      <w:bookmarkEnd w:id="374"/>
      <w:bookmarkEnd w:id="375"/>
    </w:p>
    <w:p w:rsidR="000E18B7" w:rsidRPr="00E9424B" w:rsidRDefault="000E18B7" w:rsidP="000E18B7">
      <w:pPr>
        <w:pStyle w:val="af0"/>
      </w:pPr>
      <w:r w:rsidRPr="00E9424B">
        <w:rPr>
          <w:rStyle w:val="af1"/>
          <w:snapToGrid w:val="0"/>
        </w:rPr>
        <w:t>Отчет «Исполнение федерального бюджета по расходам в разрезе бюджетополучателей»</w:t>
      </w:r>
      <w:r w:rsidRPr="00E9424B">
        <w:t xml:space="preserve"> обеспечивает возможность мониторинга исполнения федерального бюджета по расходам в разрезе бюджетополучателей.</w:t>
      </w:r>
    </w:p>
    <w:p w:rsidR="000E18B7" w:rsidRPr="00E9424B" w:rsidRDefault="000E18B7" w:rsidP="000E18B7">
      <w:pPr>
        <w:pStyle w:val="af0"/>
      </w:pPr>
      <w:r w:rsidRPr="00E9424B">
        <w:t>Отчет имеет 2 представления: «Текущий год (без плановых периодов)» (Рисунок</w:t>
      </w:r>
      <w:r w:rsidR="00D95D54">
        <w:t xml:space="preserve"> </w:t>
      </w:r>
      <w:r w:rsidR="00D95D54">
        <w:fldChar w:fldCharType="begin"/>
      </w:r>
      <w:r w:rsidR="00D95D54">
        <w:instrText xml:space="preserve"> REF _Ref70326000 \h </w:instrText>
      </w:r>
      <w:r w:rsidR="00D95D54">
        <w:fldChar w:fldCharType="separate"/>
      </w:r>
      <w:r w:rsidR="00BF0BEE">
        <w:rPr>
          <w:noProof/>
        </w:rPr>
        <w:t>112</w:t>
      </w:r>
      <w:r w:rsidR="00D95D54">
        <w:fldChar w:fldCharType="end"/>
      </w:r>
      <w:r w:rsidRPr="00E9424B">
        <w:t>) и «С плановыми периодами» (Рисунок</w:t>
      </w:r>
      <w:r w:rsidR="00D95D54">
        <w:t xml:space="preserve"> </w:t>
      </w:r>
      <w:r w:rsidR="00D95D54">
        <w:fldChar w:fldCharType="begin"/>
      </w:r>
      <w:r w:rsidR="00D95D54">
        <w:instrText xml:space="preserve"> REF _Ref70326046 \h </w:instrText>
      </w:r>
      <w:r w:rsidR="00D95D54">
        <w:fldChar w:fldCharType="separate"/>
      </w:r>
      <w:r w:rsidR="00BF0BEE">
        <w:rPr>
          <w:noProof/>
        </w:rPr>
        <w:t>113</w:t>
      </w:r>
      <w:r w:rsidR="00D95D54">
        <w:fldChar w:fldCharType="end"/>
      </w:r>
      <w:r w:rsidRPr="00E9424B">
        <w:t>). В представлении «С плановыми периодами» отражаются дополнительно графы с №27 по №38, содержащие информацию для 1 и 2 годов планового периода.</w:t>
      </w:r>
    </w:p>
    <w:p w:rsidR="00B35FFA" w:rsidRDefault="000E18B7" w:rsidP="00B35FFA">
      <w:pPr>
        <w:pStyle w:val="afffff7"/>
        <w:keepNext/>
      </w:pPr>
      <w:r>
        <w:rPr>
          <w:noProof/>
          <w:lang w:eastAsia="ru-RU"/>
        </w:rPr>
        <w:drawing>
          <wp:inline distT="0" distB="0" distL="0" distR="0" wp14:anchorId="2CDAE1AB" wp14:editId="641024AD">
            <wp:extent cx="6152515" cy="2643505"/>
            <wp:effectExtent l="0" t="0" r="635" b="4445"/>
            <wp:docPr id="5959" name="Рисунок 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6152515" cy="2643505"/>
                    </a:xfrm>
                    <a:prstGeom prst="rect">
                      <a:avLst/>
                    </a:prstGeom>
                  </pic:spPr>
                </pic:pic>
              </a:graphicData>
            </a:graphic>
          </wp:inline>
        </w:drawing>
      </w:r>
    </w:p>
    <w:p w:rsidR="000E18B7" w:rsidRDefault="00D95D54" w:rsidP="00D95D54">
      <w:pPr>
        <w:pStyle w:val="-0"/>
      </w:pPr>
      <w:bookmarkStart w:id="377" w:name="_Toc119584299"/>
      <w:r>
        <w:t xml:space="preserve">Рисунок </w:t>
      </w:r>
      <w:fldSimple w:instr=" SEQ Рисунок \* ARABIC ">
        <w:bookmarkStart w:id="378" w:name="_Ref70326000"/>
        <w:r w:rsidR="001860A9">
          <w:rPr>
            <w:noProof/>
          </w:rPr>
          <w:t>112</w:t>
        </w:r>
        <w:bookmarkEnd w:id="378"/>
      </w:fldSimple>
      <w:r>
        <w:t xml:space="preserve"> – Макет отчета </w:t>
      </w:r>
      <w:r w:rsidRPr="00206C4C">
        <w:rPr>
          <w:rStyle w:val="af1"/>
        </w:rPr>
        <w:t>«</w:t>
      </w:r>
      <w:r w:rsidRPr="007D2CC3">
        <w:t xml:space="preserve">Исполнение </w:t>
      </w:r>
      <w:r>
        <w:t>ФБ</w:t>
      </w:r>
      <w:r w:rsidRPr="007D2CC3">
        <w:t xml:space="preserve"> по расходам в разрезе бюджетополучателей</w:t>
      </w:r>
      <w:r w:rsidRPr="00206C4C">
        <w:rPr>
          <w:rStyle w:val="af1"/>
        </w:rPr>
        <w:t>»</w:t>
      </w:r>
      <w:r>
        <w:rPr>
          <w:rStyle w:val="af1"/>
        </w:rPr>
        <w:t xml:space="preserve">, </w:t>
      </w:r>
      <w:r w:rsidRPr="00562B8F">
        <w:rPr>
          <w:rStyle w:val="af1"/>
          <w:snapToGrid w:val="0"/>
        </w:rPr>
        <w:t>представление</w:t>
      </w:r>
      <w:r>
        <w:rPr>
          <w:rStyle w:val="af1"/>
        </w:rPr>
        <w:t xml:space="preserve"> </w:t>
      </w:r>
      <w:r>
        <w:rPr>
          <w:color w:val="auto"/>
        </w:rPr>
        <w:t>«Текущий год (без плановых периодов)»</w:t>
      </w:r>
      <w:bookmarkEnd w:id="377"/>
    </w:p>
    <w:p w:rsidR="000E18B7" w:rsidRDefault="000E18B7" w:rsidP="000E18B7">
      <w:pPr>
        <w:pStyle w:val="afffff7"/>
        <w:keepNext/>
      </w:pPr>
      <w:r>
        <w:rPr>
          <w:noProof/>
          <w:lang w:eastAsia="ru-RU"/>
        </w:rPr>
        <w:drawing>
          <wp:inline distT="0" distB="0" distL="0" distR="0" wp14:anchorId="5A5BEC98" wp14:editId="139064B4">
            <wp:extent cx="6152515" cy="2651760"/>
            <wp:effectExtent l="0" t="0" r="635" b="0"/>
            <wp:docPr id="5960" name="Рисунок 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6152515" cy="2651760"/>
                    </a:xfrm>
                    <a:prstGeom prst="rect">
                      <a:avLst/>
                    </a:prstGeom>
                  </pic:spPr>
                </pic:pic>
              </a:graphicData>
            </a:graphic>
          </wp:inline>
        </w:drawing>
      </w:r>
    </w:p>
    <w:p w:rsidR="000E18B7" w:rsidRDefault="000E18B7" w:rsidP="000E18B7">
      <w:pPr>
        <w:pStyle w:val="-0"/>
      </w:pPr>
      <w:bookmarkStart w:id="379" w:name="_Toc119584300"/>
      <w:r>
        <w:t xml:space="preserve">Рисунок </w:t>
      </w:r>
      <w:fldSimple w:instr=" SEQ Рисунок \* ARABIC ">
        <w:bookmarkStart w:id="380" w:name="_Ref70326046"/>
        <w:r w:rsidR="001860A9">
          <w:rPr>
            <w:noProof/>
          </w:rPr>
          <w:t>113</w:t>
        </w:r>
        <w:bookmarkEnd w:id="380"/>
      </w:fldSimple>
      <w:r w:rsidR="00D95D54">
        <w:t xml:space="preserve"> </w:t>
      </w:r>
      <w:r>
        <w:t xml:space="preserve">– Макет отчета </w:t>
      </w:r>
      <w:r w:rsidRPr="00206C4C">
        <w:rPr>
          <w:rStyle w:val="af1"/>
        </w:rPr>
        <w:t>«</w:t>
      </w:r>
      <w:r w:rsidRPr="007D2CC3">
        <w:t xml:space="preserve">Исполнение </w:t>
      </w:r>
      <w:r>
        <w:t>ФБ</w:t>
      </w:r>
      <w:r w:rsidRPr="007D2CC3">
        <w:t xml:space="preserve"> по расходам в разрезе бюджетополучателей</w:t>
      </w:r>
      <w:r w:rsidRPr="00206C4C">
        <w:rPr>
          <w:rStyle w:val="af1"/>
        </w:rPr>
        <w:t>»</w:t>
      </w:r>
      <w:r>
        <w:rPr>
          <w:rStyle w:val="af1"/>
        </w:rPr>
        <w:t xml:space="preserve">, представление </w:t>
      </w:r>
      <w:r>
        <w:rPr>
          <w:color w:val="auto"/>
        </w:rPr>
        <w:t>«С плановыми периодами»</w:t>
      </w:r>
      <w:bookmarkEnd w:id="379"/>
    </w:p>
    <w:p w:rsidR="000E18B7" w:rsidRDefault="000E18B7" w:rsidP="000E18B7">
      <w:pPr>
        <w:pStyle w:val="af0"/>
        <w:rPr>
          <w:rFonts w:eastAsia="Calibri"/>
        </w:rPr>
      </w:pPr>
      <w:r>
        <w:rPr>
          <w:rFonts w:eastAsia="Calibri"/>
        </w:rPr>
        <w:t>Параметры отчета:</w:t>
      </w:r>
    </w:p>
    <w:p w:rsidR="000E18B7" w:rsidRPr="00066CEA" w:rsidRDefault="000E18B7" w:rsidP="00FC5449">
      <w:pPr>
        <w:pStyle w:val="13"/>
      </w:pPr>
      <w:r w:rsidRPr="00066CEA">
        <w:t>«Выбор получателя»: плоский список с выбором получателя;</w:t>
      </w:r>
    </w:p>
    <w:p w:rsidR="000E18B7" w:rsidRPr="00066CEA" w:rsidRDefault="000E18B7" w:rsidP="00FC5449">
      <w:pPr>
        <w:pStyle w:val="13"/>
      </w:pPr>
      <w:r w:rsidRPr="00066CEA">
        <w:t>ГРБС: выпадающий список с выбором ГРБС;</w:t>
      </w:r>
    </w:p>
    <w:p w:rsidR="000E18B7" w:rsidRPr="00066CEA" w:rsidRDefault="000E18B7" w:rsidP="00FC5449">
      <w:pPr>
        <w:pStyle w:val="13"/>
      </w:pPr>
      <w:r w:rsidRPr="00066CEA">
        <w:t>РЗ: выдающий список с выбором раздела КБК;</w:t>
      </w:r>
    </w:p>
    <w:p w:rsidR="000E18B7" w:rsidRPr="00066CEA" w:rsidRDefault="000E18B7" w:rsidP="00FC5449">
      <w:pPr>
        <w:pStyle w:val="13"/>
      </w:pPr>
      <w:r w:rsidRPr="00066CEA">
        <w:t>ПР: выдающий список с выбором раздела и подраздела КБК;</w:t>
      </w:r>
    </w:p>
    <w:p w:rsidR="000E18B7" w:rsidRPr="00066CEA" w:rsidRDefault="000E18B7" w:rsidP="00FC5449">
      <w:pPr>
        <w:pStyle w:val="13"/>
      </w:pPr>
      <w:r w:rsidRPr="00066CEA">
        <w:t>Программная/непрограммная статья: выдающий список с выбором программной/непрограммной статьи КБК;</w:t>
      </w:r>
    </w:p>
    <w:p w:rsidR="000E18B7" w:rsidRPr="00066CEA" w:rsidRDefault="000E18B7" w:rsidP="00FC5449">
      <w:pPr>
        <w:pStyle w:val="13"/>
      </w:pPr>
      <w:r w:rsidRPr="00066CEA">
        <w:t>Направление расходов: выдающий список с выбором направления расходов КБК;</w:t>
      </w:r>
    </w:p>
    <w:p w:rsidR="000E18B7" w:rsidRPr="00066CEA" w:rsidRDefault="000E18B7" w:rsidP="00FC5449">
      <w:pPr>
        <w:pStyle w:val="13"/>
      </w:pPr>
      <w:r w:rsidRPr="00066CEA">
        <w:t>КВР: выдающий список с выбором кода вида расходов КБК;</w:t>
      </w:r>
    </w:p>
    <w:p w:rsidR="000E18B7" w:rsidRPr="00066CEA" w:rsidRDefault="000E18B7" w:rsidP="00FC5449">
      <w:pPr>
        <w:pStyle w:val="13"/>
      </w:pPr>
      <w:r w:rsidRPr="00066CEA">
        <w:t>Номер лицевого счета: плоский список с номерами лицевых счетов;</w:t>
      </w:r>
    </w:p>
    <w:p w:rsidR="000E18B7" w:rsidRPr="00066CEA" w:rsidRDefault="000E18B7" w:rsidP="00FC5449">
      <w:pPr>
        <w:pStyle w:val="13"/>
      </w:pPr>
      <w:r w:rsidRPr="00066CEA">
        <w:t>Единицы измерения: выпадающий список с выбором единиц измерения. Состоит из элементов: руб., тыс. руб., млн руб., млрд руб;</w:t>
      </w:r>
    </w:p>
    <w:p w:rsidR="000E18B7" w:rsidRPr="00066CEA" w:rsidRDefault="000E18B7" w:rsidP="00FC5449">
      <w:pPr>
        <w:pStyle w:val="13"/>
      </w:pPr>
      <w:r w:rsidRPr="00066CEA">
        <w:t xml:space="preserve">Отчет должен иметь 3 уровень построения: </w:t>
      </w:r>
    </w:p>
    <w:p w:rsidR="000E18B7" w:rsidRPr="00066CEA" w:rsidRDefault="000E18B7" w:rsidP="00FC5449">
      <w:pPr>
        <w:pStyle w:val="13"/>
      </w:pPr>
      <w:r w:rsidRPr="00066CEA">
        <w:t>ГРБС;</w:t>
      </w:r>
    </w:p>
    <w:p w:rsidR="000E18B7" w:rsidRPr="00066CEA" w:rsidRDefault="000E18B7" w:rsidP="00FC5449">
      <w:pPr>
        <w:pStyle w:val="13"/>
      </w:pPr>
      <w:r w:rsidRPr="00066CEA">
        <w:t>РБС (подразделения центрального подчинения);</w:t>
      </w:r>
    </w:p>
    <w:p w:rsidR="000E18B7" w:rsidRPr="00066CEA" w:rsidRDefault="000E18B7" w:rsidP="00FC5449">
      <w:pPr>
        <w:pStyle w:val="13"/>
      </w:pPr>
      <w:r w:rsidRPr="00066CEA">
        <w:t>ПБС (филиалы).</w:t>
      </w:r>
    </w:p>
    <w:p w:rsidR="000E18B7" w:rsidRDefault="000E18B7" w:rsidP="00EB1C8C">
      <w:pPr>
        <w:pStyle w:val="af0"/>
      </w:pPr>
      <w:r>
        <w:t xml:space="preserve">Перечень источников для заполнения граф отчета представлен в таблице </w:t>
      </w:r>
      <w:r>
        <w:fldChar w:fldCharType="begin"/>
      </w:r>
      <w:r>
        <w:instrText xml:space="preserve"> REF _Ref69207266 \h </w:instrText>
      </w:r>
      <w:r w:rsidR="00EB1C8C">
        <w:instrText xml:space="preserve"> \* MERGEFORMAT </w:instrText>
      </w:r>
      <w:r>
        <w:fldChar w:fldCharType="separate"/>
      </w:r>
      <w:r w:rsidR="00BF0BEE">
        <w:rPr>
          <w:noProof/>
        </w:rPr>
        <w:t>4</w:t>
      </w:r>
      <w:r>
        <w:fldChar w:fldCharType="end"/>
      </w:r>
      <w:r>
        <w:t>.</w:t>
      </w:r>
    </w:p>
    <w:p w:rsidR="000E18B7" w:rsidRPr="005F6FE1" w:rsidRDefault="000E18B7" w:rsidP="000E18B7">
      <w:pPr>
        <w:pStyle w:val="-"/>
      </w:pPr>
      <w:bookmarkStart w:id="381" w:name="_Toc69290201"/>
      <w:bookmarkStart w:id="382" w:name="_Toc69917970"/>
      <w:bookmarkStart w:id="383" w:name="_Toc119585145"/>
      <w:r>
        <w:t xml:space="preserve">Таблица </w:t>
      </w:r>
      <w:fldSimple w:instr=" SEQ Таблица \* ARABIC ">
        <w:bookmarkStart w:id="384" w:name="_Ref69207266"/>
        <w:r w:rsidR="00BF0BEE">
          <w:rPr>
            <w:noProof/>
          </w:rPr>
          <w:t>4</w:t>
        </w:r>
        <w:bookmarkEnd w:id="384"/>
      </w:fldSimple>
      <w:r>
        <w:t xml:space="preserve"> – </w:t>
      </w:r>
      <w:r w:rsidRPr="00C474F6">
        <w:t>Перечень граф</w:t>
      </w:r>
      <w:r>
        <w:t xml:space="preserve"> отчета </w:t>
      </w:r>
      <w:r w:rsidRPr="00887986">
        <w:t>«Исполнение федерального бюджета по расходам в разрезе бюджетополучателей»</w:t>
      </w:r>
      <w:bookmarkEnd w:id="381"/>
      <w:bookmarkEnd w:id="382"/>
      <w:bookmarkEnd w:id="383"/>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2905"/>
        <w:gridCol w:w="4006"/>
      </w:tblGrid>
      <w:tr w:rsidR="00FC5449" w:rsidRPr="00E46DDF" w:rsidTr="00FC5449">
        <w:trPr>
          <w:cantSplit/>
          <w:trHeight w:val="347"/>
          <w:tblHeader/>
        </w:trPr>
        <w:tc>
          <w:tcPr>
            <w:tcW w:w="0" w:type="auto"/>
            <w:shd w:val="clear" w:color="auto" w:fill="D9D9D9" w:themeFill="background1" w:themeFillShade="D9"/>
            <w:vAlign w:val="center"/>
            <w:hideMark/>
          </w:tcPr>
          <w:p w:rsidR="00FC5449" w:rsidRPr="00E46DDF" w:rsidRDefault="00FC5449" w:rsidP="00F13F95">
            <w:pPr>
              <w:jc w:val="center"/>
              <w:rPr>
                <w:b/>
                <w:bCs/>
                <w:color w:val="auto"/>
                <w:szCs w:val="24"/>
              </w:rPr>
            </w:pPr>
            <w:r>
              <w:rPr>
                <w:b/>
                <w:bCs/>
                <w:color w:val="auto"/>
                <w:szCs w:val="24"/>
              </w:rPr>
              <w:t>Группа показателей</w:t>
            </w:r>
          </w:p>
        </w:tc>
        <w:tc>
          <w:tcPr>
            <w:tcW w:w="0" w:type="auto"/>
            <w:shd w:val="clear" w:color="auto" w:fill="D9D9D9" w:themeFill="background1" w:themeFillShade="D9"/>
            <w:vAlign w:val="center"/>
            <w:hideMark/>
          </w:tcPr>
          <w:p w:rsidR="00FC5449" w:rsidRPr="00E46DDF" w:rsidRDefault="00FC5449" w:rsidP="00F13F95">
            <w:pPr>
              <w:jc w:val="center"/>
              <w:rPr>
                <w:b/>
                <w:bCs/>
                <w:color w:val="auto"/>
                <w:szCs w:val="24"/>
              </w:rPr>
            </w:pPr>
            <w:r>
              <w:rPr>
                <w:b/>
                <w:bCs/>
                <w:color w:val="auto"/>
                <w:szCs w:val="24"/>
              </w:rPr>
              <w:t>Наименование</w:t>
            </w:r>
          </w:p>
        </w:tc>
        <w:tc>
          <w:tcPr>
            <w:tcW w:w="4006" w:type="dxa"/>
            <w:shd w:val="clear" w:color="auto" w:fill="D9D9D9" w:themeFill="background1" w:themeFillShade="D9"/>
            <w:vAlign w:val="center"/>
            <w:hideMark/>
          </w:tcPr>
          <w:p w:rsidR="00FC5449" w:rsidRPr="00E46DDF" w:rsidRDefault="00FC5449" w:rsidP="00F13F95">
            <w:pPr>
              <w:jc w:val="center"/>
              <w:rPr>
                <w:b/>
                <w:bCs/>
                <w:color w:val="auto"/>
                <w:szCs w:val="24"/>
              </w:rPr>
            </w:pPr>
            <w:r>
              <w:rPr>
                <w:b/>
                <w:bCs/>
                <w:color w:val="auto"/>
                <w:szCs w:val="24"/>
              </w:rPr>
              <w:t>Источник данных (алгоритм расчета)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napToGrid/>
                <w:szCs w:val="24"/>
              </w:rPr>
            </w:pPr>
            <w:r w:rsidRPr="00E46DDF">
              <w:rPr>
                <w:szCs w:val="24"/>
              </w:rPr>
              <w:t>Наименование ГРБС</w:t>
            </w:r>
          </w:p>
        </w:tc>
        <w:tc>
          <w:tcPr>
            <w:tcW w:w="4006" w:type="dxa"/>
            <w:shd w:val="clear" w:color="auto" w:fill="auto"/>
          </w:tcPr>
          <w:p w:rsidR="00FC5449" w:rsidRPr="00E46DDF" w:rsidRDefault="00FC5449" w:rsidP="00F13F95">
            <w:pPr>
              <w:jc w:val="left"/>
              <w:rPr>
                <w:snapToGrid/>
                <w:szCs w:val="24"/>
              </w:rPr>
            </w:pPr>
            <w:r w:rsidRPr="00E46DDF">
              <w:rPr>
                <w:szCs w:val="24"/>
              </w:rPr>
              <w:t>Реестр участников бюджетного процесса, а также юридических лиц, не являющихся участниками бюджетного процесса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Код по Сводному реестру</w:t>
            </w:r>
          </w:p>
        </w:tc>
        <w:tc>
          <w:tcPr>
            <w:tcW w:w="4006" w:type="dxa"/>
            <w:shd w:val="clear" w:color="auto" w:fill="auto"/>
          </w:tcPr>
          <w:p w:rsidR="00FC5449" w:rsidRPr="00E46DDF" w:rsidRDefault="00FC5449" w:rsidP="00F13F95">
            <w:pPr>
              <w:jc w:val="left"/>
              <w:rPr>
                <w:szCs w:val="24"/>
              </w:rPr>
            </w:pPr>
            <w:r w:rsidRPr="00E46DDF">
              <w:rPr>
                <w:szCs w:val="24"/>
              </w:rPr>
              <w:t>Реестр участников бюджетного процесса, а также юридических лиц, не являющихся участниками бюджетного процесса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Наименование РБС</w:t>
            </w:r>
          </w:p>
        </w:tc>
        <w:tc>
          <w:tcPr>
            <w:tcW w:w="4006" w:type="dxa"/>
            <w:shd w:val="clear" w:color="auto" w:fill="auto"/>
          </w:tcPr>
          <w:p w:rsidR="00FC5449" w:rsidRPr="00E46DDF" w:rsidRDefault="00FC5449" w:rsidP="00F13F95">
            <w:pPr>
              <w:jc w:val="left"/>
              <w:rPr>
                <w:szCs w:val="24"/>
              </w:rPr>
            </w:pPr>
            <w:r w:rsidRPr="00E46DDF">
              <w:rPr>
                <w:szCs w:val="24"/>
              </w:rPr>
              <w:t>Реестр участников бюджетного процесса, а также юридических лиц, не являющихся участниками бюджетного процесса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Код по Сводному реестру</w:t>
            </w:r>
          </w:p>
        </w:tc>
        <w:tc>
          <w:tcPr>
            <w:tcW w:w="4006" w:type="dxa"/>
            <w:shd w:val="clear" w:color="auto" w:fill="auto"/>
          </w:tcPr>
          <w:p w:rsidR="00FC5449" w:rsidRPr="00E46DDF" w:rsidRDefault="00FC5449" w:rsidP="00F13F95">
            <w:pPr>
              <w:jc w:val="left"/>
              <w:rPr>
                <w:szCs w:val="24"/>
              </w:rPr>
            </w:pPr>
            <w:r w:rsidRPr="00E46DDF">
              <w:rPr>
                <w:szCs w:val="24"/>
              </w:rPr>
              <w:t>Отчет 'О кассовых выбытиях с</w:t>
            </w:r>
            <w:r>
              <w:rPr>
                <w:szCs w:val="24"/>
              </w:rPr>
              <w:t xml:space="preserve">редств ФБ в разрезе ПБС И АИФД' </w:t>
            </w:r>
            <w:r w:rsidRPr="00E46DDF">
              <w:rPr>
                <w:szCs w:val="24"/>
              </w:rPr>
              <w:t>(Ф.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Наименование ПБС</w:t>
            </w:r>
          </w:p>
        </w:tc>
        <w:tc>
          <w:tcPr>
            <w:tcW w:w="4006" w:type="dxa"/>
            <w:shd w:val="clear" w:color="auto" w:fill="auto"/>
          </w:tcPr>
          <w:p w:rsidR="00FC5449" w:rsidRPr="00E46DDF" w:rsidRDefault="00FC5449" w:rsidP="00F13F95">
            <w:pPr>
              <w:jc w:val="left"/>
              <w:rPr>
                <w:szCs w:val="24"/>
              </w:rPr>
            </w:pPr>
            <w:r w:rsidRPr="00E46DDF">
              <w:rPr>
                <w:szCs w:val="24"/>
              </w:rPr>
              <w:t>Реестр участников бюджетного процесса, а также юридических лиц, не являющихся участниками бюджетного процесса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Код по Сводному реестру</w:t>
            </w:r>
          </w:p>
        </w:tc>
        <w:tc>
          <w:tcPr>
            <w:tcW w:w="4006" w:type="dxa"/>
            <w:shd w:val="clear" w:color="auto" w:fill="auto"/>
          </w:tcPr>
          <w:p w:rsidR="00FC5449" w:rsidRPr="00E46DDF" w:rsidRDefault="00FC5449" w:rsidP="00F13F95">
            <w:pPr>
              <w:jc w:val="left"/>
              <w:rPr>
                <w:szCs w:val="24"/>
              </w:rPr>
            </w:pPr>
            <w:r w:rsidRPr="00E46DDF">
              <w:rPr>
                <w:szCs w:val="24"/>
              </w:rPr>
              <w:t>Отчет 'О кассовых выбытиях с</w:t>
            </w:r>
            <w:r>
              <w:rPr>
                <w:szCs w:val="24"/>
              </w:rPr>
              <w:t xml:space="preserve">редств ФБ в разрезе ПБС И АИФД' </w:t>
            </w:r>
            <w:r w:rsidRPr="00E46DDF">
              <w:rPr>
                <w:szCs w:val="24"/>
              </w:rPr>
              <w:t>(Ф.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Код организации по Сводному реестру вышестоящего УБП</w:t>
            </w:r>
          </w:p>
        </w:tc>
        <w:tc>
          <w:tcPr>
            <w:tcW w:w="4006" w:type="dxa"/>
            <w:shd w:val="clear" w:color="auto" w:fill="auto"/>
          </w:tcPr>
          <w:p w:rsidR="00FC5449" w:rsidRPr="00E46DDF" w:rsidRDefault="00FC5449" w:rsidP="00F13F95">
            <w:pPr>
              <w:jc w:val="left"/>
              <w:rPr>
                <w:szCs w:val="24"/>
              </w:rPr>
            </w:pPr>
            <w:r w:rsidRPr="00E46DDF">
              <w:rPr>
                <w:szCs w:val="24"/>
              </w:rPr>
              <w:t>Реестр участников бюджетного процесса, а также юридических лиц, не являющихся участниками бюджетного процесса</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Подразделение (Наименование/ Код  по Сводному реестру) </w:t>
            </w:r>
          </w:p>
        </w:tc>
        <w:tc>
          <w:tcPr>
            <w:tcW w:w="0" w:type="auto"/>
            <w:shd w:val="clear" w:color="auto" w:fill="auto"/>
          </w:tcPr>
          <w:p w:rsidR="00FC5449" w:rsidRPr="00E46DDF" w:rsidRDefault="00FC5449" w:rsidP="00F13F95">
            <w:pPr>
              <w:jc w:val="left"/>
              <w:rPr>
                <w:szCs w:val="24"/>
              </w:rPr>
            </w:pPr>
            <w:r w:rsidRPr="00E46DDF">
              <w:rPr>
                <w:szCs w:val="24"/>
              </w:rPr>
              <w:t>Номер лицевого счета</w:t>
            </w:r>
          </w:p>
        </w:tc>
        <w:tc>
          <w:tcPr>
            <w:tcW w:w="4006" w:type="dxa"/>
            <w:shd w:val="clear" w:color="auto" w:fill="auto"/>
          </w:tcPr>
          <w:p w:rsidR="00FC5449" w:rsidRPr="00E46DDF" w:rsidRDefault="00FC5449" w:rsidP="00F13F95">
            <w:pPr>
              <w:jc w:val="left"/>
              <w:rPr>
                <w:szCs w:val="24"/>
              </w:rPr>
            </w:pPr>
            <w:r w:rsidRPr="00E46DDF">
              <w:rPr>
                <w:szCs w:val="24"/>
              </w:rPr>
              <w:t>Книга регистрации лицевых счетов</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ГРБС</w:t>
            </w:r>
          </w:p>
        </w:tc>
        <w:tc>
          <w:tcPr>
            <w:tcW w:w="4006" w:type="dxa"/>
            <w:shd w:val="clear" w:color="auto" w:fill="auto"/>
          </w:tcPr>
          <w:p w:rsidR="00FC5449" w:rsidRPr="00E46DDF" w:rsidRDefault="00FC5449" w:rsidP="00F13F95">
            <w:pPr>
              <w:jc w:val="left"/>
              <w:rPr>
                <w:szCs w:val="24"/>
              </w:rPr>
            </w:pPr>
            <w:r w:rsidRPr="00E46DDF">
              <w:rPr>
                <w:szCs w:val="24"/>
              </w:rPr>
              <w:t>Отчет 'О кассовых выбытиях с</w:t>
            </w:r>
            <w:r>
              <w:rPr>
                <w:szCs w:val="24"/>
              </w:rPr>
              <w:t xml:space="preserve">редств ФБ в разрезе ПБС И АИФД' </w:t>
            </w:r>
            <w:r w:rsidRPr="00E46DDF">
              <w:rPr>
                <w:szCs w:val="24"/>
              </w:rPr>
              <w:t>(Ф.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Р</w:t>
            </w:r>
            <w:r>
              <w:rPr>
                <w:szCs w:val="24"/>
              </w:rPr>
              <w:t>З</w:t>
            </w:r>
          </w:p>
        </w:tc>
        <w:tc>
          <w:tcPr>
            <w:tcW w:w="4006" w:type="dxa"/>
            <w:shd w:val="clear" w:color="auto" w:fill="auto"/>
          </w:tcPr>
          <w:p w:rsidR="00FC5449" w:rsidRDefault="00FC5449" w:rsidP="00F13F95">
            <w:r w:rsidRPr="00DC31E6">
              <w:rPr>
                <w:szCs w:val="24"/>
              </w:rPr>
              <w:t>Отчет 'О кассовых выбытиях средств ФБ в разрезе ПБС И АИФД' (Ф.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ПР</w:t>
            </w:r>
          </w:p>
        </w:tc>
        <w:tc>
          <w:tcPr>
            <w:tcW w:w="4006" w:type="dxa"/>
            <w:shd w:val="clear" w:color="auto" w:fill="auto"/>
          </w:tcPr>
          <w:p w:rsidR="00FC5449" w:rsidRDefault="00FC5449" w:rsidP="00F13F95">
            <w:r w:rsidRPr="00DC31E6">
              <w:rPr>
                <w:szCs w:val="24"/>
              </w:rPr>
              <w:t>Отчет 'О кассовых выбытиях средств ФБ в разрезе ПБС И АИФД' (Ф.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Программная (непрограммная) статья</w:t>
            </w:r>
          </w:p>
        </w:tc>
        <w:tc>
          <w:tcPr>
            <w:tcW w:w="4006" w:type="dxa"/>
            <w:shd w:val="clear" w:color="auto" w:fill="auto"/>
          </w:tcPr>
          <w:p w:rsidR="00FC5449" w:rsidRDefault="00FC5449" w:rsidP="00F13F95">
            <w:r w:rsidRPr="00DC31E6">
              <w:rPr>
                <w:szCs w:val="24"/>
              </w:rPr>
              <w:t>Отчет 'О кассовых выбытиях средств ФБ в разрезе ПБС И АИФД' (Ф.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Направление расходов</w:t>
            </w:r>
          </w:p>
        </w:tc>
        <w:tc>
          <w:tcPr>
            <w:tcW w:w="4006" w:type="dxa"/>
            <w:shd w:val="clear" w:color="auto" w:fill="auto"/>
          </w:tcPr>
          <w:p w:rsidR="00FC5449" w:rsidRDefault="00FC5449" w:rsidP="00F13F95">
            <w:r w:rsidRPr="00DC31E6">
              <w:rPr>
                <w:szCs w:val="24"/>
              </w:rPr>
              <w:t>Отчет 'О кассовых выбытиях средств ФБ в разрезе ПБС И АИФД' (Ф.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КБК</w:t>
            </w:r>
          </w:p>
        </w:tc>
        <w:tc>
          <w:tcPr>
            <w:tcW w:w="0" w:type="auto"/>
            <w:shd w:val="clear" w:color="auto" w:fill="auto"/>
          </w:tcPr>
          <w:p w:rsidR="00FC5449" w:rsidRPr="00E46DDF" w:rsidRDefault="00FC5449" w:rsidP="00F13F95">
            <w:pPr>
              <w:jc w:val="left"/>
              <w:rPr>
                <w:szCs w:val="24"/>
              </w:rPr>
            </w:pPr>
            <w:r w:rsidRPr="00E46DDF">
              <w:rPr>
                <w:szCs w:val="24"/>
              </w:rPr>
              <w:t>КВР</w:t>
            </w:r>
          </w:p>
        </w:tc>
        <w:tc>
          <w:tcPr>
            <w:tcW w:w="4006" w:type="dxa"/>
            <w:shd w:val="clear" w:color="auto" w:fill="auto"/>
          </w:tcPr>
          <w:p w:rsidR="00FC5449" w:rsidRDefault="00FC5449" w:rsidP="00F13F95">
            <w:r w:rsidRPr="00DC31E6">
              <w:rPr>
                <w:szCs w:val="24"/>
              </w:rPr>
              <w:t>Отчет 'О кассовых выбытиях средств ФБ в разрезе ПБС И АИФД' (Ф.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Лимиты бюджетных обязательств, текущий год</w:t>
            </w:r>
          </w:p>
        </w:tc>
        <w:tc>
          <w:tcPr>
            <w:tcW w:w="0" w:type="auto"/>
            <w:shd w:val="clear" w:color="auto" w:fill="auto"/>
          </w:tcPr>
          <w:p w:rsidR="00FC5449" w:rsidRPr="00E46DDF" w:rsidRDefault="00FC5449" w:rsidP="00F13F95">
            <w:pPr>
              <w:jc w:val="left"/>
              <w:rPr>
                <w:szCs w:val="24"/>
              </w:rPr>
            </w:pPr>
            <w:r w:rsidRPr="00E46DDF">
              <w:rPr>
                <w:szCs w:val="24"/>
              </w:rPr>
              <w:t>ВСЕГО</w:t>
            </w:r>
          </w:p>
        </w:tc>
        <w:tc>
          <w:tcPr>
            <w:tcW w:w="4006" w:type="dxa"/>
            <w:shd w:val="clear" w:color="auto" w:fill="auto"/>
          </w:tcPr>
          <w:p w:rsidR="00FC5449" w:rsidRPr="00E46DDF" w:rsidRDefault="00FC5449" w:rsidP="00F13F95">
            <w:pPr>
              <w:jc w:val="left"/>
              <w:rPr>
                <w:szCs w:val="24"/>
              </w:rPr>
            </w:pPr>
            <w:r w:rsidRPr="00E46DDF">
              <w:rPr>
                <w:szCs w:val="24"/>
              </w:rPr>
              <w:t>Лимиты бюджетных обязательств, учтенные на лицевом счете ПБС из Отчет</w:t>
            </w:r>
            <w:r>
              <w:rPr>
                <w:szCs w:val="24"/>
              </w:rPr>
              <w:t>а</w:t>
            </w:r>
            <w:r w:rsidRPr="00E46DDF">
              <w:rPr>
                <w:szCs w:val="24"/>
              </w:rPr>
              <w:t xml:space="preserve"> 'О кассовых выбытиях с</w:t>
            </w:r>
            <w:r>
              <w:rPr>
                <w:szCs w:val="24"/>
              </w:rPr>
              <w:t xml:space="preserve">редств ФБ в разрезе ПБС И АИФД' </w:t>
            </w:r>
            <w:r w:rsidRPr="00E46DDF">
              <w:rPr>
                <w:szCs w:val="24"/>
              </w:rPr>
              <w:t>(Ф.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Лимиты бюджетных обязательств, текущий год</w:t>
            </w:r>
          </w:p>
        </w:tc>
        <w:tc>
          <w:tcPr>
            <w:tcW w:w="0" w:type="auto"/>
            <w:shd w:val="clear" w:color="auto" w:fill="auto"/>
          </w:tcPr>
          <w:p w:rsidR="00FC5449" w:rsidRPr="00E46DDF" w:rsidRDefault="00FC5449" w:rsidP="00F13F95">
            <w:pPr>
              <w:jc w:val="left"/>
              <w:rPr>
                <w:szCs w:val="24"/>
              </w:rPr>
            </w:pPr>
            <w:r w:rsidRPr="00E46DDF">
              <w:rPr>
                <w:szCs w:val="24"/>
              </w:rPr>
              <w:t>в том числе: восстановленные суммы ЛБО по неисполненным контрактам предыдущего финансового  года</w:t>
            </w:r>
          </w:p>
        </w:tc>
        <w:tc>
          <w:tcPr>
            <w:tcW w:w="4006" w:type="dxa"/>
            <w:shd w:val="clear" w:color="auto" w:fill="auto"/>
          </w:tcPr>
          <w:p w:rsidR="00FC5449" w:rsidRPr="00E46DDF" w:rsidRDefault="00FC5449" w:rsidP="00F13F95">
            <w:pPr>
              <w:jc w:val="left"/>
              <w:rPr>
                <w:szCs w:val="24"/>
              </w:rPr>
            </w:pPr>
            <w:r w:rsidRPr="00E46DDF">
              <w:rPr>
                <w:szCs w:val="24"/>
              </w:rPr>
              <w:t>ПУР ЭБ</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БА на ПНО, текущий год </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Бюджетные ассигнования на исполнение ПНО, распределено ГРБС из Отчет</w:t>
            </w:r>
            <w:r>
              <w:rPr>
                <w:szCs w:val="24"/>
              </w:rPr>
              <w:t>а</w:t>
            </w:r>
            <w:r w:rsidRPr="00E46DDF">
              <w:rPr>
                <w:szCs w:val="24"/>
              </w:rPr>
              <w:t xml:space="preserve"> 'О кассовых выбытиях с</w:t>
            </w:r>
            <w:r>
              <w:rPr>
                <w:szCs w:val="24"/>
              </w:rPr>
              <w:t xml:space="preserve">редств ФБ в разрезе ПБС И АИФД' </w:t>
            </w:r>
            <w:r w:rsidRPr="00E46DDF">
              <w:rPr>
                <w:szCs w:val="24"/>
              </w:rPr>
              <w:t>(Ф. 0521413), РР (ПУР) по 03 и 14 ЛС</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Бюджетные обязательства </w:t>
            </w:r>
          </w:p>
        </w:tc>
        <w:tc>
          <w:tcPr>
            <w:tcW w:w="0" w:type="auto"/>
            <w:shd w:val="clear" w:color="auto" w:fill="auto"/>
          </w:tcPr>
          <w:p w:rsidR="00FC5449" w:rsidRPr="00E46DDF" w:rsidRDefault="00FC5449" w:rsidP="00F13F95">
            <w:pPr>
              <w:jc w:val="left"/>
              <w:rPr>
                <w:szCs w:val="24"/>
              </w:rPr>
            </w:pPr>
            <w:r w:rsidRPr="00E46DDF">
              <w:rPr>
                <w:szCs w:val="24"/>
              </w:rPr>
              <w:t>Всего</w:t>
            </w:r>
          </w:p>
        </w:tc>
        <w:tc>
          <w:tcPr>
            <w:tcW w:w="4006" w:type="dxa"/>
            <w:shd w:val="clear" w:color="auto" w:fill="auto"/>
          </w:tcPr>
          <w:p w:rsidR="00FC5449" w:rsidRPr="00E46DDF" w:rsidRDefault="00FC5449" w:rsidP="00F13F95">
            <w:pPr>
              <w:jc w:val="left"/>
              <w:rPr>
                <w:szCs w:val="24"/>
              </w:rPr>
            </w:pPr>
            <w:r w:rsidRPr="00E46DDF">
              <w:rPr>
                <w:szCs w:val="24"/>
              </w:rPr>
              <w:t>Графа 20 + Графа 21</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Бюджетные обязательства </w:t>
            </w:r>
          </w:p>
        </w:tc>
        <w:tc>
          <w:tcPr>
            <w:tcW w:w="0" w:type="auto"/>
            <w:shd w:val="clear" w:color="auto" w:fill="auto"/>
          </w:tcPr>
          <w:p w:rsidR="00FC5449" w:rsidRPr="00E46DDF" w:rsidRDefault="00FC5449" w:rsidP="00F13F95">
            <w:pPr>
              <w:jc w:val="left"/>
              <w:rPr>
                <w:szCs w:val="24"/>
              </w:rPr>
            </w:pPr>
            <w:r w:rsidRPr="00E46DDF">
              <w:rPr>
                <w:szCs w:val="24"/>
              </w:rPr>
              <w:t>в том числе: принято бюджетных обязательств текущий год</w:t>
            </w:r>
          </w:p>
        </w:tc>
        <w:tc>
          <w:tcPr>
            <w:tcW w:w="4006" w:type="dxa"/>
            <w:shd w:val="clear" w:color="auto" w:fill="auto"/>
          </w:tcPr>
          <w:p w:rsidR="00FC5449" w:rsidRPr="00E46DDF" w:rsidRDefault="00FC5449" w:rsidP="00F13F95">
            <w:pPr>
              <w:jc w:val="left"/>
              <w:rPr>
                <w:szCs w:val="24"/>
              </w:rPr>
            </w:pPr>
            <w:r w:rsidRPr="00E46DDF">
              <w:rPr>
                <w:szCs w:val="24"/>
              </w:rPr>
              <w:t>Информация о бюджетных и денежных обязательствах, исполнении бюджетных обязательств,</w:t>
            </w:r>
            <w:r>
              <w:rPr>
                <w:szCs w:val="24"/>
              </w:rPr>
              <w:t xml:space="preserve"> </w:t>
            </w:r>
            <w:r w:rsidRPr="00E46DDF">
              <w:rPr>
                <w:szCs w:val="24"/>
              </w:rPr>
              <w:t>принятых в целях реализации федеральной адресной инвестиционной программы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xml:space="preserve">Бюджетные обязательства </w:t>
            </w:r>
          </w:p>
        </w:tc>
        <w:tc>
          <w:tcPr>
            <w:tcW w:w="0" w:type="auto"/>
            <w:shd w:val="clear" w:color="auto" w:fill="auto"/>
          </w:tcPr>
          <w:p w:rsidR="00FC5449" w:rsidRPr="00E46DDF" w:rsidRDefault="00FC5449" w:rsidP="00F13F95">
            <w:pPr>
              <w:jc w:val="left"/>
              <w:rPr>
                <w:szCs w:val="24"/>
              </w:rPr>
            </w:pPr>
            <w:r w:rsidRPr="00E46DDF">
              <w:rPr>
                <w:szCs w:val="24"/>
              </w:rPr>
              <w:t>в том числе: принимаемые обязательства текущий год</w:t>
            </w:r>
          </w:p>
        </w:tc>
        <w:tc>
          <w:tcPr>
            <w:tcW w:w="4006" w:type="dxa"/>
            <w:shd w:val="clear" w:color="auto" w:fill="auto"/>
          </w:tcPr>
          <w:p w:rsidR="00FC5449" w:rsidRPr="00E46DDF" w:rsidRDefault="00FC5449" w:rsidP="00F13F95">
            <w:pPr>
              <w:jc w:val="left"/>
              <w:rPr>
                <w:szCs w:val="24"/>
              </w:rPr>
            </w:pPr>
            <w:r w:rsidRPr="00E46DDF">
              <w:rPr>
                <w:szCs w:val="24"/>
              </w:rPr>
              <w:t>Сведения о бюджетных обязательствах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контрактации</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Pr>
                <w:szCs w:val="24"/>
              </w:rPr>
              <w:t>Графа 19</w:t>
            </w:r>
            <w:r w:rsidRPr="00E46DDF">
              <w:rPr>
                <w:szCs w:val="24"/>
              </w:rPr>
              <w:t xml:space="preserve"> / Графа 1</w:t>
            </w:r>
            <w:r>
              <w:rPr>
                <w:szCs w:val="24"/>
              </w:rPr>
              <w:t>5</w:t>
            </w:r>
            <w:r w:rsidRPr="00E46DDF">
              <w:rPr>
                <w:szCs w:val="24"/>
              </w:rPr>
              <w:t xml:space="preserve"> (по КВР 2ХХ и 41Х)</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Кассовое исполнение</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Информация о бюджетных и денежных обязательствах, исполнении бюджетных обязательств,</w:t>
            </w:r>
            <w:r>
              <w:rPr>
                <w:szCs w:val="24"/>
              </w:rPr>
              <w:t xml:space="preserve"> </w:t>
            </w:r>
            <w:r w:rsidRPr="00E46DDF">
              <w:rPr>
                <w:szCs w:val="24"/>
              </w:rPr>
              <w:t>принятых в целях реализации федеральной адресной инвестиционной программы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исполнения</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Pr>
                <w:szCs w:val="24"/>
              </w:rPr>
              <w:t>Графа 22</w:t>
            </w:r>
            <w:r w:rsidRPr="00E46DDF">
              <w:rPr>
                <w:szCs w:val="24"/>
              </w:rPr>
              <w:t xml:space="preserve"> / (Графа 1</w:t>
            </w:r>
            <w:r>
              <w:rPr>
                <w:szCs w:val="24"/>
              </w:rPr>
              <w:t>5 + Графа 17</w:t>
            </w:r>
            <w:r w:rsidRPr="00E46DDF">
              <w:rPr>
                <w:szCs w:val="24"/>
              </w:rPr>
              <w:t>)</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ЛБО по которым не начиналась процедура закупки</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Графа 1</w:t>
            </w:r>
            <w:r>
              <w:rPr>
                <w:szCs w:val="24"/>
              </w:rPr>
              <w:t>5 - (Графа 19</w:t>
            </w:r>
            <w:r w:rsidRPr="00E46DDF">
              <w:rPr>
                <w:szCs w:val="24"/>
              </w:rPr>
              <w:t xml:space="preserve"> + Графа 2</w:t>
            </w:r>
            <w:r>
              <w:rPr>
                <w:szCs w:val="24"/>
              </w:rPr>
              <w:t>0</w:t>
            </w:r>
            <w:r w:rsidRPr="00E46DDF">
              <w:rPr>
                <w:szCs w:val="24"/>
              </w:rPr>
              <w:t>) (по КВР 2ХХ и 41Х)</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Сумма незаконтрактованных ЛБО за текущий  год</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Графа 1</w:t>
            </w:r>
            <w:r>
              <w:rPr>
                <w:szCs w:val="24"/>
              </w:rPr>
              <w:t>5</w:t>
            </w:r>
            <w:r w:rsidRPr="00E46DDF">
              <w:rPr>
                <w:szCs w:val="24"/>
              </w:rPr>
              <w:t xml:space="preserve"> - Г</w:t>
            </w:r>
            <w:r>
              <w:rPr>
                <w:szCs w:val="24"/>
              </w:rPr>
              <w:t>рафа 19</w:t>
            </w:r>
            <w:r w:rsidRPr="00E46DDF">
              <w:rPr>
                <w:szCs w:val="24"/>
              </w:rPr>
              <w:t xml:space="preserve"> (по КВР 2ХХ и 41Х)</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Остаток неисполненных ЛБО и БА на ПНО за текущий год</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(Графа 1</w:t>
            </w:r>
            <w:r>
              <w:rPr>
                <w:szCs w:val="24"/>
              </w:rPr>
              <w:t>5</w:t>
            </w:r>
            <w:r w:rsidRPr="00E46DDF">
              <w:rPr>
                <w:szCs w:val="24"/>
              </w:rPr>
              <w:t xml:space="preserve"> + Графа 1</w:t>
            </w:r>
            <w:r>
              <w:rPr>
                <w:szCs w:val="24"/>
              </w:rPr>
              <w:t>9</w:t>
            </w:r>
            <w:r w:rsidRPr="00E46DDF">
              <w:rPr>
                <w:szCs w:val="24"/>
              </w:rPr>
              <w:t>) - Графа 2</w:t>
            </w:r>
            <w:r>
              <w:rPr>
                <w:szCs w:val="24"/>
              </w:rPr>
              <w:t>2</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1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Лимиты бюджетных обязательств</w:t>
            </w:r>
          </w:p>
        </w:tc>
        <w:tc>
          <w:tcPr>
            <w:tcW w:w="4006" w:type="dxa"/>
            <w:shd w:val="clear" w:color="auto" w:fill="auto"/>
          </w:tcPr>
          <w:p w:rsidR="00FC5449" w:rsidRPr="00E46DDF" w:rsidRDefault="00FC5449" w:rsidP="00F13F95">
            <w:pPr>
              <w:jc w:val="left"/>
              <w:rPr>
                <w:szCs w:val="24"/>
              </w:rPr>
            </w:pPr>
            <w:r w:rsidRPr="00E46DDF">
              <w:rPr>
                <w:szCs w:val="24"/>
              </w:rPr>
              <w:t>Расходные расписания. Система источник -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1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 xml:space="preserve"> БА на ПНО</w:t>
            </w:r>
          </w:p>
        </w:tc>
        <w:tc>
          <w:tcPr>
            <w:tcW w:w="4006" w:type="dxa"/>
            <w:shd w:val="clear" w:color="auto" w:fill="auto"/>
          </w:tcPr>
          <w:p w:rsidR="00FC5449" w:rsidRPr="00E46DDF" w:rsidRDefault="00FC5449" w:rsidP="00F13F95">
            <w:pPr>
              <w:jc w:val="left"/>
              <w:rPr>
                <w:szCs w:val="24"/>
              </w:rPr>
            </w:pPr>
            <w:r w:rsidRPr="00E46DDF">
              <w:rPr>
                <w:szCs w:val="24"/>
              </w:rPr>
              <w:t>Расходные расписания. Система источник -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1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Всего</w:t>
            </w:r>
          </w:p>
        </w:tc>
        <w:tc>
          <w:tcPr>
            <w:tcW w:w="4006" w:type="dxa"/>
            <w:shd w:val="clear" w:color="auto" w:fill="auto"/>
          </w:tcPr>
          <w:p w:rsidR="00FC5449" w:rsidRPr="00E46DDF" w:rsidRDefault="00FC5449" w:rsidP="00F13F95">
            <w:pPr>
              <w:jc w:val="left"/>
              <w:rPr>
                <w:szCs w:val="24"/>
              </w:rPr>
            </w:pPr>
            <w:r w:rsidRPr="00E46DDF">
              <w:rPr>
                <w:szCs w:val="24"/>
              </w:rPr>
              <w:t>Графа 3</w:t>
            </w:r>
            <w:r>
              <w:rPr>
                <w:szCs w:val="24"/>
              </w:rPr>
              <w:t>0</w:t>
            </w:r>
            <w:r w:rsidRPr="00E46DDF">
              <w:rPr>
                <w:szCs w:val="24"/>
              </w:rPr>
              <w:t xml:space="preserve"> + Графа 3</w:t>
            </w:r>
            <w:r>
              <w:rPr>
                <w:szCs w:val="24"/>
              </w:rPr>
              <w:t>1</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1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Принято бюджетных обязательств</w:t>
            </w:r>
          </w:p>
        </w:tc>
        <w:tc>
          <w:tcPr>
            <w:tcW w:w="4006" w:type="dxa"/>
            <w:shd w:val="clear" w:color="auto" w:fill="auto"/>
          </w:tcPr>
          <w:p w:rsidR="00FC5449" w:rsidRPr="00E46DDF" w:rsidRDefault="00FC5449" w:rsidP="00F13F95">
            <w:pPr>
              <w:jc w:val="left"/>
              <w:rPr>
                <w:szCs w:val="24"/>
              </w:rPr>
            </w:pPr>
            <w:r w:rsidRPr="00E46DDF">
              <w:rPr>
                <w:szCs w:val="24"/>
              </w:rPr>
              <w:t>Информация о бюджетных и денежных обязательствах, исполнении бюджетных обязательств,</w:t>
            </w:r>
            <w:r>
              <w:rPr>
                <w:szCs w:val="24"/>
              </w:rPr>
              <w:t xml:space="preserve"> </w:t>
            </w:r>
            <w:r w:rsidRPr="00E46DDF">
              <w:rPr>
                <w:szCs w:val="24"/>
              </w:rPr>
              <w:t>принятых в целях реализации федеральной адресной инвестиционной программы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1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 xml:space="preserve">Принимаемые обязательства </w:t>
            </w:r>
          </w:p>
        </w:tc>
        <w:tc>
          <w:tcPr>
            <w:tcW w:w="4006" w:type="dxa"/>
            <w:shd w:val="clear" w:color="auto" w:fill="auto"/>
          </w:tcPr>
          <w:p w:rsidR="00FC5449" w:rsidRPr="00E46DDF" w:rsidRDefault="00FC5449" w:rsidP="00F13F95">
            <w:pPr>
              <w:jc w:val="left"/>
              <w:rPr>
                <w:szCs w:val="24"/>
              </w:rPr>
            </w:pPr>
            <w:r w:rsidRPr="00E46DDF">
              <w:rPr>
                <w:szCs w:val="24"/>
              </w:rPr>
              <w:t>Сведения о бюджетных обязательствах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контрактации</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Графа 3</w:t>
            </w:r>
            <w:r>
              <w:rPr>
                <w:szCs w:val="24"/>
              </w:rPr>
              <w:t>0</w:t>
            </w:r>
            <w:r w:rsidRPr="00E46DDF">
              <w:rPr>
                <w:szCs w:val="24"/>
              </w:rPr>
              <w:t xml:space="preserve"> / Графа 2</w:t>
            </w:r>
            <w:r>
              <w:rPr>
                <w:szCs w:val="24"/>
              </w:rPr>
              <w:t xml:space="preserve">7 </w:t>
            </w:r>
            <w:r w:rsidRPr="00E46DDF">
              <w:rPr>
                <w:szCs w:val="24"/>
              </w:rPr>
              <w:t>(по КВР 2ХХ и 41Х)</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2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Лимиты бюджетных обязательств</w:t>
            </w:r>
          </w:p>
        </w:tc>
        <w:tc>
          <w:tcPr>
            <w:tcW w:w="4006" w:type="dxa"/>
            <w:shd w:val="clear" w:color="auto" w:fill="auto"/>
          </w:tcPr>
          <w:p w:rsidR="00FC5449" w:rsidRPr="00E46DDF" w:rsidRDefault="00FC5449" w:rsidP="00F13F95">
            <w:pPr>
              <w:jc w:val="left"/>
              <w:rPr>
                <w:szCs w:val="24"/>
              </w:rPr>
            </w:pPr>
            <w:r w:rsidRPr="00E46DDF">
              <w:rPr>
                <w:szCs w:val="24"/>
              </w:rPr>
              <w:t>Расходные расписания. Система источник -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2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 xml:space="preserve"> БА на ПНО</w:t>
            </w:r>
          </w:p>
        </w:tc>
        <w:tc>
          <w:tcPr>
            <w:tcW w:w="4006" w:type="dxa"/>
            <w:shd w:val="clear" w:color="auto" w:fill="auto"/>
          </w:tcPr>
          <w:p w:rsidR="00FC5449" w:rsidRPr="00E46DDF" w:rsidRDefault="00FC5449" w:rsidP="00F13F95">
            <w:pPr>
              <w:jc w:val="left"/>
              <w:rPr>
                <w:szCs w:val="24"/>
              </w:rPr>
            </w:pPr>
            <w:r w:rsidRPr="00E46DDF">
              <w:rPr>
                <w:szCs w:val="24"/>
              </w:rPr>
              <w:t>Расходные расписания. Система источник -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2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Всего</w:t>
            </w:r>
          </w:p>
        </w:tc>
        <w:tc>
          <w:tcPr>
            <w:tcW w:w="4006" w:type="dxa"/>
            <w:shd w:val="clear" w:color="auto" w:fill="auto"/>
          </w:tcPr>
          <w:p w:rsidR="00FC5449" w:rsidRPr="00E46DDF" w:rsidRDefault="00FC5449" w:rsidP="00F13F95">
            <w:pPr>
              <w:jc w:val="left"/>
              <w:rPr>
                <w:szCs w:val="24"/>
              </w:rPr>
            </w:pPr>
            <w:r w:rsidRPr="00E46DDF">
              <w:rPr>
                <w:szCs w:val="24"/>
              </w:rPr>
              <w:t>Графа 3</w:t>
            </w:r>
            <w:r>
              <w:rPr>
                <w:szCs w:val="24"/>
              </w:rPr>
              <w:t>6</w:t>
            </w:r>
            <w:r w:rsidRPr="00E46DDF">
              <w:rPr>
                <w:szCs w:val="24"/>
              </w:rPr>
              <w:t xml:space="preserve"> + Графа 3</w:t>
            </w:r>
            <w:r>
              <w:rPr>
                <w:szCs w:val="24"/>
              </w:rPr>
              <w:t>7</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2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Принято бюджетных обязательств</w:t>
            </w:r>
          </w:p>
        </w:tc>
        <w:tc>
          <w:tcPr>
            <w:tcW w:w="4006" w:type="dxa"/>
            <w:shd w:val="clear" w:color="auto" w:fill="auto"/>
          </w:tcPr>
          <w:p w:rsidR="00FC5449" w:rsidRPr="00E46DDF" w:rsidRDefault="00FC5449" w:rsidP="00F13F95">
            <w:pPr>
              <w:jc w:val="left"/>
              <w:rPr>
                <w:szCs w:val="24"/>
              </w:rPr>
            </w:pPr>
            <w:r w:rsidRPr="00E46DDF">
              <w:rPr>
                <w:szCs w:val="24"/>
              </w:rPr>
              <w:t>Информация о бюджетных и денежных обязательствах, исполнении бюджетных обязательств,</w:t>
            </w:r>
            <w:r>
              <w:rPr>
                <w:szCs w:val="24"/>
              </w:rPr>
              <w:t xml:space="preserve"> </w:t>
            </w:r>
            <w:r w:rsidRPr="00E46DDF">
              <w:rPr>
                <w:szCs w:val="24"/>
              </w:rPr>
              <w:t>принятых в целях реализации федеральной адресной инвестиционной программы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2 год планового периода</w:t>
            </w:r>
          </w:p>
        </w:tc>
        <w:tc>
          <w:tcPr>
            <w:tcW w:w="0" w:type="auto"/>
            <w:shd w:val="clear" w:color="auto" w:fill="auto"/>
          </w:tcPr>
          <w:p w:rsidR="00FC5449" w:rsidRPr="00E46DDF" w:rsidRDefault="00FC5449" w:rsidP="00F13F95">
            <w:pPr>
              <w:jc w:val="left"/>
              <w:rPr>
                <w:szCs w:val="24"/>
              </w:rPr>
            </w:pPr>
            <w:r w:rsidRPr="00E46DDF">
              <w:rPr>
                <w:szCs w:val="24"/>
              </w:rPr>
              <w:t xml:space="preserve">Принимаемые обязательства </w:t>
            </w:r>
          </w:p>
        </w:tc>
        <w:tc>
          <w:tcPr>
            <w:tcW w:w="4006" w:type="dxa"/>
            <w:shd w:val="clear" w:color="auto" w:fill="auto"/>
          </w:tcPr>
          <w:p w:rsidR="00FC5449" w:rsidRPr="00E46DDF" w:rsidRDefault="00FC5449" w:rsidP="00F13F95">
            <w:pPr>
              <w:jc w:val="left"/>
              <w:rPr>
                <w:szCs w:val="24"/>
              </w:rPr>
            </w:pPr>
            <w:r w:rsidRPr="00E46DDF">
              <w:rPr>
                <w:szCs w:val="24"/>
              </w:rPr>
              <w:t>Сведения о бюджетных обязательствах (ПУР)</w:t>
            </w:r>
          </w:p>
        </w:tc>
      </w:tr>
      <w:tr w:rsidR="00FC5449" w:rsidRPr="00E46DDF" w:rsidTr="00FC5449">
        <w:trPr>
          <w:cantSplit/>
          <w:trHeight w:val="223"/>
        </w:trPr>
        <w:tc>
          <w:tcPr>
            <w:tcW w:w="0" w:type="auto"/>
            <w:shd w:val="clear" w:color="auto" w:fill="auto"/>
          </w:tcPr>
          <w:p w:rsidR="00FC5449" w:rsidRPr="00FC5449" w:rsidRDefault="00FC5449" w:rsidP="005C6E50">
            <w:pPr>
              <w:numPr>
                <w:ilvl w:val="0"/>
                <w:numId w:val="88"/>
              </w:numPr>
              <w:jc w:val="left"/>
              <w:rPr>
                <w:color w:val="auto"/>
                <w:szCs w:val="24"/>
              </w:rPr>
            </w:pPr>
            <w:r w:rsidRPr="00FC5449">
              <w:rPr>
                <w:color w:val="auto"/>
                <w:szCs w:val="24"/>
              </w:rPr>
              <w:t>% контрактации</w:t>
            </w:r>
          </w:p>
        </w:tc>
        <w:tc>
          <w:tcPr>
            <w:tcW w:w="0" w:type="auto"/>
            <w:shd w:val="clear" w:color="auto" w:fill="auto"/>
          </w:tcPr>
          <w:p w:rsidR="00FC5449" w:rsidRPr="00E46DDF" w:rsidRDefault="00FC5449" w:rsidP="00F13F95">
            <w:pPr>
              <w:jc w:val="left"/>
              <w:rPr>
                <w:szCs w:val="24"/>
              </w:rPr>
            </w:pPr>
          </w:p>
        </w:tc>
        <w:tc>
          <w:tcPr>
            <w:tcW w:w="4006" w:type="dxa"/>
            <w:shd w:val="clear" w:color="auto" w:fill="auto"/>
          </w:tcPr>
          <w:p w:rsidR="00FC5449" w:rsidRPr="00E46DDF" w:rsidRDefault="00FC5449" w:rsidP="00F13F95">
            <w:pPr>
              <w:jc w:val="left"/>
              <w:rPr>
                <w:szCs w:val="24"/>
              </w:rPr>
            </w:pPr>
            <w:r w:rsidRPr="00E46DDF">
              <w:rPr>
                <w:szCs w:val="24"/>
              </w:rPr>
              <w:t>Графа 3</w:t>
            </w:r>
            <w:r>
              <w:rPr>
                <w:szCs w:val="24"/>
              </w:rPr>
              <w:t>6</w:t>
            </w:r>
            <w:r w:rsidRPr="00E46DDF">
              <w:rPr>
                <w:szCs w:val="24"/>
              </w:rPr>
              <w:t xml:space="preserve"> / Графа 3</w:t>
            </w:r>
            <w:r>
              <w:rPr>
                <w:szCs w:val="24"/>
              </w:rPr>
              <w:t>3</w:t>
            </w:r>
            <w:r w:rsidRPr="00E46DDF">
              <w:rPr>
                <w:szCs w:val="24"/>
              </w:rPr>
              <w:t xml:space="preserve"> (по КВР 2ХХ и 41Х)</w:t>
            </w:r>
          </w:p>
        </w:tc>
      </w:tr>
    </w:tbl>
    <w:p w:rsidR="000E18B7" w:rsidRPr="00206C4C" w:rsidRDefault="000E18B7" w:rsidP="000E18B7">
      <w:pPr>
        <w:pStyle w:val="35"/>
        <w:ind w:left="142"/>
      </w:pPr>
      <w:bookmarkStart w:id="385" w:name="_Toc119585077"/>
      <w:r w:rsidRPr="00206C4C">
        <w:t>Отчет «Калькулятор нефтегазовых доходов»</w:t>
      </w:r>
      <w:r>
        <w:t xml:space="preserve"> (</w:t>
      </w:r>
      <w:r w:rsidRPr="00562B8F">
        <w:t>PIAO_106_000_report</w:t>
      </w:r>
      <w:r>
        <w:t>)</w:t>
      </w:r>
      <w:bookmarkEnd w:id="385"/>
    </w:p>
    <w:p w:rsidR="000E18B7" w:rsidRPr="00206C4C" w:rsidRDefault="000E18B7" w:rsidP="000E18B7">
      <w:pPr>
        <w:pStyle w:val="af0"/>
        <w:rPr>
          <w:rStyle w:val="af1"/>
        </w:rPr>
      </w:pPr>
      <w:r w:rsidRPr="00206C4C">
        <w:rPr>
          <w:rStyle w:val="af1"/>
        </w:rPr>
        <w:t>Для перехода к отчету «</w:t>
      </w:r>
      <w:r w:rsidRPr="00206C4C">
        <w:t>Калькулятор нефтегазовых доходов</w:t>
      </w:r>
      <w:r w:rsidRPr="00206C4C">
        <w:rPr>
          <w:rStyle w:val="af1"/>
        </w:rPr>
        <w:t>» необходимо перейти к витрине «</w:t>
      </w:r>
      <w:r w:rsidRPr="00206C4C">
        <w:t>Кассовое планирование и прогнозирование исполнения федерального бюджета</w:t>
      </w:r>
      <w:r w:rsidRPr="00206C4C">
        <w:rPr>
          <w:rStyle w:val="af1"/>
        </w:rPr>
        <w:t>» и кликнуть мышью по плашке «</w:t>
      </w:r>
      <w:r w:rsidRPr="00206C4C">
        <w:t>Калькулятор нефтегазовых доходов</w:t>
      </w:r>
      <w:r w:rsidRPr="00206C4C">
        <w:rPr>
          <w:rStyle w:val="af1"/>
        </w:rPr>
        <w:t>», как показано на рисунке</w:t>
      </w:r>
      <w:r w:rsidR="00C24EDD">
        <w:rPr>
          <w:rStyle w:val="af1"/>
        </w:rPr>
        <w:t xml:space="preserve"> </w:t>
      </w:r>
      <w:r w:rsidR="00C24EDD">
        <w:rPr>
          <w:rStyle w:val="af1"/>
        </w:rPr>
        <w:fldChar w:fldCharType="begin"/>
      </w:r>
      <w:r w:rsidR="00C24EDD">
        <w:rPr>
          <w:rStyle w:val="af1"/>
        </w:rPr>
        <w:instrText xml:space="preserve"> REF _Ref70326142 \h </w:instrText>
      </w:r>
      <w:r w:rsidR="00C24EDD">
        <w:rPr>
          <w:rStyle w:val="af1"/>
        </w:rPr>
      </w:r>
      <w:r w:rsidR="00C24EDD">
        <w:rPr>
          <w:rStyle w:val="af1"/>
        </w:rPr>
        <w:fldChar w:fldCharType="separate"/>
      </w:r>
      <w:r w:rsidR="00BF0BEE">
        <w:rPr>
          <w:noProof/>
        </w:rPr>
        <w:t>114</w:t>
      </w:r>
      <w:r w:rsidR="00C24EDD">
        <w:rPr>
          <w:rStyle w:val="af1"/>
        </w:rPr>
        <w:fldChar w:fldCharType="end"/>
      </w:r>
      <w:r w:rsidRPr="00206C4C">
        <w:rPr>
          <w:rStyle w:val="af1"/>
        </w:rPr>
        <w:t>.</w:t>
      </w:r>
    </w:p>
    <w:p w:rsidR="000E18B7" w:rsidRDefault="000E18B7" w:rsidP="000E18B7">
      <w:pPr>
        <w:pStyle w:val="afffff7"/>
        <w:keepNext/>
      </w:pPr>
      <w:r w:rsidRPr="00562B8F">
        <w:rPr>
          <w:noProof/>
          <w:lang w:eastAsia="ru-RU"/>
        </w:rPr>
        <w:drawing>
          <wp:inline distT="0" distB="0" distL="0" distR="0" wp14:anchorId="25740CEF" wp14:editId="7020E17F">
            <wp:extent cx="6152515" cy="2414270"/>
            <wp:effectExtent l="0" t="0" r="635" b="5080"/>
            <wp:docPr id="5961" name="Рисунок 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6152515" cy="2414270"/>
                    </a:xfrm>
                    <a:prstGeom prst="rect">
                      <a:avLst/>
                    </a:prstGeom>
                  </pic:spPr>
                </pic:pic>
              </a:graphicData>
            </a:graphic>
          </wp:inline>
        </w:drawing>
      </w:r>
    </w:p>
    <w:p w:rsidR="000E18B7" w:rsidRPr="00206C4C" w:rsidRDefault="000E18B7" w:rsidP="000E18B7">
      <w:pPr>
        <w:pStyle w:val="-0"/>
      </w:pPr>
      <w:bookmarkStart w:id="386" w:name="_Toc119584301"/>
      <w:r w:rsidRPr="00206C4C">
        <w:rPr>
          <w:rStyle w:val="af1"/>
          <w:rFonts w:eastAsia="Calibri"/>
        </w:rPr>
        <w:t>Рисунок</w:t>
      </w:r>
      <w:r>
        <w:t xml:space="preserve"> </w:t>
      </w:r>
      <w:fldSimple w:instr=" SEQ Рисунок \* ARABIC ">
        <w:bookmarkStart w:id="387" w:name="_Ref70326142"/>
        <w:r w:rsidR="001860A9">
          <w:rPr>
            <w:noProof/>
          </w:rPr>
          <w:t>114</w:t>
        </w:r>
        <w:bookmarkEnd w:id="387"/>
      </w:fldSimple>
      <w:r w:rsidR="00C24EDD">
        <w:t xml:space="preserve"> </w:t>
      </w:r>
      <w:r w:rsidRPr="00206C4C">
        <w:rPr>
          <w:rStyle w:val="af1"/>
          <w:rFonts w:eastAsia="Calibri"/>
        </w:rPr>
        <w:t xml:space="preserve">– </w:t>
      </w:r>
      <w:r w:rsidRPr="00206C4C">
        <w:t xml:space="preserve">Плашка для перехода к отчету </w:t>
      </w:r>
      <w:r w:rsidRPr="00206C4C">
        <w:rPr>
          <w:rStyle w:val="af1"/>
        </w:rPr>
        <w:t>«</w:t>
      </w:r>
      <w:r w:rsidRPr="00206C4C">
        <w:t>Калькулятор нефтегазовых доходов</w:t>
      </w:r>
      <w:r w:rsidRPr="00206C4C">
        <w:rPr>
          <w:rStyle w:val="af1"/>
        </w:rPr>
        <w:t>»</w:t>
      </w:r>
      <w:bookmarkEnd w:id="386"/>
    </w:p>
    <w:p w:rsidR="000E18B7" w:rsidRPr="00206C4C" w:rsidRDefault="000E18B7" w:rsidP="0064685E">
      <w:pPr>
        <w:pStyle w:val="42"/>
        <w:ind w:left="284"/>
        <w:jc w:val="left"/>
      </w:pPr>
      <w:r w:rsidRPr="00206C4C">
        <w:rPr>
          <w:snapToGrid/>
        </w:rPr>
        <w:t>Представление «Таблица</w:t>
      </w:r>
      <w:r w:rsidRPr="00206C4C">
        <w:t>»</w:t>
      </w:r>
    </w:p>
    <w:p w:rsidR="000E18B7" w:rsidRPr="00206C4C" w:rsidRDefault="000E18B7" w:rsidP="000E18B7">
      <w:pPr>
        <w:pStyle w:val="af0"/>
        <w:rPr>
          <w:szCs w:val="28"/>
        </w:rPr>
      </w:pPr>
      <w:r w:rsidRPr="00206C4C">
        <w:rPr>
          <w:szCs w:val="28"/>
        </w:rPr>
        <w:t>Представление «Таблица» аналитического отчета «Калькулятор нефтегазовых доходов» обеспечивает возможность анализа прогнозных и фактических показателей по исполнению нефтегазовых доходов федерального бюджета нарастающим итогом с начала текущего года, а также возможность расчета прогноза ожидаемого объема поступлений доходов в федерального бюджета до конца текущего года (Рисунок</w:t>
      </w:r>
      <w:r w:rsidR="0064685E">
        <w:rPr>
          <w:szCs w:val="28"/>
        </w:rPr>
        <w:t xml:space="preserve"> </w:t>
      </w:r>
      <w:r w:rsidR="0064685E">
        <w:rPr>
          <w:szCs w:val="28"/>
        </w:rPr>
        <w:fldChar w:fldCharType="begin"/>
      </w:r>
      <w:r w:rsidR="0064685E">
        <w:rPr>
          <w:szCs w:val="28"/>
        </w:rPr>
        <w:instrText xml:space="preserve"> REF _Ref18842340 \h </w:instrText>
      </w:r>
      <w:r w:rsidR="0064685E">
        <w:rPr>
          <w:szCs w:val="28"/>
        </w:rPr>
      </w:r>
      <w:r w:rsidR="0064685E">
        <w:rPr>
          <w:szCs w:val="28"/>
        </w:rPr>
        <w:fldChar w:fldCharType="separate"/>
      </w:r>
      <w:r w:rsidR="00BF0BEE">
        <w:rPr>
          <w:noProof/>
        </w:rPr>
        <w:t>115</w:t>
      </w:r>
      <w:r w:rsidR="0064685E">
        <w:rPr>
          <w:szCs w:val="28"/>
        </w:rPr>
        <w:fldChar w:fldCharType="end"/>
      </w:r>
      <w:r w:rsidRPr="00206C4C">
        <w:rPr>
          <w:szCs w:val="28"/>
        </w:rPr>
        <w:t>).</w:t>
      </w:r>
    </w:p>
    <w:p w:rsidR="000E18B7" w:rsidRPr="00206C4C" w:rsidRDefault="000E18B7" w:rsidP="000E18B7">
      <w:pPr>
        <w:pStyle w:val="afffff7"/>
        <w:keepNext/>
      </w:pPr>
      <w:r w:rsidRPr="00206C4C">
        <w:rPr>
          <w:szCs w:val="28"/>
        </w:rPr>
        <w:t xml:space="preserve"> </w:t>
      </w:r>
      <w:r w:rsidRPr="00206C4C">
        <w:rPr>
          <w:noProof/>
          <w:lang w:eastAsia="ru-RU"/>
        </w:rPr>
        <w:drawing>
          <wp:inline distT="0" distB="0" distL="0" distR="0" wp14:anchorId="3877B993" wp14:editId="641720BB">
            <wp:extent cx="5939790" cy="3004910"/>
            <wp:effectExtent l="0" t="0" r="3810" b="5080"/>
            <wp:docPr id="5798" name="Рисунок 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1" cstate="print">
                      <a:extLst>
                        <a:ext uri="{28A0092B-C50C-407E-A947-70E740481C1C}">
                          <a14:useLocalDpi xmlns:a14="http://schemas.microsoft.com/office/drawing/2010/main" val="0"/>
                        </a:ext>
                      </a:extLst>
                    </a:blip>
                    <a:srcRect t="6631"/>
                    <a:stretch>
                      <a:fillRect/>
                    </a:stretch>
                  </pic:blipFill>
                  <pic:spPr bwMode="auto">
                    <a:xfrm>
                      <a:off x="0" y="0"/>
                      <a:ext cx="5939790" cy="3004910"/>
                    </a:xfrm>
                    <a:prstGeom prst="rect">
                      <a:avLst/>
                    </a:prstGeom>
                    <a:noFill/>
                    <a:ln>
                      <a:noFill/>
                    </a:ln>
                  </pic:spPr>
                </pic:pic>
              </a:graphicData>
            </a:graphic>
          </wp:inline>
        </w:drawing>
      </w:r>
    </w:p>
    <w:p w:rsidR="000E18B7" w:rsidRPr="00562B8F" w:rsidRDefault="000E18B7" w:rsidP="000E18B7">
      <w:pPr>
        <w:pStyle w:val="-0"/>
      </w:pPr>
      <w:bookmarkStart w:id="388" w:name="_Toc37845508"/>
      <w:bookmarkStart w:id="389" w:name="_Toc69290303"/>
      <w:bookmarkStart w:id="390" w:name="_Toc69980102"/>
      <w:bookmarkStart w:id="391" w:name="_Toc119584302"/>
      <w:r w:rsidRPr="00562B8F">
        <w:t xml:space="preserve">Рисунок </w:t>
      </w:r>
      <w:fldSimple w:instr=" SEQ Рисунок \* ARABIC ">
        <w:bookmarkStart w:id="392" w:name="_Ref18842340"/>
        <w:r w:rsidR="001860A9">
          <w:rPr>
            <w:noProof/>
          </w:rPr>
          <w:t>115</w:t>
        </w:r>
        <w:bookmarkEnd w:id="392"/>
      </w:fldSimple>
      <w:r w:rsidRPr="00562B8F">
        <w:t xml:space="preserve"> – </w:t>
      </w:r>
      <w:r w:rsidRPr="00562B8F">
        <w:rPr>
          <w:rStyle w:val="af1"/>
          <w:snapToGrid w:val="0"/>
        </w:rPr>
        <w:t>Макет отчета «Калькулятор нефтегазовых доходов». Представление «Таблица»</w:t>
      </w:r>
      <w:bookmarkEnd w:id="388"/>
      <w:bookmarkEnd w:id="389"/>
      <w:bookmarkEnd w:id="390"/>
      <w:bookmarkEnd w:id="391"/>
    </w:p>
    <w:p w:rsidR="000E18B7" w:rsidRPr="00206C4C" w:rsidRDefault="000E18B7" w:rsidP="000E18B7">
      <w:pPr>
        <w:pStyle w:val="af0"/>
      </w:pPr>
      <w:r w:rsidRPr="00206C4C">
        <w:t>Параметры представления:</w:t>
      </w:r>
    </w:p>
    <w:p w:rsidR="000E18B7" w:rsidRPr="00206C4C" w:rsidRDefault="000E18B7" w:rsidP="00DE1661">
      <w:pPr>
        <w:pStyle w:val="13"/>
      </w:pPr>
      <w:r w:rsidRPr="00206C4C">
        <w:t>Год: выпадающий список с выбором года отображаемых данных. По умолчанию отображается текущий год.</w:t>
      </w:r>
    </w:p>
    <w:p w:rsidR="000E18B7" w:rsidRPr="00206C4C" w:rsidRDefault="000E18B7" w:rsidP="000E18B7">
      <w:pPr>
        <w:pStyle w:val="af0"/>
        <w:rPr>
          <w:szCs w:val="28"/>
        </w:rPr>
      </w:pPr>
      <w:r w:rsidRPr="00206C4C">
        <w:rPr>
          <w:szCs w:val="28"/>
        </w:rPr>
        <w:t xml:space="preserve">В верхней части представления расположена таблица, в которую выводятся прогнозные и фактические показатели исполнения нефтегазовых доходов федерального бюджета. </w:t>
      </w:r>
    </w:p>
    <w:p w:rsidR="000E18B7" w:rsidRPr="00206C4C" w:rsidRDefault="000E18B7" w:rsidP="000E18B7">
      <w:pPr>
        <w:pStyle w:val="af0"/>
        <w:rPr>
          <w:rFonts w:eastAsia="Calibri"/>
        </w:rPr>
      </w:pPr>
      <w:r w:rsidRPr="00206C4C">
        <w:rPr>
          <w:rFonts w:eastAsia="Calibri"/>
        </w:rPr>
        <w:t>Показатели формируются на основе таблиц в базе данных, которые заполняются отдельными сценариями загрузки:</w:t>
      </w:r>
    </w:p>
    <w:p w:rsidR="000E18B7" w:rsidRPr="00453314" w:rsidRDefault="000E18B7" w:rsidP="00EB1C8C">
      <w:pPr>
        <w:pStyle w:val="13"/>
      </w:pPr>
      <w:r w:rsidRPr="00453314">
        <w:t>«Закон о федеральном бюджете» заполняется на основе данных ф. 0501031 (F_KSPL_I);</w:t>
      </w:r>
    </w:p>
    <w:p w:rsidR="000E18B7" w:rsidRPr="00453314" w:rsidRDefault="000E18B7" w:rsidP="00EB1C8C">
      <w:pPr>
        <w:pStyle w:val="13"/>
      </w:pPr>
      <w:r w:rsidRPr="00453314">
        <w:t>«Прогноз ГАДБ на год» заполняется на основе данных ф. 0501083 (F_KSPL_I);</w:t>
      </w:r>
    </w:p>
    <w:p w:rsidR="000E18B7" w:rsidRPr="00453314" w:rsidRDefault="000E18B7" w:rsidP="00EB1C8C">
      <w:pPr>
        <w:pStyle w:val="13"/>
      </w:pPr>
      <w:r w:rsidRPr="00453314">
        <w:t>«Отклонение прогноза ГАДБ от ФЗ» в натуральном выражении рассчитывается как разница между показателями «Прогноз ГАДБ на год» и «Закон о федеральном бюджете», в % - полученное отклонение в натуральном выражении делится на показатель «Закон о федеральном бюджете» и умножается на 100%;</w:t>
      </w:r>
    </w:p>
    <w:p w:rsidR="000E18B7" w:rsidRPr="00453314" w:rsidRDefault="000E18B7" w:rsidP="00EB1C8C">
      <w:pPr>
        <w:pStyle w:val="13"/>
      </w:pPr>
      <w:r w:rsidRPr="00453314">
        <w:t>«Исполнено с начала года» заполняется на основе данных оперативного отчета о кассовых поступлениях и выплатах федерального бюджета (F_GKFB_I);</w:t>
      </w:r>
    </w:p>
    <w:p w:rsidR="000E18B7" w:rsidRPr="00453314" w:rsidRDefault="000E18B7" w:rsidP="00EB1C8C">
      <w:pPr>
        <w:pStyle w:val="13"/>
      </w:pPr>
      <w:r w:rsidRPr="00453314">
        <w:t>«% исполнения ФЗ с начала года» рассчитывается как отношение показателей «Исполнено с начала года» и «Закон о федеральном бюджете», умноженное на 100%;</w:t>
      </w:r>
    </w:p>
    <w:p w:rsidR="000E18B7" w:rsidRPr="00453314" w:rsidRDefault="000E18B7" w:rsidP="00EB1C8C">
      <w:pPr>
        <w:pStyle w:val="13"/>
      </w:pPr>
      <w:r w:rsidRPr="00453314">
        <w:t>«Ожидаемое к исполнению до конца года по данным ФЗ» рассчитывается как разница между показателями «Закон о федеральном бюджете» и «Исполнено с начала года»;</w:t>
      </w:r>
    </w:p>
    <w:p w:rsidR="000E18B7" w:rsidRPr="00453314" w:rsidRDefault="000E18B7" w:rsidP="00EB1C8C">
      <w:pPr>
        <w:pStyle w:val="13"/>
      </w:pPr>
      <w:r w:rsidRPr="00453314">
        <w:t>«Ожидаемое к исполнению до конца года по данным ГАДБ» рассчитывается как разница между показателями «Прогноз ГАДБ на год» и «Исполнено с начала года».</w:t>
      </w:r>
    </w:p>
    <w:p w:rsidR="000E18B7" w:rsidRPr="00206C4C" w:rsidRDefault="000E18B7" w:rsidP="000E18B7">
      <w:pPr>
        <w:pStyle w:val="af0"/>
        <w:rPr>
          <w:szCs w:val="28"/>
        </w:rPr>
      </w:pPr>
      <w:r w:rsidRPr="00206C4C">
        <w:rPr>
          <w:rFonts w:eastAsia="Calibri"/>
        </w:rPr>
        <w:t xml:space="preserve">Под таблицей располагается </w:t>
      </w:r>
      <w:r w:rsidRPr="00206C4C">
        <w:rPr>
          <w:szCs w:val="28"/>
        </w:rPr>
        <w:t xml:space="preserve">инструмент формирования прогнозных величин (калькулятор нефтегазовых доходов), который представлен на рисунке </w:t>
      </w:r>
      <w:r w:rsidRPr="00206C4C">
        <w:rPr>
          <w:szCs w:val="28"/>
        </w:rPr>
        <w:fldChar w:fldCharType="begin"/>
      </w:r>
      <w:r w:rsidRPr="00206C4C">
        <w:rPr>
          <w:szCs w:val="28"/>
        </w:rPr>
        <w:instrText xml:space="preserve"> REF _Ref18842723 \h  \* MERGEFORMAT </w:instrText>
      </w:r>
      <w:r w:rsidRPr="00206C4C">
        <w:rPr>
          <w:szCs w:val="28"/>
        </w:rPr>
      </w:r>
      <w:r w:rsidRPr="00206C4C">
        <w:rPr>
          <w:szCs w:val="28"/>
        </w:rPr>
        <w:fldChar w:fldCharType="separate"/>
      </w:r>
      <w:r w:rsidR="00BF0BEE">
        <w:rPr>
          <w:noProof/>
          <w:szCs w:val="28"/>
        </w:rPr>
        <w:t>116</w:t>
      </w:r>
      <w:r w:rsidRPr="00206C4C">
        <w:rPr>
          <w:szCs w:val="28"/>
        </w:rPr>
        <w:fldChar w:fldCharType="end"/>
      </w:r>
      <w:r w:rsidRPr="00206C4C">
        <w:rPr>
          <w:szCs w:val="28"/>
        </w:rPr>
        <w:t>.</w:t>
      </w:r>
    </w:p>
    <w:p w:rsidR="000E18B7" w:rsidRPr="00206C4C" w:rsidRDefault="000E18B7" w:rsidP="000E18B7">
      <w:pPr>
        <w:pStyle w:val="afffff7"/>
        <w:keepNext/>
      </w:pPr>
      <w:r w:rsidRPr="00206C4C">
        <w:rPr>
          <w:noProof/>
          <w:lang w:eastAsia="ru-RU"/>
        </w:rPr>
        <w:drawing>
          <wp:inline distT="0" distB="0" distL="0" distR="0" wp14:anchorId="664F8816" wp14:editId="1424B240">
            <wp:extent cx="5939790" cy="3011276"/>
            <wp:effectExtent l="0" t="0" r="3810" b="0"/>
            <wp:docPr id="5799" name="Рисунок 5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2" cstate="print">
                      <a:extLst>
                        <a:ext uri="{28A0092B-C50C-407E-A947-70E740481C1C}">
                          <a14:useLocalDpi xmlns:a14="http://schemas.microsoft.com/office/drawing/2010/main" val="0"/>
                        </a:ext>
                      </a:extLst>
                    </a:blip>
                    <a:srcRect t="6407"/>
                    <a:stretch>
                      <a:fillRect/>
                    </a:stretch>
                  </pic:blipFill>
                  <pic:spPr bwMode="auto">
                    <a:xfrm>
                      <a:off x="0" y="0"/>
                      <a:ext cx="5939790" cy="3011276"/>
                    </a:xfrm>
                    <a:prstGeom prst="rect">
                      <a:avLst/>
                    </a:prstGeom>
                    <a:noFill/>
                    <a:ln>
                      <a:noFill/>
                    </a:ln>
                  </pic:spPr>
                </pic:pic>
              </a:graphicData>
            </a:graphic>
          </wp:inline>
        </w:drawing>
      </w:r>
    </w:p>
    <w:p w:rsidR="000E18B7" w:rsidRPr="00206C4C" w:rsidRDefault="000E18B7" w:rsidP="000E18B7">
      <w:pPr>
        <w:pStyle w:val="-0"/>
        <w:rPr>
          <w:szCs w:val="28"/>
        </w:rPr>
      </w:pPr>
      <w:bookmarkStart w:id="393" w:name="_Toc37845509"/>
      <w:bookmarkStart w:id="394" w:name="_Toc69290304"/>
      <w:bookmarkStart w:id="395" w:name="_Toc69980103"/>
      <w:bookmarkStart w:id="396" w:name="_Toc119584303"/>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397" w:name="_Ref18842723"/>
      <w:r w:rsidR="001860A9">
        <w:rPr>
          <w:noProof/>
          <w:szCs w:val="28"/>
        </w:rPr>
        <w:t>116</w:t>
      </w:r>
      <w:bookmarkEnd w:id="397"/>
      <w:r w:rsidRPr="00206C4C">
        <w:rPr>
          <w:szCs w:val="28"/>
        </w:rPr>
        <w:fldChar w:fldCharType="end"/>
      </w:r>
      <w:r w:rsidRPr="00206C4C">
        <w:rPr>
          <w:szCs w:val="28"/>
        </w:rPr>
        <w:t xml:space="preserve"> – </w:t>
      </w:r>
      <w:r w:rsidRPr="00206C4C">
        <w:rPr>
          <w:rStyle w:val="af1"/>
        </w:rPr>
        <w:t>Макет отчета «Калькулятор нефтегазовых доходов». Представление «Таблица». Расчетный инструментарий</w:t>
      </w:r>
      <w:bookmarkEnd w:id="393"/>
      <w:bookmarkEnd w:id="394"/>
      <w:bookmarkEnd w:id="395"/>
      <w:bookmarkEnd w:id="396"/>
    </w:p>
    <w:p w:rsidR="000E18B7" w:rsidRPr="00206C4C" w:rsidRDefault="000E18B7" w:rsidP="000E18B7">
      <w:pPr>
        <w:pStyle w:val="af0"/>
        <w:rPr>
          <w:szCs w:val="28"/>
        </w:rPr>
      </w:pPr>
      <w:r w:rsidRPr="00206C4C">
        <w:rPr>
          <w:szCs w:val="28"/>
        </w:rPr>
        <w:t>Калькулятор состоит из трех частей: справочной, основной и дополнительной.</w:t>
      </w:r>
    </w:p>
    <w:p w:rsidR="000E18B7" w:rsidRPr="00206C4C" w:rsidRDefault="000E18B7" w:rsidP="000E18B7">
      <w:pPr>
        <w:pStyle w:val="af0"/>
        <w:rPr>
          <w:szCs w:val="28"/>
        </w:rPr>
      </w:pPr>
      <w:r w:rsidRPr="00206C4C">
        <w:rPr>
          <w:szCs w:val="28"/>
        </w:rPr>
        <w:t xml:space="preserve">В справочной части отображаются прогнозные и фактические значения курса доллара и стоимости нефти, </w:t>
      </w:r>
      <w:r w:rsidRPr="00206C4C">
        <w:rPr>
          <w:rFonts w:eastAsia="Calibri"/>
        </w:rPr>
        <w:t>которые заполняются отдельными сценариями загрузки:</w:t>
      </w:r>
    </w:p>
    <w:p w:rsidR="000E18B7" w:rsidRPr="00F22AAD" w:rsidRDefault="000E18B7" w:rsidP="00EB1C8C">
      <w:pPr>
        <w:pStyle w:val="13"/>
      </w:pPr>
      <w:r w:rsidRPr="00F22AAD">
        <w:t>«Прогноз на текущий год по данным ФЗ» заполняется на основе данных пояснительной записки к проекту ФЗ о федеральном бюджете (F_KNGD_FORECASTFZ);</w:t>
      </w:r>
    </w:p>
    <w:p w:rsidR="000E18B7" w:rsidRPr="00F22AAD" w:rsidRDefault="000E18B7" w:rsidP="00EB1C8C">
      <w:pPr>
        <w:pStyle w:val="13"/>
      </w:pPr>
      <w:r w:rsidRPr="00F22AAD">
        <w:t>«Прогноз аналитиков на текущий год» заполняется на основе данных открытых информационных ресурсов (F_KNGD_FORECASTANALYST);</w:t>
      </w:r>
    </w:p>
    <w:p w:rsidR="000E18B7" w:rsidRPr="00206C4C" w:rsidRDefault="000E18B7" w:rsidP="00EB1C8C">
      <w:pPr>
        <w:pStyle w:val="13"/>
      </w:pPr>
      <w:r w:rsidRPr="00F22AAD">
        <w:t>«Показатели на текущую дату» заполняется на основе ежедневной информации о курсе доллара и стоимости нефти</w:t>
      </w:r>
      <w:r w:rsidRPr="00206C4C">
        <w:t xml:space="preserve"> (</w:t>
      </w:r>
      <w:r w:rsidRPr="00206C4C">
        <w:rPr>
          <w:lang w:val="en-US"/>
        </w:rPr>
        <w:t>F</w:t>
      </w:r>
      <w:r w:rsidRPr="00206C4C">
        <w:t>_</w:t>
      </w:r>
      <w:r w:rsidRPr="00206C4C">
        <w:rPr>
          <w:lang w:val="en-US"/>
        </w:rPr>
        <w:t>FK</w:t>
      </w:r>
      <w:r w:rsidRPr="00206C4C">
        <w:t>_</w:t>
      </w:r>
      <w:r w:rsidRPr="00206C4C">
        <w:rPr>
          <w:lang w:val="en-US"/>
        </w:rPr>
        <w:t>INFONDPI</w:t>
      </w:r>
      <w:r w:rsidRPr="00206C4C">
        <w:t>).</w:t>
      </w:r>
    </w:p>
    <w:p w:rsidR="000E18B7" w:rsidRPr="00206C4C" w:rsidRDefault="000E18B7" w:rsidP="000E18B7">
      <w:pPr>
        <w:pStyle w:val="af0"/>
      </w:pPr>
      <w:r w:rsidRPr="00206C4C">
        <w:t xml:space="preserve">В основной части калькулятора расположены ячейки для ввода значений курса доллара и стоимости нефти (подсвечиваются голубым), как показано на рисунке </w:t>
      </w:r>
      <w:r w:rsidR="00F22AAD">
        <w:fldChar w:fldCharType="begin"/>
      </w:r>
      <w:r w:rsidR="00F22AAD">
        <w:instrText xml:space="preserve"> REF _Ref18843173 \h </w:instrText>
      </w:r>
      <w:r w:rsidR="00F22AAD">
        <w:fldChar w:fldCharType="separate"/>
      </w:r>
      <w:r w:rsidR="00BF0BEE">
        <w:rPr>
          <w:noProof/>
        </w:rPr>
        <w:t>117</w:t>
      </w:r>
      <w:r w:rsidR="00F22AAD">
        <w:fldChar w:fldCharType="end"/>
      </w:r>
      <w:r w:rsidRPr="00206C4C">
        <w:t>.</w:t>
      </w:r>
    </w:p>
    <w:p w:rsidR="000E18B7" w:rsidRPr="00206C4C" w:rsidRDefault="000E18B7" w:rsidP="000E18B7">
      <w:pPr>
        <w:pStyle w:val="afffff7"/>
        <w:keepNext/>
      </w:pPr>
      <w:r w:rsidRPr="00206C4C">
        <w:rPr>
          <w:noProof/>
          <w:lang w:eastAsia="ru-RU"/>
        </w:rPr>
        <w:drawing>
          <wp:inline distT="0" distB="0" distL="0" distR="0" wp14:anchorId="5ED6F732" wp14:editId="77D630F9">
            <wp:extent cx="5939790" cy="219470"/>
            <wp:effectExtent l="0" t="0" r="0" b="9525"/>
            <wp:docPr id="5806" name="Рисунок 5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5939790" cy="219470"/>
                    </a:xfrm>
                    <a:prstGeom prst="rect">
                      <a:avLst/>
                    </a:prstGeom>
                  </pic:spPr>
                </pic:pic>
              </a:graphicData>
            </a:graphic>
          </wp:inline>
        </w:drawing>
      </w:r>
    </w:p>
    <w:p w:rsidR="000E18B7" w:rsidRPr="00206C4C" w:rsidRDefault="000E18B7" w:rsidP="00F22AAD">
      <w:pPr>
        <w:pStyle w:val="-0"/>
      </w:pPr>
      <w:r w:rsidRPr="00206C4C">
        <w:t xml:space="preserve"> </w:t>
      </w:r>
      <w:bookmarkStart w:id="398" w:name="_Toc37845510"/>
      <w:bookmarkStart w:id="399" w:name="_Toc69290305"/>
      <w:bookmarkStart w:id="400" w:name="_Toc69980104"/>
      <w:bookmarkStart w:id="401" w:name="_Toc119584304"/>
      <w:r w:rsidRPr="00206C4C">
        <w:t xml:space="preserve">Рисунок </w:t>
      </w:r>
      <w:fldSimple w:instr=" SEQ Рисунок \* ARABIC ">
        <w:bookmarkStart w:id="402" w:name="_Ref18843173"/>
        <w:r w:rsidR="001860A9">
          <w:rPr>
            <w:noProof/>
          </w:rPr>
          <w:t>117</w:t>
        </w:r>
        <w:bookmarkEnd w:id="402"/>
      </w:fldSimple>
      <w:r w:rsidRPr="00206C4C">
        <w:t xml:space="preserve"> – </w:t>
      </w:r>
      <w:r w:rsidRPr="00206C4C">
        <w:rPr>
          <w:rStyle w:val="af1"/>
        </w:rPr>
        <w:t xml:space="preserve">Отчет «Калькулятор </w:t>
      </w:r>
      <w:r w:rsidRPr="00F22AAD">
        <w:rPr>
          <w:rStyle w:val="af1"/>
          <w:snapToGrid w:val="0"/>
        </w:rPr>
        <w:t>нефтегазовых</w:t>
      </w:r>
      <w:r w:rsidRPr="00206C4C">
        <w:rPr>
          <w:rStyle w:val="af1"/>
        </w:rPr>
        <w:t xml:space="preserve"> доходов». Представление «Таблица». </w:t>
      </w:r>
      <w:r w:rsidRPr="00206C4C">
        <w:t>Ячейки для ввода значений курса доллара и стоимости нефти</w:t>
      </w:r>
      <w:bookmarkEnd w:id="398"/>
      <w:bookmarkEnd w:id="399"/>
      <w:bookmarkEnd w:id="400"/>
      <w:bookmarkEnd w:id="401"/>
      <w:r w:rsidRPr="00206C4C">
        <w:rPr>
          <w:rStyle w:val="af1"/>
        </w:rPr>
        <w:t xml:space="preserve"> </w:t>
      </w:r>
    </w:p>
    <w:p w:rsidR="000E18B7" w:rsidRPr="00206C4C" w:rsidRDefault="000E18B7" w:rsidP="000E18B7">
      <w:pPr>
        <w:pStyle w:val="af0"/>
      </w:pPr>
      <w:r w:rsidRPr="00206C4C">
        <w:t>В них по умолчанию подставлен курс и цена на нефть по данным ФЗ (F_KNGD_FORECASTFZ), а также результаты вычислений и их абсолютное отклонение от показателей «Закон о федеральном бюджете» и «Прогноз ГАДБ на год».</w:t>
      </w:r>
    </w:p>
    <w:p w:rsidR="000E18B7" w:rsidRPr="00206C4C" w:rsidRDefault="000E18B7" w:rsidP="000E18B7">
      <w:pPr>
        <w:pStyle w:val="af0"/>
        <w:rPr>
          <w:szCs w:val="28"/>
        </w:rPr>
      </w:pPr>
      <w:r w:rsidRPr="00206C4C">
        <w:rPr>
          <w:szCs w:val="28"/>
        </w:rPr>
        <w:t>В дополнительной части калькулятора (скрыта по умолчанию и раскрывается с помощью кнопки «Развернуть») отображаются результаты расчета налоговых ставок и ставок пошлин, объемов добычи и экспорта, а также прогнозы поступлений по отдельным видам НДПИ и экспортных пошлин. Для показателей объема добычи и экспорта, а также налоговых ставок и ставок пошлины обеспечена возможность ручной коррекции значений (ячейки подсвечиваются голубым).</w:t>
      </w:r>
    </w:p>
    <w:p w:rsidR="000E18B7" w:rsidRPr="00206C4C" w:rsidRDefault="000E18B7" w:rsidP="000E18B7">
      <w:pPr>
        <w:pStyle w:val="af0"/>
        <w:rPr>
          <w:szCs w:val="28"/>
        </w:rPr>
      </w:pPr>
      <w:r w:rsidRPr="00206C4C">
        <w:rPr>
          <w:szCs w:val="28"/>
        </w:rPr>
        <w:t>Показатели в калькуляторе нефтегазовых доходов рассчитываться с помощью специального алгоритма, разработанного на основе нормативных документов, регламентирующих расчет нефтегазовых доходов Федерального бюджета.</w:t>
      </w:r>
    </w:p>
    <w:p w:rsidR="000E18B7" w:rsidRPr="00206C4C" w:rsidRDefault="000E18B7" w:rsidP="00F22AAD">
      <w:pPr>
        <w:pStyle w:val="42"/>
        <w:ind w:left="284"/>
        <w:jc w:val="left"/>
      </w:pPr>
      <w:r w:rsidRPr="00206C4C">
        <w:rPr>
          <w:snapToGrid/>
        </w:rPr>
        <w:t>Представление «Сценарий колебаний фондового рынка</w:t>
      </w:r>
      <w:r w:rsidRPr="00206C4C">
        <w:t>»</w:t>
      </w:r>
    </w:p>
    <w:p w:rsidR="000E18B7" w:rsidRPr="00206C4C" w:rsidRDefault="000E18B7" w:rsidP="000E18B7">
      <w:pPr>
        <w:pStyle w:val="af0"/>
        <w:rPr>
          <w:szCs w:val="28"/>
        </w:rPr>
      </w:pPr>
      <w:r w:rsidRPr="00206C4C">
        <w:rPr>
          <w:szCs w:val="28"/>
        </w:rPr>
        <w:t>Представление «Сценарий колебаний фондового рынка» аналитического отчета «Калькулятор нефтегазовых доходов» отображает значения ожидаемых поступлений НДПИ (нефть) до конца года при колебаниях показателей курса доллара и стоимости нефти (Рисунок</w:t>
      </w:r>
      <w:r w:rsidR="00F22AAD">
        <w:rPr>
          <w:szCs w:val="28"/>
        </w:rPr>
        <w:t xml:space="preserve"> </w:t>
      </w:r>
      <w:r w:rsidR="00F22AAD">
        <w:rPr>
          <w:szCs w:val="28"/>
        </w:rPr>
        <w:fldChar w:fldCharType="begin"/>
      </w:r>
      <w:r w:rsidR="00F22AAD">
        <w:rPr>
          <w:szCs w:val="28"/>
        </w:rPr>
        <w:instrText xml:space="preserve"> REF _Ref18843768 \h </w:instrText>
      </w:r>
      <w:r w:rsidR="00F22AAD">
        <w:rPr>
          <w:szCs w:val="28"/>
        </w:rPr>
      </w:r>
      <w:r w:rsidR="00F22AAD">
        <w:rPr>
          <w:szCs w:val="28"/>
        </w:rPr>
        <w:fldChar w:fldCharType="separate"/>
      </w:r>
      <w:r w:rsidR="00BF0BEE">
        <w:rPr>
          <w:noProof/>
          <w:szCs w:val="28"/>
        </w:rPr>
        <w:t>118</w:t>
      </w:r>
      <w:r w:rsidR="00F22AAD">
        <w:rPr>
          <w:szCs w:val="28"/>
        </w:rPr>
        <w:fldChar w:fldCharType="end"/>
      </w:r>
      <w:r w:rsidRPr="00206C4C">
        <w:rPr>
          <w:szCs w:val="28"/>
        </w:rPr>
        <w:t>).</w:t>
      </w:r>
    </w:p>
    <w:p w:rsidR="000E18B7" w:rsidRPr="00206C4C" w:rsidRDefault="000E18B7" w:rsidP="000E18B7">
      <w:pPr>
        <w:pStyle w:val="afffff7"/>
        <w:keepNext/>
      </w:pPr>
      <w:r w:rsidRPr="00206C4C">
        <w:rPr>
          <w:noProof/>
          <w:lang w:eastAsia="ru-RU"/>
        </w:rPr>
        <w:drawing>
          <wp:inline distT="0" distB="0" distL="0" distR="0" wp14:anchorId="6F21AB4D" wp14:editId="79B5AA12">
            <wp:extent cx="5939790" cy="3011276"/>
            <wp:effectExtent l="0" t="0" r="3810" b="0"/>
            <wp:docPr id="5807" name="Рисунок 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94" cstate="print">
                      <a:extLst>
                        <a:ext uri="{28A0092B-C50C-407E-A947-70E740481C1C}">
                          <a14:useLocalDpi xmlns:a14="http://schemas.microsoft.com/office/drawing/2010/main" val="0"/>
                        </a:ext>
                      </a:extLst>
                    </a:blip>
                    <a:srcRect t="6407"/>
                    <a:stretch>
                      <a:fillRect/>
                    </a:stretch>
                  </pic:blipFill>
                  <pic:spPr bwMode="auto">
                    <a:xfrm>
                      <a:off x="0" y="0"/>
                      <a:ext cx="5939790" cy="3011276"/>
                    </a:xfrm>
                    <a:prstGeom prst="rect">
                      <a:avLst/>
                    </a:prstGeom>
                    <a:noFill/>
                    <a:ln>
                      <a:noFill/>
                    </a:ln>
                  </pic:spPr>
                </pic:pic>
              </a:graphicData>
            </a:graphic>
          </wp:inline>
        </w:drawing>
      </w:r>
    </w:p>
    <w:p w:rsidR="000E18B7" w:rsidRPr="00206C4C" w:rsidRDefault="000E18B7" w:rsidP="00F22AAD">
      <w:pPr>
        <w:pStyle w:val="-0"/>
        <w:rPr>
          <w:szCs w:val="28"/>
        </w:rPr>
      </w:pPr>
      <w:bookmarkStart w:id="403" w:name="_Toc37845511"/>
      <w:bookmarkStart w:id="404" w:name="_Toc69290306"/>
      <w:bookmarkStart w:id="405" w:name="_Toc69980105"/>
      <w:bookmarkStart w:id="406" w:name="_Toc119584305"/>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407" w:name="_Ref18843768"/>
      <w:r w:rsidR="001860A9">
        <w:rPr>
          <w:noProof/>
          <w:szCs w:val="28"/>
        </w:rPr>
        <w:t>118</w:t>
      </w:r>
      <w:bookmarkEnd w:id="407"/>
      <w:r w:rsidRPr="00206C4C">
        <w:rPr>
          <w:szCs w:val="28"/>
        </w:rPr>
        <w:fldChar w:fldCharType="end"/>
      </w:r>
      <w:r w:rsidRPr="00206C4C">
        <w:rPr>
          <w:szCs w:val="28"/>
        </w:rPr>
        <w:t xml:space="preserve"> – </w:t>
      </w:r>
      <w:r w:rsidRPr="00206C4C">
        <w:rPr>
          <w:rStyle w:val="af1"/>
        </w:rPr>
        <w:t>Макет отчета «Калькулятор нефтегазовых доходов». Представление «Сценарий колебаний фондового рынка»</w:t>
      </w:r>
      <w:bookmarkEnd w:id="403"/>
      <w:bookmarkEnd w:id="404"/>
      <w:bookmarkEnd w:id="405"/>
      <w:bookmarkEnd w:id="406"/>
    </w:p>
    <w:p w:rsidR="000E18B7" w:rsidRPr="00206C4C" w:rsidRDefault="000E18B7" w:rsidP="000E18B7">
      <w:pPr>
        <w:pStyle w:val="af0"/>
        <w:rPr>
          <w:szCs w:val="28"/>
        </w:rPr>
      </w:pPr>
      <w:r w:rsidRPr="00206C4C">
        <w:rPr>
          <w:szCs w:val="28"/>
        </w:rPr>
        <w:t>В представлении выводится:</w:t>
      </w:r>
    </w:p>
    <w:p w:rsidR="000E18B7" w:rsidRPr="00453314" w:rsidRDefault="000E18B7" w:rsidP="00EB1C8C">
      <w:pPr>
        <w:pStyle w:val="13"/>
      </w:pPr>
      <w:r w:rsidRPr="00453314">
        <w:t>«Коэффициент отношения цены за баррель нефти марки Brent/Urals» устанавливается по умолчанию в размере 0,92. Обеспечена возможность ручной корректировки значения коэффициента;</w:t>
      </w:r>
    </w:p>
    <w:p w:rsidR="000E18B7" w:rsidRPr="00453314" w:rsidRDefault="000E18B7" w:rsidP="00EB1C8C">
      <w:pPr>
        <w:pStyle w:val="13"/>
      </w:pPr>
      <w:r w:rsidRPr="00453314">
        <w:t>«Необходимо исполнить по НДПИ до конца года» рассчитывается как разница между показателями  «Закон о федеральном бюджете» и «Исполнено с начала года» в представлении «Таблица»;</w:t>
      </w:r>
    </w:p>
    <w:p w:rsidR="000E18B7" w:rsidRPr="00453314" w:rsidRDefault="000E18B7" w:rsidP="00EB1C8C">
      <w:pPr>
        <w:pStyle w:val="13"/>
      </w:pPr>
      <w:r w:rsidRPr="00453314">
        <w:t>«Плановый дефицит/профицит при текущих условиях» рассчитывается как разница между полученным показателем ожидаемого поступления по НДПИ (при текущих условиях курса доллара и стоимости нефти) и показателем «Необходимо исполнить по НДПИ до конца года»;</w:t>
      </w:r>
    </w:p>
    <w:p w:rsidR="000E18B7" w:rsidRPr="00453314" w:rsidRDefault="000E18B7" w:rsidP="00EB1C8C">
      <w:pPr>
        <w:pStyle w:val="13"/>
      </w:pPr>
      <w:r w:rsidRPr="00453314">
        <w:t>«Прогноз добычи нефти (налогооблагаемой)» рассчитывается оставшийся объем добычи нефти до конца текущего года с учетом показателя «Налогооблагаемый объем добычи нефти на год» из пояснительной записки к проекту ФЗ о федеральном бюджете (с учетом дисконта 10% и сроков уплаты налога);</w:t>
      </w:r>
    </w:p>
    <w:p w:rsidR="000E18B7" w:rsidRPr="00453314" w:rsidRDefault="000E18B7" w:rsidP="00EB1C8C">
      <w:pPr>
        <w:pStyle w:val="13"/>
      </w:pPr>
      <w:r w:rsidRPr="00453314">
        <w:t>«Курс доллара США к рублю» заполняется на основе официального курса Центрального банка Российской Федерации (Банка России) на текущую дату (F_FK_INFONDPI);</w:t>
      </w:r>
    </w:p>
    <w:p w:rsidR="000E18B7" w:rsidRPr="00453314" w:rsidRDefault="000E18B7" w:rsidP="00EB1C8C">
      <w:pPr>
        <w:pStyle w:val="13"/>
      </w:pPr>
      <w:r w:rsidRPr="00453314">
        <w:t>«Цена за баррель нефти марки Brent» заполняется на основе биржевого курса цены на нефть марки Brent, установленного по итогам торгов за день (F_FK_INFONDPI):</w:t>
      </w:r>
    </w:p>
    <w:p w:rsidR="000E18B7" w:rsidRPr="00206C4C" w:rsidRDefault="000E18B7" w:rsidP="00EB1C8C">
      <w:pPr>
        <w:pStyle w:val="13"/>
      </w:pPr>
      <w:r w:rsidRPr="00453314">
        <w:t>«Цена за баррель нефти марки Urals» рассчитывается как произведение показателей «Цена за баррель нефти</w:t>
      </w:r>
      <w:r w:rsidRPr="00206C4C">
        <w:t xml:space="preserve"> марки Brent» и «Коэффициент отношения цены за баррель нефти марки Brent/Urals»;</w:t>
      </w:r>
    </w:p>
    <w:p w:rsidR="000E18B7" w:rsidRPr="00206C4C" w:rsidRDefault="000E18B7" w:rsidP="000E18B7">
      <w:pPr>
        <w:pStyle w:val="af0"/>
        <w:spacing w:before="60"/>
        <w:ind w:left="567" w:firstLine="0"/>
        <w:rPr>
          <w:rFonts w:eastAsia="Calibri"/>
        </w:rPr>
      </w:pPr>
      <w:r w:rsidRPr="00206C4C">
        <w:rPr>
          <w:szCs w:val="28"/>
        </w:rPr>
        <w:t>Из представления обеспечены следующие переходы:</w:t>
      </w:r>
    </w:p>
    <w:p w:rsidR="000E18B7" w:rsidRPr="00453314" w:rsidRDefault="000E18B7" w:rsidP="00EB1C8C">
      <w:pPr>
        <w:pStyle w:val="13"/>
      </w:pPr>
      <w:r w:rsidRPr="00453314">
        <w:t>«Курс доллара США к рублю» переход на официальный сайт Центрального банка Российской Федерации (</w:t>
      </w:r>
      <w:hyperlink r:id="rId195" w:history="1">
        <w:r w:rsidRPr="00453314">
          <w:t>http://www.cbr.ru/</w:t>
        </w:r>
      </w:hyperlink>
      <w:r w:rsidRPr="00453314">
        <w:t>);</w:t>
      </w:r>
    </w:p>
    <w:p w:rsidR="000E18B7" w:rsidRPr="00206C4C" w:rsidRDefault="000E18B7" w:rsidP="00EB1C8C">
      <w:pPr>
        <w:pStyle w:val="13"/>
      </w:pPr>
      <w:r w:rsidRPr="00453314">
        <w:t>«Цена за баррель нефти марки Brent» переход на информационный портал Финам.ru</w:t>
      </w:r>
      <w:r w:rsidRPr="00206C4C">
        <w:t xml:space="preserve"> (</w:t>
      </w:r>
      <w:hyperlink r:id="rId196" w:history="1">
        <w:r w:rsidRPr="00206C4C">
          <w:rPr>
            <w:rStyle w:val="af5"/>
          </w:rPr>
          <w:t>https://www.finam.ru/</w:t>
        </w:r>
      </w:hyperlink>
      <w:r w:rsidRPr="00206C4C">
        <w:t>).</w:t>
      </w:r>
    </w:p>
    <w:p w:rsidR="000E18B7" w:rsidRPr="00206C4C" w:rsidRDefault="000E18B7" w:rsidP="000E18B7">
      <w:pPr>
        <w:pStyle w:val="af0"/>
        <w:rPr>
          <w:szCs w:val="28"/>
        </w:rPr>
      </w:pPr>
      <w:r w:rsidRPr="00206C4C">
        <w:t>В табличной форме по горизонтальной оси выводится сценарий колебаний курса доллара (</w:t>
      </w:r>
      <w:r w:rsidRPr="00206C4C">
        <w:rPr>
          <w:lang w:val="en-US"/>
        </w:rPr>
        <w:t>D</w:t>
      </w:r>
      <w:r w:rsidRPr="00206C4C">
        <w:t>_</w:t>
      </w:r>
      <w:r w:rsidRPr="00206C4C">
        <w:rPr>
          <w:lang w:val="en-US"/>
        </w:rPr>
        <w:t>FK</w:t>
      </w:r>
      <w:r w:rsidRPr="00206C4C">
        <w:t>_</w:t>
      </w:r>
      <w:r w:rsidRPr="00206C4C">
        <w:rPr>
          <w:lang w:val="en-US"/>
        </w:rPr>
        <w:t>RATEUSD</w:t>
      </w:r>
      <w:r w:rsidRPr="00206C4C">
        <w:t>), по вертикальной - стоимости нефти (</w:t>
      </w:r>
      <w:r w:rsidRPr="00206C4C">
        <w:rPr>
          <w:lang w:val="en-US"/>
        </w:rPr>
        <w:t>D</w:t>
      </w:r>
      <w:r w:rsidRPr="00206C4C">
        <w:t>_</w:t>
      </w:r>
      <w:r w:rsidRPr="00206C4C">
        <w:rPr>
          <w:lang w:val="en-US"/>
        </w:rPr>
        <w:t>FK</w:t>
      </w:r>
      <w:r w:rsidRPr="00206C4C">
        <w:t>_</w:t>
      </w:r>
      <w:r w:rsidRPr="00206C4C">
        <w:rPr>
          <w:lang w:val="en-US"/>
        </w:rPr>
        <w:t>PRICESOIL</w:t>
      </w:r>
      <w:r w:rsidRPr="00206C4C">
        <w:t>), влияющих на значение ожидаемого исполнения по НДПИ (нефть) до конца года (</w:t>
      </w:r>
      <w:r w:rsidRPr="00206C4C">
        <w:rPr>
          <w:lang w:val="en-US"/>
        </w:rPr>
        <w:t>F</w:t>
      </w:r>
      <w:r w:rsidRPr="00206C4C">
        <w:t>_</w:t>
      </w:r>
      <w:r w:rsidRPr="00206C4C">
        <w:rPr>
          <w:lang w:val="en-US"/>
        </w:rPr>
        <w:t>FK</w:t>
      </w:r>
      <w:r w:rsidRPr="00206C4C">
        <w:t>_</w:t>
      </w:r>
      <w:r w:rsidRPr="00206C4C">
        <w:rPr>
          <w:szCs w:val="28"/>
        </w:rPr>
        <w:t>HESITATION). Значение, рассчитанное при текущих условиях, отдельно подсвечивается.</w:t>
      </w:r>
    </w:p>
    <w:p w:rsidR="000E18B7" w:rsidRPr="00206C4C" w:rsidRDefault="000E18B7" w:rsidP="000E18B7">
      <w:pPr>
        <w:ind w:firstLine="709"/>
        <w:rPr>
          <w:color w:val="auto"/>
          <w:sz w:val="28"/>
        </w:rPr>
      </w:pPr>
      <w:r w:rsidRPr="00206C4C">
        <w:rPr>
          <w:color w:val="auto"/>
          <w:sz w:val="28"/>
        </w:rPr>
        <w:t>Красная и зеленая области в сетке таблицы отражают характер исполнения прогноза бюджета по НДПИ (дефицитность или профицитность бюджета), прямоугольная рамка в сетке таблицы указывает на колебания курса доллара и стоимости нефти за предыдущий год.</w:t>
      </w:r>
    </w:p>
    <w:p w:rsidR="000E18B7" w:rsidRPr="00206C4C" w:rsidRDefault="000E18B7" w:rsidP="00453314">
      <w:pPr>
        <w:pStyle w:val="42"/>
        <w:ind w:left="284"/>
        <w:jc w:val="left"/>
      </w:pPr>
      <w:r w:rsidRPr="00206C4C">
        <w:rPr>
          <w:snapToGrid/>
        </w:rPr>
        <w:t>Представление «Диаграмма</w:t>
      </w:r>
      <w:r w:rsidRPr="00206C4C">
        <w:t>»</w:t>
      </w:r>
    </w:p>
    <w:p w:rsidR="000E18B7" w:rsidRPr="00206C4C" w:rsidRDefault="000E18B7" w:rsidP="000E18B7">
      <w:pPr>
        <w:pStyle w:val="af0"/>
        <w:rPr>
          <w:szCs w:val="28"/>
        </w:rPr>
      </w:pPr>
      <w:r w:rsidRPr="00206C4C">
        <w:rPr>
          <w:szCs w:val="28"/>
        </w:rPr>
        <w:t>Представление «Диаграмма» аналитического отчета «Калькулятор нефтегазовых доходов» отображает ежемесячные значения прогнозных и фактических показателей по исполнению нефтегазовых доходов федерального бюджета дискретно (Рисунок</w:t>
      </w:r>
      <w:r w:rsidR="00453314">
        <w:rPr>
          <w:szCs w:val="28"/>
        </w:rPr>
        <w:t xml:space="preserve"> </w:t>
      </w:r>
      <w:r w:rsidR="00453314">
        <w:rPr>
          <w:szCs w:val="28"/>
        </w:rPr>
        <w:fldChar w:fldCharType="begin"/>
      </w:r>
      <w:r w:rsidR="00453314">
        <w:rPr>
          <w:szCs w:val="28"/>
        </w:rPr>
        <w:instrText xml:space="preserve"> REF _Ref18844128 \h </w:instrText>
      </w:r>
      <w:r w:rsidR="00453314">
        <w:rPr>
          <w:szCs w:val="28"/>
        </w:rPr>
      </w:r>
      <w:r w:rsidR="00453314">
        <w:rPr>
          <w:szCs w:val="28"/>
        </w:rPr>
        <w:fldChar w:fldCharType="separate"/>
      </w:r>
      <w:r w:rsidR="00BF0BEE">
        <w:rPr>
          <w:noProof/>
          <w:szCs w:val="28"/>
        </w:rPr>
        <w:t>119</w:t>
      </w:r>
      <w:r w:rsidR="00453314">
        <w:rPr>
          <w:szCs w:val="28"/>
        </w:rPr>
        <w:fldChar w:fldCharType="end"/>
      </w:r>
      <w:r w:rsidRPr="00206C4C">
        <w:rPr>
          <w:szCs w:val="28"/>
        </w:rPr>
        <w:t>) и нарастающим итогом с начала года (Рисунок</w:t>
      </w:r>
      <w:r w:rsidR="00453314">
        <w:rPr>
          <w:szCs w:val="28"/>
        </w:rPr>
        <w:t xml:space="preserve"> </w:t>
      </w:r>
      <w:r w:rsidR="00453314">
        <w:rPr>
          <w:szCs w:val="28"/>
        </w:rPr>
        <w:fldChar w:fldCharType="begin"/>
      </w:r>
      <w:r w:rsidR="00453314">
        <w:rPr>
          <w:szCs w:val="28"/>
        </w:rPr>
        <w:instrText xml:space="preserve"> REF _Ref18844174 \h </w:instrText>
      </w:r>
      <w:r w:rsidR="00453314">
        <w:rPr>
          <w:szCs w:val="28"/>
        </w:rPr>
      </w:r>
      <w:r w:rsidR="00453314">
        <w:rPr>
          <w:szCs w:val="28"/>
        </w:rPr>
        <w:fldChar w:fldCharType="separate"/>
      </w:r>
      <w:r w:rsidR="00BF0BEE">
        <w:rPr>
          <w:noProof/>
        </w:rPr>
        <w:t>120</w:t>
      </w:r>
      <w:r w:rsidR="00453314">
        <w:rPr>
          <w:szCs w:val="28"/>
        </w:rPr>
        <w:fldChar w:fldCharType="end"/>
      </w:r>
      <w:r w:rsidRPr="00206C4C">
        <w:rPr>
          <w:szCs w:val="28"/>
        </w:rPr>
        <w:t>) по главным администраторам нефтегазовых доходов федерального бюджета (ФТС России и ФНС России).</w:t>
      </w:r>
    </w:p>
    <w:p w:rsidR="000E18B7" w:rsidRPr="00206C4C" w:rsidRDefault="000E18B7" w:rsidP="000E18B7">
      <w:pPr>
        <w:pStyle w:val="afffff7"/>
        <w:keepNext/>
      </w:pPr>
      <w:r w:rsidRPr="00206C4C">
        <w:rPr>
          <w:noProof/>
          <w:lang w:eastAsia="ru-RU"/>
        </w:rPr>
        <w:drawing>
          <wp:inline distT="0" distB="0" distL="0" distR="0" wp14:anchorId="494A738B" wp14:editId="483F70D7">
            <wp:extent cx="5939790" cy="3000512"/>
            <wp:effectExtent l="0" t="0" r="3810" b="9525"/>
            <wp:docPr id="5808" name="Рисунок 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7" cstate="print">
                      <a:extLst>
                        <a:ext uri="{28A0092B-C50C-407E-A947-70E740481C1C}">
                          <a14:useLocalDpi xmlns:a14="http://schemas.microsoft.com/office/drawing/2010/main" val="0"/>
                        </a:ext>
                      </a:extLst>
                    </a:blip>
                    <a:srcRect t="6607"/>
                    <a:stretch>
                      <a:fillRect/>
                    </a:stretch>
                  </pic:blipFill>
                  <pic:spPr bwMode="auto">
                    <a:xfrm>
                      <a:off x="0" y="0"/>
                      <a:ext cx="5939790" cy="3000512"/>
                    </a:xfrm>
                    <a:prstGeom prst="rect">
                      <a:avLst/>
                    </a:prstGeom>
                    <a:noFill/>
                    <a:ln>
                      <a:noFill/>
                    </a:ln>
                  </pic:spPr>
                </pic:pic>
              </a:graphicData>
            </a:graphic>
          </wp:inline>
        </w:drawing>
      </w:r>
    </w:p>
    <w:p w:rsidR="000E18B7" w:rsidRPr="00206C4C" w:rsidRDefault="000E18B7" w:rsidP="000E18B7">
      <w:pPr>
        <w:pStyle w:val="-0"/>
        <w:rPr>
          <w:szCs w:val="28"/>
        </w:rPr>
      </w:pPr>
      <w:bookmarkStart w:id="408" w:name="_Toc37845512"/>
      <w:bookmarkStart w:id="409" w:name="_Toc69290307"/>
      <w:bookmarkStart w:id="410" w:name="_Toc69980106"/>
      <w:bookmarkStart w:id="411" w:name="_Toc119584306"/>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412" w:name="_Ref18844128"/>
      <w:r w:rsidR="001860A9">
        <w:rPr>
          <w:noProof/>
          <w:szCs w:val="28"/>
        </w:rPr>
        <w:t>119</w:t>
      </w:r>
      <w:bookmarkEnd w:id="412"/>
      <w:r w:rsidRPr="00206C4C">
        <w:rPr>
          <w:szCs w:val="28"/>
        </w:rPr>
        <w:fldChar w:fldCharType="end"/>
      </w:r>
      <w:r w:rsidRPr="00206C4C">
        <w:rPr>
          <w:szCs w:val="28"/>
        </w:rPr>
        <w:t xml:space="preserve"> – </w:t>
      </w:r>
      <w:r w:rsidRPr="00206C4C">
        <w:t>Макет отчета «Калькулятор нефтегазовых доходов». Представление «Диаграмма» - «Дискретный»</w:t>
      </w:r>
      <w:bookmarkEnd w:id="408"/>
      <w:bookmarkEnd w:id="409"/>
      <w:bookmarkEnd w:id="410"/>
      <w:bookmarkEnd w:id="411"/>
    </w:p>
    <w:p w:rsidR="000E18B7" w:rsidRPr="00206C4C" w:rsidRDefault="000E18B7" w:rsidP="000E18B7">
      <w:pPr>
        <w:pStyle w:val="afffff7"/>
        <w:rPr>
          <w:szCs w:val="28"/>
        </w:rPr>
      </w:pPr>
    </w:p>
    <w:p w:rsidR="000E18B7" w:rsidRPr="00206C4C" w:rsidRDefault="000E18B7" w:rsidP="000E18B7">
      <w:pPr>
        <w:pStyle w:val="afffff7"/>
        <w:keepNext/>
      </w:pPr>
      <w:r w:rsidRPr="00206C4C">
        <w:rPr>
          <w:noProof/>
          <w:lang w:eastAsia="ru-RU"/>
        </w:rPr>
        <w:drawing>
          <wp:inline distT="0" distB="0" distL="0" distR="0" wp14:anchorId="44D8BDAC" wp14:editId="49F159F5">
            <wp:extent cx="5939790" cy="3006636"/>
            <wp:effectExtent l="0" t="0" r="3810" b="3810"/>
            <wp:docPr id="5809" name="Рисунок 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8" cstate="print">
                      <a:extLst>
                        <a:ext uri="{28A0092B-C50C-407E-A947-70E740481C1C}">
                          <a14:useLocalDpi xmlns:a14="http://schemas.microsoft.com/office/drawing/2010/main" val="0"/>
                        </a:ext>
                      </a:extLst>
                    </a:blip>
                    <a:srcRect t="6392"/>
                    <a:stretch>
                      <a:fillRect/>
                    </a:stretch>
                  </pic:blipFill>
                  <pic:spPr bwMode="auto">
                    <a:xfrm>
                      <a:off x="0" y="0"/>
                      <a:ext cx="5939790" cy="3006636"/>
                    </a:xfrm>
                    <a:prstGeom prst="rect">
                      <a:avLst/>
                    </a:prstGeom>
                    <a:noFill/>
                    <a:ln>
                      <a:noFill/>
                    </a:ln>
                  </pic:spPr>
                </pic:pic>
              </a:graphicData>
            </a:graphic>
          </wp:inline>
        </w:drawing>
      </w:r>
    </w:p>
    <w:p w:rsidR="000E18B7" w:rsidRPr="00206C4C" w:rsidRDefault="000E18B7" w:rsidP="000E18B7">
      <w:pPr>
        <w:pStyle w:val="-0"/>
      </w:pPr>
      <w:bookmarkStart w:id="413" w:name="_Toc37845513"/>
      <w:bookmarkStart w:id="414" w:name="_Toc69290308"/>
      <w:bookmarkStart w:id="415" w:name="_Toc69980107"/>
      <w:bookmarkStart w:id="416" w:name="_Toc119584307"/>
      <w:r w:rsidRPr="00206C4C">
        <w:t xml:space="preserve">Рисунок </w:t>
      </w:r>
      <w:fldSimple w:instr=" SEQ Рисунок \* ARABIC ">
        <w:bookmarkStart w:id="417" w:name="_Ref18844174"/>
        <w:r w:rsidR="001860A9">
          <w:rPr>
            <w:noProof/>
          </w:rPr>
          <w:t>120</w:t>
        </w:r>
        <w:bookmarkEnd w:id="417"/>
      </w:fldSimple>
      <w:r w:rsidRPr="00206C4C">
        <w:t xml:space="preserve"> – Макет отчета «Калькулятор нефтегазовых доходов». Представление «Диаграмма» - «С начала года»</w:t>
      </w:r>
      <w:bookmarkEnd w:id="413"/>
      <w:bookmarkEnd w:id="414"/>
      <w:bookmarkEnd w:id="415"/>
      <w:bookmarkEnd w:id="416"/>
    </w:p>
    <w:p w:rsidR="000E18B7" w:rsidRPr="00206C4C" w:rsidRDefault="000E18B7" w:rsidP="000E18B7">
      <w:pPr>
        <w:pStyle w:val="af0"/>
        <w:rPr>
          <w:szCs w:val="28"/>
        </w:rPr>
      </w:pPr>
      <w:r w:rsidRPr="00206C4C">
        <w:rPr>
          <w:szCs w:val="28"/>
        </w:rPr>
        <w:t>Параметры представления:</w:t>
      </w:r>
    </w:p>
    <w:p w:rsidR="000E18B7" w:rsidRPr="005A31D7" w:rsidRDefault="000E18B7" w:rsidP="00EB1C8C">
      <w:pPr>
        <w:pStyle w:val="13"/>
      </w:pPr>
      <w:r w:rsidRPr="005A31D7">
        <w:t>Год: выпадающий список с выбором года отображаемых данных. По умолчанию отображается текущий год.</w:t>
      </w:r>
    </w:p>
    <w:p w:rsidR="000E18B7" w:rsidRPr="005A31D7" w:rsidRDefault="000E18B7" w:rsidP="00EB1C8C">
      <w:pPr>
        <w:pStyle w:val="13"/>
      </w:pPr>
      <w:r w:rsidRPr="005A31D7">
        <w:t>Месяц: выпадающий список с выбором месяца отображаемых данных. По умолчанию отображается текущий месяц.</w:t>
      </w:r>
    </w:p>
    <w:p w:rsidR="000E18B7" w:rsidRPr="005A31D7" w:rsidRDefault="000E18B7" w:rsidP="00EB1C8C">
      <w:pPr>
        <w:pStyle w:val="13"/>
      </w:pPr>
      <w:r w:rsidRPr="005A31D7">
        <w:t>ГАДБ: выпадающий список с множественным выбором главного администратора нефтегазовых доходов федерального бюджета. Формируется на основании справочника D_KSPL_KVSR. По умолчанию отображается значение «Все (ФТС+ФНС)»;</w:t>
      </w:r>
    </w:p>
    <w:p w:rsidR="000E18B7" w:rsidRPr="005A31D7" w:rsidRDefault="000E18B7" w:rsidP="00EB1C8C">
      <w:pPr>
        <w:pStyle w:val="13"/>
      </w:pPr>
      <w:r w:rsidRPr="005A31D7">
        <w:t>Источники доходов: выпадающий иерархический список кодов  нефтегазовых доход федерального бюджета. Формируется на основании справочника D_KSPL_KD. По умолчанию отображается значение «Все (нефтегазовые)»;</w:t>
      </w:r>
    </w:p>
    <w:p w:rsidR="000E18B7" w:rsidRPr="00206C4C" w:rsidRDefault="000E18B7" w:rsidP="00EB1C8C">
      <w:pPr>
        <w:pStyle w:val="13"/>
      </w:pPr>
      <w:r w:rsidRPr="005A31D7">
        <w:t>Единицы измерения: выпадающий список с выбором единиц измерения. Состоит</w:t>
      </w:r>
      <w:r w:rsidRPr="00206C4C">
        <w:t xml:space="preserve"> из элементов: руб., тыс. руб., млн руб., млрд руб.</w:t>
      </w:r>
    </w:p>
    <w:p w:rsidR="000E18B7" w:rsidRPr="00206C4C" w:rsidRDefault="000E18B7" w:rsidP="000E18B7">
      <w:pPr>
        <w:pStyle w:val="af0"/>
        <w:rPr>
          <w:rFonts w:eastAsia="Calibri"/>
        </w:rPr>
      </w:pPr>
      <w:r w:rsidRPr="00206C4C">
        <w:rPr>
          <w:rFonts w:eastAsia="Calibri"/>
        </w:rPr>
        <w:t>Показатели в диаграмме формируются на основе таблиц в базе данных, которые заполняются отдельными сценариями загрузки:</w:t>
      </w:r>
    </w:p>
    <w:p w:rsidR="000E18B7" w:rsidRPr="005A31D7" w:rsidRDefault="000E18B7" w:rsidP="00EB1C8C">
      <w:pPr>
        <w:pStyle w:val="13"/>
      </w:pPr>
      <w:r w:rsidRPr="005A31D7">
        <w:t>«Закон о федеральном бюджете» заполняется на основе данных ф. 0501031 (F_KSPL_I);</w:t>
      </w:r>
    </w:p>
    <w:p w:rsidR="000E18B7" w:rsidRPr="005A31D7" w:rsidRDefault="000E18B7" w:rsidP="00EB1C8C">
      <w:pPr>
        <w:pStyle w:val="13"/>
      </w:pPr>
      <w:r w:rsidRPr="005A31D7">
        <w:t>«Уточненный прогноз ГАДБ (факт)», «Уточненный прогноз ГАДБ (план)» и «Прогноз ГАДБ (дискретный)» заполняются на основе данных ф. 0501083 (F_KSPL_I);</w:t>
      </w:r>
    </w:p>
    <w:p w:rsidR="000E18B7" w:rsidRPr="005A31D7" w:rsidRDefault="000E18B7" w:rsidP="00EB1C8C">
      <w:pPr>
        <w:pStyle w:val="13"/>
      </w:pPr>
      <w:r w:rsidRPr="005A31D7">
        <w:t>«Исполнено за месяц» заполняется на основе данных оперативного отчета о кассовых поступлениях и выплатах федерального бюджета (F_GKFB_I);</w:t>
      </w:r>
    </w:p>
    <w:p w:rsidR="000E18B7" w:rsidRPr="005A31D7" w:rsidRDefault="000E18B7" w:rsidP="00EB1C8C">
      <w:pPr>
        <w:pStyle w:val="13"/>
      </w:pPr>
      <w:r w:rsidRPr="005A31D7">
        <w:t>«% исполнения закона о федеральном бюджете» рассчитывается как отношение показателей «Исполнено за месяц» и «Закон о федеральном бюджете», умноженное на 100%;</w:t>
      </w:r>
    </w:p>
    <w:p w:rsidR="000E18B7" w:rsidRPr="005A31D7" w:rsidRDefault="000E18B7" w:rsidP="00EB1C8C">
      <w:pPr>
        <w:pStyle w:val="13"/>
      </w:pPr>
      <w:r w:rsidRPr="005A31D7">
        <w:t>«% исполнения уточненного прогноза ГАДБ» рассчитывается как отношение показателей «Исполнено за месяц» и «Уточненный прогноз ГАДБ (факт)», умноженное на 100%;</w:t>
      </w:r>
    </w:p>
    <w:p w:rsidR="000E18B7" w:rsidRPr="005A31D7" w:rsidRDefault="000E18B7" w:rsidP="00EB1C8C">
      <w:pPr>
        <w:pStyle w:val="13"/>
      </w:pPr>
      <w:r w:rsidRPr="005A31D7">
        <w:t>«% исполнения прогноза ГАДБ (дискретный)» рассчитывается как отношение показателей «Исполнено за месяц» и «Прогноз ГАДБ (дискретный)», умноженное на 100%;</w:t>
      </w:r>
    </w:p>
    <w:p w:rsidR="000E18B7" w:rsidRPr="00206C4C" w:rsidRDefault="000E18B7" w:rsidP="000E18B7">
      <w:pPr>
        <w:pStyle w:val="af0"/>
      </w:pPr>
      <w:r w:rsidRPr="00206C4C">
        <w:t>В представлении по умолчанию отображаются показатели «Прогноз ГАДБ (дискретный)» и «Исполнено за месяц».</w:t>
      </w:r>
    </w:p>
    <w:p w:rsidR="000E18B7" w:rsidRPr="00206C4C" w:rsidRDefault="000E18B7" w:rsidP="000E18B7">
      <w:pPr>
        <w:ind w:firstLine="567"/>
        <w:rPr>
          <w:color w:val="auto"/>
          <w:sz w:val="28"/>
        </w:rPr>
      </w:pPr>
      <w:r w:rsidRPr="00206C4C">
        <w:rPr>
          <w:color w:val="auto"/>
          <w:sz w:val="28"/>
        </w:rPr>
        <w:t>Красная и зеленая зоны в области диаграммы указывают на качество исполнения плановых значений нефтегазовых доходов федерального бюджета</w:t>
      </w:r>
      <w:r w:rsidRPr="00206C4C">
        <w:t>.</w:t>
      </w:r>
    </w:p>
    <w:p w:rsidR="000E18B7" w:rsidRDefault="000E18B7" w:rsidP="000E18B7">
      <w:pPr>
        <w:pStyle w:val="af0"/>
      </w:pPr>
      <w:r w:rsidRPr="00206C4C">
        <w:t xml:space="preserve">На диаграмме реализована возможность включения/отключения отображаемых показателей путем включения/отключения серий в легенде. При наведении курсора мыши на элемент диаграммы должна отображаться всплывающая подсказка, содержащая основную информацию: период, наименование показателя, </w:t>
      </w:r>
      <w:r>
        <w:t>значение с единицами измерения.</w:t>
      </w:r>
    </w:p>
    <w:p w:rsidR="000E18B7" w:rsidRPr="00206C4C" w:rsidRDefault="000E18B7" w:rsidP="000E18B7">
      <w:pPr>
        <w:pStyle w:val="35"/>
        <w:ind w:left="142"/>
      </w:pPr>
      <w:bookmarkStart w:id="418" w:name="_Toc119585078"/>
      <w:r>
        <w:t>Отчет «</w:t>
      </w:r>
      <w:r w:rsidRPr="00562B8F">
        <w:t>Информация о поступлении от организаций и осуществлении выплат в адрес организаций (в разрезе территорий, организаций)</w:t>
      </w:r>
      <w:r>
        <w:t>»</w:t>
      </w:r>
      <w:r w:rsidRPr="00562B8F">
        <w:t xml:space="preserve"> </w:t>
      </w:r>
      <w:r>
        <w:t>(</w:t>
      </w:r>
      <w:r w:rsidRPr="00562B8F">
        <w:t>PIAO_129_009_report</w:t>
      </w:r>
      <w:r>
        <w:t>)</w:t>
      </w:r>
      <w:bookmarkEnd w:id="418"/>
      <w:r w:rsidRPr="00562B8F">
        <w:t xml:space="preserve"> </w:t>
      </w:r>
    </w:p>
    <w:p w:rsidR="000E18B7" w:rsidRDefault="000E18B7" w:rsidP="000E18B7">
      <w:pPr>
        <w:pStyle w:val="af0"/>
        <w:rPr>
          <w:rStyle w:val="af1"/>
        </w:rPr>
      </w:pPr>
      <w:r w:rsidRPr="00206C4C">
        <w:rPr>
          <w:rStyle w:val="af1"/>
        </w:rPr>
        <w:t>Для перехода к отчету «</w:t>
      </w:r>
      <w:r w:rsidRPr="00206C4C">
        <w:t>Информация о поступлении доходов от организаций и осуществлении выплат в адрес организаций (в разрезе территорий, организаций)</w:t>
      </w:r>
      <w:r w:rsidRPr="00206C4C">
        <w:rPr>
          <w:rStyle w:val="af1"/>
        </w:rPr>
        <w:t>» необходимо перейти к витрине «</w:t>
      </w:r>
      <w:r w:rsidRPr="00206C4C">
        <w:t xml:space="preserve">Исполнение </w:t>
      </w:r>
      <w:r>
        <w:t>бюджетов бюджетной системы Российской Федерации</w:t>
      </w:r>
      <w:r w:rsidRPr="00206C4C">
        <w:rPr>
          <w:rStyle w:val="af1"/>
        </w:rPr>
        <w:t>»</w:t>
      </w:r>
      <w:r>
        <w:rPr>
          <w:rStyle w:val="af1"/>
        </w:rPr>
        <w:t xml:space="preserve"> и раскрыть каталог «Отчеты по плательщикам и получателям»</w:t>
      </w:r>
      <w:r w:rsidRPr="00206C4C">
        <w:rPr>
          <w:rStyle w:val="af1"/>
        </w:rPr>
        <w:t xml:space="preserve"> </w:t>
      </w:r>
      <w:r>
        <w:rPr>
          <w:rStyle w:val="af1"/>
        </w:rPr>
        <w:t>(Рисунок</w:t>
      </w:r>
      <w:r w:rsidR="00FA2818">
        <w:rPr>
          <w:rStyle w:val="af1"/>
        </w:rPr>
        <w:t xml:space="preserve"> </w:t>
      </w:r>
      <w:r w:rsidR="00FA2818">
        <w:rPr>
          <w:rStyle w:val="af1"/>
        </w:rPr>
        <w:fldChar w:fldCharType="begin"/>
      </w:r>
      <w:r w:rsidR="00FA2818">
        <w:rPr>
          <w:rStyle w:val="af1"/>
        </w:rPr>
        <w:instrText xml:space="preserve"> REF _Ref70326914 \h </w:instrText>
      </w:r>
      <w:r w:rsidR="00FA2818">
        <w:rPr>
          <w:rStyle w:val="af1"/>
        </w:rPr>
      </w:r>
      <w:r w:rsidR="00FA2818">
        <w:rPr>
          <w:rStyle w:val="af1"/>
        </w:rPr>
        <w:fldChar w:fldCharType="separate"/>
      </w:r>
      <w:r w:rsidR="00BF0BEE">
        <w:rPr>
          <w:noProof/>
        </w:rPr>
        <w:t>121</w:t>
      </w:r>
      <w:r w:rsidR="00FA2818">
        <w:rPr>
          <w:rStyle w:val="af1"/>
        </w:rPr>
        <w:fldChar w:fldCharType="end"/>
      </w:r>
      <w:r>
        <w:rPr>
          <w:rStyle w:val="af1"/>
        </w:rPr>
        <w:t>)</w:t>
      </w:r>
      <w:r w:rsidRPr="00206C4C">
        <w:rPr>
          <w:rStyle w:val="af1"/>
        </w:rPr>
        <w:t>.</w:t>
      </w:r>
    </w:p>
    <w:p w:rsidR="00FA2818" w:rsidRDefault="00FA2818" w:rsidP="00FA2818">
      <w:pPr>
        <w:pStyle w:val="afffff7"/>
        <w:keepNext/>
      </w:pPr>
      <w:r>
        <w:rPr>
          <w:noProof/>
          <w:lang w:eastAsia="ru-RU"/>
        </w:rPr>
        <w:drawing>
          <wp:inline distT="0" distB="0" distL="0" distR="0" wp14:anchorId="4B14EA1D" wp14:editId="7C6639C4">
            <wp:extent cx="6152515" cy="2994025"/>
            <wp:effectExtent l="0" t="0" r="635" b="0"/>
            <wp:docPr id="6031" name="Рисунок 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6152515" cy="2994025"/>
                    </a:xfrm>
                    <a:prstGeom prst="rect">
                      <a:avLst/>
                    </a:prstGeom>
                  </pic:spPr>
                </pic:pic>
              </a:graphicData>
            </a:graphic>
          </wp:inline>
        </w:drawing>
      </w:r>
    </w:p>
    <w:p w:rsidR="00C80277" w:rsidRDefault="00FA2818" w:rsidP="00FA2818">
      <w:pPr>
        <w:pStyle w:val="-0"/>
      </w:pPr>
      <w:bookmarkStart w:id="419" w:name="_Toc119584308"/>
      <w:r>
        <w:rPr>
          <w:rStyle w:val="af1"/>
          <w:rFonts w:eastAsia="Calibri"/>
        </w:rPr>
        <w:t xml:space="preserve">Рисунок </w:t>
      </w:r>
      <w:fldSimple w:instr=" SEQ Рисунок \* ARABIC ">
        <w:bookmarkStart w:id="420" w:name="_Ref70326914"/>
        <w:r w:rsidR="001860A9">
          <w:rPr>
            <w:noProof/>
          </w:rPr>
          <w:t>121</w:t>
        </w:r>
        <w:bookmarkEnd w:id="420"/>
      </w:fldSimple>
      <w:r>
        <w:rPr>
          <w:rStyle w:val="af1"/>
          <w:rFonts w:eastAsia="Calibri"/>
        </w:rPr>
        <w:t xml:space="preserve"> – Каталог «Отчеты по плательщикам и получателям»</w:t>
      </w:r>
      <w:bookmarkEnd w:id="419"/>
    </w:p>
    <w:p w:rsidR="000E18B7" w:rsidRPr="00206C4C" w:rsidRDefault="000E18B7" w:rsidP="000E18B7">
      <w:pPr>
        <w:pStyle w:val="af0"/>
      </w:pPr>
      <w:r w:rsidRPr="00206C4C">
        <w:t xml:space="preserve">В списке отчетов по плательщикам и получателям </w:t>
      </w:r>
      <w:r>
        <w:t>кликнуть мышью по плашке</w:t>
      </w:r>
      <w:r w:rsidRPr="00206C4C">
        <w:t xml:space="preserve"> «Информация о поступлении доходов от организаций и осуществлении выплат в адрес организаций (в разрезе территорий, организаций)» как показано на рисунке</w:t>
      </w:r>
      <w:r w:rsidR="00C80277">
        <w:t xml:space="preserve"> </w:t>
      </w:r>
      <w:r w:rsidR="00C80277">
        <w:fldChar w:fldCharType="begin"/>
      </w:r>
      <w:r w:rsidR="00C80277">
        <w:instrText xml:space="preserve"> REF _Ref70326570 \h </w:instrText>
      </w:r>
      <w:r w:rsidR="00C80277">
        <w:fldChar w:fldCharType="separate"/>
      </w:r>
      <w:r w:rsidR="00BF0BEE">
        <w:rPr>
          <w:noProof/>
        </w:rPr>
        <w:t>122</w:t>
      </w:r>
      <w:r w:rsidR="00C80277">
        <w:fldChar w:fldCharType="end"/>
      </w:r>
      <w:r w:rsidRPr="00206C4C">
        <w:t>.</w:t>
      </w:r>
    </w:p>
    <w:p w:rsidR="00C80277" w:rsidRDefault="00C80277" w:rsidP="00C80277">
      <w:pPr>
        <w:pStyle w:val="afffff7"/>
        <w:keepNext/>
      </w:pPr>
      <w:r>
        <w:rPr>
          <w:noProof/>
          <w:lang w:eastAsia="ru-RU"/>
        </w:rPr>
        <w:drawing>
          <wp:inline distT="0" distB="0" distL="0" distR="0" wp14:anchorId="78C30F3B" wp14:editId="6E2C5486">
            <wp:extent cx="6152515" cy="2999105"/>
            <wp:effectExtent l="0" t="0" r="635" b="0"/>
            <wp:docPr id="6030" name="Рисунок 6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6152515" cy="2999105"/>
                    </a:xfrm>
                    <a:prstGeom prst="rect">
                      <a:avLst/>
                    </a:prstGeom>
                  </pic:spPr>
                </pic:pic>
              </a:graphicData>
            </a:graphic>
          </wp:inline>
        </w:drawing>
      </w:r>
    </w:p>
    <w:p w:rsidR="000E18B7" w:rsidRPr="00206C4C" w:rsidRDefault="00C80277" w:rsidP="00C80277">
      <w:pPr>
        <w:pStyle w:val="-0"/>
      </w:pPr>
      <w:bookmarkStart w:id="421" w:name="_Toc119584309"/>
      <w:r w:rsidRPr="00206C4C">
        <w:t xml:space="preserve">Рисунок </w:t>
      </w:r>
      <w:fldSimple w:instr=" SEQ Рисунок \* ARABIC ">
        <w:bookmarkStart w:id="422" w:name="_Ref70326570"/>
        <w:r w:rsidR="001860A9">
          <w:rPr>
            <w:noProof/>
          </w:rPr>
          <w:t>122</w:t>
        </w:r>
        <w:bookmarkEnd w:id="422"/>
      </w:fldSimple>
      <w:r>
        <w:t xml:space="preserve"> </w:t>
      </w:r>
      <w:bookmarkStart w:id="423" w:name="_Toc37845540"/>
      <w:bookmarkStart w:id="424" w:name="_Toc69290326"/>
      <w:bookmarkStart w:id="425" w:name="_Toc69980125"/>
      <w:r w:rsidR="000E18B7" w:rsidRPr="00206C4C">
        <w:t>– Переход к отчету «Информация о поступлении доходов от организаций и осуществлении выплат в адрес организаций (в разрезе территорий, организаций)»</w:t>
      </w:r>
      <w:bookmarkEnd w:id="423"/>
      <w:bookmarkEnd w:id="424"/>
      <w:bookmarkEnd w:id="425"/>
      <w:bookmarkEnd w:id="421"/>
    </w:p>
    <w:p w:rsidR="000E18B7" w:rsidRPr="00206C4C" w:rsidRDefault="000E18B7" w:rsidP="000E18B7">
      <w:pPr>
        <w:pStyle w:val="af0"/>
      </w:pPr>
      <w:r w:rsidRPr="00206C4C">
        <w:t>Аналитический отчет, содержащий информацию о поступлении доходов от организаций и осуществлении выплат в адрес организаций (в разрезе территорий, организаций) обеспечивает возможность мониторинга сведений о суммах поступлений доходов от организаций и осуществлении выплат в адрес организаций (в разрезе территорий, организаций), а также платежей по источникам финансирования дефицита бюджета.</w:t>
      </w:r>
    </w:p>
    <w:p w:rsidR="000E18B7" w:rsidRPr="00206C4C" w:rsidRDefault="000E18B7" w:rsidP="000E18B7">
      <w:pPr>
        <w:pStyle w:val="af0"/>
      </w:pPr>
      <w:r w:rsidRPr="00206C4C">
        <w:t>Отчет имеет три представления:</w:t>
      </w:r>
    </w:p>
    <w:p w:rsidR="000E18B7" w:rsidRPr="009E5F25" w:rsidRDefault="000E18B7" w:rsidP="00B512E0">
      <w:pPr>
        <w:pStyle w:val="13"/>
      </w:pPr>
      <w:r w:rsidRPr="009E5F25">
        <w:t>«Доходы», представлено на рисунке</w:t>
      </w:r>
      <w:r w:rsidR="003A7FA1">
        <w:t xml:space="preserve"> </w:t>
      </w:r>
      <w:r w:rsidR="003A7FA1">
        <w:fldChar w:fldCharType="begin"/>
      </w:r>
      <w:r w:rsidR="003A7FA1">
        <w:instrText xml:space="preserve"> REF _Ref70326710 \h </w:instrText>
      </w:r>
      <w:r w:rsidR="00B512E0">
        <w:instrText xml:space="preserve"> \* MERGEFORMAT </w:instrText>
      </w:r>
      <w:r w:rsidR="003A7FA1">
        <w:fldChar w:fldCharType="separate"/>
      </w:r>
      <w:r w:rsidR="00BF0BEE">
        <w:rPr>
          <w:noProof/>
        </w:rPr>
        <w:t>123</w:t>
      </w:r>
      <w:r w:rsidR="003A7FA1">
        <w:fldChar w:fldCharType="end"/>
      </w:r>
      <w:r w:rsidRPr="009E5F25">
        <w:t>. Представление формируется на основе преднастроенной таблицы T_ASFK_PAYERS_TEMP;</w:t>
      </w:r>
    </w:p>
    <w:p w:rsidR="000E18B7" w:rsidRPr="009E5F25" w:rsidRDefault="000E18B7" w:rsidP="00B512E0">
      <w:pPr>
        <w:pStyle w:val="13"/>
      </w:pPr>
      <w:r w:rsidRPr="009E5F25">
        <w:t>«Расходы», представлено на рисунке</w:t>
      </w:r>
      <w:r w:rsidR="003A7FA1">
        <w:t xml:space="preserve"> </w:t>
      </w:r>
      <w:r w:rsidR="003A7FA1">
        <w:fldChar w:fldCharType="begin"/>
      </w:r>
      <w:r w:rsidR="003A7FA1">
        <w:instrText xml:space="preserve"> REF _Ref70326719 \h </w:instrText>
      </w:r>
      <w:r w:rsidR="00B512E0">
        <w:instrText xml:space="preserve"> \* MERGEFORMAT </w:instrText>
      </w:r>
      <w:r w:rsidR="003A7FA1">
        <w:fldChar w:fldCharType="separate"/>
      </w:r>
      <w:r w:rsidR="00BF0BEE">
        <w:rPr>
          <w:noProof/>
        </w:rPr>
        <w:t>124</w:t>
      </w:r>
      <w:r w:rsidR="003A7FA1">
        <w:fldChar w:fldCharType="end"/>
      </w:r>
      <w:r w:rsidRPr="009E5F25">
        <w:t>. Представление формируется на основе преднастроенной таблицы T_ASFK1_PAYERS_TEMP;</w:t>
      </w:r>
    </w:p>
    <w:p w:rsidR="000E18B7" w:rsidRPr="009E5F25" w:rsidRDefault="000E18B7" w:rsidP="00B512E0">
      <w:pPr>
        <w:pStyle w:val="13"/>
      </w:pPr>
      <w:r w:rsidRPr="009E5F25">
        <w:t>«Источники финансирования дефицита бюджета», представлено на рисунке</w:t>
      </w:r>
      <w:r w:rsidR="003A7FA1">
        <w:t xml:space="preserve"> </w:t>
      </w:r>
      <w:r w:rsidR="003A7FA1">
        <w:fldChar w:fldCharType="begin"/>
      </w:r>
      <w:r w:rsidR="003A7FA1">
        <w:instrText xml:space="preserve"> REF _Ref70326744 \h </w:instrText>
      </w:r>
      <w:r w:rsidR="00B512E0">
        <w:instrText xml:space="preserve"> \* MERGEFORMAT </w:instrText>
      </w:r>
      <w:r w:rsidR="003A7FA1">
        <w:fldChar w:fldCharType="separate"/>
      </w:r>
      <w:r w:rsidR="00BF0BEE">
        <w:rPr>
          <w:noProof/>
        </w:rPr>
        <w:t>125</w:t>
      </w:r>
      <w:r w:rsidR="003A7FA1">
        <w:fldChar w:fldCharType="end"/>
      </w:r>
      <w:r w:rsidRPr="009E5F25">
        <w:t>. Представление формируется на основе преднастроенной таблицы T_ASFK2_PAYERS_TEMP.</w:t>
      </w:r>
    </w:p>
    <w:p w:rsidR="000E18B7" w:rsidRDefault="000E18B7" w:rsidP="000E18B7">
      <w:pPr>
        <w:pStyle w:val="afffff7"/>
      </w:pPr>
      <w:r w:rsidRPr="00562B8F">
        <w:rPr>
          <w:noProof/>
          <w:lang w:eastAsia="ru-RU"/>
        </w:rPr>
        <w:drawing>
          <wp:inline distT="0" distB="0" distL="0" distR="0" wp14:anchorId="35B38FE4" wp14:editId="44A3F75E">
            <wp:extent cx="6152515" cy="2832735"/>
            <wp:effectExtent l="0" t="0" r="635" b="5715"/>
            <wp:docPr id="5962" name="Рисунок 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6152515" cy="2832735"/>
                    </a:xfrm>
                    <a:prstGeom prst="rect">
                      <a:avLst/>
                    </a:prstGeom>
                  </pic:spPr>
                </pic:pic>
              </a:graphicData>
            </a:graphic>
          </wp:inline>
        </w:drawing>
      </w:r>
    </w:p>
    <w:p w:rsidR="000E18B7" w:rsidRPr="00206C4C" w:rsidRDefault="000E18B7" w:rsidP="000E18B7">
      <w:pPr>
        <w:pStyle w:val="-0"/>
      </w:pPr>
      <w:bookmarkStart w:id="426" w:name="_Toc119584310"/>
      <w:r w:rsidRPr="00206C4C">
        <w:t>Рисунок</w:t>
      </w:r>
      <w:r>
        <w:t xml:space="preserve"> </w:t>
      </w:r>
      <w:fldSimple w:instr=" SEQ Рисунок \* ARABIC ">
        <w:bookmarkStart w:id="427" w:name="_Ref70326710"/>
        <w:r w:rsidR="001860A9">
          <w:rPr>
            <w:noProof/>
          </w:rPr>
          <w:t>123</w:t>
        </w:r>
        <w:bookmarkEnd w:id="427"/>
      </w:fldSimple>
      <w:r w:rsidR="003A7FA1">
        <w:t xml:space="preserve"> </w:t>
      </w:r>
      <w:r w:rsidRPr="00206C4C">
        <w:t>– Макет отчета «Информация о поступлении доходов от организаций и осуществлении выплат в адрес организаций (в разрезе территорий, организаций)». Представление «Доходы»</w:t>
      </w:r>
      <w:bookmarkEnd w:id="426"/>
    </w:p>
    <w:p w:rsidR="000E18B7" w:rsidRDefault="000E18B7" w:rsidP="000E18B7">
      <w:pPr>
        <w:pStyle w:val="afffff7"/>
        <w:keepNext/>
      </w:pPr>
      <w:r w:rsidRPr="00562B8F">
        <w:rPr>
          <w:noProof/>
          <w:lang w:eastAsia="ru-RU"/>
        </w:rPr>
        <w:drawing>
          <wp:inline distT="0" distB="0" distL="0" distR="0" wp14:anchorId="6155AD4F" wp14:editId="2EE69993">
            <wp:extent cx="6152515" cy="2867660"/>
            <wp:effectExtent l="0" t="0" r="635" b="8890"/>
            <wp:docPr id="5963" name="Рисунок 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6152515" cy="2867660"/>
                    </a:xfrm>
                    <a:prstGeom prst="rect">
                      <a:avLst/>
                    </a:prstGeom>
                  </pic:spPr>
                </pic:pic>
              </a:graphicData>
            </a:graphic>
          </wp:inline>
        </w:drawing>
      </w:r>
    </w:p>
    <w:p w:rsidR="000E18B7" w:rsidRPr="00206C4C" w:rsidRDefault="000E18B7" w:rsidP="003A7FA1">
      <w:pPr>
        <w:pStyle w:val="-0"/>
      </w:pPr>
      <w:bookmarkStart w:id="428" w:name="_Toc119584311"/>
      <w:r w:rsidRPr="00206C4C">
        <w:t>Рисунок</w:t>
      </w:r>
      <w:r>
        <w:t xml:space="preserve"> </w:t>
      </w:r>
      <w:fldSimple w:instr=" SEQ Рисунок \* ARABIC ">
        <w:bookmarkStart w:id="429" w:name="_Ref70326719"/>
        <w:r w:rsidR="001860A9">
          <w:rPr>
            <w:noProof/>
          </w:rPr>
          <w:t>124</w:t>
        </w:r>
        <w:bookmarkEnd w:id="429"/>
      </w:fldSimple>
      <w:r w:rsidR="003A7FA1">
        <w:t xml:space="preserve"> </w:t>
      </w:r>
      <w:r w:rsidRPr="00206C4C">
        <w:t>– Макет отчета «Информация о поступлении доходов от организаций и осуществлении выплат в адрес организаций (в разрезе территорий, организаций)». Представление «Расходы»</w:t>
      </w:r>
      <w:bookmarkEnd w:id="428"/>
    </w:p>
    <w:p w:rsidR="000E18B7" w:rsidRDefault="000E18B7" w:rsidP="000E18B7">
      <w:pPr>
        <w:pStyle w:val="afffff7"/>
        <w:keepNext/>
      </w:pPr>
      <w:r>
        <w:rPr>
          <w:noProof/>
          <w:lang w:eastAsia="ru-RU"/>
        </w:rPr>
        <w:drawing>
          <wp:inline distT="0" distB="0" distL="0" distR="0" wp14:anchorId="5F9E6921" wp14:editId="5B33F0D3">
            <wp:extent cx="6152515" cy="2637790"/>
            <wp:effectExtent l="0" t="0" r="635" b="0"/>
            <wp:docPr id="5964" name="Рисунок 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6152515" cy="2637790"/>
                    </a:xfrm>
                    <a:prstGeom prst="rect">
                      <a:avLst/>
                    </a:prstGeom>
                  </pic:spPr>
                </pic:pic>
              </a:graphicData>
            </a:graphic>
          </wp:inline>
        </w:drawing>
      </w:r>
    </w:p>
    <w:p w:rsidR="000E18B7" w:rsidRPr="00206C4C" w:rsidRDefault="000E18B7" w:rsidP="000E18B7">
      <w:pPr>
        <w:pStyle w:val="-0"/>
      </w:pPr>
      <w:bookmarkStart w:id="430" w:name="_Toc119584312"/>
      <w:r w:rsidRPr="00562B8F">
        <w:t xml:space="preserve">Рисунок </w:t>
      </w:r>
      <w:fldSimple w:instr=" SEQ Рисунок \* ARABIC ">
        <w:bookmarkStart w:id="431" w:name="_Ref70326744"/>
        <w:r w:rsidR="001860A9">
          <w:rPr>
            <w:noProof/>
          </w:rPr>
          <w:t>125</w:t>
        </w:r>
        <w:bookmarkEnd w:id="431"/>
      </w:fldSimple>
      <w:r w:rsidR="003A7FA1">
        <w:t xml:space="preserve"> </w:t>
      </w:r>
      <w:r w:rsidRPr="00562B8F">
        <w:t xml:space="preserve">– Макет отчета «Информация о поступлении доходов от организаций и осуществлении выплат в адрес организаций (в разрезе территорий, организаций)». </w:t>
      </w:r>
      <w:bookmarkStart w:id="432" w:name="_Toc37845543"/>
      <w:bookmarkStart w:id="433" w:name="_Toc69290329"/>
      <w:bookmarkStart w:id="434" w:name="_Toc69980128"/>
      <w:r w:rsidRPr="00206C4C">
        <w:t>Представление «Источники финансирования дефицита бюджета»</w:t>
      </w:r>
      <w:bookmarkEnd w:id="432"/>
      <w:bookmarkEnd w:id="433"/>
      <w:bookmarkEnd w:id="434"/>
      <w:bookmarkEnd w:id="430"/>
    </w:p>
    <w:p w:rsidR="000E18B7" w:rsidRPr="00206C4C" w:rsidRDefault="000E18B7" w:rsidP="000E18B7">
      <w:pPr>
        <w:pStyle w:val="af0"/>
      </w:pPr>
      <w:r w:rsidRPr="00206C4C">
        <w:t xml:space="preserve">Представления имеют следующие параметры: </w:t>
      </w:r>
    </w:p>
    <w:p w:rsidR="000E18B7" w:rsidRPr="00C33B42" w:rsidRDefault="000E18B7" w:rsidP="00B512E0">
      <w:pPr>
        <w:pStyle w:val="13"/>
      </w:pPr>
      <w:r w:rsidRPr="00C33B42">
        <w:t>Единицы измерения: выпадающий список с выбором единиц измерения. Состоит из элементов: руб., тыс. руб., млн руб., млрд руб. По умолчанию значение параметра «руб.»;</w:t>
      </w:r>
    </w:p>
    <w:p w:rsidR="000E18B7" w:rsidRPr="00C33B42" w:rsidRDefault="000E18B7" w:rsidP="00B512E0">
      <w:pPr>
        <w:pStyle w:val="13"/>
      </w:pPr>
      <w:r w:rsidRPr="00C33B42">
        <w:t>Поиск по ИНН, КПП и/или наименованию плательщика;</w:t>
      </w:r>
    </w:p>
    <w:p w:rsidR="000E18B7" w:rsidRPr="00C33B42" w:rsidRDefault="000E18B7" w:rsidP="00B512E0">
      <w:pPr>
        <w:pStyle w:val="13"/>
      </w:pPr>
      <w:r w:rsidRPr="00C33B42">
        <w:t>Поиск по ИНН, КПП и/или наименованию получателя;</w:t>
      </w:r>
    </w:p>
    <w:p w:rsidR="000E18B7" w:rsidRPr="00C33B42" w:rsidRDefault="000E18B7" w:rsidP="00B512E0">
      <w:pPr>
        <w:pStyle w:val="13"/>
      </w:pPr>
      <w:r w:rsidRPr="00C33B42">
        <w:t>Поиск по назначению платежа;</w:t>
      </w:r>
    </w:p>
    <w:p w:rsidR="000E18B7" w:rsidRPr="00C33B42" w:rsidRDefault="000E18B7" w:rsidP="00B512E0">
      <w:pPr>
        <w:pStyle w:val="13"/>
      </w:pPr>
      <w:r w:rsidRPr="00C33B42">
        <w:t>Поиск по номеру платежного поручения;</w:t>
      </w:r>
    </w:p>
    <w:p w:rsidR="000E18B7" w:rsidRPr="00C33B42" w:rsidRDefault="000E18B7" w:rsidP="00B512E0">
      <w:pPr>
        <w:pStyle w:val="13"/>
      </w:pPr>
      <w:r w:rsidRPr="00C33B42">
        <w:t>Поиск по дате платежа и сумме платежа (диапазон);</w:t>
      </w:r>
    </w:p>
    <w:p w:rsidR="000E18B7" w:rsidRPr="00C33B42" w:rsidRDefault="000E18B7" w:rsidP="00B512E0">
      <w:pPr>
        <w:pStyle w:val="13"/>
      </w:pPr>
      <w:r w:rsidRPr="00C33B42">
        <w:t>Лицевой счет: выпадающий список;</w:t>
      </w:r>
    </w:p>
    <w:p w:rsidR="000E18B7" w:rsidRPr="00C33B42" w:rsidRDefault="000E18B7" w:rsidP="00B512E0">
      <w:pPr>
        <w:pStyle w:val="13"/>
      </w:pPr>
      <w:r w:rsidRPr="00C33B42">
        <w:t>КБК: выпадающий список (для каждого представления своя сегментация по КБК);</w:t>
      </w:r>
    </w:p>
    <w:p w:rsidR="000E18B7" w:rsidRDefault="000E18B7" w:rsidP="00B512E0">
      <w:pPr>
        <w:pStyle w:val="13"/>
      </w:pPr>
      <w:r w:rsidRPr="00C33B42">
        <w:t>ТОФК: выпадающий список с перечнем наименований ТОФК. Формируется выпадающий список из записей справочника D_ASFK_TOFK (CODE и NAME через тире) + параметр</w:t>
      </w:r>
      <w:r w:rsidRPr="00206C4C">
        <w:t xml:space="preserve">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0E18B7" w:rsidRDefault="000E18B7" w:rsidP="000E18B7">
      <w:pPr>
        <w:pStyle w:val="35"/>
        <w:ind w:left="142"/>
      </w:pPr>
      <w:bookmarkStart w:id="435" w:name="_Toc69290122"/>
      <w:bookmarkStart w:id="436" w:name="_Toc119585079"/>
      <w:r>
        <w:t>Отчет «Мониторинг загрузки в ПИАО данных из АСФК по описям платежных документов»</w:t>
      </w:r>
      <w:bookmarkEnd w:id="435"/>
      <w:r>
        <w:t xml:space="preserve"> (</w:t>
      </w:r>
      <w:r w:rsidRPr="00562B8F">
        <w:t>PIAO_129_013_report</w:t>
      </w:r>
      <w:r>
        <w:t>)</w:t>
      </w:r>
      <w:bookmarkEnd w:id="436"/>
    </w:p>
    <w:p w:rsidR="000E18B7" w:rsidRDefault="000E18B7" w:rsidP="000E18B7">
      <w:pPr>
        <w:pStyle w:val="af0"/>
      </w:pPr>
      <w:r w:rsidRPr="00B7120B">
        <w:rPr>
          <w:rStyle w:val="af1"/>
        </w:rPr>
        <w:t xml:space="preserve">Для перехода к </w:t>
      </w:r>
      <w:r>
        <w:rPr>
          <w:rStyle w:val="af1"/>
        </w:rPr>
        <w:t xml:space="preserve">аналитическому </w:t>
      </w:r>
      <w:r w:rsidRPr="00B7120B">
        <w:rPr>
          <w:rStyle w:val="af1"/>
        </w:rPr>
        <w:t>отчету «</w:t>
      </w:r>
      <w:r>
        <w:t>Мониторинг загрузки в ПИАО данных из АСФК по описям платежных документов</w:t>
      </w:r>
      <w:r w:rsidRPr="00B7120B">
        <w:rPr>
          <w:rStyle w:val="af1"/>
        </w:rPr>
        <w:t xml:space="preserve">» необходимо перейти к витрине «Исполнение бюджетов бюджетной системы Российской Федерации» </w:t>
      </w:r>
      <w:r>
        <w:rPr>
          <w:rStyle w:val="af1"/>
        </w:rPr>
        <w:t>и раскрыть каталог</w:t>
      </w:r>
      <w:r w:rsidRPr="00B7120B">
        <w:rPr>
          <w:rStyle w:val="af1"/>
        </w:rPr>
        <w:t xml:space="preserve"> «Отчеты</w:t>
      </w:r>
      <w:r>
        <w:rPr>
          <w:rStyle w:val="af1"/>
        </w:rPr>
        <w:t xml:space="preserve"> по плательщикам и получателям» (</w:t>
      </w:r>
      <w:r w:rsidR="00015FA4">
        <w:rPr>
          <w:rStyle w:val="af1"/>
        </w:rPr>
        <w:t xml:space="preserve">Рисунок </w:t>
      </w:r>
      <w:r w:rsidR="00015FA4">
        <w:rPr>
          <w:rStyle w:val="af1"/>
        </w:rPr>
        <w:fldChar w:fldCharType="begin"/>
      </w:r>
      <w:r w:rsidR="00015FA4">
        <w:rPr>
          <w:rStyle w:val="af1"/>
        </w:rPr>
        <w:instrText xml:space="preserve"> REF _Ref70326914 \h </w:instrText>
      </w:r>
      <w:r w:rsidR="00015FA4">
        <w:rPr>
          <w:rStyle w:val="af1"/>
        </w:rPr>
      </w:r>
      <w:r w:rsidR="00015FA4">
        <w:rPr>
          <w:rStyle w:val="af1"/>
        </w:rPr>
        <w:fldChar w:fldCharType="separate"/>
      </w:r>
      <w:r w:rsidR="00BF0BEE">
        <w:rPr>
          <w:noProof/>
        </w:rPr>
        <w:t>121</w:t>
      </w:r>
      <w:r w:rsidR="00015FA4">
        <w:rPr>
          <w:rStyle w:val="af1"/>
        </w:rPr>
        <w:fldChar w:fldCharType="end"/>
      </w:r>
      <w:r>
        <w:rPr>
          <w:rStyle w:val="af1"/>
        </w:rPr>
        <w:t>)</w:t>
      </w:r>
      <w:r w:rsidRPr="00B7120B">
        <w:t>.</w:t>
      </w:r>
    </w:p>
    <w:p w:rsidR="000E18B7" w:rsidRDefault="000E18B7" w:rsidP="000E18B7">
      <w:pPr>
        <w:pStyle w:val="af0"/>
      </w:pPr>
      <w:r w:rsidRPr="00A622F3">
        <w:t>В списке отчетов по плательщикам и получателям кликнуть мышью по плашке «</w:t>
      </w:r>
      <w:r>
        <w:t>Мониторинг загрузки в ПИАО данных из АСФК по описям платежных документов» как показано на рисунке</w:t>
      </w:r>
      <w:r w:rsidR="00015FA4">
        <w:t xml:space="preserve"> </w:t>
      </w:r>
      <w:r w:rsidR="00015FA4">
        <w:fldChar w:fldCharType="begin"/>
      </w:r>
      <w:r w:rsidR="00015FA4">
        <w:instrText xml:space="preserve"> REF _Ref70326914 \h </w:instrText>
      </w:r>
      <w:r w:rsidR="00015FA4">
        <w:fldChar w:fldCharType="separate"/>
      </w:r>
      <w:r w:rsidR="00BF0BEE">
        <w:rPr>
          <w:noProof/>
        </w:rPr>
        <w:t>121</w:t>
      </w:r>
      <w:r w:rsidR="00015FA4">
        <w:fldChar w:fldCharType="end"/>
      </w:r>
      <w:r w:rsidRPr="00A622F3">
        <w:t>.</w:t>
      </w:r>
    </w:p>
    <w:p w:rsidR="00015FA4" w:rsidRDefault="00015FA4" w:rsidP="00015FA4">
      <w:pPr>
        <w:pStyle w:val="afffff7"/>
        <w:keepNext/>
      </w:pPr>
      <w:r>
        <w:rPr>
          <w:noProof/>
          <w:lang w:eastAsia="ru-RU"/>
        </w:rPr>
        <w:drawing>
          <wp:inline distT="0" distB="0" distL="0" distR="0" wp14:anchorId="72AAC6AF" wp14:editId="1C952754">
            <wp:extent cx="6152515" cy="3002280"/>
            <wp:effectExtent l="0" t="0" r="635" b="7620"/>
            <wp:docPr id="6032" name="Рисунок 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6152515" cy="3002280"/>
                    </a:xfrm>
                    <a:prstGeom prst="rect">
                      <a:avLst/>
                    </a:prstGeom>
                  </pic:spPr>
                </pic:pic>
              </a:graphicData>
            </a:graphic>
          </wp:inline>
        </w:drawing>
      </w:r>
    </w:p>
    <w:p w:rsidR="000E18B7" w:rsidRDefault="00015FA4" w:rsidP="00015FA4">
      <w:pPr>
        <w:pStyle w:val="-0"/>
      </w:pPr>
      <w:bookmarkStart w:id="437" w:name="_Toc119584313"/>
      <w:r>
        <w:t xml:space="preserve">Рисунок </w:t>
      </w:r>
      <w:fldSimple w:instr=" SEQ Рисунок \* ARABIC ">
        <w:r w:rsidR="001860A9">
          <w:rPr>
            <w:noProof/>
          </w:rPr>
          <w:t>126</w:t>
        </w:r>
      </w:fldSimple>
      <w:r>
        <w:t xml:space="preserve"> – Переход к отчету «Мониторинг загрузки в ПИАО данных из АСФК по описям платежных документов»</w:t>
      </w:r>
      <w:bookmarkEnd w:id="437"/>
    </w:p>
    <w:p w:rsidR="000E18B7" w:rsidRDefault="000E18B7" w:rsidP="000E18B7">
      <w:pPr>
        <w:pStyle w:val="af0"/>
      </w:pPr>
      <w:r w:rsidRPr="008850F9">
        <w:t xml:space="preserve">Целью создания </w:t>
      </w:r>
      <w:r w:rsidRPr="00BF5E9A">
        <w:t xml:space="preserve">аналитического отчета </w:t>
      </w:r>
      <w:r>
        <w:t>«Мониторинг загрузки в ПИАО данных из АСФК по описям платежных документов» является обеспечение о</w:t>
      </w:r>
      <w:r w:rsidRPr="004B1896">
        <w:t>перативн</w:t>
      </w:r>
      <w:r>
        <w:t>ого</w:t>
      </w:r>
      <w:r w:rsidRPr="004B1896">
        <w:t xml:space="preserve"> мониторинг</w:t>
      </w:r>
      <w:r>
        <w:t>а</w:t>
      </w:r>
      <w:r w:rsidRPr="004B1896">
        <w:t xml:space="preserve"> загрузки в ПИАО описей</w:t>
      </w:r>
      <w:r>
        <w:t xml:space="preserve"> платёжных документов</w:t>
      </w:r>
      <w:r w:rsidRPr="004B1896">
        <w:t xml:space="preserve"> по поступлениям и выбытиям, выгружаемым из АСФК всеми ТОФК</w:t>
      </w:r>
      <w:r>
        <w:t xml:space="preserve">, для обеспечения </w:t>
      </w:r>
      <w:r w:rsidRPr="00EF75BA">
        <w:t>полноты и качества данных</w:t>
      </w:r>
      <w:r>
        <w:t>.</w:t>
      </w:r>
    </w:p>
    <w:p w:rsidR="000E18B7" w:rsidRDefault="000E18B7" w:rsidP="000E18B7">
      <w:pPr>
        <w:pStyle w:val="af0"/>
      </w:pPr>
      <w:r>
        <w:t>Отчет содержит четыре представления:</w:t>
      </w:r>
    </w:p>
    <w:p w:rsidR="000E18B7" w:rsidRPr="00237B64" w:rsidRDefault="000E18B7" w:rsidP="005C6E50">
      <w:pPr>
        <w:numPr>
          <w:ilvl w:val="0"/>
          <w:numId w:val="68"/>
        </w:numPr>
        <w:rPr>
          <w:sz w:val="28"/>
          <w:szCs w:val="28"/>
        </w:rPr>
      </w:pPr>
      <w:r>
        <w:rPr>
          <w:sz w:val="28"/>
          <w:szCs w:val="28"/>
        </w:rPr>
        <w:t>Мониторинг описей</w:t>
      </w:r>
      <w:r w:rsidRPr="00237B64">
        <w:rPr>
          <w:sz w:val="28"/>
          <w:szCs w:val="28"/>
        </w:rPr>
        <w:t xml:space="preserve"> (Свод);</w:t>
      </w:r>
    </w:p>
    <w:p w:rsidR="000E18B7" w:rsidRPr="00237B64" w:rsidRDefault="000E18B7" w:rsidP="005C6E50">
      <w:pPr>
        <w:numPr>
          <w:ilvl w:val="0"/>
          <w:numId w:val="68"/>
        </w:numPr>
        <w:rPr>
          <w:sz w:val="28"/>
          <w:szCs w:val="28"/>
        </w:rPr>
      </w:pPr>
      <w:r>
        <w:rPr>
          <w:sz w:val="28"/>
          <w:szCs w:val="28"/>
        </w:rPr>
        <w:t>Мониторинг описей</w:t>
      </w:r>
      <w:r w:rsidRPr="00237B64">
        <w:rPr>
          <w:sz w:val="28"/>
          <w:szCs w:val="28"/>
        </w:rPr>
        <w:t xml:space="preserve"> (Детализация);</w:t>
      </w:r>
    </w:p>
    <w:p w:rsidR="000E18B7" w:rsidRDefault="000E18B7" w:rsidP="005C6E50">
      <w:pPr>
        <w:numPr>
          <w:ilvl w:val="0"/>
          <w:numId w:val="68"/>
        </w:numPr>
        <w:rPr>
          <w:sz w:val="28"/>
          <w:szCs w:val="28"/>
        </w:rPr>
      </w:pPr>
      <w:r>
        <w:rPr>
          <w:sz w:val="28"/>
          <w:szCs w:val="28"/>
        </w:rPr>
        <w:t>Мониторинг типов документов;</w:t>
      </w:r>
    </w:p>
    <w:p w:rsidR="000E18B7" w:rsidRPr="00237B64" w:rsidRDefault="000E18B7" w:rsidP="005C6E50">
      <w:pPr>
        <w:numPr>
          <w:ilvl w:val="0"/>
          <w:numId w:val="68"/>
        </w:numPr>
        <w:rPr>
          <w:sz w:val="28"/>
          <w:szCs w:val="28"/>
        </w:rPr>
      </w:pPr>
      <w:r>
        <w:rPr>
          <w:sz w:val="28"/>
          <w:szCs w:val="28"/>
        </w:rPr>
        <w:t>Мониторинг в разрезе КБК.</w:t>
      </w:r>
    </w:p>
    <w:p w:rsidR="000E18B7" w:rsidRPr="00206C4C" w:rsidRDefault="000E18B7" w:rsidP="00FD1A5F">
      <w:pPr>
        <w:pStyle w:val="42"/>
        <w:ind w:left="284"/>
        <w:jc w:val="left"/>
      </w:pPr>
      <w:r w:rsidRPr="00206C4C">
        <w:rPr>
          <w:snapToGrid/>
        </w:rPr>
        <w:t xml:space="preserve">Представление </w:t>
      </w:r>
      <w:r>
        <w:t>«Мониторинг описей (Свод)»</w:t>
      </w:r>
    </w:p>
    <w:p w:rsidR="000E18B7" w:rsidRDefault="000E18B7" w:rsidP="000E18B7">
      <w:pPr>
        <w:pStyle w:val="af0"/>
      </w:pPr>
      <w:r>
        <w:t xml:space="preserve">Представление «Мониторинг описей (Свод)» выполнено в виде таблицы и инфографики (Рисунок </w:t>
      </w:r>
      <w:r>
        <w:fldChar w:fldCharType="begin"/>
      </w:r>
      <w:r>
        <w:instrText xml:space="preserve"> REF _Ref40641712 \h </w:instrText>
      </w:r>
      <w:r>
        <w:fldChar w:fldCharType="separate"/>
      </w:r>
      <w:r w:rsidR="00BF0BEE">
        <w:rPr>
          <w:noProof/>
        </w:rPr>
        <w:t>127</w:t>
      </w:r>
      <w:r>
        <w:fldChar w:fldCharType="end"/>
      </w:r>
      <w:r>
        <w:t xml:space="preserve">). </w:t>
      </w:r>
    </w:p>
    <w:p w:rsidR="000E18B7" w:rsidRDefault="000E18B7" w:rsidP="000E18B7">
      <w:pPr>
        <w:pStyle w:val="afffff7"/>
        <w:keepNext/>
      </w:pPr>
      <w:r>
        <w:rPr>
          <w:noProof/>
          <w:lang w:eastAsia="ru-RU"/>
        </w:rPr>
        <w:drawing>
          <wp:inline distT="0" distB="0" distL="0" distR="0" wp14:anchorId="21128FD1" wp14:editId="602417A5">
            <wp:extent cx="5939790" cy="2561914"/>
            <wp:effectExtent l="0" t="0" r="3810" b="0"/>
            <wp:docPr id="5744" name="Рисунок 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5939790" cy="2561914"/>
                    </a:xfrm>
                    <a:prstGeom prst="rect">
                      <a:avLst/>
                    </a:prstGeom>
                  </pic:spPr>
                </pic:pic>
              </a:graphicData>
            </a:graphic>
          </wp:inline>
        </w:drawing>
      </w:r>
    </w:p>
    <w:p w:rsidR="000E18B7" w:rsidRPr="008F5DB1" w:rsidRDefault="000E18B7" w:rsidP="000E18B7">
      <w:pPr>
        <w:pStyle w:val="-0"/>
      </w:pPr>
      <w:bookmarkStart w:id="438" w:name="_Toc69290331"/>
      <w:bookmarkStart w:id="439" w:name="_Toc69980130"/>
      <w:bookmarkStart w:id="440" w:name="_Toc119584314"/>
      <w:r>
        <w:t xml:space="preserve">Рисунок </w:t>
      </w:r>
      <w:fldSimple w:instr=" SEQ Рисунок \* ARABIC ">
        <w:bookmarkStart w:id="441" w:name="_Ref40641712"/>
        <w:r w:rsidR="001860A9">
          <w:rPr>
            <w:noProof/>
          </w:rPr>
          <w:t>127</w:t>
        </w:r>
        <w:bookmarkEnd w:id="441"/>
      </w:fldSimple>
      <w:r>
        <w:t xml:space="preserve"> – Макет отчета «Мониторинг загрузки в ПИАО данных из АСФК по описям платежных документов». Представление «</w:t>
      </w:r>
      <w:r w:rsidRPr="007B4172">
        <w:t>Мониторинг описей (Свод)</w:t>
      </w:r>
      <w:r>
        <w:t>»</w:t>
      </w:r>
      <w:bookmarkEnd w:id="438"/>
      <w:bookmarkEnd w:id="439"/>
      <w:bookmarkEnd w:id="440"/>
    </w:p>
    <w:p w:rsidR="000E18B7" w:rsidRDefault="000E18B7" w:rsidP="000E18B7">
      <w:pPr>
        <w:pStyle w:val="af0"/>
      </w:pPr>
      <w:r>
        <w:t xml:space="preserve">Отображается первым при переходе к отчету, с него </w:t>
      </w:r>
      <w:r w:rsidRPr="0016377A">
        <w:t>вы</w:t>
      </w:r>
      <w:r>
        <w:t>полняет</w:t>
      </w:r>
      <w:r w:rsidRPr="0016377A">
        <w:t xml:space="preserve">ся переход в представление </w:t>
      </w:r>
      <w:r>
        <w:t>«Мониторинг описей</w:t>
      </w:r>
      <w:r w:rsidRPr="00237B64">
        <w:t xml:space="preserve"> (Детализация)</w:t>
      </w:r>
      <w:r>
        <w:t>»</w:t>
      </w:r>
      <w:r w:rsidRPr="0016377A">
        <w:t>.</w:t>
      </w:r>
      <w:r>
        <w:t xml:space="preserve"> </w:t>
      </w:r>
    </w:p>
    <w:p w:rsidR="000E18B7" w:rsidRPr="007B4172" w:rsidRDefault="000E18B7" w:rsidP="00FD1A5F">
      <w:pPr>
        <w:pStyle w:val="-"/>
      </w:pPr>
      <w:bookmarkStart w:id="442" w:name="_Toc25224582"/>
      <w:bookmarkStart w:id="443" w:name="_Toc69290202"/>
      <w:bookmarkStart w:id="444" w:name="_Toc69917971"/>
      <w:bookmarkStart w:id="445" w:name="_Toc119585146"/>
      <w:r w:rsidRPr="007B4172">
        <w:t xml:space="preserve">Таблица </w:t>
      </w:r>
      <w:fldSimple w:instr=" SEQ Таблица \* ARABIC ">
        <w:r w:rsidR="00BF0BEE">
          <w:rPr>
            <w:noProof/>
          </w:rPr>
          <w:t>5</w:t>
        </w:r>
      </w:fldSimple>
      <w:r w:rsidRPr="007B4172">
        <w:t xml:space="preserve"> – Правила заполнения «Мониторинг описей (Свод)»:</w:t>
      </w:r>
      <w:bookmarkEnd w:id="442"/>
      <w:bookmarkEnd w:id="443"/>
      <w:bookmarkEnd w:id="444"/>
      <w:bookmarkEnd w:id="445"/>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5517"/>
      </w:tblGrid>
      <w:tr w:rsidR="00B512E0" w:rsidRPr="000A1068" w:rsidTr="00B512E0">
        <w:trPr>
          <w:tblHeader/>
        </w:trPr>
        <w:tc>
          <w:tcPr>
            <w:tcW w:w="2170" w:type="pct"/>
            <w:shd w:val="clear" w:color="auto" w:fill="D9D9D9"/>
          </w:tcPr>
          <w:p w:rsidR="00B512E0" w:rsidRPr="000A1068" w:rsidRDefault="00B512E0" w:rsidP="00F13F95">
            <w:pPr>
              <w:pStyle w:val="-6"/>
              <w:rPr>
                <w:sz w:val="24"/>
              </w:rPr>
            </w:pPr>
            <w:r w:rsidRPr="000A1068">
              <w:rPr>
                <w:sz w:val="24"/>
              </w:rPr>
              <w:t>Название колонки</w:t>
            </w:r>
          </w:p>
        </w:tc>
        <w:tc>
          <w:tcPr>
            <w:tcW w:w="2830" w:type="pct"/>
            <w:shd w:val="clear" w:color="auto" w:fill="D9D9D9"/>
          </w:tcPr>
          <w:p w:rsidR="00B512E0" w:rsidRPr="000A1068" w:rsidRDefault="00B512E0" w:rsidP="00F13F95">
            <w:pPr>
              <w:pStyle w:val="-6"/>
              <w:rPr>
                <w:sz w:val="24"/>
              </w:rPr>
            </w:pPr>
            <w:r w:rsidRPr="000A1068">
              <w:rPr>
                <w:sz w:val="24"/>
              </w:rPr>
              <w:t>Правило формирования</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поступлении\План</w:t>
            </w:r>
          </w:p>
        </w:tc>
        <w:tc>
          <w:tcPr>
            <w:tcW w:w="2830" w:type="pct"/>
            <w:shd w:val="clear" w:color="auto" w:fill="FFFFFF"/>
          </w:tcPr>
          <w:p w:rsidR="00B512E0" w:rsidRPr="000A1068" w:rsidRDefault="00B512E0" w:rsidP="00F13F95">
            <w:pPr>
              <w:pStyle w:val="12-0"/>
            </w:pPr>
            <w:r w:rsidRPr="000A1068">
              <w:t>Общее количество ТОФК по справочнику ТОФК (сейчас 87).</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поступлении\Загружено, факт</w:t>
            </w:r>
          </w:p>
        </w:tc>
        <w:tc>
          <w:tcPr>
            <w:tcW w:w="2830" w:type="pct"/>
            <w:shd w:val="clear" w:color="auto" w:fill="FFFFFF"/>
          </w:tcPr>
          <w:p w:rsidR="00B512E0" w:rsidRPr="000A1068" w:rsidRDefault="00B512E0" w:rsidP="00F13F95">
            <w:pPr>
              <w:pStyle w:val="12-0"/>
            </w:pPr>
            <w:r w:rsidRPr="000A1068">
              <w:t>Подсчитываем количество ТОФК, у которых на данную дату есть запись, у которой в поле IPL = 1.</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rPr>
            </w:pPr>
            <w:r w:rsidRPr="00B512E0">
              <w:rPr>
                <w:bCs/>
                <w:sz w:val="24"/>
                <w:szCs w:val="24"/>
              </w:rPr>
              <w:t>Описи поступлении\Не загружено, факт</w:t>
            </w:r>
          </w:p>
        </w:tc>
        <w:tc>
          <w:tcPr>
            <w:tcW w:w="2830" w:type="pct"/>
            <w:shd w:val="clear" w:color="auto" w:fill="FFFFFF"/>
          </w:tcPr>
          <w:p w:rsidR="00B512E0" w:rsidRPr="000A1068" w:rsidRDefault="00B512E0" w:rsidP="00F13F95">
            <w:pPr>
              <w:pStyle w:val="12-0"/>
            </w:pPr>
            <w:r w:rsidRPr="000A1068">
              <w:t>87 - Описи поступлении\Загружено, факт</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поступлении\Доля, %</w:t>
            </w:r>
          </w:p>
        </w:tc>
        <w:tc>
          <w:tcPr>
            <w:tcW w:w="2830" w:type="pct"/>
            <w:shd w:val="clear" w:color="auto" w:fill="FFFFFF"/>
          </w:tcPr>
          <w:p w:rsidR="00B512E0" w:rsidRPr="000A1068" w:rsidRDefault="00B512E0" w:rsidP="00F13F95">
            <w:pPr>
              <w:pStyle w:val="12-0"/>
            </w:pPr>
            <w:r w:rsidRPr="000A1068">
              <w:t>Факт разделить на План, в процентах</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выбытий\План</w:t>
            </w:r>
          </w:p>
        </w:tc>
        <w:tc>
          <w:tcPr>
            <w:tcW w:w="2830" w:type="pct"/>
            <w:shd w:val="clear" w:color="auto" w:fill="FFFFFF"/>
          </w:tcPr>
          <w:p w:rsidR="00B512E0" w:rsidRPr="000A1068" w:rsidRDefault="00B512E0" w:rsidP="00F13F95">
            <w:pPr>
              <w:pStyle w:val="12-0"/>
            </w:pPr>
            <w:r w:rsidRPr="000A1068">
              <w:t>Общее количество ТОФК по справочнику ТОФК (сейчас 87).</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выбытий \Загружено, факт</w:t>
            </w:r>
          </w:p>
        </w:tc>
        <w:tc>
          <w:tcPr>
            <w:tcW w:w="2830" w:type="pct"/>
            <w:shd w:val="clear" w:color="auto" w:fill="FFFFFF"/>
          </w:tcPr>
          <w:p w:rsidR="00B512E0" w:rsidRPr="000A1068" w:rsidRDefault="00B512E0" w:rsidP="00F13F95">
            <w:pPr>
              <w:pStyle w:val="12-0"/>
            </w:pPr>
            <w:r w:rsidRPr="000A1068">
              <w:t>Подсчитываем количество ТОФК, у которых на данную дату есть запись, у которой в поле IKR = 1.</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rPr>
            </w:pPr>
            <w:r w:rsidRPr="00B512E0">
              <w:rPr>
                <w:bCs/>
                <w:sz w:val="24"/>
                <w:szCs w:val="24"/>
              </w:rPr>
              <w:t>Описи выбытий\Не загружено, факт</w:t>
            </w:r>
          </w:p>
        </w:tc>
        <w:tc>
          <w:tcPr>
            <w:tcW w:w="2830" w:type="pct"/>
            <w:shd w:val="clear" w:color="auto" w:fill="FFFFFF"/>
          </w:tcPr>
          <w:p w:rsidR="00B512E0" w:rsidRPr="000A1068" w:rsidRDefault="00B512E0" w:rsidP="00F13F95">
            <w:pPr>
              <w:pStyle w:val="12-0"/>
            </w:pPr>
            <w:r w:rsidRPr="000A1068">
              <w:t>87 - Описи выбытий \Загружено, факт</w:t>
            </w:r>
          </w:p>
        </w:tc>
      </w:tr>
      <w:tr w:rsidR="00B512E0" w:rsidRPr="000A1068" w:rsidTr="00B512E0">
        <w:tc>
          <w:tcPr>
            <w:tcW w:w="2170" w:type="pct"/>
            <w:shd w:val="clear" w:color="auto" w:fill="FFFFFF"/>
          </w:tcPr>
          <w:p w:rsidR="00B512E0" w:rsidRPr="00B512E0" w:rsidRDefault="00B512E0" w:rsidP="005C6E50">
            <w:pPr>
              <w:pStyle w:val="afff6"/>
              <w:numPr>
                <w:ilvl w:val="0"/>
                <w:numId w:val="69"/>
              </w:numPr>
              <w:contextualSpacing/>
              <w:rPr>
                <w:bCs/>
                <w:sz w:val="24"/>
                <w:szCs w:val="24"/>
                <w:lang w:val="en-US"/>
              </w:rPr>
            </w:pPr>
            <w:r w:rsidRPr="00B512E0">
              <w:rPr>
                <w:bCs/>
                <w:sz w:val="24"/>
                <w:szCs w:val="24"/>
                <w:lang w:val="en-US"/>
              </w:rPr>
              <w:t>Описи выбытий\Доля, %</w:t>
            </w:r>
          </w:p>
        </w:tc>
        <w:tc>
          <w:tcPr>
            <w:tcW w:w="2830" w:type="pct"/>
            <w:shd w:val="clear" w:color="auto" w:fill="FFFFFF"/>
          </w:tcPr>
          <w:p w:rsidR="00B512E0" w:rsidRPr="000A1068" w:rsidRDefault="00B512E0" w:rsidP="00F13F95">
            <w:pPr>
              <w:pStyle w:val="12-0"/>
            </w:pPr>
            <w:r w:rsidRPr="000A1068">
              <w:t>Факт разделить на План, в процентах</w:t>
            </w:r>
          </w:p>
        </w:tc>
      </w:tr>
    </w:tbl>
    <w:p w:rsidR="000E18B7" w:rsidRPr="00244770" w:rsidRDefault="000E18B7" w:rsidP="000E18B7">
      <w:pPr>
        <w:pStyle w:val="af0"/>
      </w:pPr>
      <w:r w:rsidRPr="00244770">
        <w:t>При переходе с представления «Мониторинг описей (Свод)» на представление «Мониторинг описей (детализация</w:t>
      </w:r>
      <w:r>
        <w:t>)» обеспечивается</w:t>
      </w:r>
      <w:r w:rsidRPr="00244770">
        <w:t xml:space="preserve"> передач</w:t>
      </w:r>
      <w:r>
        <w:t>а</w:t>
      </w:r>
      <w:r w:rsidRPr="00244770">
        <w:t xml:space="preserve"> параметра </w:t>
      </w:r>
      <w:r>
        <w:t>«Дата выписки»</w:t>
      </w:r>
      <w:r w:rsidRPr="00244770">
        <w:t>. В зависимости от того, с какой ячейки таблицы</w:t>
      </w:r>
      <w:r>
        <w:t xml:space="preserve"> выполняется переход,</w:t>
      </w:r>
      <w:r w:rsidRPr="00244770">
        <w:t xml:space="preserve"> соответственно </w:t>
      </w:r>
      <w:r>
        <w:t>передаются</w:t>
      </w:r>
      <w:r w:rsidRPr="00244770">
        <w:t xml:space="preserve"> параметры для фильтра "Статус загрузки":</w:t>
      </w:r>
    </w:p>
    <w:p w:rsidR="000E18B7" w:rsidRPr="00244770" w:rsidRDefault="00B512E0" w:rsidP="00B512E0">
      <w:pPr>
        <w:pStyle w:val="13"/>
      </w:pPr>
      <w:r>
        <w:t>е</w:t>
      </w:r>
      <w:r w:rsidR="000E18B7" w:rsidRPr="00244770">
        <w:t xml:space="preserve">сли переходим с </w:t>
      </w:r>
      <w:r w:rsidR="000E18B7">
        <w:t>«</w:t>
      </w:r>
      <w:r w:rsidR="000E18B7" w:rsidRPr="00244770">
        <w:t>Описи поступлений/загружено, факт</w:t>
      </w:r>
      <w:r w:rsidR="000E18B7">
        <w:t>»</w:t>
      </w:r>
      <w:r w:rsidR="000E18B7" w:rsidRPr="00244770">
        <w:t xml:space="preserve">, то в фильтре </w:t>
      </w:r>
      <w:r w:rsidR="000E18B7">
        <w:t>«</w:t>
      </w:r>
      <w:r w:rsidR="000E18B7" w:rsidRPr="00244770">
        <w:t>Статус загрузки</w:t>
      </w:r>
      <w:r w:rsidR="000E18B7">
        <w:t>»</w:t>
      </w:r>
      <w:r w:rsidR="000E18B7" w:rsidRPr="00244770">
        <w:t xml:space="preserve"> должен проставляться параметр </w:t>
      </w:r>
      <w:r w:rsidR="000E18B7">
        <w:t>«</w:t>
      </w:r>
      <w:r w:rsidR="000E18B7" w:rsidRPr="00244770">
        <w:t>Загружены описи поступлений</w:t>
      </w:r>
      <w:r w:rsidR="000E18B7">
        <w:t>»</w:t>
      </w:r>
      <w:r w:rsidR="000E18B7" w:rsidRPr="00244770">
        <w:t>;</w:t>
      </w:r>
    </w:p>
    <w:p w:rsidR="000E18B7" w:rsidRPr="00244770" w:rsidRDefault="00B512E0" w:rsidP="00B512E0">
      <w:pPr>
        <w:pStyle w:val="13"/>
      </w:pPr>
      <w:r>
        <w:t>е</w:t>
      </w:r>
      <w:r w:rsidR="000E18B7" w:rsidRPr="00244770">
        <w:t xml:space="preserve">сли переходим с </w:t>
      </w:r>
      <w:r w:rsidR="000E18B7">
        <w:t>«</w:t>
      </w:r>
      <w:r w:rsidR="000E18B7" w:rsidRPr="00244770">
        <w:t>Описи поступлений/Не загружено, факт</w:t>
      </w:r>
      <w:r w:rsidR="000E18B7">
        <w:t>»</w:t>
      </w:r>
      <w:r w:rsidR="000E18B7" w:rsidRPr="00244770">
        <w:t xml:space="preserve">, то в фильтре </w:t>
      </w:r>
      <w:r w:rsidR="000E18B7">
        <w:t>«</w:t>
      </w:r>
      <w:r w:rsidR="000E18B7" w:rsidRPr="00244770">
        <w:t>Статус загрузки</w:t>
      </w:r>
      <w:r w:rsidR="000E18B7">
        <w:t>»</w:t>
      </w:r>
      <w:r w:rsidR="000E18B7" w:rsidRPr="00244770">
        <w:t xml:space="preserve"> должен проставляться параметр </w:t>
      </w:r>
      <w:r w:rsidR="000E18B7">
        <w:t>«</w:t>
      </w:r>
      <w:r w:rsidR="000E18B7" w:rsidRPr="00244770">
        <w:t>Не загружены описи поступлений</w:t>
      </w:r>
      <w:r w:rsidR="000E18B7">
        <w:t>»</w:t>
      </w:r>
      <w:r w:rsidR="000E18B7" w:rsidRPr="00244770">
        <w:t>;</w:t>
      </w:r>
    </w:p>
    <w:p w:rsidR="000E18B7" w:rsidRPr="00244770" w:rsidRDefault="00B512E0" w:rsidP="00B512E0">
      <w:pPr>
        <w:pStyle w:val="13"/>
      </w:pPr>
      <w:r>
        <w:t>е</w:t>
      </w:r>
      <w:r w:rsidR="000E18B7" w:rsidRPr="00244770">
        <w:t xml:space="preserve">сли переходим с </w:t>
      </w:r>
      <w:r w:rsidR="000E18B7">
        <w:t>«</w:t>
      </w:r>
      <w:r w:rsidR="000E18B7" w:rsidRPr="00244770">
        <w:t>Описи выбытий/загружено, факт</w:t>
      </w:r>
      <w:r w:rsidR="000E18B7">
        <w:t>»</w:t>
      </w:r>
      <w:r w:rsidR="000E18B7" w:rsidRPr="00244770">
        <w:t xml:space="preserve">, то в фильтре </w:t>
      </w:r>
      <w:r w:rsidR="000E18B7">
        <w:t>«</w:t>
      </w:r>
      <w:r w:rsidR="000E18B7" w:rsidRPr="00244770">
        <w:t>Статус загрузки</w:t>
      </w:r>
      <w:r w:rsidR="000E18B7">
        <w:t>»</w:t>
      </w:r>
      <w:r w:rsidR="000E18B7" w:rsidRPr="00244770">
        <w:t xml:space="preserve"> должен проставляться параметр </w:t>
      </w:r>
      <w:r w:rsidR="000E18B7">
        <w:t>«</w:t>
      </w:r>
      <w:r w:rsidR="000E18B7" w:rsidRPr="00244770">
        <w:t>Загружены описи выбытий</w:t>
      </w:r>
      <w:r w:rsidR="000E18B7">
        <w:t>»</w:t>
      </w:r>
      <w:r w:rsidR="000E18B7" w:rsidRPr="00244770">
        <w:t>;</w:t>
      </w:r>
    </w:p>
    <w:p w:rsidR="000E18B7" w:rsidRPr="008F5DB1" w:rsidRDefault="00B512E0" w:rsidP="00B512E0">
      <w:pPr>
        <w:pStyle w:val="13"/>
      </w:pPr>
      <w:r>
        <w:t>е</w:t>
      </w:r>
      <w:r w:rsidR="000E18B7" w:rsidRPr="00244770">
        <w:t xml:space="preserve">сли переходим с </w:t>
      </w:r>
      <w:r w:rsidR="000E18B7">
        <w:t>«</w:t>
      </w:r>
      <w:r w:rsidR="000E18B7" w:rsidRPr="00244770">
        <w:t>Описи выбытий/Не загружено, факт</w:t>
      </w:r>
      <w:r w:rsidR="000E18B7">
        <w:t>»</w:t>
      </w:r>
      <w:r w:rsidR="000E18B7" w:rsidRPr="00244770">
        <w:t xml:space="preserve">, то в фильтре </w:t>
      </w:r>
      <w:r w:rsidR="000E18B7">
        <w:t>«</w:t>
      </w:r>
      <w:r w:rsidR="000E18B7" w:rsidRPr="00244770">
        <w:t>Статус загрузки</w:t>
      </w:r>
      <w:r w:rsidR="000E18B7">
        <w:t>»</w:t>
      </w:r>
      <w:r w:rsidR="000E18B7" w:rsidRPr="00244770">
        <w:t xml:space="preserve"> должен проставляться параметр </w:t>
      </w:r>
      <w:r w:rsidR="000E18B7">
        <w:t>«</w:t>
      </w:r>
      <w:r w:rsidR="000E18B7" w:rsidRPr="00244770">
        <w:t>Не загружены описи выбытий</w:t>
      </w:r>
      <w:r w:rsidR="000E18B7">
        <w:t>».</w:t>
      </w:r>
    </w:p>
    <w:p w:rsidR="000E18B7" w:rsidRPr="00206C4C" w:rsidRDefault="000E18B7" w:rsidP="00FD1A5F">
      <w:pPr>
        <w:pStyle w:val="42"/>
        <w:ind w:left="284"/>
        <w:jc w:val="left"/>
      </w:pPr>
      <w:r w:rsidRPr="00206C4C">
        <w:rPr>
          <w:snapToGrid/>
        </w:rPr>
        <w:t xml:space="preserve">Представление </w:t>
      </w:r>
      <w:r>
        <w:t>«Мониторинг описей (Детализация)»</w:t>
      </w:r>
    </w:p>
    <w:p w:rsidR="000E18B7" w:rsidRDefault="000E18B7" w:rsidP="000E18B7">
      <w:pPr>
        <w:pStyle w:val="af0"/>
      </w:pPr>
      <w:r>
        <w:t xml:space="preserve">Представление выполнено в виде динамически формируемой в зависимости от выбранного интервала дат таблицы (Рисунок </w:t>
      </w:r>
      <w:r>
        <w:fldChar w:fldCharType="begin"/>
      </w:r>
      <w:r>
        <w:instrText xml:space="preserve"> REF _Ref40642465 \h </w:instrText>
      </w:r>
      <w:r>
        <w:fldChar w:fldCharType="separate"/>
      </w:r>
      <w:r w:rsidR="00BF0BEE">
        <w:rPr>
          <w:noProof/>
        </w:rPr>
        <w:t>128</w:t>
      </w:r>
      <w:r>
        <w:fldChar w:fldCharType="end"/>
      </w:r>
      <w:r>
        <w:t>).</w:t>
      </w:r>
    </w:p>
    <w:p w:rsidR="000E18B7" w:rsidRDefault="000E18B7" w:rsidP="000E18B7">
      <w:pPr>
        <w:pStyle w:val="afffff7"/>
        <w:keepNext/>
      </w:pPr>
      <w:r>
        <w:rPr>
          <w:noProof/>
          <w:lang w:eastAsia="ru-RU"/>
        </w:rPr>
        <w:drawing>
          <wp:inline distT="0" distB="0" distL="0" distR="0" wp14:anchorId="63AC0329" wp14:editId="59021D26">
            <wp:extent cx="5939790" cy="2523292"/>
            <wp:effectExtent l="0" t="0" r="3810" b="0"/>
            <wp:docPr id="5745" name="Рисунок 5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5939790" cy="2523292"/>
                    </a:xfrm>
                    <a:prstGeom prst="rect">
                      <a:avLst/>
                    </a:prstGeom>
                  </pic:spPr>
                </pic:pic>
              </a:graphicData>
            </a:graphic>
          </wp:inline>
        </w:drawing>
      </w:r>
    </w:p>
    <w:p w:rsidR="000E18B7" w:rsidRPr="00D5005E" w:rsidRDefault="000E18B7" w:rsidP="000E18B7">
      <w:pPr>
        <w:pStyle w:val="-0"/>
      </w:pPr>
      <w:bookmarkStart w:id="446" w:name="_Toc69290332"/>
      <w:bookmarkStart w:id="447" w:name="_Toc69980131"/>
      <w:bookmarkStart w:id="448" w:name="_Toc119584315"/>
      <w:r>
        <w:t xml:space="preserve">Рисунок </w:t>
      </w:r>
      <w:fldSimple w:instr=" SEQ Рисунок \* ARABIC ">
        <w:bookmarkStart w:id="449" w:name="_Ref40642465"/>
        <w:r w:rsidR="001860A9">
          <w:rPr>
            <w:noProof/>
          </w:rPr>
          <w:t>128</w:t>
        </w:r>
        <w:bookmarkEnd w:id="449"/>
      </w:fldSimple>
      <w:r>
        <w:t xml:space="preserve"> – Макет отчета «Мониторинг загрузки в ПИАО данных из АСФК по описям платежных документов». Представление «Мониторинг описей (Детализация</w:t>
      </w:r>
      <w:r w:rsidRPr="007B4172">
        <w:t>)</w:t>
      </w:r>
      <w:r>
        <w:t>»</w:t>
      </w:r>
      <w:bookmarkEnd w:id="446"/>
      <w:bookmarkEnd w:id="447"/>
      <w:bookmarkEnd w:id="448"/>
    </w:p>
    <w:p w:rsidR="000E18B7" w:rsidRPr="00983C53" w:rsidRDefault="000E18B7" w:rsidP="000E18B7">
      <w:pPr>
        <w:ind w:firstLine="567"/>
        <w:rPr>
          <w:sz w:val="28"/>
          <w:szCs w:val="28"/>
        </w:rPr>
      </w:pPr>
      <w:r>
        <w:rPr>
          <w:sz w:val="28"/>
          <w:szCs w:val="28"/>
        </w:rPr>
        <w:t>Представление имеет следующие параметры</w:t>
      </w:r>
      <w:r w:rsidRPr="00983C53">
        <w:rPr>
          <w:sz w:val="28"/>
          <w:szCs w:val="28"/>
        </w:rPr>
        <w:t xml:space="preserve">: </w:t>
      </w:r>
    </w:p>
    <w:p w:rsidR="000E18B7" w:rsidRPr="00FD1A5F" w:rsidRDefault="000E18B7" w:rsidP="00B512E0">
      <w:pPr>
        <w:pStyle w:val="13"/>
      </w:pPr>
      <w:r w:rsidRPr="00FD1A5F">
        <w:t>Дата выписки: выбор по INFODATE. Выбор интервала «с» и «по». Выборка ограничивается одной неделей, даже если выбран больший интервал.</w:t>
      </w:r>
    </w:p>
    <w:p w:rsidR="000E18B7" w:rsidRPr="00FD1A5F" w:rsidRDefault="000E18B7" w:rsidP="00B512E0">
      <w:pPr>
        <w:pStyle w:val="13"/>
      </w:pPr>
      <w:r w:rsidRPr="00FD1A5F">
        <w:t>Фильтр «Тип описи»: Поступления – только записи с IPL = 1; Выбытия – только записи с IKR = 1. Все – выводятся все записи.</w:t>
      </w:r>
    </w:p>
    <w:p w:rsidR="000E18B7" w:rsidRPr="00FD1A5F" w:rsidRDefault="000E18B7" w:rsidP="00B512E0">
      <w:pPr>
        <w:pStyle w:val="13"/>
      </w:pPr>
      <w:r w:rsidRPr="00FD1A5F">
        <w:t>Фильтр по ТОФК с множественным выбором.</w:t>
      </w:r>
    </w:p>
    <w:p w:rsidR="000E18B7" w:rsidRDefault="000E18B7" w:rsidP="00B512E0">
      <w:pPr>
        <w:pStyle w:val="13"/>
      </w:pPr>
      <w:r w:rsidRPr="00FD1A5F">
        <w:t>Фильтр «Статус загрузки», содержащий</w:t>
      </w:r>
      <w:r>
        <w:t xml:space="preserve"> значения:</w:t>
      </w:r>
    </w:p>
    <w:p w:rsidR="000E18B7" w:rsidRPr="0079644C" w:rsidRDefault="000E18B7" w:rsidP="000E18B7">
      <w:pPr>
        <w:pStyle w:val="29"/>
      </w:pPr>
      <w:r>
        <w:t>«</w:t>
      </w:r>
      <w:r w:rsidRPr="0079644C">
        <w:t>Все</w:t>
      </w:r>
      <w:r>
        <w:t>» - таблица как есть, все значения</w:t>
      </w:r>
      <w:r w:rsidRPr="0079644C">
        <w:t>.</w:t>
      </w:r>
    </w:p>
    <w:p w:rsidR="000E18B7" w:rsidRPr="0079644C" w:rsidRDefault="000E18B7" w:rsidP="000E18B7">
      <w:pPr>
        <w:pStyle w:val="29"/>
      </w:pPr>
      <w:r>
        <w:t>«</w:t>
      </w:r>
      <w:r w:rsidRPr="0079644C">
        <w:t>Загружены описи поступлений</w:t>
      </w:r>
      <w:r>
        <w:t>»</w:t>
      </w:r>
      <w:r w:rsidRPr="0079644C">
        <w:t xml:space="preserve"> - показываем только те ТОФК, которые на эту дату передали </w:t>
      </w:r>
      <w:r>
        <w:t>описи</w:t>
      </w:r>
      <w:r w:rsidRPr="0079644C">
        <w:t xml:space="preserve"> по поступлениям.</w:t>
      </w:r>
    </w:p>
    <w:p w:rsidR="000E18B7" w:rsidRPr="0079644C" w:rsidRDefault="000E18B7" w:rsidP="000E18B7">
      <w:pPr>
        <w:pStyle w:val="29"/>
      </w:pPr>
      <w:r>
        <w:t>«</w:t>
      </w:r>
      <w:r w:rsidRPr="0079644C">
        <w:t>Не загружены описи поступлений</w:t>
      </w:r>
      <w:r>
        <w:t>»</w:t>
      </w:r>
      <w:r w:rsidRPr="0079644C">
        <w:t xml:space="preserve"> - показываем только те ТОФК, которые нам на эту дату ничего не передали по поступлениям.</w:t>
      </w:r>
    </w:p>
    <w:p w:rsidR="000E18B7" w:rsidRPr="0079644C" w:rsidRDefault="000E18B7" w:rsidP="000E18B7">
      <w:pPr>
        <w:pStyle w:val="29"/>
      </w:pPr>
      <w:r>
        <w:t>«</w:t>
      </w:r>
      <w:r w:rsidRPr="0079644C">
        <w:t>Загружены описей выбытий</w:t>
      </w:r>
      <w:r>
        <w:t>»</w:t>
      </w:r>
      <w:r w:rsidRPr="0079644C">
        <w:t xml:space="preserve"> - показываем только те ТОФК, которые нам на эту дату передали </w:t>
      </w:r>
      <w:r>
        <w:t>описи</w:t>
      </w:r>
      <w:r w:rsidRPr="0079644C">
        <w:t xml:space="preserve"> по выбытиям.</w:t>
      </w:r>
    </w:p>
    <w:p w:rsidR="000E18B7" w:rsidRPr="0079644C" w:rsidRDefault="000E18B7" w:rsidP="000E18B7">
      <w:pPr>
        <w:pStyle w:val="29"/>
      </w:pPr>
      <w:r>
        <w:t>«</w:t>
      </w:r>
      <w:r w:rsidRPr="0079644C">
        <w:t>Не загружены описей выбытий</w:t>
      </w:r>
      <w:r>
        <w:t>»</w:t>
      </w:r>
      <w:r w:rsidRPr="0079644C">
        <w:t xml:space="preserve"> - показываем только те ТОФК, которые нам на эту дату ничего не передали по выбытиям.</w:t>
      </w:r>
    </w:p>
    <w:p w:rsidR="000E18B7" w:rsidRPr="00D5005E" w:rsidRDefault="000E18B7" w:rsidP="000E18B7">
      <w:pPr>
        <w:pStyle w:val="29"/>
        <w:ind w:hanging="283"/>
        <w:rPr>
          <w:szCs w:val="28"/>
        </w:rPr>
      </w:pPr>
      <w:r>
        <w:t>«</w:t>
      </w:r>
      <w:r w:rsidRPr="0079644C">
        <w:t>Не загружено</w:t>
      </w:r>
      <w:r>
        <w:t>»</w:t>
      </w:r>
      <w:r w:rsidRPr="0079644C">
        <w:t xml:space="preserve"> - показываем только те ТОФК, которые на эту дату не передали ничего.</w:t>
      </w:r>
      <w:r>
        <w:t xml:space="preserve"> </w:t>
      </w:r>
      <w:r w:rsidRPr="00D5005E">
        <w:rPr>
          <w:szCs w:val="28"/>
        </w:rPr>
        <w:t>Фильтр доступен только на одну дату. При выборе интервала дат фильтр неактивен.</w:t>
      </w:r>
    </w:p>
    <w:p w:rsidR="000E18B7" w:rsidRDefault="000E18B7" w:rsidP="000E18B7">
      <w:pPr>
        <w:pStyle w:val="af0"/>
      </w:pPr>
      <w:r>
        <w:t>С наименования ТОФК осуществляется переход в третье представление «Мониторинг типов документов» с сохранением параметров.</w:t>
      </w:r>
    </w:p>
    <w:p w:rsidR="000E18B7" w:rsidRPr="00083140" w:rsidRDefault="000E18B7" w:rsidP="000E18B7">
      <w:pPr>
        <w:pStyle w:val="af0"/>
      </w:pPr>
      <w:r w:rsidRPr="00083140">
        <w:t>Правила заполнения</w:t>
      </w:r>
      <w:r>
        <w:t xml:space="preserve"> представлены в таблице ниже</w:t>
      </w:r>
      <w:r w:rsidRPr="00083140">
        <w:t>:</w:t>
      </w:r>
    </w:p>
    <w:p w:rsidR="000E18B7" w:rsidRPr="008A05B9" w:rsidRDefault="000E18B7" w:rsidP="000E18B7">
      <w:pPr>
        <w:pStyle w:val="-"/>
      </w:pPr>
      <w:bookmarkStart w:id="450" w:name="_Toc25224583"/>
      <w:bookmarkStart w:id="451" w:name="_Toc69290203"/>
      <w:bookmarkStart w:id="452" w:name="_Toc69917972"/>
      <w:bookmarkStart w:id="453" w:name="_Toc119585147"/>
      <w:r w:rsidRPr="008A05B9">
        <w:t xml:space="preserve">Таблица </w:t>
      </w:r>
      <w:fldSimple w:instr=" SEQ Таблица \* ARABIC ">
        <w:r w:rsidR="00BF0BEE">
          <w:rPr>
            <w:noProof/>
          </w:rPr>
          <w:t>6</w:t>
        </w:r>
      </w:fldSimple>
      <w:r w:rsidRPr="008A05B9">
        <w:t xml:space="preserve"> – Правила заполнения «Мониторинг описей (Детализация)»:</w:t>
      </w:r>
      <w:bookmarkEnd w:id="450"/>
      <w:bookmarkEnd w:id="451"/>
      <w:bookmarkEnd w:id="452"/>
      <w:bookmarkEnd w:id="453"/>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6"/>
        <w:gridCol w:w="7121"/>
      </w:tblGrid>
      <w:tr w:rsidR="00B512E0" w:rsidRPr="002103C1" w:rsidTr="00B512E0">
        <w:trPr>
          <w:tblHeader/>
        </w:trPr>
        <w:tc>
          <w:tcPr>
            <w:tcW w:w="1347" w:type="pct"/>
            <w:shd w:val="clear" w:color="auto" w:fill="D9D9D9"/>
          </w:tcPr>
          <w:p w:rsidR="00B512E0" w:rsidRPr="002103C1" w:rsidRDefault="00B512E0" w:rsidP="00F13F95">
            <w:pPr>
              <w:pStyle w:val="-6"/>
              <w:rPr>
                <w:bCs/>
                <w:sz w:val="24"/>
              </w:rPr>
            </w:pPr>
            <w:bookmarkStart w:id="454" w:name="_Toc22290064"/>
            <w:r w:rsidRPr="002103C1">
              <w:rPr>
                <w:bCs/>
                <w:sz w:val="24"/>
              </w:rPr>
              <w:t>Название колонки</w:t>
            </w:r>
            <w:bookmarkEnd w:id="454"/>
          </w:p>
        </w:tc>
        <w:tc>
          <w:tcPr>
            <w:tcW w:w="3653" w:type="pct"/>
            <w:shd w:val="clear" w:color="auto" w:fill="D9D9D9"/>
          </w:tcPr>
          <w:p w:rsidR="00B512E0" w:rsidRPr="002103C1" w:rsidRDefault="00B512E0" w:rsidP="00F13F95">
            <w:pPr>
              <w:pStyle w:val="-6"/>
              <w:rPr>
                <w:bCs/>
                <w:sz w:val="24"/>
              </w:rPr>
            </w:pPr>
            <w:bookmarkStart w:id="455" w:name="_Toc22290065"/>
            <w:r w:rsidRPr="002103C1">
              <w:rPr>
                <w:bCs/>
                <w:sz w:val="24"/>
              </w:rPr>
              <w:t>Правило формирования</w:t>
            </w:r>
            <w:bookmarkEnd w:id="455"/>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56" w:name="_Toc22290066"/>
            <w:r w:rsidRPr="00B512E0">
              <w:rPr>
                <w:bCs/>
                <w:sz w:val="24"/>
                <w:szCs w:val="24"/>
                <w:lang w:val="en-US"/>
              </w:rPr>
              <w:t>ТОФК\Код</w:t>
            </w:r>
            <w:bookmarkEnd w:id="456"/>
          </w:p>
        </w:tc>
        <w:tc>
          <w:tcPr>
            <w:tcW w:w="3653" w:type="pct"/>
            <w:shd w:val="clear" w:color="auto" w:fill="FFFFFF"/>
          </w:tcPr>
          <w:p w:rsidR="00B512E0" w:rsidRPr="00B512E0" w:rsidRDefault="00B512E0" w:rsidP="00F13F95">
            <w:pPr>
              <w:pStyle w:val="12-0"/>
              <w:rPr>
                <w:szCs w:val="24"/>
              </w:rPr>
            </w:pPr>
            <w:bookmarkStart w:id="457" w:name="_Toc22290067"/>
            <w:r w:rsidRPr="00B512E0">
              <w:rPr>
                <w:szCs w:val="24"/>
              </w:rPr>
              <w:t>TOFKCODE</w:t>
            </w:r>
            <w:bookmarkEnd w:id="457"/>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58" w:name="_Toc22290068"/>
            <w:r w:rsidRPr="00B512E0">
              <w:rPr>
                <w:bCs/>
                <w:sz w:val="24"/>
                <w:szCs w:val="24"/>
                <w:lang w:val="en-US"/>
              </w:rPr>
              <w:t>ТОФК\Наименование</w:t>
            </w:r>
            <w:bookmarkEnd w:id="458"/>
            <w:r w:rsidRPr="00B512E0">
              <w:rPr>
                <w:bCs/>
                <w:sz w:val="24"/>
                <w:szCs w:val="24"/>
                <w:lang w:val="en-US"/>
              </w:rPr>
              <w:t xml:space="preserve"> </w:t>
            </w:r>
          </w:p>
        </w:tc>
        <w:tc>
          <w:tcPr>
            <w:tcW w:w="3653" w:type="pct"/>
            <w:shd w:val="clear" w:color="auto" w:fill="FFFFFF"/>
          </w:tcPr>
          <w:p w:rsidR="00B512E0" w:rsidRPr="00B512E0" w:rsidRDefault="00B512E0" w:rsidP="00F13F95">
            <w:pPr>
              <w:pStyle w:val="12-0"/>
              <w:rPr>
                <w:szCs w:val="24"/>
              </w:rPr>
            </w:pPr>
            <w:bookmarkStart w:id="459" w:name="_Toc22290069"/>
            <w:r w:rsidRPr="00B512E0">
              <w:rPr>
                <w:szCs w:val="24"/>
              </w:rPr>
              <w:t>По коду ТОФК из справочника D_ASFK_TOFK выводим наименование (NAME). На каждую дату у нас выводится полный список ТОФК (фактически первые два столбца на любую дату неизменны). Для ТОФК, которые не передали на эту дату данные (нет записей в таблице) оставляем просто пустую строчку.</w:t>
            </w:r>
            <w:bookmarkEnd w:id="459"/>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60" w:name="_Toc22290070"/>
            <w:r w:rsidRPr="00B512E0">
              <w:rPr>
                <w:bCs/>
                <w:sz w:val="24"/>
                <w:szCs w:val="24"/>
                <w:lang w:val="en-US"/>
              </w:rPr>
              <w:t>Дата в шапке</w:t>
            </w:r>
            <w:bookmarkEnd w:id="460"/>
          </w:p>
        </w:tc>
        <w:tc>
          <w:tcPr>
            <w:tcW w:w="3653" w:type="pct"/>
            <w:shd w:val="clear" w:color="auto" w:fill="FFFFFF"/>
          </w:tcPr>
          <w:p w:rsidR="00B512E0" w:rsidRPr="00B512E0" w:rsidRDefault="00B512E0" w:rsidP="00F13F95">
            <w:pPr>
              <w:pStyle w:val="12-0"/>
              <w:rPr>
                <w:szCs w:val="24"/>
              </w:rPr>
            </w:pPr>
            <w:bookmarkStart w:id="461" w:name="_Toc22290071"/>
            <w:r w:rsidRPr="00B512E0">
              <w:rPr>
                <w:szCs w:val="24"/>
              </w:rPr>
              <w:t>Проверяется по полю INFODATE</w:t>
            </w:r>
            <w:bookmarkEnd w:id="461"/>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62" w:name="_Toc22290072"/>
            <w:r w:rsidRPr="00B512E0">
              <w:rPr>
                <w:bCs/>
                <w:sz w:val="24"/>
                <w:szCs w:val="24"/>
                <w:lang w:val="en-US"/>
              </w:rPr>
              <w:t>Поступления (IPL)\Получен</w:t>
            </w:r>
            <w:bookmarkEnd w:id="462"/>
          </w:p>
        </w:tc>
        <w:tc>
          <w:tcPr>
            <w:tcW w:w="3653" w:type="pct"/>
            <w:shd w:val="clear" w:color="auto" w:fill="FFFFFF"/>
          </w:tcPr>
          <w:p w:rsidR="00B512E0" w:rsidRPr="00B512E0" w:rsidRDefault="00B512E0" w:rsidP="00F13F95">
            <w:pPr>
              <w:pStyle w:val="12-0"/>
              <w:rPr>
                <w:szCs w:val="24"/>
              </w:rPr>
            </w:pPr>
            <w:bookmarkStart w:id="463" w:name="_Toc22290073"/>
            <w:r w:rsidRPr="00B512E0">
              <w:rPr>
                <w:szCs w:val="24"/>
              </w:rPr>
              <w:t>Если для данного ТОФК на данную дату есть запись, у которой в поле IPL = 1, то ставим галочку.</w:t>
            </w:r>
            <w:bookmarkEnd w:id="463"/>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64" w:name="_Toc22290074"/>
            <w:r w:rsidRPr="00B512E0">
              <w:rPr>
                <w:bCs/>
                <w:sz w:val="24"/>
                <w:szCs w:val="24"/>
                <w:lang w:val="en-US"/>
              </w:rPr>
              <w:t>Поступления (IPL)\Документов</w:t>
            </w:r>
            <w:bookmarkEnd w:id="464"/>
          </w:p>
        </w:tc>
        <w:tc>
          <w:tcPr>
            <w:tcW w:w="3653" w:type="pct"/>
            <w:shd w:val="clear" w:color="auto" w:fill="FFFFFF"/>
          </w:tcPr>
          <w:p w:rsidR="00B512E0" w:rsidRPr="00B512E0" w:rsidRDefault="00B512E0" w:rsidP="00F13F95">
            <w:pPr>
              <w:pStyle w:val="12-0"/>
              <w:rPr>
                <w:szCs w:val="24"/>
              </w:rPr>
            </w:pPr>
            <w:bookmarkStart w:id="465" w:name="_Toc22290075"/>
            <w:r w:rsidRPr="00B512E0">
              <w:rPr>
                <w:szCs w:val="24"/>
              </w:rPr>
              <w:t>Значение из поля DOCSAMOUNT (для всех типов документов, суммируем по всем DOCTYPE) для данного ТОФК на данную дату, у которых в поле IPL = 1.</w:t>
            </w:r>
            <w:bookmarkEnd w:id="465"/>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66" w:name="_Toc22290076"/>
            <w:r w:rsidRPr="00B512E0">
              <w:rPr>
                <w:bCs/>
                <w:sz w:val="24"/>
                <w:szCs w:val="24"/>
                <w:lang w:val="en-US"/>
              </w:rPr>
              <w:t>Поступления (IKR)\Получен</w:t>
            </w:r>
            <w:bookmarkEnd w:id="466"/>
          </w:p>
        </w:tc>
        <w:tc>
          <w:tcPr>
            <w:tcW w:w="3653" w:type="pct"/>
            <w:shd w:val="clear" w:color="auto" w:fill="FFFFFF"/>
          </w:tcPr>
          <w:p w:rsidR="00B512E0" w:rsidRPr="00B512E0" w:rsidRDefault="00B512E0" w:rsidP="00F13F95">
            <w:pPr>
              <w:pStyle w:val="12-0"/>
              <w:rPr>
                <w:szCs w:val="24"/>
              </w:rPr>
            </w:pPr>
            <w:bookmarkStart w:id="467" w:name="_Toc22290077"/>
            <w:r w:rsidRPr="00B512E0">
              <w:rPr>
                <w:szCs w:val="24"/>
              </w:rPr>
              <w:t>Если для данного ТОФК на данную дату есть запись, у которой в поле IKR = 1, то ставим галочку.</w:t>
            </w:r>
            <w:bookmarkEnd w:id="467"/>
          </w:p>
        </w:tc>
      </w:tr>
      <w:tr w:rsidR="00B512E0" w:rsidRPr="007B383D" w:rsidTr="00B512E0">
        <w:tc>
          <w:tcPr>
            <w:tcW w:w="1347" w:type="pct"/>
            <w:shd w:val="clear" w:color="auto" w:fill="FFFFFF"/>
          </w:tcPr>
          <w:p w:rsidR="00B512E0" w:rsidRPr="00B512E0" w:rsidRDefault="00B512E0" w:rsidP="005C6E50">
            <w:pPr>
              <w:pStyle w:val="afff6"/>
              <w:numPr>
                <w:ilvl w:val="0"/>
                <w:numId w:val="70"/>
              </w:numPr>
              <w:contextualSpacing/>
              <w:rPr>
                <w:bCs/>
                <w:sz w:val="24"/>
                <w:szCs w:val="24"/>
                <w:lang w:val="en-US"/>
              </w:rPr>
            </w:pPr>
            <w:bookmarkStart w:id="468" w:name="_Toc22290078"/>
            <w:r w:rsidRPr="00B512E0">
              <w:rPr>
                <w:bCs/>
                <w:sz w:val="24"/>
                <w:szCs w:val="24"/>
                <w:lang w:val="en-US"/>
              </w:rPr>
              <w:t>Поступления (IKR)\Документов</w:t>
            </w:r>
            <w:bookmarkEnd w:id="468"/>
          </w:p>
        </w:tc>
        <w:tc>
          <w:tcPr>
            <w:tcW w:w="3653" w:type="pct"/>
            <w:shd w:val="clear" w:color="auto" w:fill="FFFFFF"/>
          </w:tcPr>
          <w:p w:rsidR="00B512E0" w:rsidRPr="00B512E0" w:rsidRDefault="00B512E0" w:rsidP="00F13F95">
            <w:pPr>
              <w:pStyle w:val="12-0"/>
              <w:rPr>
                <w:szCs w:val="24"/>
              </w:rPr>
            </w:pPr>
            <w:bookmarkStart w:id="469" w:name="_Toc22290079"/>
            <w:r w:rsidRPr="00B512E0">
              <w:rPr>
                <w:szCs w:val="24"/>
              </w:rPr>
              <w:t>Значение из поля DOCSAMOUNT (для всех типов документов, суммируем по всем DOCTYPE) для данного ТОФК на данную дату, у которых в поле IKR = 1.</w:t>
            </w:r>
            <w:bookmarkEnd w:id="469"/>
          </w:p>
        </w:tc>
      </w:tr>
    </w:tbl>
    <w:p w:rsidR="000E18B7" w:rsidRDefault="000E18B7" w:rsidP="00471655">
      <w:pPr>
        <w:pStyle w:val="42"/>
        <w:ind w:left="284"/>
        <w:jc w:val="left"/>
      </w:pPr>
      <w:r w:rsidRPr="00206C4C">
        <w:rPr>
          <w:snapToGrid/>
        </w:rPr>
        <w:t xml:space="preserve">Представление </w:t>
      </w:r>
      <w:r>
        <w:t>«</w:t>
      </w:r>
      <w:r>
        <w:rPr>
          <w:szCs w:val="28"/>
        </w:rPr>
        <w:t>Мониторинг типов документов</w:t>
      </w:r>
      <w:r>
        <w:t>»</w:t>
      </w:r>
    </w:p>
    <w:p w:rsidR="000E18B7" w:rsidRDefault="000E18B7" w:rsidP="000E18B7">
      <w:pPr>
        <w:pStyle w:val="af0"/>
      </w:pPr>
      <w:r>
        <w:t xml:space="preserve">Представление выполнено в виде таблицы и представлено на Рисунке </w:t>
      </w:r>
      <w:r>
        <w:fldChar w:fldCharType="begin"/>
      </w:r>
      <w:r>
        <w:instrText xml:space="preserve"> REF _Ref40642723 \h </w:instrText>
      </w:r>
      <w:r>
        <w:fldChar w:fldCharType="separate"/>
      </w:r>
      <w:r w:rsidR="00BF0BEE">
        <w:rPr>
          <w:noProof/>
        </w:rPr>
        <w:t>129</w:t>
      </w:r>
      <w:r>
        <w:fldChar w:fldCharType="end"/>
      </w:r>
      <w:r>
        <w:t>.</w:t>
      </w:r>
    </w:p>
    <w:p w:rsidR="000E18B7" w:rsidRDefault="000E18B7" w:rsidP="000E18B7">
      <w:pPr>
        <w:pStyle w:val="afffff7"/>
        <w:keepNext/>
      </w:pPr>
      <w:r>
        <w:rPr>
          <w:noProof/>
          <w:lang w:eastAsia="ru-RU"/>
        </w:rPr>
        <w:drawing>
          <wp:inline distT="0" distB="0" distL="0" distR="0" wp14:anchorId="4125322A" wp14:editId="4B025CA9">
            <wp:extent cx="5939790" cy="2488348"/>
            <wp:effectExtent l="0" t="0" r="3810" b="7620"/>
            <wp:docPr id="5746" name="Рисунок 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5939790" cy="2488348"/>
                    </a:xfrm>
                    <a:prstGeom prst="rect">
                      <a:avLst/>
                    </a:prstGeom>
                  </pic:spPr>
                </pic:pic>
              </a:graphicData>
            </a:graphic>
          </wp:inline>
        </w:drawing>
      </w:r>
    </w:p>
    <w:p w:rsidR="000E18B7" w:rsidRDefault="000E18B7" w:rsidP="000E18B7">
      <w:pPr>
        <w:pStyle w:val="-0"/>
      </w:pPr>
      <w:bookmarkStart w:id="470" w:name="_Toc69290333"/>
      <w:bookmarkStart w:id="471" w:name="_Toc69980132"/>
      <w:bookmarkStart w:id="472" w:name="_Toc119584316"/>
      <w:r>
        <w:t xml:space="preserve">Рисунок </w:t>
      </w:r>
      <w:fldSimple w:instr=" SEQ Рисунок \* ARABIC ">
        <w:bookmarkStart w:id="473" w:name="_Ref40642723"/>
        <w:r w:rsidR="001860A9">
          <w:rPr>
            <w:noProof/>
          </w:rPr>
          <w:t>129</w:t>
        </w:r>
        <w:bookmarkEnd w:id="473"/>
      </w:fldSimple>
      <w:r>
        <w:t xml:space="preserve"> – Макет отчета «Мониторинг загрузки в ПИАО данных из АСФК по описям платежных документов». Представление «</w:t>
      </w:r>
      <w:r>
        <w:rPr>
          <w:szCs w:val="28"/>
        </w:rPr>
        <w:t>Мониторинг типов документов</w:t>
      </w:r>
      <w:r>
        <w:t>»</w:t>
      </w:r>
      <w:bookmarkEnd w:id="470"/>
      <w:bookmarkEnd w:id="471"/>
      <w:bookmarkEnd w:id="472"/>
    </w:p>
    <w:p w:rsidR="000E18B7" w:rsidRPr="00F85EEF" w:rsidRDefault="000E18B7" w:rsidP="000E18B7">
      <w:pPr>
        <w:pStyle w:val="af0"/>
      </w:pPr>
      <w:r>
        <w:t>Представление имеет следующие параметры:</w:t>
      </w:r>
    </w:p>
    <w:p w:rsidR="000E18B7" w:rsidRPr="00471655" w:rsidRDefault="00B512E0" w:rsidP="00B512E0">
      <w:pPr>
        <w:pStyle w:val="13"/>
      </w:pPr>
      <w:r>
        <w:t>д</w:t>
      </w:r>
      <w:r w:rsidR="000E18B7" w:rsidRPr="00471655">
        <w:t>ата выписки: выбор по INFODATE. Выбирается один день.</w:t>
      </w:r>
    </w:p>
    <w:p w:rsidR="000E18B7" w:rsidRPr="00471655" w:rsidRDefault="00B512E0" w:rsidP="00B512E0">
      <w:pPr>
        <w:pStyle w:val="13"/>
      </w:pPr>
      <w:r>
        <w:t>ф</w:t>
      </w:r>
      <w:r w:rsidR="000E18B7" w:rsidRPr="00471655">
        <w:t>ильтр по ТОФК: код (TOFKCODE) + наименование ТОФК. Таблица строится по выбранному ТОФК (выбранным ТОФК).</w:t>
      </w:r>
    </w:p>
    <w:p w:rsidR="000E18B7" w:rsidRPr="00125695" w:rsidRDefault="00B512E0" w:rsidP="00B512E0">
      <w:pPr>
        <w:pStyle w:val="13"/>
      </w:pPr>
      <w:r>
        <w:t>в</w:t>
      </w:r>
      <w:r w:rsidR="000E18B7" w:rsidRPr="00471655">
        <w:t>ыбор единиц измерений</w:t>
      </w:r>
      <w:r w:rsidR="000E18B7">
        <w:t xml:space="preserve"> (руб, тыс руб, млн руб).</w:t>
      </w:r>
    </w:p>
    <w:p w:rsidR="000E18B7" w:rsidRPr="002C1CBA" w:rsidRDefault="000E18B7" w:rsidP="000E18B7">
      <w:pPr>
        <w:pStyle w:val="af0"/>
      </w:pPr>
      <w:r>
        <w:t>Реализован переход к представлению «Мониторинг в разрезе КБК».</w:t>
      </w:r>
    </w:p>
    <w:p w:rsidR="000E18B7" w:rsidRPr="00EA67A4" w:rsidRDefault="000E18B7" w:rsidP="000E18B7">
      <w:pPr>
        <w:pStyle w:val="af0"/>
      </w:pPr>
      <w:r w:rsidRPr="00EA67A4">
        <w:t>Правила заполнения</w:t>
      </w:r>
      <w:r>
        <w:t xml:space="preserve"> представлены в таблице ниже.</w:t>
      </w:r>
    </w:p>
    <w:p w:rsidR="000E18B7" w:rsidRPr="002103C1" w:rsidRDefault="000E18B7" w:rsidP="000E18B7">
      <w:pPr>
        <w:pStyle w:val="-"/>
      </w:pPr>
      <w:bookmarkStart w:id="474" w:name="_Toc25224584"/>
      <w:bookmarkStart w:id="475" w:name="_Toc69290204"/>
      <w:bookmarkStart w:id="476" w:name="_Toc69917973"/>
      <w:bookmarkStart w:id="477" w:name="_Toc119585148"/>
      <w:r>
        <w:t xml:space="preserve">Таблица </w:t>
      </w:r>
      <w:fldSimple w:instr=" SEQ Таблица \* ARABIC ">
        <w:r w:rsidR="00BF0BEE">
          <w:rPr>
            <w:noProof/>
          </w:rPr>
          <w:t>7</w:t>
        </w:r>
      </w:fldSimple>
      <w:r>
        <w:t xml:space="preserve"> – Правила заполнения </w:t>
      </w:r>
      <w:r w:rsidRPr="002103C1">
        <w:t>«Мониторинг типов документов»</w:t>
      </w:r>
      <w:r>
        <w:t>:</w:t>
      </w:r>
      <w:bookmarkEnd w:id="474"/>
      <w:bookmarkEnd w:id="475"/>
      <w:bookmarkEnd w:id="476"/>
      <w:bookmarkEnd w:id="4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7236"/>
      </w:tblGrid>
      <w:tr w:rsidR="00B512E0" w:rsidRPr="002103C1" w:rsidTr="00B512E0">
        <w:tc>
          <w:tcPr>
            <w:tcW w:w="1328" w:type="pct"/>
            <w:shd w:val="clear" w:color="auto" w:fill="D9D9D9"/>
          </w:tcPr>
          <w:p w:rsidR="00B512E0" w:rsidRPr="002103C1" w:rsidRDefault="00B512E0" w:rsidP="00F13F95">
            <w:pPr>
              <w:pStyle w:val="-6"/>
              <w:rPr>
                <w:bCs/>
                <w:sz w:val="24"/>
              </w:rPr>
            </w:pPr>
            <w:bookmarkStart w:id="478" w:name="_Toc22290082"/>
            <w:r w:rsidRPr="002103C1">
              <w:rPr>
                <w:bCs/>
                <w:sz w:val="24"/>
              </w:rPr>
              <w:t>Название колонки</w:t>
            </w:r>
            <w:bookmarkEnd w:id="478"/>
          </w:p>
        </w:tc>
        <w:tc>
          <w:tcPr>
            <w:tcW w:w="3672" w:type="pct"/>
            <w:shd w:val="clear" w:color="auto" w:fill="D9D9D9"/>
          </w:tcPr>
          <w:p w:rsidR="00B512E0" w:rsidRPr="002103C1" w:rsidRDefault="00B512E0" w:rsidP="00F13F95">
            <w:pPr>
              <w:pStyle w:val="-6"/>
              <w:rPr>
                <w:bCs/>
                <w:sz w:val="24"/>
              </w:rPr>
            </w:pPr>
            <w:bookmarkStart w:id="479" w:name="_Toc22290083"/>
            <w:r w:rsidRPr="002103C1">
              <w:rPr>
                <w:bCs/>
                <w:sz w:val="24"/>
              </w:rPr>
              <w:t>Правило формирования</w:t>
            </w:r>
            <w:bookmarkEnd w:id="479"/>
          </w:p>
        </w:tc>
      </w:tr>
      <w:tr w:rsidR="00B512E0" w:rsidRPr="007B383D" w:rsidTr="00B512E0">
        <w:tc>
          <w:tcPr>
            <w:tcW w:w="1328" w:type="pct"/>
          </w:tcPr>
          <w:p w:rsidR="00B512E0" w:rsidRPr="00B512E0" w:rsidRDefault="00B512E0" w:rsidP="005C6E50">
            <w:pPr>
              <w:pStyle w:val="afff6"/>
              <w:numPr>
                <w:ilvl w:val="0"/>
                <w:numId w:val="71"/>
              </w:numPr>
              <w:contextualSpacing/>
              <w:rPr>
                <w:bCs/>
                <w:sz w:val="24"/>
                <w:lang w:val="en-US"/>
              </w:rPr>
            </w:pPr>
            <w:bookmarkStart w:id="480" w:name="_Toc22290084"/>
            <w:r w:rsidRPr="00B512E0">
              <w:rPr>
                <w:bCs/>
                <w:sz w:val="24"/>
                <w:lang w:val="en-US"/>
              </w:rPr>
              <w:t>Тип документа</w:t>
            </w:r>
            <w:bookmarkEnd w:id="480"/>
          </w:p>
        </w:tc>
        <w:tc>
          <w:tcPr>
            <w:tcW w:w="3672" w:type="pct"/>
          </w:tcPr>
          <w:p w:rsidR="00B512E0" w:rsidRPr="00C35B92" w:rsidRDefault="00B512E0" w:rsidP="00F13F95">
            <w:pPr>
              <w:pStyle w:val="12-0"/>
            </w:pPr>
            <w:bookmarkStart w:id="481" w:name="_Toc22290085"/>
            <w:r w:rsidRPr="00C35B92">
              <w:t>Фиксированная шапка</w:t>
            </w:r>
            <w:bookmarkEnd w:id="481"/>
          </w:p>
        </w:tc>
      </w:tr>
      <w:tr w:rsidR="00B512E0" w:rsidRPr="007B383D" w:rsidTr="00B512E0">
        <w:tc>
          <w:tcPr>
            <w:tcW w:w="1328" w:type="pct"/>
          </w:tcPr>
          <w:p w:rsidR="00B512E0" w:rsidRPr="00B512E0" w:rsidRDefault="00B512E0" w:rsidP="005C6E50">
            <w:pPr>
              <w:pStyle w:val="afff6"/>
              <w:numPr>
                <w:ilvl w:val="0"/>
                <w:numId w:val="71"/>
              </w:numPr>
              <w:contextualSpacing/>
              <w:rPr>
                <w:bCs/>
                <w:sz w:val="24"/>
                <w:lang w:val="en-US"/>
              </w:rPr>
            </w:pPr>
            <w:bookmarkStart w:id="482" w:name="_Toc22290086"/>
            <w:r w:rsidRPr="00B512E0">
              <w:rPr>
                <w:bCs/>
                <w:sz w:val="24"/>
                <w:lang w:val="en-US"/>
              </w:rPr>
              <w:t>Количество</w:t>
            </w:r>
            <w:bookmarkEnd w:id="482"/>
          </w:p>
        </w:tc>
        <w:tc>
          <w:tcPr>
            <w:tcW w:w="3672" w:type="pct"/>
          </w:tcPr>
          <w:p w:rsidR="00B512E0" w:rsidRPr="00C35B92" w:rsidRDefault="00B512E0" w:rsidP="00F13F95">
            <w:pPr>
              <w:pStyle w:val="12-0"/>
            </w:pPr>
            <w:bookmarkStart w:id="483" w:name="_Toc22290087"/>
            <w:r w:rsidRPr="00C35B92">
              <w:t xml:space="preserve">Для ТОФК и даты из параметров </w:t>
            </w:r>
            <w:r>
              <w:t>проверяется</w:t>
            </w:r>
            <w:r w:rsidRPr="00C35B92">
              <w:t xml:space="preserve"> количество записей по полю DOCSAMOUNT для данного типа документа (тип документа в поле DOCTYPE).</w:t>
            </w:r>
            <w:bookmarkEnd w:id="483"/>
          </w:p>
        </w:tc>
      </w:tr>
      <w:tr w:rsidR="00B512E0" w:rsidRPr="007B383D" w:rsidTr="00B512E0">
        <w:tc>
          <w:tcPr>
            <w:tcW w:w="1328" w:type="pct"/>
          </w:tcPr>
          <w:p w:rsidR="00B512E0" w:rsidRPr="00B512E0" w:rsidRDefault="00B512E0" w:rsidP="005C6E50">
            <w:pPr>
              <w:pStyle w:val="afff6"/>
              <w:numPr>
                <w:ilvl w:val="0"/>
                <w:numId w:val="71"/>
              </w:numPr>
              <w:contextualSpacing/>
              <w:rPr>
                <w:bCs/>
                <w:sz w:val="24"/>
                <w:lang w:val="en-US"/>
              </w:rPr>
            </w:pPr>
            <w:bookmarkStart w:id="484" w:name="_Toc22290088"/>
            <w:r w:rsidRPr="00B512E0">
              <w:rPr>
                <w:bCs/>
                <w:sz w:val="24"/>
                <w:lang w:val="en-US"/>
              </w:rPr>
              <w:t>Сумма</w:t>
            </w:r>
            <w:bookmarkEnd w:id="484"/>
          </w:p>
        </w:tc>
        <w:tc>
          <w:tcPr>
            <w:tcW w:w="3672" w:type="pct"/>
          </w:tcPr>
          <w:p w:rsidR="00B512E0" w:rsidRPr="00C35B92" w:rsidRDefault="00B512E0" w:rsidP="00F13F95">
            <w:pPr>
              <w:pStyle w:val="12-0"/>
            </w:pPr>
            <w:bookmarkStart w:id="485" w:name="_Toc22290089"/>
            <w:r w:rsidRPr="00C35B92">
              <w:t xml:space="preserve">Для ТОФК, даты из параметров и данного типа документа (DOCTYPE) </w:t>
            </w:r>
            <w:r>
              <w:t>проверяется</w:t>
            </w:r>
            <w:r w:rsidRPr="00C35B92">
              <w:t xml:space="preserve"> значение в поле AMOUNT.</w:t>
            </w:r>
            <w:bookmarkEnd w:id="485"/>
            <w:r w:rsidRPr="00C35B92">
              <w:t xml:space="preserve"> </w:t>
            </w:r>
          </w:p>
        </w:tc>
      </w:tr>
      <w:tr w:rsidR="00B512E0" w:rsidRPr="007B383D" w:rsidTr="00B512E0">
        <w:tc>
          <w:tcPr>
            <w:tcW w:w="1328" w:type="pct"/>
          </w:tcPr>
          <w:p w:rsidR="00B512E0" w:rsidRPr="00B512E0" w:rsidRDefault="00B512E0" w:rsidP="005C6E50">
            <w:pPr>
              <w:pStyle w:val="afff6"/>
              <w:numPr>
                <w:ilvl w:val="0"/>
                <w:numId w:val="71"/>
              </w:numPr>
              <w:contextualSpacing/>
              <w:rPr>
                <w:bCs/>
                <w:sz w:val="24"/>
                <w:lang w:val="en-US"/>
              </w:rPr>
            </w:pPr>
            <w:r w:rsidRPr="00B512E0">
              <w:rPr>
                <w:bCs/>
                <w:sz w:val="24"/>
                <w:lang w:val="en-US"/>
              </w:rPr>
              <w:t>Всего</w:t>
            </w:r>
          </w:p>
        </w:tc>
        <w:tc>
          <w:tcPr>
            <w:tcW w:w="3672" w:type="pct"/>
          </w:tcPr>
          <w:p w:rsidR="00B512E0" w:rsidRPr="00C35B92" w:rsidRDefault="00B512E0" w:rsidP="00F13F95">
            <w:pPr>
              <w:pStyle w:val="12-0"/>
            </w:pPr>
            <w:r>
              <w:t>Два итоговых столбца: отдельно для поступления и для выбытий.</w:t>
            </w:r>
          </w:p>
        </w:tc>
      </w:tr>
    </w:tbl>
    <w:p w:rsidR="000E18B7" w:rsidRDefault="000E18B7" w:rsidP="00BA1CCD">
      <w:pPr>
        <w:pStyle w:val="42"/>
        <w:ind w:left="284"/>
        <w:jc w:val="left"/>
      </w:pPr>
      <w:r w:rsidRPr="00206C4C">
        <w:rPr>
          <w:snapToGrid/>
        </w:rPr>
        <w:t xml:space="preserve">Представление </w:t>
      </w:r>
      <w:r>
        <w:t>«</w:t>
      </w:r>
      <w:r>
        <w:rPr>
          <w:szCs w:val="28"/>
        </w:rPr>
        <w:t>Мониторинг в разрезе КБК</w:t>
      </w:r>
      <w:r>
        <w:t>»</w:t>
      </w:r>
    </w:p>
    <w:p w:rsidR="000E18B7" w:rsidRDefault="000E18B7" w:rsidP="000E18B7">
      <w:pPr>
        <w:pStyle w:val="af0"/>
      </w:pPr>
      <w:r w:rsidRPr="009019C8">
        <w:t>Представление</w:t>
      </w:r>
      <w:r>
        <w:t xml:space="preserve"> «</w:t>
      </w:r>
      <w:r>
        <w:rPr>
          <w:szCs w:val="28"/>
        </w:rPr>
        <w:t>Мониторинг в разрезе КБК</w:t>
      </w:r>
      <w:r>
        <w:t xml:space="preserve">» </w:t>
      </w:r>
      <w:r w:rsidRPr="009019C8">
        <w:t xml:space="preserve"> выполнено в виде таблицы и представлено на Рисунке</w:t>
      </w:r>
      <w:r>
        <w:t xml:space="preserve"> </w:t>
      </w:r>
      <w:r>
        <w:fldChar w:fldCharType="begin"/>
      </w:r>
      <w:r>
        <w:instrText xml:space="preserve"> REF _Ref40643124 \h </w:instrText>
      </w:r>
      <w:r>
        <w:fldChar w:fldCharType="separate"/>
      </w:r>
      <w:r w:rsidR="00BF0BEE">
        <w:rPr>
          <w:noProof/>
        </w:rPr>
        <w:t>130</w:t>
      </w:r>
      <w:r>
        <w:fldChar w:fldCharType="end"/>
      </w:r>
      <w:r>
        <w:t>.</w:t>
      </w:r>
    </w:p>
    <w:p w:rsidR="000E18B7" w:rsidRDefault="000E18B7" w:rsidP="000E18B7">
      <w:pPr>
        <w:pStyle w:val="afffff7"/>
        <w:keepNext/>
      </w:pPr>
      <w:r>
        <w:rPr>
          <w:noProof/>
          <w:lang w:eastAsia="ru-RU"/>
        </w:rPr>
        <w:drawing>
          <wp:inline distT="0" distB="0" distL="0" distR="0" wp14:anchorId="34A98C59" wp14:editId="6779FAB6">
            <wp:extent cx="5939790" cy="2529422"/>
            <wp:effectExtent l="0" t="0" r="3810" b="4445"/>
            <wp:docPr id="5747" name="Рисунок 5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5939790" cy="2529422"/>
                    </a:xfrm>
                    <a:prstGeom prst="rect">
                      <a:avLst/>
                    </a:prstGeom>
                  </pic:spPr>
                </pic:pic>
              </a:graphicData>
            </a:graphic>
          </wp:inline>
        </w:drawing>
      </w:r>
    </w:p>
    <w:p w:rsidR="000E18B7" w:rsidRPr="007F4C95" w:rsidRDefault="000E18B7" w:rsidP="000E18B7">
      <w:pPr>
        <w:pStyle w:val="-0"/>
      </w:pPr>
      <w:bookmarkStart w:id="486" w:name="_Toc69290334"/>
      <w:bookmarkStart w:id="487" w:name="_Toc69980133"/>
      <w:bookmarkStart w:id="488" w:name="_Toc119584317"/>
      <w:r>
        <w:t xml:space="preserve">Рисунок </w:t>
      </w:r>
      <w:fldSimple w:instr=" SEQ Рисунок \* ARABIC ">
        <w:bookmarkStart w:id="489" w:name="_Ref40643124"/>
        <w:r w:rsidR="001860A9">
          <w:rPr>
            <w:noProof/>
          </w:rPr>
          <w:t>130</w:t>
        </w:r>
        <w:bookmarkEnd w:id="489"/>
      </w:fldSimple>
      <w:r>
        <w:t xml:space="preserve"> – Макет отчета «Мониторинг загрузки в ПИАО данных из АСФК по описям платежных документов». Представление «</w:t>
      </w:r>
      <w:r>
        <w:rPr>
          <w:szCs w:val="28"/>
        </w:rPr>
        <w:t>Мониторинг в разрезе КБК</w:t>
      </w:r>
      <w:r>
        <w:t>»</w:t>
      </w:r>
      <w:bookmarkEnd w:id="486"/>
      <w:bookmarkEnd w:id="487"/>
      <w:bookmarkEnd w:id="488"/>
    </w:p>
    <w:p w:rsidR="000E18B7" w:rsidRPr="00F85EEF" w:rsidRDefault="000E18B7" w:rsidP="000E18B7">
      <w:pPr>
        <w:pStyle w:val="af0"/>
      </w:pPr>
      <w:r>
        <w:t>Представление имеет следующие параметры:</w:t>
      </w:r>
    </w:p>
    <w:p w:rsidR="000E18B7" w:rsidRPr="00BA1CCD" w:rsidRDefault="000E18B7" w:rsidP="00B512E0">
      <w:pPr>
        <w:pStyle w:val="13"/>
      </w:pPr>
      <w:r w:rsidRPr="00BA1CCD">
        <w:t>Дата документов: выбор по INFODATE. Выбираем один день.</w:t>
      </w:r>
    </w:p>
    <w:p w:rsidR="000E18B7" w:rsidRPr="00BA1CCD" w:rsidRDefault="000E18B7" w:rsidP="00B512E0">
      <w:pPr>
        <w:pStyle w:val="13"/>
      </w:pPr>
      <w:r w:rsidRPr="00BA1CCD">
        <w:t>ГРБС: по полю KVSR;</w:t>
      </w:r>
    </w:p>
    <w:p w:rsidR="000E18B7" w:rsidRPr="003E205B" w:rsidRDefault="000E18B7" w:rsidP="00B512E0">
      <w:pPr>
        <w:pStyle w:val="13"/>
      </w:pPr>
      <w:r w:rsidRPr="00BA1CCD">
        <w:t>Тип КБК: Доходы/Расходы/Источники</w:t>
      </w:r>
      <w:r w:rsidRPr="003E205B">
        <w:t xml:space="preserve">/все: </w:t>
      </w:r>
    </w:p>
    <w:p w:rsidR="000E18B7" w:rsidRPr="003E205B" w:rsidRDefault="000E18B7" w:rsidP="000E18B7">
      <w:pPr>
        <w:pStyle w:val="29"/>
      </w:pPr>
      <w:r w:rsidRPr="003E205B">
        <w:t>Если «Все» - то выводим все записи, подходящие  под остальные фильтры;</w:t>
      </w:r>
    </w:p>
    <w:p w:rsidR="000E18B7" w:rsidRPr="003E205B" w:rsidRDefault="000E18B7" w:rsidP="000E18B7">
      <w:pPr>
        <w:pStyle w:val="29"/>
      </w:pPr>
      <w:r w:rsidRPr="003E205B">
        <w:t xml:space="preserve">«Доходы» - выводим только те записи, у которых </w:t>
      </w:r>
      <w:r w:rsidRPr="003E205B">
        <w:rPr>
          <w:lang w:val="en-US"/>
        </w:rPr>
        <w:t>KBKTYPE</w:t>
      </w:r>
      <w:r w:rsidRPr="003E205B">
        <w:t xml:space="preserve"> = 1;</w:t>
      </w:r>
    </w:p>
    <w:p w:rsidR="000E18B7" w:rsidRPr="003E205B" w:rsidRDefault="000E18B7" w:rsidP="000E18B7">
      <w:pPr>
        <w:pStyle w:val="29"/>
      </w:pPr>
      <w:r w:rsidRPr="003E205B">
        <w:t xml:space="preserve">«Расходы» - выводим только те записи, у которых </w:t>
      </w:r>
      <w:r w:rsidRPr="003E205B">
        <w:rPr>
          <w:lang w:val="en-US"/>
        </w:rPr>
        <w:t>KBKTYPE</w:t>
      </w:r>
      <w:r w:rsidRPr="003E205B">
        <w:t xml:space="preserve"> = 2;</w:t>
      </w:r>
    </w:p>
    <w:p w:rsidR="000E18B7" w:rsidRPr="003E205B" w:rsidRDefault="000E18B7" w:rsidP="000E18B7">
      <w:pPr>
        <w:pStyle w:val="29"/>
      </w:pPr>
      <w:r w:rsidRPr="003E205B">
        <w:t xml:space="preserve">Источники финансирования -  выводим только те записи, у которых </w:t>
      </w:r>
      <w:r w:rsidRPr="003E205B">
        <w:rPr>
          <w:lang w:val="en-US"/>
        </w:rPr>
        <w:t>KBKTYPE</w:t>
      </w:r>
      <w:r w:rsidRPr="003E205B">
        <w:t xml:space="preserve"> = 3.</w:t>
      </w:r>
    </w:p>
    <w:p w:rsidR="000E18B7" w:rsidRPr="00BA1CCD" w:rsidRDefault="000E18B7" w:rsidP="00B512E0">
      <w:pPr>
        <w:pStyle w:val="13"/>
      </w:pPr>
      <w:r w:rsidRPr="00BA1CCD">
        <w:t>ТОФК: код (TOFKCODE) + наименование ТОФК. Таблицу строем по выбранному ТОФК(ам).</w:t>
      </w:r>
    </w:p>
    <w:p w:rsidR="000E18B7" w:rsidRPr="00BA1CCD" w:rsidRDefault="000E18B7" w:rsidP="00B512E0">
      <w:pPr>
        <w:pStyle w:val="13"/>
      </w:pPr>
      <w:r w:rsidRPr="00BA1CCD">
        <w:t>Тип описи: поступления или выбытия.</w:t>
      </w:r>
    </w:p>
    <w:p w:rsidR="000E18B7" w:rsidRPr="00BA1CCD" w:rsidRDefault="000E18B7" w:rsidP="00B512E0">
      <w:pPr>
        <w:pStyle w:val="13"/>
      </w:pPr>
      <w:r w:rsidRPr="00BA1CCD">
        <w:t>Единицы измерения.</w:t>
      </w:r>
    </w:p>
    <w:p w:rsidR="000E18B7" w:rsidRPr="00723CA5" w:rsidRDefault="000E18B7" w:rsidP="000E18B7">
      <w:pPr>
        <w:pStyle w:val="af0"/>
      </w:pPr>
      <w:r w:rsidRPr="00723CA5">
        <w:t>Правила заполнения</w:t>
      </w:r>
      <w:r>
        <w:t xml:space="preserve"> представлены в таблице ниже</w:t>
      </w:r>
      <w:r w:rsidRPr="00723CA5">
        <w:t>:</w:t>
      </w:r>
    </w:p>
    <w:p w:rsidR="000E18B7" w:rsidRPr="00814D93" w:rsidRDefault="000E18B7" w:rsidP="000E18B7">
      <w:pPr>
        <w:pStyle w:val="-"/>
      </w:pPr>
      <w:bookmarkStart w:id="490" w:name="_Toc25224585"/>
      <w:bookmarkStart w:id="491" w:name="_Toc69290205"/>
      <w:bookmarkStart w:id="492" w:name="_Toc69917974"/>
      <w:bookmarkStart w:id="493" w:name="_Toc119585149"/>
      <w:r>
        <w:t xml:space="preserve">Таблица </w:t>
      </w:r>
      <w:fldSimple w:instr=" SEQ Таблица \* ARABIC ">
        <w:r w:rsidR="00BF0BEE">
          <w:rPr>
            <w:noProof/>
          </w:rPr>
          <w:t>8</w:t>
        </w:r>
      </w:fldSimple>
      <w:r>
        <w:t xml:space="preserve"> – Правила заполнения </w:t>
      </w:r>
      <w:r w:rsidRPr="00814D93">
        <w:t>«Мониторинг в разрезе КБК»</w:t>
      </w:r>
      <w:r>
        <w:t>:</w:t>
      </w:r>
      <w:bookmarkEnd w:id="490"/>
      <w:bookmarkEnd w:id="491"/>
      <w:bookmarkEnd w:id="492"/>
      <w:bookmarkEnd w:id="493"/>
    </w:p>
    <w:tbl>
      <w:tblPr>
        <w:tblW w:w="49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3"/>
        <w:gridCol w:w="4845"/>
      </w:tblGrid>
      <w:tr w:rsidR="00B512E0" w:rsidRPr="00B512E0" w:rsidTr="00B512E0">
        <w:trPr>
          <w:tblHeader/>
        </w:trPr>
        <w:tc>
          <w:tcPr>
            <w:tcW w:w="2530" w:type="pct"/>
            <w:shd w:val="clear" w:color="auto" w:fill="D9D9D9"/>
          </w:tcPr>
          <w:p w:rsidR="00B512E0" w:rsidRPr="00B512E0" w:rsidRDefault="00B512E0" w:rsidP="00F13F95">
            <w:pPr>
              <w:pStyle w:val="-6"/>
              <w:rPr>
                <w:b w:val="0"/>
                <w:bCs/>
                <w:sz w:val="24"/>
                <w:szCs w:val="24"/>
              </w:rPr>
            </w:pPr>
            <w:r w:rsidRPr="00B512E0">
              <w:rPr>
                <w:b w:val="0"/>
                <w:bCs/>
                <w:sz w:val="24"/>
                <w:szCs w:val="24"/>
              </w:rPr>
              <w:t>Название колонки</w:t>
            </w:r>
          </w:p>
        </w:tc>
        <w:tc>
          <w:tcPr>
            <w:tcW w:w="2470" w:type="pct"/>
            <w:shd w:val="clear" w:color="auto" w:fill="D9D9D9"/>
          </w:tcPr>
          <w:p w:rsidR="00B512E0" w:rsidRPr="00B512E0" w:rsidRDefault="00B512E0" w:rsidP="00F13F95">
            <w:pPr>
              <w:pStyle w:val="-6"/>
              <w:rPr>
                <w:b w:val="0"/>
                <w:bCs/>
                <w:sz w:val="24"/>
                <w:szCs w:val="24"/>
              </w:rPr>
            </w:pPr>
            <w:r w:rsidRPr="00B512E0">
              <w:rPr>
                <w:b w:val="0"/>
                <w:bCs/>
                <w:sz w:val="24"/>
                <w:szCs w:val="24"/>
              </w:rPr>
              <w:t>Правило формирования</w:t>
            </w:r>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494" w:name="_Toc22290091"/>
            <w:r w:rsidRPr="00B512E0">
              <w:rPr>
                <w:bCs/>
                <w:sz w:val="24"/>
                <w:szCs w:val="24"/>
                <w:lang w:val="en-US"/>
              </w:rPr>
              <w:t>Названия строк</w:t>
            </w:r>
            <w:bookmarkEnd w:id="494"/>
          </w:p>
        </w:tc>
        <w:tc>
          <w:tcPr>
            <w:tcW w:w="2470" w:type="pct"/>
          </w:tcPr>
          <w:p w:rsidR="00B512E0" w:rsidRPr="00B512E0" w:rsidRDefault="00B512E0" w:rsidP="00F13F95">
            <w:pPr>
              <w:pStyle w:val="12-0"/>
              <w:rPr>
                <w:szCs w:val="24"/>
              </w:rPr>
            </w:pPr>
            <w:bookmarkStart w:id="495" w:name="_Toc22290092"/>
            <w:r w:rsidRPr="00B512E0">
              <w:rPr>
                <w:szCs w:val="24"/>
              </w:rPr>
              <w:t>KVSR + KBK.</w:t>
            </w:r>
            <w:bookmarkEnd w:id="495"/>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496" w:name="_Toc22290093"/>
            <w:r w:rsidRPr="00B512E0">
              <w:rPr>
                <w:bCs/>
                <w:sz w:val="24"/>
                <w:szCs w:val="24"/>
                <w:lang w:val="en-US"/>
              </w:rPr>
              <w:t>Общий итог</w:t>
            </w:r>
            <w:bookmarkEnd w:id="496"/>
          </w:p>
        </w:tc>
        <w:tc>
          <w:tcPr>
            <w:tcW w:w="2470" w:type="pct"/>
          </w:tcPr>
          <w:p w:rsidR="00B512E0" w:rsidRPr="00B512E0" w:rsidRDefault="00B512E0" w:rsidP="00F13F95">
            <w:pPr>
              <w:pStyle w:val="12-0"/>
              <w:rPr>
                <w:szCs w:val="24"/>
              </w:rPr>
            </w:pPr>
            <w:bookmarkStart w:id="497" w:name="_Toc22290094"/>
            <w:r w:rsidRPr="00B512E0">
              <w:rPr>
                <w:szCs w:val="24"/>
              </w:rPr>
              <w:t>Подсчитываем итог по строкам справа</w:t>
            </w:r>
            <w:bookmarkEnd w:id="497"/>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498" w:name="_Toc22290095"/>
            <w:r w:rsidRPr="00B512E0">
              <w:rPr>
                <w:bCs/>
                <w:sz w:val="24"/>
                <w:szCs w:val="24"/>
                <w:lang w:val="en-US"/>
              </w:rPr>
              <w:t>Платежное поручение</w:t>
            </w:r>
            <w:bookmarkEnd w:id="498"/>
          </w:p>
          <w:p w:rsidR="00B512E0" w:rsidRPr="00B512E0" w:rsidRDefault="00B512E0" w:rsidP="005C6E50">
            <w:pPr>
              <w:pStyle w:val="afff6"/>
              <w:numPr>
                <w:ilvl w:val="0"/>
                <w:numId w:val="72"/>
              </w:numPr>
              <w:contextualSpacing/>
              <w:rPr>
                <w:bCs/>
                <w:sz w:val="24"/>
                <w:szCs w:val="24"/>
                <w:lang w:val="en-US"/>
              </w:rPr>
            </w:pPr>
            <w:bookmarkStart w:id="499" w:name="_Toc22290096"/>
            <w:r w:rsidRPr="00B512E0">
              <w:rPr>
                <w:bCs/>
                <w:sz w:val="24"/>
                <w:szCs w:val="24"/>
                <w:lang w:val="en-US"/>
              </w:rPr>
              <w:t>ЭДВ</w:t>
            </w:r>
            <w:bookmarkEnd w:id="499"/>
          </w:p>
        </w:tc>
        <w:tc>
          <w:tcPr>
            <w:tcW w:w="2470" w:type="pct"/>
          </w:tcPr>
          <w:p w:rsidR="00B512E0" w:rsidRPr="00B512E0" w:rsidRDefault="00B512E0" w:rsidP="00F13F95">
            <w:pPr>
              <w:pStyle w:val="12-0"/>
              <w:rPr>
                <w:szCs w:val="24"/>
              </w:rPr>
            </w:pPr>
            <w:bookmarkStart w:id="500" w:name="_Toc22290097"/>
            <w:r w:rsidRPr="00B512E0">
              <w:rPr>
                <w:szCs w:val="24"/>
              </w:rPr>
              <w:t>Выводим значение из поля AMOUNT для записи, у которой DOCTYPE = ЭДВ для данного КБК, ТОФК и даты.</w:t>
            </w:r>
            <w:bookmarkEnd w:id="500"/>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rPr>
            </w:pPr>
            <w:bookmarkStart w:id="501" w:name="_Toc22290098"/>
            <w:r w:rsidRPr="00B512E0">
              <w:rPr>
                <w:bCs/>
                <w:sz w:val="24"/>
                <w:szCs w:val="24"/>
              </w:rPr>
              <w:t>Уведомление об уточнении вида и принадлежности платежа ПДУ</w:t>
            </w:r>
            <w:bookmarkEnd w:id="501"/>
          </w:p>
        </w:tc>
        <w:tc>
          <w:tcPr>
            <w:tcW w:w="2470" w:type="pct"/>
          </w:tcPr>
          <w:p w:rsidR="00B512E0" w:rsidRPr="00B512E0" w:rsidRDefault="00B512E0" w:rsidP="00F13F95">
            <w:pPr>
              <w:pStyle w:val="12-0"/>
              <w:rPr>
                <w:szCs w:val="24"/>
              </w:rPr>
            </w:pPr>
            <w:bookmarkStart w:id="502" w:name="_Toc22290099"/>
            <w:r w:rsidRPr="00B512E0">
              <w:rPr>
                <w:szCs w:val="24"/>
              </w:rPr>
              <w:t>Выводим значение из поля AMOUNT для записи, у которой DOCTYPE = ПДУ для данного КБК, ТОФК и даты.</w:t>
            </w:r>
            <w:bookmarkEnd w:id="502"/>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rPr>
            </w:pPr>
            <w:bookmarkStart w:id="503" w:name="_Toc22290100"/>
            <w:r w:rsidRPr="00B512E0">
              <w:rPr>
                <w:bCs/>
                <w:sz w:val="24"/>
                <w:szCs w:val="24"/>
              </w:rP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ПДВ</w:t>
            </w:r>
            <w:bookmarkEnd w:id="503"/>
          </w:p>
        </w:tc>
        <w:tc>
          <w:tcPr>
            <w:tcW w:w="2470" w:type="pct"/>
          </w:tcPr>
          <w:p w:rsidR="00B512E0" w:rsidRPr="00B512E0" w:rsidRDefault="00B512E0" w:rsidP="00F13F95">
            <w:pPr>
              <w:pStyle w:val="12-0"/>
              <w:rPr>
                <w:szCs w:val="24"/>
              </w:rPr>
            </w:pPr>
            <w:bookmarkStart w:id="504" w:name="_Toc22290101"/>
            <w:r w:rsidRPr="00B512E0">
              <w:rPr>
                <w:szCs w:val="24"/>
              </w:rPr>
              <w:t>Выводим значение из поля AMOUNT для записи, у которой DOCTYPE = ПДВ для данного КБК, ТОФК и даты.</w:t>
            </w:r>
            <w:bookmarkEnd w:id="504"/>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rPr>
            </w:pPr>
            <w:bookmarkStart w:id="505" w:name="_Toc22290102"/>
            <w:r w:rsidRPr="00B512E0">
              <w:rPr>
                <w:bCs/>
                <w:sz w:val="24"/>
                <w:szCs w:val="24"/>
              </w:rP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ПДЗ</w:t>
            </w:r>
            <w:bookmarkEnd w:id="505"/>
          </w:p>
        </w:tc>
        <w:tc>
          <w:tcPr>
            <w:tcW w:w="2470" w:type="pct"/>
          </w:tcPr>
          <w:p w:rsidR="00B512E0" w:rsidRPr="00B512E0" w:rsidRDefault="00B512E0" w:rsidP="00F13F95">
            <w:pPr>
              <w:pStyle w:val="12-0"/>
              <w:rPr>
                <w:szCs w:val="24"/>
              </w:rPr>
            </w:pPr>
            <w:bookmarkStart w:id="506" w:name="_Toc22290103"/>
            <w:r w:rsidRPr="00B512E0">
              <w:rPr>
                <w:szCs w:val="24"/>
              </w:rPr>
              <w:t>Выводим значение из поля AMOUNT для записи, у которой DOCTYPE = ПДЗ для данного КБК, ТОФК и даты.</w:t>
            </w:r>
            <w:bookmarkEnd w:id="506"/>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507" w:name="_Toc22290104"/>
            <w:r w:rsidRPr="00B512E0">
              <w:rPr>
                <w:bCs/>
                <w:sz w:val="24"/>
                <w:szCs w:val="24"/>
                <w:lang w:val="en-US"/>
              </w:rPr>
              <w:t>Справка органа Федерального казначейства</w:t>
            </w:r>
            <w:bookmarkEnd w:id="507"/>
          </w:p>
          <w:p w:rsidR="00B512E0" w:rsidRPr="00B512E0" w:rsidRDefault="00B512E0" w:rsidP="005C6E50">
            <w:pPr>
              <w:pStyle w:val="afff6"/>
              <w:numPr>
                <w:ilvl w:val="0"/>
                <w:numId w:val="72"/>
              </w:numPr>
              <w:contextualSpacing/>
              <w:rPr>
                <w:bCs/>
                <w:sz w:val="24"/>
                <w:szCs w:val="24"/>
                <w:lang w:val="en-US"/>
              </w:rPr>
            </w:pPr>
            <w:bookmarkStart w:id="508" w:name="_Toc22290105"/>
            <w:r w:rsidRPr="00B512E0">
              <w:rPr>
                <w:bCs/>
                <w:sz w:val="24"/>
                <w:szCs w:val="24"/>
                <w:lang w:val="en-US"/>
              </w:rPr>
              <w:t>ПСК</w:t>
            </w:r>
            <w:bookmarkEnd w:id="508"/>
          </w:p>
        </w:tc>
        <w:tc>
          <w:tcPr>
            <w:tcW w:w="2470" w:type="pct"/>
          </w:tcPr>
          <w:p w:rsidR="00B512E0" w:rsidRPr="00B512E0" w:rsidRDefault="00B512E0" w:rsidP="00F13F95">
            <w:pPr>
              <w:pStyle w:val="12-0"/>
              <w:rPr>
                <w:szCs w:val="24"/>
              </w:rPr>
            </w:pPr>
            <w:bookmarkStart w:id="509" w:name="_Toc22290106"/>
            <w:r w:rsidRPr="00B512E0">
              <w:rPr>
                <w:szCs w:val="24"/>
              </w:rPr>
              <w:t>Выводим значение из поля AMOUNT для записи, у которой DOCTYPE = ПСК для данного КБК, ТОФК и даты.</w:t>
            </w:r>
            <w:bookmarkEnd w:id="509"/>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510" w:name="_Toc22290107"/>
            <w:r w:rsidRPr="00B512E0">
              <w:rPr>
                <w:bCs/>
                <w:sz w:val="24"/>
                <w:szCs w:val="24"/>
                <w:lang w:val="en-US"/>
              </w:rPr>
              <w:t>Справка органа Федерального казначейства</w:t>
            </w:r>
            <w:bookmarkEnd w:id="510"/>
          </w:p>
          <w:p w:rsidR="00B512E0" w:rsidRPr="00B512E0" w:rsidRDefault="00B512E0" w:rsidP="005C6E50">
            <w:pPr>
              <w:pStyle w:val="afff6"/>
              <w:numPr>
                <w:ilvl w:val="0"/>
                <w:numId w:val="72"/>
              </w:numPr>
              <w:contextualSpacing/>
              <w:rPr>
                <w:bCs/>
                <w:sz w:val="24"/>
                <w:szCs w:val="24"/>
                <w:lang w:val="en-US"/>
              </w:rPr>
            </w:pPr>
            <w:bookmarkStart w:id="511" w:name="_Toc22290108"/>
            <w:r w:rsidRPr="00B512E0">
              <w:rPr>
                <w:bCs/>
                <w:sz w:val="24"/>
                <w:szCs w:val="24"/>
                <w:lang w:val="en-US"/>
              </w:rPr>
              <w:t>ПСЧ</w:t>
            </w:r>
            <w:bookmarkEnd w:id="511"/>
          </w:p>
        </w:tc>
        <w:tc>
          <w:tcPr>
            <w:tcW w:w="2470" w:type="pct"/>
          </w:tcPr>
          <w:p w:rsidR="00B512E0" w:rsidRPr="00B512E0" w:rsidRDefault="00B512E0" w:rsidP="00F13F95">
            <w:pPr>
              <w:pStyle w:val="12-0"/>
              <w:rPr>
                <w:szCs w:val="24"/>
              </w:rPr>
            </w:pPr>
            <w:bookmarkStart w:id="512" w:name="_Toc22290109"/>
            <w:r w:rsidRPr="00B512E0">
              <w:rPr>
                <w:szCs w:val="24"/>
              </w:rPr>
              <w:t>Выводим значение из поля AMOUNT для записи, у которой DOCTYPE = ПСЧ для данного КБК, ТОФК и даты.</w:t>
            </w:r>
            <w:bookmarkEnd w:id="512"/>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lang w:val="en-US"/>
              </w:rPr>
            </w:pPr>
            <w:bookmarkStart w:id="513" w:name="_Toc22290110"/>
            <w:r w:rsidRPr="00B512E0">
              <w:rPr>
                <w:bCs/>
                <w:sz w:val="24"/>
                <w:szCs w:val="24"/>
                <w:lang w:val="en-US"/>
              </w:rPr>
              <w:t>Платежное поручение ЭДИ</w:t>
            </w:r>
            <w:bookmarkEnd w:id="513"/>
          </w:p>
        </w:tc>
        <w:tc>
          <w:tcPr>
            <w:tcW w:w="2470" w:type="pct"/>
          </w:tcPr>
          <w:p w:rsidR="00B512E0" w:rsidRPr="00B512E0" w:rsidRDefault="00B512E0" w:rsidP="00F13F95">
            <w:pPr>
              <w:pStyle w:val="12-0"/>
              <w:rPr>
                <w:szCs w:val="24"/>
              </w:rPr>
            </w:pPr>
            <w:bookmarkStart w:id="514" w:name="_Toc22290111"/>
            <w:r w:rsidRPr="00B512E0">
              <w:rPr>
                <w:szCs w:val="24"/>
              </w:rPr>
              <w:t>Выводим значение из поля AMOUNT для записи, у которой DOCTYPE = ЭДИ для данного КБК, ТОФК и даты.</w:t>
            </w:r>
            <w:bookmarkEnd w:id="514"/>
          </w:p>
        </w:tc>
      </w:tr>
      <w:tr w:rsidR="00B512E0" w:rsidRPr="00B512E0" w:rsidTr="00B512E0">
        <w:tc>
          <w:tcPr>
            <w:tcW w:w="2530" w:type="pct"/>
          </w:tcPr>
          <w:p w:rsidR="00B512E0" w:rsidRPr="00B512E0" w:rsidRDefault="00B512E0" w:rsidP="005C6E50">
            <w:pPr>
              <w:pStyle w:val="afff6"/>
              <w:numPr>
                <w:ilvl w:val="0"/>
                <w:numId w:val="72"/>
              </w:numPr>
              <w:contextualSpacing/>
              <w:rPr>
                <w:bCs/>
                <w:sz w:val="24"/>
                <w:szCs w:val="24"/>
              </w:rPr>
            </w:pPr>
            <w:bookmarkStart w:id="515" w:name="_Toc22290112"/>
            <w:r w:rsidRPr="00B512E0">
              <w:rPr>
                <w:bCs/>
                <w:sz w:val="24"/>
                <w:szCs w:val="24"/>
              </w:rPr>
              <w:t>Уведомление об уточнении вида и принадлежности платежа УУК</w:t>
            </w:r>
            <w:bookmarkEnd w:id="515"/>
          </w:p>
        </w:tc>
        <w:tc>
          <w:tcPr>
            <w:tcW w:w="2470" w:type="pct"/>
          </w:tcPr>
          <w:p w:rsidR="00B512E0" w:rsidRPr="00B512E0" w:rsidRDefault="00B512E0" w:rsidP="00F13F95">
            <w:pPr>
              <w:pStyle w:val="12-0"/>
              <w:rPr>
                <w:szCs w:val="24"/>
              </w:rPr>
            </w:pPr>
            <w:bookmarkStart w:id="516" w:name="_Toc22290113"/>
            <w:r w:rsidRPr="00B512E0">
              <w:rPr>
                <w:szCs w:val="24"/>
              </w:rPr>
              <w:t>Выводим значение из поля AMOUNT для записи, у которой DOCTYPE = УУК для данного КБК, ТОФК и даты.</w:t>
            </w:r>
            <w:bookmarkEnd w:id="516"/>
          </w:p>
        </w:tc>
      </w:tr>
    </w:tbl>
    <w:p w:rsidR="000E18B7" w:rsidRDefault="000E18B7" w:rsidP="000E18B7">
      <w:pPr>
        <w:pStyle w:val="35"/>
        <w:ind w:left="142"/>
      </w:pPr>
      <w:bookmarkStart w:id="517" w:name="_Toc69290123"/>
      <w:bookmarkStart w:id="518" w:name="_Toc119585080"/>
      <w:r>
        <w:t>Отчет «</w:t>
      </w:r>
      <w:r w:rsidRPr="00DB13F4">
        <w:t>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собственности</w:t>
      </w:r>
      <w:r>
        <w:t>»</w:t>
      </w:r>
      <w:bookmarkEnd w:id="517"/>
      <w:r>
        <w:t xml:space="preserve"> (</w:t>
      </w:r>
      <w:r w:rsidRPr="00562B8F">
        <w:t>PIAO_129_014_report</w:t>
      </w:r>
      <w:r>
        <w:t>)</w:t>
      </w:r>
      <w:bookmarkEnd w:id="518"/>
    </w:p>
    <w:p w:rsidR="000E18B7" w:rsidRDefault="000E18B7" w:rsidP="000E18B7">
      <w:pPr>
        <w:pStyle w:val="af0"/>
      </w:pPr>
      <w:r w:rsidRPr="00B7120B">
        <w:rPr>
          <w:rStyle w:val="af1"/>
        </w:rPr>
        <w:t xml:space="preserve">Для перехода к </w:t>
      </w:r>
      <w:r>
        <w:rPr>
          <w:rStyle w:val="af1"/>
        </w:rPr>
        <w:t xml:space="preserve">аналитическому </w:t>
      </w:r>
      <w:r w:rsidRPr="00B7120B">
        <w:rPr>
          <w:rStyle w:val="af1"/>
        </w:rPr>
        <w:t>отчету «</w:t>
      </w:r>
      <w:r w:rsidRPr="00DB13F4">
        <w:t>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собственности</w:t>
      </w:r>
      <w:r w:rsidRPr="00B7120B">
        <w:rPr>
          <w:rStyle w:val="af1"/>
        </w:rPr>
        <w:t>» необходимо перейти к витрине «Исполнение бюджетов бюджетной системы Российской Федерации»</w:t>
      </w:r>
      <w:r>
        <w:rPr>
          <w:rStyle w:val="af1"/>
        </w:rPr>
        <w:t>, раскрыть каталог</w:t>
      </w:r>
      <w:r w:rsidRPr="00B7120B">
        <w:rPr>
          <w:rStyle w:val="af1"/>
        </w:rPr>
        <w:t xml:space="preserve"> «Отчеты</w:t>
      </w:r>
      <w:r>
        <w:rPr>
          <w:rStyle w:val="af1"/>
        </w:rPr>
        <w:t xml:space="preserve"> по плательщикам и получателям» и кликнуть мышь по соответствующей вкладке</w:t>
      </w:r>
      <w:r>
        <w:t xml:space="preserve"> (Р</w:t>
      </w:r>
      <w:r w:rsidRPr="00206C4C">
        <w:t>исун</w:t>
      </w:r>
      <w:r>
        <w:t>ок</w:t>
      </w:r>
      <w:r w:rsidR="00AD2BE4">
        <w:t xml:space="preserve"> </w:t>
      </w:r>
      <w:r w:rsidR="00AD2BE4">
        <w:fldChar w:fldCharType="begin"/>
      </w:r>
      <w:r w:rsidR="00AD2BE4">
        <w:instrText xml:space="preserve"> REF _Ref70326914 \h </w:instrText>
      </w:r>
      <w:r w:rsidR="00AD2BE4">
        <w:fldChar w:fldCharType="separate"/>
      </w:r>
      <w:r w:rsidR="00BF0BEE">
        <w:rPr>
          <w:noProof/>
        </w:rPr>
        <w:t>121</w:t>
      </w:r>
      <w:r w:rsidR="00AD2BE4">
        <w:fldChar w:fldCharType="end"/>
      </w:r>
      <w:r>
        <w:t>).</w:t>
      </w:r>
    </w:p>
    <w:p w:rsidR="000E18B7" w:rsidRDefault="000E18B7" w:rsidP="000E18B7">
      <w:pPr>
        <w:pStyle w:val="afffff7"/>
        <w:keepNext/>
      </w:pPr>
      <w:r w:rsidRPr="00562B8F">
        <w:rPr>
          <w:noProof/>
          <w:lang w:eastAsia="ru-RU"/>
        </w:rPr>
        <w:drawing>
          <wp:inline distT="0" distB="0" distL="0" distR="0" wp14:anchorId="4D9403CA" wp14:editId="426236E5">
            <wp:extent cx="6152515" cy="2306955"/>
            <wp:effectExtent l="0" t="0" r="635" b="0"/>
            <wp:docPr id="5965" name="Рисунок 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6152515" cy="2306955"/>
                    </a:xfrm>
                    <a:prstGeom prst="rect">
                      <a:avLst/>
                    </a:prstGeom>
                  </pic:spPr>
                </pic:pic>
              </a:graphicData>
            </a:graphic>
          </wp:inline>
        </w:drawing>
      </w:r>
    </w:p>
    <w:p w:rsidR="000E18B7" w:rsidRDefault="000E18B7" w:rsidP="000E18B7">
      <w:pPr>
        <w:pStyle w:val="-0"/>
      </w:pPr>
      <w:bookmarkStart w:id="519" w:name="_Toc119584318"/>
      <w:r>
        <w:t xml:space="preserve">Рисунок </w:t>
      </w:r>
      <w:fldSimple w:instr=" SEQ Рисунок \* ARABIC ">
        <w:r w:rsidR="001860A9">
          <w:rPr>
            <w:noProof/>
          </w:rPr>
          <w:t>131</w:t>
        </w:r>
      </w:fldSimple>
      <w:r>
        <w:t xml:space="preserve"> – Переход к отчету «Доходы от использования имущества, находящегося в государственной собственности»</w:t>
      </w:r>
      <w:bookmarkEnd w:id="519"/>
    </w:p>
    <w:p w:rsidR="000E18B7" w:rsidRDefault="000E18B7" w:rsidP="0080674C">
      <w:pPr>
        <w:pStyle w:val="42"/>
        <w:ind w:left="284"/>
        <w:jc w:val="left"/>
        <w:rPr>
          <w:rStyle w:val="af1"/>
          <w:rFonts w:eastAsia="Calibri"/>
        </w:rPr>
      </w:pPr>
      <w:bookmarkStart w:id="520" w:name="_Toc68687904"/>
      <w:r>
        <w:t>Представление «В разрезе КБК»</w:t>
      </w:r>
      <w:bookmarkEnd w:id="520"/>
    </w:p>
    <w:p w:rsidR="000E18B7" w:rsidRDefault="000E18B7" w:rsidP="000E18B7">
      <w:pPr>
        <w:pStyle w:val="af0"/>
      </w:pPr>
      <w:r>
        <w:t>Представление «В разрезе КБК» представлено в табличной форме и имеет следующие параметры:</w:t>
      </w:r>
    </w:p>
    <w:p w:rsidR="000E18B7" w:rsidRPr="0090084D" w:rsidRDefault="00AD376F" w:rsidP="00AD376F">
      <w:pPr>
        <w:pStyle w:val="13"/>
      </w:pPr>
      <w:r>
        <w:t>п</w:t>
      </w:r>
      <w:r w:rsidR="000E18B7" w:rsidRPr="0090084D">
        <w:t>араметр ед. измерения. Значения параметра: млрд. руб., млн. руб., тыс. руб., руб. По умолчанию значение параметра «руб.»;</w:t>
      </w:r>
    </w:p>
    <w:p w:rsidR="000E18B7" w:rsidRPr="0090084D" w:rsidRDefault="00AD376F" w:rsidP="00AD376F">
      <w:pPr>
        <w:pStyle w:val="13"/>
      </w:pPr>
      <w:r>
        <w:t>п</w:t>
      </w:r>
      <w:r w:rsidR="000E18B7" w:rsidRPr="0090084D">
        <w:t>оиск по ИНН, КПП, и/или наименованию плательщика;</w:t>
      </w:r>
    </w:p>
    <w:p w:rsidR="000E18B7" w:rsidRPr="0090084D" w:rsidRDefault="00AD376F" w:rsidP="00AD376F">
      <w:pPr>
        <w:pStyle w:val="13"/>
      </w:pPr>
      <w:r>
        <w:t>п</w:t>
      </w:r>
      <w:r w:rsidR="000E18B7" w:rsidRPr="0090084D">
        <w:t>оиск по КБК;</w:t>
      </w:r>
    </w:p>
    <w:p w:rsidR="000E18B7" w:rsidRPr="0090084D" w:rsidRDefault="00AD376F" w:rsidP="00AD376F">
      <w:pPr>
        <w:pStyle w:val="13"/>
      </w:pPr>
      <w:r>
        <w:t>п</w:t>
      </w:r>
      <w:r w:rsidR="000E18B7" w:rsidRPr="0090084D">
        <w:t>оиск по дате: так как данные ежемесячные нарастающим итогом, отображаются только даты, на которые есть данные;</w:t>
      </w:r>
    </w:p>
    <w:p w:rsidR="000E18B7" w:rsidRPr="0090084D" w:rsidRDefault="00AD376F" w:rsidP="00AD376F">
      <w:pPr>
        <w:pStyle w:val="13"/>
      </w:pPr>
      <w:r>
        <w:t>п</w:t>
      </w:r>
      <w:r w:rsidR="000E18B7" w:rsidRPr="0090084D">
        <w:t>оиск по сумме: «от» и «до».</w:t>
      </w:r>
    </w:p>
    <w:p w:rsidR="000E18B7" w:rsidRDefault="000E18B7" w:rsidP="000E18B7">
      <w:pPr>
        <w:pStyle w:val="-0"/>
      </w:pPr>
      <w:r>
        <w:rPr>
          <w:noProof/>
          <w:snapToGrid/>
        </w:rPr>
        <w:drawing>
          <wp:inline distT="0" distB="0" distL="0" distR="0" wp14:anchorId="4CE0D937" wp14:editId="68F9EDA4">
            <wp:extent cx="5939790" cy="3341027"/>
            <wp:effectExtent l="19050" t="19050" r="22860" b="12065"/>
            <wp:docPr id="64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0" cstate="print"/>
                    <a:srcRect/>
                    <a:stretch>
                      <a:fillRect/>
                    </a:stretch>
                  </pic:blipFill>
                  <pic:spPr bwMode="auto">
                    <a:xfrm>
                      <a:off x="0" y="0"/>
                      <a:ext cx="5939790" cy="3341027"/>
                    </a:xfrm>
                    <a:prstGeom prst="rect">
                      <a:avLst/>
                    </a:prstGeom>
                    <a:noFill/>
                    <a:ln w="9525">
                      <a:solidFill>
                        <a:schemeClr val="accent1"/>
                      </a:solidFill>
                      <a:miter lim="800000"/>
                      <a:headEnd/>
                      <a:tailEnd/>
                    </a:ln>
                  </pic:spPr>
                </pic:pic>
              </a:graphicData>
            </a:graphic>
          </wp:inline>
        </w:drawing>
      </w:r>
    </w:p>
    <w:p w:rsidR="000E18B7" w:rsidRDefault="000E18B7" w:rsidP="000E18B7">
      <w:pPr>
        <w:pStyle w:val="-0"/>
      </w:pPr>
      <w:bookmarkStart w:id="521" w:name="_Toc69290336"/>
      <w:bookmarkStart w:id="522" w:name="_Toc69980135"/>
      <w:bookmarkStart w:id="523" w:name="_Toc119584319"/>
      <w:r>
        <w:t xml:space="preserve">Рисунок </w:t>
      </w:r>
      <w:fldSimple w:instr=" SEQ Рисунок \* ARABIC ">
        <w:r w:rsidR="001860A9">
          <w:rPr>
            <w:noProof/>
          </w:rPr>
          <w:t>132</w:t>
        </w:r>
      </w:fldSimple>
      <w:r>
        <w:t xml:space="preserve"> – Макет аналитического</w:t>
      </w:r>
      <w:r w:rsidRPr="00D740EA">
        <w:t xml:space="preserve"> </w:t>
      </w:r>
      <w:r>
        <w:t>отчета «</w:t>
      </w:r>
      <w:r w:rsidRPr="005079CD">
        <w:t>Информация о поступлениях в доход федерального бюджета средств от использования имущества, находящегося в государственной собственности, и поступлений средств от продажи акций и иных форм участия в капитале, находящихся в федеральной собственност</w:t>
      </w:r>
      <w:r>
        <w:t>и», представление «В разрезе КБК»</w:t>
      </w:r>
      <w:bookmarkEnd w:id="521"/>
      <w:bookmarkEnd w:id="522"/>
      <w:bookmarkEnd w:id="523"/>
    </w:p>
    <w:p w:rsidR="000E18B7" w:rsidRPr="00A33BAB" w:rsidRDefault="000E18B7" w:rsidP="000E18B7">
      <w:pPr>
        <w:pStyle w:val="af0"/>
      </w:pPr>
      <w:r w:rsidRPr="00A33BAB">
        <w:t xml:space="preserve">Один </w:t>
      </w:r>
      <w:r>
        <w:t>плательщик</w:t>
      </w:r>
      <w:r w:rsidRPr="00A33BAB">
        <w:t xml:space="preserve"> = одна строка.</w:t>
      </w:r>
    </w:p>
    <w:p w:rsidR="000E18B7" w:rsidRPr="00A35C1E" w:rsidRDefault="000E18B7" w:rsidP="000E18B7">
      <w:pPr>
        <w:pStyle w:val="af0"/>
      </w:pPr>
      <w:r w:rsidRPr="00A35C1E">
        <w:t>Правила заполнения таблицы:</w:t>
      </w:r>
    </w:p>
    <w:tbl>
      <w:tblPr>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384"/>
      </w:tblGrid>
      <w:tr w:rsidR="00AD376F" w:rsidRPr="004A530F" w:rsidTr="00AD376F">
        <w:trPr>
          <w:tblHeader/>
        </w:trPr>
        <w:tc>
          <w:tcPr>
            <w:tcW w:w="1679" w:type="pct"/>
            <w:shd w:val="clear" w:color="auto" w:fill="D9D9D9" w:themeFill="background1" w:themeFillShade="D9"/>
          </w:tcPr>
          <w:p w:rsidR="00AD376F" w:rsidRPr="004A530F" w:rsidRDefault="00AD376F" w:rsidP="00F13F95">
            <w:pPr>
              <w:tabs>
                <w:tab w:val="left" w:pos="9356"/>
              </w:tabs>
              <w:rPr>
                <w:b/>
              </w:rPr>
            </w:pPr>
            <w:r w:rsidRPr="004A530F">
              <w:rPr>
                <w:b/>
              </w:rPr>
              <w:t>Название колонки</w:t>
            </w:r>
          </w:p>
        </w:tc>
        <w:tc>
          <w:tcPr>
            <w:tcW w:w="3321" w:type="pct"/>
            <w:shd w:val="clear" w:color="auto" w:fill="D9D9D9" w:themeFill="background1" w:themeFillShade="D9"/>
          </w:tcPr>
          <w:p w:rsidR="00AD376F" w:rsidRPr="004A530F" w:rsidRDefault="00AD376F" w:rsidP="00F13F95">
            <w:pPr>
              <w:tabs>
                <w:tab w:val="left" w:pos="9356"/>
              </w:tabs>
              <w:rPr>
                <w:b/>
              </w:rPr>
            </w:pPr>
            <w:r w:rsidRPr="004A530F">
              <w:rPr>
                <w:b/>
              </w:rPr>
              <w:t>Правило формирования</w:t>
            </w:r>
          </w:p>
        </w:tc>
      </w:tr>
      <w:tr w:rsidR="00AD376F" w:rsidRPr="004A530F" w:rsidTr="00AD376F">
        <w:tc>
          <w:tcPr>
            <w:tcW w:w="1679" w:type="pct"/>
            <w:shd w:val="clear" w:color="auto" w:fill="FFFFFF"/>
          </w:tcPr>
          <w:p w:rsidR="00AD376F" w:rsidRPr="00AD376F" w:rsidRDefault="00AD376F" w:rsidP="005C6E50">
            <w:pPr>
              <w:pStyle w:val="afff6"/>
              <w:numPr>
                <w:ilvl w:val="0"/>
                <w:numId w:val="142"/>
              </w:numPr>
              <w:contextualSpacing/>
              <w:rPr>
                <w:bCs/>
                <w:sz w:val="24"/>
                <w:szCs w:val="24"/>
              </w:rPr>
            </w:pPr>
            <w:r w:rsidRPr="00AD376F">
              <w:rPr>
                <w:bCs/>
                <w:sz w:val="24"/>
                <w:szCs w:val="24"/>
              </w:rPr>
              <w:t>КБК</w:t>
            </w:r>
          </w:p>
        </w:tc>
        <w:tc>
          <w:tcPr>
            <w:tcW w:w="3321" w:type="pct"/>
            <w:shd w:val="clear" w:color="auto" w:fill="FFFFFF"/>
          </w:tcPr>
          <w:p w:rsidR="00AD376F" w:rsidRPr="004A530F" w:rsidRDefault="00AD376F" w:rsidP="00F13F95">
            <w:pPr>
              <w:tabs>
                <w:tab w:val="left" w:pos="9356"/>
              </w:tabs>
            </w:pPr>
            <w:r w:rsidRPr="004A530F">
              <w:t>KBK</w:t>
            </w:r>
          </w:p>
        </w:tc>
      </w:tr>
      <w:tr w:rsidR="00AD376F" w:rsidRPr="004A530F" w:rsidTr="00AD376F">
        <w:tc>
          <w:tcPr>
            <w:tcW w:w="1679" w:type="pct"/>
            <w:shd w:val="clear" w:color="auto" w:fill="FFFFFF"/>
          </w:tcPr>
          <w:p w:rsidR="00AD376F" w:rsidRPr="00AD376F" w:rsidRDefault="00AD376F" w:rsidP="005C6E50">
            <w:pPr>
              <w:pStyle w:val="afff6"/>
              <w:numPr>
                <w:ilvl w:val="0"/>
                <w:numId w:val="142"/>
              </w:numPr>
              <w:contextualSpacing/>
              <w:rPr>
                <w:bCs/>
                <w:sz w:val="24"/>
                <w:szCs w:val="24"/>
              </w:rPr>
            </w:pPr>
            <w:r w:rsidRPr="00AD376F">
              <w:rPr>
                <w:bCs/>
                <w:sz w:val="24"/>
                <w:szCs w:val="24"/>
              </w:rPr>
              <w:t>ИНН Плательщика</w:t>
            </w:r>
          </w:p>
        </w:tc>
        <w:tc>
          <w:tcPr>
            <w:tcW w:w="3321" w:type="pct"/>
            <w:shd w:val="clear" w:color="auto" w:fill="FFFFFF"/>
          </w:tcPr>
          <w:p w:rsidR="00AD376F" w:rsidRPr="004A530F" w:rsidRDefault="00AD376F" w:rsidP="00F13F95">
            <w:pPr>
              <w:tabs>
                <w:tab w:val="left" w:pos="9356"/>
              </w:tabs>
            </w:pPr>
            <w:r w:rsidRPr="004A530F">
              <w:t>PAYERINN</w:t>
            </w:r>
          </w:p>
        </w:tc>
      </w:tr>
      <w:tr w:rsidR="00AD376F" w:rsidRPr="004A530F" w:rsidTr="00AD376F">
        <w:tc>
          <w:tcPr>
            <w:tcW w:w="1679" w:type="pct"/>
            <w:shd w:val="clear" w:color="auto" w:fill="FFFFFF"/>
          </w:tcPr>
          <w:p w:rsidR="00AD376F" w:rsidRPr="00AD376F" w:rsidRDefault="00AD376F" w:rsidP="005C6E50">
            <w:pPr>
              <w:pStyle w:val="afff6"/>
              <w:numPr>
                <w:ilvl w:val="0"/>
                <w:numId w:val="142"/>
              </w:numPr>
              <w:contextualSpacing/>
              <w:rPr>
                <w:bCs/>
                <w:sz w:val="24"/>
                <w:szCs w:val="24"/>
              </w:rPr>
            </w:pPr>
            <w:r w:rsidRPr="00AD376F">
              <w:rPr>
                <w:bCs/>
                <w:sz w:val="24"/>
                <w:szCs w:val="24"/>
              </w:rPr>
              <w:t>КПП Плательщика</w:t>
            </w:r>
          </w:p>
        </w:tc>
        <w:tc>
          <w:tcPr>
            <w:tcW w:w="3321" w:type="pct"/>
            <w:shd w:val="clear" w:color="auto" w:fill="FFFFFF"/>
          </w:tcPr>
          <w:p w:rsidR="00AD376F" w:rsidRPr="004A530F" w:rsidRDefault="00AD376F" w:rsidP="00F13F95">
            <w:pPr>
              <w:tabs>
                <w:tab w:val="left" w:pos="9356"/>
              </w:tabs>
            </w:pPr>
            <w:r w:rsidRPr="004A530F">
              <w:t>PAYERKPP</w:t>
            </w:r>
          </w:p>
        </w:tc>
      </w:tr>
      <w:tr w:rsidR="00AD376F" w:rsidRPr="004A530F" w:rsidTr="00AD376F">
        <w:tc>
          <w:tcPr>
            <w:tcW w:w="1679" w:type="pct"/>
            <w:shd w:val="clear" w:color="auto" w:fill="FFFFFF"/>
          </w:tcPr>
          <w:p w:rsidR="00AD376F" w:rsidRPr="00AD376F" w:rsidRDefault="00AD376F" w:rsidP="005C6E50">
            <w:pPr>
              <w:pStyle w:val="afff6"/>
              <w:numPr>
                <w:ilvl w:val="0"/>
                <w:numId w:val="142"/>
              </w:numPr>
              <w:contextualSpacing/>
              <w:rPr>
                <w:bCs/>
                <w:sz w:val="24"/>
                <w:szCs w:val="24"/>
              </w:rPr>
            </w:pPr>
            <w:r w:rsidRPr="00AD376F">
              <w:rPr>
                <w:bCs/>
                <w:sz w:val="24"/>
                <w:szCs w:val="24"/>
              </w:rPr>
              <w:t>Наименование плательщика</w:t>
            </w:r>
          </w:p>
        </w:tc>
        <w:tc>
          <w:tcPr>
            <w:tcW w:w="3321" w:type="pct"/>
            <w:shd w:val="clear" w:color="auto" w:fill="FFFFFF"/>
          </w:tcPr>
          <w:p w:rsidR="00AD376F" w:rsidRPr="004A530F" w:rsidRDefault="00AD376F" w:rsidP="00F13F95">
            <w:pPr>
              <w:tabs>
                <w:tab w:val="left" w:pos="9356"/>
              </w:tabs>
            </w:pPr>
            <w:r w:rsidRPr="004A530F">
              <w:t>PAYERNAME</w:t>
            </w:r>
          </w:p>
        </w:tc>
      </w:tr>
      <w:tr w:rsidR="00AD376F" w:rsidRPr="004A530F" w:rsidTr="00AD376F">
        <w:tc>
          <w:tcPr>
            <w:tcW w:w="1679" w:type="pct"/>
            <w:shd w:val="clear" w:color="auto" w:fill="FFFFFF"/>
          </w:tcPr>
          <w:p w:rsidR="00AD376F" w:rsidRPr="00AD376F" w:rsidRDefault="00AD376F" w:rsidP="005C6E50">
            <w:pPr>
              <w:pStyle w:val="afff6"/>
              <w:numPr>
                <w:ilvl w:val="0"/>
                <w:numId w:val="142"/>
              </w:numPr>
              <w:contextualSpacing/>
              <w:rPr>
                <w:bCs/>
                <w:sz w:val="24"/>
                <w:szCs w:val="24"/>
              </w:rPr>
            </w:pPr>
            <w:r w:rsidRPr="00AD376F">
              <w:rPr>
                <w:bCs/>
                <w:sz w:val="24"/>
                <w:szCs w:val="24"/>
              </w:rPr>
              <w:t>Сумма</w:t>
            </w:r>
          </w:p>
        </w:tc>
        <w:tc>
          <w:tcPr>
            <w:tcW w:w="3321" w:type="pct"/>
            <w:shd w:val="clear" w:color="auto" w:fill="FFFFFF"/>
          </w:tcPr>
          <w:p w:rsidR="00AD376F" w:rsidRPr="004A530F" w:rsidRDefault="00AD376F" w:rsidP="00F13F95">
            <w:pPr>
              <w:tabs>
                <w:tab w:val="left" w:pos="9356"/>
              </w:tabs>
            </w:pPr>
            <w:r w:rsidRPr="004A530F">
              <w:t>AMOUNT</w:t>
            </w:r>
          </w:p>
        </w:tc>
      </w:tr>
    </w:tbl>
    <w:p w:rsidR="000E18B7" w:rsidRDefault="000E18B7" w:rsidP="000E18B7">
      <w:pPr>
        <w:pStyle w:val="af0"/>
      </w:pPr>
      <w:r w:rsidRPr="00A33BAB">
        <w:t>Со столбца «Наименование плательщика» обеспечен переход в представление «Платежны</w:t>
      </w:r>
      <w:r>
        <w:t>е</w:t>
      </w:r>
      <w:r w:rsidRPr="00A33BAB">
        <w:t xml:space="preserve"> документы» с передачей параметров.</w:t>
      </w:r>
    </w:p>
    <w:p w:rsidR="000E18B7" w:rsidRDefault="000E18B7" w:rsidP="000E18B7">
      <w:pPr>
        <w:pStyle w:val="af0"/>
      </w:pPr>
      <w:r>
        <w:t>Предусмотрены промежуточные итоги по кодам КБК, по которым осуществляется выборка данных в отчет.</w:t>
      </w:r>
    </w:p>
    <w:p w:rsidR="000E18B7" w:rsidRDefault="000E18B7" w:rsidP="0090084D">
      <w:pPr>
        <w:pStyle w:val="42"/>
        <w:ind w:left="284"/>
        <w:jc w:val="left"/>
      </w:pPr>
      <w:bookmarkStart w:id="524" w:name="_Toc68687905"/>
      <w:r w:rsidRPr="00D9791E">
        <w:t>Представление «В разрезе ТОФК»</w:t>
      </w:r>
      <w:bookmarkEnd w:id="524"/>
    </w:p>
    <w:p w:rsidR="000E18B7" w:rsidRPr="00D9791E" w:rsidRDefault="000E18B7" w:rsidP="000E18B7">
      <w:pPr>
        <w:pStyle w:val="af0"/>
      </w:pPr>
      <w:r w:rsidRPr="00CF296E">
        <w:t>Представление «В разрезе ТОФК»</w:t>
      </w:r>
      <w:r>
        <w:t xml:space="preserve"> реализовано </w:t>
      </w:r>
      <w:r w:rsidRPr="00D9791E">
        <w:t>в виде таблицы</w:t>
      </w:r>
      <w:r>
        <w:t xml:space="preserve"> со следующими параметрами</w:t>
      </w:r>
      <w:r w:rsidRPr="00D9791E">
        <w:t>.</w:t>
      </w:r>
    </w:p>
    <w:p w:rsidR="000E18B7" w:rsidRPr="0016377A" w:rsidRDefault="000E18B7" w:rsidP="00AD376F">
      <w:pPr>
        <w:pStyle w:val="13"/>
      </w:pPr>
      <w:r w:rsidRPr="0016377A">
        <w:t>Параметр ед. измерения. Значения параметра: млрд. руб., млн. руб., тыс. руб., руб. По умолчанию значение параметра «руб.»;</w:t>
      </w:r>
    </w:p>
    <w:p w:rsidR="000E18B7" w:rsidRPr="0016377A" w:rsidRDefault="000E18B7" w:rsidP="00AD376F">
      <w:pPr>
        <w:pStyle w:val="13"/>
      </w:pPr>
      <w:r w:rsidRPr="0016377A">
        <w:t xml:space="preserve">Поиск по ИНН, КПП, </w:t>
      </w:r>
      <w:r>
        <w:t>и/или наименованию плательщика</w:t>
      </w:r>
      <w:r w:rsidRPr="0016377A">
        <w:t>;</w:t>
      </w:r>
    </w:p>
    <w:p w:rsidR="000E18B7" w:rsidRPr="0016377A" w:rsidRDefault="000E18B7" w:rsidP="00AD376F">
      <w:pPr>
        <w:pStyle w:val="13"/>
      </w:pPr>
      <w:r w:rsidRPr="0016377A">
        <w:t xml:space="preserve">Поиск по дате: </w:t>
      </w:r>
      <w:r>
        <w:t xml:space="preserve">так как </w:t>
      </w:r>
      <w:r w:rsidRPr="0016377A">
        <w:t>данные нарастающим</w:t>
      </w:r>
      <w:r>
        <w:t xml:space="preserve"> итогом</w:t>
      </w:r>
      <w:r w:rsidRPr="0016377A">
        <w:t xml:space="preserve">, </w:t>
      </w:r>
      <w:r>
        <w:t>отображаются д</w:t>
      </w:r>
      <w:r w:rsidRPr="0016377A">
        <w:t>аты, на которые есть данные;</w:t>
      </w:r>
    </w:p>
    <w:p w:rsidR="000E18B7" w:rsidRDefault="000E18B7" w:rsidP="00AD376F">
      <w:pPr>
        <w:pStyle w:val="13"/>
      </w:pPr>
      <w:r w:rsidRPr="0016377A">
        <w:t xml:space="preserve">Поиск по </w:t>
      </w:r>
      <w:r>
        <w:t>сумме</w:t>
      </w:r>
      <w:r w:rsidRPr="0016377A">
        <w:t>: «от» и «до»;</w:t>
      </w:r>
    </w:p>
    <w:p w:rsidR="000E18B7" w:rsidRDefault="000E18B7" w:rsidP="00AD376F">
      <w:pPr>
        <w:pStyle w:val="13"/>
      </w:pPr>
      <w:r>
        <w:t>Поиск по КБК;</w:t>
      </w:r>
    </w:p>
    <w:p w:rsidR="000E18B7" w:rsidRDefault="000E18B7" w:rsidP="00AD376F">
      <w:pPr>
        <w:pStyle w:val="13"/>
      </w:pPr>
      <w:r>
        <w:t>Поиск по ТОФК.</w:t>
      </w:r>
    </w:p>
    <w:p w:rsidR="000E18B7" w:rsidRDefault="000E18B7" w:rsidP="000E18B7">
      <w:pPr>
        <w:pStyle w:val="-0"/>
        <w:rPr>
          <w:szCs w:val="28"/>
        </w:rPr>
      </w:pPr>
      <w:r>
        <w:rPr>
          <w:noProof/>
          <w:snapToGrid/>
        </w:rPr>
        <w:drawing>
          <wp:inline distT="0" distB="0" distL="0" distR="0" wp14:anchorId="571EA48A" wp14:editId="4D9B148E">
            <wp:extent cx="5939790" cy="3341751"/>
            <wp:effectExtent l="19050" t="19050" r="22860" b="11430"/>
            <wp:docPr id="65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1" cstate="print"/>
                    <a:srcRect/>
                    <a:stretch>
                      <a:fillRect/>
                    </a:stretch>
                  </pic:blipFill>
                  <pic:spPr bwMode="auto">
                    <a:xfrm>
                      <a:off x="0" y="0"/>
                      <a:ext cx="5939790" cy="3341751"/>
                    </a:xfrm>
                    <a:prstGeom prst="rect">
                      <a:avLst/>
                    </a:prstGeom>
                    <a:noFill/>
                    <a:ln w="9525">
                      <a:solidFill>
                        <a:schemeClr val="accent1"/>
                      </a:solidFill>
                      <a:miter lim="800000"/>
                      <a:headEnd/>
                      <a:tailEnd/>
                    </a:ln>
                  </pic:spPr>
                </pic:pic>
              </a:graphicData>
            </a:graphic>
          </wp:inline>
        </w:drawing>
      </w:r>
    </w:p>
    <w:p w:rsidR="000E18B7" w:rsidRDefault="000E18B7" w:rsidP="000E18B7">
      <w:pPr>
        <w:pStyle w:val="-0"/>
      </w:pPr>
      <w:bookmarkStart w:id="525" w:name="_Toc68687881"/>
      <w:bookmarkStart w:id="526" w:name="_Toc69290337"/>
      <w:bookmarkStart w:id="527" w:name="_Toc69980136"/>
      <w:bookmarkStart w:id="528" w:name="_Toc119584320"/>
      <w:r w:rsidRPr="00CB3771">
        <w:t xml:space="preserve">Рисунок </w:t>
      </w:r>
      <w:fldSimple w:instr=" SEQ Рисунок \* ARABIC ">
        <w:r w:rsidR="001860A9">
          <w:rPr>
            <w:noProof/>
          </w:rPr>
          <w:t>133</w:t>
        </w:r>
      </w:fldSimple>
      <w:r>
        <w:t xml:space="preserve"> –</w:t>
      </w:r>
      <w:r w:rsidRPr="00CB3771">
        <w:t xml:space="preserve"> </w:t>
      </w:r>
      <w:r w:rsidRPr="00B33CCE">
        <w:t>Макет</w:t>
      </w:r>
      <w:r w:rsidRPr="00CB3771">
        <w:t xml:space="preserve"> представления «В разрезе ТОФК»</w:t>
      </w:r>
      <w:bookmarkEnd w:id="525"/>
      <w:bookmarkEnd w:id="526"/>
      <w:bookmarkEnd w:id="527"/>
      <w:bookmarkEnd w:id="528"/>
    </w:p>
    <w:p w:rsidR="000E18B7" w:rsidRPr="008E758A" w:rsidRDefault="000E18B7" w:rsidP="000E18B7">
      <w:pPr>
        <w:pStyle w:val="af0"/>
      </w:pPr>
      <w:r>
        <w:t>Таблица является иерархической, строки по ТОФК раскрываться и отображается список организаций, относящихся к выбранному ТОФК.</w:t>
      </w:r>
    </w:p>
    <w:p w:rsidR="000E18B7" w:rsidRDefault="000E18B7" w:rsidP="000E18B7">
      <w:pPr>
        <w:pStyle w:val="af0"/>
      </w:pPr>
      <w:r w:rsidRPr="00A33BAB">
        <w:t xml:space="preserve">Со столбца «Наименование </w:t>
      </w:r>
      <w:r>
        <w:t>ТОФК</w:t>
      </w:r>
      <w:r w:rsidRPr="00A33BAB">
        <w:t>» должен обеспечен переход в представление «Платежны</w:t>
      </w:r>
      <w:r>
        <w:t>е</w:t>
      </w:r>
      <w:r w:rsidRPr="00A33BAB">
        <w:t xml:space="preserve"> документы» с передачей параметров.</w:t>
      </w:r>
    </w:p>
    <w:p w:rsidR="000E18B7" w:rsidRDefault="000E18B7" w:rsidP="00794B58">
      <w:pPr>
        <w:pStyle w:val="42"/>
        <w:ind w:left="284"/>
        <w:jc w:val="left"/>
      </w:pPr>
      <w:bookmarkStart w:id="529" w:name="_Toc68687906"/>
      <w:r w:rsidRPr="00D9791E">
        <w:t>Представление «</w:t>
      </w:r>
      <w:r>
        <w:t>Платёжные документы</w:t>
      </w:r>
      <w:r w:rsidRPr="00D9791E">
        <w:t>»</w:t>
      </w:r>
      <w:bookmarkEnd w:id="529"/>
    </w:p>
    <w:p w:rsidR="000E18B7" w:rsidRPr="00D9791E" w:rsidRDefault="000E18B7" w:rsidP="000E18B7">
      <w:pPr>
        <w:tabs>
          <w:tab w:val="left" w:pos="9356"/>
        </w:tabs>
        <w:spacing w:line="360" w:lineRule="atLeast"/>
        <w:ind w:firstLine="709"/>
        <w:rPr>
          <w:sz w:val="28"/>
        </w:rPr>
      </w:pPr>
      <w:r>
        <w:rPr>
          <w:sz w:val="28"/>
        </w:rPr>
        <w:t>Представление «Платежные документы» реализовано в виде таблицы и содержит следующие параметры</w:t>
      </w:r>
    </w:p>
    <w:p w:rsidR="000E18B7" w:rsidRPr="0016377A" w:rsidRDefault="000E18B7" w:rsidP="00AD376F">
      <w:pPr>
        <w:pStyle w:val="13"/>
      </w:pPr>
      <w:r w:rsidRPr="0016377A">
        <w:t>Параметр ед. измерения. Значения параметра: млрд. руб., млн. руб., тыс. руб., руб. По умолчанию значение параметра «руб.»;</w:t>
      </w:r>
    </w:p>
    <w:p w:rsidR="000E18B7" w:rsidRPr="0016377A" w:rsidRDefault="000E18B7" w:rsidP="00AD376F">
      <w:pPr>
        <w:pStyle w:val="13"/>
      </w:pPr>
      <w:r w:rsidRPr="0016377A">
        <w:t xml:space="preserve">Поиск по ИНН, КПП, </w:t>
      </w:r>
      <w:r>
        <w:t>и/или наименованию плательщика</w:t>
      </w:r>
      <w:r w:rsidRPr="0016377A">
        <w:t>;</w:t>
      </w:r>
    </w:p>
    <w:p w:rsidR="000E18B7" w:rsidRPr="0016377A" w:rsidRDefault="000E18B7" w:rsidP="00AD376F">
      <w:pPr>
        <w:pStyle w:val="13"/>
      </w:pPr>
      <w:r w:rsidRPr="0016377A">
        <w:t xml:space="preserve">Поиск по дате: </w:t>
      </w:r>
      <w:r>
        <w:t xml:space="preserve">так как </w:t>
      </w:r>
      <w:r w:rsidRPr="0016377A">
        <w:t>данные нарастающим</w:t>
      </w:r>
      <w:r>
        <w:t xml:space="preserve"> итогом</w:t>
      </w:r>
      <w:r w:rsidRPr="0016377A">
        <w:t xml:space="preserve">, </w:t>
      </w:r>
      <w:r>
        <w:t>отображаются</w:t>
      </w:r>
      <w:r w:rsidRPr="0016377A">
        <w:t xml:space="preserve"> </w:t>
      </w:r>
      <w:r>
        <w:t>д</w:t>
      </w:r>
      <w:r w:rsidRPr="0016377A">
        <w:t>аты, на которые есть данные;</w:t>
      </w:r>
    </w:p>
    <w:p w:rsidR="000E18B7" w:rsidRDefault="000E18B7" w:rsidP="00AD376F">
      <w:pPr>
        <w:pStyle w:val="13"/>
      </w:pPr>
      <w:r w:rsidRPr="0016377A">
        <w:t xml:space="preserve">Поиск по </w:t>
      </w:r>
      <w:r>
        <w:t>сумме</w:t>
      </w:r>
      <w:r w:rsidRPr="0016377A">
        <w:t>: «от» и «до»;</w:t>
      </w:r>
    </w:p>
    <w:p w:rsidR="000E18B7" w:rsidRDefault="000E18B7" w:rsidP="00AD376F">
      <w:pPr>
        <w:pStyle w:val="13"/>
      </w:pPr>
      <w:r>
        <w:t>Поиск по КБК;</w:t>
      </w:r>
    </w:p>
    <w:p w:rsidR="000E18B7" w:rsidRDefault="000E18B7" w:rsidP="00AD376F">
      <w:pPr>
        <w:pStyle w:val="13"/>
      </w:pPr>
      <w:r>
        <w:t>Поиск по назначению платежа.</w:t>
      </w:r>
    </w:p>
    <w:p w:rsidR="000E18B7" w:rsidRDefault="000E18B7" w:rsidP="00AD376F">
      <w:pPr>
        <w:pStyle w:val="13"/>
      </w:pPr>
      <w:r>
        <w:t>Поиск по ТОФК;</w:t>
      </w:r>
    </w:p>
    <w:p w:rsidR="000E18B7" w:rsidRDefault="000E18B7" w:rsidP="00AD376F">
      <w:pPr>
        <w:pStyle w:val="13"/>
      </w:pPr>
      <w:r>
        <w:t>Поиск по наименованию доверительного плательщика;</w:t>
      </w:r>
    </w:p>
    <w:p w:rsidR="000E18B7" w:rsidRPr="0016377A" w:rsidRDefault="000E18B7" w:rsidP="00AD376F">
      <w:pPr>
        <w:pStyle w:val="13"/>
      </w:pPr>
      <w:r>
        <w:t>Поиск по номеру платежного документа.</w:t>
      </w:r>
    </w:p>
    <w:p w:rsidR="000E18B7" w:rsidRDefault="000E18B7" w:rsidP="000E18B7">
      <w:pPr>
        <w:pStyle w:val="-0"/>
      </w:pPr>
      <w:r>
        <w:rPr>
          <w:noProof/>
          <w:snapToGrid/>
        </w:rPr>
        <w:drawing>
          <wp:inline distT="0" distB="0" distL="0" distR="0" wp14:anchorId="51705DEE" wp14:editId="5ED06533">
            <wp:extent cx="5939790" cy="3341751"/>
            <wp:effectExtent l="19050" t="19050" r="22860" b="11049"/>
            <wp:docPr id="6480" name="Рисунок 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 cstate="print"/>
                    <a:srcRect/>
                    <a:stretch>
                      <a:fillRect/>
                    </a:stretch>
                  </pic:blipFill>
                  <pic:spPr bwMode="auto">
                    <a:xfrm>
                      <a:off x="0" y="0"/>
                      <a:ext cx="5939790" cy="3341751"/>
                    </a:xfrm>
                    <a:prstGeom prst="rect">
                      <a:avLst/>
                    </a:prstGeom>
                    <a:noFill/>
                    <a:ln w="9525">
                      <a:solidFill>
                        <a:schemeClr val="accent1"/>
                      </a:solidFill>
                      <a:miter lim="800000"/>
                      <a:headEnd/>
                      <a:tailEnd/>
                    </a:ln>
                  </pic:spPr>
                </pic:pic>
              </a:graphicData>
            </a:graphic>
          </wp:inline>
        </w:drawing>
      </w:r>
    </w:p>
    <w:p w:rsidR="000E18B7" w:rsidRDefault="000E18B7" w:rsidP="000E18B7">
      <w:pPr>
        <w:pStyle w:val="-0"/>
      </w:pPr>
      <w:bookmarkStart w:id="530" w:name="_Toc68687882"/>
      <w:bookmarkStart w:id="531" w:name="_Toc69290338"/>
      <w:bookmarkStart w:id="532" w:name="_Toc69980137"/>
      <w:bookmarkStart w:id="533" w:name="_Toc119584321"/>
      <w:r w:rsidRPr="00591B62">
        <w:t xml:space="preserve">Рисунок </w:t>
      </w:r>
      <w:fldSimple w:instr=" SEQ Рисунок \* ARABIC ">
        <w:r w:rsidR="001860A9">
          <w:rPr>
            <w:noProof/>
          </w:rPr>
          <w:t>134</w:t>
        </w:r>
      </w:fldSimple>
      <w:r>
        <w:t xml:space="preserve"> – Макет представления «</w:t>
      </w:r>
      <w:r w:rsidRPr="00591B62">
        <w:t>Платежные документы</w:t>
      </w:r>
      <w:r>
        <w:t>»</w:t>
      </w:r>
      <w:bookmarkStart w:id="534" w:name="str1"/>
      <w:bookmarkEnd w:id="530"/>
      <w:bookmarkEnd w:id="531"/>
      <w:bookmarkEnd w:id="532"/>
      <w:bookmarkEnd w:id="534"/>
      <w:bookmarkEnd w:id="533"/>
    </w:p>
    <w:p w:rsidR="000E18B7" w:rsidRDefault="000E18B7" w:rsidP="000E18B7">
      <w:pPr>
        <w:pStyle w:val="35"/>
        <w:ind w:left="142"/>
      </w:pPr>
      <w:bookmarkStart w:id="535" w:name="_Toc69290124"/>
      <w:bookmarkStart w:id="536" w:name="_Toc119585081"/>
      <w:r>
        <w:t>Отчет «</w:t>
      </w:r>
      <w:r w:rsidRPr="00C15CCA">
        <w:t>Мониторинг объектов капитального строительства в рамках реализации федеральной адресной инвестиционной программы</w:t>
      </w:r>
      <w:r>
        <w:t>»</w:t>
      </w:r>
      <w:bookmarkEnd w:id="535"/>
      <w:r>
        <w:t xml:space="preserve"> (</w:t>
      </w:r>
      <w:r w:rsidRPr="00562B8F">
        <w:t>PIAO_164_001_report</w:t>
      </w:r>
      <w:r>
        <w:t>)</w:t>
      </w:r>
      <w:bookmarkEnd w:id="536"/>
    </w:p>
    <w:p w:rsidR="000E18B7" w:rsidRDefault="000E18B7" w:rsidP="000E18B7">
      <w:pPr>
        <w:pStyle w:val="af0"/>
      </w:pPr>
      <w:r w:rsidRPr="00B7120B">
        <w:rPr>
          <w:rStyle w:val="af1"/>
        </w:rPr>
        <w:t xml:space="preserve">Для перехода к </w:t>
      </w:r>
      <w:r>
        <w:rPr>
          <w:rStyle w:val="af1"/>
        </w:rPr>
        <w:t xml:space="preserve">аналитическому </w:t>
      </w:r>
      <w:r w:rsidRPr="00B7120B">
        <w:rPr>
          <w:rStyle w:val="af1"/>
        </w:rPr>
        <w:t>отчету «</w:t>
      </w:r>
      <w:r w:rsidRPr="00C15CCA">
        <w:rPr>
          <w:snapToGrid/>
        </w:rPr>
        <w:t>Мониторинг объектов капитального строительства в рамках реализации федеральной адресной инвестиционной программы</w:t>
      </w:r>
      <w:r w:rsidRPr="00B7120B">
        <w:rPr>
          <w:rStyle w:val="af1"/>
        </w:rPr>
        <w:t>» необходимо перейти к витрине «Исполнение бюджетов бюджетной системы Российской Федерации»</w:t>
      </w:r>
      <w:r>
        <w:rPr>
          <w:rStyle w:val="af1"/>
        </w:rPr>
        <w:t>, раскрыть каталог</w:t>
      </w:r>
      <w:r w:rsidRPr="00B7120B">
        <w:rPr>
          <w:rStyle w:val="af1"/>
        </w:rPr>
        <w:t xml:space="preserve"> «Отчеты</w:t>
      </w:r>
      <w:r>
        <w:rPr>
          <w:rStyle w:val="af1"/>
        </w:rPr>
        <w:t xml:space="preserve"> по ФАИП» и кликнуть мышь по соответствующей вкладке</w:t>
      </w:r>
      <w:r>
        <w:t xml:space="preserve"> (Р</w:t>
      </w:r>
      <w:r w:rsidRPr="00206C4C">
        <w:t>исун</w:t>
      </w:r>
      <w:r>
        <w:t xml:space="preserve">ок </w:t>
      </w:r>
      <w:r>
        <w:fldChar w:fldCharType="begin"/>
      </w:r>
      <w:r>
        <w:instrText xml:space="preserve"> REF _Ref69215433 \h </w:instrText>
      </w:r>
      <w:r>
        <w:fldChar w:fldCharType="separate"/>
      </w:r>
      <w:r w:rsidR="00BF0BEE">
        <w:rPr>
          <w:noProof/>
        </w:rPr>
        <w:t>135</w:t>
      </w:r>
      <w:r>
        <w:fldChar w:fldCharType="end"/>
      </w:r>
      <w:r>
        <w:t>).</w:t>
      </w:r>
    </w:p>
    <w:p w:rsidR="000E18B7" w:rsidRDefault="000E18B7" w:rsidP="000E18B7">
      <w:pPr>
        <w:pStyle w:val="afffff7"/>
        <w:keepNext/>
      </w:pPr>
      <w:r>
        <w:rPr>
          <w:noProof/>
          <w:lang w:eastAsia="ru-RU"/>
        </w:rPr>
        <w:drawing>
          <wp:inline distT="0" distB="0" distL="0" distR="0" wp14:anchorId="7BC74B63" wp14:editId="27A40A74">
            <wp:extent cx="6152515" cy="1956435"/>
            <wp:effectExtent l="0" t="0" r="635" b="5715"/>
            <wp:docPr id="6489" name="Рисунок 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6152515" cy="1956435"/>
                    </a:xfrm>
                    <a:prstGeom prst="rect">
                      <a:avLst/>
                    </a:prstGeom>
                  </pic:spPr>
                </pic:pic>
              </a:graphicData>
            </a:graphic>
          </wp:inline>
        </w:drawing>
      </w:r>
    </w:p>
    <w:p w:rsidR="000E18B7" w:rsidRDefault="000E18B7" w:rsidP="000E18B7">
      <w:pPr>
        <w:pStyle w:val="afff8"/>
        <w:jc w:val="center"/>
      </w:pPr>
      <w:bookmarkStart w:id="537" w:name="_Toc69290339"/>
      <w:bookmarkStart w:id="538" w:name="_Toc69980138"/>
      <w:bookmarkStart w:id="539" w:name="_Toc119584322"/>
      <w:r>
        <w:t xml:space="preserve">Рисунок </w:t>
      </w:r>
      <w:fldSimple w:instr=" SEQ Рисунок \* ARABIC ">
        <w:bookmarkStart w:id="540" w:name="_Ref69215433"/>
        <w:r w:rsidR="001860A9">
          <w:rPr>
            <w:noProof/>
          </w:rPr>
          <w:t>135</w:t>
        </w:r>
        <w:bookmarkEnd w:id="540"/>
      </w:fldSimple>
      <w:r>
        <w:t xml:space="preserve"> – Переход к отчету «</w:t>
      </w:r>
      <w:r w:rsidRPr="00C15CCA">
        <w:rPr>
          <w:snapToGrid/>
        </w:rPr>
        <w:t>Мониторинг объектов капитального строительства в рамках реализации федеральной адресной инвестиционной программы</w:t>
      </w:r>
      <w:r>
        <w:t>»</w:t>
      </w:r>
      <w:bookmarkEnd w:id="537"/>
      <w:bookmarkEnd w:id="538"/>
      <w:bookmarkEnd w:id="539"/>
    </w:p>
    <w:p w:rsidR="000E18B7" w:rsidRDefault="000E18B7" w:rsidP="000317DF">
      <w:pPr>
        <w:pStyle w:val="42"/>
        <w:ind w:left="284"/>
        <w:jc w:val="left"/>
        <w:rPr>
          <w:rStyle w:val="af1"/>
          <w:rFonts w:eastAsia="Calibri"/>
        </w:rPr>
      </w:pPr>
      <w:r w:rsidRPr="00113D8F">
        <w:rPr>
          <w:rFonts w:cs="Arial"/>
        </w:rPr>
        <w:t>Представление «Общая информация (с плановыми периодами/</w:t>
      </w:r>
      <w:r w:rsidRPr="00B152B6">
        <w:t xml:space="preserve"> без плановых периодов)»</w:t>
      </w:r>
    </w:p>
    <w:p w:rsidR="000E18B7" w:rsidRDefault="000E18B7" w:rsidP="000E18B7">
      <w:pPr>
        <w:pStyle w:val="af0"/>
      </w:pPr>
      <w:r>
        <w:t xml:space="preserve">Представление </w:t>
      </w:r>
      <w:r w:rsidRPr="00B152B6">
        <w:t>«Общая информация (с плановыми периодами/ без плановых периодов)»</w:t>
      </w:r>
      <w:r>
        <w:t xml:space="preserve"> реализовано в виде таблицы (</w:t>
      </w:r>
      <w:r>
        <w:fldChar w:fldCharType="begin"/>
      </w:r>
      <w:r>
        <w:instrText xml:space="preserve"> REF _Ref69216083 \h </w:instrText>
      </w:r>
      <w:r>
        <w:fldChar w:fldCharType="separate"/>
      </w:r>
      <w:r w:rsidR="00BF0BEE">
        <w:t xml:space="preserve">Рисунок </w:t>
      </w:r>
      <w:r w:rsidR="00BF0BEE">
        <w:rPr>
          <w:noProof/>
        </w:rPr>
        <w:t>136</w:t>
      </w:r>
      <w:r>
        <w:fldChar w:fldCharType="end"/>
      </w:r>
      <w:r>
        <w:t>) и содержит следующие параметры:</w:t>
      </w:r>
    </w:p>
    <w:p w:rsidR="000E18B7" w:rsidRPr="00C1092B" w:rsidRDefault="000E18B7" w:rsidP="00AD376F">
      <w:pPr>
        <w:pStyle w:val="13"/>
      </w:pPr>
      <w:r w:rsidRPr="00C1092B">
        <w:t>Параметр с выбором «С плановыми периодами/Без плановых периодов». Выбор параметра «С плановыми периодами» добавляет в таблицу столбцы «Бюджетные ассигнования на первый год», «Бюджетные ассигнования на второй год», «Сумма БО на первый год», «Сумма БО на второй год», «Лимиты бюджетных обязательств на первый год», «Лимиты бюджетных обязательств на второй год».</w:t>
      </w:r>
    </w:p>
    <w:p w:rsidR="000E18B7" w:rsidRPr="00C1092B" w:rsidRDefault="000E18B7" w:rsidP="00AD376F">
      <w:pPr>
        <w:pStyle w:val="13"/>
      </w:pPr>
      <w:r w:rsidRPr="00C1092B">
        <w:t>Параметр ед. измерения. Значения параметра: млрд. руб., млн. руб., тыс. руб., руб. По умолчанию значение параметра «млн. руб.»;</w:t>
      </w:r>
    </w:p>
    <w:p w:rsidR="000E18B7" w:rsidRPr="00C1092B" w:rsidRDefault="000E18B7" w:rsidP="00AD376F">
      <w:pPr>
        <w:pStyle w:val="13"/>
      </w:pPr>
      <w:r w:rsidRPr="00C1092B">
        <w:t>Поиск по дате: так как данные будут ежедневные, показывать даты, на которые есть данные (доступные даты  проверяем по полю REPORTDATE из таблицы F_FAIP_BO);</w:t>
      </w:r>
    </w:p>
    <w:p w:rsidR="000E18B7" w:rsidRPr="00C1092B" w:rsidRDefault="000E18B7" w:rsidP="00AD376F">
      <w:pPr>
        <w:pStyle w:val="13"/>
      </w:pPr>
      <w:r w:rsidRPr="00C1092B">
        <w:t>Фильтр «Национальный проект»: Формировать выпадающий список из возможных значений национальных и федеральных проектов. Национальный проект - выводим 11 символ из поля KBK из таблицы F_FAIP_BO. Федеральный проект:  выводим</w:t>
      </w:r>
      <w:r w:rsidRPr="00DB08D2">
        <w:t xml:space="preserve"> 11- 12 символ из поля KBK из таблицы F_FAIP_BO. Дополнительно выводим записи вне рамок национальных </w:t>
      </w:r>
      <w:r w:rsidRPr="00C1092B">
        <w:t xml:space="preserve">проектов. Должна быть возможность множественного выбора (т.е. нескольких национальных проектов, чекбокс).  </w:t>
      </w:r>
    </w:p>
    <w:p w:rsidR="000E18B7" w:rsidRPr="00DB08D2" w:rsidRDefault="000E18B7" w:rsidP="00AD376F">
      <w:pPr>
        <w:pStyle w:val="13"/>
      </w:pPr>
      <w:r w:rsidRPr="00C1092B">
        <w:t>Фильтр «ФАИП»: В нём должны быть значения: «Все», «ФАИП, реализуемые в рамках НП» «ФАИП, реализуемые не в рамках НП». Если выбран «ФАИП, реализуемые в рамках НП», то выводятся только те записи, у которых в значении в поле «KBK» на 11 позиции стоит буква (P,V,R, G, N, D, F, E, T,I, S, A, L). Если выбран</w:t>
      </w:r>
      <w:r w:rsidRPr="00DB08D2">
        <w:t xml:space="preserve"> </w:t>
      </w:r>
      <w:r w:rsidRPr="00DB08D2">
        <w:rPr>
          <w:lang w:eastAsia="en-US"/>
        </w:rPr>
        <w:t>«ФАИП, реализуемые не в рамках НП»,</w:t>
      </w:r>
      <w:r w:rsidRPr="00DB08D2">
        <w:t xml:space="preserve"> то выводятся только те записи, у которых в значении в поле «KBK» на 11 позиции стоит любая цифра. </w:t>
      </w:r>
      <w:r w:rsidRPr="00DB08D2">
        <w:rPr>
          <w:lang w:eastAsia="en-US"/>
        </w:rPr>
        <w:t>Если «Все» - то все.</w:t>
      </w:r>
    </w:p>
    <w:p w:rsidR="000E18B7" w:rsidRDefault="000E18B7" w:rsidP="000E18B7">
      <w:pPr>
        <w:pStyle w:val="-0"/>
      </w:pPr>
      <w:r>
        <w:rPr>
          <w:noProof/>
          <w:snapToGrid/>
        </w:rPr>
        <w:drawing>
          <wp:inline distT="0" distB="0" distL="0" distR="0" wp14:anchorId="5B31D6C9" wp14:editId="2209C446">
            <wp:extent cx="6152515" cy="1765935"/>
            <wp:effectExtent l="0" t="0" r="635" b="5715"/>
            <wp:docPr id="6491" name="Рисунок 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6152515" cy="1765935"/>
                    </a:xfrm>
                    <a:prstGeom prst="rect">
                      <a:avLst/>
                    </a:prstGeom>
                  </pic:spPr>
                </pic:pic>
              </a:graphicData>
            </a:graphic>
          </wp:inline>
        </w:drawing>
      </w:r>
    </w:p>
    <w:p w:rsidR="000E18B7" w:rsidRPr="00DB08D2" w:rsidRDefault="000E18B7" w:rsidP="000E18B7">
      <w:pPr>
        <w:pStyle w:val="-0"/>
      </w:pPr>
      <w:bookmarkStart w:id="541" w:name="_Ref69216083"/>
      <w:bookmarkStart w:id="542" w:name="_Ref69216065"/>
      <w:bookmarkStart w:id="543" w:name="_Toc69290340"/>
      <w:bookmarkStart w:id="544" w:name="_Toc69980139"/>
      <w:bookmarkStart w:id="545" w:name="_Toc119584323"/>
      <w:r>
        <w:t xml:space="preserve">Рисунок </w:t>
      </w:r>
      <w:fldSimple w:instr=" SEQ Рисунок \* ARABIC ">
        <w:r w:rsidR="001860A9">
          <w:rPr>
            <w:noProof/>
          </w:rPr>
          <w:t>136</w:t>
        </w:r>
      </w:fldSimple>
      <w:bookmarkEnd w:id="541"/>
      <w:r>
        <w:t xml:space="preserve"> – Макет отчета «</w:t>
      </w:r>
      <w:r w:rsidRPr="00C15CCA">
        <w:rPr>
          <w:snapToGrid/>
        </w:rPr>
        <w:t>Мониторинг объектов капитального строительства в рамках реализации федеральной адресной инвестиционной программы</w:t>
      </w:r>
      <w:r>
        <w:t>», представление «</w:t>
      </w:r>
      <w:r w:rsidRPr="00B152B6">
        <w:t>Общая информация</w:t>
      </w:r>
      <w:r>
        <w:t>»</w:t>
      </w:r>
      <w:bookmarkEnd w:id="542"/>
      <w:bookmarkEnd w:id="543"/>
      <w:bookmarkEnd w:id="544"/>
      <w:bookmarkEnd w:id="545"/>
    </w:p>
    <w:p w:rsidR="000E18B7" w:rsidRPr="00DB08D2" w:rsidRDefault="000E18B7" w:rsidP="000E18B7">
      <w:pPr>
        <w:pStyle w:val="af0"/>
        <w:ind w:firstLine="709"/>
        <w:rPr>
          <w:szCs w:val="28"/>
        </w:rPr>
      </w:pPr>
      <w:r w:rsidRPr="00DB08D2">
        <w:rPr>
          <w:szCs w:val="28"/>
        </w:rPr>
        <w:t>Один национальный (федеральный) проект = одна строка.</w:t>
      </w:r>
    </w:p>
    <w:p w:rsidR="000E18B7" w:rsidRPr="00DB08D2" w:rsidRDefault="000E18B7" w:rsidP="000E18B7">
      <w:pPr>
        <w:pStyle w:val="af0"/>
        <w:ind w:firstLine="709"/>
        <w:rPr>
          <w:szCs w:val="28"/>
        </w:rPr>
      </w:pPr>
      <w:r>
        <w:rPr>
          <w:szCs w:val="28"/>
        </w:rPr>
        <w:t xml:space="preserve">Правила формирования таблицы представления </w:t>
      </w:r>
      <w:r w:rsidRPr="00B152B6">
        <w:t>Общая информация (с плановыми периодами/ без плановых периодов)»</w:t>
      </w:r>
      <w:r>
        <w:t xml:space="preserve"> представлены в таблице </w:t>
      </w:r>
      <w:r>
        <w:fldChar w:fldCharType="begin"/>
      </w:r>
      <w:r>
        <w:instrText xml:space="preserve"> REF _Ref69215786 \h </w:instrText>
      </w:r>
      <w:r>
        <w:fldChar w:fldCharType="separate"/>
      </w:r>
      <w:r w:rsidR="00BF0BEE">
        <w:rPr>
          <w:noProof/>
        </w:rPr>
        <w:t>9</w:t>
      </w:r>
      <w:r>
        <w:fldChar w:fldCharType="end"/>
      </w:r>
      <w:r w:rsidRPr="00DB08D2">
        <w:rPr>
          <w:szCs w:val="28"/>
        </w:rPr>
        <w:t>:</w:t>
      </w:r>
    </w:p>
    <w:p w:rsidR="000E18B7" w:rsidRPr="006B63F2" w:rsidRDefault="000E18B7" w:rsidP="000E18B7">
      <w:pPr>
        <w:pStyle w:val="-"/>
      </w:pPr>
      <w:bookmarkStart w:id="546" w:name="_Toc69290206"/>
      <w:bookmarkStart w:id="547" w:name="_Toc69917975"/>
      <w:bookmarkStart w:id="548" w:name="_Toc119585150"/>
      <w:r>
        <w:t xml:space="preserve">Таблица </w:t>
      </w:r>
      <w:fldSimple w:instr=" SEQ Таблица \* ARABIC ">
        <w:bookmarkStart w:id="549" w:name="_Ref69215786"/>
        <w:r w:rsidR="00BF0BEE">
          <w:rPr>
            <w:noProof/>
          </w:rPr>
          <w:t>9</w:t>
        </w:r>
        <w:bookmarkEnd w:id="549"/>
      </w:fldSimple>
      <w:r>
        <w:t xml:space="preserve"> – </w:t>
      </w:r>
      <w:r>
        <w:rPr>
          <w:szCs w:val="28"/>
        </w:rPr>
        <w:t>Правила формирования таблицы представления «</w:t>
      </w:r>
      <w:r w:rsidRPr="00B152B6">
        <w:t>Общая информация (с плановыми периодами/ без плановых периодов)»</w:t>
      </w:r>
      <w:bookmarkEnd w:id="546"/>
      <w:bookmarkEnd w:id="547"/>
      <w:bookmarkEnd w:id="548"/>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7"/>
        <w:gridCol w:w="5802"/>
      </w:tblGrid>
      <w:tr w:rsidR="00AD376F" w:rsidRPr="00AD376F" w:rsidTr="00AD376F">
        <w:trPr>
          <w:cantSplit/>
          <w:tblHeader/>
        </w:trPr>
        <w:tc>
          <w:tcPr>
            <w:tcW w:w="2021" w:type="pct"/>
            <w:shd w:val="clear" w:color="auto" w:fill="D9D9D9" w:themeFill="background1" w:themeFillShade="D9"/>
          </w:tcPr>
          <w:p w:rsidR="00AD376F" w:rsidRPr="00AD376F" w:rsidRDefault="00AD376F" w:rsidP="00F13F95">
            <w:pPr>
              <w:jc w:val="center"/>
              <w:rPr>
                <w:b/>
                <w:szCs w:val="24"/>
              </w:rPr>
            </w:pPr>
            <w:r w:rsidRPr="00AD376F">
              <w:rPr>
                <w:b/>
                <w:szCs w:val="24"/>
              </w:rPr>
              <w:t>Название колонки</w:t>
            </w:r>
          </w:p>
        </w:tc>
        <w:tc>
          <w:tcPr>
            <w:tcW w:w="2979" w:type="pct"/>
            <w:shd w:val="clear" w:color="auto" w:fill="D9D9D9" w:themeFill="background1" w:themeFillShade="D9"/>
          </w:tcPr>
          <w:p w:rsidR="00AD376F" w:rsidRPr="00AD376F" w:rsidRDefault="00AD376F" w:rsidP="00F13F95">
            <w:pPr>
              <w:jc w:val="center"/>
              <w:rPr>
                <w:b/>
                <w:szCs w:val="24"/>
              </w:rPr>
            </w:pPr>
            <w:r w:rsidRPr="00AD376F">
              <w:rPr>
                <w:b/>
                <w:szCs w:val="24"/>
              </w:rPr>
              <w:t>Правило формирования</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Код НП/ФП</w:t>
            </w:r>
          </w:p>
        </w:tc>
        <w:tc>
          <w:tcPr>
            <w:tcW w:w="2979" w:type="pct"/>
            <w:shd w:val="clear" w:color="auto" w:fill="FFFFFF"/>
          </w:tcPr>
          <w:p w:rsidR="00AD376F" w:rsidRPr="006B63F2" w:rsidRDefault="00AD376F" w:rsidP="00F13F95">
            <w:pPr>
              <w:rPr>
                <w:szCs w:val="24"/>
              </w:rPr>
            </w:pPr>
            <w:r w:rsidRPr="006B63F2">
              <w:rPr>
                <w:szCs w:val="24"/>
              </w:rPr>
              <w:t>Код НП - 11 символ из поля KBK (из таблицы F_FAIP_BO)</w:t>
            </w:r>
          </w:p>
          <w:p w:rsidR="00AD376F" w:rsidRPr="006B63F2" w:rsidRDefault="00AD376F" w:rsidP="00F13F95">
            <w:pPr>
              <w:rPr>
                <w:szCs w:val="24"/>
              </w:rPr>
            </w:pPr>
            <w:r w:rsidRPr="006B63F2">
              <w:rPr>
                <w:szCs w:val="24"/>
              </w:rPr>
              <w:t>Код ФП - 11-12 символ из поля KBK (из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Наименование НП/ФП</w:t>
            </w:r>
          </w:p>
        </w:tc>
        <w:tc>
          <w:tcPr>
            <w:tcW w:w="2979" w:type="pct"/>
            <w:shd w:val="clear" w:color="auto" w:fill="FFFFFF"/>
          </w:tcPr>
          <w:p w:rsidR="00AD376F" w:rsidRPr="006B63F2" w:rsidRDefault="00AD376F" w:rsidP="00F13F95">
            <w:pPr>
              <w:rPr>
                <w:szCs w:val="24"/>
              </w:rPr>
            </w:pPr>
            <w:r w:rsidRPr="006B63F2">
              <w:rPr>
                <w:szCs w:val="24"/>
              </w:rPr>
              <w:t>Наименование НП проставляется по соответствию Кода НП с Код НП в Справочник НП/Наименование НП (поле NPNAME в справочнике FX_VS_NATIONPROJECT)</w:t>
            </w:r>
          </w:p>
          <w:p w:rsidR="00AD376F" w:rsidRPr="006B63F2" w:rsidRDefault="00AD376F" w:rsidP="00F13F95">
            <w:pPr>
              <w:rPr>
                <w:szCs w:val="24"/>
              </w:rPr>
            </w:pPr>
            <w:r w:rsidRPr="006B63F2">
              <w:rPr>
                <w:szCs w:val="24"/>
              </w:rPr>
              <w:t>Наименование ФП проставляется по соответствию Кода ФП с Код ФП в Справочник ФП/Наименование ФП (поле FPNAME в справочнике D_VS_FEDERALPROJECT)</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Количество ФАИП/ОКС</w:t>
            </w:r>
          </w:p>
        </w:tc>
        <w:tc>
          <w:tcPr>
            <w:tcW w:w="2979" w:type="pct"/>
            <w:shd w:val="clear" w:color="auto" w:fill="FFFFFF"/>
          </w:tcPr>
          <w:p w:rsidR="00AD376F" w:rsidRPr="006B63F2" w:rsidRDefault="00AD376F" w:rsidP="00F13F95">
            <w:pPr>
              <w:rPr>
                <w:szCs w:val="24"/>
              </w:rPr>
            </w:pPr>
            <w:r w:rsidRPr="006B63F2">
              <w:rPr>
                <w:szCs w:val="24"/>
              </w:rPr>
              <w:t>Количество объектов по НП проставляется в соответствии с количеством объектов ФАИП, у которых проставлено соответствующее значение в 11 символе в поле KBK (из таблицы F_FAIP_BO).</w:t>
            </w:r>
          </w:p>
          <w:p w:rsidR="00AD376F" w:rsidRPr="006B63F2" w:rsidRDefault="00AD376F" w:rsidP="00F13F95">
            <w:pPr>
              <w:rPr>
                <w:szCs w:val="24"/>
              </w:rPr>
            </w:pPr>
            <w:r w:rsidRPr="006B63F2">
              <w:rPr>
                <w:szCs w:val="24"/>
              </w:rPr>
              <w:t>Количество объектов по ФП проставляется в соответствии с количеством объектов ФАИП, у которых проставлено соответствующее значение в 11-12 символе в поле KBK (из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Бюджетные ассигнования на текущий год</w:t>
            </w:r>
          </w:p>
        </w:tc>
        <w:tc>
          <w:tcPr>
            <w:tcW w:w="2979" w:type="pct"/>
            <w:shd w:val="clear" w:color="auto" w:fill="FFFFFF"/>
          </w:tcPr>
          <w:p w:rsidR="00AD376F" w:rsidRPr="006B63F2" w:rsidRDefault="00AD376F" w:rsidP="00F13F95">
            <w:pPr>
              <w:rPr>
                <w:szCs w:val="24"/>
              </w:rPr>
            </w:pPr>
            <w:r w:rsidRPr="006B63F2">
              <w:rPr>
                <w:szCs w:val="24"/>
              </w:rPr>
              <w:t>Поле APPROVBA</w:t>
            </w:r>
            <w:r w:rsidRPr="006B63F2" w:rsidDel="008538AE">
              <w:rPr>
                <w:szCs w:val="24"/>
              </w:rPr>
              <w:t xml:space="preserve"> </w:t>
            </w:r>
            <w:r w:rsidRPr="006B63F2">
              <w:rPr>
                <w:szCs w:val="24"/>
              </w:rPr>
              <w:t>из таблицы F_FAIP_LBO</w:t>
            </w:r>
          </w:p>
          <w:p w:rsidR="00AD376F" w:rsidRPr="006B63F2" w:rsidRDefault="00AD376F" w:rsidP="00F13F95">
            <w:pPr>
              <w:rPr>
                <w:szCs w:val="24"/>
              </w:rPr>
            </w:pP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Бюджетные ассигнования на первый год</w:t>
            </w:r>
          </w:p>
        </w:tc>
        <w:tc>
          <w:tcPr>
            <w:tcW w:w="2979" w:type="pct"/>
            <w:shd w:val="clear" w:color="auto" w:fill="FFFFFF"/>
          </w:tcPr>
          <w:p w:rsidR="00AD376F" w:rsidRPr="006B63F2" w:rsidRDefault="00AD376F" w:rsidP="00F13F95">
            <w:pPr>
              <w:rPr>
                <w:szCs w:val="24"/>
              </w:rPr>
            </w:pPr>
            <w:r w:rsidRPr="006B63F2">
              <w:rPr>
                <w:szCs w:val="24"/>
              </w:rPr>
              <w:t>Поле APPROVBA1</w:t>
            </w:r>
            <w:r w:rsidRPr="006B63F2" w:rsidDel="008538AE">
              <w:rPr>
                <w:szCs w:val="24"/>
              </w:rPr>
              <w:t xml:space="preserve"> </w:t>
            </w:r>
            <w:r w:rsidRPr="006B63F2">
              <w:rPr>
                <w:szCs w:val="24"/>
              </w:rPr>
              <w:t>из таблицы F_FAIP_LBO</w:t>
            </w:r>
          </w:p>
          <w:p w:rsidR="00AD376F" w:rsidRPr="006B63F2" w:rsidRDefault="00AD376F" w:rsidP="00F13F95">
            <w:pPr>
              <w:rPr>
                <w:szCs w:val="24"/>
              </w:rPr>
            </w:pP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Бюджетные ассигнования на второй год</w:t>
            </w:r>
          </w:p>
        </w:tc>
        <w:tc>
          <w:tcPr>
            <w:tcW w:w="2979" w:type="pct"/>
            <w:shd w:val="clear" w:color="auto" w:fill="FFFFFF"/>
          </w:tcPr>
          <w:p w:rsidR="00AD376F" w:rsidRPr="006B63F2" w:rsidRDefault="00AD376F" w:rsidP="00F13F95">
            <w:pPr>
              <w:rPr>
                <w:szCs w:val="24"/>
              </w:rPr>
            </w:pPr>
            <w:r w:rsidRPr="006B63F2">
              <w:rPr>
                <w:szCs w:val="24"/>
              </w:rPr>
              <w:t>Поле APPROVBA2</w:t>
            </w:r>
            <w:r w:rsidRPr="006B63F2" w:rsidDel="008538AE">
              <w:rPr>
                <w:szCs w:val="24"/>
              </w:rPr>
              <w:t xml:space="preserve"> </w:t>
            </w:r>
            <w:r w:rsidRPr="006B63F2">
              <w:rPr>
                <w:szCs w:val="24"/>
              </w:rPr>
              <w:t>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Лимиты бюджетных обязательств на текущий год</w:t>
            </w:r>
          </w:p>
        </w:tc>
        <w:tc>
          <w:tcPr>
            <w:tcW w:w="2979" w:type="pct"/>
            <w:shd w:val="clear" w:color="auto" w:fill="FFFFFF"/>
          </w:tcPr>
          <w:p w:rsidR="00AD376F" w:rsidRPr="006B63F2" w:rsidRDefault="00AD376F" w:rsidP="00F13F95">
            <w:pPr>
              <w:rPr>
                <w:szCs w:val="24"/>
              </w:rPr>
            </w:pPr>
            <w:r w:rsidRPr="006B63F2">
              <w:rPr>
                <w:szCs w:val="24"/>
              </w:rPr>
              <w:t>Поле APPROVLBO 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Лимиты бюджетных обязательств на первый год</w:t>
            </w:r>
          </w:p>
        </w:tc>
        <w:tc>
          <w:tcPr>
            <w:tcW w:w="2979" w:type="pct"/>
            <w:shd w:val="clear" w:color="auto" w:fill="FFFFFF"/>
          </w:tcPr>
          <w:p w:rsidR="00AD376F" w:rsidRPr="006B63F2" w:rsidRDefault="00AD376F" w:rsidP="00F13F95">
            <w:pPr>
              <w:rPr>
                <w:szCs w:val="24"/>
              </w:rPr>
            </w:pPr>
            <w:r w:rsidRPr="006B63F2">
              <w:rPr>
                <w:szCs w:val="24"/>
              </w:rPr>
              <w:t>Поле APPROVLBO1 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Лимиты бюджетных обязательств на второй год</w:t>
            </w:r>
          </w:p>
        </w:tc>
        <w:tc>
          <w:tcPr>
            <w:tcW w:w="2979" w:type="pct"/>
            <w:shd w:val="clear" w:color="auto" w:fill="FFFFFF"/>
          </w:tcPr>
          <w:p w:rsidR="00AD376F" w:rsidRPr="006B63F2" w:rsidRDefault="00AD376F" w:rsidP="00F13F95">
            <w:pPr>
              <w:rPr>
                <w:szCs w:val="24"/>
              </w:rPr>
            </w:pPr>
            <w:r w:rsidRPr="006B63F2">
              <w:rPr>
                <w:szCs w:val="24"/>
              </w:rPr>
              <w:t>Поле APPROVLBO2 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Сумма БО на текущий год</w:t>
            </w:r>
          </w:p>
        </w:tc>
        <w:tc>
          <w:tcPr>
            <w:tcW w:w="2979" w:type="pct"/>
            <w:shd w:val="clear" w:color="auto" w:fill="FFFFFF"/>
          </w:tcPr>
          <w:p w:rsidR="00AD376F" w:rsidRPr="006B63F2" w:rsidRDefault="00AD376F" w:rsidP="00F13F95">
            <w:pPr>
              <w:pStyle w:val="affff2"/>
              <w:rPr>
                <w:sz w:val="24"/>
              </w:rPr>
            </w:pPr>
            <w:r w:rsidRPr="006B63F2">
              <w:rPr>
                <w:sz w:val="24"/>
              </w:rPr>
              <w:t>Поле</w:t>
            </w:r>
            <w:r w:rsidRPr="006B63F2">
              <w:rPr>
                <w:sz w:val="24"/>
                <w:lang w:eastAsia="en-US"/>
              </w:rPr>
              <w:t xml:space="preserve"> AMOUNTYEAR</w:t>
            </w:r>
            <w:r w:rsidRPr="006B63F2" w:rsidDel="00E51C36">
              <w:rPr>
                <w:sz w:val="24"/>
              </w:rPr>
              <w:t xml:space="preserve"> </w:t>
            </w:r>
            <w:r w:rsidRPr="006B63F2">
              <w:rPr>
                <w:sz w:val="24"/>
              </w:rPr>
              <w:t>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Сумма БО на первый год</w:t>
            </w:r>
          </w:p>
        </w:tc>
        <w:tc>
          <w:tcPr>
            <w:tcW w:w="2979" w:type="pct"/>
            <w:shd w:val="clear" w:color="auto" w:fill="FFFFFF"/>
          </w:tcPr>
          <w:p w:rsidR="00AD376F" w:rsidRPr="006B63F2" w:rsidRDefault="00AD376F" w:rsidP="00F13F95">
            <w:pPr>
              <w:rPr>
                <w:szCs w:val="24"/>
              </w:rPr>
            </w:pPr>
            <w:r w:rsidRPr="006B63F2">
              <w:rPr>
                <w:szCs w:val="24"/>
              </w:rPr>
              <w:t>Поле SUMFIRSTYEAR</w:t>
            </w:r>
            <w:r w:rsidRPr="006B63F2" w:rsidDel="00E51C36">
              <w:rPr>
                <w:szCs w:val="24"/>
              </w:rPr>
              <w:t xml:space="preserve"> </w:t>
            </w:r>
            <w:r w:rsidRPr="006B63F2">
              <w:rPr>
                <w:szCs w:val="24"/>
              </w:rPr>
              <w:t>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Сумма БО на второй год</w:t>
            </w:r>
          </w:p>
        </w:tc>
        <w:tc>
          <w:tcPr>
            <w:tcW w:w="2979" w:type="pct"/>
            <w:shd w:val="clear" w:color="auto" w:fill="FFFFFF"/>
          </w:tcPr>
          <w:p w:rsidR="00AD376F" w:rsidRPr="006B63F2" w:rsidRDefault="00AD376F" w:rsidP="00F13F95">
            <w:pPr>
              <w:rPr>
                <w:szCs w:val="24"/>
              </w:rPr>
            </w:pPr>
            <w:r w:rsidRPr="006B63F2">
              <w:rPr>
                <w:szCs w:val="24"/>
              </w:rPr>
              <w:t>Поле SUMSECONDYEAR</w:t>
            </w:r>
            <w:r w:rsidRPr="006B63F2" w:rsidDel="00E51C36">
              <w:rPr>
                <w:szCs w:val="24"/>
              </w:rPr>
              <w:t xml:space="preserve"> </w:t>
            </w:r>
            <w:r w:rsidRPr="006B63F2">
              <w:rPr>
                <w:szCs w:val="24"/>
              </w:rPr>
              <w:t>из таблицы F_FAIP_BO</w:t>
            </w:r>
          </w:p>
        </w:tc>
      </w:tr>
      <w:tr w:rsidR="00AD376F" w:rsidRPr="00991B9F"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Сумма ДО на текущий год</w:t>
            </w:r>
          </w:p>
        </w:tc>
        <w:tc>
          <w:tcPr>
            <w:tcW w:w="2979" w:type="pct"/>
            <w:shd w:val="clear" w:color="auto" w:fill="FFFFFF"/>
          </w:tcPr>
          <w:p w:rsidR="00AD376F" w:rsidRPr="006B63F2" w:rsidRDefault="00AD376F" w:rsidP="00F13F95">
            <w:pPr>
              <w:rPr>
                <w:szCs w:val="24"/>
                <w:lang w:val="en-US"/>
              </w:rPr>
            </w:pPr>
            <w:r w:rsidRPr="006B63F2">
              <w:rPr>
                <w:szCs w:val="24"/>
              </w:rPr>
              <w:t>Поле</w:t>
            </w:r>
            <w:r w:rsidRPr="006B63F2">
              <w:rPr>
                <w:szCs w:val="24"/>
                <w:lang w:val="en-US"/>
              </w:rPr>
              <w:t xml:space="preserve"> DOCONFIRMATION </w:t>
            </w:r>
            <w:r w:rsidRPr="006B63F2">
              <w:rPr>
                <w:szCs w:val="24"/>
              </w:rPr>
              <w:t>из</w:t>
            </w:r>
            <w:r w:rsidRPr="006B63F2">
              <w:rPr>
                <w:szCs w:val="24"/>
                <w:lang w:val="en-US"/>
              </w:rPr>
              <w:t xml:space="preserve"> </w:t>
            </w:r>
            <w:r w:rsidRPr="006B63F2">
              <w:rPr>
                <w:szCs w:val="24"/>
              </w:rPr>
              <w:t>таблицы</w:t>
            </w:r>
            <w:r w:rsidRPr="006B63F2">
              <w:rPr>
                <w:szCs w:val="24"/>
                <w:lang w:val="en-US"/>
              </w:rPr>
              <w:t xml:space="preserve">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Исполнение</w:t>
            </w:r>
          </w:p>
        </w:tc>
        <w:tc>
          <w:tcPr>
            <w:tcW w:w="2979" w:type="pct"/>
            <w:shd w:val="clear" w:color="auto" w:fill="FFFFFF"/>
          </w:tcPr>
          <w:p w:rsidR="00AD376F" w:rsidRPr="006B63F2" w:rsidRDefault="00AD376F" w:rsidP="00F13F95">
            <w:pPr>
              <w:rPr>
                <w:szCs w:val="24"/>
              </w:rPr>
            </w:pPr>
            <w:r w:rsidRPr="006B63F2">
              <w:rPr>
                <w:szCs w:val="24"/>
              </w:rPr>
              <w:t>Поле SUMMAPAID_BO 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Не исполнено  БО</w:t>
            </w:r>
          </w:p>
        </w:tc>
        <w:tc>
          <w:tcPr>
            <w:tcW w:w="2979" w:type="pct"/>
            <w:shd w:val="clear" w:color="auto" w:fill="FFFFFF"/>
          </w:tcPr>
          <w:p w:rsidR="00AD376F" w:rsidRPr="006B63F2" w:rsidRDefault="00AD376F" w:rsidP="00F13F95">
            <w:pPr>
              <w:rPr>
                <w:szCs w:val="24"/>
              </w:rPr>
            </w:pPr>
            <w:r w:rsidRPr="006B63F2">
              <w:rPr>
                <w:szCs w:val="24"/>
              </w:rPr>
              <w:t xml:space="preserve">Из значения поля </w:t>
            </w:r>
            <w:r w:rsidRPr="006B63F2">
              <w:rPr>
                <w:szCs w:val="24"/>
                <w:lang w:eastAsia="en-US"/>
              </w:rPr>
              <w:t>AMOUNTYEAR</w:t>
            </w:r>
            <w:r w:rsidRPr="006B63F2" w:rsidDel="00E51C36">
              <w:rPr>
                <w:szCs w:val="24"/>
              </w:rPr>
              <w:t xml:space="preserve"> </w:t>
            </w:r>
            <w:r w:rsidRPr="006B63F2">
              <w:rPr>
                <w:szCs w:val="24"/>
              </w:rPr>
              <w:t>(из таблицы F_FAIP_BO) вычитаем значение поля SUMMAPAID_BO (из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 исполнения к БА</w:t>
            </w:r>
          </w:p>
        </w:tc>
        <w:tc>
          <w:tcPr>
            <w:tcW w:w="2979" w:type="pct"/>
            <w:shd w:val="clear" w:color="auto" w:fill="FFFFFF"/>
          </w:tcPr>
          <w:p w:rsidR="00AD376F" w:rsidRPr="006B63F2" w:rsidRDefault="00AD376F" w:rsidP="00F13F95">
            <w:pPr>
              <w:rPr>
                <w:szCs w:val="24"/>
                <w:highlight w:val="cyan"/>
              </w:rPr>
            </w:pPr>
            <w:r w:rsidRPr="006B63F2">
              <w:rPr>
                <w:szCs w:val="24"/>
              </w:rPr>
              <w:t>Значение поля SUMMAPAID_BO (из таблицы F_FAIP_BO) делим на значение поля APPROVBA</w:t>
            </w:r>
            <w:r w:rsidRPr="006B63F2" w:rsidDel="008538AE">
              <w:rPr>
                <w:szCs w:val="24"/>
              </w:rPr>
              <w:t xml:space="preserve"> </w:t>
            </w:r>
            <w:r w:rsidRPr="006B63F2">
              <w:rPr>
                <w:szCs w:val="24"/>
              </w:rPr>
              <w:t>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 исполнения к БО</w:t>
            </w:r>
          </w:p>
        </w:tc>
        <w:tc>
          <w:tcPr>
            <w:tcW w:w="2979" w:type="pct"/>
            <w:shd w:val="clear" w:color="auto" w:fill="FFFFFF"/>
          </w:tcPr>
          <w:p w:rsidR="00AD376F" w:rsidRPr="006B63F2" w:rsidRDefault="00AD376F" w:rsidP="00F13F95">
            <w:pPr>
              <w:rPr>
                <w:szCs w:val="24"/>
              </w:rPr>
            </w:pPr>
            <w:r w:rsidRPr="006B63F2">
              <w:rPr>
                <w:szCs w:val="24"/>
              </w:rPr>
              <w:t xml:space="preserve">Значение поля SUMMAPAID_BO (из таблицы F_FAIP_BO) делим на значение поля </w:t>
            </w:r>
            <w:r w:rsidRPr="006B63F2">
              <w:rPr>
                <w:szCs w:val="24"/>
                <w:lang w:eastAsia="en-US"/>
              </w:rPr>
              <w:t>AMOUNTYEAR</w:t>
            </w:r>
            <w:r w:rsidRPr="006B63F2" w:rsidDel="00E51C36">
              <w:rPr>
                <w:szCs w:val="24"/>
              </w:rPr>
              <w:t xml:space="preserve"> </w:t>
            </w:r>
            <w:r w:rsidRPr="006B63F2">
              <w:rPr>
                <w:szCs w:val="24"/>
              </w:rPr>
              <w:t>из таблицы F_FAIP_BO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 исполнения к ЛБО</w:t>
            </w:r>
          </w:p>
        </w:tc>
        <w:tc>
          <w:tcPr>
            <w:tcW w:w="2979" w:type="pct"/>
            <w:shd w:val="clear" w:color="auto" w:fill="FFFFFF"/>
          </w:tcPr>
          <w:p w:rsidR="00AD376F" w:rsidRPr="006B63F2" w:rsidRDefault="00AD376F" w:rsidP="00F13F95">
            <w:pPr>
              <w:rPr>
                <w:szCs w:val="24"/>
              </w:rPr>
            </w:pPr>
            <w:r w:rsidRPr="006B63F2">
              <w:rPr>
                <w:szCs w:val="24"/>
              </w:rPr>
              <w:t>Значение поля SUMMAPAID_BO (из таблицы F_FAIP_BO) делим на значение поля APPROVLBO из таблицы F_FAIP_LBO</w:t>
            </w:r>
          </w:p>
        </w:tc>
      </w:tr>
      <w:tr w:rsidR="00AD376F" w:rsidRPr="006B63F2" w:rsidTr="00AD376F">
        <w:trPr>
          <w:cantSplit/>
        </w:trPr>
        <w:tc>
          <w:tcPr>
            <w:tcW w:w="2021" w:type="pct"/>
            <w:shd w:val="clear" w:color="auto" w:fill="FFFFFF"/>
          </w:tcPr>
          <w:p w:rsidR="00AD376F" w:rsidRPr="00AD376F" w:rsidRDefault="00AD376F" w:rsidP="005C6E50">
            <w:pPr>
              <w:pStyle w:val="afff6"/>
              <w:numPr>
                <w:ilvl w:val="0"/>
                <w:numId w:val="89"/>
              </w:numPr>
              <w:ind w:left="533" w:hanging="357"/>
              <w:rPr>
                <w:sz w:val="24"/>
                <w:szCs w:val="24"/>
              </w:rPr>
            </w:pPr>
            <w:r w:rsidRPr="00AD376F">
              <w:rPr>
                <w:sz w:val="24"/>
                <w:szCs w:val="24"/>
              </w:rPr>
              <w:t>%  БО к ЛБО</w:t>
            </w:r>
          </w:p>
        </w:tc>
        <w:tc>
          <w:tcPr>
            <w:tcW w:w="2979" w:type="pct"/>
            <w:shd w:val="clear" w:color="auto" w:fill="FFFFFF"/>
          </w:tcPr>
          <w:p w:rsidR="00AD376F" w:rsidRPr="006B63F2" w:rsidRDefault="00AD376F" w:rsidP="00F13F95">
            <w:pPr>
              <w:rPr>
                <w:szCs w:val="24"/>
              </w:rPr>
            </w:pPr>
            <w:r w:rsidRPr="006B63F2">
              <w:rPr>
                <w:szCs w:val="24"/>
              </w:rPr>
              <w:t xml:space="preserve">Значение поля </w:t>
            </w:r>
            <w:r w:rsidRPr="006B63F2">
              <w:rPr>
                <w:szCs w:val="24"/>
                <w:lang w:eastAsia="en-US"/>
              </w:rPr>
              <w:t>AMOUNTYEAR</w:t>
            </w:r>
            <w:r w:rsidRPr="006B63F2" w:rsidDel="00E51C36">
              <w:rPr>
                <w:szCs w:val="24"/>
              </w:rPr>
              <w:t xml:space="preserve"> </w:t>
            </w:r>
            <w:r w:rsidRPr="006B63F2">
              <w:rPr>
                <w:szCs w:val="24"/>
              </w:rPr>
              <w:t>(из таблицы F_FAIP_BO) делим на значение поля APPROVLBO из таблицы F_FAIP_LBO</w:t>
            </w:r>
          </w:p>
        </w:tc>
      </w:tr>
    </w:tbl>
    <w:p w:rsidR="000E18B7" w:rsidRDefault="000E18B7" w:rsidP="000E18B7">
      <w:pPr>
        <w:pStyle w:val="af0"/>
      </w:pPr>
      <w:bookmarkStart w:id="550" w:name="_Toc44852529"/>
      <w:bookmarkStart w:id="551" w:name="_Toc68622734"/>
      <w:r>
        <w:rPr>
          <w:szCs w:val="28"/>
        </w:rPr>
        <w:t xml:space="preserve">Из представления </w:t>
      </w:r>
      <w:r w:rsidRPr="00B152B6">
        <w:t>«Общая информация (с плановыми периодами/ без плановых периодов)»</w:t>
      </w:r>
      <w:r>
        <w:t xml:space="preserve"> </w:t>
      </w:r>
      <w:r w:rsidRPr="00DB08D2">
        <w:rPr>
          <w:szCs w:val="28"/>
        </w:rPr>
        <w:t>по нажатию на количество объектов выполня</w:t>
      </w:r>
      <w:r>
        <w:rPr>
          <w:szCs w:val="28"/>
        </w:rPr>
        <w:t>ется</w:t>
      </w:r>
      <w:r w:rsidRPr="00DB08D2">
        <w:rPr>
          <w:szCs w:val="28"/>
        </w:rPr>
        <w:t xml:space="preserve"> переход в представление «По объектам ФАИП</w:t>
      </w:r>
      <w:r>
        <w:rPr>
          <w:szCs w:val="28"/>
        </w:rPr>
        <w:t>/ОКС</w:t>
      </w:r>
      <w:r w:rsidRPr="00DB08D2">
        <w:rPr>
          <w:szCs w:val="28"/>
        </w:rPr>
        <w:t>»</w:t>
      </w:r>
      <w:r>
        <w:rPr>
          <w:szCs w:val="28"/>
        </w:rPr>
        <w:t>.</w:t>
      </w:r>
    </w:p>
    <w:p w:rsidR="000E18B7" w:rsidRPr="00CA6C60" w:rsidRDefault="000E18B7" w:rsidP="00113D8F">
      <w:pPr>
        <w:pStyle w:val="42"/>
        <w:ind w:left="284"/>
        <w:jc w:val="left"/>
      </w:pPr>
      <w:r w:rsidRPr="00CA6C60">
        <w:t>Представление «По объектам ФАИП</w:t>
      </w:r>
      <w:r>
        <w:t>/ОКС</w:t>
      </w:r>
      <w:r w:rsidRPr="00CA6C60">
        <w:t xml:space="preserve"> (с плановыми периодами/ без плановых периодов)»</w:t>
      </w:r>
      <w:bookmarkEnd w:id="550"/>
      <w:bookmarkEnd w:id="551"/>
    </w:p>
    <w:p w:rsidR="000E18B7" w:rsidRPr="00CA6C60" w:rsidRDefault="000E18B7" w:rsidP="000E18B7">
      <w:pPr>
        <w:ind w:firstLine="709"/>
        <w:rPr>
          <w:sz w:val="28"/>
          <w:szCs w:val="28"/>
        </w:rPr>
      </w:pPr>
      <w:r w:rsidRPr="00CA6C60">
        <w:rPr>
          <w:sz w:val="28"/>
          <w:szCs w:val="28"/>
        </w:rPr>
        <w:t xml:space="preserve">Представление </w:t>
      </w:r>
      <w:r w:rsidRPr="003C33DC">
        <w:rPr>
          <w:sz w:val="28"/>
          <w:szCs w:val="28"/>
        </w:rPr>
        <w:t>«По объектам ФАИП/ОКС (с плановыми периодами/ без плановых периодов)»</w:t>
      </w:r>
      <w:r>
        <w:rPr>
          <w:sz w:val="28"/>
          <w:szCs w:val="28"/>
        </w:rPr>
        <w:t xml:space="preserve"> реализовано </w:t>
      </w:r>
      <w:r w:rsidRPr="00CA6C60">
        <w:rPr>
          <w:sz w:val="28"/>
          <w:szCs w:val="28"/>
        </w:rPr>
        <w:t>в виде таблицы</w:t>
      </w:r>
      <w:r>
        <w:rPr>
          <w:sz w:val="28"/>
          <w:szCs w:val="28"/>
        </w:rPr>
        <w:t xml:space="preserve"> (</w:t>
      </w:r>
      <w:r w:rsidRPr="003C33DC">
        <w:rPr>
          <w:sz w:val="28"/>
          <w:szCs w:val="28"/>
        </w:rPr>
        <w:t xml:space="preserve">Рисунок </w:t>
      </w:r>
      <w:r w:rsidRPr="003C33DC">
        <w:rPr>
          <w:sz w:val="28"/>
          <w:szCs w:val="28"/>
        </w:rPr>
        <w:fldChar w:fldCharType="begin"/>
      </w:r>
      <w:r w:rsidRPr="003C33DC">
        <w:rPr>
          <w:sz w:val="28"/>
          <w:szCs w:val="28"/>
        </w:rPr>
        <w:instrText xml:space="preserve"> REF _Ref69216362 \h </w:instrText>
      </w:r>
      <w:r>
        <w:rPr>
          <w:sz w:val="28"/>
          <w:szCs w:val="28"/>
        </w:rPr>
        <w:instrText xml:space="preserve"> \* MERGEFORMAT </w:instrText>
      </w:r>
      <w:r w:rsidRPr="003C33DC">
        <w:rPr>
          <w:sz w:val="28"/>
          <w:szCs w:val="28"/>
        </w:rPr>
      </w:r>
      <w:r w:rsidRPr="003C33DC">
        <w:rPr>
          <w:sz w:val="28"/>
          <w:szCs w:val="28"/>
        </w:rPr>
        <w:fldChar w:fldCharType="separate"/>
      </w:r>
      <w:r w:rsidR="00BF0BEE" w:rsidRPr="00BF0BEE">
        <w:rPr>
          <w:noProof/>
          <w:sz w:val="28"/>
          <w:szCs w:val="28"/>
        </w:rPr>
        <w:t>137</w:t>
      </w:r>
      <w:r w:rsidRPr="003C33DC">
        <w:rPr>
          <w:sz w:val="28"/>
          <w:szCs w:val="28"/>
        </w:rPr>
        <w:fldChar w:fldCharType="end"/>
      </w:r>
      <w:r w:rsidRPr="003C33DC">
        <w:rPr>
          <w:sz w:val="28"/>
          <w:szCs w:val="28"/>
        </w:rPr>
        <w:t>) и</w:t>
      </w:r>
      <w:r>
        <w:rPr>
          <w:sz w:val="28"/>
          <w:szCs w:val="28"/>
        </w:rPr>
        <w:t xml:space="preserve"> содержит следующие параметры:</w:t>
      </w:r>
    </w:p>
    <w:p w:rsidR="000E18B7" w:rsidRPr="00113D8F" w:rsidRDefault="000E18B7" w:rsidP="00287295">
      <w:pPr>
        <w:pStyle w:val="13"/>
      </w:pPr>
      <w:r w:rsidRPr="00113D8F">
        <w:t>Параметр с выбором «С плановыми периодами/Без плановых периодов». Выбор параметра «С плановыми периодами» добавляет в таблицу столбцы «Бюджетные ассигнования на первый год», «Бюджетные ассигнования на второй год», «Сумма БО на первый год», «Сумма БО на второй год», «Лимиты бюджетных обязательств на первый год», «Лимиты бюджетных обязательств на второй год».</w:t>
      </w:r>
    </w:p>
    <w:p w:rsidR="000E18B7" w:rsidRPr="00113D8F" w:rsidRDefault="000E18B7" w:rsidP="00287295">
      <w:pPr>
        <w:pStyle w:val="13"/>
      </w:pPr>
      <w:r w:rsidRPr="00113D8F">
        <w:t>Параметр ед. измерения. Значения параметра: млрд. руб., млн. руб., тыс. руб., руб. По умолчанию значение параметра «млн. руб.»;</w:t>
      </w:r>
    </w:p>
    <w:p w:rsidR="000E18B7" w:rsidRPr="00113D8F" w:rsidRDefault="000E18B7" w:rsidP="00287295">
      <w:pPr>
        <w:pStyle w:val="13"/>
      </w:pPr>
      <w:r w:rsidRPr="00113D8F">
        <w:t xml:space="preserve">Фильтр «Национальный проект»: Формировать выпадающий список из возможных значений национальных и федеральных проектов. Национальный проект - выводим 11 символ из поля KBK из таблицы F_FAIP_BO. Федеральный проект:  выводим 11- 12 символ из поля KBK из таблицы F_FAIP_BO. Дополнительно выводим записи вне рамок национальных проектов. Должна быть возможность множественного выбора (т.е. нескольких национальных проектов, чекбокс).  </w:t>
      </w:r>
    </w:p>
    <w:p w:rsidR="000E18B7" w:rsidRPr="00113D8F" w:rsidRDefault="000E18B7" w:rsidP="00287295">
      <w:pPr>
        <w:pStyle w:val="13"/>
      </w:pPr>
      <w:r w:rsidRPr="00113D8F">
        <w:t>Фильтр «ФАИП»: В нём должны быть значения: «Все», «ФАИП, реализуемые в рамках НП» «ФАИП, реализуемые не в рамках НП». Если выбран «ФАИП, реализуемые в рамках НП», то выводятся только те записи, у которых в значении в поле «KBK» на 11 позиции стоит буква (P,V,R, G, N, D, F, E, T,I, S, A, L). Если выбран «ФАИП, реализуемые не в рамках НП», то выводятся только те записи, у которых в значении в поле «KBK» на 11 позиции стоит любая цифра. Если «Все» - то все.</w:t>
      </w:r>
    </w:p>
    <w:p w:rsidR="000E18B7" w:rsidRPr="00113D8F" w:rsidRDefault="000E18B7" w:rsidP="00287295">
      <w:pPr>
        <w:pStyle w:val="13"/>
      </w:pPr>
      <w:r w:rsidRPr="00113D8F">
        <w:t>Поиск по коду БК (фильтр с множественным выбором): пользователь вводит часть кода БК и таблица фильтруется по этим записям. В отдельных окнах поиск по ГРБС, РзПр, статье, виду расходов.</w:t>
      </w:r>
    </w:p>
    <w:p w:rsidR="000E18B7" w:rsidRDefault="000E18B7" w:rsidP="00287295">
      <w:pPr>
        <w:pStyle w:val="13"/>
      </w:pPr>
      <w:r w:rsidRPr="00113D8F">
        <w:t>Поиск по дате: та</w:t>
      </w:r>
      <w:r w:rsidRPr="00CA6C60">
        <w:t>к как данные будут еже</w:t>
      </w:r>
      <w:r>
        <w:t>дневные</w:t>
      </w:r>
      <w:r w:rsidRPr="00CA6C60">
        <w:t>, показывать даты, на которые есть данные</w:t>
      </w:r>
      <w:r>
        <w:t>.</w:t>
      </w:r>
    </w:p>
    <w:p w:rsidR="000E18B7" w:rsidRDefault="000E18B7" w:rsidP="000E18B7">
      <w:pPr>
        <w:pStyle w:val="-0"/>
      </w:pPr>
      <w:r>
        <w:rPr>
          <w:noProof/>
          <w:snapToGrid/>
        </w:rPr>
        <w:drawing>
          <wp:inline distT="0" distB="0" distL="0" distR="0" wp14:anchorId="6BBB7071" wp14:editId="10D5960A">
            <wp:extent cx="6152515" cy="2997835"/>
            <wp:effectExtent l="0" t="0" r="635" b="0"/>
            <wp:docPr id="6492" name="Рисунок 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6152515" cy="2997835"/>
                    </a:xfrm>
                    <a:prstGeom prst="rect">
                      <a:avLst/>
                    </a:prstGeom>
                  </pic:spPr>
                </pic:pic>
              </a:graphicData>
            </a:graphic>
          </wp:inline>
        </w:drawing>
      </w:r>
    </w:p>
    <w:p w:rsidR="000E18B7" w:rsidRPr="00CA6C60" w:rsidRDefault="000E18B7" w:rsidP="000E18B7">
      <w:pPr>
        <w:pStyle w:val="-0"/>
      </w:pPr>
      <w:bookmarkStart w:id="552" w:name="_Toc69290341"/>
      <w:bookmarkStart w:id="553" w:name="_Toc69980140"/>
      <w:bookmarkStart w:id="554" w:name="_Toc119584324"/>
      <w:r>
        <w:t xml:space="preserve">Рисунок </w:t>
      </w:r>
      <w:fldSimple w:instr=" SEQ Рисунок \* ARABIC ">
        <w:bookmarkStart w:id="555" w:name="_Ref69216362"/>
        <w:r w:rsidR="001860A9">
          <w:rPr>
            <w:noProof/>
          </w:rPr>
          <w:t>137</w:t>
        </w:r>
        <w:bookmarkEnd w:id="555"/>
      </w:fldSimple>
      <w:r>
        <w:t xml:space="preserve"> – Макет отчета «</w:t>
      </w:r>
      <w:r w:rsidRPr="00C15CCA">
        <w:rPr>
          <w:snapToGrid/>
        </w:rPr>
        <w:t>Мониторинг объектов капитального строительства в рамках реализации федеральной адресной инвестиционной программы</w:t>
      </w:r>
      <w:r>
        <w:t>», представление «</w:t>
      </w:r>
      <w:r w:rsidRPr="003C33DC">
        <w:rPr>
          <w:szCs w:val="28"/>
        </w:rPr>
        <w:t>По объектам ФАИП/ОКС (с плановыми периодами/ без плановых периодов)»</w:t>
      </w:r>
      <w:bookmarkEnd w:id="552"/>
      <w:bookmarkEnd w:id="553"/>
      <w:bookmarkEnd w:id="554"/>
    </w:p>
    <w:p w:rsidR="000E18B7" w:rsidRPr="00CA6C60" w:rsidRDefault="000E18B7" w:rsidP="000E18B7">
      <w:pPr>
        <w:pStyle w:val="af0"/>
        <w:ind w:firstLine="709"/>
        <w:rPr>
          <w:szCs w:val="28"/>
        </w:rPr>
      </w:pPr>
      <w:r w:rsidRPr="00CA6C60">
        <w:rPr>
          <w:szCs w:val="28"/>
        </w:rPr>
        <w:t>Один объект ФАИП = одна строка.</w:t>
      </w:r>
    </w:p>
    <w:p w:rsidR="000E18B7" w:rsidRPr="00CA6C60" w:rsidRDefault="000E18B7" w:rsidP="000E18B7">
      <w:pPr>
        <w:pStyle w:val="af0"/>
        <w:ind w:firstLine="709"/>
        <w:rPr>
          <w:szCs w:val="28"/>
        </w:rPr>
      </w:pPr>
      <w:r>
        <w:rPr>
          <w:szCs w:val="28"/>
        </w:rPr>
        <w:t>Правила формирования таблицы представления «</w:t>
      </w:r>
      <w:r w:rsidRPr="003C33DC">
        <w:rPr>
          <w:szCs w:val="28"/>
        </w:rPr>
        <w:t xml:space="preserve">По объектам ФАИП/ОКС </w:t>
      </w:r>
      <w:r w:rsidRPr="00B152B6">
        <w:t>(с плановыми периодами/ без плановых периодов)»</w:t>
      </w:r>
      <w:r>
        <w:t xml:space="preserve"> представлены в таблице </w:t>
      </w:r>
      <w:r>
        <w:fldChar w:fldCharType="begin"/>
      </w:r>
      <w:r>
        <w:instrText xml:space="preserve"> REF _Ref69216461 \h </w:instrText>
      </w:r>
      <w:r>
        <w:fldChar w:fldCharType="separate"/>
      </w:r>
      <w:r w:rsidR="00BF0BEE">
        <w:rPr>
          <w:noProof/>
        </w:rPr>
        <w:t>10</w:t>
      </w:r>
      <w:r>
        <w:fldChar w:fldCharType="end"/>
      </w:r>
      <w:r>
        <w:t>.</w:t>
      </w:r>
    </w:p>
    <w:p w:rsidR="000E18B7" w:rsidRDefault="000E18B7" w:rsidP="000E18B7">
      <w:pPr>
        <w:pStyle w:val="-"/>
      </w:pPr>
      <w:bookmarkStart w:id="556" w:name="_Toc69290207"/>
      <w:bookmarkStart w:id="557" w:name="_Toc69917976"/>
      <w:bookmarkStart w:id="558" w:name="_Toc119585151"/>
      <w:r>
        <w:t xml:space="preserve">Таблица </w:t>
      </w:r>
      <w:fldSimple w:instr=" SEQ Таблица \* ARABIC ">
        <w:bookmarkStart w:id="559" w:name="_Ref69216461"/>
        <w:r w:rsidR="00BF0BEE">
          <w:rPr>
            <w:noProof/>
          </w:rPr>
          <w:t>10</w:t>
        </w:r>
        <w:bookmarkEnd w:id="559"/>
      </w:fldSimple>
      <w:r>
        <w:t xml:space="preserve"> – </w:t>
      </w:r>
      <w:r>
        <w:rPr>
          <w:szCs w:val="28"/>
        </w:rPr>
        <w:t>Правила формирования таблицы представления «</w:t>
      </w:r>
      <w:r w:rsidRPr="003C33DC">
        <w:rPr>
          <w:szCs w:val="28"/>
        </w:rPr>
        <w:t>По объектам ФАИП/ОКС</w:t>
      </w:r>
      <w:r w:rsidRPr="00B152B6">
        <w:t xml:space="preserve"> (с плановыми периодами/ без плановых периодов)»</w:t>
      </w:r>
      <w:bookmarkEnd w:id="556"/>
      <w:bookmarkEnd w:id="557"/>
      <w:bookmarkEnd w:id="558"/>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6200"/>
      </w:tblGrid>
      <w:tr w:rsidR="00287295" w:rsidRPr="00113D8F" w:rsidTr="00287295">
        <w:trPr>
          <w:cantSplit/>
          <w:tblHeader/>
        </w:trPr>
        <w:tc>
          <w:tcPr>
            <w:tcW w:w="1807" w:type="pct"/>
            <w:shd w:val="clear" w:color="auto" w:fill="D9D9D9" w:themeFill="background1" w:themeFillShade="D9"/>
          </w:tcPr>
          <w:p w:rsidR="00287295" w:rsidRPr="00113D8F" w:rsidRDefault="00287295" w:rsidP="00F13F95">
            <w:pPr>
              <w:jc w:val="center"/>
              <w:rPr>
                <w:b/>
                <w:szCs w:val="24"/>
              </w:rPr>
            </w:pPr>
            <w:r w:rsidRPr="00113D8F">
              <w:rPr>
                <w:b/>
                <w:szCs w:val="24"/>
              </w:rPr>
              <w:t>Название колонки</w:t>
            </w:r>
          </w:p>
        </w:tc>
        <w:tc>
          <w:tcPr>
            <w:tcW w:w="3193" w:type="pct"/>
            <w:shd w:val="clear" w:color="auto" w:fill="D9D9D9" w:themeFill="background1" w:themeFillShade="D9"/>
          </w:tcPr>
          <w:p w:rsidR="00287295" w:rsidRPr="00113D8F" w:rsidRDefault="00287295" w:rsidP="00F13F95">
            <w:pPr>
              <w:jc w:val="center"/>
              <w:rPr>
                <w:b/>
                <w:szCs w:val="24"/>
              </w:rPr>
            </w:pPr>
            <w:r w:rsidRPr="00113D8F">
              <w:rPr>
                <w:b/>
                <w:szCs w:val="24"/>
              </w:rPr>
              <w:t>Правило формирования</w:t>
            </w:r>
          </w:p>
        </w:tc>
      </w:tr>
      <w:tr w:rsidR="00287295" w:rsidRPr="003C33DC" w:rsidTr="00287295">
        <w:trPr>
          <w:cantSplit/>
          <w:trHeight w:val="345"/>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Код ФАИП/ОКС</w:t>
            </w:r>
          </w:p>
        </w:tc>
        <w:tc>
          <w:tcPr>
            <w:tcW w:w="3193" w:type="pct"/>
            <w:shd w:val="clear" w:color="auto" w:fill="FFFFFF"/>
          </w:tcPr>
          <w:p w:rsidR="00287295" w:rsidRPr="003C33DC" w:rsidRDefault="00287295" w:rsidP="00F13F95">
            <w:pPr>
              <w:rPr>
                <w:szCs w:val="24"/>
              </w:rPr>
            </w:pPr>
            <w:r w:rsidRPr="003C33DC">
              <w:rPr>
                <w:szCs w:val="24"/>
              </w:rPr>
              <w:t>Поле FAIPCODE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Наименование ФАИП/ОКС</w:t>
            </w:r>
          </w:p>
        </w:tc>
        <w:tc>
          <w:tcPr>
            <w:tcW w:w="3193" w:type="pct"/>
            <w:shd w:val="clear" w:color="auto" w:fill="FFFFFF"/>
          </w:tcPr>
          <w:p w:rsidR="00287295" w:rsidRPr="003C33DC" w:rsidRDefault="00287295" w:rsidP="00F13F95">
            <w:pPr>
              <w:rPr>
                <w:szCs w:val="24"/>
              </w:rPr>
            </w:pPr>
            <w:r w:rsidRPr="003C33DC">
              <w:rPr>
                <w:szCs w:val="24"/>
              </w:rPr>
              <w:t xml:space="preserve">Поле FAIPNAMEPRINT из таблицы D_NSI_FAIP. </w:t>
            </w:r>
          </w:p>
          <w:p w:rsidR="00287295" w:rsidRPr="003C33DC" w:rsidRDefault="00287295" w:rsidP="00F13F95">
            <w:pPr>
              <w:rPr>
                <w:szCs w:val="24"/>
              </w:rPr>
            </w:pPr>
            <w:r w:rsidRPr="003C33DC">
              <w:rPr>
                <w:szCs w:val="24"/>
              </w:rPr>
              <w:t>Смотрим по соответствию значения поля FAIPCODE</w:t>
            </w:r>
            <w:r w:rsidRPr="003C33DC" w:rsidDel="003B0050">
              <w:rPr>
                <w:szCs w:val="24"/>
              </w:rPr>
              <w:t xml:space="preserve"> </w:t>
            </w:r>
            <w:r w:rsidRPr="003C33DC">
              <w:rPr>
                <w:szCs w:val="24"/>
              </w:rPr>
              <w:t>значению FAIPCODE из таблицы D_NSI_FAIP</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Код ФП</w:t>
            </w:r>
          </w:p>
        </w:tc>
        <w:tc>
          <w:tcPr>
            <w:tcW w:w="3193" w:type="pct"/>
            <w:shd w:val="clear" w:color="auto" w:fill="FFFFFF"/>
          </w:tcPr>
          <w:p w:rsidR="00287295" w:rsidRPr="003C33DC" w:rsidRDefault="00287295" w:rsidP="00F13F95">
            <w:pPr>
              <w:rPr>
                <w:szCs w:val="24"/>
              </w:rPr>
            </w:pPr>
            <w:r w:rsidRPr="003C33DC">
              <w:rPr>
                <w:szCs w:val="24"/>
              </w:rPr>
              <w:t>11-12 символ из поля KBK (из таблицы F_FAIP_BO)</w:t>
            </w:r>
          </w:p>
        </w:tc>
      </w:tr>
      <w:tr w:rsidR="00287295" w:rsidRPr="003C33DC" w:rsidTr="00287295">
        <w:trPr>
          <w:cantSplit/>
        </w:trPr>
        <w:tc>
          <w:tcPr>
            <w:tcW w:w="5000" w:type="pct"/>
            <w:gridSpan w:val="2"/>
            <w:shd w:val="clear" w:color="auto" w:fill="FFFFFF"/>
          </w:tcPr>
          <w:p w:rsidR="00287295" w:rsidRPr="003C33DC" w:rsidRDefault="00287295" w:rsidP="00ED710A">
            <w:pPr>
              <w:pStyle w:val="affff2"/>
              <w:rPr>
                <w:sz w:val="24"/>
              </w:rPr>
            </w:pPr>
            <w:r w:rsidRPr="003C33DC">
              <w:rPr>
                <w:sz w:val="24"/>
              </w:rPr>
              <w:t>Код по КБК</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Код Главы</w:t>
            </w:r>
          </w:p>
        </w:tc>
        <w:tc>
          <w:tcPr>
            <w:tcW w:w="3193" w:type="pct"/>
            <w:shd w:val="clear" w:color="auto" w:fill="FFFFFF"/>
          </w:tcPr>
          <w:p w:rsidR="00287295" w:rsidRPr="003C33DC" w:rsidRDefault="00287295" w:rsidP="00F13F95">
            <w:pPr>
              <w:pStyle w:val="affff2"/>
              <w:rPr>
                <w:sz w:val="24"/>
              </w:rPr>
            </w:pPr>
            <w:r w:rsidRPr="003C33DC">
              <w:rPr>
                <w:sz w:val="24"/>
              </w:rPr>
              <w:t>Первые три символа из поля KBK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Наименование Главы</w:t>
            </w:r>
          </w:p>
        </w:tc>
        <w:tc>
          <w:tcPr>
            <w:tcW w:w="3193" w:type="pct"/>
            <w:shd w:val="clear" w:color="auto" w:fill="FFFFFF"/>
          </w:tcPr>
          <w:p w:rsidR="00287295" w:rsidRPr="003C33DC" w:rsidRDefault="00287295" w:rsidP="00F13F95">
            <w:pPr>
              <w:pStyle w:val="affff2"/>
              <w:rPr>
                <w:sz w:val="24"/>
              </w:rPr>
            </w:pPr>
            <w:r w:rsidRPr="003C33DC">
              <w:rPr>
                <w:sz w:val="24"/>
              </w:rPr>
              <w:t>Поле NAME из справочника D_KSPL_KVSR. Сопоставляем по коду Главы (поле CODE справочника D_KSPL_KVSR)</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Код РзПр</w:t>
            </w:r>
          </w:p>
        </w:tc>
        <w:tc>
          <w:tcPr>
            <w:tcW w:w="3193" w:type="pct"/>
            <w:shd w:val="clear" w:color="auto" w:fill="FFFFFF"/>
          </w:tcPr>
          <w:p w:rsidR="00287295" w:rsidRPr="003C33DC" w:rsidRDefault="00287295" w:rsidP="00F13F95">
            <w:pPr>
              <w:pStyle w:val="affff2"/>
              <w:rPr>
                <w:sz w:val="24"/>
              </w:rPr>
            </w:pPr>
            <w:r w:rsidRPr="003C33DC">
              <w:rPr>
                <w:sz w:val="24"/>
              </w:rPr>
              <w:t>4-7 символ из поля KBK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Наименование РзПр</w:t>
            </w:r>
          </w:p>
        </w:tc>
        <w:tc>
          <w:tcPr>
            <w:tcW w:w="3193" w:type="pct"/>
            <w:shd w:val="clear" w:color="auto" w:fill="FFFFFF"/>
          </w:tcPr>
          <w:p w:rsidR="00287295" w:rsidRPr="003C33DC" w:rsidRDefault="00287295" w:rsidP="00F13F95">
            <w:pPr>
              <w:pStyle w:val="affff2"/>
              <w:rPr>
                <w:sz w:val="24"/>
              </w:rPr>
            </w:pPr>
            <w:r w:rsidRPr="003C33DC">
              <w:rPr>
                <w:sz w:val="24"/>
              </w:rPr>
              <w:t>Поле NAME из справочника D_KSPL_RZPR. Сопоставляем по коду РзПр (поле CODE справочника D_KSPL_RZPR)</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Программная (непрограммная) статья</w:t>
            </w:r>
          </w:p>
        </w:tc>
        <w:tc>
          <w:tcPr>
            <w:tcW w:w="3193" w:type="pct"/>
            <w:shd w:val="clear" w:color="auto" w:fill="FFFFFF"/>
          </w:tcPr>
          <w:p w:rsidR="00287295" w:rsidRPr="003C33DC" w:rsidRDefault="00287295" w:rsidP="00F13F95">
            <w:pPr>
              <w:pStyle w:val="affff2"/>
              <w:rPr>
                <w:sz w:val="24"/>
              </w:rPr>
            </w:pPr>
            <w:r w:rsidRPr="003C33DC">
              <w:rPr>
                <w:sz w:val="24"/>
              </w:rPr>
              <w:t>8-12 символ из поля KBK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Направление расходов</w:t>
            </w:r>
          </w:p>
        </w:tc>
        <w:tc>
          <w:tcPr>
            <w:tcW w:w="3193" w:type="pct"/>
            <w:shd w:val="clear" w:color="auto" w:fill="FFFFFF"/>
          </w:tcPr>
          <w:p w:rsidR="00287295" w:rsidRPr="003C33DC" w:rsidRDefault="00287295" w:rsidP="00F13F95">
            <w:pPr>
              <w:pStyle w:val="affff2"/>
              <w:rPr>
                <w:sz w:val="24"/>
              </w:rPr>
            </w:pPr>
            <w:r w:rsidRPr="003C33DC">
              <w:rPr>
                <w:sz w:val="24"/>
              </w:rPr>
              <w:t>13-17 символ из поля KBK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Наименование целевой статьи</w:t>
            </w:r>
          </w:p>
        </w:tc>
        <w:tc>
          <w:tcPr>
            <w:tcW w:w="3193" w:type="pct"/>
            <w:shd w:val="clear" w:color="auto" w:fill="FFFFFF"/>
          </w:tcPr>
          <w:p w:rsidR="00287295" w:rsidRPr="003C33DC" w:rsidRDefault="00287295" w:rsidP="00F13F95">
            <w:pPr>
              <w:pStyle w:val="affff2"/>
              <w:rPr>
                <w:sz w:val="24"/>
              </w:rPr>
            </w:pPr>
            <w:r w:rsidRPr="003C33DC">
              <w:rPr>
                <w:sz w:val="24"/>
              </w:rPr>
              <w:t>Поле NAME из справочника D_KSPL_KCSR. Сопоставляем по коду программной (непрограммной) статьи + направление расходов (поле CODE справочника D_KSPL_KCSR).</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Код вида расходов</w:t>
            </w:r>
          </w:p>
        </w:tc>
        <w:tc>
          <w:tcPr>
            <w:tcW w:w="3193" w:type="pct"/>
            <w:shd w:val="clear" w:color="auto" w:fill="FFFFFF"/>
          </w:tcPr>
          <w:p w:rsidR="00287295" w:rsidRPr="003C33DC" w:rsidRDefault="00287295" w:rsidP="00F13F95">
            <w:pPr>
              <w:rPr>
                <w:szCs w:val="24"/>
              </w:rPr>
            </w:pPr>
            <w:r w:rsidRPr="003C33DC">
              <w:rPr>
                <w:szCs w:val="24"/>
              </w:rPr>
              <w:t>18-20 символ из поля KBK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Наименование вида расходов</w:t>
            </w:r>
          </w:p>
        </w:tc>
        <w:tc>
          <w:tcPr>
            <w:tcW w:w="3193" w:type="pct"/>
            <w:shd w:val="clear" w:color="auto" w:fill="FFFFFF"/>
          </w:tcPr>
          <w:p w:rsidR="00287295" w:rsidRPr="003C33DC" w:rsidRDefault="00287295" w:rsidP="00F13F95">
            <w:pPr>
              <w:rPr>
                <w:szCs w:val="24"/>
              </w:rPr>
            </w:pPr>
            <w:r w:rsidRPr="003C33DC">
              <w:rPr>
                <w:szCs w:val="24"/>
              </w:rPr>
              <w:t>Поле NAME из справочника D_KSPL_KVR. Сопоставляем по коду вида расходов (поле CODE справочника D_KSPL_KVR)</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Бюджетные ассигнования на текущий год</w:t>
            </w:r>
          </w:p>
        </w:tc>
        <w:tc>
          <w:tcPr>
            <w:tcW w:w="3193" w:type="pct"/>
            <w:shd w:val="clear" w:color="auto" w:fill="FFFFFF"/>
          </w:tcPr>
          <w:p w:rsidR="00287295" w:rsidRPr="003C33DC" w:rsidRDefault="00287295" w:rsidP="00F13F95">
            <w:pPr>
              <w:rPr>
                <w:szCs w:val="24"/>
              </w:rPr>
            </w:pPr>
            <w:r w:rsidRPr="003C33DC">
              <w:rPr>
                <w:szCs w:val="24"/>
              </w:rPr>
              <w:t>Поле APPROVBA</w:t>
            </w:r>
            <w:r w:rsidRPr="003C33DC" w:rsidDel="008538AE">
              <w:rPr>
                <w:szCs w:val="24"/>
              </w:rPr>
              <w:t xml:space="preserve"> </w:t>
            </w:r>
            <w:r w:rsidRPr="003C33DC">
              <w:rPr>
                <w:szCs w:val="24"/>
              </w:rPr>
              <w:t>из таблицы F_FAIP_LBO</w:t>
            </w:r>
          </w:p>
          <w:p w:rsidR="00287295" w:rsidRPr="003C33DC" w:rsidRDefault="00287295" w:rsidP="00F13F95">
            <w:pPr>
              <w:rPr>
                <w:szCs w:val="24"/>
              </w:rPr>
            </w:pP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Бюджетные ассигнования на первый год</w:t>
            </w:r>
          </w:p>
        </w:tc>
        <w:tc>
          <w:tcPr>
            <w:tcW w:w="3193" w:type="pct"/>
            <w:shd w:val="clear" w:color="auto" w:fill="FFFFFF"/>
          </w:tcPr>
          <w:p w:rsidR="00287295" w:rsidRPr="003C33DC" w:rsidRDefault="00287295" w:rsidP="00F13F95">
            <w:pPr>
              <w:rPr>
                <w:szCs w:val="24"/>
              </w:rPr>
            </w:pPr>
            <w:r w:rsidRPr="003C33DC">
              <w:rPr>
                <w:szCs w:val="24"/>
              </w:rPr>
              <w:t>Поле APPROVBA1</w:t>
            </w:r>
            <w:r w:rsidRPr="003C33DC" w:rsidDel="008538AE">
              <w:rPr>
                <w:szCs w:val="24"/>
              </w:rPr>
              <w:t xml:space="preserve"> </w:t>
            </w:r>
            <w:r w:rsidRPr="003C33DC">
              <w:rPr>
                <w:szCs w:val="24"/>
              </w:rPr>
              <w:t>из таблицы F_FAIP_LBO</w:t>
            </w:r>
          </w:p>
          <w:p w:rsidR="00287295" w:rsidRPr="003C33DC" w:rsidRDefault="00287295" w:rsidP="00F13F95">
            <w:pPr>
              <w:rPr>
                <w:szCs w:val="24"/>
              </w:rPr>
            </w:pP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Бюджетные ассигнования на второй год</w:t>
            </w:r>
          </w:p>
        </w:tc>
        <w:tc>
          <w:tcPr>
            <w:tcW w:w="3193" w:type="pct"/>
            <w:shd w:val="clear" w:color="auto" w:fill="FFFFFF"/>
          </w:tcPr>
          <w:p w:rsidR="00287295" w:rsidRPr="003C33DC" w:rsidRDefault="00287295" w:rsidP="00F13F95">
            <w:pPr>
              <w:rPr>
                <w:szCs w:val="24"/>
              </w:rPr>
            </w:pPr>
            <w:r w:rsidRPr="003C33DC">
              <w:rPr>
                <w:szCs w:val="24"/>
              </w:rPr>
              <w:t>Поле APPROVBA2</w:t>
            </w:r>
            <w:r w:rsidRPr="003C33DC" w:rsidDel="008538AE">
              <w:rPr>
                <w:szCs w:val="24"/>
              </w:rPr>
              <w:t xml:space="preserve"> </w:t>
            </w:r>
            <w:r w:rsidRPr="003C33DC">
              <w:rPr>
                <w:szCs w:val="24"/>
              </w:rPr>
              <w:t>из таблицы F_FAIP_LBO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Лимиты бюджетных обязательств на текущий год</w:t>
            </w:r>
          </w:p>
        </w:tc>
        <w:tc>
          <w:tcPr>
            <w:tcW w:w="3193" w:type="pct"/>
            <w:shd w:val="clear" w:color="auto" w:fill="FFFFFF"/>
          </w:tcPr>
          <w:p w:rsidR="00287295" w:rsidRPr="003C33DC" w:rsidRDefault="00287295" w:rsidP="00F13F95">
            <w:pPr>
              <w:rPr>
                <w:szCs w:val="24"/>
              </w:rPr>
            </w:pPr>
            <w:r w:rsidRPr="003C33DC">
              <w:rPr>
                <w:szCs w:val="24"/>
              </w:rPr>
              <w:t>Поле APPROVLBO из таблицы F_FAIP_LBO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Лимиты бюджетных обязательств на первый год</w:t>
            </w:r>
          </w:p>
        </w:tc>
        <w:tc>
          <w:tcPr>
            <w:tcW w:w="3193" w:type="pct"/>
            <w:shd w:val="clear" w:color="auto" w:fill="FFFFFF"/>
          </w:tcPr>
          <w:p w:rsidR="00287295" w:rsidRPr="003C33DC" w:rsidRDefault="00287295" w:rsidP="00F13F95">
            <w:pPr>
              <w:rPr>
                <w:szCs w:val="24"/>
              </w:rPr>
            </w:pPr>
            <w:r w:rsidRPr="003C33DC">
              <w:rPr>
                <w:szCs w:val="24"/>
              </w:rPr>
              <w:t>Поле APPROVLBO1 из таблицы F_FAIP_LBO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Лимиты бюджетных обязательств на второй год</w:t>
            </w:r>
          </w:p>
        </w:tc>
        <w:tc>
          <w:tcPr>
            <w:tcW w:w="3193" w:type="pct"/>
            <w:shd w:val="clear" w:color="auto" w:fill="FFFFFF"/>
          </w:tcPr>
          <w:p w:rsidR="00287295" w:rsidRPr="003C33DC" w:rsidRDefault="00287295" w:rsidP="00F13F95">
            <w:pPr>
              <w:rPr>
                <w:szCs w:val="24"/>
              </w:rPr>
            </w:pPr>
            <w:r w:rsidRPr="003C33DC">
              <w:rPr>
                <w:szCs w:val="24"/>
              </w:rPr>
              <w:t>Поле APPROVLBO2 из таблицы F_FAIP_LBO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Сумма БО на текущий год</w:t>
            </w:r>
          </w:p>
        </w:tc>
        <w:tc>
          <w:tcPr>
            <w:tcW w:w="3193" w:type="pct"/>
            <w:shd w:val="clear" w:color="auto" w:fill="FFFFFF"/>
          </w:tcPr>
          <w:p w:rsidR="00287295" w:rsidRPr="003C33DC" w:rsidRDefault="00287295" w:rsidP="00F13F95">
            <w:pPr>
              <w:pStyle w:val="affff2"/>
              <w:rPr>
                <w:sz w:val="24"/>
              </w:rPr>
            </w:pPr>
            <w:r w:rsidRPr="003C33DC">
              <w:rPr>
                <w:sz w:val="24"/>
              </w:rPr>
              <w:t>Поле</w:t>
            </w:r>
            <w:r w:rsidRPr="003C33DC">
              <w:rPr>
                <w:sz w:val="24"/>
                <w:lang w:eastAsia="en-US"/>
              </w:rPr>
              <w:t xml:space="preserve"> AMOUNTYEAR</w:t>
            </w:r>
            <w:r w:rsidRPr="003C33DC" w:rsidDel="00E51C36">
              <w:rPr>
                <w:sz w:val="24"/>
              </w:rPr>
              <w:t xml:space="preserve"> </w:t>
            </w:r>
            <w:r w:rsidRPr="003C33DC">
              <w:rPr>
                <w:sz w:val="24"/>
              </w:rPr>
              <w:t>из таблицы F_FAIP_BO</w:t>
            </w:r>
          </w:p>
          <w:p w:rsidR="00287295" w:rsidRPr="003C33DC" w:rsidRDefault="00287295" w:rsidP="00F13F95">
            <w:pPr>
              <w:pStyle w:val="affff2"/>
              <w:rPr>
                <w:sz w:val="24"/>
              </w:rPr>
            </w:pP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Сумма БО на первый год</w:t>
            </w:r>
          </w:p>
        </w:tc>
        <w:tc>
          <w:tcPr>
            <w:tcW w:w="3193" w:type="pct"/>
            <w:shd w:val="clear" w:color="auto" w:fill="FFFFFF"/>
          </w:tcPr>
          <w:p w:rsidR="00287295" w:rsidRPr="003C33DC" w:rsidRDefault="00287295" w:rsidP="00F13F95">
            <w:pPr>
              <w:rPr>
                <w:szCs w:val="24"/>
              </w:rPr>
            </w:pPr>
            <w:r w:rsidRPr="003C33DC">
              <w:rPr>
                <w:szCs w:val="24"/>
              </w:rPr>
              <w:t>Поле SUMFIRSTYEAR</w:t>
            </w:r>
            <w:r w:rsidRPr="003C33DC" w:rsidDel="00E51C36">
              <w:rPr>
                <w:szCs w:val="24"/>
              </w:rPr>
              <w:t xml:space="preserve"> </w:t>
            </w:r>
            <w:r w:rsidRPr="003C33DC">
              <w:rPr>
                <w:szCs w:val="24"/>
              </w:rPr>
              <w:t>из таблицы F_FAIP_BO</w:t>
            </w:r>
          </w:p>
          <w:p w:rsidR="00287295" w:rsidRPr="003C33DC" w:rsidRDefault="00287295" w:rsidP="00F13F95">
            <w:pPr>
              <w:rPr>
                <w:szCs w:val="24"/>
              </w:rPr>
            </w:pPr>
          </w:p>
        </w:tc>
      </w:tr>
      <w:tr w:rsidR="00287295" w:rsidRPr="003C33DC" w:rsidTr="00287295">
        <w:trPr>
          <w:cantSplit/>
          <w:trHeight w:val="199"/>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Сумма БО на второй год</w:t>
            </w:r>
          </w:p>
        </w:tc>
        <w:tc>
          <w:tcPr>
            <w:tcW w:w="3193" w:type="pct"/>
            <w:shd w:val="clear" w:color="auto" w:fill="FFFFFF"/>
          </w:tcPr>
          <w:p w:rsidR="00287295" w:rsidRPr="003C33DC" w:rsidRDefault="00287295" w:rsidP="00F13F95">
            <w:pPr>
              <w:rPr>
                <w:szCs w:val="24"/>
              </w:rPr>
            </w:pPr>
            <w:r w:rsidRPr="003C33DC">
              <w:rPr>
                <w:szCs w:val="24"/>
              </w:rPr>
              <w:t>Поле SUMSECONDYEAR</w:t>
            </w:r>
            <w:r w:rsidRPr="003C33DC" w:rsidDel="00E51C36">
              <w:rPr>
                <w:szCs w:val="24"/>
              </w:rPr>
              <w:t xml:space="preserve"> </w:t>
            </w:r>
            <w:r w:rsidRPr="003C33DC">
              <w:rPr>
                <w:szCs w:val="24"/>
              </w:rPr>
              <w:t>из таблицы F_FAIP_BO</w:t>
            </w:r>
          </w:p>
          <w:p w:rsidR="00287295" w:rsidRPr="003C33DC" w:rsidRDefault="00287295" w:rsidP="00F13F95">
            <w:pPr>
              <w:rPr>
                <w:szCs w:val="24"/>
              </w:rPr>
            </w:pPr>
          </w:p>
        </w:tc>
      </w:tr>
      <w:tr w:rsidR="00287295" w:rsidRPr="00991B9F"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Сумма ДО на текущий год</w:t>
            </w:r>
          </w:p>
        </w:tc>
        <w:tc>
          <w:tcPr>
            <w:tcW w:w="3193" w:type="pct"/>
            <w:shd w:val="clear" w:color="auto" w:fill="FFFFFF"/>
          </w:tcPr>
          <w:p w:rsidR="00287295" w:rsidRPr="003C33DC" w:rsidRDefault="00287295" w:rsidP="00F13F95">
            <w:pPr>
              <w:rPr>
                <w:szCs w:val="24"/>
                <w:lang w:val="en-US"/>
              </w:rPr>
            </w:pPr>
            <w:r w:rsidRPr="003C33DC">
              <w:rPr>
                <w:szCs w:val="24"/>
              </w:rPr>
              <w:t>Поле</w:t>
            </w:r>
            <w:r w:rsidRPr="003C33DC">
              <w:rPr>
                <w:szCs w:val="24"/>
                <w:lang w:val="en-US"/>
              </w:rPr>
              <w:t xml:space="preserve"> DOCONFIRMATION </w:t>
            </w:r>
            <w:r w:rsidRPr="003C33DC">
              <w:rPr>
                <w:szCs w:val="24"/>
              </w:rPr>
              <w:t>из</w:t>
            </w:r>
            <w:r w:rsidRPr="003C33DC">
              <w:rPr>
                <w:szCs w:val="24"/>
                <w:lang w:val="en-US"/>
              </w:rPr>
              <w:t xml:space="preserve"> </w:t>
            </w:r>
            <w:r w:rsidRPr="003C33DC">
              <w:rPr>
                <w:szCs w:val="24"/>
              </w:rPr>
              <w:t>таблицы</w:t>
            </w:r>
            <w:r w:rsidRPr="003C33DC">
              <w:rPr>
                <w:szCs w:val="24"/>
                <w:lang w:val="en-US"/>
              </w:rPr>
              <w:t xml:space="preserve">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Исполнение</w:t>
            </w:r>
          </w:p>
        </w:tc>
        <w:tc>
          <w:tcPr>
            <w:tcW w:w="3193" w:type="pct"/>
            <w:shd w:val="clear" w:color="auto" w:fill="FFFFFF"/>
          </w:tcPr>
          <w:p w:rsidR="00287295" w:rsidRPr="003C33DC" w:rsidRDefault="00287295" w:rsidP="00F13F95">
            <w:pPr>
              <w:rPr>
                <w:szCs w:val="24"/>
              </w:rPr>
            </w:pPr>
            <w:r w:rsidRPr="003C33DC">
              <w:rPr>
                <w:szCs w:val="24"/>
              </w:rPr>
              <w:t>Поле SUMMAPAID_BO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Не исполнено  БО</w:t>
            </w:r>
          </w:p>
        </w:tc>
        <w:tc>
          <w:tcPr>
            <w:tcW w:w="3193" w:type="pct"/>
            <w:shd w:val="clear" w:color="auto" w:fill="FFFFFF"/>
          </w:tcPr>
          <w:p w:rsidR="00287295" w:rsidRPr="003C33DC" w:rsidRDefault="00287295" w:rsidP="00F13F95">
            <w:pPr>
              <w:rPr>
                <w:szCs w:val="24"/>
              </w:rPr>
            </w:pPr>
            <w:r w:rsidRPr="003C33DC">
              <w:rPr>
                <w:szCs w:val="24"/>
              </w:rPr>
              <w:t>Из значения поля AMOUNTYEAR</w:t>
            </w:r>
            <w:r w:rsidRPr="003C33DC" w:rsidDel="00E51C36">
              <w:rPr>
                <w:szCs w:val="24"/>
              </w:rPr>
              <w:t xml:space="preserve"> </w:t>
            </w:r>
            <w:r w:rsidRPr="003C33DC">
              <w:rPr>
                <w:szCs w:val="24"/>
              </w:rPr>
              <w:t>(из таблицы F_FAIP_BO) вычитаем значение поля SUMMAPAID_BO (из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 исполнения к БА</w:t>
            </w:r>
          </w:p>
        </w:tc>
        <w:tc>
          <w:tcPr>
            <w:tcW w:w="3193" w:type="pct"/>
            <w:shd w:val="clear" w:color="auto" w:fill="FFFFFF"/>
          </w:tcPr>
          <w:p w:rsidR="00287295" w:rsidRPr="003C33DC" w:rsidRDefault="00287295" w:rsidP="00F13F95">
            <w:pPr>
              <w:rPr>
                <w:szCs w:val="24"/>
              </w:rPr>
            </w:pPr>
            <w:r w:rsidRPr="003C33DC">
              <w:rPr>
                <w:szCs w:val="24"/>
              </w:rPr>
              <w:t>Значение поля SUMMAPAID_BO (из таблицы F_FAIP_BO) делим на значение поля APPROVBA</w:t>
            </w:r>
            <w:r w:rsidRPr="003C33DC" w:rsidDel="008538AE">
              <w:rPr>
                <w:szCs w:val="24"/>
              </w:rPr>
              <w:t xml:space="preserve"> </w:t>
            </w:r>
            <w:r w:rsidRPr="003C33DC">
              <w:rPr>
                <w:szCs w:val="24"/>
              </w:rPr>
              <w:t>из таблицы F_FAIP_LBO</w:t>
            </w:r>
          </w:p>
          <w:p w:rsidR="00287295" w:rsidRPr="003C33DC" w:rsidRDefault="00287295" w:rsidP="00F13F95">
            <w:pPr>
              <w:rPr>
                <w:szCs w:val="24"/>
              </w:rPr>
            </w:pP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 исполнения к ЛБО</w:t>
            </w:r>
          </w:p>
        </w:tc>
        <w:tc>
          <w:tcPr>
            <w:tcW w:w="3193" w:type="pct"/>
            <w:shd w:val="clear" w:color="auto" w:fill="FFFFFF"/>
          </w:tcPr>
          <w:p w:rsidR="00287295" w:rsidRPr="003C33DC" w:rsidRDefault="00287295" w:rsidP="00F13F95">
            <w:pPr>
              <w:rPr>
                <w:szCs w:val="24"/>
              </w:rPr>
            </w:pPr>
            <w:r w:rsidRPr="003C33DC">
              <w:rPr>
                <w:szCs w:val="24"/>
              </w:rPr>
              <w:t>Значение поля SUMMAPAID_BO (из таблицы F_FAIP_BO) делим на значение поля APPROVLBO из таблицы F_FAIP_LBO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 исполнения к БО</w:t>
            </w:r>
          </w:p>
        </w:tc>
        <w:tc>
          <w:tcPr>
            <w:tcW w:w="3193" w:type="pct"/>
            <w:shd w:val="clear" w:color="auto" w:fill="FFFFFF"/>
          </w:tcPr>
          <w:p w:rsidR="00287295" w:rsidRPr="003C33DC" w:rsidRDefault="00287295" w:rsidP="00F13F95">
            <w:pPr>
              <w:rPr>
                <w:szCs w:val="24"/>
              </w:rPr>
            </w:pPr>
            <w:r w:rsidRPr="003C33DC">
              <w:rPr>
                <w:szCs w:val="24"/>
              </w:rPr>
              <w:t>Значение поля SUMMAPAID_BO (из таблицы F_FAIP_BO) делим на значение поля AMOUNTYEAR</w:t>
            </w:r>
            <w:r w:rsidRPr="003C33DC" w:rsidDel="00E51C36">
              <w:rPr>
                <w:szCs w:val="24"/>
              </w:rPr>
              <w:t xml:space="preserve"> </w:t>
            </w:r>
            <w:r w:rsidRPr="003C33DC">
              <w:rPr>
                <w:szCs w:val="24"/>
              </w:rPr>
              <w:t>из таблицы F_FAIP_BO</w:t>
            </w:r>
          </w:p>
        </w:tc>
      </w:tr>
      <w:tr w:rsidR="00287295" w:rsidRPr="003C33DC" w:rsidTr="00287295">
        <w:trPr>
          <w:cantSplit/>
        </w:trPr>
        <w:tc>
          <w:tcPr>
            <w:tcW w:w="1807" w:type="pct"/>
            <w:shd w:val="clear" w:color="auto" w:fill="FFFFFF"/>
          </w:tcPr>
          <w:p w:rsidR="00287295" w:rsidRPr="00287295" w:rsidRDefault="00287295" w:rsidP="005C6E50">
            <w:pPr>
              <w:pStyle w:val="afff6"/>
              <w:numPr>
                <w:ilvl w:val="0"/>
                <w:numId w:val="143"/>
              </w:numPr>
              <w:ind w:left="426"/>
              <w:rPr>
                <w:sz w:val="24"/>
                <w:szCs w:val="24"/>
              </w:rPr>
            </w:pPr>
            <w:r w:rsidRPr="00287295">
              <w:rPr>
                <w:sz w:val="24"/>
                <w:szCs w:val="24"/>
              </w:rPr>
              <w:t>% БО к ЛБО</w:t>
            </w:r>
          </w:p>
        </w:tc>
        <w:tc>
          <w:tcPr>
            <w:tcW w:w="3193" w:type="pct"/>
            <w:shd w:val="clear" w:color="auto" w:fill="FFFFFF"/>
          </w:tcPr>
          <w:p w:rsidR="00287295" w:rsidRPr="003C33DC" w:rsidRDefault="00287295" w:rsidP="00F13F95">
            <w:pPr>
              <w:rPr>
                <w:szCs w:val="24"/>
              </w:rPr>
            </w:pPr>
            <w:r w:rsidRPr="003C33DC">
              <w:rPr>
                <w:szCs w:val="24"/>
              </w:rPr>
              <w:t>Значение поля AMOUNTYEAR</w:t>
            </w:r>
            <w:r w:rsidRPr="003C33DC" w:rsidDel="00E51C36">
              <w:rPr>
                <w:szCs w:val="24"/>
              </w:rPr>
              <w:t xml:space="preserve"> </w:t>
            </w:r>
            <w:r w:rsidRPr="003C33DC">
              <w:rPr>
                <w:szCs w:val="24"/>
              </w:rPr>
              <w:t>(из таблицы F_FAIP_BO) делим на значение поля APPROVLBO из таблицы F_FAIP_LBO</w:t>
            </w:r>
          </w:p>
        </w:tc>
      </w:tr>
    </w:tbl>
    <w:p w:rsidR="000E18B7" w:rsidRPr="00B7428B" w:rsidRDefault="000E18B7" w:rsidP="00ED710A">
      <w:pPr>
        <w:pStyle w:val="42"/>
        <w:keepNext/>
        <w:keepLines/>
        <w:ind w:left="284"/>
        <w:jc w:val="left"/>
      </w:pPr>
      <w:bookmarkStart w:id="560" w:name="_Toc68622735"/>
      <w:r w:rsidRPr="00B7428B">
        <w:t>Представление «Информация по ОКС в разрезе субъектов РФ»</w:t>
      </w:r>
      <w:bookmarkEnd w:id="560"/>
    </w:p>
    <w:p w:rsidR="000E18B7" w:rsidRPr="004500C1" w:rsidRDefault="000E18B7" w:rsidP="000E18B7">
      <w:pPr>
        <w:pStyle w:val="af0"/>
      </w:pPr>
      <w:r w:rsidRPr="005B5959">
        <w:t>Представление «Информация по ОКС в разрезе субъектов РФ»</w:t>
      </w:r>
      <w:r w:rsidRPr="004500C1">
        <w:t xml:space="preserve"> </w:t>
      </w:r>
      <w:r>
        <w:t xml:space="preserve">реализовано в виде таблицы (Рисунок </w:t>
      </w:r>
      <w:r>
        <w:fldChar w:fldCharType="begin"/>
      </w:r>
      <w:r>
        <w:instrText xml:space="preserve"> REF _Ref69216924 \h </w:instrText>
      </w:r>
      <w:r>
        <w:fldChar w:fldCharType="separate"/>
      </w:r>
      <w:r w:rsidR="00BF0BEE">
        <w:rPr>
          <w:noProof/>
        </w:rPr>
        <w:t>138</w:t>
      </w:r>
      <w:r>
        <w:fldChar w:fldCharType="end"/>
      </w:r>
      <w:r>
        <w:t>) и содержит следующие параметры:</w:t>
      </w:r>
    </w:p>
    <w:p w:rsidR="000E18B7" w:rsidRPr="00AA201E" w:rsidRDefault="000E18B7" w:rsidP="00ED710A">
      <w:pPr>
        <w:pStyle w:val="13"/>
      </w:pPr>
      <w:r w:rsidRPr="00AA201E">
        <w:t>Параметр ед. измерения. Значения параметра: млрд. руб., млн. руб., тыс. руб., руб. По умолчанию значение параметра «млн. руб.»;</w:t>
      </w:r>
    </w:p>
    <w:p w:rsidR="000E18B7" w:rsidRPr="00AA201E" w:rsidRDefault="000E18B7" w:rsidP="00ED710A">
      <w:pPr>
        <w:pStyle w:val="13"/>
      </w:pPr>
      <w:r w:rsidRPr="00AA201E">
        <w:t xml:space="preserve">Фильтр «Национальный проект»: Формировать выпадающий список из возможных значений национальных и федеральных проектов. Национальный проект - выводим 11 символ из поля KBK из таблицы F_FAIP_BO. Федеральный проект:  выводим 11- 12 символ из поля KBK из таблицы F_FAIP_BO. Дополнительно выводим записи вне рамок национальных проектов. Должна быть возможность множественного выбора (т.е. нескольких национальных проектов, чекбокс).  </w:t>
      </w:r>
    </w:p>
    <w:p w:rsidR="000E18B7" w:rsidRPr="00AA201E" w:rsidRDefault="000E18B7" w:rsidP="00ED710A">
      <w:pPr>
        <w:pStyle w:val="13"/>
      </w:pPr>
      <w:r w:rsidRPr="00AA201E">
        <w:t>Фильтр «ОКС». Указывается наименование и код ОКС (выпадающий иерархический список всех наименований и кодов ОКС).</w:t>
      </w:r>
    </w:p>
    <w:p w:rsidR="000E18B7" w:rsidRPr="00AA201E" w:rsidRDefault="000E18B7" w:rsidP="00ED710A">
      <w:pPr>
        <w:pStyle w:val="13"/>
      </w:pPr>
      <w:r w:rsidRPr="00AA201E">
        <w:t>Фильтр «Получатели субсидий (регион)». Указывается конкретное наименование и ОКТМО региона (выпадающий иерархический список всех регионов).</w:t>
      </w:r>
    </w:p>
    <w:p w:rsidR="000E18B7" w:rsidRPr="00AA201E" w:rsidRDefault="000E18B7" w:rsidP="00ED710A">
      <w:pPr>
        <w:pStyle w:val="13"/>
      </w:pPr>
      <w:r w:rsidRPr="00AA201E">
        <w:t>Поиск по коду ГРБС (Код главы): пользователь вводит код или часть кода и таблица фильтруется по этим записям. Выводим код и наименование ГРБС.</w:t>
      </w:r>
    </w:p>
    <w:p w:rsidR="000E18B7" w:rsidRPr="00AA201E" w:rsidRDefault="000E18B7" w:rsidP="00ED710A">
      <w:pPr>
        <w:pStyle w:val="13"/>
      </w:pPr>
      <w:r w:rsidRPr="00AA201E">
        <w:t>Поиск по коду раздела, подраздела (Код РзПр): пользователь вводит код или часть кода и таблица фильтруется по этим записям.</w:t>
      </w:r>
    </w:p>
    <w:p w:rsidR="000E18B7" w:rsidRPr="00AA201E" w:rsidRDefault="000E18B7" w:rsidP="00ED710A">
      <w:pPr>
        <w:pStyle w:val="13"/>
      </w:pPr>
      <w:r w:rsidRPr="00AA201E">
        <w:t>Поиск по коду целевой статьи (Код целевой статьи): пользователь вводит код или часть кода и таблица фильтруется по этим записям.</w:t>
      </w:r>
    </w:p>
    <w:p w:rsidR="000E18B7" w:rsidRPr="00AA201E" w:rsidRDefault="000E18B7" w:rsidP="00ED710A">
      <w:pPr>
        <w:pStyle w:val="13"/>
      </w:pPr>
      <w:r w:rsidRPr="00AA201E">
        <w:t xml:space="preserve"> Поиск по коду вида расходов (Код вида расходов): пользователь вводит код или часть кода и таблица фильтруется по этим записям.</w:t>
      </w:r>
    </w:p>
    <w:p w:rsidR="000E18B7" w:rsidRPr="00AA201E" w:rsidRDefault="000E18B7" w:rsidP="00ED710A">
      <w:pPr>
        <w:pStyle w:val="13"/>
      </w:pPr>
      <w:r w:rsidRPr="00AA201E">
        <w:t xml:space="preserve"> Поиск по дате: так как данные будут ежедневные, показывать даты, на которые есть данные.</w:t>
      </w:r>
    </w:p>
    <w:p w:rsidR="000E18B7" w:rsidRDefault="000E18B7" w:rsidP="000E18B7">
      <w:pPr>
        <w:pStyle w:val="-0"/>
      </w:pPr>
      <w:r>
        <w:rPr>
          <w:noProof/>
          <w:snapToGrid/>
        </w:rPr>
        <w:drawing>
          <wp:inline distT="0" distB="0" distL="0" distR="0" wp14:anchorId="6CE9C231" wp14:editId="5ECBB35B">
            <wp:extent cx="6152515" cy="2992755"/>
            <wp:effectExtent l="0" t="0" r="635" b="0"/>
            <wp:docPr id="6493" name="Рисунок 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6152515" cy="2992755"/>
                    </a:xfrm>
                    <a:prstGeom prst="rect">
                      <a:avLst/>
                    </a:prstGeom>
                  </pic:spPr>
                </pic:pic>
              </a:graphicData>
            </a:graphic>
          </wp:inline>
        </w:drawing>
      </w:r>
    </w:p>
    <w:p w:rsidR="000E18B7" w:rsidRPr="004500C1" w:rsidRDefault="000E18B7" w:rsidP="000E18B7">
      <w:pPr>
        <w:pStyle w:val="-0"/>
      </w:pPr>
      <w:bookmarkStart w:id="561" w:name="_Toc69290342"/>
      <w:bookmarkStart w:id="562" w:name="_Toc69980141"/>
      <w:bookmarkStart w:id="563" w:name="_Toc119584325"/>
      <w:r>
        <w:t xml:space="preserve">Рисунок </w:t>
      </w:r>
      <w:fldSimple w:instr=" SEQ Рисунок \* ARABIC ">
        <w:bookmarkStart w:id="564" w:name="_Ref69216924"/>
        <w:r w:rsidR="001860A9">
          <w:rPr>
            <w:noProof/>
          </w:rPr>
          <w:t>138</w:t>
        </w:r>
        <w:bookmarkEnd w:id="564"/>
      </w:fldSimple>
      <w:r>
        <w:t xml:space="preserve"> – Макет отчета «</w:t>
      </w:r>
      <w:r w:rsidRPr="00C15CCA">
        <w:rPr>
          <w:snapToGrid/>
        </w:rPr>
        <w:t>Мониторинг объектов капитального строительства в рамках реализации федеральной адресной инвестиционной программы</w:t>
      </w:r>
      <w:r>
        <w:t xml:space="preserve">», представление </w:t>
      </w:r>
      <w:r w:rsidRPr="00B7428B">
        <w:t>«Информация по ОКС в разрезе субъектов РФ»</w:t>
      </w:r>
      <w:bookmarkEnd w:id="561"/>
      <w:bookmarkEnd w:id="562"/>
      <w:bookmarkEnd w:id="563"/>
    </w:p>
    <w:p w:rsidR="000E18B7" w:rsidRPr="00CA6C60" w:rsidRDefault="000E18B7" w:rsidP="000E18B7">
      <w:pPr>
        <w:pStyle w:val="af0"/>
        <w:ind w:firstLine="709"/>
        <w:rPr>
          <w:szCs w:val="28"/>
        </w:rPr>
      </w:pPr>
      <w:r>
        <w:rPr>
          <w:szCs w:val="28"/>
        </w:rPr>
        <w:t>Правила формирования таблицы представления «</w:t>
      </w:r>
      <w:r w:rsidRPr="00B7428B">
        <w:t>Информация по ОКС в разрезе субъектов РФ</w:t>
      </w:r>
      <w:r w:rsidRPr="00B152B6">
        <w:t>»</w:t>
      </w:r>
      <w:r>
        <w:t xml:space="preserve"> представлены в таблице </w:t>
      </w:r>
      <w:r>
        <w:fldChar w:fldCharType="begin"/>
      </w:r>
      <w:r>
        <w:instrText xml:space="preserve"> REF _Ref69217231 \h </w:instrText>
      </w:r>
      <w:r>
        <w:fldChar w:fldCharType="separate"/>
      </w:r>
      <w:r w:rsidR="00BF0BEE">
        <w:rPr>
          <w:noProof/>
        </w:rPr>
        <w:t>11</w:t>
      </w:r>
      <w:r>
        <w:fldChar w:fldCharType="end"/>
      </w:r>
      <w:r>
        <w:t>.</w:t>
      </w:r>
    </w:p>
    <w:p w:rsidR="000E18B7" w:rsidRPr="00EF3D23" w:rsidRDefault="000E18B7" w:rsidP="000E18B7">
      <w:pPr>
        <w:pStyle w:val="-"/>
      </w:pPr>
      <w:bookmarkStart w:id="565" w:name="_Toc69290208"/>
      <w:bookmarkStart w:id="566" w:name="_Toc69917977"/>
      <w:bookmarkStart w:id="567" w:name="_Toc119585152"/>
      <w:r>
        <w:t xml:space="preserve">Таблица </w:t>
      </w:r>
      <w:fldSimple w:instr=" SEQ Таблица \* ARABIC ">
        <w:bookmarkStart w:id="568" w:name="_Ref69217231"/>
        <w:r w:rsidR="00BF0BEE">
          <w:rPr>
            <w:noProof/>
          </w:rPr>
          <w:t>11</w:t>
        </w:r>
        <w:bookmarkEnd w:id="568"/>
      </w:fldSimple>
      <w:r>
        <w:t xml:space="preserve"> – </w:t>
      </w:r>
      <w:r>
        <w:rPr>
          <w:szCs w:val="28"/>
        </w:rPr>
        <w:t>Правила формирования таблицы представления «</w:t>
      </w:r>
      <w:r w:rsidRPr="00B7428B">
        <w:t>Информация по ОКС в разрезе субъектов РФ</w:t>
      </w:r>
      <w:r w:rsidRPr="00B152B6">
        <w:t>»</w:t>
      </w:r>
      <w:bookmarkEnd w:id="565"/>
      <w:bookmarkEnd w:id="566"/>
      <w:bookmarkEnd w:id="567"/>
    </w:p>
    <w:tbl>
      <w:tblPr>
        <w:tblStyle w:val="affe"/>
        <w:tblW w:w="5000" w:type="pct"/>
        <w:tblLayout w:type="fixed"/>
        <w:tblLook w:val="04A0" w:firstRow="1" w:lastRow="0" w:firstColumn="1" w:lastColumn="0" w:noHBand="0" w:noVBand="1"/>
      </w:tblPr>
      <w:tblGrid>
        <w:gridCol w:w="3492"/>
        <w:gridCol w:w="6361"/>
      </w:tblGrid>
      <w:tr w:rsidR="00ED710A" w:rsidRPr="00AA201E" w:rsidTr="00ED710A">
        <w:trPr>
          <w:cantSplit/>
          <w:tblHeader/>
        </w:trPr>
        <w:tc>
          <w:tcPr>
            <w:tcW w:w="1772" w:type="pct"/>
            <w:shd w:val="clear" w:color="auto" w:fill="D9D9D9" w:themeFill="background1" w:themeFillShade="D9"/>
            <w:vAlign w:val="center"/>
          </w:tcPr>
          <w:p w:rsidR="00ED710A" w:rsidRPr="00AA201E" w:rsidRDefault="00ED710A" w:rsidP="00AA201E">
            <w:pPr>
              <w:ind w:firstLine="0"/>
              <w:jc w:val="center"/>
              <w:rPr>
                <w:b/>
                <w:color w:val="auto"/>
                <w:szCs w:val="24"/>
              </w:rPr>
            </w:pPr>
            <w:r w:rsidRPr="00AA201E">
              <w:rPr>
                <w:b/>
                <w:color w:val="auto"/>
                <w:szCs w:val="24"/>
              </w:rPr>
              <w:t>Название колонки</w:t>
            </w:r>
          </w:p>
        </w:tc>
        <w:tc>
          <w:tcPr>
            <w:tcW w:w="3228" w:type="pct"/>
            <w:shd w:val="clear" w:color="auto" w:fill="D9D9D9" w:themeFill="background1" w:themeFillShade="D9"/>
            <w:vAlign w:val="center"/>
          </w:tcPr>
          <w:p w:rsidR="00ED710A" w:rsidRPr="00AA201E" w:rsidRDefault="00ED710A" w:rsidP="00AA201E">
            <w:pPr>
              <w:jc w:val="center"/>
              <w:rPr>
                <w:b/>
                <w:color w:val="auto"/>
                <w:szCs w:val="24"/>
              </w:rPr>
            </w:pPr>
            <w:r w:rsidRPr="00AA201E">
              <w:rPr>
                <w:b/>
                <w:color w:val="auto"/>
                <w:szCs w:val="24"/>
              </w:rPr>
              <w:t>Правило формирования</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 объекта капитального строительства</w:t>
            </w:r>
          </w:p>
        </w:tc>
        <w:tc>
          <w:tcPr>
            <w:tcW w:w="3228" w:type="pct"/>
            <w:shd w:val="clear" w:color="auto" w:fill="FFFFFF" w:themeFill="background1"/>
          </w:tcPr>
          <w:p w:rsidR="00ED710A" w:rsidRPr="00EF3D23" w:rsidRDefault="00ED710A" w:rsidP="00F13F95">
            <w:pPr>
              <w:ind w:firstLine="0"/>
              <w:rPr>
                <w:color w:val="auto"/>
                <w:szCs w:val="24"/>
              </w:rPr>
            </w:pPr>
            <w:r w:rsidRPr="00EF3D23">
              <w:rPr>
                <w:color w:val="auto"/>
                <w:szCs w:val="24"/>
              </w:rPr>
              <w:t>Поле PRINTNAME из таблицы D_NSI_FAIP.</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Код объекта капитального строительства</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Поле</w:t>
            </w:r>
            <w:r w:rsidRPr="00EF3D23">
              <w:rPr>
                <w:sz w:val="24"/>
                <w:lang w:eastAsia="en-US"/>
              </w:rPr>
              <w:t xml:space="preserve"> </w:t>
            </w:r>
            <w:r w:rsidRPr="00EF3D23">
              <w:rPr>
                <w:sz w:val="24"/>
                <w:lang w:val="en-US" w:eastAsia="en-US"/>
              </w:rPr>
              <w:t>FAIPCODE</w:t>
            </w:r>
            <w:r w:rsidRPr="00EF3D23">
              <w:rPr>
                <w:sz w:val="24"/>
                <w:lang w:eastAsia="en-US"/>
              </w:rPr>
              <w:t xml:space="preserve"> из таблицы </w:t>
            </w:r>
            <w:r w:rsidRPr="00EF3D23">
              <w:rPr>
                <w:sz w:val="24"/>
                <w:lang w:val="en-US"/>
              </w:rPr>
              <w:t>F</w:t>
            </w:r>
            <w:r w:rsidRPr="00EF3D23">
              <w:rPr>
                <w:sz w:val="24"/>
              </w:rPr>
              <w:t>_</w:t>
            </w:r>
            <w:r w:rsidRPr="00EF3D23">
              <w:rPr>
                <w:sz w:val="24"/>
                <w:lang w:val="en-US"/>
              </w:rPr>
              <w:t>FAIP</w:t>
            </w:r>
            <w:r w:rsidRPr="00EF3D23">
              <w:rPr>
                <w:sz w:val="24"/>
              </w:rPr>
              <w:t>_</w:t>
            </w:r>
            <w:r w:rsidRPr="00EF3D23">
              <w:rPr>
                <w:sz w:val="24"/>
                <w:lang w:val="en-US"/>
              </w:rPr>
              <w:t>BO</w:t>
            </w:r>
            <w:r w:rsidRPr="00EF3D23">
              <w:rPr>
                <w:sz w:val="24"/>
              </w:rPr>
              <w:t xml:space="preserve"> для соответствующего </w:t>
            </w:r>
            <w:r w:rsidRPr="00EF3D23">
              <w:rPr>
                <w:sz w:val="24"/>
                <w:lang w:val="en-US"/>
              </w:rPr>
              <w:t>OK</w:t>
            </w:r>
            <w:r w:rsidRPr="00EF3D23">
              <w:rPr>
                <w:sz w:val="24"/>
              </w:rPr>
              <w:t>С.</w:t>
            </w:r>
          </w:p>
          <w:p w:rsidR="00ED710A" w:rsidRPr="00EF3D23" w:rsidRDefault="00ED710A" w:rsidP="00F13F95">
            <w:pPr>
              <w:ind w:firstLine="0"/>
              <w:rPr>
                <w:color w:val="auto"/>
                <w:szCs w:val="24"/>
              </w:rPr>
            </w:pPr>
            <w:r w:rsidRPr="00EF3D23">
              <w:rPr>
                <w:szCs w:val="24"/>
              </w:rPr>
              <w:t xml:space="preserve">Длина поля </w:t>
            </w:r>
            <w:r w:rsidRPr="00EF3D23">
              <w:rPr>
                <w:szCs w:val="24"/>
                <w:lang w:val="en-US"/>
              </w:rPr>
              <w:t>FAIPCODE</w:t>
            </w:r>
            <w:r w:rsidRPr="00EF3D23">
              <w:rPr>
                <w:szCs w:val="24"/>
              </w:rPr>
              <w:t xml:space="preserve"> равна 18 знаков.</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Код НП</w:t>
            </w:r>
          </w:p>
        </w:tc>
        <w:tc>
          <w:tcPr>
            <w:tcW w:w="3228" w:type="pct"/>
            <w:shd w:val="clear" w:color="auto" w:fill="FFFFFF" w:themeFill="background1"/>
          </w:tcPr>
          <w:p w:rsidR="00ED710A" w:rsidRPr="00EF3D23" w:rsidRDefault="00ED710A" w:rsidP="00F13F95">
            <w:pPr>
              <w:ind w:firstLine="0"/>
              <w:rPr>
                <w:szCs w:val="24"/>
              </w:rPr>
            </w:pPr>
            <w:r w:rsidRPr="00EF3D23">
              <w:rPr>
                <w:szCs w:val="24"/>
              </w:rPr>
              <w:t xml:space="preserve">11символ из поля </w:t>
            </w:r>
            <w:r w:rsidRPr="00EF3D23">
              <w:rPr>
                <w:szCs w:val="24"/>
                <w:lang w:val="en-US"/>
              </w:rPr>
              <w:t>KBK</w:t>
            </w:r>
            <w:r w:rsidRPr="00EF3D23">
              <w:rPr>
                <w:szCs w:val="24"/>
              </w:rPr>
              <w:t xml:space="preserve"> справочника </w:t>
            </w:r>
            <w:r w:rsidRPr="00EF3D23">
              <w:rPr>
                <w:color w:val="auto"/>
                <w:szCs w:val="24"/>
              </w:rPr>
              <w:t>D_NSI_FAIP</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Код Главы</w:t>
            </w:r>
          </w:p>
        </w:tc>
        <w:tc>
          <w:tcPr>
            <w:tcW w:w="3228" w:type="pct"/>
            <w:shd w:val="clear" w:color="auto" w:fill="FFFFFF" w:themeFill="background1"/>
          </w:tcPr>
          <w:p w:rsidR="00ED710A" w:rsidRPr="00EF3D23" w:rsidRDefault="00ED710A" w:rsidP="00F13F95">
            <w:pPr>
              <w:ind w:firstLine="0"/>
              <w:rPr>
                <w:color w:val="auto"/>
                <w:szCs w:val="24"/>
              </w:rPr>
            </w:pPr>
            <w:r w:rsidRPr="00EF3D23">
              <w:rPr>
                <w:color w:val="auto"/>
                <w:szCs w:val="24"/>
              </w:rPr>
              <w:t>11 символ из поля KBK из справочника D_NSI_FAIP</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 Главы</w:t>
            </w:r>
          </w:p>
        </w:tc>
        <w:tc>
          <w:tcPr>
            <w:tcW w:w="3228" w:type="pct"/>
            <w:shd w:val="clear" w:color="auto" w:fill="FFFFFF" w:themeFill="background1"/>
          </w:tcPr>
          <w:p w:rsidR="00ED710A" w:rsidRPr="00EF3D23" w:rsidRDefault="00ED710A" w:rsidP="00F13F95">
            <w:pPr>
              <w:ind w:firstLine="0"/>
              <w:rPr>
                <w:color w:val="auto"/>
                <w:szCs w:val="24"/>
              </w:rPr>
            </w:pPr>
            <w:r w:rsidRPr="00EF3D23">
              <w:rPr>
                <w:color w:val="auto"/>
                <w:szCs w:val="24"/>
              </w:rPr>
              <w:t xml:space="preserve">Первые три символа из поля KBK из справочника D_NSI_FAIP </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Код РзПр</w:t>
            </w:r>
          </w:p>
        </w:tc>
        <w:tc>
          <w:tcPr>
            <w:tcW w:w="3228" w:type="pct"/>
            <w:shd w:val="clear" w:color="auto" w:fill="FFFFFF" w:themeFill="background1"/>
          </w:tcPr>
          <w:p w:rsidR="00ED710A" w:rsidRPr="00EF3D23" w:rsidRDefault="00ED710A" w:rsidP="00F13F95">
            <w:pPr>
              <w:ind w:firstLine="0"/>
              <w:rPr>
                <w:color w:val="auto"/>
                <w:szCs w:val="24"/>
              </w:rPr>
            </w:pPr>
            <w:r w:rsidRPr="00EF3D23">
              <w:rPr>
                <w:color w:val="auto"/>
                <w:szCs w:val="24"/>
              </w:rPr>
              <w:t>Поле NAME из справочника D_KSPL_KVSR. Сопоставляем по коду Главы (поле CODE справочника D_KSPL_KVSR).</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 РзПр</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4-7 символ из поля KBK из справочника D_NSI_FAIP</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Программная (непрограммная) статья</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Поле NAME из справочника D_KSPL_RZPR. Сопоставляем по коду РзПр (поле CODE справочника D_KSPL_RZPR).</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Направление расходов</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 xml:space="preserve">8-12 символ из поля KBK из справочника D_NSI_FAIP </w:t>
            </w:r>
          </w:p>
          <w:p w:rsidR="00ED710A" w:rsidRPr="00EF3D23" w:rsidRDefault="00ED710A" w:rsidP="00F13F95">
            <w:pPr>
              <w:pStyle w:val="affff2"/>
              <w:ind w:firstLine="0"/>
              <w:rPr>
                <w:sz w:val="24"/>
              </w:rPr>
            </w:pP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 ЦСР</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13-17 символ из поля KBK из справочника D_NSI_FAIP</w:t>
            </w:r>
          </w:p>
          <w:p w:rsidR="00ED710A" w:rsidRPr="00EF3D23" w:rsidRDefault="00ED710A" w:rsidP="00F13F95">
            <w:pPr>
              <w:pStyle w:val="affff2"/>
              <w:ind w:firstLine="0"/>
              <w:rPr>
                <w:sz w:val="24"/>
              </w:rPr>
            </w:pP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Код вида расходов</w:t>
            </w:r>
          </w:p>
        </w:tc>
        <w:tc>
          <w:tcPr>
            <w:tcW w:w="3228" w:type="pct"/>
            <w:shd w:val="clear" w:color="auto" w:fill="FFFFFF" w:themeFill="background1"/>
          </w:tcPr>
          <w:p w:rsidR="00ED710A" w:rsidRPr="00EF3D23" w:rsidRDefault="00ED710A" w:rsidP="00F13F95">
            <w:pPr>
              <w:pStyle w:val="affff2"/>
              <w:ind w:firstLine="0"/>
              <w:rPr>
                <w:sz w:val="24"/>
              </w:rPr>
            </w:pPr>
            <w:r w:rsidRPr="00EF3D23">
              <w:rPr>
                <w:sz w:val="24"/>
              </w:rPr>
              <w:t>Поле NAME из справочника D_KSPL_KCSR. Сопоставляем по коду программной (непрограммной) статьи + направление расходов (поле CODE справочника D_KSPL_KCSR).</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 ВР</w:t>
            </w:r>
          </w:p>
        </w:tc>
        <w:tc>
          <w:tcPr>
            <w:tcW w:w="3228" w:type="pct"/>
            <w:shd w:val="clear" w:color="auto" w:fill="FFFFFF" w:themeFill="background1"/>
          </w:tcPr>
          <w:p w:rsidR="00ED710A" w:rsidRPr="00EF3D23" w:rsidRDefault="00ED710A" w:rsidP="00F13F95">
            <w:pPr>
              <w:ind w:firstLine="0"/>
              <w:rPr>
                <w:color w:val="auto"/>
                <w:szCs w:val="24"/>
              </w:rPr>
            </w:pPr>
            <w:r w:rsidRPr="00EF3D23">
              <w:rPr>
                <w:color w:val="auto"/>
                <w:szCs w:val="24"/>
              </w:rPr>
              <w:t>18-20 символ из поля KBK из справочника D_NSI_FAIP</w:t>
            </w:r>
          </w:p>
          <w:p w:rsidR="00ED710A" w:rsidRPr="00EF3D23" w:rsidRDefault="00ED710A" w:rsidP="00F13F95">
            <w:pPr>
              <w:ind w:firstLine="0"/>
              <w:rPr>
                <w:color w:val="auto"/>
                <w:szCs w:val="24"/>
              </w:rPr>
            </w:pPr>
          </w:p>
        </w:tc>
      </w:tr>
      <w:tr w:rsidR="00ED710A" w:rsidRPr="00ED710A" w:rsidTr="00ED710A">
        <w:trPr>
          <w:cantSplit/>
        </w:trPr>
        <w:tc>
          <w:tcPr>
            <w:tcW w:w="5000" w:type="pct"/>
            <w:gridSpan w:val="2"/>
            <w:shd w:val="clear" w:color="auto" w:fill="FFFFFF" w:themeFill="background1"/>
          </w:tcPr>
          <w:p w:rsidR="00ED710A" w:rsidRPr="00ED710A" w:rsidRDefault="00ED710A" w:rsidP="005C6E50">
            <w:pPr>
              <w:pStyle w:val="afff6"/>
              <w:numPr>
                <w:ilvl w:val="0"/>
                <w:numId w:val="90"/>
              </w:numPr>
              <w:contextualSpacing/>
              <w:rPr>
                <w:b/>
                <w:color w:val="auto"/>
                <w:sz w:val="24"/>
                <w:szCs w:val="24"/>
              </w:rPr>
            </w:pPr>
            <w:r w:rsidRPr="00ED710A">
              <w:rPr>
                <w:b/>
                <w:color w:val="auto"/>
                <w:sz w:val="24"/>
                <w:szCs w:val="24"/>
              </w:rPr>
              <w:t>Получатели субсидий (регион)</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Наименование</w:t>
            </w:r>
          </w:p>
        </w:tc>
        <w:tc>
          <w:tcPr>
            <w:tcW w:w="3228" w:type="pct"/>
            <w:shd w:val="clear" w:color="auto" w:fill="FFFFFF" w:themeFill="background1"/>
          </w:tcPr>
          <w:p w:rsidR="00ED710A" w:rsidRPr="00EF3D23" w:rsidRDefault="00ED710A" w:rsidP="00F13F95">
            <w:pPr>
              <w:pStyle w:val="affff2"/>
              <w:ind w:firstLine="0"/>
              <w:rPr>
                <w:sz w:val="24"/>
                <w:lang w:val="en-US"/>
              </w:rPr>
            </w:pPr>
            <w:r w:rsidRPr="00EF3D23">
              <w:rPr>
                <w:sz w:val="24"/>
              </w:rPr>
              <w:t>Поле</w:t>
            </w:r>
            <w:r w:rsidRPr="00EF3D23">
              <w:rPr>
                <w:sz w:val="24"/>
                <w:lang w:val="en-US" w:eastAsia="en-US"/>
              </w:rPr>
              <w:t xml:space="preserve"> SUBJECTNAME </w:t>
            </w:r>
            <w:r w:rsidRPr="00EF3D23">
              <w:rPr>
                <w:sz w:val="24"/>
                <w:lang w:eastAsia="en-US"/>
              </w:rPr>
              <w:t>из</w:t>
            </w:r>
            <w:r w:rsidRPr="00EF3D23">
              <w:rPr>
                <w:sz w:val="24"/>
                <w:lang w:val="en-US" w:eastAsia="en-US"/>
              </w:rPr>
              <w:t xml:space="preserve"> </w:t>
            </w:r>
            <w:r w:rsidRPr="00EF3D23">
              <w:rPr>
                <w:sz w:val="24"/>
                <w:lang w:eastAsia="en-US"/>
              </w:rPr>
              <w:t>таблицы</w:t>
            </w:r>
            <w:r w:rsidRPr="00EF3D23">
              <w:rPr>
                <w:sz w:val="24"/>
                <w:lang w:val="en-US" w:eastAsia="en-US"/>
              </w:rPr>
              <w:t xml:space="preserve"> </w:t>
            </w:r>
            <w:r w:rsidRPr="00EF3D23">
              <w:rPr>
                <w:sz w:val="24"/>
                <w:lang w:val="en-US"/>
              </w:rPr>
              <w:t>T_PROJECT_OBJECTS_TEMP</w:t>
            </w:r>
          </w:p>
          <w:p w:rsidR="00ED710A" w:rsidRPr="00EF3D23" w:rsidRDefault="00ED710A" w:rsidP="00F13F95">
            <w:pPr>
              <w:pStyle w:val="affff2"/>
              <w:ind w:firstLine="0"/>
              <w:rPr>
                <w:sz w:val="24"/>
                <w:lang w:val="en-US" w:eastAsia="en-US"/>
              </w:rPr>
            </w:pPr>
            <w:r w:rsidRPr="00EF3D23">
              <w:rPr>
                <w:sz w:val="24"/>
              </w:rPr>
              <w:t>Сопоставляем</w:t>
            </w:r>
            <w:r w:rsidRPr="00EF3D23">
              <w:rPr>
                <w:sz w:val="24"/>
                <w:lang w:val="en-US"/>
              </w:rPr>
              <w:t xml:space="preserve"> </w:t>
            </w:r>
            <w:r w:rsidRPr="00EF3D23">
              <w:rPr>
                <w:sz w:val="24"/>
              </w:rPr>
              <w:t>поле</w:t>
            </w:r>
            <w:r w:rsidRPr="00EF3D23">
              <w:rPr>
                <w:sz w:val="24"/>
                <w:lang w:val="en-US"/>
              </w:rPr>
              <w:t xml:space="preserve"> FAIPCODE </w:t>
            </w:r>
            <w:r w:rsidRPr="00EF3D23">
              <w:rPr>
                <w:sz w:val="24"/>
              </w:rPr>
              <w:t>с</w:t>
            </w:r>
            <w:r w:rsidRPr="00EF3D23">
              <w:rPr>
                <w:sz w:val="24"/>
                <w:lang w:val="en-US"/>
              </w:rPr>
              <w:t xml:space="preserve"> </w:t>
            </w:r>
            <w:r w:rsidRPr="00EF3D23">
              <w:rPr>
                <w:sz w:val="24"/>
              </w:rPr>
              <w:t>полем</w:t>
            </w:r>
            <w:r w:rsidRPr="00EF3D23">
              <w:rPr>
                <w:sz w:val="24"/>
                <w:lang w:val="en-US"/>
              </w:rPr>
              <w:t xml:space="preserve"> CAPCONSTRCODE </w:t>
            </w:r>
            <w:r w:rsidRPr="00EF3D23">
              <w:rPr>
                <w:sz w:val="24"/>
              </w:rPr>
              <w:t>таблицы</w:t>
            </w:r>
            <w:r w:rsidRPr="00EF3D23">
              <w:rPr>
                <w:sz w:val="24"/>
                <w:lang w:val="en-US"/>
              </w:rPr>
              <w:t xml:space="preserve"> T_PROJECT_OBJECTS_TEMP</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ОКТМО</w:t>
            </w:r>
          </w:p>
        </w:tc>
        <w:tc>
          <w:tcPr>
            <w:tcW w:w="3228" w:type="pct"/>
            <w:shd w:val="clear" w:color="auto" w:fill="FFFFFF" w:themeFill="background1"/>
          </w:tcPr>
          <w:p w:rsidR="00ED710A" w:rsidRPr="00EF3D23" w:rsidRDefault="00ED710A" w:rsidP="00F13F95">
            <w:pPr>
              <w:pStyle w:val="affff2"/>
              <w:ind w:firstLine="0"/>
              <w:rPr>
                <w:sz w:val="24"/>
                <w:lang w:val="en-US"/>
              </w:rPr>
            </w:pPr>
            <w:r w:rsidRPr="00EF3D23">
              <w:rPr>
                <w:sz w:val="24"/>
                <w:lang w:eastAsia="en-US"/>
              </w:rPr>
              <w:t>Поле</w:t>
            </w:r>
            <w:r w:rsidRPr="00EF3D23">
              <w:rPr>
                <w:sz w:val="24"/>
                <w:lang w:val="en-US" w:eastAsia="en-US"/>
              </w:rPr>
              <w:t xml:space="preserve"> OKTMO </w:t>
            </w:r>
            <w:r w:rsidRPr="00EF3D23">
              <w:rPr>
                <w:sz w:val="24"/>
                <w:lang w:eastAsia="en-US"/>
              </w:rPr>
              <w:t>из</w:t>
            </w:r>
            <w:r w:rsidRPr="00EF3D23">
              <w:rPr>
                <w:sz w:val="24"/>
                <w:lang w:val="en-US" w:eastAsia="en-US"/>
              </w:rPr>
              <w:t xml:space="preserve"> </w:t>
            </w:r>
            <w:r w:rsidRPr="00EF3D23">
              <w:rPr>
                <w:sz w:val="24"/>
                <w:lang w:eastAsia="en-US"/>
              </w:rPr>
              <w:t>таблицы</w:t>
            </w:r>
            <w:r w:rsidRPr="00EF3D23">
              <w:rPr>
                <w:sz w:val="24"/>
                <w:lang w:val="en-US" w:eastAsia="en-US"/>
              </w:rPr>
              <w:t xml:space="preserve"> </w:t>
            </w:r>
            <w:r w:rsidRPr="00EF3D23">
              <w:rPr>
                <w:sz w:val="24"/>
                <w:lang w:val="en-US"/>
              </w:rPr>
              <w:t>T_PROJECT_OBJECTS_TEMP</w:t>
            </w:r>
          </w:p>
          <w:p w:rsidR="00ED710A" w:rsidRPr="00EF3D23" w:rsidRDefault="00ED710A" w:rsidP="00F13F95">
            <w:pPr>
              <w:pStyle w:val="affff2"/>
              <w:ind w:firstLine="0"/>
              <w:rPr>
                <w:sz w:val="24"/>
                <w:lang w:val="en-US"/>
              </w:rPr>
            </w:pPr>
            <w:r w:rsidRPr="00EF3D23">
              <w:rPr>
                <w:sz w:val="24"/>
              </w:rPr>
              <w:t>Сопоставляем</w:t>
            </w:r>
            <w:r w:rsidRPr="00EF3D23">
              <w:rPr>
                <w:sz w:val="24"/>
                <w:lang w:val="en-US"/>
              </w:rPr>
              <w:t xml:space="preserve"> </w:t>
            </w:r>
            <w:r w:rsidRPr="00EF3D23">
              <w:rPr>
                <w:sz w:val="24"/>
              </w:rPr>
              <w:t>поле</w:t>
            </w:r>
            <w:r w:rsidRPr="00EF3D23">
              <w:rPr>
                <w:sz w:val="24"/>
                <w:lang w:val="en-US"/>
              </w:rPr>
              <w:t xml:space="preserve"> FAIPCODE </w:t>
            </w:r>
            <w:r w:rsidRPr="00EF3D23">
              <w:rPr>
                <w:sz w:val="24"/>
              </w:rPr>
              <w:t>с</w:t>
            </w:r>
            <w:r w:rsidRPr="00EF3D23">
              <w:rPr>
                <w:sz w:val="24"/>
                <w:lang w:val="en-US"/>
              </w:rPr>
              <w:t xml:space="preserve"> </w:t>
            </w:r>
            <w:r w:rsidRPr="00EF3D23">
              <w:rPr>
                <w:sz w:val="24"/>
              </w:rPr>
              <w:t>полем</w:t>
            </w:r>
            <w:r w:rsidRPr="00EF3D23">
              <w:rPr>
                <w:sz w:val="24"/>
                <w:lang w:val="en-US"/>
              </w:rPr>
              <w:t xml:space="preserve"> CAPCONSTRCODE </w:t>
            </w:r>
            <w:r w:rsidRPr="00EF3D23">
              <w:rPr>
                <w:sz w:val="24"/>
              </w:rPr>
              <w:t>таблицы</w:t>
            </w:r>
            <w:r w:rsidRPr="00EF3D23">
              <w:rPr>
                <w:sz w:val="24"/>
                <w:lang w:val="en-US"/>
              </w:rPr>
              <w:t xml:space="preserve"> T_PROJECT_OBJECTS_TEMP </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Стоимость объекта капитального строительства</w:t>
            </w:r>
          </w:p>
        </w:tc>
        <w:tc>
          <w:tcPr>
            <w:tcW w:w="3228" w:type="pct"/>
            <w:shd w:val="clear" w:color="auto" w:fill="FFFFFF" w:themeFill="background1"/>
          </w:tcPr>
          <w:p w:rsidR="00ED710A" w:rsidRPr="00EF3D23" w:rsidRDefault="00ED710A" w:rsidP="00F13F95">
            <w:pPr>
              <w:ind w:firstLine="0"/>
              <w:rPr>
                <w:szCs w:val="24"/>
                <w:lang w:val="en-US"/>
              </w:rPr>
            </w:pPr>
            <w:r w:rsidRPr="00EF3D23">
              <w:rPr>
                <w:szCs w:val="24"/>
              </w:rPr>
              <w:t>Поле</w:t>
            </w:r>
            <w:r w:rsidRPr="00EF3D23">
              <w:rPr>
                <w:szCs w:val="24"/>
                <w:lang w:val="en-US"/>
              </w:rPr>
              <w:t xml:space="preserve"> COST  </w:t>
            </w:r>
            <w:r w:rsidRPr="00EF3D23">
              <w:rPr>
                <w:szCs w:val="24"/>
              </w:rPr>
              <w:t>справочника</w:t>
            </w:r>
            <w:r w:rsidRPr="00EF3D23">
              <w:rPr>
                <w:szCs w:val="24"/>
                <w:lang w:val="en-US"/>
              </w:rPr>
              <w:t xml:space="preserve"> D_RS_CAPITALCONSTRUCT.</w:t>
            </w:r>
          </w:p>
          <w:p w:rsidR="00ED710A" w:rsidRPr="00EF3D23" w:rsidRDefault="00ED710A" w:rsidP="00F13F95">
            <w:pPr>
              <w:pStyle w:val="affff2"/>
              <w:ind w:firstLine="0"/>
              <w:rPr>
                <w:rFonts w:eastAsiaTheme="minorHAnsi"/>
                <w:sz w:val="24"/>
                <w:lang w:val="en-US" w:eastAsia="en-US"/>
              </w:rPr>
            </w:pPr>
            <w:r w:rsidRPr="00EF3D23">
              <w:rPr>
                <w:sz w:val="24"/>
              </w:rPr>
              <w:t>Сопоставляем</w:t>
            </w:r>
            <w:r w:rsidRPr="00EF3D23">
              <w:rPr>
                <w:sz w:val="24"/>
                <w:lang w:val="en-US"/>
              </w:rPr>
              <w:t xml:space="preserve"> </w:t>
            </w:r>
            <w:r w:rsidRPr="00EF3D23">
              <w:rPr>
                <w:sz w:val="24"/>
              </w:rPr>
              <w:t>поле</w:t>
            </w:r>
            <w:r w:rsidRPr="00EF3D23">
              <w:rPr>
                <w:sz w:val="24"/>
                <w:lang w:val="en-US"/>
              </w:rPr>
              <w:t xml:space="preserve"> FAIPCODE </w:t>
            </w:r>
            <w:r w:rsidRPr="00EF3D23">
              <w:rPr>
                <w:sz w:val="24"/>
              </w:rPr>
              <w:t>с</w:t>
            </w:r>
            <w:r w:rsidRPr="00EF3D23">
              <w:rPr>
                <w:sz w:val="24"/>
                <w:lang w:val="en-US"/>
              </w:rPr>
              <w:t xml:space="preserve"> </w:t>
            </w:r>
            <w:r w:rsidRPr="00EF3D23">
              <w:rPr>
                <w:sz w:val="24"/>
              </w:rPr>
              <w:t>полем</w:t>
            </w:r>
            <w:r w:rsidRPr="00EF3D23">
              <w:rPr>
                <w:sz w:val="24"/>
                <w:lang w:val="en-US"/>
              </w:rPr>
              <w:t xml:space="preserve"> CAPCONSTRCODE </w:t>
            </w:r>
            <w:r w:rsidRPr="00EF3D23">
              <w:rPr>
                <w:sz w:val="24"/>
              </w:rPr>
              <w:t>таблицы</w:t>
            </w:r>
            <w:r w:rsidRPr="00EF3D23">
              <w:rPr>
                <w:sz w:val="24"/>
                <w:lang w:val="en-US"/>
              </w:rPr>
              <w:t xml:space="preserve"> D_RS_CAPITALCONSTRUCT.</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Бюджетные обязательства на текущий год</w:t>
            </w:r>
          </w:p>
        </w:tc>
        <w:tc>
          <w:tcPr>
            <w:tcW w:w="3228" w:type="pct"/>
            <w:shd w:val="clear" w:color="auto" w:fill="FFFFFF" w:themeFill="background1"/>
          </w:tcPr>
          <w:p w:rsidR="00ED710A" w:rsidRPr="00EF3D23" w:rsidRDefault="00ED710A" w:rsidP="00F13F95">
            <w:pPr>
              <w:pStyle w:val="affff2"/>
              <w:ind w:firstLine="0"/>
              <w:rPr>
                <w:sz w:val="24"/>
                <w:lang w:val="en-US"/>
              </w:rPr>
            </w:pPr>
            <w:r w:rsidRPr="00EF3D23">
              <w:rPr>
                <w:sz w:val="24"/>
              </w:rPr>
              <w:t>Поле</w:t>
            </w:r>
            <w:r w:rsidRPr="00EF3D23">
              <w:rPr>
                <w:sz w:val="24"/>
                <w:lang w:val="en-US"/>
              </w:rPr>
              <w:t xml:space="preserve"> AMOUNTYEAR </w:t>
            </w:r>
            <w:r w:rsidRPr="00EF3D23">
              <w:rPr>
                <w:sz w:val="24"/>
              </w:rPr>
              <w:t>таблицы</w:t>
            </w:r>
            <w:r w:rsidRPr="00EF3D23">
              <w:rPr>
                <w:sz w:val="24"/>
                <w:lang w:val="en-US"/>
              </w:rPr>
              <w:t xml:space="preserve"> F_FAIP_BO</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Исполнение бюджетных обязательств</w:t>
            </w:r>
          </w:p>
        </w:tc>
        <w:tc>
          <w:tcPr>
            <w:tcW w:w="3228" w:type="pct"/>
            <w:shd w:val="clear" w:color="auto" w:fill="FFFFFF" w:themeFill="background1"/>
          </w:tcPr>
          <w:p w:rsidR="00ED710A" w:rsidRPr="00EF3D23" w:rsidRDefault="00ED710A" w:rsidP="00F13F95">
            <w:pPr>
              <w:pStyle w:val="affff2"/>
              <w:ind w:firstLine="0"/>
              <w:rPr>
                <w:rFonts w:eastAsiaTheme="minorHAnsi"/>
                <w:sz w:val="24"/>
                <w:lang w:val="en-US" w:eastAsia="en-US"/>
              </w:rPr>
            </w:pPr>
            <w:r w:rsidRPr="00EF3D23">
              <w:rPr>
                <w:sz w:val="24"/>
              </w:rPr>
              <w:t>Поле</w:t>
            </w:r>
            <w:r w:rsidRPr="00EF3D23">
              <w:rPr>
                <w:sz w:val="24"/>
                <w:lang w:val="en-US"/>
              </w:rPr>
              <w:t xml:space="preserve"> SUMMAPAID_BO </w:t>
            </w:r>
            <w:r w:rsidRPr="00EF3D23">
              <w:rPr>
                <w:sz w:val="24"/>
              </w:rPr>
              <w:t>таблицы</w:t>
            </w:r>
            <w:r w:rsidRPr="00EF3D23">
              <w:rPr>
                <w:sz w:val="24"/>
                <w:lang w:val="en-US"/>
              </w:rPr>
              <w:t xml:space="preserve"> F_FAIP_BO</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Сумма по соглашениям на  текущий год</w:t>
            </w:r>
          </w:p>
        </w:tc>
        <w:tc>
          <w:tcPr>
            <w:tcW w:w="3228" w:type="pct"/>
            <w:shd w:val="clear" w:color="auto" w:fill="FFFFFF" w:themeFill="background1"/>
          </w:tcPr>
          <w:p w:rsidR="00ED710A" w:rsidRPr="00EF3D23" w:rsidRDefault="00ED710A" w:rsidP="00F13F95">
            <w:pPr>
              <w:pStyle w:val="affff2"/>
              <w:ind w:firstLine="0"/>
              <w:rPr>
                <w:sz w:val="24"/>
                <w:lang w:val="en-US" w:eastAsia="en-US"/>
              </w:rPr>
            </w:pPr>
            <w:r w:rsidRPr="00EF3D23">
              <w:rPr>
                <w:sz w:val="24"/>
                <w:lang w:eastAsia="en-US"/>
              </w:rPr>
              <w:t>Поле</w:t>
            </w:r>
            <w:r w:rsidRPr="00EF3D23">
              <w:rPr>
                <w:sz w:val="24"/>
                <w:lang w:val="en-US" w:eastAsia="en-US"/>
              </w:rPr>
              <w:t xml:space="preserve"> SUMSUBCUR </w:t>
            </w:r>
            <w:r w:rsidRPr="00EF3D23">
              <w:rPr>
                <w:sz w:val="24"/>
                <w:lang w:eastAsia="en-US"/>
              </w:rPr>
              <w:t>таблицы</w:t>
            </w:r>
            <w:r w:rsidRPr="00EF3D23">
              <w:rPr>
                <w:sz w:val="24"/>
                <w:lang w:val="en-US" w:eastAsia="en-US"/>
              </w:rPr>
              <w:t xml:space="preserve"> F_RS_PLANTRANSFERSSUBT.</w:t>
            </w:r>
          </w:p>
          <w:p w:rsidR="00ED710A" w:rsidRPr="00EF3D23" w:rsidRDefault="00ED710A" w:rsidP="00F13F95">
            <w:pPr>
              <w:pStyle w:val="affff2"/>
              <w:ind w:firstLine="0"/>
              <w:rPr>
                <w:sz w:val="24"/>
                <w:lang w:val="en-US" w:eastAsia="en-US"/>
              </w:rPr>
            </w:pPr>
            <w:r w:rsidRPr="00EF3D23">
              <w:rPr>
                <w:sz w:val="24"/>
                <w:lang w:eastAsia="en-US"/>
              </w:rPr>
              <w:t>Сопоставляем</w:t>
            </w:r>
            <w:r w:rsidRPr="00EF3D23">
              <w:rPr>
                <w:sz w:val="24"/>
                <w:lang w:val="en-US" w:eastAsia="en-US"/>
              </w:rPr>
              <w:t xml:space="preserve"> </w:t>
            </w:r>
            <w:r w:rsidRPr="00EF3D23">
              <w:rPr>
                <w:sz w:val="24"/>
                <w:lang w:eastAsia="en-US"/>
              </w:rPr>
              <w:t>поле</w:t>
            </w:r>
            <w:r w:rsidRPr="00EF3D23">
              <w:rPr>
                <w:sz w:val="24"/>
                <w:lang w:val="en-US" w:eastAsia="en-US"/>
              </w:rPr>
              <w:t xml:space="preserve"> FAIPCODE </w:t>
            </w:r>
            <w:r w:rsidRPr="00EF3D23">
              <w:rPr>
                <w:sz w:val="24"/>
                <w:lang w:eastAsia="en-US"/>
              </w:rPr>
              <w:t>с</w:t>
            </w:r>
            <w:r w:rsidRPr="00EF3D23">
              <w:rPr>
                <w:sz w:val="24"/>
                <w:lang w:val="en-US" w:eastAsia="en-US"/>
              </w:rPr>
              <w:t xml:space="preserve"> </w:t>
            </w:r>
            <w:r w:rsidRPr="00EF3D23">
              <w:rPr>
                <w:sz w:val="24"/>
                <w:lang w:eastAsia="en-US"/>
              </w:rPr>
              <w:t>полем</w:t>
            </w:r>
            <w:r w:rsidRPr="00EF3D23">
              <w:rPr>
                <w:sz w:val="24"/>
                <w:lang w:val="en-US" w:eastAsia="en-US"/>
              </w:rPr>
              <w:t xml:space="preserve"> CAPCONSTRCODE </w:t>
            </w:r>
            <w:r w:rsidRPr="00EF3D23">
              <w:rPr>
                <w:sz w:val="24"/>
                <w:lang w:eastAsia="en-US"/>
              </w:rPr>
              <w:t>в</w:t>
            </w:r>
            <w:r w:rsidRPr="00EF3D23">
              <w:rPr>
                <w:sz w:val="24"/>
                <w:lang w:val="en-US" w:eastAsia="en-US"/>
              </w:rPr>
              <w:t xml:space="preserve"> </w:t>
            </w:r>
            <w:r w:rsidRPr="00EF3D23">
              <w:rPr>
                <w:sz w:val="24"/>
                <w:lang w:eastAsia="en-US"/>
              </w:rPr>
              <w:t>таблице</w:t>
            </w:r>
            <w:r w:rsidRPr="00EF3D23">
              <w:rPr>
                <w:sz w:val="24"/>
                <w:lang w:val="en-US" w:eastAsia="en-US"/>
              </w:rPr>
              <w:t xml:space="preserve"> F_RS_PLANTRANSFERSSUBT.</w:t>
            </w:r>
          </w:p>
          <w:p w:rsidR="00ED710A" w:rsidRPr="00EF3D23" w:rsidRDefault="00ED710A" w:rsidP="00F13F95">
            <w:pPr>
              <w:pStyle w:val="affff2"/>
              <w:rPr>
                <w:sz w:val="24"/>
                <w:lang w:val="en-US" w:eastAsia="en-US"/>
              </w:rPr>
            </w:pPr>
          </w:p>
          <w:p w:rsidR="00ED710A" w:rsidRPr="00EF3D23" w:rsidRDefault="00ED710A" w:rsidP="00F13F95">
            <w:pPr>
              <w:pStyle w:val="affff2"/>
              <w:ind w:firstLine="0"/>
              <w:rPr>
                <w:sz w:val="24"/>
              </w:rPr>
            </w:pPr>
            <w:r w:rsidRPr="00EF3D23">
              <w:rPr>
                <w:sz w:val="24"/>
                <w:lang w:eastAsia="en-US"/>
              </w:rPr>
              <w:t xml:space="preserve">Выводим данные на текущий год, то есть если в поле </w:t>
            </w:r>
            <w:r w:rsidRPr="00EF3D23">
              <w:rPr>
                <w:sz w:val="24"/>
                <w:lang w:val="en-US" w:eastAsia="en-US"/>
              </w:rPr>
              <w:t>REPORTDATE</w:t>
            </w:r>
            <w:r w:rsidRPr="00EF3D23">
              <w:rPr>
                <w:sz w:val="24"/>
                <w:lang w:eastAsia="en-US"/>
              </w:rPr>
              <w:t xml:space="preserve"> год = 2021, то смотрим запись, где поле  </w:t>
            </w:r>
            <w:r w:rsidRPr="00EF3D23">
              <w:rPr>
                <w:sz w:val="24"/>
                <w:lang w:val="en-US" w:eastAsia="en-US"/>
              </w:rPr>
              <w:t>YEARPAY</w:t>
            </w:r>
            <w:r w:rsidRPr="00EF3D23">
              <w:rPr>
                <w:sz w:val="24"/>
                <w:lang w:eastAsia="en-US"/>
              </w:rPr>
              <w:t xml:space="preserve"> таблицы </w:t>
            </w:r>
            <w:r w:rsidRPr="00EF3D23">
              <w:rPr>
                <w:sz w:val="24"/>
                <w:lang w:val="en-US" w:eastAsia="en-US"/>
              </w:rPr>
              <w:t>F</w:t>
            </w:r>
            <w:r w:rsidRPr="00EF3D23">
              <w:rPr>
                <w:sz w:val="24"/>
                <w:lang w:eastAsia="en-US"/>
              </w:rPr>
              <w:t>_</w:t>
            </w:r>
            <w:r w:rsidRPr="00EF3D23">
              <w:rPr>
                <w:sz w:val="24"/>
                <w:lang w:val="en-US" w:eastAsia="en-US"/>
              </w:rPr>
              <w:t>RS</w:t>
            </w:r>
            <w:r w:rsidRPr="00EF3D23">
              <w:rPr>
                <w:sz w:val="24"/>
                <w:lang w:eastAsia="en-US"/>
              </w:rPr>
              <w:t>_</w:t>
            </w:r>
            <w:r w:rsidRPr="00EF3D23">
              <w:rPr>
                <w:sz w:val="24"/>
                <w:lang w:val="en-US" w:eastAsia="en-US"/>
              </w:rPr>
              <w:t>PLANTRANSFERSSUBT</w:t>
            </w:r>
            <w:r w:rsidRPr="00EF3D23">
              <w:rPr>
                <w:sz w:val="24"/>
                <w:lang w:eastAsia="en-US"/>
              </w:rPr>
              <w:t xml:space="preserve">  = 2021</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Количество соглашений</w:t>
            </w:r>
          </w:p>
        </w:tc>
        <w:tc>
          <w:tcPr>
            <w:tcW w:w="3228" w:type="pct"/>
            <w:shd w:val="clear" w:color="auto" w:fill="FFFFFF" w:themeFill="background1"/>
          </w:tcPr>
          <w:p w:rsidR="00ED710A" w:rsidRPr="00EF3D23" w:rsidRDefault="00ED710A" w:rsidP="00F13F95">
            <w:pPr>
              <w:ind w:firstLine="0"/>
              <w:rPr>
                <w:szCs w:val="24"/>
              </w:rPr>
            </w:pPr>
            <w:r w:rsidRPr="00EF3D23">
              <w:rPr>
                <w:szCs w:val="24"/>
              </w:rPr>
              <w:t>Для каждого ОКС считаем количество записей в таблице D_RS_CAPITALCONSTRUCT с уникальным полем GRANTLIST_ID.</w:t>
            </w:r>
          </w:p>
          <w:p w:rsidR="00ED710A" w:rsidRPr="00EF3D23" w:rsidRDefault="00ED710A" w:rsidP="00F13F95">
            <w:pPr>
              <w:ind w:firstLine="0"/>
              <w:rPr>
                <w:szCs w:val="24"/>
              </w:rPr>
            </w:pPr>
            <w:r w:rsidRPr="00EF3D23">
              <w:rPr>
                <w:szCs w:val="24"/>
              </w:rPr>
              <w:t xml:space="preserve">С таблицей </w:t>
            </w:r>
            <w:r w:rsidRPr="00EF3D23">
              <w:rPr>
                <w:szCs w:val="24"/>
                <w:lang w:val="en-US"/>
              </w:rPr>
              <w:t>D</w:t>
            </w:r>
            <w:r w:rsidRPr="00EF3D23">
              <w:rPr>
                <w:szCs w:val="24"/>
              </w:rPr>
              <w:t>_</w:t>
            </w:r>
            <w:r w:rsidRPr="00EF3D23">
              <w:rPr>
                <w:szCs w:val="24"/>
                <w:lang w:val="en-US"/>
              </w:rPr>
              <w:t>RS</w:t>
            </w:r>
            <w:r w:rsidRPr="00EF3D23">
              <w:rPr>
                <w:szCs w:val="24"/>
              </w:rPr>
              <w:t>_</w:t>
            </w:r>
            <w:r w:rsidRPr="00EF3D23">
              <w:rPr>
                <w:szCs w:val="24"/>
                <w:lang w:val="en-US"/>
              </w:rPr>
              <w:t>CAPITALCONSTRUCT</w:t>
            </w:r>
            <w:r w:rsidRPr="00EF3D23">
              <w:rPr>
                <w:szCs w:val="24"/>
              </w:rPr>
              <w:t xml:space="preserve"> сопоставляем поле </w:t>
            </w:r>
            <w:r w:rsidRPr="00EF3D23">
              <w:rPr>
                <w:szCs w:val="24"/>
                <w:lang w:val="en-US"/>
              </w:rPr>
              <w:t>FAIPCODE</w:t>
            </w:r>
            <w:r w:rsidRPr="00EF3D23">
              <w:rPr>
                <w:szCs w:val="24"/>
              </w:rPr>
              <w:t xml:space="preserve"> таблицы </w:t>
            </w:r>
            <w:r w:rsidRPr="00EF3D23">
              <w:rPr>
                <w:szCs w:val="24"/>
                <w:lang w:val="en-US"/>
              </w:rPr>
              <w:t>F</w:t>
            </w:r>
            <w:r w:rsidRPr="00EF3D23">
              <w:rPr>
                <w:szCs w:val="24"/>
              </w:rPr>
              <w:t>_</w:t>
            </w:r>
            <w:r w:rsidRPr="00EF3D23">
              <w:rPr>
                <w:szCs w:val="24"/>
                <w:lang w:val="en-US"/>
              </w:rPr>
              <w:t>FAIP</w:t>
            </w:r>
            <w:r w:rsidRPr="00EF3D23">
              <w:rPr>
                <w:szCs w:val="24"/>
              </w:rPr>
              <w:t>_</w:t>
            </w:r>
            <w:r w:rsidRPr="00EF3D23">
              <w:rPr>
                <w:szCs w:val="24"/>
                <w:lang w:val="en-US"/>
              </w:rPr>
              <w:t>REGION</w:t>
            </w:r>
            <w:r w:rsidRPr="00EF3D23">
              <w:rPr>
                <w:szCs w:val="24"/>
              </w:rPr>
              <w:t>_</w:t>
            </w:r>
            <w:r w:rsidRPr="00EF3D23">
              <w:rPr>
                <w:szCs w:val="24"/>
                <w:lang w:val="en-US"/>
              </w:rPr>
              <w:t>OKS</w:t>
            </w:r>
            <w:r w:rsidRPr="00EF3D23">
              <w:rPr>
                <w:szCs w:val="24"/>
              </w:rPr>
              <w:t xml:space="preserve"> с полем </w:t>
            </w:r>
            <w:r w:rsidRPr="00EF3D23">
              <w:rPr>
                <w:szCs w:val="24"/>
                <w:lang w:val="en-US"/>
              </w:rPr>
              <w:t>CAPCONSTRCODE</w:t>
            </w:r>
            <w:r w:rsidRPr="00EF3D23">
              <w:rPr>
                <w:szCs w:val="24"/>
              </w:rPr>
              <w:t xml:space="preserve"> таблицы </w:t>
            </w:r>
            <w:r w:rsidRPr="00EF3D23">
              <w:rPr>
                <w:szCs w:val="24"/>
                <w:lang w:val="en-US"/>
              </w:rPr>
              <w:t>D</w:t>
            </w:r>
            <w:r w:rsidRPr="00EF3D23">
              <w:rPr>
                <w:szCs w:val="24"/>
              </w:rPr>
              <w:t>_</w:t>
            </w:r>
            <w:r w:rsidRPr="00EF3D23">
              <w:rPr>
                <w:szCs w:val="24"/>
                <w:lang w:val="en-US"/>
              </w:rPr>
              <w:t>RS</w:t>
            </w:r>
            <w:r w:rsidRPr="00EF3D23">
              <w:rPr>
                <w:szCs w:val="24"/>
              </w:rPr>
              <w:t>_</w:t>
            </w:r>
            <w:r w:rsidRPr="00EF3D23">
              <w:rPr>
                <w:szCs w:val="24"/>
                <w:lang w:val="en-US"/>
              </w:rPr>
              <w:t>CAPITALCONSTRUCT</w:t>
            </w:r>
            <w:r w:rsidRPr="00EF3D23">
              <w:rPr>
                <w:szCs w:val="24"/>
              </w:rPr>
              <w:t>.</w:t>
            </w:r>
          </w:p>
          <w:p w:rsidR="00ED710A" w:rsidRPr="00EF3D23" w:rsidRDefault="00ED710A" w:rsidP="00F13F95">
            <w:pPr>
              <w:rPr>
                <w:szCs w:val="24"/>
              </w:rPr>
            </w:pPr>
          </w:p>
          <w:p w:rsidR="00ED710A" w:rsidRPr="00EF3D23" w:rsidRDefault="00ED710A" w:rsidP="00F13F95">
            <w:pPr>
              <w:ind w:firstLine="0"/>
              <w:rPr>
                <w:szCs w:val="24"/>
              </w:rPr>
            </w:pPr>
            <w:r w:rsidRPr="00EF3D23">
              <w:rPr>
                <w:szCs w:val="24"/>
              </w:rPr>
              <w:t>Делаем переход из этого поля в отчет «Реестр соглашений».</w:t>
            </w:r>
          </w:p>
          <w:p w:rsidR="00ED710A" w:rsidRPr="00EF3D23" w:rsidRDefault="00ED710A" w:rsidP="00F13F95">
            <w:pPr>
              <w:ind w:firstLine="0"/>
              <w:rPr>
                <w:szCs w:val="24"/>
              </w:rPr>
            </w:pPr>
            <w:r w:rsidRPr="00EF3D23">
              <w:rPr>
                <w:szCs w:val="24"/>
              </w:rPr>
              <w:t xml:space="preserve">При переходе подставляем значение кода ОКС (поле </w:t>
            </w:r>
            <w:r w:rsidRPr="00EF3D23">
              <w:rPr>
                <w:szCs w:val="24"/>
                <w:lang w:val="en-US"/>
              </w:rPr>
              <w:t>FAIPCODE</w:t>
            </w:r>
            <w:r w:rsidRPr="00EF3D23">
              <w:rPr>
                <w:szCs w:val="24"/>
              </w:rPr>
              <w:t xml:space="preserve"> из таблицы </w:t>
            </w:r>
            <w:r w:rsidRPr="00EF3D23">
              <w:rPr>
                <w:szCs w:val="24"/>
                <w:lang w:val="en-US"/>
              </w:rPr>
              <w:t>F</w:t>
            </w:r>
            <w:r w:rsidRPr="00EF3D23">
              <w:rPr>
                <w:szCs w:val="24"/>
              </w:rPr>
              <w:t>_</w:t>
            </w:r>
            <w:r w:rsidRPr="00EF3D23">
              <w:rPr>
                <w:szCs w:val="24"/>
                <w:lang w:val="en-US"/>
              </w:rPr>
              <w:t>FAIP</w:t>
            </w:r>
            <w:r w:rsidRPr="00EF3D23">
              <w:rPr>
                <w:szCs w:val="24"/>
              </w:rPr>
              <w:t>_</w:t>
            </w:r>
            <w:r w:rsidRPr="00EF3D23">
              <w:rPr>
                <w:szCs w:val="24"/>
                <w:lang w:val="en-US"/>
              </w:rPr>
              <w:t>REGION</w:t>
            </w:r>
            <w:r w:rsidRPr="00EF3D23">
              <w:rPr>
                <w:szCs w:val="24"/>
              </w:rPr>
              <w:t>_</w:t>
            </w:r>
            <w:r w:rsidRPr="00EF3D23">
              <w:rPr>
                <w:szCs w:val="24"/>
                <w:lang w:val="en-US"/>
              </w:rPr>
              <w:t>OKS</w:t>
            </w:r>
            <w:r w:rsidRPr="00EF3D23">
              <w:rPr>
                <w:szCs w:val="24"/>
              </w:rPr>
              <w:t>) в фильтр «Код объекта капитального строительства».</w:t>
            </w:r>
          </w:p>
          <w:p w:rsidR="00ED710A" w:rsidRPr="00EF3D23" w:rsidRDefault="00ED710A" w:rsidP="00F13F95">
            <w:pPr>
              <w:ind w:firstLine="0"/>
              <w:rPr>
                <w:color w:val="auto"/>
                <w:szCs w:val="24"/>
              </w:rPr>
            </w:pPr>
            <w:r w:rsidRPr="00EF3D23">
              <w:rPr>
                <w:szCs w:val="24"/>
              </w:rPr>
              <w:t xml:space="preserve">Наименование фильтра для ссылки - </w:t>
            </w:r>
            <w:r w:rsidRPr="00EF3D23">
              <w:rPr>
                <w:spacing w:val="-2"/>
                <w:szCs w:val="24"/>
              </w:rPr>
              <w:t>construct_code</w:t>
            </w:r>
            <w:r w:rsidRPr="00EF3D23">
              <w:rPr>
                <w:szCs w:val="24"/>
              </w:rPr>
              <w:t>.</w:t>
            </w:r>
          </w:p>
        </w:tc>
      </w:tr>
      <w:tr w:rsidR="00ED710A" w:rsidRPr="00ED710A" w:rsidTr="00ED710A">
        <w:trPr>
          <w:cantSplit/>
        </w:trPr>
        <w:tc>
          <w:tcPr>
            <w:tcW w:w="5000" w:type="pct"/>
            <w:gridSpan w:val="2"/>
            <w:shd w:val="clear" w:color="auto" w:fill="FFFFFF" w:themeFill="background1"/>
          </w:tcPr>
          <w:p w:rsidR="00ED710A" w:rsidRPr="00ED710A" w:rsidRDefault="00ED710A" w:rsidP="005C6E50">
            <w:pPr>
              <w:pStyle w:val="afff6"/>
              <w:numPr>
                <w:ilvl w:val="0"/>
                <w:numId w:val="90"/>
              </w:numPr>
              <w:contextualSpacing/>
              <w:rPr>
                <w:b/>
                <w:color w:val="auto"/>
                <w:sz w:val="24"/>
                <w:szCs w:val="24"/>
              </w:rPr>
            </w:pPr>
            <w:r w:rsidRPr="00ED710A">
              <w:rPr>
                <w:b/>
                <w:color w:val="auto"/>
                <w:sz w:val="24"/>
                <w:szCs w:val="24"/>
              </w:rPr>
              <w:t>Бюджет субъекта РФ</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Бюджетные ассигнования на текущий год</w:t>
            </w:r>
          </w:p>
        </w:tc>
        <w:tc>
          <w:tcPr>
            <w:tcW w:w="3228" w:type="pct"/>
            <w:shd w:val="clear" w:color="auto" w:fill="FFFFFF" w:themeFill="background1"/>
          </w:tcPr>
          <w:p w:rsidR="00ED710A" w:rsidRPr="00EF3D23" w:rsidRDefault="00ED710A" w:rsidP="00F13F95">
            <w:pPr>
              <w:pStyle w:val="affff2"/>
              <w:ind w:firstLine="0"/>
              <w:rPr>
                <w:rFonts w:eastAsia="Calibri"/>
                <w:sz w:val="24"/>
              </w:rPr>
            </w:pPr>
            <w:r w:rsidRPr="00EF3D23">
              <w:rPr>
                <w:sz w:val="24"/>
                <w:lang w:eastAsia="en-US"/>
              </w:rPr>
              <w:t>Поле</w:t>
            </w:r>
            <w:r w:rsidRPr="00EF3D23">
              <w:rPr>
                <w:sz w:val="24"/>
                <w:lang w:val="en-US" w:eastAsia="en-US"/>
              </w:rPr>
              <w:t xml:space="preserve"> </w:t>
            </w:r>
            <w:r w:rsidRPr="00EF3D23">
              <w:rPr>
                <w:sz w:val="24"/>
                <w:lang w:val="en-US"/>
              </w:rPr>
              <w:t>SUMMBA</w:t>
            </w:r>
            <w:r w:rsidRPr="00EF3D23">
              <w:rPr>
                <w:sz w:val="24"/>
                <w:lang w:val="en-US" w:eastAsia="en-US"/>
              </w:rPr>
              <w:t xml:space="preserve"> </w:t>
            </w:r>
            <w:r w:rsidRPr="00EF3D23">
              <w:rPr>
                <w:sz w:val="24"/>
                <w:lang w:eastAsia="en-US"/>
              </w:rPr>
              <w:t>таблицы</w:t>
            </w:r>
            <w:r w:rsidRPr="00EF3D23">
              <w:rPr>
                <w:sz w:val="24"/>
                <w:lang w:val="en-US" w:eastAsia="en-US"/>
              </w:rPr>
              <w:t xml:space="preserve"> F_RS_PLANTRANSFERSSUBT. </w:t>
            </w:r>
            <w:r w:rsidRPr="00EF3D23">
              <w:rPr>
                <w:sz w:val="24"/>
                <w:lang w:eastAsia="en-US"/>
              </w:rPr>
              <w:t>Сопоставляем</w:t>
            </w:r>
            <w:r w:rsidRPr="00EF3D23">
              <w:rPr>
                <w:sz w:val="24"/>
                <w:lang w:val="en-US" w:eastAsia="en-US"/>
              </w:rPr>
              <w:t xml:space="preserve"> </w:t>
            </w:r>
            <w:r w:rsidRPr="00EF3D23">
              <w:rPr>
                <w:sz w:val="24"/>
                <w:lang w:eastAsia="en-US"/>
              </w:rPr>
              <w:t>поле</w:t>
            </w:r>
            <w:r w:rsidRPr="00EF3D23">
              <w:rPr>
                <w:sz w:val="24"/>
                <w:lang w:val="en-US" w:eastAsia="en-US"/>
              </w:rPr>
              <w:t xml:space="preserve"> FAIPCODE </w:t>
            </w:r>
            <w:r w:rsidRPr="00EF3D23">
              <w:rPr>
                <w:sz w:val="24"/>
                <w:lang w:eastAsia="en-US"/>
              </w:rPr>
              <w:t>с</w:t>
            </w:r>
            <w:r w:rsidRPr="00EF3D23">
              <w:rPr>
                <w:sz w:val="24"/>
                <w:lang w:val="en-US" w:eastAsia="en-US"/>
              </w:rPr>
              <w:t xml:space="preserve"> </w:t>
            </w:r>
            <w:r w:rsidRPr="00EF3D23">
              <w:rPr>
                <w:sz w:val="24"/>
                <w:lang w:eastAsia="en-US"/>
              </w:rPr>
              <w:t>полем</w:t>
            </w:r>
            <w:r w:rsidRPr="00EF3D23">
              <w:rPr>
                <w:sz w:val="24"/>
                <w:lang w:val="en-US" w:eastAsia="en-US"/>
              </w:rPr>
              <w:t xml:space="preserve"> CAPCONSTRCODE </w:t>
            </w:r>
            <w:r w:rsidRPr="00EF3D23">
              <w:rPr>
                <w:sz w:val="24"/>
                <w:lang w:eastAsia="en-US"/>
              </w:rPr>
              <w:t>в</w:t>
            </w:r>
            <w:r w:rsidRPr="00EF3D23">
              <w:rPr>
                <w:sz w:val="24"/>
                <w:lang w:val="en-US" w:eastAsia="en-US"/>
              </w:rPr>
              <w:t xml:space="preserve"> </w:t>
            </w:r>
            <w:r w:rsidRPr="00EF3D23">
              <w:rPr>
                <w:sz w:val="24"/>
                <w:lang w:eastAsia="en-US"/>
              </w:rPr>
              <w:t>таблице</w:t>
            </w:r>
            <w:r w:rsidRPr="00EF3D23">
              <w:rPr>
                <w:sz w:val="24"/>
                <w:lang w:val="en-US" w:eastAsia="en-US"/>
              </w:rPr>
              <w:t xml:space="preserve"> F_RS_PLANTRANSFERSSUBT. </w:t>
            </w:r>
            <w:r w:rsidRPr="00EF3D23">
              <w:rPr>
                <w:sz w:val="24"/>
                <w:lang w:eastAsia="en-US"/>
              </w:rPr>
              <w:t>Выводим данные на текущий финансовый  год.</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Лимиты бюджетных обязательств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SUMLBOTHISYEARAFTER </w:t>
            </w:r>
            <w:r w:rsidRPr="00EF3D23">
              <w:rPr>
                <w:rFonts w:eastAsia="Calibri"/>
                <w:color w:val="auto"/>
                <w:szCs w:val="24"/>
              </w:rPr>
              <w:t>таблицы</w:t>
            </w:r>
            <w:r w:rsidRPr="00EF3D23">
              <w:rPr>
                <w:rFonts w:eastAsia="Calibri"/>
                <w:color w:val="auto"/>
                <w:szCs w:val="24"/>
                <w:lang w:val="en-US"/>
              </w:rPr>
              <w:t xml:space="preserve"> F_FAIP_BSMB</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Бюджетные обязательства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AMOUNTYEAR </w:t>
            </w:r>
            <w:r w:rsidRPr="00EF3D23">
              <w:rPr>
                <w:rFonts w:eastAsia="Calibri"/>
                <w:color w:val="auto"/>
                <w:szCs w:val="24"/>
              </w:rPr>
              <w:t>таблицы</w:t>
            </w:r>
            <w:r w:rsidRPr="00EF3D23">
              <w:rPr>
                <w:rFonts w:eastAsia="Calibri"/>
                <w:color w:val="auto"/>
                <w:szCs w:val="24"/>
                <w:lang w:val="en-US"/>
              </w:rPr>
              <w:t xml:space="preserve"> F_FAIP_BSMB </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Денежные обязательства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DOCONFIRMATION </w:t>
            </w:r>
            <w:r w:rsidRPr="00EF3D23">
              <w:rPr>
                <w:rFonts w:eastAsia="Calibri"/>
                <w:color w:val="auto"/>
                <w:szCs w:val="24"/>
              </w:rPr>
              <w:t>таблицы</w:t>
            </w:r>
            <w:r w:rsidRPr="00EF3D23">
              <w:rPr>
                <w:rFonts w:eastAsia="Calibri"/>
                <w:color w:val="auto"/>
                <w:szCs w:val="24"/>
                <w:lang w:val="en-US"/>
              </w:rPr>
              <w:t xml:space="preserve"> F_FAIP_BSMB</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Кассовое исполнение на текущий год</w:t>
            </w:r>
          </w:p>
        </w:tc>
        <w:tc>
          <w:tcPr>
            <w:tcW w:w="3228" w:type="pct"/>
            <w:shd w:val="clear" w:color="auto" w:fill="FFFFFF" w:themeFill="background1"/>
          </w:tcPr>
          <w:p w:rsidR="00ED710A" w:rsidRPr="00EF3D23" w:rsidRDefault="00ED710A" w:rsidP="00F13F95">
            <w:pPr>
              <w:ind w:firstLine="0"/>
              <w:rPr>
                <w:szCs w:val="24"/>
              </w:rPr>
            </w:pPr>
            <w:r w:rsidRPr="00EF3D23">
              <w:rPr>
                <w:szCs w:val="24"/>
              </w:rPr>
              <w:t xml:space="preserve">Поле </w:t>
            </w:r>
            <w:r w:rsidRPr="00EF3D23">
              <w:rPr>
                <w:szCs w:val="24"/>
                <w:lang w:val="en-US"/>
              </w:rPr>
              <w:t>KP</w:t>
            </w:r>
            <w:r w:rsidRPr="00EF3D23">
              <w:rPr>
                <w:szCs w:val="24"/>
              </w:rPr>
              <w:t xml:space="preserve">206_11 из таблицы </w:t>
            </w:r>
            <w:r w:rsidRPr="00EF3D23">
              <w:rPr>
                <w:szCs w:val="24"/>
                <w:lang w:val="en-US"/>
              </w:rPr>
              <w:t>F</w:t>
            </w:r>
            <w:r w:rsidRPr="00EF3D23">
              <w:rPr>
                <w:szCs w:val="24"/>
              </w:rPr>
              <w:t>_</w:t>
            </w:r>
            <w:r w:rsidRPr="00EF3D23">
              <w:rPr>
                <w:szCs w:val="24"/>
                <w:lang w:val="en-US"/>
              </w:rPr>
              <w:t>INDNI</w:t>
            </w:r>
            <w:r w:rsidRPr="00EF3D23">
              <w:rPr>
                <w:szCs w:val="24"/>
              </w:rPr>
              <w:t>_</w:t>
            </w:r>
            <w:r w:rsidRPr="00EF3D23">
              <w:rPr>
                <w:szCs w:val="24"/>
                <w:lang w:val="en-US"/>
              </w:rPr>
              <w:t>RASHKASSAMO</w:t>
            </w:r>
            <w:r w:rsidRPr="00EF3D23">
              <w:rPr>
                <w:szCs w:val="24"/>
              </w:rPr>
              <w:t>.</w:t>
            </w:r>
          </w:p>
          <w:p w:rsidR="00ED710A" w:rsidRPr="00EF3D23" w:rsidRDefault="00ED710A" w:rsidP="00F13F95">
            <w:pPr>
              <w:ind w:firstLine="0"/>
              <w:rPr>
                <w:szCs w:val="24"/>
              </w:rPr>
            </w:pPr>
            <w:r w:rsidRPr="00EF3D23">
              <w:rPr>
                <w:szCs w:val="24"/>
              </w:rPr>
              <w:t xml:space="preserve">Сопоставляем поле </w:t>
            </w:r>
            <w:r w:rsidRPr="00EF3D23">
              <w:rPr>
                <w:szCs w:val="24"/>
                <w:lang w:val="en-US"/>
              </w:rPr>
              <w:t>FAIPCODE</w:t>
            </w:r>
            <w:r w:rsidRPr="00EF3D23">
              <w:rPr>
                <w:szCs w:val="24"/>
              </w:rPr>
              <w:t xml:space="preserve"> с полем </w:t>
            </w:r>
            <w:r w:rsidRPr="00EF3D23">
              <w:rPr>
                <w:szCs w:val="24"/>
                <w:lang w:val="en-US"/>
              </w:rPr>
              <w:t>INDGOALCODE</w:t>
            </w:r>
            <w:r w:rsidRPr="00EF3D23">
              <w:rPr>
                <w:szCs w:val="24"/>
              </w:rPr>
              <w:t>_</w:t>
            </w:r>
            <w:r w:rsidRPr="00EF3D23">
              <w:rPr>
                <w:szCs w:val="24"/>
                <w:lang w:val="en-US"/>
              </w:rPr>
              <w:t>ID</w:t>
            </w:r>
            <w:r w:rsidRPr="00EF3D23">
              <w:rPr>
                <w:szCs w:val="24"/>
              </w:rPr>
              <w:t xml:space="preserve">, в котором ссылка на таблицу </w:t>
            </w:r>
            <w:r w:rsidRPr="00EF3D23">
              <w:rPr>
                <w:szCs w:val="24"/>
                <w:lang w:val="en-US"/>
              </w:rPr>
              <w:t>D</w:t>
            </w:r>
            <w:r w:rsidRPr="00EF3D23">
              <w:rPr>
                <w:szCs w:val="24"/>
              </w:rPr>
              <w:t>_</w:t>
            </w:r>
            <w:r w:rsidRPr="00EF3D23">
              <w:rPr>
                <w:szCs w:val="24"/>
                <w:lang w:val="en-US"/>
              </w:rPr>
              <w:t>IND</w:t>
            </w:r>
            <w:r w:rsidRPr="00EF3D23">
              <w:rPr>
                <w:szCs w:val="24"/>
              </w:rPr>
              <w:t>_</w:t>
            </w:r>
            <w:r w:rsidRPr="00EF3D23">
              <w:rPr>
                <w:szCs w:val="24"/>
                <w:lang w:val="en-US"/>
              </w:rPr>
              <w:t>GOALCODE</w:t>
            </w:r>
            <w:r w:rsidRPr="00EF3D23">
              <w:rPr>
                <w:szCs w:val="24"/>
              </w:rPr>
              <w:t xml:space="preserve">. </w:t>
            </w:r>
            <w:r w:rsidRPr="00EF3D23">
              <w:rPr>
                <w:szCs w:val="24"/>
                <w:lang w:val="en-US"/>
              </w:rPr>
              <w:t>FAIPCODE</w:t>
            </w:r>
            <w:r w:rsidRPr="00EF3D23">
              <w:rPr>
                <w:szCs w:val="24"/>
              </w:rPr>
              <w:t xml:space="preserve"> должен быть равен полю </w:t>
            </w:r>
            <w:r w:rsidRPr="00EF3D23">
              <w:rPr>
                <w:szCs w:val="24"/>
                <w:lang w:val="en-US"/>
              </w:rPr>
              <w:t>CODE</w:t>
            </w:r>
            <w:r w:rsidRPr="00EF3D23">
              <w:rPr>
                <w:szCs w:val="24"/>
              </w:rPr>
              <w:t xml:space="preserve"> таблицы </w:t>
            </w:r>
            <w:r w:rsidRPr="00EF3D23">
              <w:rPr>
                <w:szCs w:val="24"/>
                <w:lang w:val="en-US"/>
              </w:rPr>
              <w:t>D</w:t>
            </w:r>
            <w:r w:rsidRPr="00EF3D23">
              <w:rPr>
                <w:szCs w:val="24"/>
              </w:rPr>
              <w:t>_</w:t>
            </w:r>
            <w:r w:rsidRPr="00EF3D23">
              <w:rPr>
                <w:szCs w:val="24"/>
                <w:lang w:val="en-US"/>
              </w:rPr>
              <w:t>IND</w:t>
            </w:r>
            <w:r w:rsidRPr="00EF3D23">
              <w:rPr>
                <w:szCs w:val="24"/>
              </w:rPr>
              <w:t>_</w:t>
            </w:r>
            <w:r w:rsidRPr="00EF3D23">
              <w:rPr>
                <w:szCs w:val="24"/>
                <w:lang w:val="en-US"/>
              </w:rPr>
              <w:t>GOALCODE</w:t>
            </w:r>
            <w:r w:rsidRPr="00EF3D23">
              <w:rPr>
                <w:szCs w:val="24"/>
              </w:rPr>
              <w:t xml:space="preserve"> (</w:t>
            </w:r>
            <w:r w:rsidRPr="00EF3D23">
              <w:rPr>
                <w:szCs w:val="24"/>
                <w:lang w:val="en-US"/>
              </w:rPr>
              <w:t>faipcode</w:t>
            </w:r>
            <w:r w:rsidRPr="00EF3D23">
              <w:rPr>
                <w:szCs w:val="24"/>
              </w:rPr>
              <w:t xml:space="preserve"> = </w:t>
            </w:r>
            <w:r w:rsidRPr="00EF3D23">
              <w:rPr>
                <w:szCs w:val="24"/>
                <w:lang w:val="en-US"/>
              </w:rPr>
              <w:t>substr</w:t>
            </w:r>
            <w:r w:rsidRPr="00EF3D23">
              <w:rPr>
                <w:szCs w:val="24"/>
              </w:rPr>
              <w:t xml:space="preserve"> (</w:t>
            </w:r>
            <w:r w:rsidRPr="00EF3D23">
              <w:rPr>
                <w:szCs w:val="24"/>
                <w:lang w:val="en-US"/>
              </w:rPr>
              <w:t>code</w:t>
            </w:r>
            <w:r w:rsidRPr="00EF3D23">
              <w:rPr>
                <w:szCs w:val="24"/>
              </w:rPr>
              <w:t>,2,18)).</w:t>
            </w:r>
          </w:p>
          <w:p w:rsidR="00ED710A" w:rsidRPr="00EF3D23" w:rsidRDefault="00ED710A" w:rsidP="00F13F95">
            <w:pPr>
              <w:ind w:firstLine="0"/>
              <w:rPr>
                <w:szCs w:val="24"/>
                <w:lang w:val="en-US"/>
              </w:rPr>
            </w:pPr>
            <w:r w:rsidRPr="00EF3D23">
              <w:rPr>
                <w:szCs w:val="24"/>
              </w:rPr>
              <w:t>Сопоставляем по отчетной дате (REPORTDAT</w:t>
            </w:r>
            <w:r w:rsidRPr="00EF3D23">
              <w:rPr>
                <w:szCs w:val="24"/>
                <w:lang w:val="en-US"/>
              </w:rPr>
              <w:t>E</w:t>
            </w:r>
            <w:r w:rsidRPr="00EF3D23">
              <w:rPr>
                <w:szCs w:val="24"/>
              </w:rPr>
              <w:t xml:space="preserve">. </w:t>
            </w:r>
            <w:r w:rsidRPr="00EF3D23">
              <w:rPr>
                <w:szCs w:val="24"/>
                <w:lang w:val="en-US"/>
              </w:rPr>
              <w:t xml:space="preserve">F_INDNI_RASHKASSAMO = </w:t>
            </w:r>
            <w:r w:rsidRPr="00EF3D23">
              <w:rPr>
                <w:rFonts w:eastAsia="Calibri"/>
                <w:szCs w:val="24"/>
                <w:lang w:val="en-US"/>
              </w:rPr>
              <w:t>REPORTDATE.F_FAIP_BO)</w:t>
            </w:r>
          </w:p>
          <w:p w:rsidR="00ED710A" w:rsidRPr="00EF3D23" w:rsidRDefault="00ED710A" w:rsidP="00F13F95">
            <w:pPr>
              <w:ind w:firstLine="0"/>
              <w:rPr>
                <w:color w:val="auto"/>
                <w:szCs w:val="24"/>
              </w:rPr>
            </w:pPr>
            <w:r w:rsidRPr="00EF3D23">
              <w:rPr>
                <w:szCs w:val="24"/>
              </w:rPr>
              <w:t>Берем только те записи, где ASFKBUDGETLEVELS_ID = 2 , 20.</w:t>
            </w:r>
          </w:p>
        </w:tc>
      </w:tr>
      <w:tr w:rsidR="00ED710A" w:rsidRPr="00ED710A" w:rsidTr="00ED710A">
        <w:trPr>
          <w:cantSplit/>
        </w:trPr>
        <w:tc>
          <w:tcPr>
            <w:tcW w:w="5000" w:type="pct"/>
            <w:gridSpan w:val="2"/>
            <w:shd w:val="clear" w:color="auto" w:fill="FFFFFF" w:themeFill="background1"/>
          </w:tcPr>
          <w:p w:rsidR="00ED710A" w:rsidRPr="00ED710A" w:rsidRDefault="00ED710A" w:rsidP="005C6E50">
            <w:pPr>
              <w:pStyle w:val="afff6"/>
              <w:numPr>
                <w:ilvl w:val="0"/>
                <w:numId w:val="90"/>
              </w:numPr>
              <w:contextualSpacing/>
              <w:rPr>
                <w:b/>
                <w:color w:val="auto"/>
                <w:sz w:val="24"/>
                <w:szCs w:val="24"/>
              </w:rPr>
            </w:pPr>
            <w:r w:rsidRPr="00ED710A">
              <w:rPr>
                <w:b/>
                <w:color w:val="auto"/>
                <w:sz w:val="24"/>
                <w:szCs w:val="24"/>
              </w:rPr>
              <w:t>Бюджет муниципального образования</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Лимиты бюджетных обязательств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SUMLBOTHISYEARAFTER </w:t>
            </w:r>
            <w:r w:rsidRPr="00EF3D23">
              <w:rPr>
                <w:rFonts w:eastAsia="Calibri"/>
                <w:color w:val="auto"/>
                <w:szCs w:val="24"/>
              </w:rPr>
              <w:t>таблицы</w:t>
            </w:r>
            <w:r w:rsidRPr="00EF3D23">
              <w:rPr>
                <w:rFonts w:eastAsia="Calibri"/>
                <w:color w:val="auto"/>
                <w:szCs w:val="24"/>
                <w:lang w:val="en-US"/>
              </w:rPr>
              <w:t xml:space="preserve"> F_FAIP_BSMB</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Бюджетные обязательства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AMOUNTYEAR </w:t>
            </w:r>
            <w:r w:rsidRPr="00EF3D23">
              <w:rPr>
                <w:rFonts w:eastAsia="Calibri"/>
                <w:color w:val="auto"/>
                <w:szCs w:val="24"/>
              </w:rPr>
              <w:t>таблицы</w:t>
            </w:r>
            <w:r w:rsidRPr="00EF3D23">
              <w:rPr>
                <w:rFonts w:eastAsia="Calibri"/>
                <w:color w:val="auto"/>
                <w:szCs w:val="24"/>
                <w:lang w:val="en-US"/>
              </w:rPr>
              <w:t xml:space="preserve"> F_FAIP_BSMB</w:t>
            </w:r>
          </w:p>
        </w:tc>
      </w:tr>
      <w:tr w:rsidR="00ED710A" w:rsidRPr="00991B9F"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Денежные обязательства на текущий год</w:t>
            </w:r>
          </w:p>
        </w:tc>
        <w:tc>
          <w:tcPr>
            <w:tcW w:w="3228" w:type="pct"/>
            <w:shd w:val="clear" w:color="auto" w:fill="FFFFFF" w:themeFill="background1"/>
          </w:tcPr>
          <w:p w:rsidR="00ED710A" w:rsidRPr="00EF3D23" w:rsidRDefault="00ED710A" w:rsidP="00F13F95">
            <w:pPr>
              <w:ind w:firstLine="0"/>
              <w:rPr>
                <w:rFonts w:eastAsia="Calibri"/>
                <w:color w:val="auto"/>
                <w:szCs w:val="24"/>
                <w:lang w:val="en-US"/>
              </w:rPr>
            </w:pPr>
            <w:r w:rsidRPr="00EF3D23">
              <w:rPr>
                <w:rFonts w:eastAsia="Calibri"/>
                <w:color w:val="auto"/>
                <w:szCs w:val="24"/>
              </w:rPr>
              <w:t>Поле</w:t>
            </w:r>
            <w:r w:rsidRPr="00EF3D23">
              <w:rPr>
                <w:rFonts w:eastAsia="Calibri"/>
                <w:color w:val="auto"/>
                <w:szCs w:val="24"/>
                <w:lang w:val="en-US"/>
              </w:rPr>
              <w:t xml:space="preserve"> DOCONFIRMATION </w:t>
            </w:r>
            <w:r w:rsidRPr="00EF3D23">
              <w:rPr>
                <w:rFonts w:eastAsia="Calibri"/>
                <w:color w:val="auto"/>
                <w:szCs w:val="24"/>
              </w:rPr>
              <w:t>таблицы</w:t>
            </w:r>
            <w:r w:rsidRPr="00EF3D23">
              <w:rPr>
                <w:rFonts w:eastAsia="Calibri"/>
                <w:color w:val="auto"/>
                <w:szCs w:val="24"/>
                <w:lang w:val="en-US"/>
              </w:rPr>
              <w:t xml:space="preserve"> F_FAIP_BSMB</w:t>
            </w:r>
          </w:p>
        </w:tc>
      </w:tr>
      <w:tr w:rsidR="00ED710A" w:rsidRPr="00EF3D23" w:rsidTr="00ED710A">
        <w:trPr>
          <w:cantSplit/>
        </w:trPr>
        <w:tc>
          <w:tcPr>
            <w:tcW w:w="1772" w:type="pct"/>
            <w:shd w:val="clear" w:color="auto" w:fill="FFFFFF" w:themeFill="background1"/>
          </w:tcPr>
          <w:p w:rsidR="00ED710A" w:rsidRPr="00ED710A" w:rsidRDefault="00ED710A" w:rsidP="005C6E50">
            <w:pPr>
              <w:pStyle w:val="afff6"/>
              <w:numPr>
                <w:ilvl w:val="0"/>
                <w:numId w:val="90"/>
              </w:numPr>
              <w:contextualSpacing/>
              <w:rPr>
                <w:color w:val="auto"/>
                <w:sz w:val="24"/>
                <w:szCs w:val="24"/>
              </w:rPr>
            </w:pPr>
            <w:r w:rsidRPr="00ED710A">
              <w:rPr>
                <w:color w:val="auto"/>
                <w:sz w:val="24"/>
                <w:szCs w:val="24"/>
              </w:rPr>
              <w:t>Кассовое исполнение на текущий год</w:t>
            </w:r>
          </w:p>
        </w:tc>
        <w:tc>
          <w:tcPr>
            <w:tcW w:w="3228" w:type="pct"/>
            <w:shd w:val="clear" w:color="auto" w:fill="FFFFFF" w:themeFill="background1"/>
          </w:tcPr>
          <w:p w:rsidR="00ED710A" w:rsidRPr="00EF3D23" w:rsidRDefault="00ED710A" w:rsidP="00F13F95">
            <w:pPr>
              <w:ind w:firstLine="0"/>
              <w:rPr>
                <w:szCs w:val="24"/>
              </w:rPr>
            </w:pPr>
            <w:r w:rsidRPr="00EF3D23">
              <w:rPr>
                <w:szCs w:val="24"/>
              </w:rPr>
              <w:t xml:space="preserve">Поле </w:t>
            </w:r>
            <w:r w:rsidRPr="00EF3D23">
              <w:rPr>
                <w:szCs w:val="24"/>
                <w:lang w:val="en-US"/>
              </w:rPr>
              <w:t>KP</w:t>
            </w:r>
            <w:r w:rsidRPr="00EF3D23">
              <w:rPr>
                <w:szCs w:val="24"/>
              </w:rPr>
              <w:t xml:space="preserve">206_11 из таблицы </w:t>
            </w:r>
            <w:r w:rsidRPr="00EF3D23">
              <w:rPr>
                <w:szCs w:val="24"/>
                <w:lang w:val="en-US"/>
              </w:rPr>
              <w:t>F</w:t>
            </w:r>
            <w:r w:rsidRPr="00EF3D23">
              <w:rPr>
                <w:szCs w:val="24"/>
              </w:rPr>
              <w:t>_</w:t>
            </w:r>
            <w:r w:rsidRPr="00EF3D23">
              <w:rPr>
                <w:szCs w:val="24"/>
                <w:lang w:val="en-US"/>
              </w:rPr>
              <w:t>INDNI</w:t>
            </w:r>
            <w:r w:rsidRPr="00EF3D23">
              <w:rPr>
                <w:szCs w:val="24"/>
              </w:rPr>
              <w:t>_</w:t>
            </w:r>
            <w:r w:rsidRPr="00EF3D23">
              <w:rPr>
                <w:szCs w:val="24"/>
                <w:lang w:val="en-US"/>
              </w:rPr>
              <w:t>RASHKASSAMO</w:t>
            </w:r>
            <w:r w:rsidRPr="00EF3D23">
              <w:rPr>
                <w:szCs w:val="24"/>
              </w:rPr>
              <w:t xml:space="preserve">. </w:t>
            </w:r>
          </w:p>
          <w:p w:rsidR="00ED710A" w:rsidRPr="00EF3D23" w:rsidRDefault="00ED710A" w:rsidP="00F13F95">
            <w:pPr>
              <w:ind w:firstLine="0"/>
              <w:rPr>
                <w:szCs w:val="24"/>
              </w:rPr>
            </w:pPr>
            <w:r w:rsidRPr="00EF3D23">
              <w:rPr>
                <w:szCs w:val="24"/>
              </w:rPr>
              <w:t xml:space="preserve">Сопоставляем поле </w:t>
            </w:r>
            <w:r w:rsidRPr="00EF3D23">
              <w:rPr>
                <w:szCs w:val="24"/>
                <w:lang w:val="en-US"/>
              </w:rPr>
              <w:t>FAIPCODE</w:t>
            </w:r>
            <w:r w:rsidRPr="00EF3D23">
              <w:rPr>
                <w:szCs w:val="24"/>
              </w:rPr>
              <w:t xml:space="preserve"> с полем </w:t>
            </w:r>
            <w:r w:rsidRPr="00EF3D23">
              <w:rPr>
                <w:szCs w:val="24"/>
                <w:lang w:val="en-US"/>
              </w:rPr>
              <w:t>INDGOALCODE</w:t>
            </w:r>
            <w:r w:rsidRPr="00EF3D23">
              <w:rPr>
                <w:szCs w:val="24"/>
              </w:rPr>
              <w:t>_</w:t>
            </w:r>
            <w:r w:rsidRPr="00EF3D23">
              <w:rPr>
                <w:szCs w:val="24"/>
                <w:lang w:val="en-US"/>
              </w:rPr>
              <w:t>ID</w:t>
            </w:r>
            <w:r w:rsidRPr="00EF3D23">
              <w:rPr>
                <w:szCs w:val="24"/>
              </w:rPr>
              <w:t xml:space="preserve">, в котором ссылка на таблицу </w:t>
            </w:r>
            <w:r w:rsidRPr="00EF3D23">
              <w:rPr>
                <w:szCs w:val="24"/>
                <w:lang w:val="en-US"/>
              </w:rPr>
              <w:t>D</w:t>
            </w:r>
            <w:r w:rsidRPr="00EF3D23">
              <w:rPr>
                <w:szCs w:val="24"/>
              </w:rPr>
              <w:t>_</w:t>
            </w:r>
            <w:r w:rsidRPr="00EF3D23">
              <w:rPr>
                <w:szCs w:val="24"/>
                <w:lang w:val="en-US"/>
              </w:rPr>
              <w:t>IND</w:t>
            </w:r>
            <w:r w:rsidRPr="00EF3D23">
              <w:rPr>
                <w:szCs w:val="24"/>
              </w:rPr>
              <w:t>_</w:t>
            </w:r>
            <w:r w:rsidRPr="00EF3D23">
              <w:rPr>
                <w:szCs w:val="24"/>
                <w:lang w:val="en-US"/>
              </w:rPr>
              <w:t>GOALCODE</w:t>
            </w:r>
            <w:r w:rsidRPr="00EF3D23">
              <w:rPr>
                <w:szCs w:val="24"/>
              </w:rPr>
              <w:t xml:space="preserve">. </w:t>
            </w:r>
            <w:r w:rsidRPr="00EF3D23">
              <w:rPr>
                <w:szCs w:val="24"/>
                <w:lang w:val="en-US"/>
              </w:rPr>
              <w:t>FAIPCODE</w:t>
            </w:r>
            <w:r w:rsidRPr="00EF3D23">
              <w:rPr>
                <w:szCs w:val="24"/>
              </w:rPr>
              <w:t xml:space="preserve"> должен быть равен полю </w:t>
            </w:r>
            <w:r w:rsidRPr="00EF3D23">
              <w:rPr>
                <w:szCs w:val="24"/>
                <w:lang w:val="en-US"/>
              </w:rPr>
              <w:t>CODE</w:t>
            </w:r>
            <w:r w:rsidRPr="00EF3D23">
              <w:rPr>
                <w:szCs w:val="24"/>
              </w:rPr>
              <w:t xml:space="preserve"> таблицы </w:t>
            </w:r>
            <w:r w:rsidRPr="00EF3D23">
              <w:rPr>
                <w:szCs w:val="24"/>
                <w:lang w:val="en-US"/>
              </w:rPr>
              <w:t>D</w:t>
            </w:r>
            <w:r w:rsidRPr="00EF3D23">
              <w:rPr>
                <w:szCs w:val="24"/>
              </w:rPr>
              <w:t>_</w:t>
            </w:r>
            <w:r w:rsidRPr="00EF3D23">
              <w:rPr>
                <w:szCs w:val="24"/>
                <w:lang w:val="en-US"/>
              </w:rPr>
              <w:t>IND</w:t>
            </w:r>
            <w:r w:rsidRPr="00EF3D23">
              <w:rPr>
                <w:szCs w:val="24"/>
              </w:rPr>
              <w:t>_</w:t>
            </w:r>
            <w:r w:rsidRPr="00EF3D23">
              <w:rPr>
                <w:szCs w:val="24"/>
                <w:lang w:val="en-US"/>
              </w:rPr>
              <w:t>GOALCODE</w:t>
            </w:r>
            <w:r w:rsidRPr="00EF3D23">
              <w:rPr>
                <w:szCs w:val="24"/>
              </w:rPr>
              <w:t xml:space="preserve"> (</w:t>
            </w:r>
            <w:r w:rsidRPr="00EF3D23">
              <w:rPr>
                <w:szCs w:val="24"/>
                <w:lang w:val="en-US"/>
              </w:rPr>
              <w:t>faipcode</w:t>
            </w:r>
            <w:r w:rsidRPr="00EF3D23">
              <w:rPr>
                <w:szCs w:val="24"/>
              </w:rPr>
              <w:t xml:space="preserve"> = </w:t>
            </w:r>
            <w:r w:rsidRPr="00EF3D23">
              <w:rPr>
                <w:szCs w:val="24"/>
                <w:lang w:val="en-US"/>
              </w:rPr>
              <w:t>substr</w:t>
            </w:r>
            <w:r w:rsidRPr="00EF3D23">
              <w:rPr>
                <w:szCs w:val="24"/>
              </w:rPr>
              <w:t xml:space="preserve"> (</w:t>
            </w:r>
            <w:r w:rsidRPr="00EF3D23">
              <w:rPr>
                <w:szCs w:val="24"/>
                <w:lang w:val="en-US"/>
              </w:rPr>
              <w:t>code</w:t>
            </w:r>
            <w:r w:rsidRPr="00EF3D23">
              <w:rPr>
                <w:szCs w:val="24"/>
              </w:rPr>
              <w:t>,2,18)).</w:t>
            </w:r>
          </w:p>
          <w:p w:rsidR="00ED710A" w:rsidRPr="00EF3D23" w:rsidRDefault="00ED710A" w:rsidP="00F13F95">
            <w:pPr>
              <w:ind w:firstLine="0"/>
              <w:rPr>
                <w:szCs w:val="24"/>
                <w:lang w:val="en-US"/>
              </w:rPr>
            </w:pPr>
            <w:r w:rsidRPr="00EF3D23">
              <w:rPr>
                <w:szCs w:val="24"/>
              </w:rPr>
              <w:t>Сопоставляем по отчетной дате (REPORTDAT</w:t>
            </w:r>
            <w:r w:rsidRPr="00EF3D23">
              <w:rPr>
                <w:szCs w:val="24"/>
                <w:lang w:val="en-US"/>
              </w:rPr>
              <w:t>E</w:t>
            </w:r>
            <w:r w:rsidRPr="00EF3D23">
              <w:rPr>
                <w:szCs w:val="24"/>
              </w:rPr>
              <w:t xml:space="preserve">. </w:t>
            </w:r>
            <w:r w:rsidRPr="00EF3D23">
              <w:rPr>
                <w:szCs w:val="24"/>
                <w:lang w:val="en-US"/>
              </w:rPr>
              <w:t xml:space="preserve">F_INDNI_RASHKASSAMO = </w:t>
            </w:r>
            <w:r w:rsidRPr="00EF3D23">
              <w:rPr>
                <w:rFonts w:eastAsia="Calibri"/>
                <w:szCs w:val="24"/>
                <w:lang w:val="en-US"/>
              </w:rPr>
              <w:t>REPORTDATE.F_FAIP_BO)</w:t>
            </w:r>
          </w:p>
          <w:p w:rsidR="00ED710A" w:rsidRPr="00EF3D23" w:rsidRDefault="00ED710A" w:rsidP="00F13F95">
            <w:pPr>
              <w:ind w:firstLine="0"/>
              <w:rPr>
                <w:rFonts w:eastAsia="Calibri"/>
                <w:color w:val="auto"/>
                <w:szCs w:val="24"/>
              </w:rPr>
            </w:pPr>
            <w:r w:rsidRPr="00EF3D23">
              <w:rPr>
                <w:szCs w:val="24"/>
              </w:rPr>
              <w:t>Берем только те записи, где ASFKBUDGETLEVELS_ID = 3,4,5, 10, 11, 12, 13, 17, 21</w:t>
            </w:r>
          </w:p>
        </w:tc>
      </w:tr>
    </w:tbl>
    <w:p w:rsidR="000E18B7" w:rsidRPr="00B152B6" w:rsidRDefault="000E18B7" w:rsidP="000E18B7">
      <w:pPr>
        <w:pStyle w:val="35"/>
        <w:ind w:left="142"/>
      </w:pPr>
      <w:bookmarkStart w:id="569" w:name="_Toc68622736"/>
      <w:bookmarkStart w:id="570" w:name="_Toc69290125"/>
      <w:bookmarkStart w:id="571" w:name="_Toc119585082"/>
      <w:r w:rsidRPr="00B152B6">
        <w:t>Аналитический отчет «</w:t>
      </w:r>
      <w:r>
        <w:rPr>
          <w:rStyle w:val="wrf-favorite-card-cell-text-content"/>
        </w:rPr>
        <w:t>Мониторинг качества данных отчета по исполнению ФАИП и ОКС</w:t>
      </w:r>
      <w:r w:rsidRPr="00B152B6">
        <w:t>»</w:t>
      </w:r>
      <w:bookmarkEnd w:id="569"/>
      <w:bookmarkEnd w:id="570"/>
      <w:r>
        <w:t xml:space="preserve"> (</w:t>
      </w:r>
      <w:r w:rsidRPr="00562B8F">
        <w:t>PIAO_164_003_report</w:t>
      </w:r>
      <w:r>
        <w:t>)</w:t>
      </w:r>
      <w:bookmarkEnd w:id="571"/>
    </w:p>
    <w:p w:rsidR="000E18B7" w:rsidRPr="00A02107" w:rsidRDefault="000E18B7" w:rsidP="000E18B7">
      <w:pPr>
        <w:pStyle w:val="af0"/>
        <w:rPr>
          <w:szCs w:val="28"/>
        </w:rPr>
      </w:pPr>
      <w:r w:rsidRPr="00A02107">
        <w:rPr>
          <w:szCs w:val="28"/>
        </w:rPr>
        <w:t>Аналитический отчет «</w:t>
      </w:r>
      <w:r>
        <w:rPr>
          <w:rStyle w:val="wrf-favorite-card-cell-text-content"/>
        </w:rPr>
        <w:t>Мониторинг качества данных отчета по исполнению ФАИП и ОКС</w:t>
      </w:r>
      <w:r>
        <w:rPr>
          <w:szCs w:val="28"/>
        </w:rPr>
        <w:t>» реализован в виде таблицы и содержит следующие параметры</w:t>
      </w:r>
      <w:r w:rsidR="00015599">
        <w:rPr>
          <w:szCs w:val="28"/>
        </w:rPr>
        <w:t>:</w:t>
      </w:r>
    </w:p>
    <w:p w:rsidR="000E18B7" w:rsidRPr="00015599" w:rsidRDefault="000E18B7" w:rsidP="00ED710A">
      <w:pPr>
        <w:pStyle w:val="13"/>
      </w:pPr>
      <w:r w:rsidRPr="00015599">
        <w:t>Параметр ед. измерения. Значения параметра: руб., тыс. руб., млн. руб. По умолчанию значение параметра «руб.»;</w:t>
      </w:r>
    </w:p>
    <w:p w:rsidR="00015599" w:rsidRPr="00015599" w:rsidRDefault="000E18B7" w:rsidP="00ED710A">
      <w:pPr>
        <w:pStyle w:val="13"/>
      </w:pPr>
      <w:r w:rsidRPr="00015599">
        <w:t>Поиск по дате: показывать календарь (доступные даты  проверяем по полю REPORTDATE из таблицы F_FAIP_BO. Доступными оставляем только 1 число каждого месяца);</w:t>
      </w:r>
      <w:r w:rsidR="00015599" w:rsidRPr="00015599">
        <w:t xml:space="preserve"> </w:t>
      </w:r>
    </w:p>
    <w:p w:rsidR="000E18B7" w:rsidRPr="00015599" w:rsidRDefault="000E18B7" w:rsidP="00ED710A">
      <w:pPr>
        <w:pStyle w:val="13"/>
      </w:pPr>
      <w:r w:rsidRPr="00015599">
        <w:t xml:space="preserve">Фильтр «Национальный/федеральный проект». Возможные значения: </w:t>
      </w:r>
    </w:p>
    <w:p w:rsidR="000E18B7" w:rsidRPr="00A02107" w:rsidRDefault="000E18B7" w:rsidP="000E18B7">
      <w:pPr>
        <w:pStyle w:val="29"/>
        <w:rPr>
          <w:rFonts w:eastAsia="Calibri"/>
        </w:rPr>
      </w:pPr>
      <w:r w:rsidRPr="00A02107">
        <w:rPr>
          <w:rFonts w:eastAsia="Calibri"/>
        </w:rPr>
        <w:t>Все НП.</w:t>
      </w:r>
    </w:p>
    <w:p w:rsidR="000E18B7" w:rsidRPr="00A02107" w:rsidRDefault="000E18B7" w:rsidP="000E18B7">
      <w:pPr>
        <w:pStyle w:val="29"/>
        <w:rPr>
          <w:rFonts w:eastAsia="Calibri"/>
        </w:rPr>
      </w:pPr>
      <w:r w:rsidRPr="00A02107">
        <w:rPr>
          <w:rFonts w:eastAsia="Calibri"/>
        </w:rPr>
        <w:t xml:space="preserve">Расходы в рамках НП - отражаем все строки, в которых в значении в поле «Код целевой статьи» на 4 позиции стоит буква (P,V,R, G, N, D, F, E, T,I, S, A, L). Собираем строки в разрезе каждой буквы. </w:t>
      </w:r>
    </w:p>
    <w:p w:rsidR="000E18B7" w:rsidRPr="00A02107" w:rsidRDefault="000E18B7" w:rsidP="000E18B7">
      <w:pPr>
        <w:pStyle w:val="29"/>
        <w:rPr>
          <w:rFonts w:eastAsia="Calibri"/>
        </w:rPr>
      </w:pPr>
      <w:r w:rsidRPr="00A02107">
        <w:rPr>
          <w:rFonts w:eastAsia="Calibri"/>
        </w:rPr>
        <w:t>Расходы вне рамок НП – отражаем все строки, в которых в  поле «Код целевой статьи» на 4 позиции стоит любая цифра, а не буква.</w:t>
      </w:r>
    </w:p>
    <w:p w:rsidR="000E18B7" w:rsidRPr="00A02107" w:rsidRDefault="000E18B7" w:rsidP="000E18B7">
      <w:pPr>
        <w:pStyle w:val="29"/>
        <w:rPr>
          <w:rFonts w:eastAsia="Calibri"/>
        </w:rPr>
      </w:pPr>
      <w:r w:rsidRPr="00A02107">
        <w:rPr>
          <w:rFonts w:eastAsia="Calibri"/>
        </w:rPr>
        <w:t>НП/ФП.</w:t>
      </w:r>
    </w:p>
    <w:p w:rsidR="000E18B7" w:rsidRPr="00015599" w:rsidRDefault="000E18B7" w:rsidP="00ED710A">
      <w:pPr>
        <w:pStyle w:val="13"/>
      </w:pPr>
      <w:r w:rsidRPr="00015599">
        <w:t>Параметр «Без плановых периодов/ с плановыми периодами». Возможные значения «Без плановых периодов/ с плановыми периодами». Если выбираем «С плановыми периодами», то выводим все столбцы в таблице. Если выбираем «Без плановых периодов», то не выводим столбцы «Сумма БО на первый год», «Сумма БО на второй год», «Бюджетные ассигнования на первый год», «Бюджетные ассигнования на второй год», «Лимиты бюджетных обязательств на первый год», «Лимиты бюджетных обязательств на второй год».</w:t>
      </w:r>
    </w:p>
    <w:p w:rsidR="000E18B7" w:rsidRPr="00015599" w:rsidRDefault="000E18B7" w:rsidP="00ED710A">
      <w:pPr>
        <w:pStyle w:val="13"/>
      </w:pPr>
      <w:r w:rsidRPr="00015599">
        <w:t>Поиск по коду ГРБС (Код главы): пользователь вводит код или часть кода и таблица фильтруется по этим записям. Выводим код и наименование ГРБС.</w:t>
      </w:r>
    </w:p>
    <w:p w:rsidR="000E18B7" w:rsidRPr="00015599" w:rsidRDefault="000E18B7" w:rsidP="00ED710A">
      <w:pPr>
        <w:pStyle w:val="13"/>
      </w:pPr>
      <w:r w:rsidRPr="00015599">
        <w:t>Поиск по коду раздела, подраздела (Код РзПр): пользователь вводит код или часть кода и таблица фильтруется по этим записям.</w:t>
      </w:r>
    </w:p>
    <w:p w:rsidR="000E18B7" w:rsidRPr="00015599" w:rsidRDefault="000E18B7" w:rsidP="00ED710A">
      <w:pPr>
        <w:pStyle w:val="13"/>
      </w:pPr>
      <w:r w:rsidRPr="00015599">
        <w:t>Поиск по коду целевой статьи (Код целевой статьи): пользователь вводит код или часть кода и таблица фильтруется по этим записям.</w:t>
      </w:r>
    </w:p>
    <w:p w:rsidR="000E18B7" w:rsidRPr="00015599" w:rsidRDefault="000E18B7" w:rsidP="00ED710A">
      <w:pPr>
        <w:pStyle w:val="13"/>
      </w:pPr>
      <w:r w:rsidRPr="00015599">
        <w:t>Поиск по коду вида расходов (Код вида расходов): пользователь вводит код или часть кода и таблица фильтруется по этим записям.</w:t>
      </w:r>
    </w:p>
    <w:p w:rsidR="000E18B7" w:rsidRPr="00015599" w:rsidRDefault="000E18B7" w:rsidP="00ED710A">
      <w:pPr>
        <w:pStyle w:val="13"/>
      </w:pPr>
      <w:r w:rsidRPr="00015599">
        <w:t xml:space="preserve">Фильтр «ФАИП». Возможные значения: </w:t>
      </w:r>
    </w:p>
    <w:p w:rsidR="000E18B7" w:rsidRPr="00A02107" w:rsidRDefault="000E18B7" w:rsidP="000E18B7">
      <w:pPr>
        <w:pStyle w:val="29"/>
        <w:rPr>
          <w:rFonts w:eastAsia="Calibri"/>
        </w:rPr>
      </w:pPr>
      <w:r w:rsidRPr="00A02107">
        <w:rPr>
          <w:rFonts w:eastAsia="Calibri"/>
        </w:rPr>
        <w:t xml:space="preserve">все ФАИП – отражаем все строки;   </w:t>
      </w:r>
    </w:p>
    <w:p w:rsidR="000E18B7" w:rsidRPr="00A02107" w:rsidRDefault="000E18B7" w:rsidP="000E18B7">
      <w:pPr>
        <w:pStyle w:val="29"/>
        <w:rPr>
          <w:rFonts w:eastAsia="Calibri"/>
        </w:rPr>
      </w:pPr>
      <w:r w:rsidRPr="00A02107">
        <w:rPr>
          <w:rFonts w:eastAsia="Calibri"/>
        </w:rPr>
        <w:t>ФАИП, реализуемые в рамках НП –  отражаем все строки, в которых в значении в поле «Код целевой статьи» на 4 позиции стоит буква (P,V,R, G, N, D, F, E, T,I, S, A, L).</w:t>
      </w:r>
    </w:p>
    <w:p w:rsidR="000E18B7" w:rsidRPr="00A02107" w:rsidRDefault="000E18B7" w:rsidP="000E18B7">
      <w:pPr>
        <w:pStyle w:val="29"/>
        <w:rPr>
          <w:rFonts w:eastAsia="Calibri"/>
        </w:rPr>
      </w:pPr>
      <w:r w:rsidRPr="00A02107">
        <w:rPr>
          <w:rFonts w:eastAsia="Calibri"/>
        </w:rPr>
        <w:t>ФАИП, реализуемые не в рамках НП - отражаем все строки, в которых в  поле «Код целевой статьи» на 4 позиции стоит любая цифра, а не буква.</w:t>
      </w:r>
    </w:p>
    <w:p w:rsidR="000E18B7" w:rsidRPr="00015599" w:rsidRDefault="000E18B7" w:rsidP="005C6E50">
      <w:pPr>
        <w:numPr>
          <w:ilvl w:val="0"/>
          <w:numId w:val="113"/>
        </w:numPr>
        <w:ind w:left="1068"/>
        <w:rPr>
          <w:sz w:val="28"/>
          <w:szCs w:val="28"/>
        </w:rPr>
      </w:pPr>
      <w:r w:rsidRPr="00015599">
        <w:rPr>
          <w:sz w:val="28"/>
          <w:szCs w:val="28"/>
        </w:rPr>
        <w:t>Фильтр «Ошибки». Возможные значения:</w:t>
      </w:r>
    </w:p>
    <w:tbl>
      <w:tblPr>
        <w:tblW w:w="9506" w:type="dxa"/>
        <w:tblInd w:w="108" w:type="dxa"/>
        <w:tblLook w:val="04A0" w:firstRow="1" w:lastRow="0" w:firstColumn="1" w:lastColumn="0" w:noHBand="0" w:noVBand="1"/>
      </w:tblPr>
      <w:tblGrid>
        <w:gridCol w:w="9506"/>
      </w:tblGrid>
      <w:tr w:rsidR="000E18B7" w:rsidRPr="00A02107" w:rsidTr="00F13F95">
        <w:trPr>
          <w:trHeight w:val="361"/>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lang w:eastAsia="en-US"/>
              </w:rPr>
              <w:t>Все – выводятся все строки в отчете</w:t>
            </w:r>
          </w:p>
        </w:tc>
      </w:tr>
      <w:tr w:rsidR="000E18B7" w:rsidRPr="00A02107" w:rsidTr="00F13F95">
        <w:trPr>
          <w:trHeight w:val="361"/>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lang w:eastAsia="en-US"/>
              </w:rPr>
              <w:t>Все ошибки</w:t>
            </w:r>
            <w:r w:rsidRPr="00A02107">
              <w:rPr>
                <w:rFonts w:eastAsia="Calibri"/>
              </w:rPr>
              <w:t xml:space="preserve"> – выводятся все строки, где есть хотя бы один красный индикатор</w:t>
            </w:r>
          </w:p>
        </w:tc>
      </w:tr>
      <w:tr w:rsidR="000E18B7" w:rsidRPr="00A02107" w:rsidTr="00F13F95">
        <w:trPr>
          <w:trHeight w:val="361"/>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lang w:eastAsia="en-US"/>
              </w:rPr>
              <w:t>Расхождение сумм БО на текущий год</w:t>
            </w:r>
            <w:r w:rsidRPr="00A02107">
              <w:t xml:space="preserve"> </w:t>
            </w:r>
            <w:r w:rsidRPr="00A02107">
              <w:rPr>
                <w:rFonts w:eastAsia="Calibri"/>
              </w:rPr>
              <w:t>по оперативными данными и форме 0506604 (гр.23 = гр.26</w:t>
            </w:r>
            <w:r w:rsidRPr="00A02107">
              <w:rPr>
                <w:rFonts w:eastAsia="Calibri"/>
                <w:lang w:eastAsia="en-US"/>
              </w:rPr>
              <w:t>)</w:t>
            </w:r>
            <w:r w:rsidRPr="00A02107">
              <w:rPr>
                <w:rFonts w:eastAsia="Calibri"/>
              </w:rPr>
              <w:t xml:space="preserve"> – выводятся строки, в которых есть красный индикатор в столбце 26 (БО на текущий год по опер. данным не равны БО по форме 0506604)</w:t>
            </w:r>
          </w:p>
        </w:tc>
      </w:tr>
      <w:tr w:rsidR="000E18B7" w:rsidRPr="00A02107" w:rsidTr="00F13F95">
        <w:trPr>
          <w:trHeight w:val="289"/>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rPr>
              <w:t>Расхождение сумм БО на первый год по оперативными данными и форме 0506604 (гр.24 =  гр.28) – выводятся строки, в которых есть красный индикатор в столбце 29 (БО на первый год по опер. данным не равны БО по форме 0506604)</w:t>
            </w:r>
          </w:p>
        </w:tc>
      </w:tr>
      <w:tr w:rsidR="000E18B7" w:rsidRPr="00A02107" w:rsidTr="00F13F95">
        <w:trPr>
          <w:trHeight w:val="289"/>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rPr>
              <w:t>Расхождение сумм БО на второй год по оперативными данными и форме 0506604 (гр.25 =  гр.30) – выводятся строки, в которых есть красный индикатор в столбце 31 (БО на второй год по опер. данным не равны БО по форме 0506604)</w:t>
            </w:r>
          </w:p>
        </w:tc>
      </w:tr>
      <w:tr w:rsidR="000E18B7" w:rsidRPr="00A02107" w:rsidTr="00F13F95">
        <w:trPr>
          <w:trHeight w:val="289"/>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rPr>
              <w:t>Расхождение сумм БО на текущий год по оперативными данными и данным из ПУР (гр.23 =  гр.32) – выводятся строки, в которых есть красный индикатор в столбце 33 (БО на текущий год по опер. данным не равны БО из ПУР)</w:t>
            </w:r>
          </w:p>
        </w:tc>
      </w:tr>
      <w:tr w:rsidR="000E18B7" w:rsidRPr="00A02107" w:rsidTr="00F13F95">
        <w:trPr>
          <w:trHeight w:val="361"/>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rPr>
              <w:t>Расхождение сумм ДО по оперативными данными и данным из ПУР (гр.34 =  гр.35) – выводятся строки, в которых есть красный индикатор в столбце 36 (ДО по опер. данным не равны ДО из ПУР)</w:t>
            </w:r>
          </w:p>
        </w:tc>
      </w:tr>
      <w:tr w:rsidR="000E18B7" w:rsidRPr="00A02107" w:rsidTr="00F13F95">
        <w:trPr>
          <w:trHeight w:val="289"/>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lang w:eastAsia="en-US"/>
              </w:rPr>
            </w:pPr>
            <w:r w:rsidRPr="00A02107">
              <w:rPr>
                <w:rFonts w:eastAsia="Calibri"/>
              </w:rPr>
              <w:t>Расхождение сумм исполнения по оперативными данными и форме 0506604 (гр.37 =  гр.38) – выводятся строки, в которых есть красный индикатор в столбце 41 (Исполнение по опер. данным не равно исполнению по форме 0506604)</w:t>
            </w:r>
          </w:p>
        </w:tc>
      </w:tr>
      <w:tr w:rsidR="000E18B7" w:rsidRPr="00A02107" w:rsidTr="00F13F95">
        <w:trPr>
          <w:trHeight w:val="361"/>
        </w:trPr>
        <w:tc>
          <w:tcPr>
            <w:tcW w:w="9506" w:type="dxa"/>
            <w:tcBorders>
              <w:top w:val="nil"/>
              <w:left w:val="nil"/>
              <w:bottom w:val="nil"/>
              <w:right w:val="nil"/>
            </w:tcBorders>
            <w:shd w:val="clear" w:color="auto" w:fill="auto"/>
            <w:noWrap/>
            <w:vAlign w:val="bottom"/>
            <w:hideMark/>
          </w:tcPr>
          <w:p w:rsidR="000E18B7" w:rsidRPr="00A02107" w:rsidRDefault="000E18B7" w:rsidP="00F13F95">
            <w:pPr>
              <w:pStyle w:val="29"/>
              <w:rPr>
                <w:rFonts w:eastAsia="Calibri"/>
              </w:rPr>
            </w:pPr>
            <w:r w:rsidRPr="00A02107">
              <w:rPr>
                <w:rFonts w:eastAsia="Calibri"/>
                <w:lang w:eastAsia="en-US"/>
              </w:rPr>
              <w:t xml:space="preserve">Сумма исполнения не превышает сумму ДО </w:t>
            </w:r>
            <w:r w:rsidRPr="00A02107">
              <w:rPr>
                <w:rFonts w:eastAsia="Calibri"/>
              </w:rPr>
              <w:t>по оперативным данным (гр.37&lt;34</w:t>
            </w:r>
            <w:r w:rsidRPr="00A02107">
              <w:rPr>
                <w:rFonts w:eastAsia="Calibri"/>
                <w:lang w:eastAsia="en-US"/>
              </w:rPr>
              <w:t>)</w:t>
            </w:r>
            <w:r w:rsidRPr="00A02107">
              <w:rPr>
                <w:rFonts w:eastAsia="Calibri"/>
              </w:rPr>
              <w:t xml:space="preserve"> – выводятся строки, в которых есть красный индикатор в столбце 42 (Исполнение превышает сумму ДО по опер. данным)</w:t>
            </w:r>
          </w:p>
          <w:p w:rsidR="000E18B7" w:rsidRPr="00A02107" w:rsidRDefault="000E18B7" w:rsidP="00F13F95">
            <w:pPr>
              <w:pStyle w:val="29"/>
              <w:rPr>
                <w:rFonts w:eastAsia="Calibri"/>
              </w:rPr>
            </w:pPr>
            <w:r w:rsidRPr="00A02107">
              <w:rPr>
                <w:rFonts w:eastAsia="Calibri"/>
              </w:rPr>
              <w:t>Расхождение сумм БА на текущий год из ПУиО и по форме 128 (гр.15 = гр.18) – выводятся строки, в которых есть красный индикатор в столбце 19 (БА на текущий год из ПУиО не равны БА по форме 128)</w:t>
            </w:r>
          </w:p>
          <w:p w:rsidR="000E18B7" w:rsidRPr="00A02107" w:rsidRDefault="000E18B7" w:rsidP="00F13F95">
            <w:pPr>
              <w:pStyle w:val="29"/>
              <w:rPr>
                <w:rFonts w:eastAsia="Calibri"/>
              </w:rPr>
            </w:pPr>
            <w:r w:rsidRPr="00A02107">
              <w:rPr>
                <w:rFonts w:eastAsia="Calibri"/>
              </w:rPr>
              <w:t>Расхождение сумм исполнения по оперативными данными и форме 128 (гр.37 =  гр.39) – выводятся строки, в которых есть красный индикатор в столбце 40 (Исполнение по опер. данным не равно исполнению по форме 128)</w:t>
            </w:r>
          </w:p>
          <w:p w:rsidR="000E18B7" w:rsidRPr="00A02107" w:rsidRDefault="000E18B7" w:rsidP="00F13F95">
            <w:pPr>
              <w:pStyle w:val="29"/>
              <w:rPr>
                <w:rFonts w:eastAsiaTheme="minorHAnsi"/>
                <w:color w:val="1F497D"/>
                <w:lang w:eastAsia="en-US"/>
              </w:rPr>
            </w:pPr>
            <w:r w:rsidRPr="00A02107">
              <w:rPr>
                <w:rFonts w:eastAsia="Calibri"/>
              </w:rPr>
              <w:t>Фильтр «Код ТОФК». Пользователь вводит код или часть кода и таблица фильтруется по этим записям. При фильтрации выводятся все объекты ФАИП, в которых присутствует данный ТОФК, но также выводятся и другие ТОФК, в которых реализован этот объект ФАИП. В фильтре выводим код и наименование ТОФК.</w:t>
            </w:r>
          </w:p>
        </w:tc>
      </w:tr>
    </w:tbl>
    <w:p w:rsidR="000E18B7" w:rsidRPr="00CA6C60" w:rsidRDefault="000E18B7" w:rsidP="000E18B7">
      <w:pPr>
        <w:pStyle w:val="af0"/>
        <w:ind w:firstLine="709"/>
        <w:rPr>
          <w:szCs w:val="28"/>
        </w:rPr>
      </w:pPr>
      <w:r>
        <w:rPr>
          <w:szCs w:val="28"/>
        </w:rPr>
        <w:t>Правила формирования отчета «</w:t>
      </w:r>
      <w:r>
        <w:t>Мониторинг качества данных отчета по исполнению ФАИП и ОКС</w:t>
      </w:r>
      <w:r w:rsidRPr="00B152B6">
        <w:t>»</w:t>
      </w:r>
      <w:r>
        <w:t xml:space="preserve"> представлены в таблице </w:t>
      </w:r>
      <w:r>
        <w:fldChar w:fldCharType="begin"/>
      </w:r>
      <w:r>
        <w:instrText xml:space="preserve"> REF _Ref69217656 \h </w:instrText>
      </w:r>
      <w:r>
        <w:fldChar w:fldCharType="separate"/>
      </w:r>
      <w:r w:rsidR="00BF0BEE">
        <w:rPr>
          <w:noProof/>
        </w:rPr>
        <w:t>12</w:t>
      </w:r>
      <w:r>
        <w:fldChar w:fldCharType="end"/>
      </w:r>
      <w:r>
        <w:t>.</w:t>
      </w:r>
    </w:p>
    <w:p w:rsidR="000E18B7" w:rsidRPr="00230546" w:rsidRDefault="000E18B7" w:rsidP="000E18B7">
      <w:pPr>
        <w:pStyle w:val="-"/>
      </w:pPr>
      <w:bookmarkStart w:id="572" w:name="_Toc69290209"/>
      <w:bookmarkStart w:id="573" w:name="_Toc69917978"/>
      <w:bookmarkStart w:id="574" w:name="_Toc119585153"/>
      <w:r>
        <w:t xml:space="preserve">Таблица </w:t>
      </w:r>
      <w:fldSimple w:instr=" SEQ Таблица \* ARABIC ">
        <w:bookmarkStart w:id="575" w:name="_Ref69217656"/>
        <w:r w:rsidR="00BF0BEE">
          <w:rPr>
            <w:noProof/>
          </w:rPr>
          <w:t>12</w:t>
        </w:r>
        <w:bookmarkEnd w:id="575"/>
      </w:fldSimple>
      <w:r>
        <w:t xml:space="preserve"> – </w:t>
      </w:r>
      <w:r>
        <w:rPr>
          <w:szCs w:val="28"/>
        </w:rPr>
        <w:t>Правила формирования таблицы представления «</w:t>
      </w:r>
      <w:r w:rsidRPr="00B7428B">
        <w:t>Информация по ОКС в разрезе субъектов РФ</w:t>
      </w:r>
      <w:r w:rsidRPr="00B152B6">
        <w:t>»</w:t>
      </w:r>
      <w:bookmarkEnd w:id="572"/>
      <w:bookmarkEnd w:id="573"/>
      <w:bookmarkEnd w:id="574"/>
    </w:p>
    <w:tbl>
      <w:tblPr>
        <w:tblW w:w="481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6434"/>
      </w:tblGrid>
      <w:tr w:rsidR="00ED710A" w:rsidRPr="00015599" w:rsidTr="00ED710A">
        <w:trPr>
          <w:cantSplit/>
          <w:tblHeader/>
        </w:trPr>
        <w:tc>
          <w:tcPr>
            <w:tcW w:w="1612" w:type="pct"/>
            <w:shd w:val="clear" w:color="auto" w:fill="D9D9D9" w:themeFill="background1" w:themeFillShade="D9"/>
          </w:tcPr>
          <w:p w:rsidR="00ED710A" w:rsidRPr="00015599" w:rsidRDefault="00ED710A" w:rsidP="00ED710A">
            <w:pPr>
              <w:jc w:val="center"/>
              <w:rPr>
                <w:rFonts w:eastAsia="Calibri"/>
                <w:b/>
                <w:szCs w:val="24"/>
              </w:rPr>
            </w:pPr>
            <w:r w:rsidRPr="00015599">
              <w:rPr>
                <w:rFonts w:eastAsia="Calibri"/>
                <w:b/>
                <w:szCs w:val="24"/>
              </w:rPr>
              <w:t>Название колонки</w:t>
            </w:r>
          </w:p>
        </w:tc>
        <w:tc>
          <w:tcPr>
            <w:tcW w:w="3388" w:type="pct"/>
            <w:shd w:val="clear" w:color="auto" w:fill="D9D9D9" w:themeFill="background1" w:themeFillShade="D9"/>
          </w:tcPr>
          <w:p w:rsidR="00ED710A" w:rsidRPr="00015599" w:rsidRDefault="00ED710A" w:rsidP="00F13F95">
            <w:pPr>
              <w:jc w:val="center"/>
              <w:rPr>
                <w:rFonts w:eastAsia="Calibri"/>
                <w:b/>
                <w:szCs w:val="24"/>
              </w:rPr>
            </w:pPr>
            <w:r w:rsidRPr="00015599">
              <w:rPr>
                <w:rFonts w:eastAsia="Calibri"/>
                <w:b/>
                <w:szCs w:val="24"/>
              </w:rPr>
              <w:t>Правило формирования</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объекта ФАИП</w:t>
            </w:r>
          </w:p>
        </w:tc>
        <w:tc>
          <w:tcPr>
            <w:tcW w:w="3388" w:type="pct"/>
          </w:tcPr>
          <w:p w:rsidR="00ED710A" w:rsidRPr="005538AD" w:rsidRDefault="00ED710A" w:rsidP="00F13F95">
            <w:pPr>
              <w:pStyle w:val="affff2"/>
              <w:rPr>
                <w:sz w:val="24"/>
              </w:rPr>
            </w:pPr>
            <w:r w:rsidRPr="005538AD">
              <w:rPr>
                <w:sz w:val="24"/>
              </w:rPr>
              <w:t xml:space="preserve">Поле </w:t>
            </w:r>
            <w:r w:rsidRPr="005538AD">
              <w:rPr>
                <w:sz w:val="24"/>
                <w:lang w:val="en-US"/>
              </w:rPr>
              <w:t>FAIPCODE</w:t>
            </w:r>
            <w:r w:rsidRPr="005538AD">
              <w:rPr>
                <w:sz w:val="24"/>
              </w:rPr>
              <w:t xml:space="preserve"> таблицы </w:t>
            </w:r>
            <w:r w:rsidRPr="005538AD">
              <w:rPr>
                <w:sz w:val="24"/>
                <w:lang w:val="en-US"/>
              </w:rPr>
              <w:t>F</w:t>
            </w:r>
            <w:r w:rsidRPr="005538AD">
              <w:rPr>
                <w:sz w:val="24"/>
              </w:rPr>
              <w:t>_</w:t>
            </w:r>
            <w:r w:rsidRPr="005538AD">
              <w:rPr>
                <w:sz w:val="24"/>
                <w:lang w:val="en-US"/>
              </w:rPr>
              <w:t>FAIP</w:t>
            </w:r>
            <w:r w:rsidRPr="005538AD">
              <w:rPr>
                <w:sz w:val="24"/>
              </w:rPr>
              <w:t>_</w:t>
            </w:r>
            <w:r w:rsidRPr="005538AD">
              <w:rPr>
                <w:sz w:val="24"/>
                <w:lang w:val="en-US"/>
              </w:rPr>
              <w:t>BO</w:t>
            </w:r>
            <w:r w:rsidRPr="005538AD">
              <w:rPr>
                <w:sz w:val="24"/>
              </w:rPr>
              <w:t>. Выводим только те записи, где длина поля FAIPCODE равна 14</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объекта ФАИП</w:t>
            </w:r>
          </w:p>
        </w:tc>
        <w:tc>
          <w:tcPr>
            <w:tcW w:w="3388" w:type="pct"/>
          </w:tcPr>
          <w:p w:rsidR="00ED710A" w:rsidRPr="005538AD" w:rsidRDefault="00ED710A" w:rsidP="00F13F95">
            <w:pPr>
              <w:pStyle w:val="afb"/>
              <w:rPr>
                <w:rFonts w:ascii="Times New Roman" w:hAnsi="Times New Roman" w:cs="Times New Roman"/>
                <w:sz w:val="24"/>
                <w:szCs w:val="24"/>
              </w:rPr>
            </w:pPr>
            <w:r w:rsidRPr="005538AD">
              <w:rPr>
                <w:rFonts w:ascii="Times New Roman" w:hAnsi="Times New Roman" w:cs="Times New Roman"/>
                <w:sz w:val="24"/>
                <w:szCs w:val="24"/>
              </w:rPr>
              <w:t xml:space="preserve">Смотрим поле </w:t>
            </w:r>
            <w:r w:rsidRPr="005538AD">
              <w:rPr>
                <w:rFonts w:ascii="Times New Roman" w:hAnsi="Times New Roman" w:cs="Times New Roman"/>
                <w:sz w:val="24"/>
                <w:szCs w:val="24"/>
                <w:lang w:val="en-US"/>
              </w:rPr>
              <w:t>FAIPNAMEPRINT</w:t>
            </w:r>
            <w:r w:rsidRPr="005538AD">
              <w:rPr>
                <w:rFonts w:ascii="Times New Roman" w:hAnsi="Times New Roman" w:cs="Times New Roman"/>
                <w:sz w:val="24"/>
                <w:szCs w:val="24"/>
              </w:rPr>
              <w:t xml:space="preserve"> из таблицы </w:t>
            </w:r>
            <w:r w:rsidRPr="005538AD">
              <w:rPr>
                <w:rFonts w:ascii="Times New Roman" w:hAnsi="Times New Roman" w:cs="Times New Roman"/>
                <w:sz w:val="24"/>
                <w:szCs w:val="24"/>
                <w:lang w:val="en-US"/>
              </w:rPr>
              <w:t>D</w:t>
            </w:r>
            <w:r w:rsidRPr="005538AD">
              <w:rPr>
                <w:rFonts w:ascii="Times New Roman" w:hAnsi="Times New Roman" w:cs="Times New Roman"/>
                <w:sz w:val="24"/>
                <w:szCs w:val="24"/>
              </w:rPr>
              <w:t>_</w:t>
            </w:r>
            <w:r w:rsidRPr="005538AD">
              <w:rPr>
                <w:rFonts w:ascii="Times New Roman" w:hAnsi="Times New Roman" w:cs="Times New Roman"/>
                <w:sz w:val="24"/>
                <w:szCs w:val="24"/>
                <w:lang w:val="en-US"/>
              </w:rPr>
              <w:t>NSI</w:t>
            </w:r>
            <w:r w:rsidRPr="005538AD">
              <w:rPr>
                <w:rFonts w:ascii="Times New Roman" w:hAnsi="Times New Roman" w:cs="Times New Roman"/>
                <w:sz w:val="24"/>
                <w:szCs w:val="24"/>
              </w:rPr>
              <w:t>_</w:t>
            </w:r>
            <w:r w:rsidRPr="005538AD">
              <w:rPr>
                <w:rFonts w:ascii="Times New Roman" w:hAnsi="Times New Roman" w:cs="Times New Roman"/>
                <w:sz w:val="24"/>
                <w:szCs w:val="24"/>
                <w:lang w:val="en-US"/>
              </w:rPr>
              <w:t>FAIP</w:t>
            </w:r>
            <w:r w:rsidRPr="005538AD">
              <w:rPr>
                <w:rFonts w:ascii="Times New Roman" w:hAnsi="Times New Roman" w:cs="Times New Roman"/>
                <w:sz w:val="24"/>
                <w:szCs w:val="24"/>
              </w:rPr>
              <w:t>.</w:t>
            </w:r>
          </w:p>
          <w:p w:rsidR="00ED710A" w:rsidRPr="005538AD" w:rsidRDefault="00ED710A" w:rsidP="00F13F95">
            <w:pPr>
              <w:pStyle w:val="afb"/>
              <w:rPr>
                <w:rFonts w:ascii="Times New Roman" w:hAnsi="Times New Roman" w:cs="Times New Roman"/>
                <w:sz w:val="24"/>
                <w:szCs w:val="24"/>
              </w:rPr>
            </w:pPr>
            <w:r w:rsidRPr="005538AD">
              <w:rPr>
                <w:rFonts w:ascii="Times New Roman" w:hAnsi="Times New Roman" w:cs="Times New Roman"/>
                <w:sz w:val="24"/>
                <w:szCs w:val="24"/>
              </w:rPr>
              <w:t xml:space="preserve">Таблицы связываем через поле </w:t>
            </w:r>
            <w:r w:rsidRPr="005538AD">
              <w:rPr>
                <w:rFonts w:ascii="Times New Roman" w:hAnsi="Times New Roman" w:cs="Times New Roman"/>
                <w:sz w:val="24"/>
                <w:szCs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ФП</w:t>
            </w:r>
          </w:p>
        </w:tc>
        <w:tc>
          <w:tcPr>
            <w:tcW w:w="3388" w:type="pct"/>
          </w:tcPr>
          <w:p w:rsidR="00ED710A" w:rsidRPr="005538AD" w:rsidRDefault="00ED710A" w:rsidP="00F13F95">
            <w:pPr>
              <w:rPr>
                <w:rFonts w:eastAsia="Calibri"/>
                <w:szCs w:val="24"/>
              </w:rPr>
            </w:pPr>
            <w:r w:rsidRPr="005538AD">
              <w:rPr>
                <w:rFonts w:eastAsia="Calibri"/>
                <w:szCs w:val="24"/>
              </w:rPr>
              <w:t xml:space="preserve">11-12 символ из поля </w:t>
            </w:r>
            <w:r w:rsidRPr="005538AD">
              <w:rPr>
                <w:rFonts w:eastAsia="Calibri"/>
                <w:szCs w:val="24"/>
                <w:lang w:val="en-US"/>
              </w:rPr>
              <w:t>KBK</w:t>
            </w:r>
            <w:r w:rsidRPr="005538AD">
              <w:rPr>
                <w:rFonts w:eastAsia="Calibri"/>
                <w:szCs w:val="24"/>
              </w:rPr>
              <w:t xml:space="preserve">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rFonts w:eastAsia="Calibri"/>
                <w:szCs w:val="24"/>
              </w:rPr>
              <w:t>).</w:t>
            </w:r>
          </w:p>
          <w:p w:rsidR="00ED710A" w:rsidRPr="005538AD" w:rsidRDefault="00ED710A" w:rsidP="00F13F95">
            <w:pPr>
              <w:rPr>
                <w:rFonts w:eastAsia="Calibri"/>
                <w:szCs w:val="24"/>
                <w:lang w:val="en-US"/>
              </w:rPr>
            </w:pPr>
            <w:r w:rsidRPr="005538AD">
              <w:rPr>
                <w:rFonts w:eastAsia="Calibri"/>
                <w:szCs w:val="24"/>
              </w:rPr>
              <w:t xml:space="preserve">Связываем через поле </w:t>
            </w:r>
            <w:r w:rsidRPr="005538AD">
              <w:rPr>
                <w:rFonts w:eastAsia="Calibri"/>
                <w:szCs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Главы</w:t>
            </w:r>
          </w:p>
        </w:tc>
        <w:tc>
          <w:tcPr>
            <w:tcW w:w="3388" w:type="pct"/>
          </w:tcPr>
          <w:p w:rsidR="00ED710A" w:rsidRPr="005538AD" w:rsidRDefault="00ED710A" w:rsidP="00F13F95">
            <w:pPr>
              <w:rPr>
                <w:szCs w:val="24"/>
              </w:rPr>
            </w:pPr>
            <w:r w:rsidRPr="005538AD">
              <w:rPr>
                <w:szCs w:val="24"/>
              </w:rPr>
              <w:t xml:space="preserve">Первые три символа из поля </w:t>
            </w:r>
            <w:r w:rsidRPr="005538AD">
              <w:rPr>
                <w:szCs w:val="24"/>
                <w:lang w:val="en-US"/>
              </w:rPr>
              <w:t>KBK</w:t>
            </w:r>
            <w:r w:rsidRPr="005538AD">
              <w:rPr>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szCs w:val="24"/>
              </w:rPr>
              <w:t>.</w:t>
            </w:r>
          </w:p>
          <w:p w:rsidR="00ED710A" w:rsidRPr="005538AD" w:rsidRDefault="00ED710A" w:rsidP="00F13F95">
            <w:pPr>
              <w:rPr>
                <w:szCs w:val="24"/>
              </w:rPr>
            </w:pPr>
            <w:r w:rsidRPr="005538AD">
              <w:rPr>
                <w:szCs w:val="24"/>
              </w:rPr>
              <w:t xml:space="preserve">Таблицы связываем через поле </w:t>
            </w:r>
            <w:r w:rsidRPr="005538AD">
              <w:rPr>
                <w:szCs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Главы</w:t>
            </w:r>
          </w:p>
        </w:tc>
        <w:tc>
          <w:tcPr>
            <w:tcW w:w="3388" w:type="pct"/>
          </w:tcPr>
          <w:p w:rsidR="00ED710A" w:rsidRPr="005538AD" w:rsidRDefault="00ED710A" w:rsidP="00F13F95">
            <w:pPr>
              <w:rPr>
                <w:szCs w:val="24"/>
              </w:rPr>
            </w:pPr>
            <w:r w:rsidRPr="005538AD">
              <w:rPr>
                <w:szCs w:val="24"/>
              </w:rPr>
              <w:t xml:space="preserve">Выводим поле </w:t>
            </w:r>
            <w:r w:rsidRPr="005538AD">
              <w:rPr>
                <w:szCs w:val="24"/>
                <w:lang w:val="en-US"/>
              </w:rPr>
              <w:t>NAME</w:t>
            </w:r>
            <w:r w:rsidRPr="005538AD">
              <w:rPr>
                <w:szCs w:val="24"/>
              </w:rPr>
              <w:t xml:space="preserve"> из справочника D_KSPL_KVSR. Сопоставляем по коду Главы (значение поля </w:t>
            </w:r>
            <w:r w:rsidRPr="005538AD">
              <w:rPr>
                <w:szCs w:val="24"/>
                <w:lang w:val="en-US"/>
              </w:rPr>
              <w:t>GRBS</w:t>
            </w:r>
            <w:r w:rsidRPr="005538AD">
              <w:rPr>
                <w:szCs w:val="24"/>
              </w:rPr>
              <w:t>_</w:t>
            </w:r>
            <w:r w:rsidRPr="005538AD">
              <w:rPr>
                <w:szCs w:val="24"/>
                <w:lang w:val="en-US"/>
              </w:rPr>
              <w:t>CODE</w:t>
            </w:r>
            <w:r w:rsidRPr="005538AD">
              <w:rPr>
                <w:szCs w:val="24"/>
              </w:rPr>
              <w:t xml:space="preserve"> должно быть равно  значению поля </w:t>
            </w:r>
            <w:r w:rsidRPr="005538AD">
              <w:rPr>
                <w:szCs w:val="24"/>
                <w:lang w:val="en-US"/>
              </w:rPr>
              <w:t>CODE</w:t>
            </w:r>
            <w:r w:rsidRPr="005538AD">
              <w:rPr>
                <w:szCs w:val="24"/>
              </w:rPr>
              <w:t xml:space="preserve"> справочника D_KSPL_KVSR).</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РзПр</w:t>
            </w:r>
          </w:p>
        </w:tc>
        <w:tc>
          <w:tcPr>
            <w:tcW w:w="3388" w:type="pct"/>
          </w:tcPr>
          <w:p w:rsidR="00ED710A" w:rsidRPr="005538AD" w:rsidRDefault="00ED710A" w:rsidP="00F13F95">
            <w:pPr>
              <w:pStyle w:val="affff2"/>
              <w:rPr>
                <w:sz w:val="24"/>
              </w:rPr>
            </w:pPr>
            <w:r w:rsidRPr="005538AD">
              <w:rPr>
                <w:sz w:val="24"/>
              </w:rPr>
              <w:t xml:space="preserve">4-7 символ из поля </w:t>
            </w:r>
            <w:r w:rsidRPr="005538AD">
              <w:rPr>
                <w:sz w:val="24"/>
                <w:lang w:val="en-US"/>
              </w:rPr>
              <w:t>KBK</w:t>
            </w:r>
            <w:r w:rsidRPr="005538AD">
              <w:rPr>
                <w:sz w:val="24"/>
              </w:rPr>
              <w:t xml:space="preserve"> </w:t>
            </w:r>
            <w:r w:rsidRPr="005538AD">
              <w:rPr>
                <w:rFonts w:eastAsia="Calibri"/>
                <w:sz w:val="24"/>
              </w:rPr>
              <w:t xml:space="preserve">из таблицы </w:t>
            </w:r>
            <w:r w:rsidRPr="005538AD">
              <w:rPr>
                <w:rFonts w:eastAsia="Calibri"/>
                <w:sz w:val="24"/>
                <w:lang w:val="en-US"/>
              </w:rPr>
              <w:t>F</w:t>
            </w:r>
            <w:r w:rsidRPr="005538AD">
              <w:rPr>
                <w:rFonts w:eastAsia="Calibri"/>
                <w:sz w:val="24"/>
              </w:rPr>
              <w:t>_</w:t>
            </w:r>
            <w:r w:rsidRPr="005538AD">
              <w:rPr>
                <w:rFonts w:eastAsia="Calibri"/>
                <w:sz w:val="24"/>
                <w:lang w:val="en-US"/>
              </w:rPr>
              <w:t>FAIP</w:t>
            </w:r>
            <w:r w:rsidRPr="005538AD">
              <w:rPr>
                <w:rFonts w:eastAsia="Calibri"/>
                <w:sz w:val="24"/>
              </w:rPr>
              <w:t>_</w:t>
            </w:r>
            <w:r w:rsidRPr="005538AD">
              <w:rPr>
                <w:rFonts w:eastAsia="Calibri"/>
                <w:sz w:val="24"/>
                <w:lang w:val="en-US"/>
              </w:rPr>
              <w:t>BO</w:t>
            </w:r>
            <w:r w:rsidRPr="005538AD">
              <w:rPr>
                <w:sz w:val="24"/>
              </w:rPr>
              <w:t>.</w:t>
            </w:r>
          </w:p>
          <w:p w:rsidR="00ED710A" w:rsidRPr="005538AD" w:rsidRDefault="00ED710A" w:rsidP="00F13F95">
            <w:pPr>
              <w:pStyle w:val="affff2"/>
              <w:rPr>
                <w:sz w:val="24"/>
              </w:rPr>
            </w:pPr>
            <w:r w:rsidRPr="005538AD">
              <w:rPr>
                <w:sz w:val="24"/>
              </w:rPr>
              <w:t xml:space="preserve">Таблицы связываем через поле </w:t>
            </w:r>
            <w:r w:rsidRPr="005538AD">
              <w:rPr>
                <w:sz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РзПр</w:t>
            </w:r>
          </w:p>
        </w:tc>
        <w:tc>
          <w:tcPr>
            <w:tcW w:w="3388" w:type="pct"/>
          </w:tcPr>
          <w:p w:rsidR="00ED710A" w:rsidRPr="005538AD" w:rsidRDefault="00ED710A" w:rsidP="00F13F95">
            <w:pPr>
              <w:pStyle w:val="affff2"/>
              <w:rPr>
                <w:sz w:val="24"/>
              </w:rPr>
            </w:pPr>
            <w:r w:rsidRPr="005538AD">
              <w:rPr>
                <w:sz w:val="24"/>
              </w:rPr>
              <w:t xml:space="preserve">Выводим поле </w:t>
            </w:r>
            <w:r w:rsidRPr="005538AD">
              <w:rPr>
                <w:sz w:val="24"/>
                <w:lang w:val="en-US"/>
              </w:rPr>
              <w:t>NAME</w:t>
            </w:r>
            <w:r w:rsidRPr="005538AD">
              <w:rPr>
                <w:sz w:val="24"/>
              </w:rPr>
              <w:t xml:space="preserve"> из справочника D_KSPL_RZPR. Сопоставляем по коду РзПр (значение поля </w:t>
            </w:r>
            <w:r w:rsidRPr="005538AD">
              <w:rPr>
                <w:sz w:val="24"/>
                <w:lang w:val="en-US"/>
              </w:rPr>
              <w:t>RZPR</w:t>
            </w:r>
            <w:r w:rsidRPr="005538AD">
              <w:rPr>
                <w:sz w:val="24"/>
              </w:rPr>
              <w:t>_</w:t>
            </w:r>
            <w:r w:rsidRPr="005538AD">
              <w:rPr>
                <w:sz w:val="24"/>
                <w:lang w:val="en-US"/>
              </w:rPr>
              <w:t>CODE</w:t>
            </w:r>
            <w:r w:rsidRPr="005538AD">
              <w:rPr>
                <w:sz w:val="24"/>
              </w:rPr>
              <w:t xml:space="preserve"> должно быть равно значению поля </w:t>
            </w:r>
            <w:r w:rsidRPr="005538AD">
              <w:rPr>
                <w:sz w:val="24"/>
                <w:lang w:val="en-US"/>
              </w:rPr>
              <w:t>CODE</w:t>
            </w:r>
            <w:r w:rsidRPr="005538AD">
              <w:rPr>
                <w:sz w:val="24"/>
              </w:rPr>
              <w:t xml:space="preserve"> справочника D_KSPL_RZPR).</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Программная (непрограммная) статья</w:t>
            </w:r>
          </w:p>
        </w:tc>
        <w:tc>
          <w:tcPr>
            <w:tcW w:w="3388" w:type="pct"/>
          </w:tcPr>
          <w:p w:rsidR="00ED710A" w:rsidRPr="005538AD" w:rsidRDefault="00ED710A" w:rsidP="00F13F95">
            <w:pPr>
              <w:pStyle w:val="affff2"/>
              <w:rPr>
                <w:sz w:val="24"/>
              </w:rPr>
            </w:pPr>
            <w:r w:rsidRPr="005538AD">
              <w:rPr>
                <w:sz w:val="24"/>
              </w:rPr>
              <w:t xml:space="preserve">8-12 символ из поля </w:t>
            </w:r>
            <w:r w:rsidRPr="005538AD">
              <w:rPr>
                <w:sz w:val="24"/>
                <w:lang w:val="en-US"/>
              </w:rPr>
              <w:t>KBK</w:t>
            </w:r>
            <w:r w:rsidRPr="005538AD">
              <w:rPr>
                <w:sz w:val="24"/>
              </w:rPr>
              <w:t xml:space="preserve"> </w:t>
            </w:r>
            <w:r w:rsidRPr="005538AD">
              <w:rPr>
                <w:rFonts w:eastAsia="Calibri"/>
                <w:sz w:val="24"/>
              </w:rPr>
              <w:t xml:space="preserve">из таблицы </w:t>
            </w:r>
            <w:r w:rsidRPr="005538AD">
              <w:rPr>
                <w:rFonts w:eastAsia="Calibri"/>
                <w:sz w:val="24"/>
                <w:lang w:val="en-US"/>
              </w:rPr>
              <w:t>F</w:t>
            </w:r>
            <w:r w:rsidRPr="005538AD">
              <w:rPr>
                <w:rFonts w:eastAsia="Calibri"/>
                <w:sz w:val="24"/>
              </w:rPr>
              <w:t>_</w:t>
            </w:r>
            <w:r w:rsidRPr="005538AD">
              <w:rPr>
                <w:rFonts w:eastAsia="Calibri"/>
                <w:sz w:val="24"/>
                <w:lang w:val="en-US"/>
              </w:rPr>
              <w:t>FAIP</w:t>
            </w:r>
            <w:r w:rsidRPr="005538AD">
              <w:rPr>
                <w:rFonts w:eastAsia="Calibri"/>
                <w:sz w:val="24"/>
              </w:rPr>
              <w:t>_</w:t>
            </w:r>
            <w:r w:rsidRPr="005538AD">
              <w:rPr>
                <w:rFonts w:eastAsia="Calibri"/>
                <w:sz w:val="24"/>
                <w:lang w:val="en-US"/>
              </w:rPr>
              <w:t>BO</w:t>
            </w:r>
            <w:r w:rsidRPr="005538AD">
              <w:rPr>
                <w:sz w:val="24"/>
              </w:rPr>
              <w:t>.</w:t>
            </w:r>
          </w:p>
          <w:p w:rsidR="00ED710A" w:rsidRPr="005538AD" w:rsidRDefault="00ED710A" w:rsidP="00F13F95">
            <w:pPr>
              <w:pStyle w:val="affff2"/>
              <w:rPr>
                <w:sz w:val="24"/>
              </w:rPr>
            </w:pPr>
            <w:r w:rsidRPr="005538AD">
              <w:rPr>
                <w:sz w:val="24"/>
              </w:rPr>
              <w:t xml:space="preserve">Таблицы связываем через поле </w:t>
            </w:r>
            <w:r w:rsidRPr="005538AD">
              <w:rPr>
                <w:sz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Направление расходов</w:t>
            </w:r>
          </w:p>
        </w:tc>
        <w:tc>
          <w:tcPr>
            <w:tcW w:w="3388" w:type="pct"/>
          </w:tcPr>
          <w:p w:rsidR="00ED710A" w:rsidRPr="005538AD" w:rsidRDefault="00ED710A" w:rsidP="00F13F95">
            <w:pPr>
              <w:pStyle w:val="affff2"/>
              <w:rPr>
                <w:sz w:val="24"/>
              </w:rPr>
            </w:pPr>
            <w:r w:rsidRPr="005538AD">
              <w:rPr>
                <w:sz w:val="24"/>
              </w:rPr>
              <w:t xml:space="preserve">13-17 символ из поля </w:t>
            </w:r>
            <w:r w:rsidRPr="005538AD">
              <w:rPr>
                <w:sz w:val="24"/>
                <w:lang w:val="en-US"/>
              </w:rPr>
              <w:t>KBK</w:t>
            </w:r>
            <w:r w:rsidRPr="005538AD">
              <w:rPr>
                <w:sz w:val="24"/>
              </w:rPr>
              <w:t xml:space="preserve"> </w:t>
            </w:r>
            <w:r w:rsidRPr="005538AD">
              <w:rPr>
                <w:rFonts w:eastAsia="Calibri"/>
                <w:sz w:val="24"/>
              </w:rPr>
              <w:t xml:space="preserve">из таблицы </w:t>
            </w:r>
            <w:r w:rsidRPr="005538AD">
              <w:rPr>
                <w:rFonts w:eastAsia="Calibri"/>
                <w:sz w:val="24"/>
                <w:lang w:val="en-US"/>
              </w:rPr>
              <w:t>F</w:t>
            </w:r>
            <w:r w:rsidRPr="005538AD">
              <w:rPr>
                <w:rFonts w:eastAsia="Calibri"/>
                <w:sz w:val="24"/>
              </w:rPr>
              <w:t>_</w:t>
            </w:r>
            <w:r w:rsidRPr="005538AD">
              <w:rPr>
                <w:rFonts w:eastAsia="Calibri"/>
                <w:sz w:val="24"/>
                <w:lang w:val="en-US"/>
              </w:rPr>
              <w:t>FAIP</w:t>
            </w:r>
            <w:r w:rsidRPr="005538AD">
              <w:rPr>
                <w:rFonts w:eastAsia="Calibri"/>
                <w:sz w:val="24"/>
              </w:rPr>
              <w:t>_</w:t>
            </w:r>
            <w:r w:rsidRPr="005538AD">
              <w:rPr>
                <w:rFonts w:eastAsia="Calibri"/>
                <w:sz w:val="24"/>
                <w:lang w:val="en-US"/>
              </w:rPr>
              <w:t>BO</w:t>
            </w:r>
            <w:r w:rsidRPr="005538AD">
              <w:rPr>
                <w:sz w:val="24"/>
              </w:rPr>
              <w:t>.</w:t>
            </w:r>
          </w:p>
          <w:p w:rsidR="00ED710A" w:rsidRPr="005538AD" w:rsidRDefault="00ED710A" w:rsidP="00F13F95">
            <w:pPr>
              <w:pStyle w:val="affff2"/>
              <w:rPr>
                <w:sz w:val="24"/>
              </w:rPr>
            </w:pPr>
            <w:r w:rsidRPr="005538AD">
              <w:rPr>
                <w:sz w:val="24"/>
              </w:rPr>
              <w:t xml:space="preserve">Таблицы связываем через поле </w:t>
            </w:r>
            <w:r w:rsidRPr="005538AD">
              <w:rPr>
                <w:sz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ЦСР</w:t>
            </w:r>
          </w:p>
        </w:tc>
        <w:tc>
          <w:tcPr>
            <w:tcW w:w="3388" w:type="pct"/>
          </w:tcPr>
          <w:p w:rsidR="00ED710A" w:rsidRPr="005538AD" w:rsidRDefault="00ED710A" w:rsidP="00F13F95">
            <w:pPr>
              <w:pStyle w:val="affff2"/>
              <w:rPr>
                <w:sz w:val="24"/>
              </w:rPr>
            </w:pPr>
            <w:r w:rsidRPr="005538AD">
              <w:rPr>
                <w:sz w:val="24"/>
              </w:rPr>
              <w:t xml:space="preserve">Выводим поле </w:t>
            </w:r>
            <w:r w:rsidRPr="005538AD">
              <w:rPr>
                <w:sz w:val="24"/>
                <w:lang w:val="en-US"/>
              </w:rPr>
              <w:t>NAME</w:t>
            </w:r>
            <w:r w:rsidRPr="005538AD">
              <w:rPr>
                <w:sz w:val="24"/>
              </w:rPr>
              <w:t xml:space="preserve"> из справочника D_KSPL_KCSR. Сопоставляем по коду программной (непрограммной) статьи + направление расходов (значение поля PRART+ значение поля DIRECTIONEXPENSES должно быть равно значению поля </w:t>
            </w:r>
            <w:r w:rsidRPr="005538AD">
              <w:rPr>
                <w:sz w:val="24"/>
                <w:lang w:val="en-US"/>
              </w:rPr>
              <w:t>CODE</w:t>
            </w:r>
            <w:r w:rsidRPr="005538AD">
              <w:rPr>
                <w:sz w:val="24"/>
              </w:rPr>
              <w:t xml:space="preserve"> справочника D_KSPL_KCSR).</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вида расходов</w:t>
            </w:r>
          </w:p>
        </w:tc>
        <w:tc>
          <w:tcPr>
            <w:tcW w:w="3388" w:type="pct"/>
          </w:tcPr>
          <w:p w:rsidR="00ED710A" w:rsidRPr="005538AD" w:rsidRDefault="00ED710A" w:rsidP="00F13F95">
            <w:pPr>
              <w:rPr>
                <w:szCs w:val="24"/>
              </w:rPr>
            </w:pPr>
            <w:r w:rsidRPr="005538AD">
              <w:rPr>
                <w:szCs w:val="24"/>
              </w:rPr>
              <w:t xml:space="preserve">18-20 символ из поля </w:t>
            </w:r>
            <w:r w:rsidRPr="005538AD">
              <w:rPr>
                <w:szCs w:val="24"/>
                <w:lang w:val="en-US"/>
              </w:rPr>
              <w:t>KBK</w:t>
            </w:r>
            <w:r w:rsidRPr="005538AD">
              <w:rPr>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szCs w:val="24"/>
              </w:rPr>
              <w:t>.</w:t>
            </w:r>
          </w:p>
          <w:p w:rsidR="00ED710A" w:rsidRPr="005538AD" w:rsidRDefault="00ED710A" w:rsidP="00F13F95">
            <w:pPr>
              <w:rPr>
                <w:szCs w:val="24"/>
              </w:rPr>
            </w:pPr>
            <w:r w:rsidRPr="005538AD">
              <w:rPr>
                <w:szCs w:val="24"/>
              </w:rPr>
              <w:t xml:space="preserve">Таблицы связываем через поле </w:t>
            </w:r>
            <w:r w:rsidRPr="005538AD">
              <w:rPr>
                <w:szCs w:val="24"/>
                <w:lang w:val="en-US"/>
              </w:rPr>
              <w:t>FAIPCODE</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ВР</w:t>
            </w:r>
          </w:p>
        </w:tc>
        <w:tc>
          <w:tcPr>
            <w:tcW w:w="3388" w:type="pct"/>
          </w:tcPr>
          <w:p w:rsidR="00ED710A" w:rsidRPr="005538AD" w:rsidRDefault="00ED710A" w:rsidP="00F13F95">
            <w:pPr>
              <w:rPr>
                <w:szCs w:val="24"/>
                <w:highlight w:val="yellow"/>
              </w:rPr>
            </w:pPr>
            <w:r w:rsidRPr="005538AD">
              <w:rPr>
                <w:szCs w:val="24"/>
              </w:rPr>
              <w:t xml:space="preserve">Выводим поле NAME из справочника D_KSPL_KVR. Сопоставляем по коду вида расходов (значение поля </w:t>
            </w:r>
            <w:r w:rsidRPr="005538AD">
              <w:rPr>
                <w:szCs w:val="24"/>
                <w:lang w:val="en-US"/>
              </w:rPr>
              <w:t>VR</w:t>
            </w:r>
            <w:r w:rsidRPr="005538AD">
              <w:rPr>
                <w:szCs w:val="24"/>
              </w:rPr>
              <w:t>_</w:t>
            </w:r>
            <w:r w:rsidRPr="005538AD">
              <w:rPr>
                <w:szCs w:val="24"/>
                <w:lang w:val="en-US"/>
              </w:rPr>
              <w:t>CODE</w:t>
            </w:r>
            <w:r w:rsidRPr="005538AD">
              <w:rPr>
                <w:szCs w:val="24"/>
              </w:rPr>
              <w:t xml:space="preserve"> должно быть равно значению  поля CODE справочника D_KSPL_KVR).</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Бюджетные ассигнования на текущий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APPROVBA</w:t>
            </w:r>
            <w:r w:rsidRPr="005538AD" w:rsidDel="008538AE">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Бюджетные ассигнования на первый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APPROVBA</w:t>
            </w:r>
            <w:r w:rsidRPr="005538AD">
              <w:rPr>
                <w:rFonts w:eastAsia="Calibri"/>
                <w:szCs w:val="24"/>
              </w:rPr>
              <w:t>1</w:t>
            </w:r>
            <w:r w:rsidRPr="005538AD" w:rsidDel="008538AE">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Бюджетные ассигнования на второй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APPROVBA</w:t>
            </w:r>
            <w:r w:rsidRPr="005538AD">
              <w:rPr>
                <w:rFonts w:eastAsia="Calibri"/>
                <w:szCs w:val="24"/>
              </w:rPr>
              <w:t>2</w:t>
            </w:r>
            <w:r w:rsidRPr="005538AD" w:rsidDel="008538AE">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Бюджетные ассигнования на текущий год (ф.128 ежеквартальная)</w:t>
            </w:r>
          </w:p>
        </w:tc>
        <w:tc>
          <w:tcPr>
            <w:tcW w:w="3388" w:type="pct"/>
          </w:tcPr>
          <w:p w:rsidR="00ED710A" w:rsidRPr="005538AD" w:rsidRDefault="00ED710A" w:rsidP="00F13F95">
            <w:pPr>
              <w:rPr>
                <w:color w:val="auto"/>
                <w:szCs w:val="24"/>
              </w:rPr>
            </w:pPr>
            <w:r w:rsidRPr="005538AD">
              <w:rPr>
                <w:color w:val="auto"/>
                <w:szCs w:val="24"/>
                <w:lang w:val="en-US"/>
              </w:rPr>
              <w:t>APPROVBA</w:t>
            </w:r>
            <w:r w:rsidRPr="005538AD">
              <w:rPr>
                <w:color w:val="auto"/>
                <w:szCs w:val="24"/>
              </w:rPr>
              <w:t xml:space="preserve"> таблицы </w:t>
            </w:r>
            <w:r w:rsidRPr="005538AD">
              <w:rPr>
                <w:color w:val="auto"/>
                <w:szCs w:val="24"/>
                <w:lang w:val="en-US"/>
              </w:rPr>
              <w:t>F</w:t>
            </w:r>
            <w:r w:rsidRPr="005538AD">
              <w:rPr>
                <w:color w:val="auto"/>
                <w:szCs w:val="24"/>
              </w:rPr>
              <w:t>_</w:t>
            </w:r>
            <w:r w:rsidRPr="005538AD">
              <w:rPr>
                <w:color w:val="auto"/>
                <w:szCs w:val="24"/>
                <w:lang w:val="en-US"/>
              </w:rPr>
              <w:t>FAIP</w:t>
            </w:r>
            <w:r w:rsidRPr="005538AD">
              <w:rPr>
                <w:color w:val="auto"/>
                <w:szCs w:val="24"/>
              </w:rPr>
              <w:t>_128.</w:t>
            </w:r>
          </w:p>
          <w:p w:rsidR="00ED710A" w:rsidRPr="005538AD" w:rsidRDefault="00ED710A" w:rsidP="00F13F95">
            <w:pPr>
              <w:rPr>
                <w:szCs w:val="24"/>
              </w:rPr>
            </w:pPr>
            <w:r w:rsidRPr="005538AD">
              <w:rPr>
                <w:szCs w:val="24"/>
              </w:rPr>
              <w:t xml:space="preserve">Связь по коду ФАИП и КБК (поле </w:t>
            </w:r>
            <w:r w:rsidRPr="005538AD">
              <w:rPr>
                <w:szCs w:val="24"/>
                <w:lang w:val="en-US"/>
              </w:rPr>
              <w:t>FAIPCODE</w:t>
            </w:r>
            <w:r w:rsidRPr="005538AD">
              <w:rPr>
                <w:szCs w:val="24"/>
              </w:rPr>
              <w:t xml:space="preserve"> и </w:t>
            </w:r>
            <w:r w:rsidRPr="005538AD">
              <w:rPr>
                <w:szCs w:val="24"/>
                <w:lang w:val="en-US"/>
              </w:rPr>
              <w:t>KBK</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_128).</w:t>
            </w:r>
          </w:p>
          <w:p w:rsidR="00ED710A" w:rsidRPr="005538AD" w:rsidRDefault="00ED710A" w:rsidP="00F13F95">
            <w:pPr>
              <w:rPr>
                <w:rFonts w:eastAsia="Calibri"/>
                <w:szCs w:val="24"/>
              </w:rPr>
            </w:pPr>
            <w:r w:rsidRPr="005538AD">
              <w:rPr>
                <w:szCs w:val="24"/>
              </w:rPr>
              <w:t xml:space="preserve">Отчетная дата – поле </w:t>
            </w:r>
            <w:r w:rsidRPr="005538AD">
              <w:rPr>
                <w:szCs w:val="24"/>
                <w:lang w:val="en-US"/>
              </w:rPr>
              <w:t>REPORTDATE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 xml:space="preserve">_128. </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Лимиты бюджетных обязательств на текущий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APPROVLBO</w:t>
            </w:r>
            <w:r w:rsidRPr="005538AD">
              <w:rPr>
                <w:rFonts w:eastAsia="Calibri"/>
                <w:szCs w:val="24"/>
              </w:rPr>
              <w:t xml:space="preserve">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 xml:space="preserve">. </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Лимиты бюджетных обязательств на первый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APPROVLBO</w:t>
            </w:r>
            <w:r w:rsidRPr="005538AD">
              <w:rPr>
                <w:rFonts w:eastAsia="Calibri"/>
                <w:szCs w:val="24"/>
              </w:rPr>
              <w:t xml:space="preserve">1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 xml:space="preserve">. </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Лимиты бюджетных обязательств на второй год</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APPROVLBO</w:t>
            </w:r>
            <w:r w:rsidRPr="005538AD">
              <w:rPr>
                <w:rFonts w:eastAsia="Calibri"/>
                <w:szCs w:val="24"/>
              </w:rPr>
              <w:t xml:space="preserve">2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r w:rsidRPr="005538AD">
              <w:rPr>
                <w:rFonts w:eastAsia="Calibri"/>
                <w:szCs w:val="24"/>
              </w:rPr>
              <w:t xml:space="preserve">. </w:t>
            </w:r>
          </w:p>
          <w:p w:rsidR="00ED710A" w:rsidRPr="005538AD" w:rsidRDefault="00ED710A" w:rsidP="00F13F95">
            <w:pPr>
              <w:rPr>
                <w:rFonts w:eastAsia="Calibri"/>
                <w:szCs w:val="24"/>
              </w:rPr>
            </w:pPr>
            <w:r w:rsidRPr="005538AD">
              <w:rPr>
                <w:rFonts w:eastAsia="Calibri"/>
                <w:szCs w:val="24"/>
              </w:rPr>
              <w:t>Связь таблиц:</w:t>
            </w:r>
          </w:p>
          <w:p w:rsidR="00ED710A" w:rsidRPr="005538AD" w:rsidRDefault="00ED710A" w:rsidP="00F13F95">
            <w:pPr>
              <w:rPr>
                <w:rFonts w:eastAsia="Calibri"/>
                <w:szCs w:val="24"/>
              </w:rPr>
            </w:pPr>
            <w:r w:rsidRPr="005538AD">
              <w:rPr>
                <w:rFonts w:eastAsia="Calibri"/>
                <w:szCs w:val="24"/>
              </w:rPr>
              <w:t xml:space="preserve"> </w:t>
            </w: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FAIP</w:t>
            </w:r>
            <w:r w:rsidRPr="005538AD">
              <w:rPr>
                <w:rFonts w:eastAsia="Calibri"/>
                <w:szCs w:val="24"/>
              </w:rPr>
              <w:t xml:space="preserve">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LBO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текущий год (оперативные данные)</w:t>
            </w:r>
          </w:p>
        </w:tc>
        <w:tc>
          <w:tcPr>
            <w:tcW w:w="3388" w:type="pct"/>
          </w:tcPr>
          <w:p w:rsidR="00ED710A" w:rsidRPr="005538AD" w:rsidRDefault="00ED710A" w:rsidP="00F13F95">
            <w:pPr>
              <w:pStyle w:val="affff2"/>
              <w:rPr>
                <w:sz w:val="24"/>
                <w:lang w:val="en-US"/>
              </w:rPr>
            </w:pPr>
            <w:r w:rsidRPr="005538AD">
              <w:rPr>
                <w:sz w:val="24"/>
              </w:rPr>
              <w:t>Поле</w:t>
            </w:r>
            <w:r w:rsidRPr="005538AD">
              <w:rPr>
                <w:sz w:val="24"/>
                <w:lang w:val="en-US" w:eastAsia="en-US"/>
              </w:rPr>
              <w:t xml:space="preserve"> AMOUNTYEAR</w:t>
            </w:r>
            <w:r w:rsidRPr="005538AD" w:rsidDel="00E51C36">
              <w:rPr>
                <w:sz w:val="24"/>
                <w:lang w:val="en-US"/>
              </w:rPr>
              <w:t xml:space="preserve"> </w:t>
            </w:r>
            <w:r w:rsidRPr="005538AD">
              <w:rPr>
                <w:sz w:val="24"/>
              </w:rPr>
              <w:t>из</w:t>
            </w:r>
            <w:r w:rsidRPr="005538AD">
              <w:rPr>
                <w:sz w:val="24"/>
                <w:lang w:val="en-US"/>
              </w:rPr>
              <w:t xml:space="preserve"> </w:t>
            </w:r>
            <w:r w:rsidRPr="005538AD">
              <w:rPr>
                <w:sz w:val="24"/>
              </w:rPr>
              <w:t>таблицы</w:t>
            </w:r>
            <w:r w:rsidRPr="005538AD">
              <w:rPr>
                <w:sz w:val="24"/>
                <w:lang w:val="en-US"/>
              </w:rPr>
              <w:t xml:space="preserve"> F_FAIP_BO.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первый год (оперативные данные)</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SUMFIRSTYEAR</w:t>
            </w:r>
            <w:r w:rsidRPr="005538AD" w:rsidDel="00E51C36">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rFonts w:eastAsia="Calibri"/>
                <w:szCs w:val="24"/>
              </w:rPr>
              <w:t>.</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второй год (оперативные данные)</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SUMSECONDYEAR</w:t>
            </w:r>
            <w:r w:rsidRPr="005538AD" w:rsidDel="00E51C36">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rFonts w:eastAsia="Calibri"/>
                <w:szCs w:val="24"/>
              </w:rPr>
              <w:t>.</w:t>
            </w:r>
          </w:p>
        </w:tc>
      </w:tr>
      <w:tr w:rsidR="00ED710A" w:rsidRPr="00991B9F"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текущий год (ф.0506604 ежемесячная)</w:t>
            </w:r>
          </w:p>
        </w:tc>
        <w:tc>
          <w:tcPr>
            <w:tcW w:w="3388" w:type="pct"/>
          </w:tcPr>
          <w:p w:rsidR="00ED710A" w:rsidRPr="005538AD" w:rsidRDefault="00ED710A" w:rsidP="00F13F95">
            <w:pPr>
              <w:pStyle w:val="affff2"/>
              <w:rPr>
                <w:sz w:val="24"/>
              </w:rPr>
            </w:pPr>
            <w:r w:rsidRPr="005538AD">
              <w:rPr>
                <w:sz w:val="24"/>
              </w:rPr>
              <w:t>Поле</w:t>
            </w:r>
            <w:r w:rsidRPr="005538AD">
              <w:rPr>
                <w:sz w:val="24"/>
                <w:lang w:eastAsia="en-US"/>
              </w:rPr>
              <w:t xml:space="preserve"> </w:t>
            </w:r>
            <w:r w:rsidRPr="005538AD">
              <w:rPr>
                <w:sz w:val="24"/>
                <w:lang w:val="en-US" w:eastAsia="en-US"/>
              </w:rPr>
              <w:t>AMOUNTYEAR</w:t>
            </w:r>
            <w:r w:rsidRPr="005538AD" w:rsidDel="00E51C36">
              <w:rPr>
                <w:sz w:val="24"/>
              </w:rPr>
              <w:t xml:space="preserve"> </w:t>
            </w:r>
            <w:r w:rsidRPr="005538AD">
              <w:rPr>
                <w:sz w:val="24"/>
              </w:rPr>
              <w:t xml:space="preserve">из таблицы </w:t>
            </w:r>
            <w:r w:rsidRPr="005538AD">
              <w:rPr>
                <w:sz w:val="24"/>
                <w:lang w:val="en-US"/>
              </w:rPr>
              <w:t>F</w:t>
            </w:r>
            <w:r w:rsidRPr="005538AD">
              <w:rPr>
                <w:sz w:val="24"/>
              </w:rPr>
              <w:t>_</w:t>
            </w:r>
            <w:r w:rsidRPr="005538AD">
              <w:rPr>
                <w:sz w:val="24"/>
                <w:lang w:val="en-US"/>
              </w:rPr>
              <w:t>FAIP</w:t>
            </w:r>
            <w:r w:rsidRPr="005538AD">
              <w:rPr>
                <w:sz w:val="24"/>
              </w:rPr>
              <w:t>_0506604.</w:t>
            </w:r>
          </w:p>
          <w:p w:rsidR="00ED710A" w:rsidRPr="005538AD" w:rsidRDefault="00ED710A" w:rsidP="00F13F95">
            <w:pPr>
              <w:pStyle w:val="affff2"/>
              <w:rPr>
                <w:sz w:val="24"/>
              </w:rPr>
            </w:pPr>
            <w:r w:rsidRPr="005538AD">
              <w:rPr>
                <w:sz w:val="24"/>
              </w:rPr>
              <w:t>Связь таблиц:</w:t>
            </w:r>
          </w:p>
          <w:p w:rsidR="00ED710A" w:rsidRPr="005538AD" w:rsidRDefault="00ED710A" w:rsidP="00F13F95">
            <w:pPr>
              <w:pStyle w:val="affff2"/>
              <w:rPr>
                <w:sz w:val="24"/>
                <w:lang w:val="en-US"/>
              </w:rPr>
            </w:pPr>
            <w:r w:rsidRPr="005538AD">
              <w:rPr>
                <w:rFonts w:eastAsia="Calibri"/>
                <w:sz w:val="24"/>
                <w:lang w:val="en-US"/>
              </w:rPr>
              <w:t>FAIPCODE</w:t>
            </w:r>
            <w:r w:rsidRPr="005538AD">
              <w:rPr>
                <w:sz w:val="24"/>
                <w:lang w:val="en-US"/>
              </w:rPr>
              <w:t xml:space="preserve"> = FAIPCODE (</w:t>
            </w:r>
            <w:r w:rsidRPr="005538AD">
              <w:rPr>
                <w:sz w:val="24"/>
              </w:rPr>
              <w:t>таблицы</w:t>
            </w:r>
            <w:r w:rsidRPr="005538AD">
              <w:rPr>
                <w:sz w:val="24"/>
                <w:lang w:val="en-US"/>
              </w:rPr>
              <w:t xml:space="preserve"> F_FAIP_0506604)</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первый год (ф.0506604 ежемесячная)</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SUMFIRSTYEAR</w:t>
            </w:r>
            <w:r w:rsidRPr="005538AD" w:rsidDel="00E51C36">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_0506604.</w:t>
            </w:r>
          </w:p>
          <w:p w:rsidR="00ED710A" w:rsidRPr="005538AD" w:rsidRDefault="00ED710A" w:rsidP="00F13F95">
            <w:pPr>
              <w:pStyle w:val="affff2"/>
              <w:rPr>
                <w:sz w:val="24"/>
              </w:rPr>
            </w:pPr>
            <w:r w:rsidRPr="005538AD">
              <w:rPr>
                <w:sz w:val="24"/>
              </w:rPr>
              <w:t>Связь таблиц:</w:t>
            </w:r>
          </w:p>
          <w:p w:rsidR="00ED710A" w:rsidRPr="005538AD" w:rsidRDefault="00ED710A" w:rsidP="00F13F95">
            <w:pPr>
              <w:rPr>
                <w:rFonts w:eastAsia="Calibri"/>
                <w:szCs w:val="24"/>
              </w:rPr>
            </w:pPr>
            <w:r w:rsidRPr="005538AD">
              <w:rPr>
                <w:rFonts w:eastAsia="Calibri"/>
                <w:szCs w:val="24"/>
                <w:lang w:val="en-US"/>
              </w:rPr>
              <w:t>FAIPCODE</w:t>
            </w:r>
            <w:r w:rsidRPr="005538AD">
              <w:rPr>
                <w:szCs w:val="24"/>
              </w:rPr>
              <w:t xml:space="preserve"> = </w:t>
            </w:r>
            <w:r w:rsidRPr="005538AD">
              <w:rPr>
                <w:szCs w:val="24"/>
                <w:lang w:val="en-US"/>
              </w:rPr>
              <w:t>FAIPCODE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_0506604)</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второй год (ф.0506604 ежемесячная)</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SUMSECONDYEAR</w:t>
            </w:r>
            <w:r w:rsidRPr="005538AD" w:rsidDel="00E51C36">
              <w:rPr>
                <w:rFonts w:eastAsia="Calibri"/>
                <w:szCs w:val="24"/>
              </w:rPr>
              <w:t xml:space="preserve"> </w:t>
            </w:r>
            <w:r w:rsidRPr="005538AD">
              <w:rPr>
                <w:rFonts w:eastAsia="Calibri"/>
                <w:szCs w:val="24"/>
              </w:rPr>
              <w:t xml:space="preserve">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_0506604.</w:t>
            </w:r>
          </w:p>
          <w:p w:rsidR="00ED710A" w:rsidRPr="005538AD" w:rsidRDefault="00ED710A" w:rsidP="00F13F95">
            <w:pPr>
              <w:pStyle w:val="affff2"/>
              <w:rPr>
                <w:sz w:val="24"/>
              </w:rPr>
            </w:pPr>
            <w:r w:rsidRPr="005538AD">
              <w:rPr>
                <w:sz w:val="24"/>
              </w:rPr>
              <w:t>Связь таблиц:</w:t>
            </w:r>
          </w:p>
          <w:p w:rsidR="00ED710A" w:rsidRPr="005538AD" w:rsidRDefault="00ED710A" w:rsidP="00F13F95">
            <w:pPr>
              <w:rPr>
                <w:rFonts w:eastAsia="Calibri"/>
                <w:szCs w:val="24"/>
              </w:rPr>
            </w:pPr>
            <w:r w:rsidRPr="005538AD">
              <w:rPr>
                <w:rFonts w:eastAsia="Calibri"/>
                <w:szCs w:val="24"/>
                <w:lang w:val="en-US"/>
              </w:rPr>
              <w:t>FAIPCODE</w:t>
            </w:r>
            <w:r w:rsidRPr="005538AD">
              <w:rPr>
                <w:szCs w:val="24"/>
              </w:rPr>
              <w:t xml:space="preserve"> = </w:t>
            </w:r>
            <w:r w:rsidRPr="005538AD">
              <w:rPr>
                <w:szCs w:val="24"/>
                <w:lang w:val="en-US"/>
              </w:rPr>
              <w:t>FAIPCODE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_0506604)</w:t>
            </w:r>
          </w:p>
        </w:tc>
      </w:tr>
      <w:tr w:rsidR="00ED710A" w:rsidRPr="00991B9F"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БО на текущий год  (ПУР)</w:t>
            </w:r>
          </w:p>
        </w:tc>
        <w:tc>
          <w:tcPr>
            <w:tcW w:w="3388" w:type="pct"/>
          </w:tcPr>
          <w:p w:rsidR="00ED710A" w:rsidRPr="005538AD" w:rsidRDefault="00ED710A" w:rsidP="00F13F95">
            <w:pPr>
              <w:rPr>
                <w:szCs w:val="24"/>
                <w:lang w:val="en-US"/>
              </w:rPr>
            </w:pPr>
            <w:r w:rsidRPr="005538AD">
              <w:rPr>
                <w:szCs w:val="24"/>
              </w:rPr>
              <w:t>Поле</w:t>
            </w:r>
            <w:r w:rsidRPr="005538AD">
              <w:rPr>
                <w:szCs w:val="24"/>
                <w:lang w:val="en-US"/>
              </w:rPr>
              <w:t xml:space="preserve"> SUMBO </w:t>
            </w:r>
            <w:r w:rsidRPr="005538AD">
              <w:rPr>
                <w:szCs w:val="24"/>
              </w:rPr>
              <w:t>таблицы</w:t>
            </w:r>
            <w:r w:rsidRPr="005538AD">
              <w:rPr>
                <w:szCs w:val="24"/>
                <w:lang w:val="en-US"/>
              </w:rPr>
              <w:t xml:space="preserve"> T_PIAO_BODOTEST_KBK.</w:t>
            </w:r>
          </w:p>
          <w:p w:rsidR="00ED710A" w:rsidRPr="005538AD" w:rsidRDefault="00ED710A" w:rsidP="00F13F95">
            <w:pPr>
              <w:rPr>
                <w:szCs w:val="24"/>
                <w:lang w:val="en-US"/>
              </w:rPr>
            </w:pPr>
            <w:r w:rsidRPr="005538AD">
              <w:rPr>
                <w:szCs w:val="24"/>
              </w:rPr>
              <w:t>Связь</w:t>
            </w:r>
            <w:r w:rsidRPr="005538AD">
              <w:rPr>
                <w:szCs w:val="24"/>
                <w:lang w:val="en-US"/>
              </w:rPr>
              <w:t xml:space="preserve"> </w:t>
            </w:r>
            <w:r w:rsidRPr="005538AD">
              <w:rPr>
                <w:szCs w:val="24"/>
              </w:rPr>
              <w:t>таблиц</w:t>
            </w:r>
            <w:r w:rsidRPr="005538AD">
              <w:rPr>
                <w:szCs w:val="24"/>
                <w:lang w:val="en-US"/>
              </w:rPr>
              <w:t>:</w:t>
            </w:r>
          </w:p>
          <w:p w:rsidR="00ED710A" w:rsidRPr="005538AD" w:rsidRDefault="00ED710A" w:rsidP="00F13F95">
            <w:pPr>
              <w:rPr>
                <w:szCs w:val="24"/>
                <w:lang w:val="en-US"/>
              </w:rPr>
            </w:pPr>
            <w:r w:rsidRPr="005538AD">
              <w:rPr>
                <w:rFonts w:eastAsia="Calibri"/>
                <w:szCs w:val="24"/>
                <w:lang w:val="en-US"/>
              </w:rPr>
              <w:t xml:space="preserve">FAIPCODE = CODEFAIP_MPI </w:t>
            </w:r>
            <w:r w:rsidRPr="005538AD">
              <w:rPr>
                <w:rFonts w:eastAsia="Calibri"/>
                <w:szCs w:val="24"/>
              </w:rPr>
              <w:t>таблицы</w:t>
            </w:r>
            <w:r w:rsidRPr="005538AD">
              <w:rPr>
                <w:rFonts w:eastAsia="Calibri"/>
                <w:szCs w:val="24"/>
                <w:lang w:val="en-US"/>
              </w:rPr>
              <w:t xml:space="preserve"> </w:t>
            </w:r>
            <w:r w:rsidRPr="005538AD">
              <w:rPr>
                <w:szCs w:val="24"/>
                <w:lang w:val="en-US"/>
              </w:rPr>
              <w:t>T_PIAO_BODOTEST_KBK.</w:t>
            </w:r>
          </w:p>
          <w:p w:rsidR="00ED710A" w:rsidRPr="005538AD" w:rsidRDefault="00ED710A" w:rsidP="00F13F95">
            <w:pPr>
              <w:rPr>
                <w:szCs w:val="24"/>
                <w:lang w:val="en-US"/>
              </w:rPr>
            </w:pPr>
            <w:r w:rsidRPr="005538AD">
              <w:rPr>
                <w:szCs w:val="24"/>
              </w:rPr>
              <w:t>Должно</w:t>
            </w:r>
            <w:r w:rsidRPr="005538AD">
              <w:rPr>
                <w:szCs w:val="24"/>
                <w:lang w:val="en-US"/>
              </w:rPr>
              <w:t xml:space="preserve"> </w:t>
            </w:r>
            <w:r w:rsidRPr="005538AD">
              <w:rPr>
                <w:szCs w:val="24"/>
              </w:rPr>
              <w:t>соблюдаться</w:t>
            </w:r>
            <w:r w:rsidRPr="005538AD">
              <w:rPr>
                <w:szCs w:val="24"/>
                <w:lang w:val="en-US"/>
              </w:rPr>
              <w:t xml:space="preserve"> </w:t>
            </w:r>
            <w:r w:rsidRPr="005538AD">
              <w:rPr>
                <w:szCs w:val="24"/>
              </w:rPr>
              <w:t>условие</w:t>
            </w:r>
            <w:r w:rsidRPr="005538AD">
              <w:rPr>
                <w:szCs w:val="24"/>
                <w:lang w:val="en-US"/>
              </w:rPr>
              <w:t>:</w:t>
            </w:r>
          </w:p>
          <w:p w:rsidR="00ED710A" w:rsidRPr="005538AD" w:rsidRDefault="00ED710A" w:rsidP="00F13F95">
            <w:pPr>
              <w:rPr>
                <w:szCs w:val="24"/>
                <w:lang w:val="en-US"/>
              </w:rPr>
            </w:pPr>
            <w:r w:rsidRPr="005538AD">
              <w:rPr>
                <w:szCs w:val="24"/>
              </w:rPr>
              <w:t>Год</w:t>
            </w:r>
            <w:r w:rsidRPr="005538AD">
              <w:rPr>
                <w:szCs w:val="24"/>
                <w:lang w:val="en-US"/>
              </w:rPr>
              <w:t xml:space="preserve"> </w:t>
            </w:r>
            <w:r w:rsidRPr="005538AD">
              <w:rPr>
                <w:szCs w:val="24"/>
              </w:rPr>
              <w:t>из</w:t>
            </w:r>
            <w:r w:rsidRPr="005538AD">
              <w:rPr>
                <w:szCs w:val="24"/>
                <w:lang w:val="en-US"/>
              </w:rPr>
              <w:t xml:space="preserve"> </w:t>
            </w:r>
            <w:r w:rsidRPr="005538AD">
              <w:rPr>
                <w:szCs w:val="24"/>
              </w:rPr>
              <w:t>поля</w:t>
            </w:r>
            <w:r w:rsidRPr="005538AD">
              <w:rPr>
                <w:szCs w:val="24"/>
                <w:lang w:val="en-US"/>
              </w:rPr>
              <w:t xml:space="preserve"> REPORTDATE </w:t>
            </w:r>
            <w:r w:rsidRPr="005538AD">
              <w:rPr>
                <w:szCs w:val="24"/>
              </w:rPr>
              <w:t>таблицы</w:t>
            </w:r>
            <w:r w:rsidRPr="005538AD">
              <w:rPr>
                <w:szCs w:val="24"/>
                <w:lang w:val="en-US"/>
              </w:rPr>
              <w:t xml:space="preserve"> F_FAIP_BO </w:t>
            </w:r>
            <w:r w:rsidRPr="005538AD">
              <w:rPr>
                <w:szCs w:val="24"/>
              </w:rPr>
              <w:t>равен</w:t>
            </w:r>
            <w:r w:rsidRPr="005538AD">
              <w:rPr>
                <w:szCs w:val="24"/>
                <w:lang w:val="en-US"/>
              </w:rPr>
              <w:t xml:space="preserve">  </w:t>
            </w:r>
            <w:r w:rsidRPr="005538AD">
              <w:rPr>
                <w:szCs w:val="24"/>
              </w:rPr>
              <w:t>году</w:t>
            </w:r>
            <w:r w:rsidRPr="005538AD">
              <w:rPr>
                <w:szCs w:val="24"/>
                <w:lang w:val="en-US"/>
              </w:rPr>
              <w:t xml:space="preserve"> </w:t>
            </w:r>
            <w:r w:rsidRPr="005538AD">
              <w:rPr>
                <w:szCs w:val="24"/>
              </w:rPr>
              <w:t>из</w:t>
            </w:r>
            <w:r w:rsidRPr="005538AD">
              <w:rPr>
                <w:szCs w:val="24"/>
                <w:lang w:val="en-US"/>
              </w:rPr>
              <w:t xml:space="preserve"> </w:t>
            </w:r>
            <w:r w:rsidRPr="005538AD">
              <w:rPr>
                <w:szCs w:val="24"/>
              </w:rPr>
              <w:t>поля</w:t>
            </w:r>
            <w:r w:rsidRPr="005538AD">
              <w:rPr>
                <w:szCs w:val="24"/>
                <w:lang w:val="en-US"/>
              </w:rPr>
              <w:t xml:space="preserve"> PARAMYEAR </w:t>
            </w:r>
            <w:r w:rsidRPr="005538AD">
              <w:rPr>
                <w:szCs w:val="24"/>
              </w:rPr>
              <w:t>таблицы</w:t>
            </w:r>
            <w:r w:rsidRPr="005538AD">
              <w:rPr>
                <w:szCs w:val="24"/>
                <w:lang w:val="en-US"/>
              </w:rPr>
              <w:t xml:space="preserve"> T_PIAO_BODOTEST_KBK</w:t>
            </w:r>
          </w:p>
        </w:tc>
      </w:tr>
      <w:tr w:rsidR="00ED710A" w:rsidRPr="00991B9F"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ДО на текущий год (оперативные данные)</w:t>
            </w:r>
          </w:p>
        </w:tc>
        <w:tc>
          <w:tcPr>
            <w:tcW w:w="3388" w:type="pct"/>
          </w:tcPr>
          <w:p w:rsidR="00ED710A" w:rsidRPr="005538AD" w:rsidRDefault="00ED710A" w:rsidP="00F13F95">
            <w:pPr>
              <w:rPr>
                <w:rFonts w:eastAsia="Calibri"/>
                <w:szCs w:val="24"/>
                <w:lang w:val="en-US"/>
              </w:rPr>
            </w:pPr>
            <w:r w:rsidRPr="005538AD">
              <w:rPr>
                <w:rFonts w:eastAsia="Calibri"/>
                <w:szCs w:val="24"/>
              </w:rPr>
              <w:t>Поле</w:t>
            </w:r>
            <w:r w:rsidRPr="005538AD">
              <w:rPr>
                <w:rFonts w:eastAsia="Calibri"/>
                <w:szCs w:val="24"/>
                <w:lang w:val="en-US"/>
              </w:rPr>
              <w:t xml:space="preserve"> DOCONFIRMATION</w:t>
            </w:r>
            <w:r w:rsidRPr="005538AD" w:rsidDel="00E51C36">
              <w:rPr>
                <w:rFonts w:eastAsia="Calibri"/>
                <w:szCs w:val="24"/>
                <w:lang w:val="en-US"/>
              </w:rPr>
              <w:t xml:space="preserve"> </w:t>
            </w:r>
            <w:r w:rsidRPr="005538AD">
              <w:rPr>
                <w:rFonts w:eastAsia="Calibri"/>
                <w:szCs w:val="24"/>
              </w:rPr>
              <w:t>из</w:t>
            </w:r>
            <w:r w:rsidRPr="005538AD">
              <w:rPr>
                <w:rFonts w:eastAsia="Calibri"/>
                <w:szCs w:val="24"/>
                <w:lang w:val="en-US"/>
              </w:rPr>
              <w:t xml:space="preserve"> </w:t>
            </w:r>
            <w:r w:rsidRPr="005538AD">
              <w:rPr>
                <w:rFonts w:eastAsia="Calibri"/>
                <w:szCs w:val="24"/>
              </w:rPr>
              <w:t>таблицы</w:t>
            </w:r>
            <w:r w:rsidRPr="005538AD">
              <w:rPr>
                <w:rFonts w:eastAsia="Calibri"/>
                <w:szCs w:val="24"/>
                <w:lang w:val="en-US"/>
              </w:rPr>
              <w:t xml:space="preserve"> F_FAIP_BO.</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Сумма ДО на текущий год (ПУР)</w:t>
            </w:r>
          </w:p>
        </w:tc>
        <w:tc>
          <w:tcPr>
            <w:tcW w:w="3388" w:type="pct"/>
          </w:tcPr>
          <w:p w:rsidR="00ED710A" w:rsidRPr="005538AD" w:rsidRDefault="00ED710A" w:rsidP="00F13F95">
            <w:pPr>
              <w:rPr>
                <w:szCs w:val="24"/>
              </w:rPr>
            </w:pPr>
            <w:r w:rsidRPr="005538AD">
              <w:rPr>
                <w:szCs w:val="24"/>
              </w:rPr>
              <w:t xml:space="preserve">Поле </w:t>
            </w:r>
            <w:r w:rsidRPr="005538AD">
              <w:rPr>
                <w:szCs w:val="24"/>
                <w:lang w:val="en-US"/>
              </w:rPr>
              <w:t>SUMDO</w:t>
            </w:r>
            <w:r w:rsidRPr="005538AD">
              <w:rPr>
                <w:szCs w:val="24"/>
              </w:rPr>
              <w:t xml:space="preserve"> таблицы </w:t>
            </w:r>
            <w:r w:rsidRPr="005538AD">
              <w:rPr>
                <w:szCs w:val="24"/>
                <w:lang w:val="en-US"/>
              </w:rPr>
              <w:t>T</w:t>
            </w:r>
            <w:r w:rsidRPr="005538AD">
              <w:rPr>
                <w:szCs w:val="24"/>
              </w:rPr>
              <w:t>_</w:t>
            </w:r>
            <w:r w:rsidRPr="005538AD">
              <w:rPr>
                <w:szCs w:val="24"/>
                <w:lang w:val="en-US"/>
              </w:rPr>
              <w:t>PIAO</w:t>
            </w:r>
            <w:r w:rsidRPr="005538AD">
              <w:rPr>
                <w:szCs w:val="24"/>
              </w:rPr>
              <w:t>_</w:t>
            </w:r>
            <w:r w:rsidRPr="005538AD">
              <w:rPr>
                <w:szCs w:val="24"/>
                <w:lang w:val="en-US"/>
              </w:rPr>
              <w:t>BODOTEST</w:t>
            </w:r>
            <w:r w:rsidRPr="005538AD">
              <w:rPr>
                <w:szCs w:val="24"/>
              </w:rPr>
              <w:t>_</w:t>
            </w:r>
            <w:r w:rsidRPr="005538AD">
              <w:rPr>
                <w:szCs w:val="24"/>
                <w:lang w:val="en-US"/>
              </w:rPr>
              <w:t>KBK</w:t>
            </w:r>
            <w:r w:rsidRPr="005538AD">
              <w:rPr>
                <w:szCs w:val="24"/>
              </w:rPr>
              <w:t>.</w:t>
            </w:r>
          </w:p>
          <w:p w:rsidR="00ED710A" w:rsidRPr="005538AD" w:rsidRDefault="00ED710A" w:rsidP="00F13F95">
            <w:pPr>
              <w:rPr>
                <w:szCs w:val="24"/>
              </w:rPr>
            </w:pPr>
            <w:r w:rsidRPr="005538AD">
              <w:rPr>
                <w:szCs w:val="24"/>
              </w:rPr>
              <w:t>Связь таблиц:</w:t>
            </w:r>
          </w:p>
          <w:p w:rsidR="00ED710A" w:rsidRPr="005538AD" w:rsidRDefault="00ED710A" w:rsidP="00F13F95">
            <w:pPr>
              <w:rPr>
                <w:szCs w:val="24"/>
              </w:rPr>
            </w:pPr>
            <w:r w:rsidRPr="005538AD">
              <w:rPr>
                <w:rFonts w:eastAsia="Calibri"/>
                <w:szCs w:val="24"/>
                <w:lang w:val="en-US"/>
              </w:rPr>
              <w:t>FAIPCODE</w:t>
            </w:r>
            <w:r w:rsidRPr="005538AD">
              <w:rPr>
                <w:rFonts w:eastAsia="Calibri"/>
                <w:szCs w:val="24"/>
              </w:rPr>
              <w:t xml:space="preserve"> = </w:t>
            </w:r>
            <w:r w:rsidRPr="005538AD">
              <w:rPr>
                <w:rFonts w:eastAsia="Calibri"/>
                <w:szCs w:val="24"/>
                <w:lang w:val="en-US"/>
              </w:rPr>
              <w:t>CODEFAIP</w:t>
            </w:r>
            <w:r w:rsidRPr="005538AD">
              <w:rPr>
                <w:rFonts w:eastAsia="Calibri"/>
                <w:szCs w:val="24"/>
              </w:rPr>
              <w:t>_</w:t>
            </w:r>
            <w:r w:rsidRPr="005538AD">
              <w:rPr>
                <w:rFonts w:eastAsia="Calibri"/>
                <w:szCs w:val="24"/>
                <w:lang w:val="en-US"/>
              </w:rPr>
              <w:t>MPI</w:t>
            </w:r>
            <w:r w:rsidRPr="005538AD">
              <w:rPr>
                <w:rFonts w:eastAsia="Calibri"/>
                <w:szCs w:val="24"/>
              </w:rPr>
              <w:t xml:space="preserve"> таблицы </w:t>
            </w:r>
            <w:r w:rsidRPr="005538AD">
              <w:rPr>
                <w:szCs w:val="24"/>
                <w:lang w:val="en-US"/>
              </w:rPr>
              <w:t>T</w:t>
            </w:r>
            <w:r w:rsidRPr="005538AD">
              <w:rPr>
                <w:szCs w:val="24"/>
              </w:rPr>
              <w:t>_</w:t>
            </w:r>
            <w:r w:rsidRPr="005538AD">
              <w:rPr>
                <w:szCs w:val="24"/>
                <w:lang w:val="en-US"/>
              </w:rPr>
              <w:t>PIAO</w:t>
            </w:r>
            <w:r w:rsidRPr="005538AD">
              <w:rPr>
                <w:szCs w:val="24"/>
              </w:rPr>
              <w:t>_</w:t>
            </w:r>
            <w:r w:rsidRPr="005538AD">
              <w:rPr>
                <w:szCs w:val="24"/>
                <w:lang w:val="en-US"/>
              </w:rPr>
              <w:t>BODOTEST</w:t>
            </w:r>
            <w:r w:rsidRPr="005538AD">
              <w:rPr>
                <w:szCs w:val="24"/>
              </w:rPr>
              <w:t>_</w:t>
            </w:r>
            <w:r w:rsidRPr="005538AD">
              <w:rPr>
                <w:szCs w:val="24"/>
                <w:lang w:val="en-US"/>
              </w:rPr>
              <w:t>KBK</w:t>
            </w:r>
            <w:r w:rsidRPr="005538AD">
              <w:rPr>
                <w:szCs w:val="24"/>
              </w:rPr>
              <w:t>.</w:t>
            </w:r>
          </w:p>
          <w:p w:rsidR="00ED710A" w:rsidRPr="005538AD" w:rsidRDefault="00ED710A" w:rsidP="00F13F95">
            <w:pPr>
              <w:rPr>
                <w:szCs w:val="24"/>
              </w:rPr>
            </w:pPr>
            <w:r w:rsidRPr="005538AD">
              <w:rPr>
                <w:szCs w:val="24"/>
              </w:rPr>
              <w:t>Должно соблюдаться условие:</w:t>
            </w:r>
          </w:p>
          <w:p w:rsidR="00ED710A" w:rsidRPr="005538AD" w:rsidRDefault="00ED710A" w:rsidP="00F13F95">
            <w:pPr>
              <w:rPr>
                <w:szCs w:val="24"/>
              </w:rPr>
            </w:pPr>
            <w:r w:rsidRPr="005538AD">
              <w:rPr>
                <w:szCs w:val="24"/>
              </w:rPr>
              <w:t xml:space="preserve">Год из поля </w:t>
            </w:r>
            <w:r w:rsidRPr="005538AD">
              <w:rPr>
                <w:szCs w:val="24"/>
                <w:lang w:val="en-US"/>
              </w:rPr>
              <w:t>REPORTDATE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w:t>
            </w:r>
            <w:r w:rsidRPr="005538AD">
              <w:rPr>
                <w:szCs w:val="24"/>
                <w:lang w:val="en-US"/>
              </w:rPr>
              <w:t>BO</w:t>
            </w:r>
            <w:r w:rsidRPr="005538AD">
              <w:rPr>
                <w:szCs w:val="24"/>
              </w:rPr>
              <w:t xml:space="preserve"> равен  году из поля </w:t>
            </w:r>
            <w:r w:rsidRPr="005538AD">
              <w:rPr>
                <w:szCs w:val="24"/>
                <w:lang w:val="en-US"/>
              </w:rPr>
              <w:t>PARAMYEAR</w:t>
            </w:r>
            <w:r w:rsidRPr="005538AD">
              <w:rPr>
                <w:szCs w:val="24"/>
              </w:rPr>
              <w:t xml:space="preserve"> таблицы </w:t>
            </w:r>
            <w:r w:rsidRPr="005538AD">
              <w:rPr>
                <w:szCs w:val="24"/>
                <w:lang w:val="en-US"/>
              </w:rPr>
              <w:t>T</w:t>
            </w:r>
            <w:r w:rsidRPr="005538AD">
              <w:rPr>
                <w:szCs w:val="24"/>
              </w:rPr>
              <w:t>_</w:t>
            </w:r>
            <w:r w:rsidRPr="005538AD">
              <w:rPr>
                <w:szCs w:val="24"/>
                <w:lang w:val="en-US"/>
              </w:rPr>
              <w:t>PIAO</w:t>
            </w:r>
            <w:r w:rsidRPr="005538AD">
              <w:rPr>
                <w:szCs w:val="24"/>
              </w:rPr>
              <w:t>_</w:t>
            </w:r>
            <w:r w:rsidRPr="005538AD">
              <w:rPr>
                <w:szCs w:val="24"/>
                <w:lang w:val="en-US"/>
              </w:rPr>
              <w:t>BODOTEST</w:t>
            </w:r>
            <w:r w:rsidRPr="005538AD">
              <w:rPr>
                <w:szCs w:val="24"/>
              </w:rPr>
              <w:t>_</w:t>
            </w:r>
            <w:r w:rsidRPr="005538AD">
              <w:rPr>
                <w:szCs w:val="24"/>
                <w:lang w:val="en-US"/>
              </w:rPr>
              <w:t>KBK</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Исполнение (оперативные данные)</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SUMMAPAID</w:t>
            </w:r>
            <w:r w:rsidRPr="005538AD">
              <w:rPr>
                <w:rFonts w:eastAsia="Calibri"/>
                <w:szCs w:val="24"/>
              </w:rPr>
              <w:t>_</w:t>
            </w:r>
            <w:r w:rsidRPr="005538AD">
              <w:rPr>
                <w:rFonts w:eastAsia="Calibri"/>
                <w:szCs w:val="24"/>
                <w:lang w:val="en-US"/>
              </w:rPr>
              <w:t>BO</w:t>
            </w:r>
            <w:r w:rsidRPr="005538AD">
              <w:rPr>
                <w:rFonts w:eastAsia="Calibri"/>
                <w:szCs w:val="24"/>
              </w:rPr>
              <w:t xml:space="preserve">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w:t>
            </w:r>
            <w:r w:rsidRPr="005538AD">
              <w:rPr>
                <w:rFonts w:eastAsia="Calibri"/>
                <w:szCs w:val="24"/>
                <w:lang w:val="en-US"/>
              </w:rPr>
              <w:t>BO</w:t>
            </w:r>
            <w:r w:rsidRPr="005538AD">
              <w:rPr>
                <w:rFonts w:eastAsia="Calibri"/>
                <w:szCs w:val="24"/>
              </w:rPr>
              <w:t>.</w:t>
            </w:r>
          </w:p>
          <w:p w:rsidR="00ED710A" w:rsidRPr="005538AD" w:rsidRDefault="00ED710A" w:rsidP="00F13F95">
            <w:pPr>
              <w:rPr>
                <w:rFonts w:eastAsia="Calibri"/>
                <w:szCs w:val="24"/>
              </w:rPr>
            </w:pP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Исполнение (ф.0506604 ежемесячная)</w:t>
            </w:r>
          </w:p>
        </w:tc>
        <w:tc>
          <w:tcPr>
            <w:tcW w:w="3388" w:type="pct"/>
          </w:tcPr>
          <w:p w:rsidR="00ED710A" w:rsidRPr="005538AD" w:rsidRDefault="00ED710A" w:rsidP="00F13F95">
            <w:pPr>
              <w:rPr>
                <w:rFonts w:eastAsia="Calibri"/>
                <w:szCs w:val="24"/>
              </w:rPr>
            </w:pPr>
            <w:r w:rsidRPr="005538AD">
              <w:rPr>
                <w:rFonts w:eastAsia="Calibri"/>
                <w:szCs w:val="24"/>
              </w:rPr>
              <w:t xml:space="preserve">Поле </w:t>
            </w:r>
            <w:r w:rsidRPr="005538AD">
              <w:rPr>
                <w:rFonts w:eastAsia="Calibri"/>
                <w:szCs w:val="24"/>
                <w:lang w:val="en-US"/>
              </w:rPr>
              <w:t>PAID</w:t>
            </w:r>
            <w:r w:rsidRPr="005538AD">
              <w:rPr>
                <w:rFonts w:eastAsia="Calibri"/>
                <w:szCs w:val="24"/>
              </w:rPr>
              <w:t>_</w:t>
            </w:r>
            <w:r w:rsidRPr="005538AD">
              <w:rPr>
                <w:rFonts w:eastAsia="Calibri"/>
                <w:szCs w:val="24"/>
                <w:lang w:val="en-US"/>
              </w:rPr>
              <w:t>BO</w:t>
            </w:r>
            <w:r w:rsidRPr="005538AD">
              <w:rPr>
                <w:rFonts w:eastAsia="Calibri"/>
                <w:szCs w:val="24"/>
              </w:rPr>
              <w:t xml:space="preserve"> из таблицы </w:t>
            </w:r>
            <w:r w:rsidRPr="005538AD">
              <w:rPr>
                <w:rFonts w:eastAsia="Calibri"/>
                <w:szCs w:val="24"/>
                <w:lang w:val="en-US"/>
              </w:rPr>
              <w:t>F</w:t>
            </w:r>
            <w:r w:rsidRPr="005538AD">
              <w:rPr>
                <w:rFonts w:eastAsia="Calibri"/>
                <w:szCs w:val="24"/>
              </w:rPr>
              <w:t>_</w:t>
            </w:r>
            <w:r w:rsidRPr="005538AD">
              <w:rPr>
                <w:rFonts w:eastAsia="Calibri"/>
                <w:szCs w:val="24"/>
                <w:lang w:val="en-US"/>
              </w:rPr>
              <w:t>FAIP</w:t>
            </w:r>
            <w:r w:rsidRPr="005538AD">
              <w:rPr>
                <w:rFonts w:eastAsia="Calibri"/>
                <w:szCs w:val="24"/>
              </w:rPr>
              <w:t>_0506604.</w:t>
            </w:r>
          </w:p>
          <w:p w:rsidR="00ED710A" w:rsidRPr="005538AD" w:rsidRDefault="00ED710A" w:rsidP="00F13F95">
            <w:pPr>
              <w:pStyle w:val="affff2"/>
              <w:rPr>
                <w:sz w:val="24"/>
              </w:rPr>
            </w:pPr>
            <w:r w:rsidRPr="005538AD">
              <w:rPr>
                <w:sz w:val="24"/>
              </w:rPr>
              <w:t>Связь таблиц:</w:t>
            </w:r>
          </w:p>
          <w:p w:rsidR="00ED710A" w:rsidRPr="005538AD" w:rsidRDefault="00ED710A" w:rsidP="00F13F95">
            <w:pPr>
              <w:spacing w:after="200"/>
              <w:rPr>
                <w:rFonts w:eastAsia="Calibri"/>
                <w:szCs w:val="24"/>
              </w:rPr>
            </w:pPr>
            <w:r w:rsidRPr="005538AD">
              <w:rPr>
                <w:rFonts w:eastAsia="Calibri"/>
                <w:szCs w:val="24"/>
                <w:lang w:val="en-US"/>
              </w:rPr>
              <w:t>FAIPCODE</w:t>
            </w:r>
            <w:r w:rsidRPr="005538AD">
              <w:rPr>
                <w:szCs w:val="24"/>
              </w:rPr>
              <w:t xml:space="preserve"> = </w:t>
            </w:r>
            <w:r w:rsidRPr="005538AD">
              <w:rPr>
                <w:szCs w:val="24"/>
                <w:lang w:val="en-US"/>
              </w:rPr>
              <w:t>FAIPCODE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_0506604)</w:t>
            </w:r>
          </w:p>
        </w:tc>
      </w:tr>
      <w:tr w:rsidR="00ED710A" w:rsidRPr="00991B9F"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Исполнение (ПУР)</w:t>
            </w:r>
          </w:p>
        </w:tc>
        <w:tc>
          <w:tcPr>
            <w:tcW w:w="3388" w:type="pct"/>
          </w:tcPr>
          <w:p w:rsidR="00ED710A" w:rsidRPr="005538AD" w:rsidRDefault="00ED710A" w:rsidP="00F13F95">
            <w:pPr>
              <w:rPr>
                <w:szCs w:val="24"/>
                <w:lang w:val="en-US"/>
              </w:rPr>
            </w:pPr>
            <w:r w:rsidRPr="005538AD">
              <w:rPr>
                <w:szCs w:val="24"/>
              </w:rPr>
              <w:t>Поле</w:t>
            </w:r>
            <w:r w:rsidRPr="005538AD">
              <w:rPr>
                <w:szCs w:val="24"/>
                <w:lang w:val="en-US"/>
              </w:rPr>
              <w:t xml:space="preserve"> PAIDBO </w:t>
            </w:r>
            <w:r w:rsidRPr="005538AD">
              <w:rPr>
                <w:szCs w:val="24"/>
              </w:rPr>
              <w:t>таблицы</w:t>
            </w:r>
            <w:r w:rsidRPr="005538AD">
              <w:rPr>
                <w:szCs w:val="24"/>
                <w:lang w:val="en-US"/>
              </w:rPr>
              <w:t xml:space="preserve"> T_PIAO_BODOTEST_KBK.</w:t>
            </w:r>
          </w:p>
          <w:p w:rsidR="00ED710A" w:rsidRPr="005538AD" w:rsidRDefault="00ED710A" w:rsidP="00F13F95">
            <w:pPr>
              <w:rPr>
                <w:szCs w:val="24"/>
                <w:lang w:val="en-US"/>
              </w:rPr>
            </w:pPr>
            <w:r w:rsidRPr="005538AD">
              <w:rPr>
                <w:szCs w:val="24"/>
              </w:rPr>
              <w:t>Связь</w:t>
            </w:r>
            <w:r w:rsidRPr="005538AD">
              <w:rPr>
                <w:szCs w:val="24"/>
                <w:lang w:val="en-US"/>
              </w:rPr>
              <w:t xml:space="preserve"> </w:t>
            </w:r>
            <w:r w:rsidRPr="005538AD">
              <w:rPr>
                <w:szCs w:val="24"/>
              </w:rPr>
              <w:t>таблиц</w:t>
            </w:r>
            <w:r w:rsidRPr="005538AD">
              <w:rPr>
                <w:szCs w:val="24"/>
                <w:lang w:val="en-US"/>
              </w:rPr>
              <w:t>:</w:t>
            </w:r>
          </w:p>
          <w:p w:rsidR="00ED710A" w:rsidRPr="005538AD" w:rsidRDefault="00ED710A" w:rsidP="00F13F95">
            <w:pPr>
              <w:rPr>
                <w:szCs w:val="24"/>
                <w:lang w:val="en-US"/>
              </w:rPr>
            </w:pPr>
            <w:r w:rsidRPr="005538AD">
              <w:rPr>
                <w:rFonts w:eastAsia="Calibri"/>
                <w:szCs w:val="24"/>
                <w:lang w:val="en-US"/>
              </w:rPr>
              <w:t xml:space="preserve">FAIPCODE = CODEFAIP_MPI </w:t>
            </w:r>
            <w:r w:rsidRPr="005538AD">
              <w:rPr>
                <w:rFonts w:eastAsia="Calibri"/>
                <w:szCs w:val="24"/>
              </w:rPr>
              <w:t>таблицы</w:t>
            </w:r>
            <w:r w:rsidRPr="005538AD">
              <w:rPr>
                <w:rFonts w:eastAsia="Calibri"/>
                <w:szCs w:val="24"/>
                <w:lang w:val="en-US"/>
              </w:rPr>
              <w:t xml:space="preserve"> </w:t>
            </w:r>
            <w:r w:rsidRPr="005538AD">
              <w:rPr>
                <w:szCs w:val="24"/>
                <w:lang w:val="en-US"/>
              </w:rPr>
              <w:t>T_PIAO_BODOTEST_KBK.</w:t>
            </w:r>
          </w:p>
          <w:p w:rsidR="00ED710A" w:rsidRPr="005538AD" w:rsidRDefault="00ED710A" w:rsidP="00F13F95">
            <w:pPr>
              <w:rPr>
                <w:szCs w:val="24"/>
                <w:lang w:val="en-US"/>
              </w:rPr>
            </w:pPr>
            <w:r w:rsidRPr="005538AD">
              <w:rPr>
                <w:szCs w:val="24"/>
              </w:rPr>
              <w:t>Должно</w:t>
            </w:r>
            <w:r w:rsidRPr="005538AD">
              <w:rPr>
                <w:szCs w:val="24"/>
                <w:lang w:val="en-US"/>
              </w:rPr>
              <w:t xml:space="preserve"> </w:t>
            </w:r>
            <w:r w:rsidRPr="005538AD">
              <w:rPr>
                <w:szCs w:val="24"/>
              </w:rPr>
              <w:t>соблюдаться</w:t>
            </w:r>
            <w:r w:rsidRPr="005538AD">
              <w:rPr>
                <w:szCs w:val="24"/>
                <w:lang w:val="en-US"/>
              </w:rPr>
              <w:t xml:space="preserve"> </w:t>
            </w:r>
            <w:r w:rsidRPr="005538AD">
              <w:rPr>
                <w:szCs w:val="24"/>
              </w:rPr>
              <w:t>условие</w:t>
            </w:r>
            <w:r w:rsidRPr="005538AD">
              <w:rPr>
                <w:szCs w:val="24"/>
                <w:lang w:val="en-US"/>
              </w:rPr>
              <w:t>:</w:t>
            </w:r>
          </w:p>
          <w:p w:rsidR="00ED710A" w:rsidRPr="005538AD" w:rsidRDefault="00ED710A" w:rsidP="00F13F95">
            <w:pPr>
              <w:rPr>
                <w:szCs w:val="24"/>
                <w:lang w:val="en-US"/>
              </w:rPr>
            </w:pPr>
            <w:r w:rsidRPr="005538AD">
              <w:rPr>
                <w:szCs w:val="24"/>
              </w:rPr>
              <w:t>Год</w:t>
            </w:r>
            <w:r w:rsidRPr="005538AD">
              <w:rPr>
                <w:szCs w:val="24"/>
                <w:lang w:val="en-US"/>
              </w:rPr>
              <w:t xml:space="preserve"> </w:t>
            </w:r>
            <w:r w:rsidRPr="005538AD">
              <w:rPr>
                <w:szCs w:val="24"/>
              </w:rPr>
              <w:t>из</w:t>
            </w:r>
            <w:r w:rsidRPr="005538AD">
              <w:rPr>
                <w:szCs w:val="24"/>
                <w:lang w:val="en-US"/>
              </w:rPr>
              <w:t xml:space="preserve"> </w:t>
            </w:r>
            <w:r w:rsidRPr="005538AD">
              <w:rPr>
                <w:szCs w:val="24"/>
              </w:rPr>
              <w:t>поля</w:t>
            </w:r>
            <w:r w:rsidRPr="005538AD">
              <w:rPr>
                <w:szCs w:val="24"/>
                <w:lang w:val="en-US"/>
              </w:rPr>
              <w:t xml:space="preserve"> REPORTDATE </w:t>
            </w:r>
            <w:r w:rsidRPr="005538AD">
              <w:rPr>
                <w:szCs w:val="24"/>
              </w:rPr>
              <w:t>таблицы</w:t>
            </w:r>
            <w:r w:rsidRPr="005538AD">
              <w:rPr>
                <w:szCs w:val="24"/>
                <w:lang w:val="en-US"/>
              </w:rPr>
              <w:t xml:space="preserve"> F_FAIP_BO </w:t>
            </w:r>
            <w:r w:rsidRPr="005538AD">
              <w:rPr>
                <w:szCs w:val="24"/>
              </w:rPr>
              <w:t>равен</w:t>
            </w:r>
            <w:r w:rsidRPr="005538AD">
              <w:rPr>
                <w:szCs w:val="24"/>
                <w:lang w:val="en-US"/>
              </w:rPr>
              <w:t xml:space="preserve">  </w:t>
            </w:r>
            <w:r w:rsidRPr="005538AD">
              <w:rPr>
                <w:szCs w:val="24"/>
              </w:rPr>
              <w:t>году</w:t>
            </w:r>
            <w:r w:rsidRPr="005538AD">
              <w:rPr>
                <w:szCs w:val="24"/>
                <w:lang w:val="en-US"/>
              </w:rPr>
              <w:t xml:space="preserve"> </w:t>
            </w:r>
            <w:r w:rsidRPr="005538AD">
              <w:rPr>
                <w:szCs w:val="24"/>
              </w:rPr>
              <w:t>из</w:t>
            </w:r>
            <w:r w:rsidRPr="005538AD">
              <w:rPr>
                <w:szCs w:val="24"/>
                <w:lang w:val="en-US"/>
              </w:rPr>
              <w:t xml:space="preserve"> </w:t>
            </w:r>
            <w:r w:rsidRPr="005538AD">
              <w:rPr>
                <w:szCs w:val="24"/>
              </w:rPr>
              <w:t>поля</w:t>
            </w:r>
            <w:r w:rsidRPr="005538AD">
              <w:rPr>
                <w:szCs w:val="24"/>
                <w:lang w:val="en-US"/>
              </w:rPr>
              <w:t xml:space="preserve"> PARAMYEAR </w:t>
            </w:r>
            <w:r w:rsidRPr="005538AD">
              <w:rPr>
                <w:szCs w:val="24"/>
              </w:rPr>
              <w:t>таблицы</w:t>
            </w:r>
            <w:r w:rsidRPr="005538AD">
              <w:rPr>
                <w:szCs w:val="24"/>
                <w:lang w:val="en-US"/>
              </w:rPr>
              <w:t xml:space="preserve"> T_PIAO_BODOTEST_KBK</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Исполнение (ф.128 ежеквартальная)</w:t>
            </w:r>
          </w:p>
        </w:tc>
        <w:tc>
          <w:tcPr>
            <w:tcW w:w="3388" w:type="pct"/>
          </w:tcPr>
          <w:p w:rsidR="00ED710A" w:rsidRPr="005538AD" w:rsidRDefault="00ED710A" w:rsidP="00F13F95">
            <w:pPr>
              <w:rPr>
                <w:szCs w:val="24"/>
              </w:rPr>
            </w:pPr>
            <w:r w:rsidRPr="005538AD">
              <w:rPr>
                <w:szCs w:val="24"/>
                <w:lang w:val="en-US"/>
              </w:rPr>
              <w:t>PERFORMED</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 xml:space="preserve">_128. </w:t>
            </w:r>
          </w:p>
          <w:p w:rsidR="00ED710A" w:rsidRPr="005538AD" w:rsidRDefault="00ED710A" w:rsidP="00F13F95">
            <w:pPr>
              <w:rPr>
                <w:szCs w:val="24"/>
              </w:rPr>
            </w:pPr>
            <w:r w:rsidRPr="005538AD">
              <w:rPr>
                <w:szCs w:val="24"/>
              </w:rPr>
              <w:t xml:space="preserve">Связь по коду ФАИП и КБК (поле </w:t>
            </w:r>
            <w:r w:rsidRPr="005538AD">
              <w:rPr>
                <w:szCs w:val="24"/>
                <w:lang w:val="en-US"/>
              </w:rPr>
              <w:t>FAIPCODE</w:t>
            </w:r>
            <w:r w:rsidRPr="005538AD">
              <w:rPr>
                <w:szCs w:val="24"/>
              </w:rPr>
              <w:t xml:space="preserve"> и </w:t>
            </w:r>
            <w:r w:rsidRPr="005538AD">
              <w:rPr>
                <w:szCs w:val="24"/>
                <w:lang w:val="en-US"/>
              </w:rPr>
              <w:t>KBK</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_128).</w:t>
            </w:r>
          </w:p>
          <w:p w:rsidR="00ED710A" w:rsidRPr="005538AD" w:rsidRDefault="00ED710A" w:rsidP="00F13F95">
            <w:pPr>
              <w:rPr>
                <w:szCs w:val="24"/>
              </w:rPr>
            </w:pPr>
            <w:r w:rsidRPr="005538AD">
              <w:rPr>
                <w:szCs w:val="24"/>
              </w:rPr>
              <w:t xml:space="preserve">Отчетная дата – поле </w:t>
            </w:r>
            <w:r w:rsidRPr="005538AD">
              <w:rPr>
                <w:szCs w:val="24"/>
                <w:lang w:val="en-US"/>
              </w:rPr>
              <w:t>REPORTDATE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_128.</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Количество объектов по оперативным данным</w:t>
            </w:r>
          </w:p>
        </w:tc>
        <w:tc>
          <w:tcPr>
            <w:tcW w:w="3388" w:type="pct"/>
          </w:tcPr>
          <w:p w:rsidR="00ED710A" w:rsidRPr="005538AD" w:rsidRDefault="00ED710A" w:rsidP="00F13F95">
            <w:pPr>
              <w:rPr>
                <w:szCs w:val="24"/>
              </w:rPr>
            </w:pPr>
            <w:r w:rsidRPr="005538AD">
              <w:rPr>
                <w:szCs w:val="24"/>
              </w:rPr>
              <w:t>Подсчитываем количество записей, где  в столбце «Сумма БО на текущий год (оперативные данные)»  есть суммы (даже если стоит 0,00).</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Количество объектов ФАИП в ф.0506604 ежемесячная</w:t>
            </w:r>
          </w:p>
        </w:tc>
        <w:tc>
          <w:tcPr>
            <w:tcW w:w="3388" w:type="pct"/>
          </w:tcPr>
          <w:p w:rsidR="00ED710A" w:rsidRPr="005538AD" w:rsidRDefault="00ED710A" w:rsidP="00F13F95">
            <w:pPr>
              <w:rPr>
                <w:szCs w:val="24"/>
              </w:rPr>
            </w:pPr>
            <w:r w:rsidRPr="005538AD">
              <w:rPr>
                <w:szCs w:val="24"/>
              </w:rPr>
              <w:t>Подсчитываем количество записей, где в столбце  «Сумма БО на текущий год (ф.0506604 ежемесячная)» есть суммы (даже если стоит 0,00)</w:t>
            </w:r>
          </w:p>
        </w:tc>
      </w:tr>
      <w:tr w:rsidR="00ED710A" w:rsidRPr="005538AD" w:rsidTr="00ED710A">
        <w:trPr>
          <w:cantSplit/>
          <w:trHeight w:val="934"/>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Код ТОФК</w:t>
            </w:r>
          </w:p>
        </w:tc>
        <w:tc>
          <w:tcPr>
            <w:tcW w:w="3388" w:type="pct"/>
          </w:tcPr>
          <w:p w:rsidR="00ED710A" w:rsidRPr="005538AD" w:rsidRDefault="00ED710A" w:rsidP="00F13F95">
            <w:pPr>
              <w:spacing w:after="200" w:line="276" w:lineRule="auto"/>
              <w:rPr>
                <w:szCs w:val="24"/>
              </w:rPr>
            </w:pPr>
            <w:r w:rsidRPr="005538AD">
              <w:rPr>
                <w:szCs w:val="24"/>
              </w:rPr>
              <w:t xml:space="preserve">Поле </w:t>
            </w:r>
            <w:r w:rsidRPr="005538AD">
              <w:rPr>
                <w:szCs w:val="24"/>
                <w:lang w:val="en-US"/>
              </w:rPr>
              <w:t>TOFKCODE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w:t>
            </w:r>
            <w:r w:rsidRPr="005538AD">
              <w:rPr>
                <w:szCs w:val="24"/>
                <w:lang w:val="en-US"/>
              </w:rPr>
              <w:t>BO</w:t>
            </w:r>
            <w:r w:rsidRPr="005538AD">
              <w:rPr>
                <w:szCs w:val="24"/>
              </w:rPr>
              <w:t xml:space="preserve"> и поле </w:t>
            </w:r>
            <w:r w:rsidRPr="005538AD">
              <w:rPr>
                <w:szCs w:val="24"/>
                <w:lang w:val="en-US"/>
              </w:rPr>
              <w:t>TOFKCODE</w:t>
            </w:r>
            <w:r w:rsidRPr="005538AD">
              <w:rPr>
                <w:szCs w:val="24"/>
              </w:rPr>
              <w:t xml:space="preserve"> таблицы </w:t>
            </w:r>
            <w:r w:rsidRPr="005538AD">
              <w:rPr>
                <w:szCs w:val="24"/>
                <w:lang w:val="en-US"/>
              </w:rPr>
              <w:t>F</w:t>
            </w:r>
            <w:r w:rsidRPr="005538AD">
              <w:rPr>
                <w:szCs w:val="24"/>
              </w:rPr>
              <w:t>_</w:t>
            </w:r>
            <w:r w:rsidRPr="005538AD">
              <w:rPr>
                <w:szCs w:val="24"/>
                <w:lang w:val="en-US"/>
              </w:rPr>
              <w:t>FAIP</w:t>
            </w:r>
            <w:r w:rsidRPr="005538AD">
              <w:rPr>
                <w:szCs w:val="24"/>
              </w:rPr>
              <w:t>_</w:t>
            </w:r>
            <w:r w:rsidRPr="005538AD">
              <w:rPr>
                <w:szCs w:val="24"/>
                <w:lang w:val="en-US"/>
              </w:rPr>
              <w:t>LBO</w:t>
            </w:r>
            <w:r w:rsidRPr="005538AD">
              <w:rPr>
                <w:szCs w:val="24"/>
              </w:rPr>
              <w:t xml:space="preserve"> (они должны быть одинаковыми для одной записи)</w:t>
            </w:r>
          </w:p>
        </w:tc>
      </w:tr>
      <w:tr w:rsidR="00ED710A" w:rsidRPr="005538AD" w:rsidTr="00ED710A">
        <w:trPr>
          <w:cantSplit/>
        </w:trPr>
        <w:tc>
          <w:tcPr>
            <w:tcW w:w="1612" w:type="pct"/>
            <w:shd w:val="clear" w:color="auto" w:fill="FFFFFF"/>
          </w:tcPr>
          <w:p w:rsidR="00ED710A" w:rsidRPr="00ED710A" w:rsidRDefault="00ED710A" w:rsidP="005C6E50">
            <w:pPr>
              <w:pStyle w:val="afff6"/>
              <w:numPr>
                <w:ilvl w:val="0"/>
                <w:numId w:val="91"/>
              </w:numPr>
              <w:contextualSpacing/>
              <w:jc w:val="left"/>
              <w:rPr>
                <w:rFonts w:eastAsia="Calibri"/>
                <w:sz w:val="24"/>
                <w:szCs w:val="24"/>
              </w:rPr>
            </w:pPr>
            <w:r w:rsidRPr="00ED710A">
              <w:rPr>
                <w:rFonts w:eastAsia="Calibri"/>
                <w:sz w:val="24"/>
                <w:szCs w:val="24"/>
              </w:rPr>
              <w:t>Наименование ТОФК</w:t>
            </w:r>
          </w:p>
        </w:tc>
        <w:tc>
          <w:tcPr>
            <w:tcW w:w="3388" w:type="pct"/>
          </w:tcPr>
          <w:p w:rsidR="00ED710A" w:rsidRPr="005538AD" w:rsidRDefault="00ED710A" w:rsidP="00F13F95">
            <w:pPr>
              <w:rPr>
                <w:szCs w:val="24"/>
              </w:rPr>
            </w:pPr>
            <w:r w:rsidRPr="005538AD">
              <w:rPr>
                <w:szCs w:val="24"/>
              </w:rPr>
              <w:t xml:space="preserve">Поле </w:t>
            </w:r>
            <w:r w:rsidRPr="005538AD">
              <w:rPr>
                <w:szCs w:val="24"/>
                <w:lang w:val="en-US"/>
              </w:rPr>
              <w:t>TOFK</w:t>
            </w:r>
            <w:r w:rsidRPr="005538AD">
              <w:rPr>
                <w:szCs w:val="24"/>
              </w:rPr>
              <w:t xml:space="preserve"> справочника D_FK_UFK. </w:t>
            </w:r>
          </w:p>
          <w:p w:rsidR="00ED710A" w:rsidRPr="005538AD" w:rsidRDefault="00ED710A" w:rsidP="00F13F95">
            <w:pPr>
              <w:rPr>
                <w:szCs w:val="24"/>
              </w:rPr>
            </w:pPr>
            <w:r w:rsidRPr="005538AD">
              <w:rPr>
                <w:szCs w:val="24"/>
              </w:rPr>
              <w:t>Сопоставляем по полю TOFKCODE.</w:t>
            </w:r>
          </w:p>
        </w:tc>
      </w:tr>
    </w:tbl>
    <w:p w:rsidR="000E18B7" w:rsidRDefault="000E18B7" w:rsidP="000E18B7">
      <w:pPr>
        <w:pStyle w:val="af0"/>
      </w:pPr>
      <w:r w:rsidRPr="00A02107">
        <w:t>В отчете реализованы контроли</w:t>
      </w:r>
      <w:r>
        <w:t xml:space="preserve">, которые представлены в таблице </w:t>
      </w:r>
      <w:r>
        <w:fldChar w:fldCharType="begin"/>
      </w:r>
      <w:r>
        <w:instrText xml:space="preserve"> REF _Ref69217743 \h  \* MERGEFORMAT </w:instrText>
      </w:r>
      <w:r>
        <w:fldChar w:fldCharType="separate"/>
      </w:r>
      <w:r w:rsidR="00BF0BEE">
        <w:rPr>
          <w:noProof/>
        </w:rPr>
        <w:t>13</w:t>
      </w:r>
      <w:r>
        <w:fldChar w:fldCharType="end"/>
      </w:r>
      <w:r w:rsidRPr="00A02107">
        <w:t>:</w:t>
      </w:r>
    </w:p>
    <w:p w:rsidR="000E18B7" w:rsidRPr="003B2BEE" w:rsidRDefault="000E18B7" w:rsidP="000E18B7">
      <w:pPr>
        <w:pStyle w:val="-"/>
      </w:pPr>
      <w:bookmarkStart w:id="576" w:name="_Toc69290210"/>
      <w:bookmarkStart w:id="577" w:name="_Toc69917979"/>
      <w:bookmarkStart w:id="578" w:name="_Toc119585154"/>
      <w:r>
        <w:t xml:space="preserve">Таблица </w:t>
      </w:r>
      <w:fldSimple w:instr=" SEQ Таблица \* ARABIC ">
        <w:bookmarkStart w:id="579" w:name="_Ref69217743"/>
        <w:r w:rsidR="00BF0BEE">
          <w:rPr>
            <w:noProof/>
          </w:rPr>
          <w:t>13</w:t>
        </w:r>
        <w:bookmarkEnd w:id="579"/>
      </w:fldSimple>
      <w:r>
        <w:t xml:space="preserve"> – Контроли в отчете «Мониторинг качества данных отчета по исполнению ФАИП и ОКС»</w:t>
      </w:r>
      <w:bookmarkEnd w:id="576"/>
      <w:bookmarkEnd w:id="577"/>
      <w:bookmarkEnd w:id="578"/>
      <w:r>
        <w:t xml:space="preserve"> </w:t>
      </w:r>
    </w:p>
    <w:tbl>
      <w:tblPr>
        <w:tblStyle w:val="affe"/>
        <w:tblW w:w="0" w:type="auto"/>
        <w:tblInd w:w="250" w:type="dxa"/>
        <w:tblLook w:val="04A0" w:firstRow="1" w:lastRow="0" w:firstColumn="1" w:lastColumn="0" w:noHBand="0" w:noVBand="1"/>
      </w:tblPr>
      <w:tblGrid>
        <w:gridCol w:w="1134"/>
        <w:gridCol w:w="2693"/>
        <w:gridCol w:w="5670"/>
      </w:tblGrid>
      <w:tr w:rsidR="000E18B7" w:rsidRPr="00ED710A" w:rsidTr="003E2E8D">
        <w:trPr>
          <w:tblHeader/>
        </w:trPr>
        <w:tc>
          <w:tcPr>
            <w:tcW w:w="1134" w:type="dxa"/>
            <w:shd w:val="clear" w:color="auto" w:fill="D9D9D9" w:themeFill="background1" w:themeFillShade="D9"/>
          </w:tcPr>
          <w:p w:rsidR="000E18B7" w:rsidRPr="00ED710A" w:rsidRDefault="000E18B7" w:rsidP="00F13F95">
            <w:pPr>
              <w:ind w:firstLine="0"/>
              <w:jc w:val="center"/>
              <w:rPr>
                <w:b/>
                <w:szCs w:val="24"/>
              </w:rPr>
            </w:pPr>
            <w:r w:rsidRPr="00ED710A">
              <w:rPr>
                <w:b/>
                <w:szCs w:val="24"/>
              </w:rPr>
              <w:t>Столбец</w:t>
            </w:r>
          </w:p>
        </w:tc>
        <w:tc>
          <w:tcPr>
            <w:tcW w:w="2693" w:type="dxa"/>
            <w:shd w:val="clear" w:color="auto" w:fill="D9D9D9" w:themeFill="background1" w:themeFillShade="D9"/>
          </w:tcPr>
          <w:p w:rsidR="000E18B7" w:rsidRPr="00ED710A" w:rsidRDefault="000E18B7" w:rsidP="00F13F95">
            <w:pPr>
              <w:ind w:firstLine="0"/>
              <w:jc w:val="center"/>
              <w:rPr>
                <w:b/>
                <w:szCs w:val="24"/>
              </w:rPr>
            </w:pPr>
            <w:r w:rsidRPr="00ED710A">
              <w:rPr>
                <w:b/>
                <w:szCs w:val="24"/>
              </w:rPr>
              <w:t>Условие сравнения</w:t>
            </w:r>
          </w:p>
        </w:tc>
        <w:tc>
          <w:tcPr>
            <w:tcW w:w="5670" w:type="dxa"/>
            <w:shd w:val="clear" w:color="auto" w:fill="D9D9D9" w:themeFill="background1" w:themeFillShade="D9"/>
          </w:tcPr>
          <w:p w:rsidR="000E18B7" w:rsidRPr="00ED710A" w:rsidRDefault="000E18B7" w:rsidP="00F13F95">
            <w:pPr>
              <w:jc w:val="center"/>
              <w:rPr>
                <w:b/>
                <w:szCs w:val="24"/>
              </w:rPr>
            </w:pPr>
            <w:r w:rsidRPr="00ED710A">
              <w:rPr>
                <w:b/>
                <w:szCs w:val="24"/>
              </w:rPr>
              <w:t>Индикаторы</w:t>
            </w:r>
          </w:p>
        </w:tc>
      </w:tr>
      <w:tr w:rsidR="000E18B7" w:rsidRPr="00B152B6" w:rsidTr="003E2E8D">
        <w:tc>
          <w:tcPr>
            <w:tcW w:w="1134" w:type="dxa"/>
          </w:tcPr>
          <w:p w:rsidR="000E18B7" w:rsidRPr="00B152B6" w:rsidRDefault="000E18B7" w:rsidP="00F13F95">
            <w:pPr>
              <w:rPr>
                <w:szCs w:val="24"/>
              </w:rPr>
            </w:pPr>
            <w:r w:rsidRPr="00B152B6">
              <w:rPr>
                <w:szCs w:val="24"/>
              </w:rPr>
              <w:t>19</w:t>
            </w:r>
          </w:p>
        </w:tc>
        <w:tc>
          <w:tcPr>
            <w:tcW w:w="2693" w:type="dxa"/>
          </w:tcPr>
          <w:p w:rsidR="000E18B7" w:rsidRPr="00B152B6" w:rsidRDefault="000E18B7" w:rsidP="00F13F95">
            <w:pPr>
              <w:jc w:val="center"/>
              <w:rPr>
                <w:szCs w:val="24"/>
              </w:rPr>
            </w:pPr>
            <w:r w:rsidRPr="00B152B6">
              <w:rPr>
                <w:szCs w:val="24"/>
              </w:rPr>
              <w:t>Гр.15 = Гр.18</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19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27</w:t>
            </w:r>
          </w:p>
        </w:tc>
        <w:tc>
          <w:tcPr>
            <w:tcW w:w="2693" w:type="dxa"/>
          </w:tcPr>
          <w:p w:rsidR="000E18B7" w:rsidRPr="00B152B6" w:rsidRDefault="000E18B7" w:rsidP="00F13F95">
            <w:pPr>
              <w:jc w:val="center"/>
              <w:rPr>
                <w:szCs w:val="24"/>
              </w:rPr>
            </w:pPr>
            <w:r w:rsidRPr="00B152B6">
              <w:rPr>
                <w:szCs w:val="24"/>
              </w:rPr>
              <w:t>Гр.23 = Гр.26</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27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29</w:t>
            </w:r>
          </w:p>
        </w:tc>
        <w:tc>
          <w:tcPr>
            <w:tcW w:w="2693" w:type="dxa"/>
          </w:tcPr>
          <w:p w:rsidR="000E18B7" w:rsidRPr="00B152B6" w:rsidRDefault="000E18B7" w:rsidP="00F13F95">
            <w:pPr>
              <w:jc w:val="center"/>
              <w:rPr>
                <w:szCs w:val="24"/>
              </w:rPr>
            </w:pPr>
            <w:r w:rsidRPr="00B152B6">
              <w:rPr>
                <w:szCs w:val="24"/>
              </w:rPr>
              <w:t>Гр.24 = Гр.28</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29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31</w:t>
            </w:r>
          </w:p>
        </w:tc>
        <w:tc>
          <w:tcPr>
            <w:tcW w:w="2693" w:type="dxa"/>
          </w:tcPr>
          <w:p w:rsidR="000E18B7" w:rsidRPr="00B152B6" w:rsidRDefault="000E18B7" w:rsidP="00F13F95">
            <w:pPr>
              <w:jc w:val="center"/>
              <w:rPr>
                <w:szCs w:val="24"/>
              </w:rPr>
            </w:pPr>
            <w:r w:rsidRPr="00B152B6">
              <w:rPr>
                <w:szCs w:val="24"/>
              </w:rPr>
              <w:t>Гр.25 = Гр.30</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31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33</w:t>
            </w:r>
          </w:p>
        </w:tc>
        <w:tc>
          <w:tcPr>
            <w:tcW w:w="2693" w:type="dxa"/>
          </w:tcPr>
          <w:p w:rsidR="000E18B7" w:rsidRPr="00B152B6" w:rsidRDefault="000E18B7" w:rsidP="00F13F95">
            <w:pPr>
              <w:jc w:val="center"/>
              <w:rPr>
                <w:szCs w:val="24"/>
              </w:rPr>
            </w:pPr>
            <w:r w:rsidRPr="00B152B6">
              <w:rPr>
                <w:szCs w:val="24"/>
              </w:rPr>
              <w:t>Гр.23 = Гр.32</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33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36</w:t>
            </w:r>
          </w:p>
        </w:tc>
        <w:tc>
          <w:tcPr>
            <w:tcW w:w="2693" w:type="dxa"/>
          </w:tcPr>
          <w:p w:rsidR="000E18B7" w:rsidRPr="00B152B6" w:rsidRDefault="000E18B7" w:rsidP="00F13F95">
            <w:pPr>
              <w:jc w:val="center"/>
              <w:rPr>
                <w:szCs w:val="24"/>
              </w:rPr>
            </w:pPr>
            <w:r w:rsidRPr="00B152B6">
              <w:rPr>
                <w:szCs w:val="24"/>
              </w:rPr>
              <w:t>Гр.34 = Гр.35</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36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40</w:t>
            </w:r>
          </w:p>
        </w:tc>
        <w:tc>
          <w:tcPr>
            <w:tcW w:w="2693" w:type="dxa"/>
          </w:tcPr>
          <w:p w:rsidR="000E18B7" w:rsidRPr="00B152B6" w:rsidRDefault="000E18B7" w:rsidP="00F13F95">
            <w:pPr>
              <w:jc w:val="center"/>
              <w:rPr>
                <w:szCs w:val="24"/>
              </w:rPr>
            </w:pPr>
            <w:r w:rsidRPr="00B152B6">
              <w:rPr>
                <w:szCs w:val="24"/>
              </w:rPr>
              <w:t>Гр.37 = Гр.39</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40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41</w:t>
            </w:r>
          </w:p>
        </w:tc>
        <w:tc>
          <w:tcPr>
            <w:tcW w:w="2693" w:type="dxa"/>
          </w:tcPr>
          <w:p w:rsidR="000E18B7" w:rsidRPr="00B152B6" w:rsidRDefault="000E18B7" w:rsidP="00F13F95">
            <w:pPr>
              <w:jc w:val="center"/>
              <w:rPr>
                <w:szCs w:val="24"/>
              </w:rPr>
            </w:pPr>
            <w:r w:rsidRPr="00B152B6">
              <w:rPr>
                <w:szCs w:val="24"/>
              </w:rPr>
              <w:t>Гр.37 = Гр.38</w:t>
            </w:r>
          </w:p>
        </w:tc>
        <w:tc>
          <w:tcPr>
            <w:tcW w:w="5670" w:type="dxa"/>
          </w:tcPr>
          <w:p w:rsidR="000E18B7" w:rsidRPr="00B152B6" w:rsidRDefault="000E18B7" w:rsidP="00F13F95">
            <w:pPr>
              <w:ind w:firstLine="0"/>
              <w:rPr>
                <w:szCs w:val="24"/>
              </w:rPr>
            </w:pPr>
            <w:r w:rsidRPr="00B152B6">
              <w:rPr>
                <w:szCs w:val="24"/>
              </w:rPr>
              <w:t>Если условие не выполнено, то в столбце 41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r w:rsidR="000E18B7" w:rsidRPr="00B152B6" w:rsidTr="003E2E8D">
        <w:tc>
          <w:tcPr>
            <w:tcW w:w="1134" w:type="dxa"/>
          </w:tcPr>
          <w:p w:rsidR="000E18B7" w:rsidRPr="00B152B6" w:rsidRDefault="000E18B7" w:rsidP="00F13F95">
            <w:pPr>
              <w:rPr>
                <w:szCs w:val="24"/>
              </w:rPr>
            </w:pPr>
            <w:r w:rsidRPr="00B152B6">
              <w:rPr>
                <w:szCs w:val="24"/>
              </w:rPr>
              <w:t>42</w:t>
            </w:r>
          </w:p>
        </w:tc>
        <w:tc>
          <w:tcPr>
            <w:tcW w:w="2693" w:type="dxa"/>
          </w:tcPr>
          <w:p w:rsidR="000E18B7" w:rsidRPr="00B152B6" w:rsidRDefault="000E18B7" w:rsidP="00F13F95">
            <w:pPr>
              <w:jc w:val="center"/>
              <w:rPr>
                <w:szCs w:val="24"/>
                <w:lang w:val="en-US"/>
              </w:rPr>
            </w:pPr>
            <w:r w:rsidRPr="00B152B6">
              <w:rPr>
                <w:szCs w:val="24"/>
              </w:rPr>
              <w:t>Гр.</w:t>
            </w:r>
            <w:r w:rsidRPr="00B152B6">
              <w:rPr>
                <w:szCs w:val="24"/>
                <w:lang w:val="en-US"/>
              </w:rPr>
              <w:t>3</w:t>
            </w:r>
            <w:r w:rsidRPr="00B152B6">
              <w:rPr>
                <w:szCs w:val="24"/>
              </w:rPr>
              <w:t xml:space="preserve">7 </w:t>
            </w:r>
            <w:r w:rsidRPr="00B152B6">
              <w:rPr>
                <w:szCs w:val="24"/>
                <w:lang w:val="en-US"/>
              </w:rPr>
              <w:t>&lt;</w:t>
            </w:r>
            <w:r w:rsidRPr="00B152B6">
              <w:rPr>
                <w:szCs w:val="24"/>
              </w:rPr>
              <w:t xml:space="preserve"> Гр.</w:t>
            </w:r>
            <w:r w:rsidRPr="00B152B6">
              <w:rPr>
                <w:szCs w:val="24"/>
                <w:lang w:val="en-US"/>
              </w:rPr>
              <w:t>3</w:t>
            </w:r>
            <w:r w:rsidRPr="00B152B6">
              <w:rPr>
                <w:szCs w:val="24"/>
              </w:rPr>
              <w:t>4</w:t>
            </w:r>
          </w:p>
        </w:tc>
        <w:tc>
          <w:tcPr>
            <w:tcW w:w="5670" w:type="dxa"/>
          </w:tcPr>
          <w:p w:rsidR="000E18B7" w:rsidRPr="00B152B6" w:rsidRDefault="000E18B7" w:rsidP="00F13F95">
            <w:pPr>
              <w:ind w:firstLine="0"/>
              <w:rPr>
                <w:szCs w:val="24"/>
              </w:rPr>
            </w:pPr>
            <w:r w:rsidRPr="00B152B6">
              <w:rPr>
                <w:szCs w:val="24"/>
              </w:rPr>
              <w:t>Если условие не выполнено, то в графе 42 высвечивается красный индикатор.</w:t>
            </w:r>
          </w:p>
          <w:p w:rsidR="000E18B7" w:rsidRPr="00B152B6" w:rsidRDefault="000E18B7" w:rsidP="00F13F95">
            <w:pPr>
              <w:ind w:firstLine="0"/>
              <w:rPr>
                <w:szCs w:val="24"/>
              </w:rPr>
            </w:pPr>
            <w:r w:rsidRPr="00B152B6">
              <w:rPr>
                <w:szCs w:val="24"/>
              </w:rPr>
              <w:t>Если условие выполнено – зеленый индикатор.</w:t>
            </w:r>
          </w:p>
        </w:tc>
      </w:tr>
    </w:tbl>
    <w:p w:rsidR="008F708E" w:rsidRDefault="008F708E" w:rsidP="00D7306D">
      <w:pPr>
        <w:pStyle w:val="35"/>
      </w:pPr>
      <w:bookmarkStart w:id="580" w:name="_Toc80789099"/>
      <w:bookmarkStart w:id="581" w:name="_Toc119585083"/>
      <w:r w:rsidRPr="00D36395">
        <w:t>Дашборд «Бюджет»</w:t>
      </w:r>
      <w:bookmarkEnd w:id="580"/>
      <w:r w:rsidR="00D7306D">
        <w:t xml:space="preserve"> (</w:t>
      </w:r>
      <w:r w:rsidR="00D7306D" w:rsidRPr="00D7306D">
        <w:t>PIAO_170_001_report</w:t>
      </w:r>
      <w:r w:rsidR="00D7306D">
        <w:t>)</w:t>
      </w:r>
      <w:bookmarkEnd w:id="581"/>
    </w:p>
    <w:p w:rsidR="008F708E" w:rsidRPr="00AF5DC1" w:rsidRDefault="008F708E" w:rsidP="008F708E">
      <w:pPr>
        <w:spacing w:before="120" w:after="60"/>
        <w:ind w:firstLine="567"/>
        <w:contextualSpacing/>
        <w:rPr>
          <w:sz w:val="28"/>
          <w:lang w:eastAsia="x-none"/>
        </w:rPr>
      </w:pPr>
      <w:r w:rsidRPr="00AF5DC1">
        <w:rPr>
          <w:sz w:val="28"/>
          <w:lang w:eastAsia="x-none"/>
        </w:rPr>
        <w:t>Представления отчета:</w:t>
      </w:r>
    </w:p>
    <w:p w:rsidR="008F708E" w:rsidRPr="00E147DD" w:rsidRDefault="008F708E" w:rsidP="00DE1661">
      <w:pPr>
        <w:pStyle w:val="13"/>
      </w:pPr>
      <w:r w:rsidRPr="00E147DD">
        <w:t>По РФ;</w:t>
      </w:r>
    </w:p>
    <w:p w:rsidR="008F708E" w:rsidRPr="00E147DD" w:rsidRDefault="008F708E" w:rsidP="00DE1661">
      <w:pPr>
        <w:pStyle w:val="13"/>
      </w:pPr>
      <w:r w:rsidRPr="00E147DD">
        <w:t>По вице-премьерам;</w:t>
      </w:r>
    </w:p>
    <w:p w:rsidR="008F708E" w:rsidRDefault="008F708E" w:rsidP="00DE1661">
      <w:pPr>
        <w:pStyle w:val="13"/>
      </w:pPr>
      <w:r w:rsidRPr="00E147DD">
        <w:t>По ГАБС</w:t>
      </w:r>
      <w:r>
        <w:t xml:space="preserve"> – Доходы;</w:t>
      </w:r>
    </w:p>
    <w:p w:rsidR="008F708E" w:rsidRPr="00E147DD" w:rsidRDefault="008F708E" w:rsidP="00DE1661">
      <w:pPr>
        <w:pStyle w:val="13"/>
      </w:pPr>
      <w:r>
        <w:t>По ГАБС – Расходы;</w:t>
      </w:r>
    </w:p>
    <w:p w:rsidR="008F708E" w:rsidRPr="00E147DD" w:rsidRDefault="008F708E" w:rsidP="00DE1661">
      <w:pPr>
        <w:pStyle w:val="13"/>
      </w:pPr>
      <w:r w:rsidRPr="00E147DD">
        <w:t>По видам расходов;</w:t>
      </w:r>
    </w:p>
    <w:p w:rsidR="008F708E" w:rsidRDefault="008F708E" w:rsidP="00DE1661">
      <w:pPr>
        <w:pStyle w:val="13"/>
      </w:pPr>
      <w:r w:rsidRPr="00E147DD">
        <w:t>По этапам</w:t>
      </w:r>
      <w:r>
        <w:t xml:space="preserve"> – Доходы;</w:t>
      </w:r>
    </w:p>
    <w:p w:rsidR="008F708E" w:rsidRPr="00E147DD" w:rsidRDefault="008F708E" w:rsidP="00DE1661">
      <w:pPr>
        <w:pStyle w:val="13"/>
      </w:pPr>
      <w:r>
        <w:t>По этапам – Расходы</w:t>
      </w:r>
      <w:r w:rsidRPr="00E147DD">
        <w:t>.</w:t>
      </w:r>
    </w:p>
    <w:p w:rsidR="008F708E" w:rsidRPr="009444FC" w:rsidRDefault="008F708E" w:rsidP="00D7306D">
      <w:pPr>
        <w:pStyle w:val="42"/>
        <w:rPr>
          <w:noProof/>
        </w:rPr>
      </w:pPr>
      <w:r w:rsidRPr="00D7306D">
        <w:t>Представление</w:t>
      </w:r>
      <w:r w:rsidRPr="009444FC">
        <w:rPr>
          <w:noProof/>
          <w:lang w:val="en-US"/>
        </w:rPr>
        <w:t xml:space="preserve"> «По РФ»</w:t>
      </w:r>
    </w:p>
    <w:p w:rsidR="008F708E" w:rsidRDefault="008F708E" w:rsidP="008F708E">
      <w:pPr>
        <w:pStyle w:val="af0"/>
      </w:pPr>
      <w:r w:rsidRPr="000B4C41">
        <w:t>Представление «</w:t>
      </w:r>
      <w:r>
        <w:t>По РФ</w:t>
      </w:r>
      <w:r w:rsidRPr="000B4C41">
        <w:t>» аналитического отчета «</w:t>
      </w:r>
      <w:r>
        <w:t>Бюджет</w:t>
      </w:r>
      <w:r w:rsidRPr="000B4C41">
        <w:t>» отобража</w:t>
      </w:r>
      <w:r w:rsidR="00D7306D">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Вице-премьер:</w:t>
      </w:r>
    </w:p>
    <w:p w:rsidR="008F708E" w:rsidRDefault="008F708E" w:rsidP="008F708E">
      <w:pPr>
        <w:pStyle w:val="af0"/>
        <w:ind w:left="1211" w:firstLine="0"/>
      </w:pPr>
      <w:r>
        <w:t>Выпадающий список без множественного выбора.</w:t>
      </w:r>
    </w:p>
    <w:p w:rsidR="008F708E" w:rsidRDefault="008F708E" w:rsidP="008F708E">
      <w:pPr>
        <w:pStyle w:val="af0"/>
        <w:ind w:left="1211" w:firstLine="0"/>
      </w:pPr>
      <w:r>
        <w:t xml:space="preserve">Выводится ФИО вице-премьеров и значение «Иные» (цепочки КБК не курируемые вице-премьерами, а так же </w:t>
      </w:r>
      <w:r w:rsidRPr="004B39B3">
        <w:rPr>
          <w:snapToGrid/>
          <w:color w:val="auto"/>
          <w:szCs w:val="28"/>
        </w:rPr>
        <w:t>по закрытым сведениям, не расписанным по тонким цепочкам КБК</w:t>
      </w:r>
      <w:r>
        <w:t>).</w:t>
      </w:r>
    </w:p>
    <w:p w:rsidR="008F708E" w:rsidRDefault="008F708E" w:rsidP="008F708E">
      <w:pPr>
        <w:pStyle w:val="af0"/>
        <w:ind w:left="1211" w:firstLine="0"/>
      </w:pPr>
      <w:r>
        <w:t>По умолчанию установлено значение «Все».</w:t>
      </w:r>
    </w:p>
    <w:p w:rsidR="008F708E" w:rsidRDefault="008F708E" w:rsidP="008F708E">
      <w:pPr>
        <w:pStyle w:val="af0"/>
        <w:ind w:left="1211" w:firstLine="0"/>
      </w:pPr>
      <w:r>
        <w:t>При выборе ФИО вице-премьера или значения «Иные» скрываются блоки «Доходы федерального бюджета», «Риски по доходам», «Дефицит/профицит бюджета». На блоках «</w:t>
      </w:r>
      <w:r w:rsidRPr="00811744">
        <w:t>Расходы федерального бюджета</w:t>
      </w:r>
      <w:r>
        <w:t xml:space="preserve">» и «Риски по расходам (по открытым данным)» значения </w:t>
      </w:r>
      <w:r w:rsidRPr="00714639">
        <w:t>фильтруются по тонким цепочкам КБК, курируемым вице-премьерами</w:t>
      </w:r>
      <w:r>
        <w:t xml:space="preserve"> на выбранную дату</w:t>
      </w:r>
      <w:r w:rsidRPr="00714639">
        <w:t>.</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r>
        <w:t xml:space="preserve"> Значение «000 - Иные» (значения по закрытым цепочкам КБК) не выводится в параметр, но суммы учитываются при выборе значения «Все».</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p>
    <w:p w:rsidR="008F708E" w:rsidRDefault="008F708E" w:rsidP="008F708E">
      <w:pPr>
        <w:pStyle w:val="af0"/>
      </w:pPr>
      <w:r>
        <w:t>Заголовок:</w:t>
      </w:r>
    </w:p>
    <w:p w:rsidR="008F708E" w:rsidRDefault="008F708E" w:rsidP="008F708E">
      <w:pPr>
        <w:pStyle w:val="af0"/>
      </w:pPr>
      <w:r>
        <w:t>В параметрах «Вице-премьер» и «ГРБС» выбраны значения «Все»: Федеральный бюджет.</w:t>
      </w:r>
    </w:p>
    <w:p w:rsidR="008F708E" w:rsidRDefault="008F708E" w:rsidP="008F708E">
      <w:pPr>
        <w:pStyle w:val="af0"/>
      </w:pPr>
      <w:r>
        <w:t xml:space="preserve">В параметре «Вице-премьер» выбрано значение не равное значению «Все»: Федеральный бюджет по вице-премьеру </w:t>
      </w:r>
      <w:r w:rsidRPr="00781D17">
        <w:t>&lt;</w:t>
      </w:r>
      <w:r>
        <w:t>ФИО выбранного вице-премьера</w:t>
      </w:r>
      <w:r w:rsidRPr="00781D17">
        <w:t>&gt;</w:t>
      </w:r>
      <w:r>
        <w:t xml:space="preserve"> (по открытым данным). Например, Федеральный бюджет по вице-премьеру В. В. Абрамченко (по открытым данным).</w:t>
      </w:r>
    </w:p>
    <w:p w:rsidR="008F708E" w:rsidRDefault="008F708E" w:rsidP="008F708E">
      <w:pPr>
        <w:pStyle w:val="af0"/>
      </w:pPr>
      <w:r>
        <w:t xml:space="preserve">В параметре «ГРБС» выбраны значения не равные значению «Все»: Федеральный бюджет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(по открытым данным). Например, Федеральный бюджет по Министерство промышленности и торговли Российской Федерации +2 ГАБС (по открытым данным).</w:t>
      </w:r>
    </w:p>
    <w:p w:rsidR="008F708E" w:rsidRDefault="008F708E" w:rsidP="008F708E">
      <w:pPr>
        <w:pStyle w:val="af0"/>
      </w:pPr>
      <w:r>
        <w:t xml:space="preserve">В параметре «Вице-премьер» и «ГРБС» одновременно выбраны значения не равные значению «Все»: Федеральный бюджет по вице-премьеру </w:t>
      </w:r>
      <w:r w:rsidRPr="00781D17">
        <w:t>&lt;</w:t>
      </w:r>
      <w:r>
        <w:t>ФИО выбранного вице-премьера</w:t>
      </w:r>
      <w:r w:rsidRPr="00781D17">
        <w:t>&gt;</w:t>
      </w:r>
      <w:r>
        <w:t xml:space="preserve"> и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(по открытым данным). Например, Федеральный бюджет по вице-премьеру В. В. Абрамченко и Министерство промышленности и торговли Российской Федерации +92 ГАБС (по открытым данным).</w:t>
      </w:r>
    </w:p>
    <w:p w:rsidR="008F708E" w:rsidRDefault="008F708E" w:rsidP="008F708E">
      <w:pPr>
        <w:pStyle w:val="af0"/>
      </w:pPr>
    </w:p>
    <w:p w:rsidR="008F708E" w:rsidRDefault="008F708E" w:rsidP="008F708E">
      <w:pPr>
        <w:pStyle w:val="af0"/>
        <w:keepNext/>
      </w:pPr>
      <w:r>
        <w:t>Дашборд состоит из 5 блоков:</w:t>
      </w:r>
    </w:p>
    <w:p w:rsidR="008F708E" w:rsidRPr="003A4A3C" w:rsidRDefault="008F708E" w:rsidP="00DE1661">
      <w:pPr>
        <w:pStyle w:val="13"/>
        <w:rPr>
          <w:snapToGrid/>
        </w:rPr>
      </w:pPr>
      <w:r w:rsidRPr="003A4A3C">
        <w:rPr>
          <w:snapToGrid/>
        </w:rPr>
        <w:t>Доходы федерального бюджета</w:t>
      </w:r>
      <w:r>
        <w:rPr>
          <w:snapToGrid/>
        </w:rPr>
        <w:t>;</w:t>
      </w:r>
    </w:p>
    <w:p w:rsidR="008F708E" w:rsidRPr="003A4A3C" w:rsidRDefault="008F708E" w:rsidP="00DE1661">
      <w:pPr>
        <w:pStyle w:val="13"/>
        <w:rPr>
          <w:snapToGrid/>
        </w:rPr>
      </w:pPr>
      <w:r w:rsidRPr="003A4A3C">
        <w:rPr>
          <w:snapToGrid/>
        </w:rPr>
        <w:t>Риски по доходам</w:t>
      </w:r>
      <w:r>
        <w:rPr>
          <w:snapToGrid/>
        </w:rPr>
        <w:t>;</w:t>
      </w:r>
    </w:p>
    <w:p w:rsidR="008F708E" w:rsidRPr="003A4A3C" w:rsidRDefault="008F708E" w:rsidP="00DE1661">
      <w:pPr>
        <w:pStyle w:val="13"/>
        <w:rPr>
          <w:snapToGrid/>
        </w:rPr>
      </w:pPr>
      <w:r>
        <w:rPr>
          <w:snapToGrid/>
        </w:rPr>
        <w:t>Расходы федерального бюджета;</w:t>
      </w:r>
    </w:p>
    <w:p w:rsidR="008F708E" w:rsidRPr="003A4A3C" w:rsidRDefault="008F708E" w:rsidP="00DE1661">
      <w:pPr>
        <w:pStyle w:val="13"/>
        <w:rPr>
          <w:snapToGrid/>
        </w:rPr>
      </w:pPr>
      <w:r w:rsidRPr="003A4A3C">
        <w:rPr>
          <w:snapToGrid/>
        </w:rPr>
        <w:t>Риски по расходам (по открытым данным)</w:t>
      </w:r>
      <w:r>
        <w:rPr>
          <w:snapToGrid/>
        </w:rPr>
        <w:t>;</w:t>
      </w:r>
    </w:p>
    <w:p w:rsidR="008F708E" w:rsidRPr="003A4A3C" w:rsidRDefault="008F708E" w:rsidP="00DE1661">
      <w:pPr>
        <w:pStyle w:val="13"/>
        <w:rPr>
          <w:snapToGrid/>
        </w:rPr>
      </w:pPr>
      <w:r w:rsidRPr="003A4A3C">
        <w:rPr>
          <w:snapToGrid/>
        </w:rPr>
        <w:t>Дефицит/профицит бюджета</w:t>
      </w:r>
      <w:r>
        <w:rPr>
          <w:snapToGrid/>
        </w:rPr>
        <w:t>.</w:t>
      </w:r>
    </w:p>
    <w:p w:rsidR="008F708E" w:rsidRDefault="008F708E" w:rsidP="008F708E">
      <w:pPr>
        <w:pStyle w:val="af0"/>
      </w:pPr>
    </w:p>
    <w:p w:rsidR="008F708E" w:rsidRDefault="008F708E" w:rsidP="008F708E">
      <w:pPr>
        <w:pStyle w:val="af0"/>
        <w:ind w:firstLine="0"/>
      </w:pPr>
      <w:r>
        <w:rPr>
          <w:noProof/>
          <w:snapToGrid/>
        </w:rPr>
        <w:drawing>
          <wp:inline distT="0" distB="0" distL="0" distR="0" wp14:anchorId="47AC9714" wp14:editId="432CBF1F">
            <wp:extent cx="6120130" cy="2531683"/>
            <wp:effectExtent l="0" t="0" r="0" b="254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6120130" cy="2531683"/>
                    </a:xfrm>
                    <a:prstGeom prst="rect">
                      <a:avLst/>
                    </a:prstGeom>
                  </pic:spPr>
                </pic:pic>
              </a:graphicData>
            </a:graphic>
          </wp:inline>
        </w:drawing>
      </w:r>
    </w:p>
    <w:p w:rsidR="008F708E" w:rsidRPr="003A2138" w:rsidRDefault="008F708E" w:rsidP="008F708E">
      <w:pPr>
        <w:pStyle w:val="-0"/>
        <w:rPr>
          <w:rStyle w:val="af1"/>
        </w:rPr>
      </w:pPr>
      <w:bookmarkStart w:id="582" w:name="_Toc80789123"/>
      <w:bookmarkStart w:id="583" w:name="_Toc119584326"/>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139</w:t>
      </w:r>
      <w:r>
        <w:rPr>
          <w:szCs w:val="28"/>
        </w:rPr>
        <w:fldChar w:fldCharType="end"/>
      </w:r>
      <w:r>
        <w:rPr>
          <w:szCs w:val="28"/>
        </w:rPr>
        <w:t xml:space="preserve"> – </w:t>
      </w:r>
      <w:r>
        <w:rPr>
          <w:rStyle w:val="af1"/>
        </w:rPr>
        <w:t xml:space="preserve">Макет борда «Бюджет», </w:t>
      </w:r>
      <w:r w:rsidRPr="00C14056">
        <w:rPr>
          <w:rStyle w:val="af1"/>
        </w:rPr>
        <w:t>представление</w:t>
      </w:r>
      <w:r>
        <w:rPr>
          <w:rStyle w:val="af1"/>
        </w:rPr>
        <w:t xml:space="preserve"> «По РФ»</w:t>
      </w:r>
      <w:r w:rsidRPr="003A2138">
        <w:rPr>
          <w:rStyle w:val="af1"/>
        </w:rPr>
        <w:t xml:space="preserve"> </w:t>
      </w:r>
      <w:r>
        <w:rPr>
          <w:rStyle w:val="af1"/>
        </w:rPr>
        <w:t>(</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не равное значению 01.01.ГГГГ)</w:t>
      </w:r>
      <w:bookmarkEnd w:id="582"/>
      <w:bookmarkEnd w:id="583"/>
    </w:p>
    <w:p w:rsidR="008F708E" w:rsidRDefault="008F708E" w:rsidP="008F708E">
      <w:pPr>
        <w:pStyle w:val="af0"/>
        <w:ind w:firstLine="0"/>
        <w:rPr>
          <w:rStyle w:val="af1"/>
        </w:rPr>
      </w:pPr>
    </w:p>
    <w:p w:rsidR="008F708E" w:rsidRPr="003A2138" w:rsidRDefault="008F708E" w:rsidP="008F708E">
      <w:pPr>
        <w:pStyle w:val="af0"/>
        <w:keepNext/>
        <w:ind w:firstLine="0"/>
        <w:rPr>
          <w:rStyle w:val="af1"/>
        </w:rPr>
      </w:pPr>
      <w:r>
        <w:rPr>
          <w:noProof/>
          <w:snapToGrid/>
        </w:rPr>
        <w:drawing>
          <wp:inline distT="0" distB="0" distL="0" distR="0" wp14:anchorId="26ACCE79" wp14:editId="4E79B300">
            <wp:extent cx="6120130" cy="2529788"/>
            <wp:effectExtent l="0" t="0" r="0" b="4445"/>
            <wp:docPr id="5706" name="Рисунок 5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6120130" cy="2529788"/>
                    </a:xfrm>
                    <a:prstGeom prst="rect">
                      <a:avLst/>
                    </a:prstGeom>
                  </pic:spPr>
                </pic:pic>
              </a:graphicData>
            </a:graphic>
          </wp:inline>
        </w:drawing>
      </w:r>
    </w:p>
    <w:p w:rsidR="008F708E" w:rsidRPr="003A2138" w:rsidRDefault="008F708E" w:rsidP="008F708E">
      <w:pPr>
        <w:pStyle w:val="-0"/>
      </w:pPr>
      <w:bookmarkStart w:id="584" w:name="_Toc80789124"/>
      <w:bookmarkStart w:id="585" w:name="_Toc119584327"/>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140</w:t>
      </w:r>
      <w:r>
        <w:rPr>
          <w:szCs w:val="28"/>
        </w:rPr>
        <w:fldChar w:fldCharType="end"/>
      </w:r>
      <w:r>
        <w:rPr>
          <w:szCs w:val="28"/>
        </w:rPr>
        <w:t xml:space="preserve"> – </w:t>
      </w:r>
      <w:r>
        <w:rPr>
          <w:rStyle w:val="af1"/>
        </w:rPr>
        <w:t>Макет борда «Бюджет», представление «По РФ» (</w:t>
      </w:r>
      <w:r w:rsidRPr="003A2138">
        <w:rPr>
          <w:rStyle w:val="af1"/>
        </w:rPr>
        <w:t xml:space="preserve">в параметре «По состоянию на» </w:t>
      </w:r>
      <w:r w:rsidRPr="00C14056">
        <w:rPr>
          <w:rStyle w:val="af1"/>
        </w:rPr>
        <w:t>выбрано</w:t>
      </w:r>
      <w:r>
        <w:rPr>
          <w:rStyle w:val="af1"/>
        </w:rPr>
        <w:t xml:space="preserve"> </w:t>
      </w:r>
      <w:r w:rsidRPr="003A2138">
        <w:rPr>
          <w:rStyle w:val="af1"/>
        </w:rPr>
        <w:t>значени</w:t>
      </w:r>
      <w:r>
        <w:rPr>
          <w:rStyle w:val="af1"/>
        </w:rPr>
        <w:t>е</w:t>
      </w:r>
      <w:r w:rsidRPr="003A2138">
        <w:rPr>
          <w:rStyle w:val="af1"/>
        </w:rPr>
        <w:t xml:space="preserve"> </w:t>
      </w:r>
      <w:r>
        <w:rPr>
          <w:rStyle w:val="af1"/>
        </w:rPr>
        <w:t>01.01.ГГГГ)</w:t>
      </w:r>
      <w:bookmarkEnd w:id="584"/>
      <w:bookmarkEnd w:id="585"/>
    </w:p>
    <w:p w:rsidR="008F708E" w:rsidRDefault="008F708E" w:rsidP="008F708E">
      <w:pPr>
        <w:pStyle w:val="af0"/>
      </w:pPr>
    </w:p>
    <w:p w:rsidR="008F708E" w:rsidRDefault="008F708E" w:rsidP="008F708E">
      <w:pPr>
        <w:pStyle w:val="af0"/>
        <w:rPr>
          <w:b/>
        </w:rPr>
      </w:pPr>
      <w:r>
        <w:rPr>
          <w:b/>
        </w:rPr>
        <w:t>Блок</w:t>
      </w:r>
      <w:r w:rsidRPr="004C72A8">
        <w:rPr>
          <w:b/>
        </w:rPr>
        <w:t xml:space="preserve"> «Доходы федерального бюджета»</w:t>
      </w:r>
    </w:p>
    <w:p w:rsidR="008F708E" w:rsidRDefault="008F708E" w:rsidP="008F708E">
      <w:pPr>
        <w:pStyle w:val="af0"/>
        <w:rPr>
          <w:b/>
        </w:rPr>
      </w:pPr>
      <w:r>
        <w:t xml:space="preserve">При выборе в параметре «Вице-премьер» ФИО вице-премьера или значения «Иные» блок скрывается. Показатели блока представлены в таблице </w:t>
      </w:r>
      <w:r>
        <w:fldChar w:fldCharType="begin"/>
      </w:r>
      <w:r>
        <w:instrText xml:space="preserve"> REF табл2 \h </w:instrText>
      </w:r>
      <w:r>
        <w:fldChar w:fldCharType="separate"/>
      </w:r>
      <w:r w:rsidR="00BF0BEE">
        <w:rPr>
          <w:noProof/>
        </w:rPr>
        <w:t>14</w:t>
      </w:r>
      <w:r>
        <w:fldChar w:fldCharType="end"/>
      </w:r>
      <w:r>
        <w:t>.</w:t>
      </w:r>
      <w:r>
        <w:fldChar w:fldCharType="begin"/>
      </w:r>
      <w:r>
        <w:instrText xml:space="preserve"> REF табл2 \h </w:instrText>
      </w:r>
      <w:r>
        <w:fldChar w:fldCharType="separate"/>
      </w:r>
      <w:r w:rsidR="00BF0BEE">
        <w:rPr>
          <w:noProof/>
        </w:rPr>
        <w:t>14</w:t>
      </w:r>
      <w:r>
        <w:fldChar w:fldCharType="end"/>
      </w:r>
    </w:p>
    <w:p w:rsidR="008F708E" w:rsidRPr="000E218E" w:rsidRDefault="008F708E" w:rsidP="008F708E">
      <w:pPr>
        <w:pStyle w:val="-"/>
      </w:pPr>
      <w:bookmarkStart w:id="586" w:name="_Toc80789105"/>
      <w:bookmarkStart w:id="587" w:name="_Toc119585155"/>
      <w:r>
        <w:t xml:space="preserve">Таблица </w:t>
      </w:r>
      <w:bookmarkStart w:id="588" w:name="табл2"/>
      <w:r>
        <w:fldChar w:fldCharType="begin"/>
      </w:r>
      <w:r>
        <w:instrText xml:space="preserve"> SEQ Таблица \* ARABIC </w:instrText>
      </w:r>
      <w:r>
        <w:fldChar w:fldCharType="separate"/>
      </w:r>
      <w:r w:rsidR="00BF0BEE">
        <w:rPr>
          <w:noProof/>
        </w:rPr>
        <w:t>14</w:t>
      </w:r>
      <w:r>
        <w:fldChar w:fldCharType="end"/>
      </w:r>
      <w:bookmarkEnd w:id="588"/>
      <w:r w:rsidRPr="000E218E">
        <w:t xml:space="preserve"> – </w:t>
      </w:r>
      <w:r>
        <w:t>Показатели б</w:t>
      </w:r>
      <w:r w:rsidRPr="000E218E">
        <w:t>лок</w:t>
      </w:r>
      <w:r>
        <w:t>а</w:t>
      </w:r>
      <w:r w:rsidRPr="000E218E">
        <w:t xml:space="preserve"> «Доходы федерального бюджета»</w:t>
      </w:r>
      <w:bookmarkEnd w:id="586"/>
      <w:bookmarkEnd w:id="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32031B" w:rsidTr="00D7306D">
        <w:trPr>
          <w:tblHeader/>
        </w:trPr>
        <w:tc>
          <w:tcPr>
            <w:tcW w:w="1480" w:type="pct"/>
            <w:shd w:val="clear" w:color="auto" w:fill="D9D9D9" w:themeFill="background1" w:themeFillShade="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hemeFill="background1" w:themeFillShade="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Уточненный прогноз на ГГГГ год, где ГГГГ - значение из параметра «Год».</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установлено значение «Все». </w:t>
            </w:r>
          </w:p>
          <w:p w:rsidR="008F708E" w:rsidRDefault="008F708E" w:rsidP="008F708E">
            <w:pPr>
              <w:jc w:val="left"/>
            </w:pPr>
            <w:r>
              <w:t>Формула:</w:t>
            </w:r>
          </w:p>
          <w:p w:rsidR="008F708E"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r>
              <w:t xml:space="preserve"> </w:t>
            </w:r>
          </w:p>
          <w:p w:rsidR="008F708E" w:rsidRDefault="008F708E" w:rsidP="008F708E">
            <w:pPr>
              <w:jc w:val="left"/>
            </w:pPr>
            <w:r>
              <w:t>ПЛЮС</w:t>
            </w:r>
          </w:p>
          <w:p w:rsidR="008F708E" w:rsidRDefault="008F708E" w:rsidP="008F708E">
            <w:pPr>
              <w:pStyle w:val="af0"/>
              <w:ind w:firstLine="0"/>
              <w:jc w:val="left"/>
              <w:rPr>
                <w:color w:val="auto"/>
                <w:sz w:val="24"/>
                <w:szCs w:val="24"/>
              </w:rPr>
            </w:pPr>
            <w:r w:rsidRPr="0032031B">
              <w:rPr>
                <w:color w:val="auto"/>
                <w:sz w:val="24"/>
                <w:szCs w:val="24"/>
              </w:rPr>
              <w:t>Уточнения, связанные с принятием отдельных НПА</w:t>
            </w:r>
            <w:r>
              <w:rPr>
                <w:color w:val="auto"/>
                <w:sz w:val="24"/>
                <w:szCs w:val="24"/>
              </w:rPr>
              <w:t xml:space="preserve"> (в 2020 году на суммы </w:t>
            </w:r>
            <w:r w:rsidRPr="008D667B">
              <w:rPr>
                <w:color w:val="auto"/>
                <w:sz w:val="24"/>
                <w:szCs w:val="24"/>
              </w:rPr>
              <w:t>27 379 377 700 р</w:t>
            </w:r>
            <w:r>
              <w:rPr>
                <w:color w:val="auto"/>
                <w:sz w:val="24"/>
                <w:szCs w:val="24"/>
              </w:rPr>
              <w:t>уб., 17 131 321 700 руб., 2 000 </w:t>
            </w:r>
            <w:r w:rsidRPr="008D667B">
              <w:rPr>
                <w:color w:val="auto"/>
                <w:sz w:val="24"/>
                <w:szCs w:val="24"/>
              </w:rPr>
              <w:t xml:space="preserve">000 000 руб., 10 258 133 </w:t>
            </w:r>
            <w:r>
              <w:rPr>
                <w:color w:val="auto"/>
                <w:sz w:val="24"/>
                <w:szCs w:val="24"/>
              </w:rPr>
              <w:t>600 руб., 2 492 200 000 руб., 3 </w:t>
            </w:r>
            <w:r w:rsidRPr="008D667B">
              <w:rPr>
                <w:color w:val="auto"/>
                <w:sz w:val="24"/>
                <w:szCs w:val="24"/>
              </w:rPr>
              <w:t>588 300 000 руб., 1 066 047 652 500 руб., 730 607 600 руб.</w:t>
            </w:r>
            <w:r>
              <w:rPr>
                <w:color w:val="auto"/>
                <w:sz w:val="24"/>
                <w:szCs w:val="24"/>
              </w:rPr>
              <w:t>)</w:t>
            </w:r>
            <w:r w:rsidRPr="0032031B">
              <w:rPr>
                <w:color w:val="auto"/>
                <w:sz w:val="24"/>
                <w:szCs w:val="24"/>
              </w:rPr>
              <w:t>.</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установлены значения не равные значению «Все».</w:t>
            </w:r>
          </w:p>
          <w:p w:rsidR="008F708E" w:rsidRPr="00D8033B"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r>
              <w:t xml:space="preserve"> </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Кассовый план ГАДБ на ГГГГ год, где ГГГГ - значение из параметра «Год».</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установлено значение «Все».</w:t>
            </w:r>
          </w:p>
          <w:p w:rsidR="008F708E" w:rsidRPr="0032031B" w:rsidRDefault="008F708E" w:rsidP="008F708E">
            <w:pPr>
              <w:pStyle w:val="af0"/>
              <w:ind w:firstLine="0"/>
              <w:jc w:val="left"/>
              <w:rPr>
                <w:color w:val="auto"/>
                <w:sz w:val="24"/>
                <w:szCs w:val="24"/>
              </w:rPr>
            </w:pPr>
            <w:r w:rsidRPr="0032031B">
              <w:rPr>
                <w:color w:val="auto"/>
                <w:sz w:val="24"/>
                <w:szCs w:val="24"/>
              </w:rPr>
              <w:t>ПБП, форма 0501043, показатель «Кассовые поступления по доходам – всего», графа «Итого за год»</w:t>
            </w:r>
            <w:r>
              <w:rPr>
                <w:color w:val="auto"/>
                <w:sz w:val="24"/>
                <w:szCs w:val="24"/>
              </w:rPr>
              <w:t>.</w:t>
            </w:r>
          </w:p>
          <w:p w:rsidR="008F708E" w:rsidRDefault="008F708E" w:rsidP="008F708E">
            <w:pPr>
              <w:jc w:val="left"/>
            </w:pPr>
          </w:p>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установлены значения не равные значению «Все». </w:t>
            </w:r>
          </w:p>
          <w:p w:rsidR="008F708E" w:rsidRDefault="008F708E" w:rsidP="008F708E">
            <w:pPr>
              <w:pStyle w:val="af0"/>
              <w:ind w:firstLine="0"/>
              <w:jc w:val="left"/>
              <w:rPr>
                <w:color w:val="auto"/>
                <w:sz w:val="24"/>
                <w:szCs w:val="24"/>
              </w:rPr>
            </w:pPr>
            <w:r w:rsidRPr="0032031B">
              <w:rPr>
                <w:color w:val="auto"/>
                <w:sz w:val="24"/>
                <w:szCs w:val="24"/>
              </w:rPr>
              <w:t>ПБП, форма 05001083, графа «Сумма на год, всего».</w:t>
            </w:r>
          </w:p>
          <w:p w:rsidR="008F708E" w:rsidRDefault="008F708E" w:rsidP="008F708E">
            <w:pPr>
              <w:pStyle w:val="af0"/>
              <w:ind w:firstLine="0"/>
              <w:jc w:val="left"/>
              <w:rPr>
                <w:color w:val="auto"/>
                <w:sz w:val="24"/>
                <w:szCs w:val="24"/>
              </w:rPr>
            </w:pPr>
          </w:p>
          <w:p w:rsidR="008F708E" w:rsidRPr="0032031B" w:rsidRDefault="008F708E" w:rsidP="008F708E">
            <w:pPr>
              <w:pStyle w:val="af0"/>
              <w:ind w:firstLine="0"/>
              <w:jc w:val="left"/>
              <w:rPr>
                <w:color w:val="auto"/>
                <w:sz w:val="24"/>
                <w:szCs w:val="24"/>
              </w:rPr>
            </w:pPr>
            <w:r w:rsidRPr="003E229A">
              <w:rPr>
                <w:color w:val="auto"/>
                <w:sz w:val="24"/>
                <w:szCs w:val="24"/>
              </w:rPr>
              <w:t>При отсутствии данных по формам 0501043 и 05001083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bookmarkStart w:id="589" w:name="_Hlk80139643"/>
            <w:r w:rsidRPr="0032031B">
              <w:rPr>
                <w:color w:val="auto"/>
                <w:sz w:val="24"/>
                <w:szCs w:val="24"/>
              </w:rPr>
              <w:t>Факт на ДД.ММ.ГГГГ</w:t>
            </w:r>
            <w:bookmarkEnd w:id="589"/>
            <w:r w:rsidRPr="0032031B">
              <w:rPr>
                <w:color w:val="auto"/>
                <w:sz w:val="24"/>
                <w:szCs w:val="24"/>
              </w:rPr>
              <w:t>, где ДД.ММ.ГГГГ - значение из параметра «По состоянию на».</w:t>
            </w:r>
          </w:p>
        </w:tc>
        <w:tc>
          <w:tcPr>
            <w:tcW w:w="352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АСФК, форма О_0504072, раздел «Доходы бюджета</w:t>
            </w:r>
            <w:r>
              <w:rPr>
                <w:color w:val="auto"/>
                <w:sz w:val="24"/>
                <w:szCs w:val="24"/>
              </w:rPr>
              <w:t>»</w:t>
            </w:r>
            <w:r w:rsidRPr="0032031B">
              <w:rPr>
                <w:color w:val="auto"/>
                <w:sz w:val="24"/>
                <w:szCs w:val="24"/>
              </w:rPr>
              <w:t>, показатель «Кассовое исполнение».</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исполнения</w:t>
            </w:r>
          </w:p>
        </w:tc>
        <w:tc>
          <w:tcPr>
            <w:tcW w:w="352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«Уточненный прогноз на ГГГГ год» * 100%.</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к прошлому году</w:t>
            </w:r>
          </w:p>
        </w:tc>
        <w:tc>
          <w:tcPr>
            <w:tcW w:w="352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Формула: «Факт на ДД.ММ.ГГГГ-1» * 100</w:t>
            </w:r>
          </w:p>
          <w:p w:rsidR="008F708E" w:rsidRPr="0032031B" w:rsidRDefault="008F708E" w:rsidP="008F708E">
            <w:pPr>
              <w:pStyle w:val="af0"/>
              <w:ind w:firstLine="0"/>
              <w:jc w:val="left"/>
              <w:rPr>
                <w:color w:val="auto"/>
                <w:sz w:val="24"/>
                <w:szCs w:val="24"/>
              </w:rPr>
            </w:pPr>
            <w:r w:rsidRPr="0032031B">
              <w:rPr>
                <w:color w:val="auto"/>
                <w:sz w:val="24"/>
                <w:szCs w:val="24"/>
              </w:rPr>
              <w:t>Если за день прошлого года ДД.ММ.ГГГГ-1 данных нет, то берутся данные с ближайшей предыдущей даты.</w:t>
            </w:r>
          </w:p>
          <w:p w:rsidR="008F708E" w:rsidRPr="0032031B" w:rsidRDefault="008F708E" w:rsidP="008F708E">
            <w:pPr>
              <w:pStyle w:val="af0"/>
              <w:ind w:firstLine="0"/>
              <w:jc w:val="left"/>
              <w:rPr>
                <w:color w:val="auto"/>
                <w:sz w:val="24"/>
                <w:szCs w:val="24"/>
              </w:rPr>
            </w:pPr>
            <w:r w:rsidRPr="0032031B">
              <w:rPr>
                <w:color w:val="auto"/>
                <w:sz w:val="24"/>
                <w:szCs w:val="24"/>
              </w:rPr>
              <w:t>Если результат расчета больше 0, то выводится текст в зеленой капсуле «Рост на Х%», если меньше 0, то – в красной капсуле «Снижение на Х%».</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Индикатор:</w:t>
            </w:r>
          </w:p>
          <w:p w:rsidR="008F708E" w:rsidRDefault="008F708E" w:rsidP="008F708E">
            <w:pPr>
              <w:jc w:val="left"/>
            </w:pPr>
            <w:r>
              <w:t>«Зеленый» - если значение по показателю «</w:t>
            </w:r>
            <w:r w:rsidRPr="0032031B">
              <w:rPr>
                <w:color w:val="auto"/>
                <w:szCs w:val="24"/>
              </w:rPr>
              <w:t>к прошлому году</w:t>
            </w:r>
            <w:r>
              <w:t>» больше или равно 0;</w:t>
            </w:r>
          </w:p>
          <w:p w:rsidR="008F708E" w:rsidRPr="00753BA1" w:rsidRDefault="008F708E" w:rsidP="008F708E">
            <w:pPr>
              <w:jc w:val="left"/>
            </w:pPr>
            <w:r>
              <w:t>«Красный» - если значение меньше 0.</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rPr>
          <w:color w:val="auto"/>
        </w:rPr>
      </w:pPr>
      <w:r>
        <w:t>С блока осуществляется переход по тексту «</w:t>
      </w:r>
      <w:r w:rsidRPr="00542740">
        <w:t xml:space="preserve">Подробнее </w:t>
      </w:r>
      <w:r w:rsidRPr="00542740">
        <w:sym w:font="Symbol" w:char="F0AE"/>
      </w:r>
      <w:r w:rsidRPr="00542740">
        <w:t>» в представление «ГАБС – Доходы» отчета «Бюджет» с передачей фильтров: «По состоянию</w:t>
      </w:r>
      <w:r>
        <w:rPr>
          <w:color w:val="auto"/>
        </w:rPr>
        <w:t xml:space="preserve"> на»</w:t>
      </w:r>
      <w:r w:rsidRPr="00271BEF">
        <w:rPr>
          <w:color w:val="auto"/>
        </w:rPr>
        <w:t>,</w:t>
      </w:r>
      <w:r>
        <w:rPr>
          <w:color w:val="auto"/>
        </w:rPr>
        <w:t xml:space="preserve"> «Год»,</w:t>
      </w:r>
      <w:r w:rsidRPr="00271BEF">
        <w:rPr>
          <w:color w:val="auto"/>
        </w:rPr>
        <w:t xml:space="preserve"> </w:t>
      </w:r>
      <w:r>
        <w:rPr>
          <w:color w:val="auto"/>
        </w:rPr>
        <w:t>«</w:t>
      </w:r>
      <w:r w:rsidRPr="00271BEF">
        <w:rPr>
          <w:color w:val="auto"/>
        </w:rPr>
        <w:t>ГАБС</w:t>
      </w:r>
      <w:r>
        <w:rPr>
          <w:color w:val="auto"/>
        </w:rPr>
        <w:t>», «Единицы и</w:t>
      </w:r>
      <w:r w:rsidRPr="00271BEF">
        <w:rPr>
          <w:color w:val="auto"/>
        </w:rPr>
        <w:t>змерения</w:t>
      </w:r>
      <w:r>
        <w:rPr>
          <w:color w:val="auto"/>
        </w:rPr>
        <w:t>».</w:t>
      </w:r>
    </w:p>
    <w:p w:rsidR="00D7306D" w:rsidRDefault="00D7306D" w:rsidP="00D7306D">
      <w:pPr>
        <w:pStyle w:val="af0"/>
        <w:rPr>
          <w:b/>
        </w:rPr>
      </w:pPr>
    </w:p>
    <w:p w:rsidR="008F708E" w:rsidRDefault="008F708E" w:rsidP="00D7306D">
      <w:pPr>
        <w:pStyle w:val="af0"/>
        <w:rPr>
          <w:b/>
        </w:rPr>
      </w:pPr>
      <w:r>
        <w:rPr>
          <w:b/>
        </w:rPr>
        <w:t xml:space="preserve">Блок </w:t>
      </w:r>
      <w:r w:rsidRPr="004C72A8">
        <w:rPr>
          <w:b/>
        </w:rPr>
        <w:t>«Расходы федерального бюджета»</w:t>
      </w:r>
    </w:p>
    <w:p w:rsidR="008F708E" w:rsidRDefault="008F708E" w:rsidP="008F708E">
      <w:pPr>
        <w:pStyle w:val="af0"/>
      </w:pPr>
      <w:r>
        <w:t xml:space="preserve">Правила формирования показателей блока представлены в таблице </w:t>
      </w:r>
      <w:r>
        <w:fldChar w:fldCharType="begin"/>
      </w:r>
      <w:r>
        <w:instrText xml:space="preserve"> REF табл3 \h </w:instrText>
      </w:r>
      <w:r>
        <w:fldChar w:fldCharType="separate"/>
      </w:r>
      <w:r w:rsidR="00BF0BEE">
        <w:rPr>
          <w:noProof/>
        </w:rPr>
        <w:t>15</w:t>
      </w:r>
      <w:r>
        <w:fldChar w:fldCharType="end"/>
      </w:r>
      <w:r>
        <w:t>.</w:t>
      </w:r>
    </w:p>
    <w:p w:rsidR="008F708E" w:rsidRPr="000E218E" w:rsidRDefault="008F708E" w:rsidP="008F708E">
      <w:pPr>
        <w:pStyle w:val="-"/>
      </w:pPr>
      <w:bookmarkStart w:id="590" w:name="_Toc80789106"/>
      <w:bookmarkStart w:id="591" w:name="_Toc119585156"/>
      <w:r>
        <w:t xml:space="preserve">Таблица </w:t>
      </w:r>
      <w:bookmarkStart w:id="592" w:name="табл3"/>
      <w:r>
        <w:fldChar w:fldCharType="begin"/>
      </w:r>
      <w:r>
        <w:instrText xml:space="preserve"> SEQ Таблица \* ARABIC </w:instrText>
      </w:r>
      <w:r>
        <w:fldChar w:fldCharType="separate"/>
      </w:r>
      <w:r w:rsidR="00BF0BEE">
        <w:rPr>
          <w:noProof/>
        </w:rPr>
        <w:t>15</w:t>
      </w:r>
      <w:r>
        <w:fldChar w:fldCharType="end"/>
      </w:r>
      <w:bookmarkEnd w:id="592"/>
      <w:r w:rsidRPr="000E218E">
        <w:t xml:space="preserve"> – </w:t>
      </w:r>
      <w:r>
        <w:t>Показатели б</w:t>
      </w:r>
      <w:r w:rsidRPr="000E218E">
        <w:t>лок</w:t>
      </w:r>
      <w:r>
        <w:t>а</w:t>
      </w:r>
      <w:r w:rsidRPr="000E218E">
        <w:t xml:space="preserve"> «Расходы федерального бюджета»</w:t>
      </w:r>
      <w:bookmarkEnd w:id="590"/>
      <w:bookmarkEnd w:id="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32031B" w:rsidTr="008F708E">
        <w:trPr>
          <w:tblHeader/>
        </w:trPr>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Роспись</w:t>
            </w:r>
            <w:r w:rsidRPr="0032031B">
              <w:rPr>
                <w:color w:val="auto"/>
                <w:sz w:val="24"/>
                <w:szCs w:val="24"/>
              </w:rPr>
              <w:t xml:space="preserve"> на ГГГГ год, где ГГГГ - значение из параметра «Год».</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«ГАБС» установлено значение «Все»</w:t>
            </w:r>
            <w:r>
              <w:rPr>
                <w:i/>
                <w:color w:val="auto"/>
                <w:sz w:val="24"/>
                <w:szCs w:val="24"/>
              </w:rPr>
              <w:t>.</w:t>
            </w:r>
          </w:p>
          <w:p w:rsidR="008F708E" w:rsidRPr="00343316" w:rsidRDefault="008F708E" w:rsidP="008F708E">
            <w:pPr>
              <w:pStyle w:val="af0"/>
              <w:ind w:firstLine="0"/>
              <w:jc w:val="left"/>
              <w:rPr>
                <w:color w:val="auto"/>
                <w:sz w:val="24"/>
                <w:szCs w:val="24"/>
              </w:rPr>
            </w:pPr>
            <w:r>
              <w:rPr>
                <w:color w:val="auto"/>
                <w:sz w:val="24"/>
                <w:szCs w:val="24"/>
              </w:rPr>
              <w:t>Источник</w:t>
            </w:r>
            <w:r w:rsidRPr="00343316">
              <w:rPr>
                <w:color w:val="auto"/>
                <w:sz w:val="24"/>
                <w:szCs w:val="24"/>
              </w:rPr>
              <w:t>:</w:t>
            </w:r>
          </w:p>
          <w:p w:rsidR="008F708E" w:rsidRDefault="008F708E" w:rsidP="008F708E">
            <w:pPr>
              <w:pStyle w:val="af0"/>
              <w:ind w:firstLine="0"/>
              <w:jc w:val="left"/>
              <w:rPr>
                <w:color w:val="auto"/>
                <w:sz w:val="24"/>
                <w:szCs w:val="24"/>
              </w:rPr>
            </w:pPr>
            <w:r w:rsidRPr="00284D1D">
              <w:rPr>
                <w:color w:val="auto"/>
                <w:sz w:val="24"/>
                <w:szCs w:val="24"/>
              </w:rPr>
              <w:t>АСФК, форма 0504072, раздел «4 Расходы КВР»</w:t>
            </w:r>
            <w:r>
              <w:rPr>
                <w:color w:val="auto"/>
                <w:sz w:val="24"/>
                <w:szCs w:val="24"/>
              </w:rPr>
              <w:t xml:space="preserve"> (с закрытой частью)</w:t>
            </w:r>
            <w:r w:rsidRPr="00284D1D">
              <w:rPr>
                <w:color w:val="auto"/>
                <w:sz w:val="24"/>
                <w:szCs w:val="24"/>
              </w:rPr>
              <w:t xml:space="preserve">, </w:t>
            </w:r>
            <w:r>
              <w:rPr>
                <w:color w:val="auto"/>
                <w:sz w:val="24"/>
                <w:szCs w:val="24"/>
              </w:rPr>
              <w:t>показатель</w:t>
            </w:r>
            <w:r w:rsidRPr="00284D1D">
              <w:rPr>
                <w:color w:val="auto"/>
                <w:sz w:val="24"/>
                <w:szCs w:val="24"/>
              </w:rPr>
              <w:t xml:space="preserve"> «Утверждено БА»</w:t>
            </w:r>
            <w:r>
              <w:rPr>
                <w:color w:val="auto"/>
                <w:sz w:val="24"/>
                <w:szCs w:val="24"/>
              </w:rPr>
              <w:t>.</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Pr>
                <w:i/>
                <w:color w:val="auto"/>
                <w:sz w:val="24"/>
                <w:szCs w:val="24"/>
              </w:rPr>
              <w:t>В параметрах «Вице-премьер» и/ил</w:t>
            </w:r>
            <w:r w:rsidRPr="00343316">
              <w:rPr>
                <w:i/>
                <w:color w:val="auto"/>
                <w:sz w:val="24"/>
                <w:szCs w:val="24"/>
              </w:rPr>
              <w:t>и «ГАБС» установлены значения не равные значению «Все».</w:t>
            </w:r>
          </w:p>
          <w:p w:rsidR="008F708E" w:rsidRPr="00D8033B" w:rsidRDefault="008F708E" w:rsidP="008F708E">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xml:space="preserve">Кассовый план </w:t>
            </w:r>
            <w:r>
              <w:rPr>
                <w:color w:val="auto"/>
                <w:sz w:val="24"/>
                <w:szCs w:val="24"/>
              </w:rPr>
              <w:t>ГРБС</w:t>
            </w:r>
            <w:r w:rsidRPr="0032031B">
              <w:rPr>
                <w:color w:val="auto"/>
                <w:sz w:val="24"/>
                <w:szCs w:val="24"/>
              </w:rPr>
              <w:t xml:space="preserve"> на ГГГГ год, где ГГГГ - значение из параметра «Год».</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«ГАБС» установлено з</w:t>
            </w:r>
            <w:r>
              <w:rPr>
                <w:i/>
                <w:color w:val="auto"/>
                <w:sz w:val="24"/>
                <w:szCs w:val="24"/>
              </w:rPr>
              <w:t>начение «Все».</w:t>
            </w:r>
          </w:p>
          <w:p w:rsidR="008F708E" w:rsidRPr="0032031B" w:rsidRDefault="008F708E" w:rsidP="008F708E">
            <w:pPr>
              <w:pStyle w:val="af0"/>
              <w:ind w:firstLine="0"/>
              <w:jc w:val="left"/>
              <w:rPr>
                <w:color w:val="auto"/>
                <w:sz w:val="24"/>
                <w:szCs w:val="24"/>
              </w:rPr>
            </w:pPr>
            <w:r w:rsidRPr="0032031B">
              <w:rPr>
                <w:color w:val="auto"/>
                <w:sz w:val="24"/>
                <w:szCs w:val="24"/>
              </w:rPr>
              <w:t xml:space="preserve">ПБП, форма 0501043, показатель «Кассовые поступления по </w:t>
            </w:r>
            <w:r>
              <w:rPr>
                <w:color w:val="auto"/>
                <w:sz w:val="24"/>
                <w:szCs w:val="24"/>
              </w:rPr>
              <w:t>расходам</w:t>
            </w:r>
            <w:r w:rsidRPr="0032031B">
              <w:rPr>
                <w:color w:val="auto"/>
                <w:sz w:val="24"/>
                <w:szCs w:val="24"/>
              </w:rPr>
              <w:t xml:space="preserve"> – всего», графа «Итого за год»</w:t>
            </w:r>
            <w:r>
              <w:rPr>
                <w:color w:val="auto"/>
                <w:sz w:val="24"/>
                <w:szCs w:val="24"/>
              </w:rPr>
              <w:t>.</w:t>
            </w:r>
          </w:p>
          <w:p w:rsidR="008F708E" w:rsidRDefault="008F708E" w:rsidP="008F708E">
            <w:pPr>
              <w:jc w:val="left"/>
            </w:pPr>
          </w:p>
          <w:p w:rsidR="008F708E" w:rsidRPr="00343316" w:rsidRDefault="008F708E" w:rsidP="008F708E">
            <w:pPr>
              <w:jc w:val="left"/>
              <w:rPr>
                <w:i/>
              </w:rPr>
            </w:pPr>
            <w:r w:rsidRPr="00343316">
              <w:rPr>
                <w:i/>
              </w:rPr>
              <w:t>В параметре «Вице-премьер» установлены значения не равные значению «Все».</w:t>
            </w:r>
          </w:p>
          <w:p w:rsidR="008F708E" w:rsidRDefault="008F708E" w:rsidP="008F708E">
            <w:pPr>
              <w:jc w:val="left"/>
            </w:pPr>
            <w:r>
              <w:t xml:space="preserve">Показатель скрывается. </w:t>
            </w:r>
          </w:p>
          <w:p w:rsidR="008F708E" w:rsidRDefault="008F708E" w:rsidP="008F708E">
            <w:pPr>
              <w:jc w:val="left"/>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установлены значения не равные значению «Все»</w:t>
            </w:r>
            <w:r>
              <w:rPr>
                <w:i/>
                <w:color w:val="auto"/>
                <w:sz w:val="24"/>
                <w:szCs w:val="24"/>
              </w:rPr>
              <w:t>.</w:t>
            </w:r>
          </w:p>
          <w:p w:rsidR="008F708E" w:rsidRDefault="008F708E" w:rsidP="008F708E">
            <w:pPr>
              <w:pStyle w:val="af0"/>
              <w:ind w:firstLine="0"/>
              <w:jc w:val="left"/>
              <w:rPr>
                <w:color w:val="auto"/>
                <w:sz w:val="24"/>
                <w:szCs w:val="24"/>
              </w:rPr>
            </w:pPr>
            <w:r w:rsidRPr="0032031B">
              <w:rPr>
                <w:color w:val="auto"/>
                <w:sz w:val="24"/>
                <w:szCs w:val="24"/>
              </w:rPr>
              <w:t xml:space="preserve">ПБП, форма </w:t>
            </w:r>
            <w:r>
              <w:rPr>
                <w:color w:val="auto"/>
                <w:sz w:val="24"/>
                <w:szCs w:val="24"/>
              </w:rPr>
              <w:t>05001089</w:t>
            </w:r>
            <w:r w:rsidRPr="0032031B">
              <w:rPr>
                <w:color w:val="auto"/>
                <w:sz w:val="24"/>
                <w:szCs w:val="24"/>
              </w:rPr>
              <w:t>, графа «</w:t>
            </w:r>
            <w:r w:rsidRPr="00343316">
              <w:rPr>
                <w:color w:val="auto"/>
                <w:sz w:val="24"/>
                <w:szCs w:val="24"/>
              </w:rPr>
              <w:t>Бюджетные ассигнования по расходам федерального бюджета</w:t>
            </w:r>
            <w:r w:rsidRPr="0032031B">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Pr>
                <w:color w:val="auto"/>
                <w:sz w:val="24"/>
                <w:szCs w:val="24"/>
              </w:rPr>
              <w:t>По отдельным ГРБС, которые не предоставляют форму 05001089, показатель  заполняется значение равным значению «Роспись».</w:t>
            </w:r>
          </w:p>
          <w:p w:rsidR="008F708E" w:rsidRDefault="008F708E" w:rsidP="008F708E">
            <w:pPr>
              <w:pStyle w:val="af0"/>
              <w:ind w:firstLine="0"/>
              <w:jc w:val="left"/>
              <w:rPr>
                <w:color w:val="auto"/>
                <w:sz w:val="24"/>
                <w:szCs w:val="24"/>
              </w:rPr>
            </w:pPr>
          </w:p>
          <w:p w:rsidR="008F708E" w:rsidRPr="0032031B" w:rsidRDefault="008F708E" w:rsidP="008F708E">
            <w:pPr>
              <w:pStyle w:val="af0"/>
              <w:ind w:firstLine="0"/>
              <w:jc w:val="left"/>
              <w:rPr>
                <w:color w:val="auto"/>
                <w:sz w:val="24"/>
                <w:szCs w:val="24"/>
              </w:rPr>
            </w:pPr>
            <w:r w:rsidRPr="003E229A">
              <w:rPr>
                <w:color w:val="auto"/>
                <w:sz w:val="24"/>
                <w:szCs w:val="24"/>
              </w:rPr>
              <w:t>При отсутствии дан</w:t>
            </w:r>
            <w:r>
              <w:rPr>
                <w:color w:val="auto"/>
                <w:sz w:val="24"/>
                <w:szCs w:val="24"/>
              </w:rPr>
              <w:t>ных по формам 0501043 и 05001089</w:t>
            </w:r>
            <w:r w:rsidRPr="003E229A">
              <w:rPr>
                <w:color w:val="auto"/>
                <w:sz w:val="24"/>
                <w:szCs w:val="24"/>
              </w:rPr>
              <w:t xml:space="preserve">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Факт на ДД.ММ.ГГГГ, где ДД.ММ.ГГГГ - значение из параметра «По состоянию на».</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параметрах «Вице-премьер» и «ГАБС» установлено значение «Все». </w:t>
            </w:r>
          </w:p>
          <w:p w:rsidR="008F708E" w:rsidRDefault="008F708E" w:rsidP="008F708E">
            <w:pPr>
              <w:pStyle w:val="af0"/>
              <w:ind w:firstLine="0"/>
              <w:jc w:val="left"/>
              <w:rPr>
                <w:color w:val="auto"/>
                <w:sz w:val="24"/>
                <w:szCs w:val="24"/>
              </w:rPr>
            </w:pPr>
            <w:r w:rsidRPr="0032031B">
              <w:rPr>
                <w:color w:val="auto"/>
                <w:sz w:val="24"/>
                <w:szCs w:val="24"/>
              </w:rPr>
              <w:t>АСФК, форма О_0504072, раздел «</w:t>
            </w:r>
            <w:r w:rsidRPr="00284D1D">
              <w:rPr>
                <w:color w:val="auto"/>
                <w:sz w:val="24"/>
                <w:szCs w:val="24"/>
              </w:rPr>
              <w:t>4 Расходы КВР</w:t>
            </w:r>
            <w:r>
              <w:rPr>
                <w:color w:val="auto"/>
                <w:sz w:val="24"/>
                <w:szCs w:val="24"/>
              </w:rPr>
              <w:t>» (с закрытой частью)</w:t>
            </w:r>
            <w:r w:rsidRPr="0032031B">
              <w:rPr>
                <w:color w:val="auto"/>
                <w:sz w:val="24"/>
                <w:szCs w:val="24"/>
              </w:rPr>
              <w:t>, показатель «Кассовое исполнение».</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установлены значения не равные значению «Все»</w:t>
            </w:r>
            <w:r>
              <w:rPr>
                <w:i/>
                <w:color w:val="auto"/>
                <w:sz w:val="24"/>
                <w:szCs w:val="24"/>
              </w:rPr>
              <w:t>.</w:t>
            </w:r>
          </w:p>
          <w:p w:rsidR="008F708E" w:rsidRPr="0032031B" w:rsidRDefault="008F708E" w:rsidP="008F708E">
            <w:pPr>
              <w:pStyle w:val="af0"/>
              <w:ind w:firstLine="0"/>
              <w:jc w:val="left"/>
              <w:rPr>
                <w:color w:val="auto"/>
                <w:sz w:val="24"/>
                <w:szCs w:val="24"/>
              </w:rPr>
            </w:pPr>
            <w:r w:rsidRPr="0032031B">
              <w:rPr>
                <w:color w:val="auto"/>
                <w:sz w:val="24"/>
                <w:szCs w:val="24"/>
              </w:rPr>
              <w:t>АСФК, форма О_0504072, раздел «</w:t>
            </w:r>
            <w:r>
              <w:rPr>
                <w:color w:val="auto"/>
                <w:sz w:val="24"/>
                <w:szCs w:val="24"/>
              </w:rPr>
              <w:t xml:space="preserve">Расходы </w:t>
            </w:r>
            <w:r w:rsidRPr="0032031B">
              <w:rPr>
                <w:color w:val="auto"/>
                <w:sz w:val="24"/>
                <w:szCs w:val="24"/>
              </w:rPr>
              <w:t xml:space="preserve"> бюджета</w:t>
            </w:r>
            <w:r>
              <w:rPr>
                <w:color w:val="auto"/>
                <w:sz w:val="24"/>
                <w:szCs w:val="24"/>
              </w:rPr>
              <w:t>» (открытая часть)</w:t>
            </w:r>
            <w:r w:rsidRPr="0032031B">
              <w:rPr>
                <w:color w:val="auto"/>
                <w:sz w:val="24"/>
                <w:szCs w:val="24"/>
              </w:rPr>
              <w:t>, показатель «Кассовое исполнение».</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исполнения</w:t>
            </w:r>
          </w:p>
        </w:tc>
        <w:tc>
          <w:tcPr>
            <w:tcW w:w="352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w:t>
            </w:r>
            <w:r>
              <w:rPr>
                <w:color w:val="auto"/>
                <w:sz w:val="24"/>
                <w:szCs w:val="24"/>
              </w:rPr>
              <w:t>Роспись</w:t>
            </w:r>
            <w:r w:rsidRPr="0032031B">
              <w:rPr>
                <w:color w:val="auto"/>
                <w:sz w:val="24"/>
                <w:szCs w:val="24"/>
              </w:rPr>
              <w:t xml:space="preserve"> на ГГГГ год» * 100%.</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к прошлому году</w:t>
            </w:r>
          </w:p>
        </w:tc>
        <w:tc>
          <w:tcPr>
            <w:tcW w:w="3520" w:type="pct"/>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«ГАБС» установлено з</w:t>
            </w:r>
            <w:r>
              <w:rPr>
                <w:i/>
                <w:color w:val="auto"/>
                <w:sz w:val="24"/>
                <w:szCs w:val="24"/>
              </w:rPr>
              <w:t xml:space="preserve">начение «Все» или в </w:t>
            </w:r>
            <w:r w:rsidRPr="00343316">
              <w:rPr>
                <w:i/>
                <w:color w:val="auto"/>
                <w:sz w:val="24"/>
                <w:szCs w:val="24"/>
              </w:rPr>
              <w:t>параметре «ГАБС» установлены значения не равные значению «Все».</w:t>
            </w:r>
          </w:p>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Формула: «Факт на ДД.ММ.ГГГГ-1» * 100</w:t>
            </w:r>
          </w:p>
          <w:p w:rsidR="008F708E" w:rsidRPr="0032031B" w:rsidRDefault="008F708E" w:rsidP="008F708E">
            <w:pPr>
              <w:pStyle w:val="af0"/>
              <w:ind w:firstLine="0"/>
              <w:jc w:val="left"/>
              <w:rPr>
                <w:color w:val="auto"/>
                <w:sz w:val="24"/>
                <w:szCs w:val="24"/>
              </w:rPr>
            </w:pPr>
            <w:r w:rsidRPr="0032031B">
              <w:rPr>
                <w:color w:val="auto"/>
                <w:sz w:val="24"/>
                <w:szCs w:val="24"/>
              </w:rPr>
              <w:t>Если за день прошлого года ДД.ММ.ГГГГ-1 данных нет, то берутся данные с ближайшей предыдущей даты.</w:t>
            </w:r>
          </w:p>
          <w:p w:rsidR="008F708E" w:rsidRDefault="008F708E" w:rsidP="008F708E">
            <w:pPr>
              <w:pStyle w:val="af0"/>
              <w:ind w:firstLine="0"/>
              <w:jc w:val="left"/>
              <w:rPr>
                <w:color w:val="auto"/>
                <w:sz w:val="24"/>
                <w:szCs w:val="24"/>
              </w:rPr>
            </w:pPr>
            <w:r>
              <w:rPr>
                <w:color w:val="auto"/>
                <w:sz w:val="24"/>
                <w:szCs w:val="24"/>
              </w:rPr>
              <w:t>Не зависимо от результата расчета текст в</w:t>
            </w:r>
            <w:r w:rsidRPr="0032031B">
              <w:rPr>
                <w:color w:val="auto"/>
                <w:sz w:val="24"/>
                <w:szCs w:val="24"/>
              </w:rPr>
              <w:t xml:space="preserve">ыводится в </w:t>
            </w:r>
            <w:r>
              <w:rPr>
                <w:color w:val="auto"/>
                <w:sz w:val="24"/>
                <w:szCs w:val="24"/>
              </w:rPr>
              <w:t>серой</w:t>
            </w:r>
            <w:r w:rsidRPr="0032031B">
              <w:rPr>
                <w:color w:val="auto"/>
                <w:sz w:val="24"/>
                <w:szCs w:val="24"/>
              </w:rPr>
              <w:t xml:space="preserve"> капсуле «Рост на Х%»</w:t>
            </w:r>
            <w:r>
              <w:rPr>
                <w:color w:val="auto"/>
                <w:sz w:val="24"/>
                <w:szCs w:val="24"/>
              </w:rPr>
              <w:t xml:space="preserve"> или </w:t>
            </w:r>
            <w:r w:rsidRPr="0032031B">
              <w:rPr>
                <w:color w:val="auto"/>
                <w:sz w:val="24"/>
                <w:szCs w:val="24"/>
              </w:rPr>
              <w:t>капсуле «Снижение на Х%».</w:t>
            </w:r>
          </w:p>
          <w:p w:rsidR="008F708E" w:rsidRDefault="008F708E" w:rsidP="008F708E">
            <w:pPr>
              <w:pStyle w:val="af0"/>
              <w:ind w:firstLine="0"/>
              <w:jc w:val="left"/>
              <w:rPr>
                <w:color w:val="auto"/>
                <w:sz w:val="24"/>
                <w:szCs w:val="24"/>
              </w:rPr>
            </w:pPr>
          </w:p>
          <w:p w:rsidR="008F708E" w:rsidRPr="00343316" w:rsidRDefault="008F708E" w:rsidP="008F708E">
            <w:pPr>
              <w:jc w:val="left"/>
              <w:rPr>
                <w:i/>
              </w:rPr>
            </w:pPr>
            <w:r w:rsidRPr="00343316">
              <w:rPr>
                <w:i/>
              </w:rPr>
              <w:t xml:space="preserve">В параметре «Вице-премьер» установлены значения не равные значению «Все». </w:t>
            </w:r>
          </w:p>
          <w:p w:rsidR="008F708E" w:rsidRPr="00753BA1" w:rsidRDefault="008F708E" w:rsidP="008F708E">
            <w:pPr>
              <w:jc w:val="left"/>
            </w:pPr>
            <w:r>
              <w:t>Показатель скрывается, так как цепочки КБК закрепляются за вице-премьерами с октября 2021 года.</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Pr="00753BA1" w:rsidRDefault="008F708E" w:rsidP="008F708E">
            <w:pPr>
              <w:jc w:val="left"/>
            </w:pPr>
            <w:r>
              <w:t>Индикатор «Серый».</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rPr>
          <w:color w:val="auto"/>
        </w:rPr>
      </w:pPr>
      <w:r>
        <w:t>С блока осуществляется переход по тексту «</w:t>
      </w:r>
      <w:r w:rsidRPr="00542740">
        <w:t xml:space="preserve">Подробнее </w:t>
      </w:r>
      <w:r w:rsidRPr="00542740">
        <w:sym w:font="Symbol" w:char="F0AE"/>
      </w:r>
      <w:r w:rsidRPr="00542740">
        <w:t xml:space="preserve">» в представление «ГАБС – </w:t>
      </w:r>
      <w:r>
        <w:t>Расходы</w:t>
      </w:r>
      <w:r w:rsidRPr="00542740">
        <w:t>» отчета «Бюджет» с передачей фильтров: «По состоянию</w:t>
      </w:r>
      <w:r>
        <w:rPr>
          <w:color w:val="auto"/>
        </w:rPr>
        <w:t xml:space="preserve"> на»</w:t>
      </w:r>
      <w:r w:rsidRPr="00271BEF">
        <w:rPr>
          <w:color w:val="auto"/>
        </w:rPr>
        <w:t xml:space="preserve">, </w:t>
      </w:r>
      <w:r>
        <w:rPr>
          <w:color w:val="auto"/>
        </w:rPr>
        <w:t>«Год»,</w:t>
      </w:r>
      <w:r w:rsidRPr="00271BEF">
        <w:rPr>
          <w:color w:val="auto"/>
        </w:rPr>
        <w:t xml:space="preserve"> </w:t>
      </w:r>
      <w:r>
        <w:rPr>
          <w:color w:val="auto"/>
        </w:rPr>
        <w:t>«Вице-премьер», «</w:t>
      </w:r>
      <w:r w:rsidRPr="00271BEF">
        <w:rPr>
          <w:color w:val="auto"/>
        </w:rPr>
        <w:t>ГАБС</w:t>
      </w:r>
      <w:r>
        <w:rPr>
          <w:color w:val="auto"/>
        </w:rPr>
        <w:t>», «Единицы и</w:t>
      </w:r>
      <w:r w:rsidRPr="00271BEF">
        <w:rPr>
          <w:color w:val="auto"/>
        </w:rPr>
        <w:t>змерения</w:t>
      </w:r>
      <w:r>
        <w:rPr>
          <w:color w:val="auto"/>
        </w:rPr>
        <w:t>».</w:t>
      </w:r>
    </w:p>
    <w:p w:rsidR="008F708E" w:rsidRDefault="008F708E" w:rsidP="008F708E">
      <w:pPr>
        <w:pStyle w:val="af0"/>
      </w:pPr>
    </w:p>
    <w:p w:rsidR="008F708E" w:rsidRDefault="008F708E" w:rsidP="008F708E">
      <w:pPr>
        <w:pStyle w:val="af0"/>
        <w:keepNext/>
        <w:rPr>
          <w:b/>
        </w:rPr>
      </w:pPr>
      <w:r>
        <w:rPr>
          <w:b/>
        </w:rPr>
        <w:t xml:space="preserve">Блок </w:t>
      </w:r>
      <w:r w:rsidRPr="004C72A8">
        <w:rPr>
          <w:b/>
        </w:rPr>
        <w:t>«Дефицит/профицит бюджета»</w:t>
      </w:r>
    </w:p>
    <w:p w:rsidR="008F708E" w:rsidRDefault="008F708E" w:rsidP="008F708E">
      <w:pPr>
        <w:pStyle w:val="af0"/>
        <w:keepNext/>
        <w:rPr>
          <w:b/>
        </w:rPr>
      </w:pPr>
      <w:r>
        <w:t xml:space="preserve">При выборе в параметре «Вице-премьер» ФИО вице-премьера или значения «Иные» блок скрывается. Правила формирования показателей блока представлены в таблице </w:t>
      </w:r>
      <w:r>
        <w:fldChar w:fldCharType="begin"/>
      </w:r>
      <w:r>
        <w:instrText xml:space="preserve"> REF табл4 \h </w:instrText>
      </w:r>
      <w:r>
        <w:fldChar w:fldCharType="separate"/>
      </w:r>
      <w:r w:rsidR="00BF0BEE">
        <w:rPr>
          <w:noProof/>
        </w:rPr>
        <w:t>16</w:t>
      </w:r>
      <w:r>
        <w:fldChar w:fldCharType="end"/>
      </w:r>
      <w:r>
        <w:t>.</w:t>
      </w:r>
    </w:p>
    <w:p w:rsidR="008F708E" w:rsidRPr="000E218E" w:rsidRDefault="008F708E" w:rsidP="008F708E">
      <w:pPr>
        <w:pStyle w:val="-"/>
      </w:pPr>
      <w:bookmarkStart w:id="593" w:name="_Toc80789107"/>
      <w:bookmarkStart w:id="594" w:name="_Toc119585157"/>
      <w:r>
        <w:t xml:space="preserve">Таблица </w:t>
      </w:r>
      <w:bookmarkStart w:id="595" w:name="табл4"/>
      <w:r>
        <w:fldChar w:fldCharType="begin"/>
      </w:r>
      <w:r>
        <w:instrText xml:space="preserve"> SEQ Таблица \* ARABIC </w:instrText>
      </w:r>
      <w:r>
        <w:fldChar w:fldCharType="separate"/>
      </w:r>
      <w:r w:rsidR="00BF0BEE">
        <w:rPr>
          <w:noProof/>
        </w:rPr>
        <w:t>16</w:t>
      </w:r>
      <w:r>
        <w:fldChar w:fldCharType="end"/>
      </w:r>
      <w:bookmarkEnd w:id="595"/>
      <w:r w:rsidRPr="000E218E">
        <w:t xml:space="preserve"> – </w:t>
      </w:r>
      <w:r>
        <w:t>Показатели б</w:t>
      </w:r>
      <w:r w:rsidRPr="000E218E">
        <w:t>лок</w:t>
      </w:r>
      <w:r>
        <w:t>а</w:t>
      </w:r>
      <w:r w:rsidRPr="000E218E">
        <w:t xml:space="preserve"> «Дефицит/профицит бюджета»</w:t>
      </w:r>
      <w:bookmarkEnd w:id="593"/>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F74B35" w:rsidTr="008F708E">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c>
          <w:tcPr>
            <w:tcW w:w="1480" w:type="pct"/>
            <w:shd w:val="clear" w:color="auto" w:fill="auto"/>
          </w:tcPr>
          <w:p w:rsidR="008F708E" w:rsidRDefault="008F708E" w:rsidP="008F708E">
            <w:pPr>
              <w:pStyle w:val="af0"/>
              <w:ind w:firstLine="0"/>
              <w:jc w:val="left"/>
              <w:rPr>
                <w:color w:val="auto"/>
                <w:sz w:val="24"/>
                <w:szCs w:val="24"/>
              </w:rPr>
            </w:pPr>
            <w:r>
              <w:rPr>
                <w:color w:val="auto"/>
                <w:sz w:val="24"/>
                <w:szCs w:val="24"/>
              </w:rPr>
              <w:t>План</w:t>
            </w:r>
            <w:r w:rsidRPr="0032031B">
              <w:rPr>
                <w:color w:val="auto"/>
                <w:sz w:val="24"/>
                <w:szCs w:val="24"/>
              </w:rPr>
              <w:t xml:space="preserve"> на ГГГГ год</w:t>
            </w:r>
            <w:r>
              <w:rPr>
                <w:color w:val="auto"/>
                <w:sz w:val="24"/>
                <w:szCs w:val="24"/>
              </w:rPr>
              <w:t xml:space="preserve"> (дефицит/профицит)</w:t>
            </w:r>
            <w:r w:rsidRPr="0032031B">
              <w:rPr>
                <w:color w:val="auto"/>
                <w:sz w:val="24"/>
                <w:szCs w:val="24"/>
              </w:rPr>
              <w:t>, где ГГГГ - значение из параметра «Год».</w:t>
            </w:r>
          </w:p>
          <w:p w:rsidR="008F708E" w:rsidRPr="0032031B" w:rsidRDefault="008F708E" w:rsidP="008F708E">
            <w:pPr>
              <w:pStyle w:val="af0"/>
              <w:ind w:firstLine="0"/>
              <w:jc w:val="left"/>
              <w:rPr>
                <w:color w:val="auto"/>
                <w:sz w:val="24"/>
                <w:szCs w:val="24"/>
              </w:rPr>
            </w:pPr>
            <w:r>
              <w:rPr>
                <w:color w:val="auto"/>
                <w:sz w:val="24"/>
                <w:szCs w:val="24"/>
              </w:rPr>
              <w:t xml:space="preserve">Если значение </w:t>
            </w:r>
            <w:r w:rsidRPr="000E6932">
              <w:rPr>
                <w:color w:val="auto"/>
                <w:sz w:val="24"/>
                <w:szCs w:val="24"/>
              </w:rPr>
              <w:t>показателя меньше нуля – «дефицит», больше нуля – «профицит»</w:t>
            </w:r>
            <w:r>
              <w:rPr>
                <w:color w:val="auto"/>
                <w:sz w:val="24"/>
                <w:szCs w:val="24"/>
              </w:rPr>
              <w:t>.</w:t>
            </w:r>
          </w:p>
        </w:tc>
        <w:tc>
          <w:tcPr>
            <w:tcW w:w="3520" w:type="pct"/>
            <w:shd w:val="clear" w:color="auto" w:fill="auto"/>
          </w:tcPr>
          <w:p w:rsidR="008F708E" w:rsidRPr="008742C7" w:rsidRDefault="008F708E" w:rsidP="008F708E">
            <w:pPr>
              <w:jc w:val="left"/>
              <w:rPr>
                <w:color w:val="auto"/>
                <w:szCs w:val="24"/>
              </w:rPr>
            </w:pPr>
            <w:r w:rsidRPr="008742C7">
              <w:rPr>
                <w:color w:val="auto"/>
                <w:szCs w:val="24"/>
              </w:rPr>
              <w:t>Формула:</w:t>
            </w:r>
          </w:p>
          <w:p w:rsidR="008F708E" w:rsidRPr="008742C7" w:rsidRDefault="008F708E" w:rsidP="008F708E">
            <w:pPr>
              <w:jc w:val="left"/>
              <w:rPr>
                <w:color w:val="auto"/>
                <w:szCs w:val="24"/>
              </w:rPr>
            </w:pPr>
            <w:r w:rsidRPr="008742C7">
              <w:rPr>
                <w:color w:val="auto"/>
                <w:szCs w:val="24"/>
              </w:rPr>
              <w:t>«Уточненный прогноз на ГГГГ год» в блоке «Доходы федерального бюджета» МИНУС «Роспись на ГГГГ год» в блоке «Расходы федерального бюджета».</w:t>
            </w:r>
          </w:p>
        </w:tc>
      </w:tr>
      <w:tr w:rsidR="008F708E" w:rsidRPr="0032031B" w:rsidTr="008F708E">
        <w:tc>
          <w:tcPr>
            <w:tcW w:w="1480" w:type="pct"/>
            <w:shd w:val="clear" w:color="auto" w:fill="auto"/>
          </w:tcPr>
          <w:p w:rsidR="008F708E" w:rsidRDefault="008F708E" w:rsidP="008F708E">
            <w:pPr>
              <w:pStyle w:val="af0"/>
              <w:ind w:firstLine="0"/>
              <w:jc w:val="left"/>
              <w:rPr>
                <w:color w:val="auto"/>
                <w:sz w:val="24"/>
                <w:szCs w:val="24"/>
              </w:rPr>
            </w:pPr>
            <w:r>
              <w:rPr>
                <w:color w:val="auto"/>
                <w:sz w:val="24"/>
                <w:szCs w:val="24"/>
              </w:rPr>
              <w:t>Факт</w:t>
            </w:r>
            <w:r w:rsidRPr="0032031B">
              <w:rPr>
                <w:color w:val="auto"/>
                <w:sz w:val="24"/>
                <w:szCs w:val="24"/>
              </w:rPr>
              <w:t xml:space="preserve"> на ДД.ММ.ГГГГ, где ДД.ММ.ГГГГ - значение из параметра «По состоянию на».</w:t>
            </w:r>
          </w:p>
          <w:p w:rsidR="008F708E" w:rsidRPr="0032031B" w:rsidRDefault="008F708E" w:rsidP="008F708E">
            <w:pPr>
              <w:pStyle w:val="af0"/>
              <w:ind w:firstLine="0"/>
              <w:jc w:val="left"/>
              <w:rPr>
                <w:color w:val="auto"/>
                <w:sz w:val="24"/>
                <w:szCs w:val="24"/>
              </w:rPr>
            </w:pPr>
            <w:r>
              <w:rPr>
                <w:color w:val="auto"/>
                <w:sz w:val="24"/>
                <w:szCs w:val="24"/>
              </w:rPr>
              <w:t xml:space="preserve">Если значение </w:t>
            </w:r>
            <w:r w:rsidRPr="000E6932">
              <w:rPr>
                <w:color w:val="auto"/>
                <w:sz w:val="24"/>
                <w:szCs w:val="24"/>
              </w:rPr>
              <w:t>показателя меньше нуля – «дефицит», больше нуля – «профицит»</w:t>
            </w:r>
            <w:r>
              <w:rPr>
                <w:color w:val="auto"/>
                <w:sz w:val="24"/>
                <w:szCs w:val="24"/>
              </w:rPr>
              <w:t>.</w:t>
            </w:r>
          </w:p>
        </w:tc>
        <w:tc>
          <w:tcPr>
            <w:tcW w:w="3520" w:type="pct"/>
            <w:shd w:val="clear" w:color="auto" w:fill="auto"/>
          </w:tcPr>
          <w:p w:rsidR="008F708E" w:rsidRPr="008742C7" w:rsidRDefault="008F708E" w:rsidP="008F708E">
            <w:pPr>
              <w:pStyle w:val="af0"/>
              <w:ind w:firstLine="0"/>
              <w:jc w:val="left"/>
              <w:rPr>
                <w:color w:val="auto"/>
                <w:sz w:val="24"/>
                <w:szCs w:val="24"/>
              </w:rPr>
            </w:pPr>
            <w:r w:rsidRPr="008742C7">
              <w:rPr>
                <w:color w:val="auto"/>
                <w:sz w:val="24"/>
                <w:szCs w:val="24"/>
              </w:rPr>
              <w:t>Формула:</w:t>
            </w:r>
          </w:p>
          <w:p w:rsidR="008F708E" w:rsidRPr="0032031B" w:rsidRDefault="008F708E" w:rsidP="008F708E">
            <w:pPr>
              <w:pStyle w:val="af0"/>
              <w:ind w:firstLine="0"/>
              <w:jc w:val="left"/>
              <w:rPr>
                <w:color w:val="auto"/>
                <w:sz w:val="24"/>
                <w:szCs w:val="24"/>
              </w:rPr>
            </w:pPr>
            <w:r>
              <w:rPr>
                <w:color w:val="auto"/>
                <w:sz w:val="24"/>
                <w:szCs w:val="24"/>
              </w:rPr>
              <w:t xml:space="preserve">«Факт на ДД.ММ.ГГГГ» в блоке </w:t>
            </w:r>
            <w:r w:rsidRPr="008742C7">
              <w:rPr>
                <w:color w:val="auto"/>
                <w:sz w:val="24"/>
                <w:szCs w:val="24"/>
              </w:rPr>
              <w:t>«Доходы федерального бюджета» МИНУС «</w:t>
            </w:r>
            <w:r>
              <w:rPr>
                <w:color w:val="auto"/>
                <w:sz w:val="24"/>
                <w:szCs w:val="24"/>
              </w:rPr>
              <w:t xml:space="preserve">Факт </w:t>
            </w:r>
            <w:r w:rsidRPr="008742C7">
              <w:rPr>
                <w:color w:val="auto"/>
                <w:sz w:val="24"/>
                <w:szCs w:val="24"/>
              </w:rPr>
              <w:t>на</w:t>
            </w:r>
            <w:r>
              <w:rPr>
                <w:color w:val="auto"/>
                <w:sz w:val="24"/>
                <w:szCs w:val="24"/>
              </w:rPr>
              <w:t xml:space="preserve"> ДД.ММ.</w:t>
            </w:r>
            <w:r w:rsidRPr="008742C7">
              <w:rPr>
                <w:color w:val="auto"/>
                <w:sz w:val="24"/>
                <w:szCs w:val="24"/>
              </w:rPr>
              <w:t>ГГГГ» в блоке «Расходы федерального бюджета».</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Pr="00753BA1" w:rsidRDefault="008F708E" w:rsidP="008F708E">
            <w:pPr>
              <w:jc w:val="left"/>
            </w:pPr>
            <w:r>
              <w:t>Индикатор «Серый»</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pPr>
      <w:r>
        <w:t>Переход с блока не осуществляется.</w:t>
      </w:r>
    </w:p>
    <w:p w:rsidR="008F708E" w:rsidRDefault="008F708E" w:rsidP="008F708E">
      <w:pPr>
        <w:pStyle w:val="af0"/>
      </w:pPr>
    </w:p>
    <w:p w:rsidR="008F708E" w:rsidRDefault="008F708E" w:rsidP="008F708E">
      <w:pPr>
        <w:pStyle w:val="af0"/>
        <w:keepNext/>
        <w:keepLines/>
        <w:rPr>
          <w:b/>
        </w:rPr>
      </w:pPr>
      <w:r>
        <w:rPr>
          <w:b/>
        </w:rPr>
        <w:t>Блок «Риски по доходам»</w:t>
      </w:r>
    </w:p>
    <w:p w:rsidR="008F708E" w:rsidRDefault="008F708E" w:rsidP="008F708E">
      <w:pPr>
        <w:pStyle w:val="af0"/>
        <w:keepNext/>
        <w:keepLines/>
      </w:pPr>
      <w:r>
        <w:t xml:space="preserve">Правила формирования показателей представлены в таблице </w:t>
      </w:r>
      <w:r>
        <w:fldChar w:fldCharType="begin"/>
      </w:r>
      <w:r>
        <w:instrText xml:space="preserve"> REF табл5 \h </w:instrText>
      </w:r>
      <w:r>
        <w:fldChar w:fldCharType="separate"/>
      </w:r>
      <w:r w:rsidR="00BF0BEE">
        <w:rPr>
          <w:noProof/>
        </w:rPr>
        <w:t>17</w:t>
      </w:r>
      <w:r>
        <w:fldChar w:fldCharType="end"/>
      </w:r>
      <w:r>
        <w:t>.</w:t>
      </w:r>
    </w:p>
    <w:p w:rsidR="008F708E" w:rsidRDefault="008F708E" w:rsidP="008F708E">
      <w:pPr>
        <w:pStyle w:val="af0"/>
        <w:keepNext/>
        <w:keepLines/>
      </w:pPr>
      <w:r>
        <w:t>Блок скрывается:</w:t>
      </w:r>
    </w:p>
    <w:p w:rsidR="008F708E" w:rsidRPr="00CC464F" w:rsidRDefault="008F708E" w:rsidP="005C6E50">
      <w:pPr>
        <w:pStyle w:val="af0"/>
        <w:numPr>
          <w:ilvl w:val="1"/>
          <w:numId w:val="118"/>
        </w:numPr>
        <w:rPr>
          <w:b/>
        </w:rPr>
      </w:pPr>
      <w:r>
        <w:t>При выборе в параметре «Вице-премьер» ФИО вице-премьера или значения «Иные»;</w:t>
      </w:r>
    </w:p>
    <w:p w:rsidR="008F708E" w:rsidRDefault="008F708E" w:rsidP="005C6E50">
      <w:pPr>
        <w:pStyle w:val="af0"/>
        <w:numPr>
          <w:ilvl w:val="1"/>
          <w:numId w:val="118"/>
        </w:numPr>
        <w:rPr>
          <w:b/>
        </w:rPr>
      </w:pPr>
      <w:r>
        <w:t>При выборе в параметре «По состоянию на» значения 01.01.ГГГГ.</w:t>
      </w:r>
    </w:p>
    <w:p w:rsidR="008F708E" w:rsidRPr="000E218E" w:rsidRDefault="008F708E" w:rsidP="008F708E">
      <w:pPr>
        <w:pStyle w:val="-"/>
      </w:pPr>
      <w:bookmarkStart w:id="596" w:name="_Toc80789108"/>
      <w:bookmarkStart w:id="597" w:name="_Toc119585158"/>
      <w:r>
        <w:t xml:space="preserve">Таблица </w:t>
      </w:r>
      <w:bookmarkStart w:id="598" w:name="табл5"/>
      <w:r>
        <w:fldChar w:fldCharType="begin"/>
      </w:r>
      <w:r>
        <w:instrText xml:space="preserve"> SEQ Таблица \* ARABIC </w:instrText>
      </w:r>
      <w:r>
        <w:fldChar w:fldCharType="separate"/>
      </w:r>
      <w:r w:rsidR="00BF0BEE">
        <w:rPr>
          <w:noProof/>
        </w:rPr>
        <w:t>17</w:t>
      </w:r>
      <w:r>
        <w:fldChar w:fldCharType="end"/>
      </w:r>
      <w:bookmarkEnd w:id="598"/>
      <w:r w:rsidRPr="000E218E">
        <w:t xml:space="preserve"> – </w:t>
      </w:r>
      <w:r>
        <w:t xml:space="preserve">Показатели блока </w:t>
      </w:r>
      <w:r w:rsidRPr="000E218E">
        <w:t>«Риски по доходам»</w:t>
      </w:r>
      <w:bookmarkEnd w:id="596"/>
      <w:bookmarkEnd w:id="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F74B35" w:rsidTr="008F708E">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8742C7">
              <w:rPr>
                <w:color w:val="auto"/>
                <w:sz w:val="24"/>
                <w:szCs w:val="24"/>
              </w:rPr>
              <w:t>Риск неисполнения доходов по данным ГАДБ</w:t>
            </w:r>
          </w:p>
        </w:tc>
        <w:tc>
          <w:tcPr>
            <w:tcW w:w="3520" w:type="pct"/>
            <w:shd w:val="clear" w:color="auto" w:fill="auto"/>
          </w:tcPr>
          <w:p w:rsidR="008F708E" w:rsidRDefault="008F708E" w:rsidP="008F708E">
            <w:pPr>
              <w:jc w:val="left"/>
            </w:pPr>
            <w:r>
              <w:t xml:space="preserve">Формула по показателям блока </w:t>
            </w:r>
            <w:r w:rsidRPr="008742C7">
              <w:rPr>
                <w:color w:val="auto"/>
                <w:szCs w:val="24"/>
              </w:rPr>
              <w:t>«Доходы федерального</w:t>
            </w:r>
            <w:r>
              <w:rPr>
                <w:color w:val="auto"/>
                <w:szCs w:val="24"/>
              </w:rPr>
              <w:t xml:space="preserve"> бюджета»</w:t>
            </w:r>
            <w:r>
              <w:t>:</w:t>
            </w:r>
          </w:p>
          <w:p w:rsidR="008F708E" w:rsidRDefault="008F708E" w:rsidP="008F708E">
            <w:pPr>
              <w:jc w:val="left"/>
            </w:pPr>
            <w:r>
              <w:t>«Кассовый план ГАДБ на ГГГГ год» МИНУС «Уточненный прогноз на ГГГГ год».</w:t>
            </w:r>
          </w:p>
          <w:p w:rsidR="008F708E" w:rsidRDefault="008F708E" w:rsidP="008F708E">
            <w:pPr>
              <w:jc w:val="left"/>
            </w:pPr>
          </w:p>
          <w:p w:rsidR="008F708E" w:rsidRPr="00D8033B" w:rsidRDefault="008F708E" w:rsidP="008F708E">
            <w:pPr>
              <w:jc w:val="left"/>
            </w:pPr>
            <w:r>
              <w:t>Если результат расчета больше 0, то выводится «0».</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Индикатор:</w:t>
            </w:r>
          </w:p>
          <w:p w:rsidR="008F708E" w:rsidRDefault="008F708E" w:rsidP="008F708E">
            <w:pPr>
              <w:jc w:val="left"/>
            </w:pPr>
            <w:r>
              <w:t>«Зеленый» - если значение по показателю «Риск неисполнения доходов по данным ГАДБ» больше или равно 0;</w:t>
            </w:r>
          </w:p>
          <w:p w:rsidR="008F708E" w:rsidRPr="00753BA1" w:rsidRDefault="008F708E" w:rsidP="008F708E">
            <w:pPr>
              <w:jc w:val="left"/>
            </w:pPr>
            <w:r>
              <w:t>«Красный» - если значение меньше 0.</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pPr>
      <w:r>
        <w:t>Переход с блока не осуществляется.</w:t>
      </w:r>
    </w:p>
    <w:p w:rsidR="008F708E" w:rsidRDefault="008F708E" w:rsidP="008F708E">
      <w:pPr>
        <w:pStyle w:val="af0"/>
      </w:pPr>
    </w:p>
    <w:p w:rsidR="008F708E" w:rsidRDefault="008F708E" w:rsidP="008F708E">
      <w:pPr>
        <w:pStyle w:val="af0"/>
        <w:keepNext/>
        <w:keepLines/>
        <w:rPr>
          <w:b/>
        </w:rPr>
      </w:pPr>
      <w:r>
        <w:rPr>
          <w:b/>
        </w:rPr>
        <w:t>Блок «Риски по расходам</w:t>
      </w:r>
      <w:r w:rsidRPr="00971C40">
        <w:rPr>
          <w:b/>
        </w:rPr>
        <w:t>» (открытые данные)</w:t>
      </w:r>
    </w:p>
    <w:p w:rsidR="008F708E" w:rsidRDefault="008F708E" w:rsidP="008F708E">
      <w:pPr>
        <w:pStyle w:val="af0"/>
      </w:pPr>
      <w:r>
        <w:t xml:space="preserve">Правила формирования показателей представлены в таблице </w:t>
      </w:r>
      <w:r>
        <w:fldChar w:fldCharType="begin"/>
      </w:r>
      <w:r>
        <w:instrText xml:space="preserve"> REF табл6 \h </w:instrText>
      </w:r>
      <w:r>
        <w:fldChar w:fldCharType="separate"/>
      </w:r>
      <w:r w:rsidR="00BF0BEE">
        <w:rPr>
          <w:noProof/>
        </w:rPr>
        <w:t>18</w:t>
      </w:r>
      <w:r>
        <w:fldChar w:fldCharType="end"/>
      </w:r>
      <w:r>
        <w:t>.</w:t>
      </w:r>
    </w:p>
    <w:p w:rsidR="008F708E" w:rsidRPr="00CC464F" w:rsidRDefault="008F708E" w:rsidP="008F708E">
      <w:pPr>
        <w:pStyle w:val="af0"/>
      </w:pPr>
      <w:r>
        <w:t>Блок скрывается при выборе в параметре «По состоянию на» значения 01.01.ГГГГ.</w:t>
      </w:r>
    </w:p>
    <w:p w:rsidR="008F708E" w:rsidRPr="000E218E" w:rsidRDefault="008F708E" w:rsidP="008F708E">
      <w:pPr>
        <w:pStyle w:val="-"/>
      </w:pPr>
      <w:bookmarkStart w:id="599" w:name="_Toc80789109"/>
      <w:bookmarkStart w:id="600" w:name="_Toc119585159"/>
      <w:r>
        <w:t xml:space="preserve">Таблица </w:t>
      </w:r>
      <w:bookmarkStart w:id="601" w:name="табл6"/>
      <w:r>
        <w:fldChar w:fldCharType="begin"/>
      </w:r>
      <w:r>
        <w:instrText xml:space="preserve"> SEQ Таблица \* ARABIC </w:instrText>
      </w:r>
      <w:r>
        <w:fldChar w:fldCharType="separate"/>
      </w:r>
      <w:r w:rsidR="00BF0BEE">
        <w:rPr>
          <w:noProof/>
        </w:rPr>
        <w:t>18</w:t>
      </w:r>
      <w:r>
        <w:fldChar w:fldCharType="end"/>
      </w:r>
      <w:bookmarkEnd w:id="601"/>
      <w:r w:rsidRPr="000E218E">
        <w:t xml:space="preserve"> – Блок «Риски по расходам» (открытые данные)</w:t>
      </w:r>
      <w:bookmarkEnd w:id="599"/>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F74B35" w:rsidTr="008F708E">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c>
          <w:tcPr>
            <w:tcW w:w="1480" w:type="pct"/>
            <w:shd w:val="clear" w:color="auto" w:fill="auto"/>
          </w:tcPr>
          <w:p w:rsidR="008F708E" w:rsidRPr="00EB48B8" w:rsidRDefault="008F708E" w:rsidP="008F708E">
            <w:pPr>
              <w:pStyle w:val="af0"/>
              <w:ind w:firstLine="0"/>
              <w:jc w:val="left"/>
              <w:rPr>
                <w:color w:val="auto"/>
                <w:sz w:val="24"/>
                <w:szCs w:val="24"/>
              </w:rPr>
            </w:pPr>
            <w:r w:rsidRPr="00EB48B8">
              <w:rPr>
                <w:color w:val="auto"/>
                <w:sz w:val="24"/>
                <w:szCs w:val="24"/>
              </w:rPr>
              <w:t>Риск неисполнения расходов по данным ГРБС</w:t>
            </w:r>
          </w:p>
        </w:tc>
        <w:tc>
          <w:tcPr>
            <w:tcW w:w="3520" w:type="pct"/>
            <w:shd w:val="clear" w:color="auto" w:fill="auto"/>
          </w:tcPr>
          <w:p w:rsidR="008F708E" w:rsidRDefault="008F708E" w:rsidP="008F708E">
            <w:pPr>
              <w:jc w:val="left"/>
            </w:pPr>
            <w:r>
              <w:t xml:space="preserve">ПБП, </w:t>
            </w:r>
            <w:r w:rsidRPr="00EB48B8">
              <w:t xml:space="preserve">форма по сбору информации </w:t>
            </w:r>
            <w:r>
              <w:t xml:space="preserve">с ГРБС </w:t>
            </w:r>
            <w:r w:rsidRPr="00EB48B8">
              <w:t>о прогнозе неисполнения бюджета</w:t>
            </w:r>
            <w:r>
              <w:t xml:space="preserve">. </w:t>
            </w:r>
          </w:p>
          <w:p w:rsidR="008F708E" w:rsidRPr="00EB48B8" w:rsidRDefault="008F708E" w:rsidP="008F708E">
            <w:pPr>
              <w:jc w:val="left"/>
            </w:pPr>
            <w:r>
              <w:t xml:space="preserve">Показатель выводится для данных за 2020 год. </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EB48B8">
              <w:rPr>
                <w:color w:val="auto"/>
                <w:sz w:val="24"/>
                <w:szCs w:val="24"/>
              </w:rPr>
              <w:t>Сумма факторов риска</w:t>
            </w:r>
          </w:p>
        </w:tc>
        <w:tc>
          <w:tcPr>
            <w:tcW w:w="3520" w:type="pct"/>
            <w:shd w:val="clear" w:color="auto" w:fill="auto"/>
          </w:tcPr>
          <w:p w:rsidR="008F708E" w:rsidRDefault="008F708E" w:rsidP="008F708E">
            <w:pPr>
              <w:jc w:val="left"/>
            </w:pPr>
            <w:r>
              <w:t>Формула:</w:t>
            </w:r>
          </w:p>
          <w:p w:rsidR="008F708E" w:rsidRPr="00D8033B" w:rsidRDefault="008F708E" w:rsidP="008F708E">
            <w:pPr>
              <w:jc w:val="left"/>
            </w:pPr>
            <w:r>
              <w:t>«Заблокированные лимиты» ПЛЮС «</w:t>
            </w:r>
            <w:r w:rsidRPr="00CC464F">
              <w:t>Нераспределенные лимиты</w:t>
            </w:r>
            <w:r>
              <w:t xml:space="preserve"> в срок» ПЛЮС «Не принятые обязательства в срок» ПЛЮС «Не исполнено в срок».</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Индикатор:</w:t>
            </w:r>
          </w:p>
          <w:p w:rsidR="008F708E" w:rsidRDefault="008F708E" w:rsidP="008F708E">
            <w:pPr>
              <w:jc w:val="left"/>
            </w:pPr>
            <w:r>
              <w:t>«Зеленый» - если значение по показателю «Сумма факторов риска» равно 0;</w:t>
            </w:r>
          </w:p>
          <w:p w:rsidR="008F708E" w:rsidRPr="00753BA1" w:rsidRDefault="008F708E" w:rsidP="008F708E">
            <w:pPr>
              <w:jc w:val="left"/>
            </w:pPr>
            <w:r>
              <w:t>«Красный» - если значение больше 0.</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rPr>
          <w:color w:val="auto"/>
        </w:rPr>
      </w:pPr>
      <w:r>
        <w:t>С блока осуществляется переход по тексту «</w:t>
      </w:r>
      <w:r w:rsidRPr="00542740">
        <w:t xml:space="preserve">Подробнее </w:t>
      </w:r>
      <w:r w:rsidRPr="00542740">
        <w:sym w:font="Symbol" w:char="F0AE"/>
      </w:r>
      <w:r w:rsidRPr="00542740">
        <w:t>» в представление «</w:t>
      </w:r>
      <w:r>
        <w:t>По этапам</w:t>
      </w:r>
      <w:r w:rsidRPr="00542740">
        <w:t xml:space="preserve"> – </w:t>
      </w:r>
      <w:r>
        <w:t>Расходы</w:t>
      </w:r>
      <w:r w:rsidRPr="00542740">
        <w:t>» отчета «Бюджет» с передачей фильтров: «По состоянию</w:t>
      </w:r>
      <w:r>
        <w:rPr>
          <w:color w:val="auto"/>
        </w:rPr>
        <w:t xml:space="preserve"> на»</w:t>
      </w:r>
      <w:r w:rsidRPr="00271BEF">
        <w:rPr>
          <w:color w:val="auto"/>
        </w:rPr>
        <w:t xml:space="preserve">, </w:t>
      </w:r>
      <w:r>
        <w:rPr>
          <w:color w:val="auto"/>
        </w:rPr>
        <w:t>«Год»,</w:t>
      </w:r>
      <w:r w:rsidRPr="00271BEF">
        <w:rPr>
          <w:color w:val="auto"/>
        </w:rPr>
        <w:t xml:space="preserve"> </w:t>
      </w:r>
      <w:r>
        <w:rPr>
          <w:color w:val="auto"/>
        </w:rPr>
        <w:t>«Вице-премьер», «</w:t>
      </w:r>
      <w:r w:rsidRPr="00271BEF">
        <w:rPr>
          <w:color w:val="auto"/>
        </w:rPr>
        <w:t>ГАБС</w:t>
      </w:r>
      <w:r>
        <w:rPr>
          <w:color w:val="auto"/>
        </w:rPr>
        <w:t>», «Единицы и</w:t>
      </w:r>
      <w:r w:rsidRPr="00271BEF">
        <w:rPr>
          <w:color w:val="auto"/>
        </w:rPr>
        <w:t>змерения</w:t>
      </w:r>
      <w:r>
        <w:rPr>
          <w:color w:val="auto"/>
        </w:rPr>
        <w:t>».</w:t>
      </w:r>
    </w:p>
    <w:p w:rsidR="008F708E" w:rsidRDefault="008F708E" w:rsidP="008F708E">
      <w:pPr>
        <w:pStyle w:val="af0"/>
        <w:rPr>
          <w:color w:val="auto"/>
        </w:rPr>
      </w:pPr>
    </w:p>
    <w:p w:rsidR="008F708E" w:rsidRDefault="008F708E" w:rsidP="008F708E">
      <w:pPr>
        <w:pStyle w:val="af0"/>
        <w:rPr>
          <w:b/>
        </w:rPr>
      </w:pPr>
      <w:r>
        <w:rPr>
          <w:b/>
        </w:rPr>
        <w:t>Блок «Отклонение от прогноза по доходам»</w:t>
      </w:r>
    </w:p>
    <w:p w:rsidR="008F708E" w:rsidRDefault="008F708E" w:rsidP="008F708E">
      <w:pPr>
        <w:pStyle w:val="af0"/>
      </w:pPr>
      <w:r>
        <w:t xml:space="preserve">Правила формирования показателей блока представлены в таблице </w:t>
      </w:r>
      <w:r>
        <w:fldChar w:fldCharType="begin"/>
      </w:r>
      <w:r>
        <w:instrText xml:space="preserve"> REF табл7 \h </w:instrText>
      </w:r>
      <w:r>
        <w:fldChar w:fldCharType="separate"/>
      </w:r>
      <w:r w:rsidR="00BF0BEE">
        <w:rPr>
          <w:noProof/>
        </w:rPr>
        <w:t>19</w:t>
      </w:r>
      <w:r>
        <w:fldChar w:fldCharType="end"/>
      </w:r>
      <w:r>
        <w:t>.</w:t>
      </w:r>
    </w:p>
    <w:p w:rsidR="008F708E" w:rsidRDefault="008F708E" w:rsidP="008F708E">
      <w:pPr>
        <w:pStyle w:val="af0"/>
      </w:pPr>
      <w:r>
        <w:t>Блок скрывается:</w:t>
      </w:r>
    </w:p>
    <w:p w:rsidR="008F708E" w:rsidRPr="00CC464F" w:rsidRDefault="008F708E" w:rsidP="005C6E50">
      <w:pPr>
        <w:pStyle w:val="af0"/>
        <w:numPr>
          <w:ilvl w:val="1"/>
          <w:numId w:val="118"/>
        </w:numPr>
        <w:rPr>
          <w:b/>
        </w:rPr>
      </w:pPr>
      <w:r>
        <w:t>При выборе в параметре «Вице-премьер» ФИО вице-премьера или значения «Иные»;</w:t>
      </w:r>
    </w:p>
    <w:p w:rsidR="008F708E" w:rsidRPr="003376A9" w:rsidRDefault="008F708E" w:rsidP="005C6E50">
      <w:pPr>
        <w:pStyle w:val="af0"/>
        <w:numPr>
          <w:ilvl w:val="1"/>
          <w:numId w:val="118"/>
        </w:numPr>
        <w:rPr>
          <w:b/>
        </w:rPr>
      </w:pPr>
      <w:r>
        <w:t>При выборе в параметре «По состоянию на» значения не равного значению 01.01.ГГГГ.</w:t>
      </w:r>
    </w:p>
    <w:p w:rsidR="008F708E" w:rsidRPr="000E218E" w:rsidRDefault="008F708E" w:rsidP="008F708E">
      <w:pPr>
        <w:pStyle w:val="-"/>
      </w:pPr>
      <w:bookmarkStart w:id="602" w:name="_Toc80789110"/>
      <w:bookmarkStart w:id="603" w:name="_Toc119585160"/>
      <w:r>
        <w:t xml:space="preserve">Таблица </w:t>
      </w:r>
      <w:bookmarkStart w:id="604" w:name="табл7"/>
      <w:r>
        <w:fldChar w:fldCharType="begin"/>
      </w:r>
      <w:r>
        <w:instrText xml:space="preserve"> SEQ Таблица \* ARABIC </w:instrText>
      </w:r>
      <w:r>
        <w:fldChar w:fldCharType="separate"/>
      </w:r>
      <w:r w:rsidR="00BF0BEE">
        <w:rPr>
          <w:noProof/>
        </w:rPr>
        <w:t>19</w:t>
      </w:r>
      <w:r>
        <w:fldChar w:fldCharType="end"/>
      </w:r>
      <w:bookmarkEnd w:id="604"/>
      <w:r w:rsidRPr="000E218E">
        <w:t xml:space="preserve"> – </w:t>
      </w:r>
      <w:r>
        <w:t>Показатели б</w:t>
      </w:r>
      <w:r w:rsidRPr="000E218E">
        <w:t>лок</w:t>
      </w:r>
      <w:r>
        <w:t>а</w:t>
      </w:r>
      <w:r w:rsidRPr="000E218E">
        <w:t xml:space="preserve"> «Отклонение от прогноза по доходам»</w:t>
      </w:r>
      <w:bookmarkEnd w:id="602"/>
      <w:bookmarkEnd w:id="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F74B35" w:rsidTr="008F708E">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Сумма отклонения</w:t>
            </w:r>
          </w:p>
        </w:tc>
        <w:tc>
          <w:tcPr>
            <w:tcW w:w="3520" w:type="pct"/>
            <w:shd w:val="clear" w:color="auto" w:fill="auto"/>
          </w:tcPr>
          <w:p w:rsidR="008F708E" w:rsidRDefault="008F708E" w:rsidP="008F708E">
            <w:pPr>
              <w:jc w:val="left"/>
            </w:pPr>
            <w:r>
              <w:t xml:space="preserve">Формула по показателям блока </w:t>
            </w:r>
            <w:r w:rsidRPr="008742C7">
              <w:rPr>
                <w:color w:val="auto"/>
                <w:szCs w:val="24"/>
              </w:rPr>
              <w:t>«Доходы федерального</w:t>
            </w:r>
            <w:r>
              <w:rPr>
                <w:color w:val="auto"/>
                <w:szCs w:val="24"/>
              </w:rPr>
              <w:t xml:space="preserve"> бюджета»</w:t>
            </w:r>
            <w:r>
              <w:t>:</w:t>
            </w:r>
          </w:p>
          <w:p w:rsidR="008F708E" w:rsidRPr="00D8033B" w:rsidRDefault="008F708E" w:rsidP="008F708E">
            <w:pPr>
              <w:jc w:val="left"/>
            </w:pPr>
            <w:r>
              <w:t>«Уточненный прогноз на ГГГГ год» МИНУС «Факт на ГГГГ год».</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Индикатор:</w:t>
            </w:r>
          </w:p>
          <w:p w:rsidR="008F708E" w:rsidRDefault="008F708E" w:rsidP="008F708E">
            <w:pPr>
              <w:jc w:val="left"/>
            </w:pPr>
            <w:r>
              <w:t>«Зеленый» - если значение по показателю «</w:t>
            </w:r>
            <w:r>
              <w:rPr>
                <w:color w:val="auto"/>
                <w:szCs w:val="24"/>
              </w:rPr>
              <w:t>Сумма отклонения</w:t>
            </w:r>
            <w:r>
              <w:t>» равно 0;</w:t>
            </w:r>
          </w:p>
          <w:p w:rsidR="008F708E" w:rsidRPr="00753BA1" w:rsidRDefault="008F708E" w:rsidP="008F708E">
            <w:pPr>
              <w:jc w:val="left"/>
            </w:pPr>
            <w:r>
              <w:t>«Красный» - если значение больше 0.</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pPr>
      <w:r>
        <w:t>Переход с блока не осуществляется.</w:t>
      </w:r>
    </w:p>
    <w:p w:rsidR="008F708E" w:rsidRDefault="008F708E" w:rsidP="008F708E">
      <w:pPr>
        <w:pStyle w:val="af0"/>
      </w:pPr>
    </w:p>
    <w:p w:rsidR="008F708E" w:rsidRDefault="008F708E" w:rsidP="008F708E">
      <w:pPr>
        <w:pStyle w:val="af0"/>
        <w:keepNext/>
        <w:rPr>
          <w:b/>
        </w:rPr>
      </w:pPr>
      <w:r>
        <w:rPr>
          <w:b/>
        </w:rPr>
        <w:t>Блок «Отклонение от росписи по расходам</w:t>
      </w:r>
      <w:r w:rsidRPr="00971C40">
        <w:rPr>
          <w:b/>
        </w:rPr>
        <w:t>)</w:t>
      </w:r>
    </w:p>
    <w:p w:rsidR="008F708E" w:rsidRDefault="008F708E" w:rsidP="008F708E">
      <w:pPr>
        <w:pStyle w:val="af0"/>
      </w:pPr>
      <w:r>
        <w:t xml:space="preserve">Правила формирования показателей блока представлены в таблице </w:t>
      </w:r>
      <w:r>
        <w:fldChar w:fldCharType="begin"/>
      </w:r>
      <w:r>
        <w:instrText xml:space="preserve"> REF табл8 \h </w:instrText>
      </w:r>
      <w:r>
        <w:fldChar w:fldCharType="separate"/>
      </w:r>
      <w:r w:rsidR="00BF0BEE">
        <w:rPr>
          <w:noProof/>
        </w:rPr>
        <w:t>20</w:t>
      </w:r>
      <w:r>
        <w:fldChar w:fldCharType="end"/>
      </w:r>
      <w:r>
        <w:t>.</w:t>
      </w:r>
    </w:p>
    <w:p w:rsidR="008F708E" w:rsidRPr="00CC464F" w:rsidRDefault="008F708E" w:rsidP="008F708E">
      <w:pPr>
        <w:pStyle w:val="af0"/>
      </w:pPr>
      <w:r>
        <w:t>Блок скрывается при выборе в параметре «По состоянию на» значения не равного значению 01.01.ГГГГ.</w:t>
      </w:r>
    </w:p>
    <w:p w:rsidR="008F708E" w:rsidRPr="00A71A7F" w:rsidRDefault="008F708E" w:rsidP="008F708E">
      <w:pPr>
        <w:pStyle w:val="-"/>
      </w:pPr>
      <w:bookmarkStart w:id="605" w:name="_Toc80789111"/>
      <w:bookmarkStart w:id="606" w:name="_Toc119585161"/>
      <w:r>
        <w:t xml:space="preserve">Таблица </w:t>
      </w:r>
      <w:bookmarkStart w:id="607" w:name="табл8"/>
      <w:r>
        <w:fldChar w:fldCharType="begin"/>
      </w:r>
      <w:r>
        <w:instrText xml:space="preserve"> SEQ Таблица \* ARABIC </w:instrText>
      </w:r>
      <w:r>
        <w:fldChar w:fldCharType="separate"/>
      </w:r>
      <w:r w:rsidR="00BF0BEE">
        <w:rPr>
          <w:noProof/>
        </w:rPr>
        <w:t>20</w:t>
      </w:r>
      <w:r>
        <w:fldChar w:fldCharType="end"/>
      </w:r>
      <w:bookmarkEnd w:id="607"/>
      <w:r w:rsidRPr="00A71A7F">
        <w:t xml:space="preserve"> – </w:t>
      </w:r>
      <w:r>
        <w:t>Показатели б</w:t>
      </w:r>
      <w:r w:rsidRPr="00A71A7F">
        <w:t>лок</w:t>
      </w:r>
      <w:r>
        <w:t>а</w:t>
      </w:r>
      <w:r w:rsidRPr="00A71A7F">
        <w:t xml:space="preserve"> «Отклонение от росписи по расходам)</w:t>
      </w:r>
      <w:bookmarkEnd w:id="605"/>
      <w:bookmarkEnd w:id="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F74B35" w:rsidTr="008F708E">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Сумма отклонения</w:t>
            </w:r>
          </w:p>
        </w:tc>
        <w:tc>
          <w:tcPr>
            <w:tcW w:w="3520" w:type="pct"/>
            <w:shd w:val="clear" w:color="auto" w:fill="auto"/>
          </w:tcPr>
          <w:p w:rsidR="008F708E" w:rsidRDefault="008F708E" w:rsidP="008F708E">
            <w:pPr>
              <w:jc w:val="left"/>
            </w:pPr>
            <w:r>
              <w:t>Формула по показателям блока «Расходы федерального бюджета»:</w:t>
            </w:r>
          </w:p>
          <w:p w:rsidR="008F708E" w:rsidRPr="00D8033B" w:rsidRDefault="008F708E" w:rsidP="008F708E">
            <w:pPr>
              <w:jc w:val="left"/>
            </w:pPr>
            <w:r>
              <w:t>«Роспись на ГГГГ год» МИНУС «Факт на ДД.ММ.ГГГГ».</w:t>
            </w:r>
          </w:p>
        </w:tc>
      </w:tr>
      <w:tr w:rsidR="008F708E" w:rsidRPr="00D8033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Индикатор:</w:t>
            </w:r>
          </w:p>
          <w:p w:rsidR="008F708E" w:rsidRDefault="008F708E" w:rsidP="008F708E">
            <w:pPr>
              <w:jc w:val="left"/>
            </w:pPr>
            <w:r>
              <w:t>«Зеленый» - если значение по показателю «</w:t>
            </w:r>
            <w:r>
              <w:rPr>
                <w:color w:val="auto"/>
                <w:szCs w:val="24"/>
              </w:rPr>
              <w:t>Сумма отклонения</w:t>
            </w:r>
            <w:r>
              <w:t>» равно 0;</w:t>
            </w:r>
          </w:p>
          <w:p w:rsidR="008F708E" w:rsidRPr="00753BA1" w:rsidRDefault="008F708E" w:rsidP="008F708E">
            <w:pPr>
              <w:jc w:val="left"/>
            </w:pPr>
            <w:r>
              <w:t>«Красный» - если значение больше 0.</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pPr>
      <w:r>
        <w:t>Переход с блока не осуществляется.</w:t>
      </w:r>
    </w:p>
    <w:p w:rsidR="008F708E" w:rsidRDefault="008F708E" w:rsidP="00D7306D">
      <w:pPr>
        <w:pStyle w:val="42"/>
        <w:rPr>
          <w:noProof/>
        </w:rPr>
      </w:pPr>
      <w:r w:rsidRPr="00D7306D">
        <w:t>Представление</w:t>
      </w:r>
      <w:r w:rsidRPr="00D536DC">
        <w:rPr>
          <w:noProof/>
          <w:lang w:val="en-US"/>
        </w:rPr>
        <w:t xml:space="preserve"> «По вице-премьерам»</w:t>
      </w:r>
    </w:p>
    <w:p w:rsidR="008F708E" w:rsidRDefault="008F708E" w:rsidP="008F708E">
      <w:pPr>
        <w:pStyle w:val="af0"/>
      </w:pPr>
      <w:r w:rsidRPr="000B4C41">
        <w:t>Представление «</w:t>
      </w:r>
      <w:r>
        <w:t>По вице-премьерам</w:t>
      </w:r>
      <w:r w:rsidRPr="000B4C41">
        <w:t>» аналитического отчета «</w:t>
      </w:r>
      <w:r>
        <w:t>Бюджет</w:t>
      </w:r>
      <w:r w:rsidRPr="000B4C41">
        <w:t>» отобража</w:t>
      </w:r>
      <w:r w:rsidR="00D7306D">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r>
        <w:t>Заголовок: Расходы федерального бюджета по вице-премьерам.</w:t>
      </w:r>
    </w:p>
    <w:p w:rsidR="008F708E" w:rsidRDefault="008F708E" w:rsidP="008F708E">
      <w:pPr>
        <w:pStyle w:val="af0"/>
        <w:keepNext/>
      </w:pPr>
      <w:r>
        <w:t>Дашборд состоит из двух типов блоков:</w:t>
      </w:r>
    </w:p>
    <w:p w:rsidR="008F708E" w:rsidRPr="00341438" w:rsidRDefault="008F708E" w:rsidP="00DE1661">
      <w:pPr>
        <w:pStyle w:val="13"/>
      </w:pPr>
      <w:r w:rsidRPr="00341438">
        <w:t>ФИО по каждому вице-премьеру (значения по показателям сгруппированы по курируемым вице-премьерами тонким цепочкам КБК);</w:t>
      </w:r>
    </w:p>
    <w:p w:rsidR="008F708E" w:rsidRPr="00341438" w:rsidRDefault="008F708E" w:rsidP="00DE1661">
      <w:pPr>
        <w:pStyle w:val="13"/>
      </w:pPr>
      <w:r w:rsidRPr="00341438">
        <w:t>«Иные» (значения по показателям собраны по КБК, не курируемым вице-премьерами, а также по закрытым сведениям, не расписанным по тонким цепочкам КБК).</w:t>
      </w:r>
    </w:p>
    <w:p w:rsidR="008F708E" w:rsidRPr="00104655" w:rsidRDefault="008F708E" w:rsidP="00742DF0">
      <w:pPr>
        <w:pStyle w:val="-0"/>
      </w:pPr>
      <w:r>
        <w:rPr>
          <w:noProof/>
          <w:snapToGrid/>
        </w:rPr>
        <w:drawing>
          <wp:inline distT="0" distB="0" distL="0" distR="0" wp14:anchorId="2DD4E5F0" wp14:editId="5B85E0FB">
            <wp:extent cx="6120130" cy="2742025"/>
            <wp:effectExtent l="0" t="0" r="0" b="127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a:stretch>
                      <a:fillRect/>
                    </a:stretch>
                  </pic:blipFill>
                  <pic:spPr>
                    <a:xfrm>
                      <a:off x="0" y="0"/>
                      <a:ext cx="6120130" cy="2742025"/>
                    </a:xfrm>
                    <a:prstGeom prst="rect">
                      <a:avLst/>
                    </a:prstGeom>
                  </pic:spPr>
                </pic:pic>
              </a:graphicData>
            </a:graphic>
          </wp:inline>
        </w:drawing>
      </w:r>
    </w:p>
    <w:p w:rsidR="008F708E" w:rsidRDefault="008F708E" w:rsidP="00742DF0">
      <w:pPr>
        <w:pStyle w:val="-0"/>
      </w:pPr>
      <w:bookmarkStart w:id="608" w:name="_Toc80789125"/>
      <w:bookmarkStart w:id="609" w:name="_Toc119584328"/>
      <w:r w:rsidRPr="00104655">
        <w:rPr>
          <w:snapToGrid/>
        </w:rPr>
        <w:t>Рисунок</w:t>
      </w:r>
      <w:r>
        <w:rPr>
          <w:rStyle w:val="af1"/>
        </w:rPr>
        <w:t xml:space="preserve"> </w:t>
      </w:r>
      <w:r>
        <w:rPr>
          <w:szCs w:val="28"/>
        </w:rPr>
        <w:fldChar w:fldCharType="begin"/>
      </w:r>
      <w:r>
        <w:rPr>
          <w:szCs w:val="28"/>
        </w:rPr>
        <w:instrText xml:space="preserve"> SEQ Рисунок \* ARABIC </w:instrText>
      </w:r>
      <w:r>
        <w:rPr>
          <w:szCs w:val="28"/>
        </w:rPr>
        <w:fldChar w:fldCharType="separate"/>
      </w:r>
      <w:r w:rsidR="001860A9">
        <w:rPr>
          <w:noProof/>
          <w:szCs w:val="28"/>
        </w:rPr>
        <w:t>141</w:t>
      </w:r>
      <w:r>
        <w:rPr>
          <w:szCs w:val="28"/>
        </w:rPr>
        <w:fldChar w:fldCharType="end"/>
      </w:r>
      <w:r>
        <w:rPr>
          <w:szCs w:val="28"/>
        </w:rPr>
        <w:t xml:space="preserve"> – </w:t>
      </w:r>
      <w:r>
        <w:rPr>
          <w:rStyle w:val="af1"/>
        </w:rPr>
        <w:t>Макет борда «</w:t>
      </w:r>
      <w:r w:rsidRPr="00742DF0">
        <w:rPr>
          <w:rStyle w:val="af1"/>
          <w:snapToGrid w:val="0"/>
        </w:rPr>
        <w:t>Бюджет</w:t>
      </w:r>
      <w:r>
        <w:rPr>
          <w:rStyle w:val="af1"/>
        </w:rPr>
        <w:t>», представление «По вице-премьерам»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не равное значению 01.01.ГГГГ)</w:t>
      </w:r>
      <w:bookmarkEnd w:id="608"/>
      <w:bookmarkEnd w:id="609"/>
    </w:p>
    <w:p w:rsidR="008F708E" w:rsidRDefault="008F708E" w:rsidP="008F708E">
      <w:pPr>
        <w:spacing w:line="360" w:lineRule="exact"/>
        <w:rPr>
          <w:snapToGrid/>
          <w:color w:val="auto"/>
          <w:sz w:val="28"/>
          <w:szCs w:val="28"/>
        </w:rPr>
      </w:pPr>
    </w:p>
    <w:p w:rsidR="008F708E" w:rsidRDefault="008F708E" w:rsidP="00742DF0">
      <w:pPr>
        <w:pStyle w:val="-0"/>
        <w:rPr>
          <w:snapToGrid/>
          <w:color w:val="auto"/>
          <w:szCs w:val="28"/>
        </w:rPr>
      </w:pPr>
      <w:r>
        <w:rPr>
          <w:noProof/>
          <w:snapToGrid/>
        </w:rPr>
        <w:drawing>
          <wp:inline distT="0" distB="0" distL="0" distR="0" wp14:anchorId="3A14F140" wp14:editId="5077E596">
            <wp:extent cx="6120130" cy="2531745"/>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6120130" cy="2531745"/>
                    </a:xfrm>
                    <a:prstGeom prst="rect">
                      <a:avLst/>
                    </a:prstGeom>
                  </pic:spPr>
                </pic:pic>
              </a:graphicData>
            </a:graphic>
          </wp:inline>
        </w:drawing>
      </w:r>
    </w:p>
    <w:p w:rsidR="008F708E" w:rsidRPr="00742DF0" w:rsidRDefault="008F708E" w:rsidP="00742DF0">
      <w:pPr>
        <w:pStyle w:val="-0"/>
      </w:pPr>
      <w:bookmarkStart w:id="610" w:name="_Toc80789126"/>
      <w:bookmarkStart w:id="611" w:name="_Toc119584329"/>
      <w:r w:rsidRPr="00742DF0">
        <w:t>Рисунок</w:t>
      </w:r>
      <w:r w:rsidRPr="00742DF0">
        <w:rPr>
          <w:rStyle w:val="af1"/>
          <w:snapToGrid w:val="0"/>
        </w:rPr>
        <w:t xml:space="preserve"> </w:t>
      </w:r>
      <w:fldSimple w:instr=" SEQ Рисунок \* ARABIC ">
        <w:r w:rsidR="001860A9">
          <w:rPr>
            <w:noProof/>
          </w:rPr>
          <w:t>142</w:t>
        </w:r>
      </w:fldSimple>
      <w:r w:rsidRPr="00742DF0">
        <w:t xml:space="preserve"> – </w:t>
      </w:r>
      <w:r w:rsidRPr="00742DF0">
        <w:rPr>
          <w:rStyle w:val="af1"/>
          <w:snapToGrid w:val="0"/>
        </w:rPr>
        <w:t>Макет борда «Бюджет», представление «По вице-премьерам» (в параметре «По состоянию на» выбрано значение 01.01.ГГГГ)</w:t>
      </w:r>
      <w:bookmarkEnd w:id="610"/>
      <w:bookmarkEnd w:id="611"/>
    </w:p>
    <w:p w:rsidR="008F708E" w:rsidRPr="003A4A3C" w:rsidRDefault="008F708E" w:rsidP="008F708E">
      <w:pPr>
        <w:spacing w:line="360" w:lineRule="exact"/>
        <w:rPr>
          <w:snapToGrid/>
          <w:color w:val="auto"/>
          <w:sz w:val="28"/>
          <w:szCs w:val="28"/>
        </w:rPr>
      </w:pPr>
    </w:p>
    <w:p w:rsidR="008F708E" w:rsidRDefault="008F708E" w:rsidP="008F708E">
      <w:pPr>
        <w:pStyle w:val="af0"/>
        <w:keepNext/>
        <w:rPr>
          <w:b/>
        </w:rPr>
      </w:pPr>
      <w:r>
        <w:rPr>
          <w:b/>
        </w:rPr>
        <w:t xml:space="preserve">Блок </w:t>
      </w:r>
      <w:r w:rsidRPr="004C72A8">
        <w:rPr>
          <w:b/>
        </w:rPr>
        <w:t>«</w:t>
      </w:r>
      <w:r>
        <w:rPr>
          <w:b/>
        </w:rPr>
        <w:t>ФИО вице-премьера</w:t>
      </w:r>
      <w:r w:rsidRPr="004C72A8">
        <w:rPr>
          <w:b/>
        </w:rPr>
        <w:t>»</w:t>
      </w:r>
      <w:r>
        <w:rPr>
          <w:b/>
        </w:rPr>
        <w:t xml:space="preserve"> или блок «Иное»</w:t>
      </w:r>
    </w:p>
    <w:p w:rsidR="008F708E" w:rsidRPr="001442F2" w:rsidRDefault="008F708E" w:rsidP="008F708E">
      <w:pPr>
        <w:pStyle w:val="af0"/>
      </w:pPr>
      <w:r>
        <w:t xml:space="preserve">Правила формирования показателей блока представлены в таблице </w:t>
      </w:r>
      <w:r>
        <w:fldChar w:fldCharType="begin"/>
      </w:r>
      <w:r>
        <w:instrText xml:space="preserve"> REF табл9 \h </w:instrText>
      </w:r>
      <w:r>
        <w:fldChar w:fldCharType="separate"/>
      </w:r>
      <w:r w:rsidR="00BF0BEE">
        <w:rPr>
          <w:noProof/>
        </w:rPr>
        <w:t>21</w:t>
      </w:r>
      <w:r>
        <w:fldChar w:fldCharType="end"/>
      </w:r>
      <w:r>
        <w:t>.</w:t>
      </w:r>
    </w:p>
    <w:p w:rsidR="008F708E" w:rsidRPr="00A71A7F" w:rsidRDefault="008F708E" w:rsidP="008F708E">
      <w:pPr>
        <w:pStyle w:val="-"/>
      </w:pPr>
      <w:bookmarkStart w:id="612" w:name="_Toc80789112"/>
      <w:bookmarkStart w:id="613" w:name="_Toc119585162"/>
      <w:r>
        <w:t xml:space="preserve">Таблица </w:t>
      </w:r>
      <w:bookmarkStart w:id="614" w:name="табл9"/>
      <w:r>
        <w:fldChar w:fldCharType="begin"/>
      </w:r>
      <w:r>
        <w:instrText xml:space="preserve"> SEQ Таблица \* ARABIC </w:instrText>
      </w:r>
      <w:r>
        <w:fldChar w:fldCharType="separate"/>
      </w:r>
      <w:r w:rsidR="00BF0BEE">
        <w:rPr>
          <w:noProof/>
        </w:rPr>
        <w:t>21</w:t>
      </w:r>
      <w:r>
        <w:fldChar w:fldCharType="end"/>
      </w:r>
      <w:bookmarkEnd w:id="614"/>
      <w:r w:rsidRPr="00A71A7F">
        <w:t xml:space="preserve"> – </w:t>
      </w:r>
      <w:r>
        <w:t>Показатели б</w:t>
      </w:r>
      <w:r w:rsidRPr="00A71A7F">
        <w:t>лок</w:t>
      </w:r>
      <w:r>
        <w:t>а</w:t>
      </w:r>
      <w:r w:rsidRPr="00A71A7F">
        <w:t xml:space="preserve"> «ФИО вице-премьера» или блок «Иное»</w:t>
      </w:r>
      <w:bookmarkEnd w:id="612"/>
      <w:bookmarkEnd w:id="6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32031B" w:rsidTr="008F708E">
        <w:trPr>
          <w:tblHeader/>
        </w:trPr>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Роспись</w:t>
            </w:r>
            <w:r w:rsidRPr="0032031B">
              <w:rPr>
                <w:color w:val="auto"/>
                <w:sz w:val="24"/>
                <w:szCs w:val="24"/>
              </w:rPr>
              <w:t xml:space="preserve"> на ГГГГ год, где ГГГГ - значение из параметра «Год».</w:t>
            </w:r>
          </w:p>
        </w:tc>
        <w:tc>
          <w:tcPr>
            <w:tcW w:w="3520" w:type="pct"/>
            <w:shd w:val="clear" w:color="auto" w:fill="auto"/>
          </w:tcPr>
          <w:p w:rsidR="008F708E" w:rsidRPr="00D8033B" w:rsidRDefault="008F708E" w:rsidP="008F708E">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Факт на ДД.ММ.ГГГГ, где ДД.ММ.ГГГГ - значение из параметра «По состоянию на».</w:t>
            </w:r>
          </w:p>
        </w:tc>
        <w:tc>
          <w:tcPr>
            <w:tcW w:w="352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АСФК, форма О_0504072, раздел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2031B">
              <w:rPr>
                <w:color w:val="auto"/>
                <w:sz w:val="24"/>
                <w:szCs w:val="24"/>
              </w:rPr>
              <w:t>, показатель «Кассовое исполнение».</w:t>
            </w:r>
          </w:p>
        </w:tc>
      </w:tr>
      <w:tr w:rsidR="008F708E" w:rsidRPr="0032031B" w:rsidTr="008F708E">
        <w:tc>
          <w:tcPr>
            <w:tcW w:w="1480" w:type="pct"/>
            <w:shd w:val="clear" w:color="auto" w:fill="auto"/>
          </w:tcPr>
          <w:p w:rsidR="008F708E" w:rsidRPr="00EB48B8" w:rsidRDefault="008F708E" w:rsidP="008F708E">
            <w:pPr>
              <w:pStyle w:val="af0"/>
              <w:ind w:firstLine="0"/>
              <w:jc w:val="left"/>
              <w:rPr>
                <w:color w:val="auto"/>
                <w:sz w:val="24"/>
                <w:szCs w:val="24"/>
              </w:rPr>
            </w:pPr>
            <w:r w:rsidRPr="00EB48B8">
              <w:rPr>
                <w:color w:val="auto"/>
                <w:sz w:val="24"/>
                <w:szCs w:val="24"/>
              </w:rPr>
              <w:t>Риск неисполнения расходов по данным ГРБС</w:t>
            </w:r>
          </w:p>
        </w:tc>
        <w:tc>
          <w:tcPr>
            <w:tcW w:w="3520" w:type="pct"/>
            <w:shd w:val="clear" w:color="auto" w:fill="auto"/>
          </w:tcPr>
          <w:p w:rsidR="008F708E" w:rsidRPr="00EB48B8" w:rsidRDefault="008F708E" w:rsidP="008F708E">
            <w:pPr>
              <w:jc w:val="left"/>
            </w:pPr>
            <w:r>
              <w:t xml:space="preserve">ПБП, </w:t>
            </w:r>
            <w:r w:rsidRPr="00EB48B8">
              <w:t xml:space="preserve">форма по сбору информации </w:t>
            </w:r>
            <w:r>
              <w:t xml:space="preserve">с ГРБС </w:t>
            </w:r>
            <w:r w:rsidRPr="00EB48B8">
              <w:t>о прогнозе неисполнения бюджета</w:t>
            </w:r>
            <w:r>
              <w:t xml:space="preserve">. Показатель выводится для данных за 2020 год. </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Сумма факторов риска</w:t>
            </w:r>
          </w:p>
        </w:tc>
        <w:tc>
          <w:tcPr>
            <w:tcW w:w="3520" w:type="pct"/>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Default="008F708E" w:rsidP="008F708E">
            <w:pPr>
              <w:pStyle w:val="af0"/>
              <w:ind w:firstLine="0"/>
              <w:jc w:val="left"/>
              <w:rPr>
                <w:color w:val="auto"/>
                <w:sz w:val="24"/>
                <w:szCs w:val="24"/>
              </w:rPr>
            </w:pPr>
            <w:r w:rsidRPr="007A1347">
              <w:rPr>
                <w:color w:val="auto"/>
                <w:sz w:val="24"/>
                <w:szCs w:val="24"/>
              </w:rPr>
              <w:t>«Заблокированные лимиты» ПЛЮС «Нераспределенные лимиты в срок» ПЛЮС «Не принятые обязательства в срок» ПЛЮС «Не исполнено в срок».</w:t>
            </w:r>
          </w:p>
          <w:p w:rsidR="008F708E" w:rsidRPr="00326F72" w:rsidRDefault="008F708E" w:rsidP="008F708E">
            <w:pPr>
              <w:pStyle w:val="af0"/>
              <w:ind w:firstLine="0"/>
              <w:jc w:val="left"/>
              <w:rPr>
                <w:i/>
                <w:color w:val="auto"/>
                <w:sz w:val="24"/>
                <w:szCs w:val="24"/>
              </w:rPr>
            </w:pPr>
            <w:r w:rsidRPr="00326F72">
              <w:rPr>
                <w:i/>
                <w:color w:val="auto"/>
                <w:sz w:val="24"/>
                <w:szCs w:val="24"/>
              </w:rPr>
              <w:t>Показатель скрывается при выборе в параметре «По состоянию на» значения равного значению 01.01.ГГГГ.</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870817">
              <w:rPr>
                <w:color w:val="auto"/>
                <w:sz w:val="24"/>
                <w:szCs w:val="24"/>
              </w:rPr>
              <w:t>Отклонение от росписи</w:t>
            </w:r>
          </w:p>
        </w:tc>
        <w:tc>
          <w:tcPr>
            <w:tcW w:w="3520" w:type="pct"/>
            <w:shd w:val="clear" w:color="auto" w:fill="auto"/>
          </w:tcPr>
          <w:p w:rsidR="008F708E" w:rsidRDefault="008F708E" w:rsidP="008F708E">
            <w:pPr>
              <w:pStyle w:val="af0"/>
              <w:ind w:firstLine="0"/>
              <w:jc w:val="left"/>
              <w:rPr>
                <w:color w:val="auto"/>
                <w:sz w:val="24"/>
                <w:szCs w:val="24"/>
              </w:rPr>
            </w:pPr>
            <w:r w:rsidRPr="0032031B">
              <w:rPr>
                <w:color w:val="auto"/>
                <w:sz w:val="24"/>
                <w:szCs w:val="24"/>
              </w:rPr>
              <w:t>Формула: «</w:t>
            </w:r>
            <w:r>
              <w:rPr>
                <w:color w:val="auto"/>
                <w:sz w:val="24"/>
                <w:szCs w:val="24"/>
              </w:rPr>
              <w:t xml:space="preserve">Роспись на </w:t>
            </w:r>
            <w:r w:rsidRPr="0032031B">
              <w:rPr>
                <w:color w:val="auto"/>
                <w:sz w:val="24"/>
                <w:szCs w:val="24"/>
              </w:rPr>
              <w:t>ГГГГ</w:t>
            </w:r>
            <w:r>
              <w:rPr>
                <w:color w:val="auto"/>
                <w:sz w:val="24"/>
                <w:szCs w:val="24"/>
              </w:rPr>
              <w:t xml:space="preserve"> год» МИНУС</w:t>
            </w:r>
            <w:r w:rsidRPr="0032031B">
              <w:rPr>
                <w:color w:val="auto"/>
                <w:sz w:val="24"/>
                <w:szCs w:val="24"/>
              </w:rPr>
              <w:t xml:space="preserve"> «</w:t>
            </w:r>
            <w:r>
              <w:rPr>
                <w:color w:val="auto"/>
                <w:sz w:val="24"/>
                <w:szCs w:val="24"/>
              </w:rPr>
              <w:t>Факт на ДД.ММ.ГГГГ».</w:t>
            </w:r>
          </w:p>
          <w:p w:rsidR="008F708E" w:rsidRPr="00326F72" w:rsidRDefault="008F708E" w:rsidP="008F708E">
            <w:pPr>
              <w:pStyle w:val="af0"/>
              <w:ind w:firstLine="0"/>
              <w:jc w:val="left"/>
              <w:rPr>
                <w:i/>
                <w:color w:val="auto"/>
                <w:sz w:val="24"/>
                <w:szCs w:val="24"/>
              </w:rPr>
            </w:pPr>
            <w:r w:rsidRPr="00326F72">
              <w:rPr>
                <w:i/>
                <w:color w:val="auto"/>
                <w:sz w:val="24"/>
                <w:szCs w:val="24"/>
              </w:rPr>
              <w:t xml:space="preserve">Показатель 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Вертикальный индикатор</w:t>
            </w:r>
          </w:p>
        </w:tc>
        <w:tc>
          <w:tcPr>
            <w:tcW w:w="3520" w:type="pct"/>
            <w:shd w:val="clear" w:color="auto" w:fill="auto"/>
          </w:tcPr>
          <w:p w:rsidR="008F708E" w:rsidRDefault="008F708E" w:rsidP="008F708E">
            <w:pPr>
              <w:jc w:val="left"/>
            </w:pPr>
            <w:r>
              <w:t>«Зеленый» - если значение по показателю «Отклонение от росписи» / «</w:t>
            </w:r>
            <w:r>
              <w:rPr>
                <w:color w:val="auto"/>
                <w:szCs w:val="24"/>
              </w:rPr>
              <w:t>Сумма факторов риска» / «</w:t>
            </w:r>
            <w:r w:rsidRPr="00EB48B8">
              <w:rPr>
                <w:color w:val="auto"/>
                <w:szCs w:val="24"/>
              </w:rPr>
              <w:t>Риск неисполнения расходов по данным ГРБС</w:t>
            </w:r>
            <w:r>
              <w:rPr>
                <w:color w:val="auto"/>
                <w:szCs w:val="24"/>
              </w:rPr>
              <w:t>»</w:t>
            </w:r>
            <w:r>
              <w:t xml:space="preserve"> меньше или равно 0;</w:t>
            </w:r>
          </w:p>
          <w:p w:rsidR="008F708E" w:rsidRPr="00753BA1" w:rsidRDefault="008F708E" w:rsidP="008F708E">
            <w:pPr>
              <w:jc w:val="left"/>
            </w:pPr>
            <w:r>
              <w:t>«Красный» - если значение больше 0.</w:t>
            </w:r>
          </w:p>
        </w:tc>
      </w:tr>
    </w:tbl>
    <w:p w:rsidR="008F708E" w:rsidRDefault="008F708E" w:rsidP="008F708E">
      <w:pPr>
        <w:pStyle w:val="af0"/>
      </w:pPr>
      <w:r>
        <w:t>Все значения выводятся с одним знаком после запятой.</w:t>
      </w:r>
    </w:p>
    <w:p w:rsidR="008F708E" w:rsidRPr="007A1347" w:rsidRDefault="008F708E" w:rsidP="008F708E">
      <w:pPr>
        <w:pStyle w:val="af0"/>
      </w:pPr>
      <w:r>
        <w:t>С блока осуществляется переход по тексту «</w:t>
      </w:r>
      <w:r w:rsidRPr="00542740">
        <w:t xml:space="preserve">Подробнее </w:t>
      </w:r>
      <w:r w:rsidRPr="00542740">
        <w:sym w:font="Symbol" w:char="F0AE"/>
      </w:r>
      <w:r w:rsidRPr="00542740">
        <w:t xml:space="preserve">» в представление «ГАБС – </w:t>
      </w:r>
      <w:r>
        <w:t>Расходы</w:t>
      </w:r>
      <w:r w:rsidRPr="00542740">
        <w:t>» отчета «Бюджет» с передачей фильтров: «По состоянию</w:t>
      </w:r>
      <w:r w:rsidRPr="007A1347">
        <w:t xml:space="preserve"> на», «Год», «Вице-премьер», «Единицы измерения».</w:t>
      </w:r>
    </w:p>
    <w:p w:rsidR="008F708E" w:rsidRDefault="008F708E" w:rsidP="00742DF0">
      <w:pPr>
        <w:pStyle w:val="42"/>
        <w:keepNext/>
        <w:rPr>
          <w:noProof/>
        </w:rPr>
      </w:pPr>
      <w:r w:rsidRPr="00742DF0">
        <w:t>Представление</w:t>
      </w:r>
      <w:r w:rsidRPr="00D536DC">
        <w:rPr>
          <w:noProof/>
          <w:lang w:val="en-US"/>
        </w:rPr>
        <w:t xml:space="preserve"> «По </w:t>
      </w:r>
      <w:r>
        <w:rPr>
          <w:noProof/>
        </w:rPr>
        <w:t>ГАБС - Расходы</w:t>
      </w:r>
      <w:r w:rsidRPr="00D536DC">
        <w:rPr>
          <w:noProof/>
          <w:lang w:val="en-US"/>
        </w:rPr>
        <w:t>»</w:t>
      </w:r>
    </w:p>
    <w:p w:rsidR="008F708E" w:rsidRDefault="008F708E" w:rsidP="008F708E">
      <w:pPr>
        <w:pStyle w:val="af0"/>
      </w:pPr>
      <w:r w:rsidRPr="000B4C41">
        <w:t>Представление «</w:t>
      </w:r>
      <w:r>
        <w:t>По ГАБС - Расходы</w:t>
      </w:r>
      <w:r w:rsidRPr="000B4C41">
        <w:t>» аналитического отчета «</w:t>
      </w:r>
      <w:r>
        <w:t>Бюджет</w:t>
      </w:r>
      <w:r w:rsidRPr="000B4C41">
        <w:t>» отобража</w:t>
      </w:r>
      <w:r w:rsidR="00742DF0">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Вице-премьер:</w:t>
      </w:r>
    </w:p>
    <w:p w:rsidR="008F708E" w:rsidRDefault="008F708E" w:rsidP="008F708E">
      <w:pPr>
        <w:pStyle w:val="af0"/>
        <w:ind w:left="1211" w:firstLine="0"/>
      </w:pPr>
      <w:r>
        <w:t>Выпадающий список без множественного выбора.</w:t>
      </w:r>
    </w:p>
    <w:p w:rsidR="008F708E" w:rsidRDefault="008F708E" w:rsidP="008F708E">
      <w:pPr>
        <w:pStyle w:val="af0"/>
        <w:ind w:left="1211" w:firstLine="0"/>
      </w:pPr>
      <w:r>
        <w:t xml:space="preserve">Выводится ФИО вице-премьеров и значение «Иные» (цепочки КБК не курируемые вице-премьерами, а так же </w:t>
      </w:r>
      <w:r w:rsidRPr="004B39B3">
        <w:rPr>
          <w:snapToGrid/>
          <w:color w:val="auto"/>
          <w:szCs w:val="28"/>
        </w:rPr>
        <w:t>по закрытым сведениям, не расписанным по тонким цепочкам КБК</w:t>
      </w:r>
      <w:r>
        <w:t>).</w:t>
      </w:r>
    </w:p>
    <w:p w:rsidR="008F708E" w:rsidRDefault="008F708E" w:rsidP="008F708E">
      <w:pPr>
        <w:pStyle w:val="af0"/>
        <w:ind w:left="1211" w:firstLine="0"/>
      </w:pPr>
      <w: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p>
    <w:p w:rsidR="008F708E" w:rsidRDefault="008F708E" w:rsidP="008F708E">
      <w:pPr>
        <w:pStyle w:val="af0"/>
        <w:ind w:left="1211" w:firstLine="0"/>
      </w:pPr>
      <w:r>
        <w:t>По умолчанию установлено значение «Все».</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r>
        <w:t xml:space="preserve"> Значение «000 - Иные» (значения по закрытым цепочкам КБК) не выводится в параметр, но суммы учитываются при выборе значения «Все».</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r>
        <w:t xml:space="preserve">Заголовок: </w:t>
      </w:r>
    </w:p>
    <w:p w:rsidR="008F708E" w:rsidRDefault="008F708E" w:rsidP="008F708E">
      <w:pPr>
        <w:pStyle w:val="af0"/>
      </w:pPr>
      <w:r>
        <w:t>В параметрах «Вице-премьер» и «ГАБС» выбраны значения «Все»: Расходы федерального бюджета в разрезе ГРБС (открытые данные).</w:t>
      </w:r>
    </w:p>
    <w:p w:rsidR="008F708E" w:rsidRDefault="008F708E" w:rsidP="008F708E">
      <w:pPr>
        <w:pStyle w:val="af0"/>
      </w:pPr>
      <w:r>
        <w:t xml:space="preserve">В параметре «Вице-премьер» выбрано значение не равное значению «Все»: Расходы федерального бюджета в разрезе ГРБС по вице-премьеру </w:t>
      </w:r>
      <w:r w:rsidRPr="00781D17">
        <w:t>&lt;</w:t>
      </w:r>
      <w:r>
        <w:t>ФИО выбранного вице-премьера</w:t>
      </w:r>
      <w:r w:rsidRPr="00781D17">
        <w:t>&gt;</w:t>
      </w:r>
      <w:r>
        <w:t xml:space="preserve"> (по открытым данным). Например, Расходы федерального бюджета в разрезе ГРБС по вице-премьеру В. В. Абрамченко (по открытым данным).</w:t>
      </w:r>
    </w:p>
    <w:p w:rsidR="008F708E" w:rsidRDefault="008F708E" w:rsidP="008F708E">
      <w:pPr>
        <w:pStyle w:val="af0"/>
      </w:pPr>
      <w:r>
        <w:t xml:space="preserve">В параметре «ГАБС» выбраны значения не равные значению «Все»: Расходы федерального бюджета </w:t>
      </w:r>
      <w:r w:rsidRPr="004561B1">
        <w:t>в разрезе ГРБС</w:t>
      </w:r>
      <w:r>
        <w:t xml:space="preserve">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(по открытым данным). Например, Расходы федерального бюджета по Министерство промышленности и торговли Российской Федерации +2 ГАБС (по открытым данным).</w:t>
      </w:r>
    </w:p>
    <w:p w:rsidR="008F708E" w:rsidRDefault="008F708E" w:rsidP="008F708E">
      <w:pPr>
        <w:pStyle w:val="af0"/>
      </w:pPr>
      <w:r>
        <w:t xml:space="preserve">В параметре «Вице-премьер» и «ГАБС» одновременно выбраны значения не равные значению «Все»: Расходы федерального бюджета </w:t>
      </w:r>
      <w:r w:rsidRPr="004561B1">
        <w:t>в разрезе ГРБС</w:t>
      </w:r>
      <w:r>
        <w:t xml:space="preserve"> по вице-премьеру </w:t>
      </w:r>
      <w:r w:rsidRPr="00781D17">
        <w:t>&lt;</w:t>
      </w:r>
      <w:r>
        <w:t>ФИО выбранного вице-премьера</w:t>
      </w:r>
      <w:r w:rsidRPr="00781D17">
        <w:t>&gt;</w:t>
      </w:r>
      <w:r>
        <w:t xml:space="preserve"> и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(по открытым данным). Например, Расходы федерального бюджета по вице-премьеру В. В. Абрамченко и Министерство промышленности и торговли Российской Федерации +92 ГАБС (по открытым данным).</w:t>
      </w:r>
    </w:p>
    <w:p w:rsidR="008F708E" w:rsidRDefault="008F708E" w:rsidP="008F708E">
      <w:pPr>
        <w:pStyle w:val="af0"/>
      </w:pPr>
      <w:r>
        <w:t>Дашборд состоит из таблицы.</w:t>
      </w:r>
    </w:p>
    <w:p w:rsidR="008F708E" w:rsidRDefault="008F708E" w:rsidP="00742DF0">
      <w:pPr>
        <w:pStyle w:val="-0"/>
      </w:pPr>
      <w:r>
        <w:rPr>
          <w:noProof/>
          <w:snapToGrid/>
        </w:rPr>
        <w:drawing>
          <wp:inline distT="0" distB="0" distL="0" distR="0" wp14:anchorId="22AF9452" wp14:editId="44D9C5B0">
            <wp:extent cx="6120130" cy="2534210"/>
            <wp:effectExtent l="0" t="0" r="0"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stretch>
                      <a:fillRect/>
                    </a:stretch>
                  </pic:blipFill>
                  <pic:spPr>
                    <a:xfrm>
                      <a:off x="0" y="0"/>
                      <a:ext cx="6120130" cy="2534210"/>
                    </a:xfrm>
                    <a:prstGeom prst="rect">
                      <a:avLst/>
                    </a:prstGeom>
                  </pic:spPr>
                </pic:pic>
              </a:graphicData>
            </a:graphic>
          </wp:inline>
        </w:drawing>
      </w:r>
    </w:p>
    <w:p w:rsidR="008F708E" w:rsidRDefault="008F708E" w:rsidP="008F708E">
      <w:pPr>
        <w:pStyle w:val="-0"/>
        <w:rPr>
          <w:rStyle w:val="af1"/>
        </w:rPr>
      </w:pPr>
      <w:bookmarkStart w:id="615" w:name="_Toc80789127"/>
      <w:bookmarkStart w:id="616" w:name="_Toc119584330"/>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143</w:t>
      </w:r>
      <w:r>
        <w:rPr>
          <w:szCs w:val="28"/>
        </w:rPr>
        <w:fldChar w:fldCharType="end"/>
      </w:r>
      <w:r>
        <w:rPr>
          <w:szCs w:val="28"/>
        </w:rPr>
        <w:t xml:space="preserve"> – </w:t>
      </w:r>
      <w:r>
        <w:rPr>
          <w:rStyle w:val="af1"/>
        </w:rPr>
        <w:t>Макет борда «Бюджет», представление «По ГАБС - Расходы»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не равное значению 01.01.ГГГГ)</w:t>
      </w:r>
      <w:bookmarkEnd w:id="615"/>
      <w:bookmarkEnd w:id="616"/>
    </w:p>
    <w:p w:rsidR="008F708E" w:rsidRDefault="008F708E" w:rsidP="008F708E">
      <w:pPr>
        <w:pStyle w:val="af0"/>
        <w:ind w:firstLine="0"/>
        <w:rPr>
          <w:rStyle w:val="af1"/>
        </w:rPr>
      </w:pPr>
    </w:p>
    <w:p w:rsidR="008F708E" w:rsidRDefault="008F708E" w:rsidP="008F708E">
      <w:pPr>
        <w:pStyle w:val="af0"/>
        <w:ind w:firstLine="0"/>
        <w:rPr>
          <w:rStyle w:val="af1"/>
        </w:rPr>
      </w:pPr>
      <w:r>
        <w:rPr>
          <w:noProof/>
          <w:snapToGrid/>
        </w:rPr>
        <w:drawing>
          <wp:inline distT="0" distB="0" distL="0" distR="0" wp14:anchorId="7181B7BE" wp14:editId="1872E6D1">
            <wp:extent cx="6120130" cy="252157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2"/>
                    <a:stretch>
                      <a:fillRect/>
                    </a:stretch>
                  </pic:blipFill>
                  <pic:spPr>
                    <a:xfrm>
                      <a:off x="0" y="0"/>
                      <a:ext cx="6120130" cy="2521577"/>
                    </a:xfrm>
                    <a:prstGeom prst="rect">
                      <a:avLst/>
                    </a:prstGeom>
                  </pic:spPr>
                </pic:pic>
              </a:graphicData>
            </a:graphic>
          </wp:inline>
        </w:drawing>
      </w:r>
    </w:p>
    <w:p w:rsidR="008F708E" w:rsidRDefault="008F708E" w:rsidP="00742DF0">
      <w:pPr>
        <w:pStyle w:val="-0"/>
        <w:rPr>
          <w:rStyle w:val="af1"/>
        </w:rPr>
      </w:pPr>
      <w:bookmarkStart w:id="617" w:name="_Toc80789128"/>
      <w:bookmarkStart w:id="618" w:name="_Toc119584331"/>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144</w:t>
      </w:r>
      <w:r>
        <w:rPr>
          <w:szCs w:val="28"/>
        </w:rPr>
        <w:fldChar w:fldCharType="end"/>
      </w:r>
      <w:r>
        <w:rPr>
          <w:szCs w:val="28"/>
        </w:rPr>
        <w:t xml:space="preserve"> – </w:t>
      </w:r>
      <w:r>
        <w:rPr>
          <w:rStyle w:val="af1"/>
        </w:rPr>
        <w:t>Макет борда «Бюджет», представление «По ГАБС - Расходы» (</w:t>
      </w:r>
      <w:r w:rsidRPr="003A2138">
        <w:rPr>
          <w:rStyle w:val="af1"/>
        </w:rPr>
        <w:t xml:space="preserve">в параметре «По </w:t>
      </w:r>
      <w:r w:rsidRPr="00742DF0">
        <w:rPr>
          <w:rStyle w:val="af1"/>
          <w:snapToGrid w:val="0"/>
        </w:rPr>
        <w:t>состоянию</w:t>
      </w:r>
      <w:r w:rsidRPr="003A2138">
        <w:rPr>
          <w:rStyle w:val="af1"/>
        </w:rPr>
        <w:t xml:space="preserve">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01.01.ГГГГ)</w:t>
      </w:r>
      <w:bookmarkEnd w:id="617"/>
      <w:bookmarkEnd w:id="618"/>
    </w:p>
    <w:p w:rsidR="008F708E" w:rsidRDefault="008F708E" w:rsidP="008F708E">
      <w:pPr>
        <w:pStyle w:val="af0"/>
        <w:keepNext/>
      </w:pPr>
      <w:r>
        <w:t xml:space="preserve">Правила формирования показателей представлены в таблице </w:t>
      </w:r>
      <w:r>
        <w:fldChar w:fldCharType="begin"/>
      </w:r>
      <w:r>
        <w:instrText xml:space="preserve"> REF табл10 \h </w:instrText>
      </w:r>
      <w:r>
        <w:fldChar w:fldCharType="separate"/>
      </w:r>
      <w:r w:rsidR="00BF0BEE">
        <w:rPr>
          <w:noProof/>
        </w:rPr>
        <w:t>22</w:t>
      </w:r>
      <w:r>
        <w:fldChar w:fldCharType="end"/>
      </w:r>
      <w:r>
        <w:t>.</w:t>
      </w:r>
    </w:p>
    <w:p w:rsidR="008F708E" w:rsidRPr="00A71A7F" w:rsidRDefault="008F708E" w:rsidP="008F708E">
      <w:pPr>
        <w:pStyle w:val="-"/>
      </w:pPr>
      <w:bookmarkStart w:id="619" w:name="_Toc80789113"/>
      <w:bookmarkStart w:id="620" w:name="_Toc119585163"/>
      <w:r>
        <w:t xml:space="preserve">Таблица </w:t>
      </w:r>
      <w:bookmarkStart w:id="621" w:name="табл10"/>
      <w:r>
        <w:fldChar w:fldCharType="begin"/>
      </w:r>
      <w:r>
        <w:instrText xml:space="preserve"> SEQ Таблица \* ARABIC </w:instrText>
      </w:r>
      <w:r>
        <w:fldChar w:fldCharType="separate"/>
      </w:r>
      <w:r w:rsidR="00BF0BEE">
        <w:rPr>
          <w:noProof/>
        </w:rPr>
        <w:t>22</w:t>
      </w:r>
      <w:r>
        <w:fldChar w:fldCharType="end"/>
      </w:r>
      <w:bookmarkEnd w:id="621"/>
      <w:r w:rsidRPr="00A71A7F">
        <w:t xml:space="preserve"> – </w:t>
      </w:r>
      <w:r>
        <w:t>Показатели представления</w:t>
      </w:r>
      <w:r w:rsidRPr="00A71A7F">
        <w:t xml:space="preserve"> «По ГАБС - Расходы»</w:t>
      </w:r>
      <w:bookmarkEnd w:id="619"/>
      <w:bookmarkEnd w:id="620"/>
    </w:p>
    <w:tbl>
      <w:tblPr>
        <w:tblW w:w="946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662"/>
      </w:tblGrid>
      <w:tr w:rsidR="008F708E" w:rsidRPr="00F74B35" w:rsidTr="008F708E">
        <w:trPr>
          <w:tblHeader/>
        </w:trPr>
        <w:tc>
          <w:tcPr>
            <w:tcW w:w="2801"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6662"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rPr>
          <w:trHeight w:val="3863"/>
        </w:trPr>
        <w:tc>
          <w:tcPr>
            <w:tcW w:w="2801" w:type="dxa"/>
            <w:shd w:val="clear" w:color="auto" w:fill="auto"/>
          </w:tcPr>
          <w:p w:rsidR="008F708E" w:rsidRDefault="008F708E" w:rsidP="008F708E">
            <w:pPr>
              <w:pStyle w:val="af0"/>
              <w:ind w:firstLine="0"/>
              <w:jc w:val="left"/>
              <w:rPr>
                <w:color w:val="auto"/>
                <w:sz w:val="24"/>
                <w:szCs w:val="24"/>
              </w:rPr>
            </w:pPr>
            <w:r>
              <w:rPr>
                <w:color w:val="auto"/>
                <w:sz w:val="24"/>
                <w:szCs w:val="24"/>
              </w:rPr>
              <w:t>ГРБС</w:t>
            </w:r>
          </w:p>
        </w:tc>
        <w:tc>
          <w:tcPr>
            <w:tcW w:w="6662" w:type="dxa"/>
            <w:shd w:val="clear" w:color="auto" w:fill="auto"/>
          </w:tcPr>
          <w:p w:rsidR="008F708E" w:rsidRPr="009E2CDD" w:rsidRDefault="008F708E" w:rsidP="008F708E">
            <w:pPr>
              <w:pStyle w:val="af0"/>
              <w:ind w:firstLine="0"/>
              <w:jc w:val="left"/>
              <w:rPr>
                <w:color w:val="auto"/>
                <w:sz w:val="24"/>
                <w:szCs w:val="24"/>
              </w:rPr>
            </w:pPr>
            <w:r w:rsidRPr="009E2CDD">
              <w:rPr>
                <w:color w:val="auto"/>
                <w:sz w:val="24"/>
                <w:szCs w:val="24"/>
              </w:rPr>
              <w:t>Колонка содержит:</w:t>
            </w:r>
          </w:p>
          <w:p w:rsidR="008F708E" w:rsidRPr="009E2CDD" w:rsidRDefault="008F708E" w:rsidP="005C6E50">
            <w:pPr>
              <w:pStyle w:val="af0"/>
              <w:numPr>
                <w:ilvl w:val="0"/>
                <w:numId w:val="119"/>
              </w:numPr>
              <w:jc w:val="left"/>
              <w:rPr>
                <w:color w:val="auto"/>
                <w:sz w:val="24"/>
                <w:szCs w:val="24"/>
              </w:rPr>
            </w:pPr>
            <w:r>
              <w:rPr>
                <w:color w:val="auto"/>
                <w:sz w:val="24"/>
                <w:szCs w:val="24"/>
              </w:rPr>
              <w:t xml:space="preserve">Всего - </w:t>
            </w:r>
            <w:r w:rsidRPr="009E2CDD">
              <w:rPr>
                <w:color w:val="auto"/>
                <w:sz w:val="24"/>
                <w:szCs w:val="24"/>
              </w:rPr>
              <w:t>итоговая строка по показателям;</w:t>
            </w:r>
          </w:p>
          <w:p w:rsidR="008F708E" w:rsidRDefault="008F708E" w:rsidP="005C6E50">
            <w:pPr>
              <w:pStyle w:val="af0"/>
              <w:numPr>
                <w:ilvl w:val="0"/>
                <w:numId w:val="119"/>
              </w:numPr>
              <w:jc w:val="left"/>
              <w:rPr>
                <w:color w:val="auto"/>
                <w:sz w:val="24"/>
                <w:szCs w:val="24"/>
              </w:rPr>
            </w:pPr>
            <w:r w:rsidRPr="009E2CDD">
              <w:rPr>
                <w:color w:val="auto"/>
                <w:sz w:val="24"/>
                <w:szCs w:val="24"/>
              </w:rPr>
              <w:t>Герб, код, наименование ГРБ</w:t>
            </w:r>
            <w:r>
              <w:rPr>
                <w:color w:val="auto"/>
                <w:sz w:val="24"/>
                <w:szCs w:val="24"/>
              </w:rPr>
              <w:t>С;</w:t>
            </w:r>
          </w:p>
          <w:p w:rsidR="008F708E" w:rsidRPr="009E2CDD" w:rsidRDefault="008F708E" w:rsidP="005C6E50">
            <w:pPr>
              <w:pStyle w:val="af0"/>
              <w:numPr>
                <w:ilvl w:val="0"/>
                <w:numId w:val="119"/>
              </w:numPr>
              <w:jc w:val="left"/>
              <w:rPr>
                <w:color w:val="auto"/>
                <w:sz w:val="24"/>
                <w:szCs w:val="24"/>
              </w:rPr>
            </w:pPr>
            <w:r>
              <w:rPr>
                <w:color w:val="auto"/>
                <w:sz w:val="24"/>
                <w:szCs w:val="24"/>
              </w:rPr>
              <w:t>Прогресс - отображает размер значения показателя «Процент исполнения».</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9E2CDD">
              <w:rPr>
                <w:color w:val="auto"/>
                <w:sz w:val="24"/>
                <w:szCs w:val="24"/>
              </w:rPr>
              <w:t xml:space="preserve">Значение «000 - Иные» (значения по закрытым цепочкам КБК) не выводится в </w:t>
            </w:r>
            <w:r>
              <w:rPr>
                <w:color w:val="auto"/>
                <w:sz w:val="24"/>
                <w:szCs w:val="24"/>
              </w:rPr>
              <w:t>строки, но учитывается в строке «Всего».</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Pr>
                <w:color w:val="auto"/>
                <w:sz w:val="24"/>
                <w:szCs w:val="24"/>
              </w:rPr>
              <w:t xml:space="preserve">С колонки </w:t>
            </w:r>
            <w:r w:rsidRPr="00434A5F">
              <w:rPr>
                <w:color w:val="auto"/>
                <w:sz w:val="24"/>
                <w:szCs w:val="24"/>
              </w:rPr>
              <w:t xml:space="preserve">осуществляется переход по </w:t>
            </w:r>
            <w:r>
              <w:rPr>
                <w:color w:val="auto"/>
                <w:sz w:val="24"/>
                <w:szCs w:val="24"/>
              </w:rPr>
              <w:t>хинту</w:t>
            </w:r>
            <w:r w:rsidRPr="00434A5F">
              <w:rPr>
                <w:color w:val="auto"/>
                <w:sz w:val="24"/>
                <w:szCs w:val="24"/>
              </w:rPr>
              <w:t xml:space="preserve"> «Подробнее» в представление «</w:t>
            </w:r>
            <w:r>
              <w:rPr>
                <w:color w:val="auto"/>
                <w:sz w:val="24"/>
                <w:szCs w:val="24"/>
              </w:rPr>
              <w:t xml:space="preserve">По </w:t>
            </w:r>
            <w:r w:rsidRPr="00434A5F">
              <w:rPr>
                <w:color w:val="auto"/>
                <w:sz w:val="24"/>
                <w:szCs w:val="24"/>
              </w:rPr>
              <w:t>Г</w:t>
            </w:r>
            <w:r>
              <w:rPr>
                <w:color w:val="auto"/>
                <w:sz w:val="24"/>
                <w:szCs w:val="24"/>
              </w:rPr>
              <w:t>РБС</w:t>
            </w:r>
            <w:r w:rsidRPr="00434A5F">
              <w:rPr>
                <w:color w:val="auto"/>
                <w:sz w:val="24"/>
                <w:szCs w:val="24"/>
              </w:rPr>
              <w:t>» отчета «</w:t>
            </w:r>
            <w:r>
              <w:rPr>
                <w:color w:val="auto"/>
                <w:sz w:val="24"/>
                <w:szCs w:val="24"/>
              </w:rPr>
              <w:t>Расходы федерального бюджета</w:t>
            </w:r>
            <w:r w:rsidRPr="00434A5F">
              <w:rPr>
                <w:color w:val="auto"/>
                <w:sz w:val="24"/>
                <w:szCs w:val="24"/>
              </w:rPr>
              <w:t xml:space="preserve">» с передачей фильтров: «По состоянию на», «Год», «Вице-премьер», </w:t>
            </w:r>
            <w:r>
              <w:rPr>
                <w:color w:val="auto"/>
                <w:sz w:val="24"/>
                <w:szCs w:val="24"/>
              </w:rPr>
              <w:t xml:space="preserve">«ГРБС», </w:t>
            </w:r>
            <w:r w:rsidRPr="00434A5F">
              <w:rPr>
                <w:color w:val="auto"/>
                <w:sz w:val="24"/>
                <w:szCs w:val="24"/>
              </w:rPr>
              <w:t>«Единицы измерения».</w:t>
            </w:r>
          </w:p>
        </w:tc>
      </w:tr>
      <w:tr w:rsidR="008F708E" w:rsidRPr="00D8033B" w:rsidTr="008F708E">
        <w:tc>
          <w:tcPr>
            <w:tcW w:w="2801" w:type="dxa"/>
            <w:shd w:val="clear" w:color="auto" w:fill="auto"/>
          </w:tcPr>
          <w:p w:rsidR="008F708E" w:rsidRPr="0032031B" w:rsidRDefault="008F708E" w:rsidP="008F708E">
            <w:pPr>
              <w:pStyle w:val="af0"/>
              <w:ind w:firstLine="0"/>
              <w:jc w:val="left"/>
              <w:rPr>
                <w:color w:val="auto"/>
                <w:sz w:val="24"/>
                <w:szCs w:val="24"/>
              </w:rPr>
            </w:pPr>
            <w:r>
              <w:rPr>
                <w:color w:val="auto"/>
                <w:sz w:val="24"/>
                <w:szCs w:val="24"/>
              </w:rPr>
              <w:t>Роспись</w:t>
            </w:r>
          </w:p>
        </w:tc>
        <w:tc>
          <w:tcPr>
            <w:tcW w:w="6662" w:type="dxa"/>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«ГАБС» установлено значение «Все»</w:t>
            </w:r>
            <w:r>
              <w:rPr>
                <w:i/>
                <w:color w:val="auto"/>
                <w:sz w:val="24"/>
                <w:szCs w:val="24"/>
              </w:rPr>
              <w:t>.</w:t>
            </w:r>
          </w:p>
          <w:p w:rsidR="008F708E" w:rsidRPr="00343316" w:rsidRDefault="008F708E" w:rsidP="008F708E">
            <w:pPr>
              <w:pStyle w:val="af0"/>
              <w:ind w:firstLine="0"/>
              <w:jc w:val="left"/>
              <w:rPr>
                <w:color w:val="auto"/>
                <w:sz w:val="24"/>
                <w:szCs w:val="24"/>
              </w:rPr>
            </w:pPr>
            <w:r>
              <w:rPr>
                <w:color w:val="auto"/>
                <w:sz w:val="24"/>
                <w:szCs w:val="24"/>
              </w:rPr>
              <w:t xml:space="preserve">В строке «Всего» </w:t>
            </w:r>
            <w:r w:rsidRPr="00F71EF4">
              <w:rPr>
                <w:color w:val="auto"/>
                <w:sz w:val="24"/>
                <w:szCs w:val="24"/>
              </w:rPr>
              <w:t>выводится значение из источника</w:t>
            </w:r>
            <w:r w:rsidRPr="00343316">
              <w:rPr>
                <w:color w:val="auto"/>
                <w:sz w:val="24"/>
                <w:szCs w:val="24"/>
              </w:rPr>
              <w:t>:</w:t>
            </w:r>
          </w:p>
          <w:p w:rsidR="008F708E" w:rsidRDefault="008F708E" w:rsidP="008F708E">
            <w:pPr>
              <w:pStyle w:val="af0"/>
              <w:ind w:firstLine="0"/>
              <w:jc w:val="left"/>
              <w:rPr>
                <w:color w:val="auto"/>
                <w:sz w:val="24"/>
                <w:szCs w:val="24"/>
              </w:rPr>
            </w:pPr>
            <w:r w:rsidRPr="00284D1D">
              <w:rPr>
                <w:color w:val="auto"/>
                <w:sz w:val="24"/>
                <w:szCs w:val="24"/>
              </w:rPr>
              <w:t>АСФК, форма 0504072, раздел «4 Расходы КВР»</w:t>
            </w:r>
            <w:r>
              <w:rPr>
                <w:color w:val="auto"/>
                <w:sz w:val="24"/>
                <w:szCs w:val="24"/>
              </w:rPr>
              <w:t xml:space="preserve"> (с закрытой частью)</w:t>
            </w:r>
            <w:r w:rsidRPr="00284D1D">
              <w:rPr>
                <w:color w:val="auto"/>
                <w:sz w:val="24"/>
                <w:szCs w:val="24"/>
              </w:rPr>
              <w:t xml:space="preserve">, </w:t>
            </w:r>
            <w:r>
              <w:rPr>
                <w:color w:val="auto"/>
                <w:sz w:val="24"/>
                <w:szCs w:val="24"/>
              </w:rPr>
              <w:t>показатель</w:t>
            </w:r>
            <w:r w:rsidRPr="00284D1D">
              <w:rPr>
                <w:color w:val="auto"/>
                <w:sz w:val="24"/>
                <w:szCs w:val="24"/>
              </w:rPr>
              <w:t xml:space="preserve"> «Утверждено БА»</w:t>
            </w:r>
            <w:r>
              <w:rPr>
                <w:color w:val="auto"/>
                <w:sz w:val="24"/>
                <w:szCs w:val="24"/>
              </w:rPr>
              <w:t>.</w:t>
            </w:r>
          </w:p>
          <w:p w:rsidR="008F708E" w:rsidRDefault="008F708E" w:rsidP="008F708E">
            <w:pPr>
              <w:jc w:val="left"/>
            </w:pPr>
            <w:r>
              <w:t xml:space="preserve">В строках по ГАДБ </w:t>
            </w:r>
            <w:r>
              <w:rPr>
                <w:color w:val="auto"/>
                <w:szCs w:val="24"/>
              </w:rPr>
              <w:t>выводится значение из источника:</w:t>
            </w:r>
          </w:p>
          <w:p w:rsidR="008F708E" w:rsidRDefault="008F708E" w:rsidP="008F708E">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Pr>
                <w:i/>
                <w:color w:val="auto"/>
                <w:sz w:val="24"/>
                <w:szCs w:val="24"/>
              </w:rPr>
              <w:t>В параметрах «Вице-премьер» и/ил</w:t>
            </w:r>
            <w:r w:rsidRPr="00343316">
              <w:rPr>
                <w:i/>
                <w:color w:val="auto"/>
                <w:sz w:val="24"/>
                <w:szCs w:val="24"/>
              </w:rPr>
              <w:t>и «ГАБС» установлены значения не равные значению «Все».</w:t>
            </w:r>
          </w:p>
          <w:p w:rsidR="008F708E" w:rsidRDefault="008F708E" w:rsidP="008F708E">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p w:rsidR="008F708E" w:rsidRDefault="008F708E" w:rsidP="008F708E">
            <w:pPr>
              <w:jc w:val="left"/>
            </w:pPr>
          </w:p>
          <w:p w:rsidR="008F708E" w:rsidRPr="00D8033B" w:rsidRDefault="008F708E" w:rsidP="008F708E">
            <w:pPr>
              <w:jc w:val="left"/>
            </w:pPr>
            <w:r>
              <w:t>Сортировка таблицы по умолчанию: по убыванию значений в колонке «Роспись».</w:t>
            </w:r>
          </w:p>
        </w:tc>
      </w:tr>
      <w:tr w:rsidR="008F708E" w:rsidRPr="00D8033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Кассовый план</w:t>
            </w:r>
          </w:p>
        </w:tc>
        <w:tc>
          <w:tcPr>
            <w:tcW w:w="6662" w:type="dxa"/>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«ГАБС» установлено з</w:t>
            </w:r>
            <w:r>
              <w:rPr>
                <w:i/>
                <w:color w:val="auto"/>
                <w:sz w:val="24"/>
                <w:szCs w:val="24"/>
              </w:rPr>
              <w:t>начение «Все».</w:t>
            </w:r>
          </w:p>
          <w:p w:rsidR="008F708E" w:rsidRDefault="008F708E" w:rsidP="008F708E">
            <w:pPr>
              <w:pStyle w:val="af0"/>
              <w:ind w:firstLine="0"/>
              <w:jc w:val="left"/>
              <w:rPr>
                <w:color w:val="auto"/>
                <w:sz w:val="24"/>
                <w:szCs w:val="24"/>
              </w:rPr>
            </w:pPr>
            <w:r>
              <w:rPr>
                <w:color w:val="auto"/>
                <w:sz w:val="24"/>
                <w:szCs w:val="24"/>
              </w:rPr>
              <w:t>В строке «Всего» выводится значение из источника:</w:t>
            </w:r>
          </w:p>
          <w:p w:rsidR="008F708E" w:rsidRPr="0032031B" w:rsidRDefault="008F708E" w:rsidP="008F708E">
            <w:pPr>
              <w:pStyle w:val="af0"/>
              <w:ind w:firstLine="0"/>
              <w:jc w:val="left"/>
              <w:rPr>
                <w:color w:val="auto"/>
                <w:sz w:val="24"/>
                <w:szCs w:val="24"/>
              </w:rPr>
            </w:pPr>
            <w:r w:rsidRPr="0032031B">
              <w:rPr>
                <w:color w:val="auto"/>
                <w:sz w:val="24"/>
                <w:szCs w:val="24"/>
              </w:rPr>
              <w:t xml:space="preserve">ПБП, форма 0501043, показатель «Кассовые поступления по </w:t>
            </w:r>
            <w:r>
              <w:rPr>
                <w:color w:val="auto"/>
                <w:sz w:val="24"/>
                <w:szCs w:val="24"/>
              </w:rPr>
              <w:t>расходам</w:t>
            </w:r>
            <w:r w:rsidRPr="0032031B">
              <w:rPr>
                <w:color w:val="auto"/>
                <w:sz w:val="24"/>
                <w:szCs w:val="24"/>
              </w:rPr>
              <w:t xml:space="preserve"> – всего», графа «Итого за год»</w:t>
            </w:r>
            <w:r>
              <w:rPr>
                <w:color w:val="auto"/>
                <w:sz w:val="24"/>
                <w:szCs w:val="24"/>
              </w:rPr>
              <w:t>.</w:t>
            </w:r>
          </w:p>
          <w:p w:rsidR="008F708E" w:rsidRDefault="008F708E" w:rsidP="008F708E">
            <w:pPr>
              <w:jc w:val="left"/>
            </w:pPr>
            <w:r>
              <w:t xml:space="preserve">В строках по ГРБС </w:t>
            </w:r>
            <w:r>
              <w:rPr>
                <w:color w:val="auto"/>
                <w:szCs w:val="24"/>
              </w:rPr>
              <w:t>выводится значение из источника:</w:t>
            </w:r>
          </w:p>
          <w:p w:rsidR="008F708E" w:rsidRDefault="008F708E" w:rsidP="008F708E">
            <w:pPr>
              <w:pStyle w:val="af0"/>
              <w:ind w:firstLine="0"/>
              <w:jc w:val="left"/>
              <w:rPr>
                <w:color w:val="auto"/>
                <w:sz w:val="24"/>
                <w:szCs w:val="24"/>
              </w:rPr>
            </w:pPr>
            <w:r w:rsidRPr="0032031B">
              <w:rPr>
                <w:color w:val="auto"/>
                <w:sz w:val="24"/>
                <w:szCs w:val="24"/>
              </w:rPr>
              <w:t xml:space="preserve">ПБП, форма </w:t>
            </w:r>
            <w:r>
              <w:rPr>
                <w:color w:val="auto"/>
                <w:sz w:val="24"/>
                <w:szCs w:val="24"/>
              </w:rPr>
              <w:t>05001089</w:t>
            </w:r>
            <w:r w:rsidRPr="0032031B">
              <w:rPr>
                <w:color w:val="auto"/>
                <w:sz w:val="24"/>
                <w:szCs w:val="24"/>
              </w:rPr>
              <w:t>, графа «</w:t>
            </w:r>
            <w:r w:rsidRPr="00343316">
              <w:rPr>
                <w:color w:val="auto"/>
                <w:sz w:val="24"/>
                <w:szCs w:val="24"/>
              </w:rPr>
              <w:t>Бюджетные ассигнования по расходам федерального бюджета</w:t>
            </w:r>
            <w:r w:rsidRPr="0032031B">
              <w:rPr>
                <w:color w:val="auto"/>
                <w:sz w:val="24"/>
                <w:szCs w:val="24"/>
              </w:rPr>
              <w:t>».</w:t>
            </w:r>
          </w:p>
          <w:p w:rsidR="008F708E" w:rsidRDefault="008F708E" w:rsidP="008F708E">
            <w:pPr>
              <w:jc w:val="left"/>
              <w:rPr>
                <w:color w:val="auto"/>
                <w:szCs w:val="24"/>
              </w:rPr>
            </w:pPr>
          </w:p>
          <w:p w:rsidR="008F708E" w:rsidRPr="00343316" w:rsidRDefault="008F708E" w:rsidP="008F708E">
            <w:pPr>
              <w:jc w:val="left"/>
              <w:rPr>
                <w:i/>
              </w:rPr>
            </w:pPr>
            <w:r w:rsidRPr="00343316">
              <w:rPr>
                <w:i/>
              </w:rPr>
              <w:t>В параметре «Вице-премьер» установлены значения не равные значению «Все».</w:t>
            </w:r>
          </w:p>
          <w:p w:rsidR="008F708E" w:rsidRDefault="008F708E" w:rsidP="008F708E">
            <w:pPr>
              <w:jc w:val="left"/>
            </w:pPr>
            <w:r>
              <w:t xml:space="preserve">Показатель скрывается. </w:t>
            </w:r>
          </w:p>
          <w:p w:rsidR="008F708E" w:rsidRDefault="008F708E" w:rsidP="008F708E">
            <w:pPr>
              <w:jc w:val="left"/>
            </w:pPr>
          </w:p>
          <w:p w:rsidR="008F708E" w:rsidRDefault="008F708E" w:rsidP="008F708E">
            <w:pPr>
              <w:pStyle w:val="af0"/>
              <w:ind w:firstLine="0"/>
              <w:jc w:val="left"/>
              <w:rPr>
                <w:color w:val="auto"/>
                <w:sz w:val="24"/>
                <w:szCs w:val="24"/>
              </w:rPr>
            </w:pPr>
            <w:r>
              <w:rPr>
                <w:color w:val="auto"/>
                <w:sz w:val="24"/>
                <w:szCs w:val="24"/>
              </w:rPr>
              <w:t>По отдельным ГРБС, которые не предоставляют форму 05001089, показатель заполняется значение равным значению «Роспись».</w:t>
            </w:r>
          </w:p>
          <w:p w:rsidR="008F708E" w:rsidRDefault="008F708E" w:rsidP="008F708E">
            <w:pPr>
              <w:pStyle w:val="af0"/>
              <w:ind w:firstLine="0"/>
              <w:jc w:val="left"/>
              <w:rPr>
                <w:color w:val="auto"/>
                <w:sz w:val="24"/>
                <w:szCs w:val="24"/>
              </w:rPr>
            </w:pPr>
          </w:p>
          <w:p w:rsidR="008F708E" w:rsidRPr="0032031B" w:rsidRDefault="008F708E" w:rsidP="008F708E">
            <w:pPr>
              <w:pStyle w:val="af0"/>
              <w:ind w:firstLine="0"/>
              <w:jc w:val="left"/>
              <w:rPr>
                <w:color w:val="auto"/>
                <w:sz w:val="24"/>
                <w:szCs w:val="24"/>
              </w:rPr>
            </w:pPr>
            <w:r w:rsidRPr="003E229A">
              <w:rPr>
                <w:color w:val="auto"/>
                <w:sz w:val="24"/>
                <w:szCs w:val="24"/>
              </w:rPr>
              <w:t>При отсутствии данных по формам 0501043 и 0500108</w:t>
            </w:r>
            <w:r>
              <w:rPr>
                <w:color w:val="auto"/>
                <w:sz w:val="24"/>
                <w:szCs w:val="24"/>
              </w:rPr>
              <w:t>9</w:t>
            </w:r>
            <w:r w:rsidRPr="003E229A">
              <w:rPr>
                <w:color w:val="auto"/>
                <w:sz w:val="24"/>
                <w:szCs w:val="24"/>
              </w:rPr>
              <w:t xml:space="preserve">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xml:space="preserve">Факт </w:t>
            </w:r>
          </w:p>
        </w:tc>
        <w:tc>
          <w:tcPr>
            <w:tcW w:w="6662" w:type="dxa"/>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w:t>
            </w:r>
            <w:r>
              <w:rPr>
                <w:i/>
                <w:color w:val="auto"/>
                <w:sz w:val="24"/>
                <w:szCs w:val="24"/>
              </w:rPr>
              <w:t>БС» установлено значение «Все».</w:t>
            </w:r>
          </w:p>
          <w:p w:rsidR="008F708E" w:rsidRDefault="008F708E" w:rsidP="008F708E">
            <w:pPr>
              <w:pStyle w:val="af0"/>
              <w:ind w:firstLine="0"/>
              <w:jc w:val="left"/>
              <w:rPr>
                <w:color w:val="auto"/>
                <w:sz w:val="24"/>
                <w:szCs w:val="24"/>
              </w:rPr>
            </w:pPr>
            <w:r>
              <w:rPr>
                <w:color w:val="auto"/>
                <w:sz w:val="24"/>
                <w:szCs w:val="24"/>
              </w:rPr>
              <w:t>В строке «Всего» выводится значение из источника:</w:t>
            </w:r>
          </w:p>
          <w:p w:rsidR="008F708E" w:rsidRDefault="008F708E" w:rsidP="008F708E">
            <w:pPr>
              <w:pStyle w:val="af0"/>
              <w:ind w:firstLine="0"/>
              <w:jc w:val="left"/>
              <w:rPr>
                <w:color w:val="auto"/>
                <w:sz w:val="24"/>
                <w:szCs w:val="24"/>
              </w:rPr>
            </w:pPr>
            <w:r w:rsidRPr="0032031B">
              <w:rPr>
                <w:color w:val="auto"/>
                <w:sz w:val="24"/>
                <w:szCs w:val="24"/>
              </w:rPr>
              <w:t>АСФК, форма О_0504072, раздел «</w:t>
            </w:r>
            <w:r w:rsidRPr="00284D1D">
              <w:rPr>
                <w:color w:val="auto"/>
                <w:sz w:val="24"/>
                <w:szCs w:val="24"/>
              </w:rPr>
              <w:t>4 Расходы КВР</w:t>
            </w:r>
            <w:r>
              <w:rPr>
                <w:color w:val="auto"/>
                <w:sz w:val="24"/>
                <w:szCs w:val="24"/>
              </w:rPr>
              <w:t>» (с закрытой частью)</w:t>
            </w:r>
            <w:r w:rsidRPr="0032031B">
              <w:rPr>
                <w:color w:val="auto"/>
                <w:sz w:val="24"/>
                <w:szCs w:val="24"/>
              </w:rPr>
              <w:t>, показатель «Кассовое исполнение».</w:t>
            </w:r>
          </w:p>
          <w:p w:rsidR="008F708E" w:rsidRDefault="008F708E" w:rsidP="008F708E">
            <w:pPr>
              <w:pStyle w:val="af0"/>
              <w:ind w:firstLine="0"/>
              <w:jc w:val="left"/>
              <w:rPr>
                <w:color w:val="auto"/>
                <w:sz w:val="24"/>
                <w:szCs w:val="24"/>
              </w:rPr>
            </w:pPr>
          </w:p>
          <w:p w:rsidR="008F708E" w:rsidRDefault="008F708E" w:rsidP="008F708E">
            <w:pPr>
              <w:jc w:val="left"/>
            </w:pPr>
            <w:r>
              <w:t xml:space="preserve">В строках по ГРБС </w:t>
            </w:r>
            <w:r>
              <w:rPr>
                <w:color w:val="auto"/>
                <w:szCs w:val="24"/>
              </w:rPr>
              <w:t>выводится значение из источника:</w:t>
            </w:r>
          </w:p>
          <w:p w:rsidR="008F708E" w:rsidRDefault="008F708E" w:rsidP="008F708E">
            <w:pPr>
              <w:pStyle w:val="af0"/>
              <w:ind w:firstLine="0"/>
              <w:jc w:val="left"/>
              <w:rPr>
                <w:color w:val="auto"/>
                <w:sz w:val="24"/>
                <w:szCs w:val="24"/>
              </w:rPr>
            </w:pPr>
            <w:r w:rsidRPr="0032031B">
              <w:rPr>
                <w:color w:val="auto"/>
                <w:sz w:val="24"/>
                <w:szCs w:val="24"/>
              </w:rPr>
              <w:t>АСФК, форма О_0504072, раздел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2031B">
              <w:rPr>
                <w:color w:val="auto"/>
                <w:sz w:val="24"/>
                <w:szCs w:val="24"/>
              </w:rPr>
              <w:t>, показатель «Кассовое исполнение».</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параметрах «Вице-премьер» и «ГА</w:t>
            </w:r>
            <w:r>
              <w:rPr>
                <w:i/>
                <w:color w:val="auto"/>
                <w:sz w:val="24"/>
                <w:szCs w:val="24"/>
              </w:rPr>
              <w:t>БС» установлено значение не равное значению «Все».</w:t>
            </w:r>
          </w:p>
          <w:p w:rsidR="008F708E" w:rsidRDefault="008F708E" w:rsidP="008F708E">
            <w:pPr>
              <w:jc w:val="left"/>
            </w:pPr>
            <w:r>
              <w:t xml:space="preserve">В строках по ГРБС </w:t>
            </w:r>
            <w:r>
              <w:rPr>
                <w:color w:val="auto"/>
                <w:szCs w:val="24"/>
              </w:rPr>
              <w:t>выводится значение из источника:</w:t>
            </w:r>
          </w:p>
          <w:p w:rsidR="008F708E" w:rsidRPr="0032031B" w:rsidRDefault="008F708E" w:rsidP="008F708E">
            <w:pPr>
              <w:pStyle w:val="af0"/>
              <w:ind w:firstLine="0"/>
              <w:jc w:val="left"/>
              <w:rPr>
                <w:color w:val="auto"/>
                <w:sz w:val="24"/>
                <w:szCs w:val="24"/>
              </w:rPr>
            </w:pPr>
            <w:r w:rsidRPr="0032031B">
              <w:rPr>
                <w:color w:val="auto"/>
                <w:sz w:val="24"/>
                <w:szCs w:val="24"/>
              </w:rPr>
              <w:t>АСФК, форма О_0504072, раздел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2031B">
              <w:rPr>
                <w:color w:val="auto"/>
                <w:sz w:val="24"/>
                <w:szCs w:val="24"/>
              </w:rPr>
              <w:t>, показатель «Кассовое исполнение».</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исполнения</w:t>
            </w:r>
          </w:p>
        </w:tc>
        <w:tc>
          <w:tcPr>
            <w:tcW w:w="6662"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w:t>
            </w:r>
            <w:r>
              <w:rPr>
                <w:color w:val="auto"/>
                <w:sz w:val="24"/>
                <w:szCs w:val="24"/>
              </w:rPr>
              <w:t>Роспись</w:t>
            </w:r>
            <w:r w:rsidRPr="0032031B">
              <w:rPr>
                <w:color w:val="auto"/>
                <w:sz w:val="24"/>
                <w:szCs w:val="24"/>
              </w:rPr>
              <w:t xml:space="preserve"> на ГГГГ год» * 100%.</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к прошлому году</w:t>
            </w:r>
          </w:p>
        </w:tc>
        <w:tc>
          <w:tcPr>
            <w:tcW w:w="6662"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Формула: «Факт на ДД.ММ.ГГГГ-1» * 100</w:t>
            </w:r>
          </w:p>
          <w:p w:rsidR="008F708E" w:rsidRPr="0032031B" w:rsidRDefault="008F708E" w:rsidP="008F708E">
            <w:pPr>
              <w:pStyle w:val="af0"/>
              <w:ind w:firstLine="0"/>
              <w:jc w:val="left"/>
              <w:rPr>
                <w:color w:val="auto"/>
                <w:sz w:val="24"/>
                <w:szCs w:val="24"/>
              </w:rPr>
            </w:pPr>
            <w:r w:rsidRPr="0032031B">
              <w:rPr>
                <w:color w:val="auto"/>
                <w:sz w:val="24"/>
                <w:szCs w:val="24"/>
              </w:rPr>
              <w:t>Если за день прошлого года ДД.ММ.ГГГГ-1 данных нет, то берутся данные с ближайшей предыдущей даты.</w:t>
            </w:r>
          </w:p>
          <w:p w:rsidR="008F708E" w:rsidRDefault="008F708E" w:rsidP="008F708E">
            <w:pPr>
              <w:pStyle w:val="af0"/>
              <w:ind w:firstLine="0"/>
              <w:jc w:val="left"/>
              <w:rPr>
                <w:color w:val="auto"/>
                <w:sz w:val="24"/>
                <w:szCs w:val="24"/>
              </w:rPr>
            </w:pPr>
            <w:r w:rsidRPr="0032031B">
              <w:rPr>
                <w:color w:val="auto"/>
                <w:sz w:val="24"/>
                <w:szCs w:val="24"/>
              </w:rPr>
              <w:t xml:space="preserve">Если результат расчета больше 0, то </w:t>
            </w:r>
            <w:r>
              <w:rPr>
                <w:color w:val="auto"/>
                <w:sz w:val="24"/>
                <w:szCs w:val="24"/>
              </w:rPr>
              <w:t xml:space="preserve">мини-индикатор «зеленая стрелка вверх», </w:t>
            </w:r>
            <w:r w:rsidRPr="0032031B">
              <w:rPr>
                <w:color w:val="auto"/>
                <w:sz w:val="24"/>
                <w:szCs w:val="24"/>
              </w:rPr>
              <w:t xml:space="preserve">если меньше 0, то </w:t>
            </w:r>
            <w:r>
              <w:rPr>
                <w:color w:val="auto"/>
                <w:sz w:val="24"/>
                <w:szCs w:val="24"/>
              </w:rPr>
              <w:t>мини-индикатор «красная стрелка вниз».</w:t>
            </w:r>
          </w:p>
          <w:p w:rsidR="008F708E" w:rsidRDefault="008F708E" w:rsidP="008F708E">
            <w:pPr>
              <w:pStyle w:val="af0"/>
              <w:ind w:firstLine="0"/>
              <w:jc w:val="left"/>
              <w:rPr>
                <w:color w:val="auto"/>
                <w:sz w:val="24"/>
                <w:szCs w:val="24"/>
              </w:rPr>
            </w:pPr>
          </w:p>
          <w:p w:rsidR="008F708E" w:rsidRPr="00343316" w:rsidRDefault="008F708E" w:rsidP="008F708E">
            <w:pPr>
              <w:jc w:val="left"/>
              <w:rPr>
                <w:i/>
              </w:rPr>
            </w:pPr>
            <w:r w:rsidRPr="00343316">
              <w:rPr>
                <w:i/>
              </w:rPr>
              <w:t>В параметре «Вице-премьер» установлены значения не равные значению «Все».</w:t>
            </w:r>
          </w:p>
          <w:p w:rsidR="008F708E" w:rsidRPr="00891F7B" w:rsidRDefault="008F708E" w:rsidP="008F708E">
            <w:pPr>
              <w:jc w:val="left"/>
            </w:pPr>
            <w:r>
              <w:t xml:space="preserve">Показатель скрывается. </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Pr>
                <w:color w:val="auto"/>
                <w:sz w:val="24"/>
                <w:szCs w:val="24"/>
              </w:rPr>
              <w:t>В резерве</w:t>
            </w:r>
          </w:p>
        </w:tc>
        <w:tc>
          <w:tcPr>
            <w:tcW w:w="6662" w:type="dxa"/>
            <w:shd w:val="clear" w:color="auto" w:fill="auto"/>
          </w:tcPr>
          <w:p w:rsidR="008F708E" w:rsidRPr="00BD5C4F" w:rsidRDefault="008F708E" w:rsidP="008F708E">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ED0E8D">
              <w:t>zlbo_fk</w:t>
            </w:r>
            <w:r w:rsidRPr="00F30B20">
              <w:t>»</w:t>
            </w:r>
            <w: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Pr>
                <w:color w:val="auto"/>
                <w:sz w:val="24"/>
                <w:szCs w:val="24"/>
              </w:rPr>
              <w:t>Факторы риска</w:t>
            </w:r>
          </w:p>
        </w:tc>
        <w:tc>
          <w:tcPr>
            <w:tcW w:w="6662" w:type="dxa"/>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Default="008F708E" w:rsidP="008F708E">
            <w:pPr>
              <w:pStyle w:val="af0"/>
              <w:ind w:firstLine="0"/>
              <w:jc w:val="left"/>
              <w:rPr>
                <w:color w:val="auto"/>
                <w:sz w:val="24"/>
                <w:szCs w:val="24"/>
              </w:rPr>
            </w:pPr>
            <w:r w:rsidRPr="007A1347">
              <w:rPr>
                <w:color w:val="auto"/>
                <w:sz w:val="24"/>
                <w:szCs w:val="24"/>
              </w:rPr>
              <w:t>«Заблокированные лимиты» ПЛЮС «Нераспределенные лимиты в срок» ПЛЮС «Не принятые обязательства в срок» ПЛЮС «Не исполнено в срок».</w:t>
            </w:r>
          </w:p>
          <w:p w:rsidR="008F708E" w:rsidRPr="00326F72" w:rsidRDefault="008F708E" w:rsidP="008F708E">
            <w:pPr>
              <w:pStyle w:val="af0"/>
              <w:ind w:firstLine="0"/>
              <w:jc w:val="left"/>
              <w:rPr>
                <w:i/>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Default="008F708E" w:rsidP="008F708E">
            <w:pPr>
              <w:pStyle w:val="af0"/>
              <w:ind w:firstLine="0"/>
              <w:jc w:val="left"/>
              <w:rPr>
                <w:color w:val="auto"/>
                <w:sz w:val="24"/>
                <w:szCs w:val="24"/>
              </w:rPr>
            </w:pPr>
            <w:r>
              <w:rPr>
                <w:color w:val="auto"/>
                <w:sz w:val="24"/>
                <w:szCs w:val="24"/>
              </w:rPr>
              <w:t>Отклонение от росписи</w:t>
            </w:r>
          </w:p>
        </w:tc>
        <w:tc>
          <w:tcPr>
            <w:tcW w:w="6662" w:type="dxa"/>
            <w:shd w:val="clear" w:color="auto" w:fill="auto"/>
          </w:tcPr>
          <w:p w:rsidR="008F708E" w:rsidRDefault="008F708E" w:rsidP="008F708E">
            <w:pPr>
              <w:pStyle w:val="af0"/>
              <w:ind w:firstLine="0"/>
              <w:jc w:val="left"/>
              <w:rPr>
                <w:color w:val="auto"/>
                <w:sz w:val="24"/>
                <w:szCs w:val="24"/>
              </w:rPr>
            </w:pPr>
            <w:r w:rsidRPr="0032031B">
              <w:rPr>
                <w:color w:val="auto"/>
                <w:sz w:val="24"/>
                <w:szCs w:val="24"/>
              </w:rPr>
              <w:t>Формула: «</w:t>
            </w:r>
            <w:r>
              <w:rPr>
                <w:color w:val="auto"/>
                <w:sz w:val="24"/>
                <w:szCs w:val="24"/>
              </w:rPr>
              <w:t xml:space="preserve">Роспись на </w:t>
            </w:r>
            <w:r w:rsidRPr="0032031B">
              <w:rPr>
                <w:color w:val="auto"/>
                <w:sz w:val="24"/>
                <w:szCs w:val="24"/>
              </w:rPr>
              <w:t>ГГГГ</w:t>
            </w:r>
            <w:r>
              <w:rPr>
                <w:color w:val="auto"/>
                <w:sz w:val="24"/>
                <w:szCs w:val="24"/>
              </w:rPr>
              <w:t xml:space="preserve"> год» МИНУС</w:t>
            </w:r>
            <w:r w:rsidRPr="0032031B">
              <w:rPr>
                <w:color w:val="auto"/>
                <w:sz w:val="24"/>
                <w:szCs w:val="24"/>
              </w:rPr>
              <w:t xml:space="preserve"> «</w:t>
            </w:r>
            <w:r>
              <w:rPr>
                <w:color w:val="auto"/>
                <w:sz w:val="24"/>
                <w:szCs w:val="24"/>
              </w:rPr>
              <w:t>Факт на ДД.ММ.ГГГГ».</w:t>
            </w:r>
          </w:p>
          <w:p w:rsidR="008F708E" w:rsidRPr="00326F72" w:rsidRDefault="008F708E" w:rsidP="008F708E">
            <w:pPr>
              <w:pStyle w:val="af0"/>
              <w:ind w:firstLine="0"/>
              <w:jc w:val="left"/>
              <w:rPr>
                <w:i/>
                <w:color w:val="auto"/>
                <w:sz w:val="24"/>
                <w:szCs w:val="24"/>
              </w:rPr>
            </w:pPr>
            <w:r w:rsidRPr="00BD5C4F">
              <w:rPr>
                <w:i/>
                <w:color w:val="auto"/>
                <w:sz w:val="24"/>
                <w:szCs w:val="24"/>
              </w:rPr>
              <w:t xml:space="preserve">Колонка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Заблокированные и нераспределенные лимиты</w:t>
            </w:r>
          </w:p>
        </w:tc>
        <w:tc>
          <w:tcPr>
            <w:tcW w:w="6662" w:type="dxa"/>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Default="008F708E" w:rsidP="008F708E">
            <w:pPr>
              <w:pStyle w:val="af0"/>
              <w:ind w:firstLine="0"/>
              <w:jc w:val="left"/>
              <w:rPr>
                <w:i/>
                <w:color w:val="auto"/>
                <w:sz w:val="24"/>
                <w:szCs w:val="24"/>
              </w:rPr>
            </w:pPr>
            <w:r w:rsidRPr="007A1347">
              <w:rPr>
                <w:color w:val="auto"/>
                <w:sz w:val="24"/>
                <w:szCs w:val="24"/>
              </w:rPr>
              <w:t>«Заблокированные лимиты» ПЛЮС «Нераспределенные лимиты в срок»</w:t>
            </w:r>
            <w:r>
              <w:rPr>
                <w:color w:val="auto"/>
                <w:sz w:val="24"/>
                <w:szCs w:val="24"/>
              </w:rPr>
              <w:t>.</w:t>
            </w:r>
          </w:p>
          <w:p w:rsidR="008F708E" w:rsidRPr="00326F72" w:rsidRDefault="008F708E" w:rsidP="008F708E">
            <w:pPr>
              <w:pStyle w:val="af0"/>
              <w:ind w:firstLine="0"/>
              <w:jc w:val="left"/>
              <w:rPr>
                <w:i/>
                <w:color w:val="auto"/>
                <w:sz w:val="24"/>
                <w:szCs w:val="24"/>
              </w:rPr>
            </w:pPr>
            <w:r w:rsidRPr="00BD5C4F">
              <w:rPr>
                <w:i/>
                <w:color w:val="auto"/>
                <w:sz w:val="24"/>
                <w:szCs w:val="24"/>
              </w:rPr>
              <w:t>Колонка расхлапывается</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Заблок. до заключения Минцифры</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w:t>
            </w:r>
            <w:r>
              <w:rPr>
                <w:color w:val="auto"/>
                <w:sz w:val="24"/>
                <w:szCs w:val="24"/>
              </w:rPr>
              <w:t>zlbo_mc</w:t>
            </w:r>
            <w:r w:rsidRPr="00423D09">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Заблок. до снятия ограничений ФАИП</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«zlbo_faip</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Индексация оплаты труда</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«zlbo_index</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tabs>
                <w:tab w:val="left" w:pos="4002"/>
              </w:tabs>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tabs>
                <w:tab w:val="left" w:pos="4002"/>
              </w:tabs>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Заблок. до утверждения НПА</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«zlbo_npa</w:t>
            </w:r>
            <w:r>
              <w:rPr>
                <w:color w:val="auto"/>
                <w:sz w:val="24"/>
                <w:szCs w:val="24"/>
              </w:rPr>
              <w:t xml:space="preserve">» ПЛЮС </w:t>
            </w:r>
            <w:r w:rsidRPr="00423D09">
              <w:rPr>
                <w:color w:val="auto"/>
                <w:sz w:val="24"/>
                <w:szCs w:val="24"/>
              </w:rPr>
              <w:t>«zlbo_etc</w:t>
            </w:r>
            <w:r>
              <w:rPr>
                <w:color w:val="auto"/>
                <w:sz w:val="24"/>
                <w:szCs w:val="24"/>
              </w:rPr>
              <w:t>» («</w:t>
            </w:r>
            <w:r w:rsidRPr="00BD5C4F">
              <w:rPr>
                <w:color w:val="auto"/>
                <w:sz w:val="24"/>
                <w:szCs w:val="24"/>
              </w:rPr>
              <w:t>Заблок</w:t>
            </w:r>
            <w:r>
              <w:rPr>
                <w:color w:val="auto"/>
                <w:sz w:val="24"/>
                <w:szCs w:val="24"/>
              </w:rPr>
              <w:t>ировано</w:t>
            </w:r>
            <w:r w:rsidRPr="00BD5C4F">
              <w:rPr>
                <w:color w:val="auto"/>
                <w:sz w:val="24"/>
                <w:szCs w:val="24"/>
              </w:rPr>
              <w:t xml:space="preserve"> до утверждения НПА</w:t>
            </w:r>
            <w:r>
              <w:rPr>
                <w:color w:val="auto"/>
                <w:sz w:val="24"/>
                <w:szCs w:val="24"/>
              </w:rPr>
              <w:t>» ПЛЮС «</w:t>
            </w:r>
            <w:r w:rsidRPr="00E37BD6">
              <w:rPr>
                <w:color w:val="auto"/>
                <w:sz w:val="24"/>
                <w:szCs w:val="24"/>
              </w:rPr>
              <w:t>Иное (в т.ч. не передано уведомление на утверждение ЛБО)</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BD5C4F">
              <w:rPr>
                <w:color w:val="auto"/>
                <w:sz w:val="24"/>
                <w:szCs w:val="24"/>
              </w:rPr>
              <w:t>Иное</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w:t>
            </w:r>
            <w:r w:rsidRPr="00E37BD6">
              <w:rPr>
                <w:color w:val="auto"/>
                <w:sz w:val="24"/>
                <w:szCs w:val="24"/>
              </w:rPr>
              <w:t>Роспись</w:t>
            </w:r>
            <w:r>
              <w:rPr>
                <w:color w:val="auto"/>
                <w:sz w:val="24"/>
                <w:szCs w:val="24"/>
              </w:rPr>
              <w:t>»</w:t>
            </w:r>
            <w:r w:rsidRPr="00E37BD6">
              <w:rPr>
                <w:color w:val="auto"/>
                <w:sz w:val="24"/>
                <w:szCs w:val="24"/>
              </w:rPr>
              <w:t xml:space="preserve"> - </w:t>
            </w:r>
            <w:r>
              <w:rPr>
                <w:color w:val="auto"/>
                <w:sz w:val="24"/>
                <w:szCs w:val="24"/>
              </w:rPr>
              <w:t>«</w:t>
            </w:r>
            <w:r w:rsidRPr="00E37BD6">
              <w:rPr>
                <w:color w:val="auto"/>
                <w:sz w:val="24"/>
                <w:szCs w:val="24"/>
              </w:rPr>
              <w:t>В резерве</w:t>
            </w:r>
            <w:r>
              <w:rPr>
                <w:color w:val="auto"/>
                <w:sz w:val="24"/>
                <w:szCs w:val="24"/>
              </w:rPr>
              <w:t>»</w:t>
            </w:r>
            <w:r w:rsidRPr="00E37BD6">
              <w:rPr>
                <w:color w:val="auto"/>
                <w:sz w:val="24"/>
                <w:szCs w:val="24"/>
              </w:rPr>
              <w:t xml:space="preserve"> - </w:t>
            </w:r>
            <w:r>
              <w:rPr>
                <w:color w:val="auto"/>
                <w:sz w:val="24"/>
                <w:szCs w:val="24"/>
              </w:rPr>
              <w:t>«</w:t>
            </w:r>
            <w:r w:rsidRPr="00E37BD6">
              <w:rPr>
                <w:color w:val="auto"/>
                <w:sz w:val="24"/>
                <w:szCs w:val="24"/>
              </w:rPr>
              <w:t>Заблокированные лимиты</w:t>
            </w:r>
            <w:r>
              <w:rPr>
                <w:color w:val="auto"/>
                <w:sz w:val="24"/>
                <w:szCs w:val="24"/>
              </w:rPr>
              <w:t>»</w:t>
            </w:r>
            <w:r w:rsidRPr="00E37BD6">
              <w:rPr>
                <w:color w:val="auto"/>
                <w:sz w:val="24"/>
                <w:szCs w:val="24"/>
              </w:rPr>
              <w:t xml:space="preserve"> – </w:t>
            </w:r>
            <w:r>
              <w:rPr>
                <w:color w:val="auto"/>
                <w:sz w:val="24"/>
                <w:szCs w:val="24"/>
              </w:rPr>
              <w:t>«</w:t>
            </w:r>
            <w:r w:rsidRPr="00E37BD6">
              <w:rPr>
                <w:color w:val="auto"/>
                <w:sz w:val="24"/>
                <w:szCs w:val="24"/>
              </w:rPr>
              <w:t>Доведенные лимиты</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Pr>
                <w:color w:val="auto"/>
                <w:sz w:val="24"/>
                <w:szCs w:val="24"/>
              </w:rPr>
              <w:t>Нераспределенные</w:t>
            </w:r>
            <w:r w:rsidRPr="00BD5C4F">
              <w:rPr>
                <w:color w:val="auto"/>
                <w:sz w:val="24"/>
                <w:szCs w:val="24"/>
              </w:rPr>
              <w:t xml:space="preserve"> в срок</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Расчет показателя описан в пункте </w:t>
            </w:r>
            <w:r>
              <w:rPr>
                <w:color w:val="auto"/>
                <w:sz w:val="24"/>
                <w:szCs w:val="24"/>
              </w:rPr>
              <w:fldChar w:fldCharType="begin"/>
            </w:r>
            <w:r>
              <w:rPr>
                <w:color w:val="auto"/>
                <w:sz w:val="24"/>
                <w:szCs w:val="24"/>
              </w:rPr>
              <w:instrText xml:space="preserve"> REF _Ref80300572 \n \h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3510D">
              <w:rPr>
                <w:color w:val="auto"/>
                <w:sz w:val="24"/>
                <w:szCs w:val="24"/>
              </w:rPr>
              <w:t>Не принятые обязательства в срок</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Расчет показателя описан в пункте </w:t>
            </w:r>
            <w:r>
              <w:rPr>
                <w:color w:val="auto"/>
                <w:sz w:val="24"/>
                <w:szCs w:val="24"/>
              </w:rPr>
              <w:fldChar w:fldCharType="begin"/>
            </w:r>
            <w:r>
              <w:rPr>
                <w:color w:val="auto"/>
                <w:sz w:val="24"/>
                <w:szCs w:val="24"/>
              </w:rPr>
              <w:instrText xml:space="preserve"> REF _Ref80300572 \n \h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Pr="0032031B" w:rsidRDefault="008F708E" w:rsidP="008F708E">
            <w:pPr>
              <w:pStyle w:val="af0"/>
              <w:ind w:firstLine="0"/>
              <w:jc w:val="left"/>
              <w:rPr>
                <w:color w:val="auto"/>
                <w:sz w:val="24"/>
                <w:szCs w:val="24"/>
              </w:rPr>
            </w:pPr>
            <w:r w:rsidRPr="00BD5C4F">
              <w:rPr>
                <w:i/>
                <w:color w:val="auto"/>
                <w:sz w:val="24"/>
                <w:szCs w:val="24"/>
              </w:rPr>
              <w:t>Колонка расхлапывается</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2A3E82">
              <w:rPr>
                <w:color w:val="auto"/>
                <w:sz w:val="24"/>
                <w:szCs w:val="24"/>
              </w:rPr>
              <w:t>Не заключены контракты</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i/>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2A3E82">
              <w:rPr>
                <w:color w:val="auto"/>
                <w:sz w:val="24"/>
                <w:szCs w:val="24"/>
              </w:rPr>
              <w:t>Не заключены согл. с субъектами РФ</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заключены огл. С ЮЛ</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заключены согл. с БУ/АУ на ГЗ</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611, 621, 614 и 624</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заключены согл с БУ/АУ на иные цели</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461, 462, 464, 465, 612, 613, 622, 623</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исполнено в срок</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Расчет показателя описан в пункте </w:t>
            </w:r>
            <w:r>
              <w:rPr>
                <w:color w:val="auto"/>
                <w:sz w:val="24"/>
                <w:szCs w:val="24"/>
              </w:rPr>
              <w:fldChar w:fldCharType="begin"/>
            </w:r>
            <w:r>
              <w:rPr>
                <w:color w:val="auto"/>
                <w:sz w:val="24"/>
                <w:szCs w:val="24"/>
              </w:rPr>
              <w:instrText xml:space="preserve"> REF _Ref80300572 \n \h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Pr="0032031B" w:rsidRDefault="008F708E" w:rsidP="008F708E">
            <w:pPr>
              <w:pStyle w:val="af0"/>
              <w:ind w:firstLine="0"/>
              <w:jc w:val="left"/>
              <w:rPr>
                <w:color w:val="auto"/>
                <w:sz w:val="24"/>
                <w:szCs w:val="24"/>
              </w:rPr>
            </w:pPr>
            <w:r w:rsidRPr="00BD5C4F">
              <w:rPr>
                <w:i/>
                <w:color w:val="auto"/>
                <w:sz w:val="24"/>
                <w:szCs w:val="24"/>
              </w:rPr>
              <w:t>Колонка расхлапывается</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2A3E82">
              <w:rPr>
                <w:color w:val="auto"/>
                <w:sz w:val="24"/>
                <w:szCs w:val="24"/>
              </w:rPr>
              <w:t>Не исполнены контракты</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в срок» по видам расходов </w:t>
            </w:r>
          </w:p>
          <w:p w:rsidR="008F708E" w:rsidRDefault="008F708E" w:rsidP="008F708E">
            <w:pPr>
              <w:pStyle w:val="af0"/>
              <w:ind w:firstLine="0"/>
              <w:jc w:val="left"/>
              <w:rPr>
                <w:color w:val="auto"/>
                <w:sz w:val="24"/>
                <w:szCs w:val="24"/>
              </w:rPr>
            </w:pPr>
            <w:r>
              <w:rPr>
                <w:color w:val="auto"/>
                <w:sz w:val="24"/>
                <w:szCs w:val="24"/>
              </w:rPr>
              <w:t>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i/>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2A3E82">
              <w:rPr>
                <w:color w:val="auto"/>
                <w:sz w:val="24"/>
                <w:szCs w:val="24"/>
              </w:rPr>
              <w:t>Не исполнены согл. с субъектами РФ</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в срок» по видам расходов </w:t>
            </w:r>
          </w:p>
          <w:p w:rsidR="008F708E" w:rsidRDefault="008F708E" w:rsidP="008F708E">
            <w:pPr>
              <w:pStyle w:val="af0"/>
              <w:ind w:firstLine="0"/>
              <w:jc w:val="left"/>
              <w:rPr>
                <w:color w:val="auto"/>
                <w:sz w:val="24"/>
                <w:szCs w:val="24"/>
              </w:rPr>
            </w:pPr>
            <w:r>
              <w:rPr>
                <w:color w:val="auto"/>
                <w:sz w:val="24"/>
                <w:szCs w:val="24"/>
              </w:rPr>
              <w:t>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2A3E82">
              <w:rPr>
                <w:color w:val="auto"/>
                <w:sz w:val="24"/>
                <w:szCs w:val="24"/>
              </w:rPr>
              <w:t>Не исполнены согл. с ЮЛ</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в срок» по видам расходов </w:t>
            </w:r>
          </w:p>
          <w:p w:rsidR="008F708E" w:rsidRDefault="008F708E" w:rsidP="008F708E">
            <w:pPr>
              <w:pStyle w:val="af0"/>
              <w:ind w:firstLine="0"/>
              <w:jc w:val="left"/>
              <w:rPr>
                <w:color w:val="auto"/>
                <w:sz w:val="24"/>
                <w:szCs w:val="24"/>
              </w:rPr>
            </w:pP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исполнены согл. с БУ/АУ на ГЗ</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в срок» по видам расходов </w:t>
            </w:r>
          </w:p>
          <w:p w:rsidR="008F708E" w:rsidRDefault="008F708E" w:rsidP="008F708E">
            <w:pPr>
              <w:pStyle w:val="af0"/>
              <w:ind w:firstLine="0"/>
              <w:jc w:val="left"/>
              <w:rPr>
                <w:color w:val="auto"/>
                <w:sz w:val="24"/>
                <w:szCs w:val="24"/>
              </w:rPr>
            </w:pPr>
            <w:r w:rsidRPr="007B5899">
              <w:rPr>
                <w:color w:val="auto"/>
                <w:sz w:val="24"/>
                <w:szCs w:val="24"/>
              </w:rPr>
              <w:t>611, 621, 614 и 624</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sidRPr="002A3E82">
              <w:rPr>
                <w:color w:val="auto"/>
                <w:sz w:val="24"/>
                <w:szCs w:val="24"/>
              </w:rPr>
              <w:t>Не исполнен согл. с БУ/АУ на иные цели</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в срок» по видам расходов </w:t>
            </w:r>
          </w:p>
          <w:p w:rsidR="008F708E" w:rsidRDefault="008F708E" w:rsidP="008F708E">
            <w:pPr>
              <w:pStyle w:val="af0"/>
              <w:ind w:firstLine="0"/>
              <w:jc w:val="left"/>
              <w:rPr>
                <w:color w:val="auto"/>
                <w:sz w:val="24"/>
                <w:szCs w:val="24"/>
              </w:rPr>
            </w:pPr>
            <w:r w:rsidRPr="007B5899">
              <w:rPr>
                <w:color w:val="auto"/>
                <w:sz w:val="24"/>
                <w:szCs w:val="24"/>
              </w:rPr>
              <w:t>461, 462, 464, 465, 612, 613, 622, 623</w:t>
            </w:r>
            <w:r>
              <w:rPr>
                <w:color w:val="auto"/>
                <w:sz w:val="24"/>
                <w:szCs w:val="24"/>
              </w:rPr>
              <w:t>.</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Колонка схлопнута по умолчанию</w:t>
            </w:r>
            <w:r>
              <w:rPr>
                <w:i/>
                <w:color w:val="auto"/>
                <w:sz w:val="24"/>
                <w:szCs w:val="24"/>
              </w:rPr>
              <w:t xml:space="preserve"> за колонкой «</w:t>
            </w:r>
            <w:r w:rsidRPr="00BD5C4F">
              <w:rPr>
                <w:i/>
                <w:color w:val="auto"/>
                <w:sz w:val="24"/>
                <w:szCs w:val="24"/>
              </w:rPr>
              <w:t>Заблокированные и нераспределенные лимит</w:t>
            </w:r>
            <w:r>
              <w:rPr>
                <w:i/>
                <w:color w:val="auto"/>
                <w:sz w:val="24"/>
                <w:szCs w:val="24"/>
              </w:rPr>
              <w:t>ы»</w:t>
            </w:r>
            <w:r>
              <w:rPr>
                <w:color w:val="auto"/>
                <w:sz w:val="24"/>
                <w:szCs w:val="24"/>
              </w:rPr>
              <w:t>.</w:t>
            </w: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скрывается при выборе в параметре «По состоянию на» значения равного значению 01.01.ГГГГ.</w:t>
            </w:r>
          </w:p>
        </w:tc>
      </w:tr>
      <w:tr w:rsidR="008F708E" w:rsidRPr="0032031B" w:rsidTr="008F708E">
        <w:tc>
          <w:tcPr>
            <w:tcW w:w="2801" w:type="dxa"/>
            <w:shd w:val="clear" w:color="auto" w:fill="auto"/>
          </w:tcPr>
          <w:p w:rsidR="008F708E" w:rsidRPr="002A3E82" w:rsidRDefault="008F708E" w:rsidP="008F708E">
            <w:pPr>
              <w:pStyle w:val="af0"/>
              <w:ind w:firstLine="0"/>
              <w:jc w:val="left"/>
              <w:rPr>
                <w:color w:val="auto"/>
                <w:sz w:val="24"/>
                <w:szCs w:val="24"/>
              </w:rPr>
            </w:pPr>
            <w:r>
              <w:rPr>
                <w:color w:val="auto"/>
                <w:sz w:val="24"/>
                <w:szCs w:val="24"/>
              </w:rPr>
              <w:t xml:space="preserve">Не исполнено по кассе </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«Роспись» МИНУС «Факт» МИНУС «В резерве» МИНУС «Заблокированные лимиты» МИНУС «Осталось распределить» МИНУС «Не принятые обязательства».</w:t>
            </w:r>
          </w:p>
          <w:p w:rsidR="008F708E" w:rsidRDefault="008F708E" w:rsidP="008F708E">
            <w:pPr>
              <w:pStyle w:val="af0"/>
              <w:ind w:firstLine="0"/>
              <w:jc w:val="left"/>
              <w:rPr>
                <w:color w:val="auto"/>
                <w:sz w:val="24"/>
                <w:szCs w:val="24"/>
              </w:rPr>
            </w:pPr>
          </w:p>
          <w:p w:rsidR="008F708E" w:rsidRPr="0032031B"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p>
        </w:tc>
      </w:tr>
    </w:tbl>
    <w:p w:rsidR="008F708E" w:rsidRDefault="008F708E" w:rsidP="00742DF0">
      <w:pPr>
        <w:pStyle w:val="42"/>
        <w:keepNext/>
        <w:rPr>
          <w:noProof/>
        </w:rPr>
      </w:pPr>
      <w:r w:rsidRPr="00742DF0">
        <w:t>Представление</w:t>
      </w:r>
      <w:r w:rsidRPr="00D536DC">
        <w:rPr>
          <w:noProof/>
          <w:lang w:val="en-US"/>
        </w:rPr>
        <w:t xml:space="preserve"> «По </w:t>
      </w:r>
      <w:r>
        <w:rPr>
          <w:noProof/>
        </w:rPr>
        <w:t>ГАБС - Доходы</w:t>
      </w:r>
      <w:r w:rsidRPr="00D536DC">
        <w:rPr>
          <w:noProof/>
          <w:lang w:val="en-US"/>
        </w:rPr>
        <w:t>»</w:t>
      </w:r>
    </w:p>
    <w:p w:rsidR="008F708E" w:rsidRDefault="008F708E" w:rsidP="008F708E">
      <w:pPr>
        <w:pStyle w:val="af0"/>
      </w:pPr>
      <w:r w:rsidRPr="000B4C41">
        <w:t>Представление «</w:t>
      </w:r>
      <w:r>
        <w:t>По ГАБС - Доходы</w:t>
      </w:r>
      <w:r w:rsidRPr="000B4C41">
        <w:t>» аналитического отчета «</w:t>
      </w:r>
      <w:r>
        <w:t>Бюджет</w:t>
      </w:r>
      <w:r w:rsidRPr="000B4C41">
        <w:t xml:space="preserve">» </w:t>
      </w:r>
      <w:r w:rsidR="00742DF0">
        <w:t xml:space="preserve">отображает </w:t>
      </w:r>
      <w:r w:rsidRPr="000B4C41">
        <w:t xml:space="preserve">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r>
        <w:t xml:space="preserve"> </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r>
        <w:t>Заголовок:</w:t>
      </w:r>
    </w:p>
    <w:p w:rsidR="008F708E" w:rsidRDefault="008F708E" w:rsidP="008F708E">
      <w:pPr>
        <w:pStyle w:val="af0"/>
      </w:pPr>
      <w:r>
        <w:t>В параметре «ГАБС» выбрано значение «Все»: Доходы федерального бюджета в разрезе ГАДБ.</w:t>
      </w:r>
    </w:p>
    <w:p w:rsidR="008F708E" w:rsidRDefault="008F708E" w:rsidP="008F708E">
      <w:pPr>
        <w:pStyle w:val="af0"/>
      </w:pPr>
      <w:r>
        <w:t xml:space="preserve">В параметре «ГАБС» выбраны значения не равные значению «Все»: Доходы федерального бюджета в разрезе ГАДБ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Например, Доходы федерального бюджета в разрезе ГАДБ по Министерство промышленности и торговли Российской Федерации +2 ГАБС.</w:t>
      </w:r>
    </w:p>
    <w:p w:rsidR="008F708E" w:rsidRDefault="008F708E" w:rsidP="008F708E">
      <w:pPr>
        <w:pStyle w:val="af0"/>
      </w:pPr>
      <w:r>
        <w:t>Дашборд состоит из таблицы.</w:t>
      </w:r>
    </w:p>
    <w:p w:rsidR="008F708E" w:rsidRDefault="008F708E" w:rsidP="008F708E">
      <w:pPr>
        <w:pStyle w:val="af0"/>
        <w:ind w:firstLine="0"/>
      </w:pPr>
      <w:r>
        <w:rPr>
          <w:noProof/>
          <w:snapToGrid/>
        </w:rPr>
        <w:drawing>
          <wp:inline distT="0" distB="0" distL="0" distR="0" wp14:anchorId="0B0D9DE5" wp14:editId="246F15FC">
            <wp:extent cx="6120130" cy="2542540"/>
            <wp:effectExtent l="0" t="0" r="0" b="0"/>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6120130" cy="2542540"/>
                    </a:xfrm>
                    <a:prstGeom prst="rect">
                      <a:avLst/>
                    </a:prstGeom>
                  </pic:spPr>
                </pic:pic>
              </a:graphicData>
            </a:graphic>
          </wp:inline>
        </w:drawing>
      </w:r>
    </w:p>
    <w:p w:rsidR="008F708E" w:rsidRPr="00AF0807" w:rsidRDefault="008F708E" w:rsidP="008F708E">
      <w:pPr>
        <w:pStyle w:val="-0"/>
        <w:rPr>
          <w:b/>
        </w:rPr>
      </w:pPr>
      <w:bookmarkStart w:id="622" w:name="_Toc80789129"/>
      <w:bookmarkStart w:id="623" w:name="_Toc119584332"/>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145</w:t>
      </w:r>
      <w:r>
        <w:rPr>
          <w:szCs w:val="28"/>
        </w:rPr>
        <w:fldChar w:fldCharType="end"/>
      </w:r>
      <w:r>
        <w:rPr>
          <w:szCs w:val="28"/>
        </w:rPr>
        <w:t xml:space="preserve"> – </w:t>
      </w:r>
      <w:r>
        <w:rPr>
          <w:rStyle w:val="af1"/>
        </w:rPr>
        <w:t>Макет борда «Бюджет», представление «По ГАБС - Доходы»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не равное значению 01.01.ГГГГ)</w:t>
      </w:r>
      <w:bookmarkEnd w:id="622"/>
      <w:bookmarkEnd w:id="623"/>
    </w:p>
    <w:p w:rsidR="008F708E" w:rsidRDefault="008F708E" w:rsidP="008F708E">
      <w:pPr>
        <w:pStyle w:val="af0"/>
      </w:pPr>
    </w:p>
    <w:p w:rsidR="008F708E" w:rsidRDefault="008F708E" w:rsidP="008F708E">
      <w:pPr>
        <w:pStyle w:val="af0"/>
        <w:ind w:firstLine="0"/>
      </w:pPr>
      <w:r>
        <w:rPr>
          <w:noProof/>
          <w:snapToGrid/>
        </w:rPr>
        <w:drawing>
          <wp:inline distT="0" distB="0" distL="0" distR="0" wp14:anchorId="54AB3C70" wp14:editId="483A7100">
            <wp:extent cx="6120130" cy="25228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a:stretch>
                      <a:fillRect/>
                    </a:stretch>
                  </pic:blipFill>
                  <pic:spPr>
                    <a:xfrm>
                      <a:off x="0" y="0"/>
                      <a:ext cx="6120130" cy="2522840"/>
                    </a:xfrm>
                    <a:prstGeom prst="rect">
                      <a:avLst/>
                    </a:prstGeom>
                  </pic:spPr>
                </pic:pic>
              </a:graphicData>
            </a:graphic>
          </wp:inline>
        </w:drawing>
      </w:r>
    </w:p>
    <w:p w:rsidR="008F708E" w:rsidRPr="00AF0807" w:rsidRDefault="008F708E" w:rsidP="008F708E">
      <w:pPr>
        <w:pStyle w:val="-0"/>
        <w:rPr>
          <w:b/>
        </w:rPr>
      </w:pPr>
      <w:bookmarkStart w:id="624" w:name="_Toc80789130"/>
      <w:bookmarkStart w:id="625" w:name="_Toc119584333"/>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146</w:t>
      </w:r>
      <w:r>
        <w:rPr>
          <w:szCs w:val="28"/>
        </w:rPr>
        <w:fldChar w:fldCharType="end"/>
      </w:r>
      <w:r>
        <w:rPr>
          <w:szCs w:val="28"/>
        </w:rPr>
        <w:t xml:space="preserve"> – </w:t>
      </w:r>
      <w:r>
        <w:rPr>
          <w:rStyle w:val="af1"/>
        </w:rPr>
        <w:t>Макет борда «Бюджет», представление «По ГАБС - Доходы»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01.01.ГГГГ)</w:t>
      </w:r>
      <w:bookmarkEnd w:id="624"/>
      <w:bookmarkEnd w:id="625"/>
    </w:p>
    <w:p w:rsidR="008F708E" w:rsidRDefault="008F708E" w:rsidP="008F708E">
      <w:pPr>
        <w:pStyle w:val="af0"/>
      </w:pPr>
    </w:p>
    <w:p w:rsidR="008F708E" w:rsidRDefault="008F708E" w:rsidP="008F708E">
      <w:pPr>
        <w:pStyle w:val="af0"/>
        <w:keepNext/>
        <w:pageBreakBefore/>
      </w:pPr>
      <w:r>
        <w:t xml:space="preserve">Показатели представления описаны в таблице </w:t>
      </w:r>
      <w:r>
        <w:fldChar w:fldCharType="begin"/>
      </w:r>
      <w:r>
        <w:instrText xml:space="preserve"> REF табл11 \h </w:instrText>
      </w:r>
      <w:r>
        <w:fldChar w:fldCharType="separate"/>
      </w:r>
      <w:r w:rsidR="00BF0BEE">
        <w:rPr>
          <w:noProof/>
        </w:rPr>
        <w:t>23</w:t>
      </w:r>
      <w:r>
        <w:fldChar w:fldCharType="end"/>
      </w:r>
      <w:r>
        <w:t>.</w:t>
      </w:r>
    </w:p>
    <w:p w:rsidR="008F708E" w:rsidRPr="00A71A7F" w:rsidRDefault="008F708E" w:rsidP="008F708E">
      <w:pPr>
        <w:pStyle w:val="-"/>
      </w:pPr>
      <w:bookmarkStart w:id="626" w:name="_Toc80789114"/>
      <w:bookmarkStart w:id="627" w:name="_Toc119585164"/>
      <w:r>
        <w:t xml:space="preserve">Таблица </w:t>
      </w:r>
      <w:bookmarkStart w:id="628" w:name="табл11"/>
      <w:r>
        <w:fldChar w:fldCharType="begin"/>
      </w:r>
      <w:r>
        <w:instrText xml:space="preserve"> SEQ Таблица \* ARABIC </w:instrText>
      </w:r>
      <w:r>
        <w:fldChar w:fldCharType="separate"/>
      </w:r>
      <w:r w:rsidR="00BF0BEE">
        <w:rPr>
          <w:noProof/>
        </w:rPr>
        <w:t>23</w:t>
      </w:r>
      <w:r>
        <w:fldChar w:fldCharType="end"/>
      </w:r>
      <w:bookmarkEnd w:id="628"/>
      <w:r>
        <w:t xml:space="preserve"> – Показатели </w:t>
      </w:r>
      <w:r w:rsidRPr="00A71A7F">
        <w:t>п</w:t>
      </w:r>
      <w:r w:rsidRPr="00A71A7F">
        <w:rPr>
          <w:noProof/>
        </w:rPr>
        <w:t>редставление «По ГАБС - Доходы»</w:t>
      </w:r>
      <w:bookmarkEnd w:id="626"/>
      <w:bookmarkEnd w:id="627"/>
    </w:p>
    <w:tbl>
      <w:tblPr>
        <w:tblW w:w="946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9"/>
        <w:gridCol w:w="5754"/>
      </w:tblGrid>
      <w:tr w:rsidR="008F708E" w:rsidRPr="00F74B35" w:rsidTr="008F708E">
        <w:trPr>
          <w:tblHeader/>
        </w:trPr>
        <w:tc>
          <w:tcPr>
            <w:tcW w:w="3709"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5754"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D8033B" w:rsidTr="008F708E">
        <w:trPr>
          <w:trHeight w:val="3863"/>
        </w:trPr>
        <w:tc>
          <w:tcPr>
            <w:tcW w:w="3709" w:type="dxa"/>
            <w:shd w:val="clear" w:color="auto" w:fill="auto"/>
          </w:tcPr>
          <w:p w:rsidR="008F708E" w:rsidRDefault="008F708E" w:rsidP="008F708E">
            <w:pPr>
              <w:pStyle w:val="af0"/>
              <w:ind w:firstLine="0"/>
              <w:jc w:val="left"/>
              <w:rPr>
                <w:color w:val="auto"/>
                <w:sz w:val="24"/>
                <w:szCs w:val="24"/>
              </w:rPr>
            </w:pPr>
            <w:r>
              <w:rPr>
                <w:color w:val="auto"/>
                <w:sz w:val="24"/>
                <w:szCs w:val="24"/>
              </w:rPr>
              <w:t>ГАДБ</w:t>
            </w:r>
          </w:p>
        </w:tc>
        <w:tc>
          <w:tcPr>
            <w:tcW w:w="5754" w:type="dxa"/>
            <w:shd w:val="clear" w:color="auto" w:fill="auto"/>
          </w:tcPr>
          <w:p w:rsidR="008F708E" w:rsidRPr="009E2CDD" w:rsidRDefault="008F708E" w:rsidP="008F708E">
            <w:pPr>
              <w:pStyle w:val="af0"/>
              <w:ind w:firstLine="0"/>
              <w:jc w:val="left"/>
              <w:rPr>
                <w:color w:val="auto"/>
                <w:sz w:val="24"/>
                <w:szCs w:val="24"/>
              </w:rPr>
            </w:pPr>
            <w:r w:rsidRPr="009E2CDD">
              <w:rPr>
                <w:color w:val="auto"/>
                <w:sz w:val="24"/>
                <w:szCs w:val="24"/>
              </w:rPr>
              <w:t>Колонка содержит:</w:t>
            </w:r>
          </w:p>
          <w:p w:rsidR="008F708E" w:rsidRPr="009E2CDD" w:rsidRDefault="008F708E" w:rsidP="005C6E50">
            <w:pPr>
              <w:pStyle w:val="af0"/>
              <w:numPr>
                <w:ilvl w:val="0"/>
                <w:numId w:val="119"/>
              </w:numPr>
              <w:jc w:val="left"/>
              <w:rPr>
                <w:color w:val="auto"/>
                <w:sz w:val="24"/>
                <w:szCs w:val="24"/>
              </w:rPr>
            </w:pPr>
            <w:r>
              <w:rPr>
                <w:color w:val="auto"/>
                <w:sz w:val="24"/>
                <w:szCs w:val="24"/>
              </w:rPr>
              <w:t xml:space="preserve">Всего - </w:t>
            </w:r>
            <w:r w:rsidRPr="009E2CDD">
              <w:rPr>
                <w:color w:val="auto"/>
                <w:sz w:val="24"/>
                <w:szCs w:val="24"/>
              </w:rPr>
              <w:t>итоговая строка по показателям;</w:t>
            </w:r>
          </w:p>
          <w:p w:rsidR="008F708E" w:rsidRDefault="008F708E" w:rsidP="005C6E50">
            <w:pPr>
              <w:pStyle w:val="af0"/>
              <w:numPr>
                <w:ilvl w:val="0"/>
                <w:numId w:val="119"/>
              </w:numPr>
              <w:jc w:val="left"/>
              <w:rPr>
                <w:color w:val="auto"/>
                <w:sz w:val="24"/>
                <w:szCs w:val="24"/>
              </w:rPr>
            </w:pPr>
            <w:r w:rsidRPr="009E2CDD">
              <w:rPr>
                <w:color w:val="auto"/>
                <w:sz w:val="24"/>
                <w:szCs w:val="24"/>
              </w:rPr>
              <w:t xml:space="preserve">Герб, код, наименование </w:t>
            </w:r>
            <w:r>
              <w:rPr>
                <w:color w:val="auto"/>
                <w:sz w:val="24"/>
                <w:szCs w:val="24"/>
              </w:rPr>
              <w:t>ГАДБ;</w:t>
            </w:r>
          </w:p>
          <w:p w:rsidR="008F708E" w:rsidRPr="009E2CDD" w:rsidRDefault="008F708E" w:rsidP="005C6E50">
            <w:pPr>
              <w:pStyle w:val="af0"/>
              <w:numPr>
                <w:ilvl w:val="0"/>
                <w:numId w:val="119"/>
              </w:numPr>
              <w:jc w:val="left"/>
              <w:rPr>
                <w:color w:val="auto"/>
                <w:sz w:val="24"/>
                <w:szCs w:val="24"/>
              </w:rPr>
            </w:pPr>
            <w:r>
              <w:rPr>
                <w:color w:val="auto"/>
                <w:sz w:val="24"/>
                <w:szCs w:val="24"/>
              </w:rPr>
              <w:t>Прогресс - отображает размер значения показателя «Процент исполнения».</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Pr>
                <w:color w:val="auto"/>
                <w:sz w:val="24"/>
                <w:szCs w:val="24"/>
              </w:rPr>
              <w:t xml:space="preserve">С колонки </w:t>
            </w:r>
            <w:r w:rsidRPr="00434A5F">
              <w:rPr>
                <w:color w:val="auto"/>
                <w:sz w:val="24"/>
                <w:szCs w:val="24"/>
              </w:rPr>
              <w:t xml:space="preserve">осуществляется переход </w:t>
            </w:r>
            <w:r>
              <w:rPr>
                <w:color w:val="auto"/>
                <w:sz w:val="24"/>
                <w:szCs w:val="24"/>
              </w:rPr>
              <w:t xml:space="preserve">«По КБК» </w:t>
            </w:r>
            <w:r w:rsidRPr="00434A5F">
              <w:rPr>
                <w:color w:val="auto"/>
                <w:sz w:val="24"/>
                <w:szCs w:val="24"/>
              </w:rPr>
              <w:t xml:space="preserve">по </w:t>
            </w:r>
            <w:r>
              <w:rPr>
                <w:color w:val="auto"/>
                <w:sz w:val="24"/>
                <w:szCs w:val="24"/>
              </w:rPr>
              <w:t>хинту</w:t>
            </w:r>
            <w:r w:rsidRPr="00434A5F">
              <w:rPr>
                <w:color w:val="auto"/>
                <w:sz w:val="24"/>
                <w:szCs w:val="24"/>
              </w:rPr>
              <w:t xml:space="preserve"> «Подробнее» в представление «</w:t>
            </w:r>
            <w:r>
              <w:rPr>
                <w:color w:val="auto"/>
                <w:sz w:val="24"/>
                <w:szCs w:val="24"/>
              </w:rPr>
              <w:t>По доходным источника - Таблица - По КД»</w:t>
            </w:r>
            <w:r w:rsidRPr="00434A5F">
              <w:rPr>
                <w:color w:val="auto"/>
                <w:sz w:val="24"/>
                <w:szCs w:val="24"/>
              </w:rPr>
              <w:t xml:space="preserve"> отчета «</w:t>
            </w:r>
            <w:r w:rsidRPr="00754CFD">
              <w:rPr>
                <w:color w:val="auto"/>
                <w:sz w:val="24"/>
                <w:szCs w:val="24"/>
              </w:rPr>
              <w:t>Исполнение плановых показателей по доходам федерального бюджета в динамике (по главным администраторам средств федерального бюджета и категориям доходов)</w:t>
            </w:r>
            <w:r w:rsidRPr="00434A5F">
              <w:rPr>
                <w:color w:val="auto"/>
                <w:sz w:val="24"/>
                <w:szCs w:val="24"/>
              </w:rPr>
              <w:t xml:space="preserve">» </w:t>
            </w:r>
            <w:r>
              <w:rPr>
                <w:color w:val="auto"/>
                <w:sz w:val="24"/>
                <w:szCs w:val="24"/>
              </w:rPr>
              <w:t>(</w:t>
            </w:r>
            <w:r w:rsidRPr="00C31AD9">
              <w:rPr>
                <w:color w:val="auto"/>
                <w:sz w:val="24"/>
                <w:szCs w:val="24"/>
              </w:rPr>
              <w:t>PIAO_110_001_report</w:t>
            </w:r>
            <w:r>
              <w:rPr>
                <w:color w:val="auto"/>
                <w:sz w:val="24"/>
                <w:szCs w:val="24"/>
              </w:rPr>
              <w:t xml:space="preserve">) </w:t>
            </w:r>
            <w:r w:rsidRPr="00434A5F">
              <w:rPr>
                <w:color w:val="auto"/>
                <w:sz w:val="24"/>
                <w:szCs w:val="24"/>
              </w:rPr>
              <w:t xml:space="preserve">с передачей фильтров: «По состоянию на», </w:t>
            </w:r>
            <w:r>
              <w:rPr>
                <w:color w:val="auto"/>
                <w:sz w:val="24"/>
                <w:szCs w:val="24"/>
              </w:rPr>
              <w:t xml:space="preserve">«ГРБС», </w:t>
            </w:r>
            <w:r w:rsidRPr="00434A5F">
              <w:rPr>
                <w:color w:val="auto"/>
                <w:sz w:val="24"/>
                <w:szCs w:val="24"/>
              </w:rPr>
              <w:t>«Единицы измерения».</w:t>
            </w:r>
          </w:p>
        </w:tc>
      </w:tr>
      <w:tr w:rsidR="008F708E" w:rsidRPr="00D8033B" w:rsidTr="008F708E">
        <w:tc>
          <w:tcPr>
            <w:tcW w:w="3709" w:type="dxa"/>
            <w:shd w:val="clear" w:color="auto" w:fill="auto"/>
          </w:tcPr>
          <w:p w:rsidR="008F708E" w:rsidRPr="0032031B" w:rsidRDefault="008F708E" w:rsidP="008F708E">
            <w:pPr>
              <w:pStyle w:val="af0"/>
              <w:ind w:firstLine="0"/>
              <w:jc w:val="left"/>
              <w:rPr>
                <w:color w:val="auto"/>
                <w:sz w:val="24"/>
                <w:szCs w:val="24"/>
              </w:rPr>
            </w:pPr>
            <w:r>
              <w:rPr>
                <w:color w:val="auto"/>
                <w:sz w:val="24"/>
                <w:szCs w:val="24"/>
              </w:rPr>
              <w:t>Прогноз</w:t>
            </w:r>
          </w:p>
        </w:tc>
        <w:tc>
          <w:tcPr>
            <w:tcW w:w="5754" w:type="dxa"/>
            <w:shd w:val="clear" w:color="auto" w:fill="auto"/>
          </w:tcPr>
          <w:p w:rsidR="008F708E" w:rsidRPr="00D8033B"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r>
              <w:t xml:space="preserve"> </w:t>
            </w:r>
          </w:p>
        </w:tc>
      </w:tr>
      <w:tr w:rsidR="008F708E" w:rsidRPr="00D8033B" w:rsidTr="008F708E">
        <w:tc>
          <w:tcPr>
            <w:tcW w:w="3709" w:type="dxa"/>
            <w:shd w:val="clear" w:color="auto" w:fill="auto"/>
          </w:tcPr>
          <w:p w:rsidR="008F708E" w:rsidRDefault="008F708E" w:rsidP="008F708E">
            <w:pPr>
              <w:pStyle w:val="af0"/>
              <w:ind w:firstLine="0"/>
              <w:jc w:val="left"/>
              <w:rPr>
                <w:color w:val="auto"/>
                <w:sz w:val="24"/>
                <w:szCs w:val="24"/>
              </w:rPr>
            </w:pPr>
            <w:r w:rsidRPr="00C31AD9">
              <w:rPr>
                <w:color w:val="auto"/>
                <w:sz w:val="24"/>
                <w:szCs w:val="24"/>
              </w:rPr>
              <w:t>Уточненный прогноз</w:t>
            </w:r>
          </w:p>
        </w:tc>
        <w:tc>
          <w:tcPr>
            <w:tcW w:w="5754" w:type="dxa"/>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установлено значение «Все». </w:t>
            </w:r>
          </w:p>
          <w:p w:rsidR="008F708E" w:rsidRDefault="008F708E" w:rsidP="008F708E">
            <w:pPr>
              <w:jc w:val="left"/>
            </w:pPr>
            <w:r>
              <w:t xml:space="preserve">В строке «Всего» </w:t>
            </w:r>
            <w:r>
              <w:rPr>
                <w:color w:val="auto"/>
                <w:szCs w:val="24"/>
              </w:rPr>
              <w:t>выводится значение по формуле:</w:t>
            </w:r>
          </w:p>
          <w:p w:rsidR="008F708E"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p>
          <w:p w:rsidR="008F708E" w:rsidRDefault="008F708E" w:rsidP="008F708E">
            <w:pPr>
              <w:jc w:val="left"/>
            </w:pPr>
            <w:r>
              <w:t>ПЛЮС</w:t>
            </w:r>
          </w:p>
          <w:p w:rsidR="008F708E" w:rsidRDefault="008F708E" w:rsidP="008F708E">
            <w:pPr>
              <w:pStyle w:val="af0"/>
              <w:ind w:firstLine="0"/>
              <w:jc w:val="left"/>
              <w:rPr>
                <w:color w:val="auto"/>
                <w:sz w:val="24"/>
                <w:szCs w:val="24"/>
              </w:rPr>
            </w:pPr>
            <w:r w:rsidRPr="0032031B">
              <w:rPr>
                <w:color w:val="auto"/>
                <w:sz w:val="24"/>
                <w:szCs w:val="24"/>
              </w:rPr>
              <w:t>Уточнения, связанные с принятием отдельных НПА</w:t>
            </w:r>
            <w:r>
              <w:rPr>
                <w:color w:val="auto"/>
                <w:sz w:val="24"/>
                <w:szCs w:val="24"/>
              </w:rPr>
              <w:t xml:space="preserve"> (в 2020 году на суммы </w:t>
            </w:r>
            <w:r w:rsidRPr="008D667B">
              <w:rPr>
                <w:color w:val="auto"/>
                <w:sz w:val="24"/>
                <w:szCs w:val="24"/>
              </w:rPr>
              <w:t>27 379 377 700 р</w:t>
            </w:r>
            <w:r>
              <w:rPr>
                <w:color w:val="auto"/>
                <w:sz w:val="24"/>
                <w:szCs w:val="24"/>
              </w:rPr>
              <w:t>уб., 17 131 321 700 руб., 2 000 </w:t>
            </w:r>
            <w:r w:rsidRPr="008D667B">
              <w:rPr>
                <w:color w:val="auto"/>
                <w:sz w:val="24"/>
                <w:szCs w:val="24"/>
              </w:rPr>
              <w:t xml:space="preserve">000 000 руб., 10 258 133 </w:t>
            </w:r>
            <w:r>
              <w:rPr>
                <w:color w:val="auto"/>
                <w:sz w:val="24"/>
                <w:szCs w:val="24"/>
              </w:rPr>
              <w:t>600 руб., 2 492 200 000 руб., 3 </w:t>
            </w:r>
            <w:r w:rsidRPr="008D667B">
              <w:rPr>
                <w:color w:val="auto"/>
                <w:sz w:val="24"/>
                <w:szCs w:val="24"/>
              </w:rPr>
              <w:t>588 300 000 руб., 1 066 047 652 500 руб., 730 607 600 руб.</w:t>
            </w:r>
            <w:r>
              <w:rPr>
                <w:color w:val="auto"/>
                <w:sz w:val="24"/>
                <w:szCs w:val="24"/>
              </w:rPr>
              <w:t>)</w:t>
            </w:r>
            <w:r w:rsidRPr="0032031B">
              <w:rPr>
                <w:color w:val="auto"/>
                <w:sz w:val="24"/>
                <w:szCs w:val="24"/>
              </w:rPr>
              <w:t>.</w:t>
            </w:r>
          </w:p>
          <w:p w:rsidR="008F708E" w:rsidRDefault="008F708E" w:rsidP="008F708E">
            <w:pPr>
              <w:jc w:val="left"/>
            </w:pPr>
            <w:r>
              <w:t xml:space="preserve">В строках по ГРБС </w:t>
            </w:r>
            <w:r>
              <w:rPr>
                <w:color w:val="auto"/>
                <w:szCs w:val="24"/>
              </w:rPr>
              <w:t>выводится значение из источника:</w:t>
            </w:r>
          </w:p>
          <w:p w:rsidR="008F708E" w:rsidRDefault="008F708E" w:rsidP="008F708E">
            <w:pPr>
              <w:jc w:val="left"/>
            </w:pPr>
            <w:r>
              <w:t xml:space="preserve">В строке «Всего» </w:t>
            </w:r>
            <w:r>
              <w:rPr>
                <w:color w:val="auto"/>
                <w:szCs w:val="24"/>
              </w:rPr>
              <w:t>выводится значение по формуле:</w:t>
            </w:r>
          </w:p>
          <w:p w:rsidR="008F708E"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r>
              <w:t>.</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установлены значения не равные значению «Все».</w:t>
            </w:r>
          </w:p>
          <w:p w:rsidR="008F708E" w:rsidRPr="00343316" w:rsidRDefault="008F708E" w:rsidP="008F708E">
            <w:pPr>
              <w:pStyle w:val="af0"/>
              <w:ind w:firstLine="0"/>
              <w:jc w:val="left"/>
              <w:rPr>
                <w:i/>
                <w:color w:val="auto"/>
                <w:sz w:val="24"/>
                <w:szCs w:val="24"/>
              </w:rPr>
            </w:pPr>
            <w:r w:rsidRPr="00F71EF4">
              <w:rPr>
                <w:color w:val="auto"/>
                <w:sz w:val="24"/>
                <w:szCs w:val="24"/>
              </w:rPr>
              <w:t>ПБП, форма 0501031, раздел «Прогноз доходов федерального бюджета», графа «сумма»</w:t>
            </w:r>
            <w:r>
              <w:t xml:space="preserve"> </w:t>
            </w:r>
          </w:p>
        </w:tc>
      </w:tr>
      <w:tr w:rsidR="008F708E" w:rsidRPr="00D8033B" w:rsidTr="008F708E">
        <w:tc>
          <w:tcPr>
            <w:tcW w:w="3709" w:type="dxa"/>
            <w:shd w:val="clear" w:color="auto" w:fill="auto"/>
          </w:tcPr>
          <w:p w:rsidR="008F708E" w:rsidRPr="00C31AD9" w:rsidRDefault="008F708E" w:rsidP="008F708E">
            <w:pPr>
              <w:pStyle w:val="af0"/>
              <w:ind w:firstLine="0"/>
              <w:jc w:val="left"/>
              <w:rPr>
                <w:color w:val="auto"/>
                <w:sz w:val="24"/>
                <w:szCs w:val="24"/>
              </w:rPr>
            </w:pPr>
            <w:r w:rsidRPr="00C31AD9">
              <w:rPr>
                <w:color w:val="auto"/>
                <w:sz w:val="24"/>
                <w:szCs w:val="24"/>
              </w:rPr>
              <w:t>Кассовый план ГАДБ</w:t>
            </w:r>
          </w:p>
        </w:tc>
        <w:tc>
          <w:tcPr>
            <w:tcW w:w="5754" w:type="dxa"/>
            <w:shd w:val="clear" w:color="auto" w:fill="auto"/>
          </w:tcPr>
          <w:p w:rsidR="008F708E" w:rsidRDefault="008F708E" w:rsidP="008F708E">
            <w:pPr>
              <w:pStyle w:val="af0"/>
              <w:ind w:firstLine="0"/>
              <w:jc w:val="left"/>
              <w:rPr>
                <w:i/>
                <w:color w:val="auto"/>
                <w:sz w:val="24"/>
                <w:szCs w:val="24"/>
              </w:rPr>
            </w:pPr>
            <w:r w:rsidRPr="00343316">
              <w:rPr>
                <w:i/>
                <w:color w:val="auto"/>
                <w:sz w:val="24"/>
                <w:szCs w:val="24"/>
              </w:rPr>
              <w:t>В параметре «ГАБС» установлено значение «Все».</w:t>
            </w:r>
          </w:p>
          <w:p w:rsidR="008F708E" w:rsidRDefault="008F708E" w:rsidP="008F708E">
            <w:pPr>
              <w:jc w:val="left"/>
            </w:pPr>
            <w:r>
              <w:t xml:space="preserve">В строке «Всего» </w:t>
            </w:r>
            <w:r>
              <w:rPr>
                <w:color w:val="auto"/>
                <w:szCs w:val="24"/>
              </w:rPr>
              <w:t>выводится значение из источника:</w:t>
            </w:r>
          </w:p>
          <w:p w:rsidR="008F708E" w:rsidRDefault="008F708E" w:rsidP="008F708E">
            <w:pPr>
              <w:pStyle w:val="af0"/>
              <w:ind w:firstLine="0"/>
              <w:jc w:val="left"/>
              <w:rPr>
                <w:color w:val="auto"/>
                <w:sz w:val="24"/>
                <w:szCs w:val="24"/>
              </w:rPr>
            </w:pPr>
            <w:r w:rsidRPr="0032031B">
              <w:rPr>
                <w:color w:val="auto"/>
                <w:sz w:val="24"/>
                <w:szCs w:val="24"/>
              </w:rPr>
              <w:t>ПБП, форма 0501043, показатель «Кассовые поступления по доходам – всего», графа «Итого за год»</w:t>
            </w:r>
            <w:r>
              <w:rPr>
                <w:color w:val="auto"/>
                <w:sz w:val="24"/>
                <w:szCs w:val="24"/>
              </w:rPr>
              <w:t>.</w:t>
            </w:r>
          </w:p>
          <w:p w:rsidR="008F708E" w:rsidRDefault="008F708E" w:rsidP="008F708E">
            <w:pPr>
              <w:pStyle w:val="af0"/>
              <w:ind w:firstLine="0"/>
              <w:jc w:val="left"/>
              <w:rPr>
                <w:color w:val="auto"/>
                <w:sz w:val="24"/>
                <w:szCs w:val="24"/>
              </w:rPr>
            </w:pPr>
            <w:r w:rsidRPr="007117AD">
              <w:rPr>
                <w:color w:val="auto"/>
                <w:sz w:val="24"/>
                <w:szCs w:val="24"/>
              </w:rPr>
              <w:t>В строках по ГРБС выводится значение</w:t>
            </w:r>
            <w:r>
              <w:rPr>
                <w:color w:val="auto"/>
                <w:sz w:val="24"/>
                <w:szCs w:val="24"/>
              </w:rPr>
              <w:t xml:space="preserve"> </w:t>
            </w:r>
            <w:r w:rsidRPr="007117AD">
              <w:rPr>
                <w:color w:val="auto"/>
                <w:sz w:val="24"/>
                <w:szCs w:val="24"/>
              </w:rPr>
              <w:t>из источника</w:t>
            </w:r>
            <w:r>
              <w:rPr>
                <w:color w:val="auto"/>
                <w:sz w:val="24"/>
                <w:szCs w:val="24"/>
              </w:rPr>
              <w:t>:</w:t>
            </w:r>
          </w:p>
          <w:p w:rsidR="008F708E" w:rsidRDefault="008F708E" w:rsidP="008F708E">
            <w:pPr>
              <w:pStyle w:val="af0"/>
              <w:ind w:firstLine="0"/>
              <w:jc w:val="left"/>
              <w:rPr>
                <w:color w:val="auto"/>
                <w:sz w:val="24"/>
                <w:szCs w:val="24"/>
              </w:rPr>
            </w:pPr>
            <w:r w:rsidRPr="0032031B">
              <w:rPr>
                <w:color w:val="auto"/>
                <w:sz w:val="24"/>
                <w:szCs w:val="24"/>
              </w:rPr>
              <w:t>ПБП, форма 05001083, графа «Сумма на год, всего».</w:t>
            </w:r>
          </w:p>
          <w:p w:rsidR="008F708E" w:rsidRDefault="008F708E" w:rsidP="008F708E">
            <w:pPr>
              <w:jc w:val="left"/>
            </w:pPr>
          </w:p>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установлены значения не равные значению «Все». </w:t>
            </w:r>
          </w:p>
          <w:p w:rsidR="008F708E" w:rsidRDefault="008F708E" w:rsidP="008F708E">
            <w:pPr>
              <w:pStyle w:val="af0"/>
              <w:ind w:firstLine="0"/>
              <w:jc w:val="left"/>
              <w:rPr>
                <w:color w:val="auto"/>
                <w:sz w:val="24"/>
                <w:szCs w:val="24"/>
              </w:rPr>
            </w:pPr>
            <w:r w:rsidRPr="0032031B">
              <w:rPr>
                <w:color w:val="auto"/>
                <w:sz w:val="24"/>
                <w:szCs w:val="24"/>
              </w:rPr>
              <w:t>ПБП, форма 05001083, графа «Сумма на год, всего».</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E229A">
              <w:rPr>
                <w:color w:val="auto"/>
                <w:sz w:val="24"/>
                <w:szCs w:val="24"/>
              </w:rPr>
              <w:t>При отсутствии данных по формам 0501043 и 05001083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8F708E" w:rsidRPr="00D8033B" w:rsidTr="008F708E">
        <w:tc>
          <w:tcPr>
            <w:tcW w:w="3709" w:type="dxa"/>
            <w:shd w:val="clear" w:color="auto" w:fill="auto"/>
          </w:tcPr>
          <w:p w:rsidR="008F708E" w:rsidRDefault="008F708E" w:rsidP="008F708E">
            <w:pPr>
              <w:pStyle w:val="af0"/>
              <w:ind w:firstLine="0"/>
              <w:jc w:val="left"/>
              <w:rPr>
                <w:color w:val="auto"/>
                <w:sz w:val="24"/>
                <w:szCs w:val="24"/>
              </w:rPr>
            </w:pPr>
            <w:r w:rsidRPr="00C31AD9">
              <w:rPr>
                <w:color w:val="auto"/>
                <w:sz w:val="24"/>
                <w:szCs w:val="24"/>
              </w:rPr>
              <w:t>Факт</w:t>
            </w:r>
          </w:p>
        </w:tc>
        <w:tc>
          <w:tcPr>
            <w:tcW w:w="5754" w:type="dxa"/>
            <w:shd w:val="clear" w:color="auto" w:fill="auto"/>
          </w:tcPr>
          <w:p w:rsidR="008F708E" w:rsidRPr="00343316" w:rsidRDefault="008F708E" w:rsidP="008F708E">
            <w:pPr>
              <w:pStyle w:val="af0"/>
              <w:ind w:firstLine="0"/>
              <w:jc w:val="left"/>
              <w:rPr>
                <w:i/>
                <w:color w:val="auto"/>
                <w:sz w:val="24"/>
                <w:szCs w:val="24"/>
              </w:rPr>
            </w:pPr>
            <w:r w:rsidRPr="0032031B">
              <w:rPr>
                <w:color w:val="auto"/>
                <w:sz w:val="24"/>
                <w:szCs w:val="24"/>
              </w:rPr>
              <w:t>АСФК, форма О_0504072, раздел «Доходы бюджета</w:t>
            </w:r>
            <w:r>
              <w:rPr>
                <w:color w:val="auto"/>
                <w:sz w:val="24"/>
                <w:szCs w:val="24"/>
              </w:rPr>
              <w:t>»</w:t>
            </w:r>
            <w:r w:rsidRPr="0032031B">
              <w:rPr>
                <w:color w:val="auto"/>
                <w:sz w:val="24"/>
                <w:szCs w:val="24"/>
              </w:rPr>
              <w:t>, показатель «Кассовое исполнение».</w:t>
            </w:r>
          </w:p>
        </w:tc>
      </w:tr>
      <w:tr w:rsidR="008F708E" w:rsidRPr="00D8033B" w:rsidTr="008F708E">
        <w:tc>
          <w:tcPr>
            <w:tcW w:w="3709" w:type="dxa"/>
            <w:shd w:val="clear" w:color="auto" w:fill="auto"/>
          </w:tcPr>
          <w:p w:rsidR="008F708E" w:rsidRDefault="008F708E" w:rsidP="008F708E">
            <w:pPr>
              <w:pStyle w:val="af0"/>
              <w:ind w:firstLine="0"/>
              <w:jc w:val="left"/>
              <w:rPr>
                <w:color w:val="auto"/>
                <w:sz w:val="24"/>
                <w:szCs w:val="24"/>
              </w:rPr>
            </w:pPr>
            <w:r>
              <w:rPr>
                <w:color w:val="auto"/>
                <w:sz w:val="24"/>
                <w:szCs w:val="24"/>
              </w:rPr>
              <w:t>Процент</w:t>
            </w:r>
            <w:r w:rsidRPr="00C31AD9">
              <w:rPr>
                <w:color w:val="auto"/>
                <w:sz w:val="24"/>
                <w:szCs w:val="24"/>
              </w:rPr>
              <w:t xml:space="preserve"> исполнения</w:t>
            </w:r>
          </w:p>
        </w:tc>
        <w:tc>
          <w:tcPr>
            <w:tcW w:w="5754" w:type="dxa"/>
            <w:shd w:val="clear" w:color="auto" w:fill="auto"/>
          </w:tcPr>
          <w:p w:rsidR="008F708E" w:rsidRPr="00343316" w:rsidRDefault="008F708E" w:rsidP="008F708E">
            <w:pPr>
              <w:pStyle w:val="af0"/>
              <w:ind w:firstLine="0"/>
              <w:jc w:val="left"/>
              <w:rPr>
                <w:i/>
                <w:color w:val="auto"/>
                <w:sz w:val="24"/>
                <w:szCs w:val="24"/>
              </w:rPr>
            </w:pPr>
            <w:r w:rsidRPr="0032031B">
              <w:rPr>
                <w:color w:val="auto"/>
                <w:sz w:val="24"/>
                <w:szCs w:val="24"/>
              </w:rPr>
              <w:t>Формула: «Факт на ДД.ММ.ГГГГ» / «Уточненный прогноз на ГГГГ год» * 100%.</w:t>
            </w:r>
          </w:p>
        </w:tc>
      </w:tr>
      <w:tr w:rsidR="008F708E" w:rsidRPr="00D8033B" w:rsidTr="008F708E">
        <w:tc>
          <w:tcPr>
            <w:tcW w:w="3709" w:type="dxa"/>
            <w:shd w:val="clear" w:color="auto" w:fill="auto"/>
          </w:tcPr>
          <w:p w:rsidR="008F708E" w:rsidRDefault="008F708E" w:rsidP="008F708E">
            <w:pPr>
              <w:pStyle w:val="af0"/>
              <w:ind w:firstLine="0"/>
              <w:jc w:val="left"/>
              <w:rPr>
                <w:color w:val="auto"/>
                <w:sz w:val="24"/>
                <w:szCs w:val="24"/>
              </w:rPr>
            </w:pPr>
            <w:r w:rsidRPr="00C31AD9">
              <w:rPr>
                <w:color w:val="auto"/>
                <w:sz w:val="24"/>
                <w:szCs w:val="24"/>
              </w:rPr>
              <w:t>К прошлому году</w:t>
            </w:r>
          </w:p>
        </w:tc>
        <w:tc>
          <w:tcPr>
            <w:tcW w:w="5754" w:type="dxa"/>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Формула: «Факт на ДД.ММ.ГГГГ» / Формула: «Факт на ДД.ММ.ГГГГ-1» * 100</w:t>
            </w:r>
          </w:p>
          <w:p w:rsidR="008F708E" w:rsidRPr="0032031B" w:rsidRDefault="008F708E" w:rsidP="008F708E">
            <w:pPr>
              <w:pStyle w:val="af0"/>
              <w:ind w:firstLine="0"/>
              <w:jc w:val="left"/>
              <w:rPr>
                <w:color w:val="auto"/>
                <w:sz w:val="24"/>
                <w:szCs w:val="24"/>
              </w:rPr>
            </w:pPr>
            <w:r w:rsidRPr="0032031B">
              <w:rPr>
                <w:color w:val="auto"/>
                <w:sz w:val="24"/>
                <w:szCs w:val="24"/>
              </w:rPr>
              <w:t>Если за день прошлого года ДД.ММ.ГГГГ-1 данных нет, то берутся данные с ближайшей предыдущей даты.</w:t>
            </w:r>
          </w:p>
          <w:p w:rsidR="008F708E" w:rsidRPr="00F71EF4" w:rsidRDefault="008F708E" w:rsidP="008F708E">
            <w:pPr>
              <w:pStyle w:val="af0"/>
              <w:ind w:firstLine="0"/>
              <w:jc w:val="left"/>
              <w:rPr>
                <w:color w:val="auto"/>
                <w:sz w:val="24"/>
                <w:szCs w:val="24"/>
              </w:rPr>
            </w:pPr>
            <w:r w:rsidRPr="0032031B">
              <w:rPr>
                <w:color w:val="auto"/>
                <w:sz w:val="24"/>
                <w:szCs w:val="24"/>
              </w:rPr>
              <w:t xml:space="preserve">Если результат расчета больше 0, то </w:t>
            </w:r>
            <w:r>
              <w:rPr>
                <w:color w:val="auto"/>
                <w:sz w:val="24"/>
                <w:szCs w:val="24"/>
              </w:rPr>
              <w:t xml:space="preserve">мини-индикатор «зеленая стрелка вверх», </w:t>
            </w:r>
            <w:r w:rsidRPr="0032031B">
              <w:rPr>
                <w:color w:val="auto"/>
                <w:sz w:val="24"/>
                <w:szCs w:val="24"/>
              </w:rPr>
              <w:t xml:space="preserve">если меньше 0, то </w:t>
            </w:r>
            <w:r>
              <w:rPr>
                <w:color w:val="auto"/>
                <w:sz w:val="24"/>
                <w:szCs w:val="24"/>
              </w:rPr>
              <w:t>мини-индикатор «красная стрелка вниз».</w:t>
            </w:r>
          </w:p>
        </w:tc>
      </w:tr>
      <w:tr w:rsidR="008F708E" w:rsidRPr="00D8033B" w:rsidTr="008F708E">
        <w:tc>
          <w:tcPr>
            <w:tcW w:w="3709" w:type="dxa"/>
            <w:shd w:val="clear" w:color="auto" w:fill="auto"/>
          </w:tcPr>
          <w:p w:rsidR="008F708E" w:rsidRDefault="008F708E" w:rsidP="008F708E">
            <w:pPr>
              <w:pStyle w:val="af0"/>
              <w:ind w:firstLine="0"/>
              <w:jc w:val="left"/>
              <w:rPr>
                <w:color w:val="auto"/>
                <w:sz w:val="24"/>
                <w:szCs w:val="24"/>
              </w:rPr>
            </w:pPr>
            <w:r w:rsidRPr="00C31AD9">
              <w:rPr>
                <w:color w:val="auto"/>
                <w:sz w:val="24"/>
                <w:szCs w:val="24"/>
              </w:rPr>
              <w:t>Недоисполнение/перевыполнение</w:t>
            </w:r>
          </w:p>
        </w:tc>
        <w:tc>
          <w:tcPr>
            <w:tcW w:w="5754" w:type="dxa"/>
            <w:shd w:val="clear" w:color="auto" w:fill="auto"/>
          </w:tcPr>
          <w:p w:rsidR="008F708E" w:rsidRPr="00357C7A" w:rsidRDefault="008F708E" w:rsidP="008F708E">
            <w:pPr>
              <w:pStyle w:val="af0"/>
              <w:ind w:firstLine="0"/>
              <w:jc w:val="left"/>
              <w:rPr>
                <w:color w:val="auto"/>
                <w:sz w:val="24"/>
                <w:szCs w:val="24"/>
              </w:rPr>
            </w:pPr>
            <w:r w:rsidRPr="00357C7A">
              <w:rPr>
                <w:color w:val="auto"/>
                <w:sz w:val="24"/>
                <w:szCs w:val="24"/>
              </w:rPr>
              <w:t>Формула:</w:t>
            </w:r>
          </w:p>
          <w:p w:rsidR="008F708E" w:rsidRPr="00357C7A" w:rsidRDefault="008F708E" w:rsidP="008F708E">
            <w:pPr>
              <w:pStyle w:val="af0"/>
              <w:ind w:firstLine="0"/>
              <w:jc w:val="left"/>
              <w:rPr>
                <w:color w:val="auto"/>
                <w:sz w:val="24"/>
                <w:szCs w:val="24"/>
              </w:rPr>
            </w:pPr>
            <w:r w:rsidRPr="00357C7A">
              <w:rPr>
                <w:color w:val="auto"/>
                <w:sz w:val="24"/>
                <w:szCs w:val="24"/>
              </w:rPr>
              <w:t>«Кассовый план ГАДБ на ГГГГ год» МИНУС «Уточненный прогноз на ГГГГ год».</w:t>
            </w:r>
          </w:p>
          <w:p w:rsidR="008F708E" w:rsidRPr="00357C7A"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Pr>
                <w:color w:val="auto"/>
                <w:sz w:val="24"/>
                <w:szCs w:val="24"/>
              </w:rPr>
              <w:t>Мини-индикатор «Круг</w:t>
            </w:r>
            <w:r w:rsidRPr="00357C7A">
              <w:rPr>
                <w:color w:val="auto"/>
                <w:sz w:val="24"/>
                <w:szCs w:val="24"/>
              </w:rPr>
              <w:t>»</w:t>
            </w:r>
            <w:r>
              <w:rPr>
                <w:color w:val="auto"/>
                <w:sz w:val="24"/>
                <w:szCs w:val="24"/>
              </w:rPr>
              <w:t>:</w:t>
            </w:r>
          </w:p>
          <w:p w:rsidR="008F708E" w:rsidRDefault="008F708E" w:rsidP="008F708E">
            <w:pPr>
              <w:pStyle w:val="af0"/>
              <w:ind w:firstLine="0"/>
              <w:jc w:val="left"/>
              <w:rPr>
                <w:color w:val="auto"/>
                <w:sz w:val="24"/>
                <w:szCs w:val="24"/>
              </w:rPr>
            </w:pPr>
            <w:r>
              <w:rPr>
                <w:color w:val="auto"/>
                <w:sz w:val="24"/>
                <w:szCs w:val="24"/>
              </w:rPr>
              <w:t>«Не выводится» - е</w:t>
            </w:r>
            <w:r w:rsidRPr="00357C7A">
              <w:rPr>
                <w:color w:val="auto"/>
                <w:sz w:val="24"/>
                <w:szCs w:val="24"/>
              </w:rPr>
              <w:t xml:space="preserve">сли результат расчета </w:t>
            </w:r>
            <w:r>
              <w:rPr>
                <w:color w:val="auto"/>
                <w:sz w:val="24"/>
                <w:szCs w:val="24"/>
              </w:rPr>
              <w:t>0;</w:t>
            </w:r>
          </w:p>
          <w:p w:rsidR="008F708E" w:rsidRDefault="008F708E" w:rsidP="008F708E">
            <w:pPr>
              <w:pStyle w:val="af0"/>
              <w:ind w:firstLine="0"/>
              <w:jc w:val="left"/>
              <w:rPr>
                <w:color w:val="auto"/>
                <w:sz w:val="24"/>
                <w:szCs w:val="24"/>
              </w:rPr>
            </w:pPr>
            <w:r>
              <w:rPr>
                <w:color w:val="auto"/>
                <w:sz w:val="24"/>
                <w:szCs w:val="24"/>
              </w:rPr>
              <w:t>«Зелены» - е</w:t>
            </w:r>
            <w:r w:rsidRPr="00357C7A">
              <w:rPr>
                <w:color w:val="auto"/>
                <w:sz w:val="24"/>
                <w:szCs w:val="24"/>
              </w:rPr>
              <w:t xml:space="preserve">сли результат расчета </w:t>
            </w:r>
            <w:r>
              <w:rPr>
                <w:color w:val="auto"/>
                <w:sz w:val="24"/>
                <w:szCs w:val="24"/>
              </w:rPr>
              <w:t>больше 0;</w:t>
            </w:r>
          </w:p>
          <w:p w:rsidR="008F708E" w:rsidRPr="00343316" w:rsidRDefault="008F708E" w:rsidP="008F708E">
            <w:pPr>
              <w:pStyle w:val="af0"/>
              <w:ind w:firstLine="0"/>
              <w:jc w:val="left"/>
              <w:rPr>
                <w:i/>
                <w:color w:val="auto"/>
                <w:sz w:val="24"/>
                <w:szCs w:val="24"/>
              </w:rPr>
            </w:pPr>
            <w:r>
              <w:rPr>
                <w:color w:val="auto"/>
                <w:sz w:val="24"/>
                <w:szCs w:val="24"/>
              </w:rPr>
              <w:t>«Красный» - если результат расчета меньше нуля.</w:t>
            </w:r>
          </w:p>
        </w:tc>
      </w:tr>
    </w:tbl>
    <w:p w:rsidR="008F708E" w:rsidRDefault="008F708E" w:rsidP="00742DF0">
      <w:pPr>
        <w:pStyle w:val="42"/>
        <w:keepNext/>
        <w:rPr>
          <w:noProof/>
        </w:rPr>
      </w:pPr>
      <w:r w:rsidRPr="00D536DC">
        <w:rPr>
          <w:noProof/>
          <w:lang w:val="en-US"/>
        </w:rPr>
        <w:t xml:space="preserve">Представление «По </w:t>
      </w:r>
      <w:r>
        <w:rPr>
          <w:noProof/>
        </w:rPr>
        <w:t>видам расходов</w:t>
      </w:r>
      <w:r w:rsidRPr="00D536DC">
        <w:rPr>
          <w:noProof/>
          <w:lang w:val="en-US"/>
        </w:rPr>
        <w:t>»</w:t>
      </w:r>
    </w:p>
    <w:p w:rsidR="008F708E" w:rsidRDefault="008F708E" w:rsidP="008F708E">
      <w:pPr>
        <w:pStyle w:val="af0"/>
      </w:pPr>
      <w:r w:rsidRPr="000B4C41">
        <w:t>Представление «</w:t>
      </w:r>
      <w:r>
        <w:t>По видам расходов</w:t>
      </w:r>
      <w:r w:rsidRPr="000B4C41">
        <w:t>» аналитического отчета «</w:t>
      </w:r>
      <w:r>
        <w:t>Бюджет</w:t>
      </w:r>
      <w:r w:rsidRPr="000B4C41">
        <w:t>» отобража</w:t>
      </w:r>
      <w:r w:rsidR="00742DF0">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Вице-премьер:</w:t>
      </w:r>
    </w:p>
    <w:p w:rsidR="008F708E" w:rsidRDefault="008F708E" w:rsidP="008F708E">
      <w:pPr>
        <w:pStyle w:val="af0"/>
        <w:ind w:left="1211" w:firstLine="0"/>
      </w:pPr>
      <w:r>
        <w:t>Выпадающий список без множественного выбора.</w:t>
      </w:r>
    </w:p>
    <w:p w:rsidR="008F708E" w:rsidRDefault="008F708E" w:rsidP="008F708E">
      <w:pPr>
        <w:pStyle w:val="af0"/>
        <w:ind w:left="1211" w:firstLine="0"/>
      </w:pPr>
      <w:r>
        <w:t xml:space="preserve">Выводится ФИО вице-премьеров и значение «Иные» (цепочки КБК не курируемые вице-премьерами, а так же </w:t>
      </w:r>
      <w:r w:rsidRPr="004B39B3">
        <w:rPr>
          <w:snapToGrid/>
          <w:color w:val="auto"/>
          <w:szCs w:val="28"/>
        </w:rPr>
        <w:t>по закрытым сведениям, не расписанным по тонким цепочкам КБК</w:t>
      </w:r>
      <w:r>
        <w:t>).</w:t>
      </w:r>
    </w:p>
    <w:p w:rsidR="008F708E" w:rsidRDefault="008F708E" w:rsidP="008F708E">
      <w:pPr>
        <w:pStyle w:val="af0"/>
        <w:ind w:left="1211" w:firstLine="0"/>
      </w:pPr>
      <w:r w:rsidRPr="00380564">
        <w:t>При выборе ФИО вице-премьера значения фильтруются по открытым тонким цепочкам КБК, курируемым вице-премьерами на выбранную дату.</w:t>
      </w:r>
    </w:p>
    <w:p w:rsidR="008F708E" w:rsidRDefault="008F708E" w:rsidP="008F708E">
      <w:pPr>
        <w:pStyle w:val="af0"/>
        <w:ind w:left="1211" w:firstLine="0"/>
      </w:pPr>
      <w:r>
        <w:t>По умолчанию установлено значение «Все».</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r>
        <w:t xml:space="preserve"> Значение «000 - Иные» (значения по закрытым цепочкам КБК) не выводится в параметр, но суммы учитываются при выборе значения «Все».</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r>
        <w:t>Заголовок: Расходы федерального бюджета по видам расходов.</w:t>
      </w:r>
    </w:p>
    <w:p w:rsidR="008F708E" w:rsidRDefault="008F708E" w:rsidP="008F708E">
      <w:pPr>
        <w:pStyle w:val="af0"/>
        <w:keepNext/>
      </w:pPr>
      <w:r>
        <w:t>Дашборд состоит из блоков по каждой группе видов расходов:</w:t>
      </w:r>
    </w:p>
    <w:p w:rsidR="008F708E" w:rsidRDefault="008F708E" w:rsidP="00DE1661">
      <w:pPr>
        <w:pStyle w:val="13"/>
      </w:pPr>
      <w:r w:rsidRPr="0010178E">
        <w:t>Расходы на выплату персоналу</w:t>
      </w:r>
      <w:r>
        <w:t xml:space="preserve"> – расходы по виду расходов 100;</w:t>
      </w:r>
    </w:p>
    <w:p w:rsidR="008F708E" w:rsidRDefault="008F708E" w:rsidP="00DE1661">
      <w:pPr>
        <w:pStyle w:val="13"/>
      </w:pPr>
      <w:r w:rsidRPr="0010178E">
        <w:t>Закупка товаров, работ и услуг</w:t>
      </w:r>
      <w:r>
        <w:t xml:space="preserve"> – расходы по виду расходов 200;</w:t>
      </w:r>
    </w:p>
    <w:p w:rsidR="008F708E" w:rsidRDefault="008F708E" w:rsidP="00DE1661">
      <w:pPr>
        <w:pStyle w:val="13"/>
      </w:pPr>
      <w:r w:rsidRPr="0010178E">
        <w:t>Социальное обеспечение и иные выплаты населению</w:t>
      </w:r>
      <w:r>
        <w:t xml:space="preserve"> – расходы по виду расходов 300;</w:t>
      </w:r>
    </w:p>
    <w:p w:rsidR="008F708E" w:rsidRDefault="008F708E" w:rsidP="00DE1661">
      <w:pPr>
        <w:pStyle w:val="13"/>
      </w:pPr>
      <w:r w:rsidRPr="0010178E">
        <w:t>Капитальные вложения в объекты гос.(муниц.) собственности</w:t>
      </w:r>
      <w:r>
        <w:t xml:space="preserve"> - – расходы по виду расходов 400;</w:t>
      </w:r>
    </w:p>
    <w:p w:rsidR="008F708E" w:rsidRDefault="008F708E" w:rsidP="00DE1661">
      <w:pPr>
        <w:pStyle w:val="13"/>
      </w:pPr>
      <w:r w:rsidRPr="0010178E">
        <w:t>Межбюджетные трансферты</w:t>
      </w:r>
      <w:r>
        <w:t xml:space="preserve"> – расходы по виду расходов 500;</w:t>
      </w:r>
    </w:p>
    <w:p w:rsidR="008F708E" w:rsidRDefault="008F708E" w:rsidP="00DE1661">
      <w:pPr>
        <w:pStyle w:val="13"/>
      </w:pPr>
      <w:r w:rsidRPr="0010178E">
        <w:t>Субсидии АУ, БУ и иным</w:t>
      </w:r>
      <w:r>
        <w:t xml:space="preserve"> – расходы по виду расходов 600;</w:t>
      </w:r>
    </w:p>
    <w:p w:rsidR="008F708E" w:rsidRDefault="008F708E" w:rsidP="00DE1661">
      <w:pPr>
        <w:pStyle w:val="13"/>
      </w:pPr>
      <w:r w:rsidRPr="0010178E">
        <w:t>Обслуживание государственного (муниципального) долга</w:t>
      </w:r>
      <w:r>
        <w:t xml:space="preserve"> – расходы по виду расходов 700;</w:t>
      </w:r>
    </w:p>
    <w:p w:rsidR="008F708E" w:rsidRPr="00341438" w:rsidRDefault="008F708E" w:rsidP="00DE1661">
      <w:pPr>
        <w:pStyle w:val="13"/>
      </w:pPr>
      <w:r w:rsidRPr="0010178E">
        <w:t>Иные бюджетные ассигнования</w:t>
      </w:r>
      <w:r>
        <w:t xml:space="preserve"> – расходы по виду расходов 800</w:t>
      </w:r>
      <w:r w:rsidRPr="00341438">
        <w:t>.</w:t>
      </w:r>
    </w:p>
    <w:p w:rsidR="008F708E" w:rsidRDefault="008F708E" w:rsidP="008F708E">
      <w:pPr>
        <w:pStyle w:val="af0"/>
        <w:ind w:firstLine="0"/>
      </w:pPr>
      <w:r>
        <w:rPr>
          <w:noProof/>
          <w:snapToGrid/>
        </w:rPr>
        <w:drawing>
          <wp:inline distT="0" distB="0" distL="0" distR="0" wp14:anchorId="050DDE73" wp14:editId="001BA644">
            <wp:extent cx="6120130" cy="2549370"/>
            <wp:effectExtent l="0" t="0" r="0" b="3810"/>
            <wp:docPr id="5707" name="Рисунок 5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6120130" cy="2549370"/>
                    </a:xfrm>
                    <a:prstGeom prst="rect">
                      <a:avLst/>
                    </a:prstGeom>
                  </pic:spPr>
                </pic:pic>
              </a:graphicData>
            </a:graphic>
          </wp:inline>
        </w:drawing>
      </w:r>
    </w:p>
    <w:p w:rsidR="008F708E" w:rsidRPr="00AF0807" w:rsidRDefault="008F708E" w:rsidP="00920DA5">
      <w:pPr>
        <w:pStyle w:val="-0"/>
        <w:rPr>
          <w:b/>
        </w:rPr>
      </w:pPr>
      <w:bookmarkStart w:id="629" w:name="_Toc80789131"/>
      <w:bookmarkStart w:id="630" w:name="_Toc119584334"/>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147</w:t>
      </w:r>
      <w:r>
        <w:rPr>
          <w:szCs w:val="28"/>
        </w:rPr>
        <w:fldChar w:fldCharType="end"/>
      </w:r>
      <w:r>
        <w:rPr>
          <w:szCs w:val="28"/>
        </w:rPr>
        <w:t xml:space="preserve"> – </w:t>
      </w:r>
      <w:r>
        <w:rPr>
          <w:rStyle w:val="af1"/>
        </w:rPr>
        <w:t>Макет борда «</w:t>
      </w:r>
      <w:r w:rsidRPr="00920DA5">
        <w:rPr>
          <w:rStyle w:val="af1"/>
          <w:snapToGrid w:val="0"/>
        </w:rPr>
        <w:t>Бюджет</w:t>
      </w:r>
      <w:r>
        <w:rPr>
          <w:rStyle w:val="af1"/>
        </w:rPr>
        <w:t>», представление «По видам расходов»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не равное значению 01.01.ГГГГ)</w:t>
      </w:r>
      <w:bookmarkEnd w:id="629"/>
      <w:bookmarkEnd w:id="630"/>
    </w:p>
    <w:p w:rsidR="008F708E" w:rsidRDefault="008F708E" w:rsidP="008F708E">
      <w:pPr>
        <w:pStyle w:val="ac"/>
        <w:keepNext/>
      </w:pPr>
      <w:r>
        <w:rPr>
          <w:noProof/>
          <w:snapToGrid/>
        </w:rPr>
        <w:drawing>
          <wp:inline distT="0" distB="0" distL="0" distR="0" wp14:anchorId="3FC632EE" wp14:editId="319C9F18">
            <wp:extent cx="6120130" cy="2541790"/>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6120130" cy="2541790"/>
                    </a:xfrm>
                    <a:prstGeom prst="rect">
                      <a:avLst/>
                    </a:prstGeom>
                  </pic:spPr>
                </pic:pic>
              </a:graphicData>
            </a:graphic>
          </wp:inline>
        </w:drawing>
      </w:r>
    </w:p>
    <w:p w:rsidR="008F708E" w:rsidRDefault="008F708E" w:rsidP="00920DA5">
      <w:pPr>
        <w:pStyle w:val="-0"/>
      </w:pPr>
      <w:bookmarkStart w:id="631" w:name="_Toc80789132"/>
      <w:bookmarkStart w:id="632" w:name="_Toc119584335"/>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148</w:t>
      </w:r>
      <w:r>
        <w:rPr>
          <w:szCs w:val="28"/>
        </w:rPr>
        <w:fldChar w:fldCharType="end"/>
      </w:r>
      <w:r>
        <w:rPr>
          <w:szCs w:val="28"/>
        </w:rPr>
        <w:t xml:space="preserve"> – </w:t>
      </w:r>
      <w:r>
        <w:rPr>
          <w:rStyle w:val="af1"/>
        </w:rPr>
        <w:t>Макет борда «</w:t>
      </w:r>
      <w:r w:rsidRPr="00920DA5">
        <w:rPr>
          <w:rStyle w:val="af1"/>
          <w:snapToGrid w:val="0"/>
        </w:rPr>
        <w:t>Бюджет</w:t>
      </w:r>
      <w:r>
        <w:rPr>
          <w:rStyle w:val="af1"/>
        </w:rPr>
        <w:t>», представление «По видам расходов» (</w:t>
      </w:r>
      <w:r w:rsidRPr="003A2138">
        <w:rPr>
          <w:rStyle w:val="af1"/>
        </w:rPr>
        <w:t xml:space="preserve">в параметре «По состоянию на» </w:t>
      </w:r>
      <w:r>
        <w:rPr>
          <w:rStyle w:val="af1"/>
        </w:rPr>
        <w:t xml:space="preserve">выбрано </w:t>
      </w:r>
      <w:r w:rsidRPr="003A2138">
        <w:rPr>
          <w:rStyle w:val="af1"/>
        </w:rPr>
        <w:t>значени</w:t>
      </w:r>
      <w:r>
        <w:rPr>
          <w:rStyle w:val="af1"/>
        </w:rPr>
        <w:t>е</w:t>
      </w:r>
      <w:r w:rsidRPr="003A2138">
        <w:rPr>
          <w:rStyle w:val="af1"/>
        </w:rPr>
        <w:t xml:space="preserve"> </w:t>
      </w:r>
      <w:r>
        <w:rPr>
          <w:rStyle w:val="af1"/>
        </w:rPr>
        <w:t>01.01.ГГГГ)</w:t>
      </w:r>
      <w:bookmarkEnd w:id="631"/>
      <w:bookmarkEnd w:id="632"/>
    </w:p>
    <w:p w:rsidR="008F708E" w:rsidRPr="00B83F1B" w:rsidRDefault="008F708E" w:rsidP="008F708E">
      <w:pPr>
        <w:pStyle w:val="af0"/>
        <w:keepNext/>
        <w:pageBreakBefore/>
        <w:rPr>
          <w:b/>
        </w:rPr>
      </w:pPr>
      <w:r>
        <w:rPr>
          <w:b/>
        </w:rPr>
        <w:t xml:space="preserve">Блок </w:t>
      </w:r>
      <w:r w:rsidRPr="00B83F1B">
        <w:rPr>
          <w:b/>
        </w:rPr>
        <w:t>&lt;</w:t>
      </w:r>
      <w:r>
        <w:rPr>
          <w:b/>
        </w:rPr>
        <w:t xml:space="preserve">Наименование по </w:t>
      </w:r>
      <w:r w:rsidRPr="00B83F1B">
        <w:rPr>
          <w:b/>
        </w:rPr>
        <w:t>группе видов расходов&gt;</w:t>
      </w:r>
    </w:p>
    <w:p w:rsidR="008F708E" w:rsidRDefault="008F708E" w:rsidP="008F708E">
      <w:pPr>
        <w:pStyle w:val="af0"/>
      </w:pPr>
      <w:r>
        <w:t xml:space="preserve">Основные параметры блока представлены в таблице </w:t>
      </w:r>
      <w:r>
        <w:fldChar w:fldCharType="begin"/>
      </w:r>
      <w:r>
        <w:instrText xml:space="preserve"> REF табл12 \h </w:instrText>
      </w:r>
      <w:r>
        <w:fldChar w:fldCharType="separate"/>
      </w:r>
      <w:r w:rsidR="00BF0BEE">
        <w:rPr>
          <w:noProof/>
        </w:rPr>
        <w:t>24</w:t>
      </w:r>
      <w:r>
        <w:fldChar w:fldCharType="end"/>
      </w:r>
      <w:r>
        <w:t>.</w:t>
      </w:r>
    </w:p>
    <w:p w:rsidR="008F708E" w:rsidRPr="00DE3AEE" w:rsidRDefault="008F708E" w:rsidP="00920DA5">
      <w:pPr>
        <w:pStyle w:val="-"/>
      </w:pPr>
      <w:bookmarkStart w:id="633" w:name="_Toc80789115"/>
      <w:bookmarkStart w:id="634" w:name="_Toc119585165"/>
      <w:r>
        <w:t xml:space="preserve">Таблица </w:t>
      </w:r>
      <w:bookmarkStart w:id="635" w:name="табл12"/>
      <w:r>
        <w:fldChar w:fldCharType="begin"/>
      </w:r>
      <w:r>
        <w:instrText xml:space="preserve"> SEQ Таблица \* ARABIC </w:instrText>
      </w:r>
      <w:r>
        <w:fldChar w:fldCharType="separate"/>
      </w:r>
      <w:r w:rsidR="00BF0BEE">
        <w:rPr>
          <w:noProof/>
        </w:rPr>
        <w:t>24</w:t>
      </w:r>
      <w:r>
        <w:fldChar w:fldCharType="end"/>
      </w:r>
      <w:bookmarkEnd w:id="635"/>
      <w:r>
        <w:t xml:space="preserve"> – Параметры блока </w:t>
      </w:r>
      <w:r w:rsidRPr="00DE3AEE">
        <w:t>&lt;Наименование по группе видов расходов&gt;</w:t>
      </w:r>
      <w:bookmarkEnd w:id="633"/>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6"/>
        <w:gridCol w:w="6937"/>
      </w:tblGrid>
      <w:tr w:rsidR="008F708E" w:rsidRPr="0032031B" w:rsidTr="008F708E">
        <w:trPr>
          <w:tblHeader/>
        </w:trPr>
        <w:tc>
          <w:tcPr>
            <w:tcW w:w="148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3520" w:type="pct"/>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Роспись</w:t>
            </w:r>
            <w:r w:rsidRPr="0032031B">
              <w:rPr>
                <w:color w:val="auto"/>
                <w:sz w:val="24"/>
                <w:szCs w:val="24"/>
              </w:rPr>
              <w:t xml:space="preserve"> на ГГГГ год, где ГГГГ - значение из параметра «Год».</w:t>
            </w:r>
          </w:p>
        </w:tc>
        <w:tc>
          <w:tcPr>
            <w:tcW w:w="3520" w:type="pct"/>
            <w:shd w:val="clear" w:color="auto" w:fill="auto"/>
          </w:tcPr>
          <w:p w:rsidR="008F708E" w:rsidRPr="00343316" w:rsidRDefault="008F708E" w:rsidP="008F708E">
            <w:pPr>
              <w:pStyle w:val="af0"/>
              <w:ind w:firstLine="0"/>
              <w:jc w:val="left"/>
              <w:rPr>
                <w:color w:val="auto"/>
                <w:sz w:val="24"/>
                <w:szCs w:val="24"/>
              </w:rPr>
            </w:pPr>
            <w:r>
              <w:rPr>
                <w:color w:val="auto"/>
                <w:sz w:val="24"/>
                <w:szCs w:val="24"/>
              </w:rPr>
              <w:t>Источник</w:t>
            </w:r>
            <w:r w:rsidRPr="00343316">
              <w:rPr>
                <w:color w:val="auto"/>
                <w:sz w:val="24"/>
                <w:szCs w:val="24"/>
              </w:rPr>
              <w:t>:</w:t>
            </w:r>
          </w:p>
          <w:p w:rsidR="008F708E" w:rsidRPr="00C956B1" w:rsidRDefault="008F708E" w:rsidP="008F708E">
            <w:pPr>
              <w:pStyle w:val="af0"/>
              <w:ind w:firstLine="0"/>
              <w:jc w:val="left"/>
              <w:rPr>
                <w:color w:val="auto"/>
                <w:sz w:val="24"/>
                <w:szCs w:val="24"/>
              </w:rPr>
            </w:pPr>
            <w:r w:rsidRPr="00284D1D">
              <w:rPr>
                <w:color w:val="auto"/>
                <w:sz w:val="24"/>
                <w:szCs w:val="24"/>
              </w:rPr>
              <w:t>АСФК, форма 0504072, раздел «4 Расходы КВР»</w:t>
            </w:r>
            <w:r>
              <w:rPr>
                <w:color w:val="auto"/>
                <w:sz w:val="24"/>
                <w:szCs w:val="24"/>
              </w:rPr>
              <w:t xml:space="preserve"> (с закрытой частью)</w:t>
            </w:r>
            <w:r w:rsidRPr="00284D1D">
              <w:rPr>
                <w:color w:val="auto"/>
                <w:sz w:val="24"/>
                <w:szCs w:val="24"/>
              </w:rPr>
              <w:t xml:space="preserve">, </w:t>
            </w:r>
            <w:r>
              <w:rPr>
                <w:color w:val="auto"/>
                <w:sz w:val="24"/>
                <w:szCs w:val="24"/>
              </w:rPr>
              <w:t>показатель</w:t>
            </w:r>
            <w:r w:rsidRPr="00284D1D">
              <w:rPr>
                <w:color w:val="auto"/>
                <w:sz w:val="24"/>
                <w:szCs w:val="24"/>
              </w:rPr>
              <w:t xml:space="preserve"> «Утверждено БА»</w:t>
            </w:r>
            <w:r>
              <w:rPr>
                <w:color w:val="auto"/>
                <w:sz w:val="24"/>
                <w:szCs w:val="24"/>
              </w:rPr>
              <w:t>.</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Факт на ДД.ММ.ГГГГ, где ДД.ММ.ГГГГ - значение из параметра «По состоянию на».</w:t>
            </w:r>
          </w:p>
        </w:tc>
        <w:tc>
          <w:tcPr>
            <w:tcW w:w="352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 xml:space="preserve">АСФК, форма 0504072, раздел </w:t>
            </w:r>
            <w:r w:rsidRPr="00284D1D">
              <w:rPr>
                <w:color w:val="auto"/>
                <w:sz w:val="24"/>
                <w:szCs w:val="24"/>
              </w:rPr>
              <w:t>«4 Расходы КВР»</w:t>
            </w:r>
            <w:r>
              <w:rPr>
                <w:color w:val="auto"/>
                <w:sz w:val="24"/>
                <w:szCs w:val="24"/>
              </w:rPr>
              <w:t xml:space="preserve"> (с закрытой частью)</w:t>
            </w:r>
            <w:r w:rsidRPr="0032031B">
              <w:rPr>
                <w:color w:val="auto"/>
                <w:sz w:val="24"/>
                <w:szCs w:val="24"/>
              </w:rPr>
              <w:t>, показатель «Кассовое исполнение».</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32031B">
              <w:rPr>
                <w:color w:val="auto"/>
                <w:sz w:val="24"/>
                <w:szCs w:val="24"/>
              </w:rPr>
              <w:t>% исполнения</w:t>
            </w:r>
          </w:p>
        </w:tc>
        <w:tc>
          <w:tcPr>
            <w:tcW w:w="3520" w:type="pct"/>
            <w:shd w:val="clear" w:color="auto" w:fill="auto"/>
          </w:tcPr>
          <w:p w:rsidR="008F708E" w:rsidRPr="00284D1D" w:rsidRDefault="008F708E" w:rsidP="008F708E">
            <w:pPr>
              <w:pStyle w:val="af0"/>
              <w:ind w:firstLine="0"/>
              <w:jc w:val="left"/>
              <w:rPr>
                <w:color w:val="auto"/>
                <w:sz w:val="24"/>
                <w:szCs w:val="24"/>
              </w:rPr>
            </w:pPr>
            <w:r w:rsidRPr="0032031B">
              <w:rPr>
                <w:color w:val="auto"/>
                <w:sz w:val="24"/>
                <w:szCs w:val="24"/>
              </w:rPr>
              <w:t>Формула: «Факт на ДД.ММ.ГГГГ» / «</w:t>
            </w:r>
            <w:r>
              <w:rPr>
                <w:color w:val="auto"/>
                <w:sz w:val="24"/>
                <w:szCs w:val="24"/>
              </w:rPr>
              <w:t>Роспись</w:t>
            </w:r>
            <w:r w:rsidRPr="0032031B">
              <w:rPr>
                <w:color w:val="auto"/>
                <w:sz w:val="24"/>
                <w:szCs w:val="24"/>
              </w:rPr>
              <w:t xml:space="preserve"> на ГГГГ год» * 100%.</w:t>
            </w:r>
          </w:p>
        </w:tc>
      </w:tr>
      <w:tr w:rsidR="008F708E" w:rsidRPr="0032031B" w:rsidTr="008F708E">
        <w:tc>
          <w:tcPr>
            <w:tcW w:w="1480" w:type="pct"/>
            <w:shd w:val="clear" w:color="auto" w:fill="auto"/>
          </w:tcPr>
          <w:p w:rsidR="008F708E" w:rsidRPr="00EB48B8" w:rsidRDefault="008F708E" w:rsidP="008F708E">
            <w:pPr>
              <w:pStyle w:val="af0"/>
              <w:ind w:firstLine="0"/>
              <w:jc w:val="left"/>
              <w:rPr>
                <w:color w:val="auto"/>
                <w:sz w:val="24"/>
                <w:szCs w:val="24"/>
              </w:rPr>
            </w:pPr>
            <w:r w:rsidRPr="00EB48B8">
              <w:rPr>
                <w:color w:val="auto"/>
                <w:sz w:val="24"/>
                <w:szCs w:val="24"/>
              </w:rPr>
              <w:t>Риск неисполнения расходов по данным ГРБС</w:t>
            </w:r>
          </w:p>
        </w:tc>
        <w:tc>
          <w:tcPr>
            <w:tcW w:w="3520" w:type="pct"/>
            <w:shd w:val="clear" w:color="auto" w:fill="auto"/>
          </w:tcPr>
          <w:p w:rsidR="008F708E" w:rsidRDefault="008F708E" w:rsidP="008F708E">
            <w:pPr>
              <w:jc w:val="left"/>
            </w:pPr>
            <w:r>
              <w:t xml:space="preserve">ПБП, </w:t>
            </w:r>
            <w:r w:rsidRPr="00EB48B8">
              <w:t xml:space="preserve">форма по сбору информации </w:t>
            </w:r>
            <w:r>
              <w:t xml:space="preserve">с ГРБС </w:t>
            </w:r>
            <w:r w:rsidRPr="00EB48B8">
              <w:t>о прогнозе неисполнения бюджета</w:t>
            </w:r>
            <w:r>
              <w:t xml:space="preserve">. Показатель выводится для данных за 2020 год. </w:t>
            </w:r>
          </w:p>
          <w:p w:rsidR="008F708E" w:rsidRPr="00EB48B8" w:rsidRDefault="008F708E" w:rsidP="008F708E">
            <w:pPr>
              <w:jc w:val="left"/>
            </w:pPr>
            <w:r w:rsidRPr="00326F72">
              <w:rPr>
                <w:i/>
                <w:color w:val="auto"/>
                <w:szCs w:val="24"/>
              </w:rPr>
              <w:t>Показатель скрывается при выборе в параметре «По состоянию на» значения равного значению 01.01.ГГГГ.</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Pr>
                <w:color w:val="auto"/>
                <w:sz w:val="24"/>
                <w:szCs w:val="24"/>
              </w:rPr>
              <w:t>Сумма факторов риска</w:t>
            </w:r>
          </w:p>
        </w:tc>
        <w:tc>
          <w:tcPr>
            <w:tcW w:w="3520" w:type="pct"/>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Default="008F708E" w:rsidP="008F708E">
            <w:pPr>
              <w:pStyle w:val="af0"/>
              <w:ind w:firstLine="0"/>
              <w:jc w:val="left"/>
              <w:rPr>
                <w:color w:val="auto"/>
                <w:sz w:val="24"/>
                <w:szCs w:val="24"/>
              </w:rPr>
            </w:pPr>
            <w:r w:rsidRPr="007A1347">
              <w:rPr>
                <w:color w:val="auto"/>
                <w:sz w:val="24"/>
                <w:szCs w:val="24"/>
              </w:rPr>
              <w:t>«Заблокированные лимиты» ПЛЮС «Нераспределенные лимиты в срок» ПЛЮС «Не принятые обязательства в срок» ПЛЮС «Не исполнено в срок».</w:t>
            </w:r>
          </w:p>
          <w:p w:rsidR="008F708E" w:rsidRPr="00326F72" w:rsidRDefault="008F708E" w:rsidP="008F708E">
            <w:pPr>
              <w:pStyle w:val="af0"/>
              <w:ind w:firstLine="0"/>
              <w:jc w:val="left"/>
              <w:rPr>
                <w:i/>
                <w:color w:val="auto"/>
                <w:sz w:val="24"/>
                <w:szCs w:val="24"/>
              </w:rPr>
            </w:pPr>
            <w:r w:rsidRPr="00326F72">
              <w:rPr>
                <w:i/>
                <w:color w:val="auto"/>
                <w:sz w:val="24"/>
                <w:szCs w:val="24"/>
              </w:rPr>
              <w:t>Показатель скрывается при выборе в параметре «По состоянию на» значения равного значению 01.01.ГГГГ.</w:t>
            </w:r>
          </w:p>
        </w:tc>
      </w:tr>
      <w:tr w:rsidR="008F708E" w:rsidRPr="0032031B" w:rsidTr="008F708E">
        <w:tc>
          <w:tcPr>
            <w:tcW w:w="1480" w:type="pct"/>
            <w:shd w:val="clear" w:color="auto" w:fill="auto"/>
          </w:tcPr>
          <w:p w:rsidR="008F708E" w:rsidRPr="0032031B" w:rsidRDefault="008F708E" w:rsidP="008F708E">
            <w:pPr>
              <w:pStyle w:val="af0"/>
              <w:ind w:firstLine="0"/>
              <w:jc w:val="left"/>
              <w:rPr>
                <w:color w:val="auto"/>
                <w:sz w:val="24"/>
                <w:szCs w:val="24"/>
              </w:rPr>
            </w:pPr>
            <w:r w:rsidRPr="00870817">
              <w:rPr>
                <w:color w:val="auto"/>
                <w:sz w:val="24"/>
                <w:szCs w:val="24"/>
              </w:rPr>
              <w:t>Отклонение от росписи</w:t>
            </w:r>
          </w:p>
        </w:tc>
        <w:tc>
          <w:tcPr>
            <w:tcW w:w="3520" w:type="pct"/>
            <w:shd w:val="clear" w:color="auto" w:fill="auto"/>
          </w:tcPr>
          <w:p w:rsidR="008F708E" w:rsidRDefault="008F708E" w:rsidP="008F708E">
            <w:pPr>
              <w:pStyle w:val="af0"/>
              <w:ind w:firstLine="0"/>
              <w:jc w:val="left"/>
              <w:rPr>
                <w:color w:val="auto"/>
                <w:sz w:val="24"/>
                <w:szCs w:val="24"/>
              </w:rPr>
            </w:pPr>
            <w:r w:rsidRPr="0032031B">
              <w:rPr>
                <w:color w:val="auto"/>
                <w:sz w:val="24"/>
                <w:szCs w:val="24"/>
              </w:rPr>
              <w:t>Формула: «</w:t>
            </w:r>
            <w:r>
              <w:rPr>
                <w:color w:val="auto"/>
                <w:sz w:val="24"/>
                <w:szCs w:val="24"/>
              </w:rPr>
              <w:t xml:space="preserve">Роспись на </w:t>
            </w:r>
            <w:r w:rsidRPr="0032031B">
              <w:rPr>
                <w:color w:val="auto"/>
                <w:sz w:val="24"/>
                <w:szCs w:val="24"/>
              </w:rPr>
              <w:t>ГГГГ</w:t>
            </w:r>
            <w:r>
              <w:rPr>
                <w:color w:val="auto"/>
                <w:sz w:val="24"/>
                <w:szCs w:val="24"/>
              </w:rPr>
              <w:t xml:space="preserve"> год» МИНУС</w:t>
            </w:r>
            <w:r w:rsidRPr="0032031B">
              <w:rPr>
                <w:color w:val="auto"/>
                <w:sz w:val="24"/>
                <w:szCs w:val="24"/>
              </w:rPr>
              <w:t xml:space="preserve"> «</w:t>
            </w:r>
            <w:r>
              <w:rPr>
                <w:color w:val="auto"/>
                <w:sz w:val="24"/>
                <w:szCs w:val="24"/>
              </w:rPr>
              <w:t xml:space="preserve">Факт на ДД.ММ.ГГГГ» </w:t>
            </w:r>
          </w:p>
          <w:p w:rsidR="008F708E" w:rsidRPr="00326F72" w:rsidRDefault="008F708E" w:rsidP="008F708E">
            <w:pPr>
              <w:pStyle w:val="af0"/>
              <w:ind w:firstLine="0"/>
              <w:jc w:val="left"/>
              <w:rPr>
                <w:i/>
                <w:color w:val="auto"/>
                <w:sz w:val="24"/>
                <w:szCs w:val="24"/>
              </w:rPr>
            </w:pPr>
            <w:r w:rsidRPr="00326F72">
              <w:rPr>
                <w:i/>
                <w:color w:val="auto"/>
                <w:sz w:val="24"/>
                <w:szCs w:val="24"/>
              </w:rPr>
              <w:t xml:space="preserve">Показатель 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p>
        </w:tc>
      </w:tr>
    </w:tbl>
    <w:p w:rsidR="008F708E" w:rsidRDefault="008F708E" w:rsidP="008F708E">
      <w:pPr>
        <w:pStyle w:val="af0"/>
      </w:pPr>
      <w:r>
        <w:t>Все значения выводятся с одним знаком после запятой.</w:t>
      </w:r>
    </w:p>
    <w:p w:rsidR="008F708E" w:rsidRDefault="008F708E" w:rsidP="008F708E">
      <w:pPr>
        <w:pStyle w:val="af0"/>
      </w:pPr>
      <w:r>
        <w:t>С блока осуществляется переход по тексту «</w:t>
      </w:r>
      <w:r w:rsidRPr="00542740">
        <w:t xml:space="preserve">Подробнее </w:t>
      </w:r>
      <w:r w:rsidRPr="00542740">
        <w:sym w:font="Symbol" w:char="F0AE"/>
      </w:r>
      <w:r w:rsidRPr="00542740">
        <w:t>» в представление «</w:t>
      </w:r>
      <w:r>
        <w:t>ГРБС</w:t>
      </w:r>
      <w:r w:rsidRPr="00542740">
        <w:t>» отчета «</w:t>
      </w:r>
      <w:r>
        <w:t>Расходы федерального бюджета</w:t>
      </w:r>
      <w:r w:rsidRPr="00542740">
        <w:t>» с передачей фильтров: «По состоянию</w:t>
      </w:r>
      <w:r w:rsidRPr="007A1347">
        <w:t xml:space="preserve"> на», «Год», «Вице-премьер», </w:t>
      </w:r>
      <w:r>
        <w:t xml:space="preserve">«ГРБС», «КВР», </w:t>
      </w:r>
      <w:r w:rsidRPr="007A1347">
        <w:t>«Единицы измерения».</w:t>
      </w:r>
    </w:p>
    <w:p w:rsidR="008F708E" w:rsidRDefault="008F708E" w:rsidP="00920DA5">
      <w:pPr>
        <w:pStyle w:val="42"/>
        <w:keepNext/>
        <w:rPr>
          <w:noProof/>
        </w:rPr>
      </w:pPr>
      <w:r w:rsidRPr="00920DA5">
        <w:t>Представление</w:t>
      </w:r>
      <w:r w:rsidRPr="00D536DC">
        <w:rPr>
          <w:noProof/>
          <w:lang w:val="en-US"/>
        </w:rPr>
        <w:t xml:space="preserve"> «По </w:t>
      </w:r>
      <w:r>
        <w:rPr>
          <w:noProof/>
        </w:rPr>
        <w:t>этапам - Расходы</w:t>
      </w:r>
      <w:r w:rsidRPr="00D536DC">
        <w:rPr>
          <w:noProof/>
          <w:lang w:val="en-US"/>
        </w:rPr>
        <w:t>»</w:t>
      </w:r>
    </w:p>
    <w:p w:rsidR="008F708E" w:rsidRDefault="008F708E" w:rsidP="008F708E">
      <w:pPr>
        <w:pStyle w:val="af0"/>
      </w:pPr>
      <w:r w:rsidRPr="000B4C41">
        <w:t>Представление «</w:t>
      </w:r>
      <w:r>
        <w:t xml:space="preserve">По </w:t>
      </w:r>
      <w:r w:rsidRPr="00B319FB">
        <w:t>этапам - Расходы</w:t>
      </w:r>
      <w:r w:rsidRPr="000B4C41">
        <w:t>» аналитического отчета «</w:t>
      </w:r>
      <w:r>
        <w:t>Бюджет</w:t>
      </w:r>
      <w:r w:rsidRPr="000B4C41">
        <w:t>» отобража</w:t>
      </w:r>
      <w:r w:rsidR="00920DA5">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Вице-премьер:</w:t>
      </w:r>
    </w:p>
    <w:p w:rsidR="008F708E" w:rsidRDefault="008F708E" w:rsidP="008F708E">
      <w:pPr>
        <w:pStyle w:val="af0"/>
        <w:ind w:left="1211" w:firstLine="0"/>
      </w:pPr>
      <w:r>
        <w:t>Выпадающий список без множественного выбора.</w:t>
      </w:r>
    </w:p>
    <w:p w:rsidR="008F708E" w:rsidRDefault="008F708E" w:rsidP="008F708E">
      <w:pPr>
        <w:pStyle w:val="af0"/>
        <w:ind w:left="1211" w:firstLine="0"/>
      </w:pPr>
      <w:r>
        <w:t xml:space="preserve">Выводится ФИО вице-премьеров и значение «Иные» (цепочки КБК не курируемые вице-премьерами, а так же </w:t>
      </w:r>
      <w:r w:rsidRPr="004B39B3">
        <w:rPr>
          <w:snapToGrid/>
          <w:color w:val="auto"/>
          <w:szCs w:val="28"/>
        </w:rPr>
        <w:t>по закрытым сведениям, не расписанным по тонким цепочкам КБК</w:t>
      </w:r>
      <w:r>
        <w:t>).</w:t>
      </w:r>
    </w:p>
    <w:p w:rsidR="008F708E" w:rsidRDefault="008F708E" w:rsidP="008F708E">
      <w:pPr>
        <w:pStyle w:val="af0"/>
        <w:ind w:left="1211" w:firstLine="0"/>
      </w:pPr>
      <w: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p>
    <w:p w:rsidR="008F708E" w:rsidRDefault="008F708E" w:rsidP="008F708E">
      <w:pPr>
        <w:pStyle w:val="af0"/>
        <w:ind w:left="1211" w:firstLine="0"/>
      </w:pPr>
      <w:r>
        <w:t>По умолчанию установлено значение «Все».</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r>
        <w:t xml:space="preserve"> Значение «000 - Иные» (значения по закрытым цепочкам КБК) не выводится в параметр, но суммы учитываются при выборе значения «Все».</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pPr>
      <w:r>
        <w:t>Заголовок:</w:t>
      </w:r>
    </w:p>
    <w:p w:rsidR="008F708E" w:rsidRDefault="008F708E" w:rsidP="008F708E">
      <w:pPr>
        <w:pStyle w:val="af0"/>
      </w:pPr>
      <w:r>
        <w:t>В параметрах «Вице-премьер» и «ГАБС» выбраны значения «Все»: Этапы бюджетного процесса по расходам федерального бюджета.</w:t>
      </w:r>
    </w:p>
    <w:p w:rsidR="008F708E" w:rsidRDefault="008F708E" w:rsidP="008F708E">
      <w:pPr>
        <w:pStyle w:val="af0"/>
      </w:pPr>
      <w:r>
        <w:t xml:space="preserve">В параметре «Вице-премьер» выбрано значение не равное значению «Все»: Этапы бюджетного процесса по расходам федерального бюджета по вице-премьеру </w:t>
      </w:r>
      <w:r w:rsidRPr="00781D17">
        <w:t>&lt;</w:t>
      </w:r>
      <w:r>
        <w:t>ФИО выбранного вице-премьера</w:t>
      </w:r>
      <w:r w:rsidRPr="00781D17">
        <w:t>&gt;</w:t>
      </w:r>
      <w:r>
        <w:t>. Например, Этапы бюджетного процесса по расходам федерального бюджета по вице-премьеру В. В. Абрамченко.</w:t>
      </w:r>
    </w:p>
    <w:p w:rsidR="008F708E" w:rsidRDefault="008F708E" w:rsidP="008F708E">
      <w:pPr>
        <w:pStyle w:val="af0"/>
      </w:pPr>
      <w:r>
        <w:t xml:space="preserve">В параметре «ГАБС» выбраны значения не равные значению «Все»: Этапы бюджетного процесса по расходам федерального бюджета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Например, Этапы бюджетного процесса по расходам федерального бюджета по Министерство промышленности и торговли Российской Федерации +2 ГАБС.</w:t>
      </w:r>
    </w:p>
    <w:p w:rsidR="008F708E" w:rsidRDefault="008F708E" w:rsidP="008F708E">
      <w:pPr>
        <w:pStyle w:val="af0"/>
      </w:pPr>
      <w:r>
        <w:t xml:space="preserve">В параметре «Вице-премьер» и «ГАБС» одновременно выбраны значения не равные значению «Все»: Этапы бюджетного процесса по расходам федерального бюджета по вице-премьеру </w:t>
      </w:r>
      <w:r w:rsidRPr="00781D17">
        <w:t>&lt;</w:t>
      </w:r>
      <w:r>
        <w:t>ФИО выбранного вице-премьера</w:t>
      </w:r>
      <w:r w:rsidRPr="00781D17">
        <w:t>&gt;</w:t>
      </w:r>
      <w:r>
        <w:t xml:space="preserve"> и по </w:t>
      </w:r>
      <w:r w:rsidRPr="00781D17">
        <w:t>&lt;</w:t>
      </w:r>
      <w:r>
        <w:t>Полное наименование одного из выбранных ГАБС</w:t>
      </w:r>
      <w:r w:rsidRPr="00781D17">
        <w:t>&gt;</w:t>
      </w:r>
      <w:r>
        <w:t xml:space="preserve">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Например, Этапы бюджетного процесса по расходам федерального бюджета по вице-премьеру В. В. Абрамченко и Министерство промышленности и торговли Российской Федерации +92 ГАБС.</w:t>
      </w:r>
    </w:p>
    <w:p w:rsidR="008F708E" w:rsidRDefault="008F708E" w:rsidP="008F708E">
      <w:pPr>
        <w:pStyle w:val="af0"/>
        <w:keepNext/>
      </w:pPr>
      <w:r>
        <w:t>Дашборд состоит из 4 блоков:</w:t>
      </w:r>
    </w:p>
    <w:p w:rsidR="008F708E" w:rsidRPr="003A4A3C" w:rsidRDefault="008F708E" w:rsidP="00DE1661">
      <w:pPr>
        <w:pStyle w:val="13"/>
        <w:rPr>
          <w:snapToGrid/>
        </w:rPr>
      </w:pPr>
      <w:r>
        <w:rPr>
          <w:snapToGrid/>
        </w:rPr>
        <w:t>Лимиты;</w:t>
      </w:r>
    </w:p>
    <w:p w:rsidR="008F708E" w:rsidRPr="003A4A3C" w:rsidRDefault="008F708E" w:rsidP="00DE1661">
      <w:pPr>
        <w:pStyle w:val="13"/>
        <w:rPr>
          <w:snapToGrid/>
        </w:rPr>
      </w:pPr>
      <w:r>
        <w:rPr>
          <w:snapToGrid/>
        </w:rPr>
        <w:t>Бюджетные обязательства;</w:t>
      </w:r>
    </w:p>
    <w:p w:rsidR="008F708E" w:rsidRDefault="008F708E" w:rsidP="00DE1661">
      <w:pPr>
        <w:pStyle w:val="13"/>
        <w:rPr>
          <w:snapToGrid/>
        </w:rPr>
      </w:pPr>
      <w:r>
        <w:rPr>
          <w:snapToGrid/>
        </w:rPr>
        <w:t>Исполнение;</w:t>
      </w:r>
    </w:p>
    <w:p w:rsidR="008F708E" w:rsidRDefault="008F708E" w:rsidP="00DE1661">
      <w:pPr>
        <w:pStyle w:val="13"/>
        <w:rPr>
          <w:snapToGrid/>
        </w:rPr>
      </w:pPr>
      <w:r>
        <w:rPr>
          <w:snapToGrid/>
        </w:rPr>
        <w:t>Результаты предоставления субсидий.</w:t>
      </w:r>
    </w:p>
    <w:p w:rsidR="008F708E" w:rsidRDefault="008F708E" w:rsidP="008F708E">
      <w:pPr>
        <w:pStyle w:val="ac"/>
      </w:pPr>
      <w:r>
        <w:rPr>
          <w:noProof/>
          <w:snapToGrid/>
        </w:rPr>
        <w:drawing>
          <wp:inline distT="0" distB="0" distL="0" distR="0" wp14:anchorId="60901A48" wp14:editId="134D2FB3">
            <wp:extent cx="6120130" cy="2656120"/>
            <wp:effectExtent l="0" t="0" r="0" b="0"/>
            <wp:docPr id="70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6120130" cy="2656120"/>
                    </a:xfrm>
                    <a:prstGeom prst="rect">
                      <a:avLst/>
                    </a:prstGeom>
                  </pic:spPr>
                </pic:pic>
              </a:graphicData>
            </a:graphic>
          </wp:inline>
        </w:drawing>
      </w:r>
    </w:p>
    <w:p w:rsidR="008F708E" w:rsidRDefault="008F708E" w:rsidP="00920DA5">
      <w:pPr>
        <w:pStyle w:val="-0"/>
        <w:rPr>
          <w:rStyle w:val="af1"/>
        </w:rPr>
      </w:pPr>
      <w:bookmarkStart w:id="636" w:name="_Toc80789133"/>
      <w:bookmarkStart w:id="637" w:name="_Toc119584336"/>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149</w:t>
      </w:r>
      <w:r>
        <w:rPr>
          <w:szCs w:val="28"/>
        </w:rPr>
        <w:fldChar w:fldCharType="end"/>
      </w:r>
      <w:r>
        <w:rPr>
          <w:szCs w:val="28"/>
        </w:rPr>
        <w:t xml:space="preserve"> – </w:t>
      </w:r>
      <w:r>
        <w:rPr>
          <w:rStyle w:val="af1"/>
        </w:rPr>
        <w:t>Макет борда «Бюджет», представление «По этапам - Расходы» (</w:t>
      </w:r>
      <w:r w:rsidRPr="001565E8">
        <w:rPr>
          <w:rStyle w:val="af1"/>
        </w:rPr>
        <w:t>в пара</w:t>
      </w:r>
      <w:r>
        <w:rPr>
          <w:rStyle w:val="af1"/>
        </w:rPr>
        <w:t xml:space="preserve">метре «По </w:t>
      </w:r>
      <w:r w:rsidRPr="00920DA5">
        <w:rPr>
          <w:rStyle w:val="af1"/>
          <w:snapToGrid w:val="0"/>
        </w:rPr>
        <w:t>состоянию</w:t>
      </w:r>
      <w:r>
        <w:rPr>
          <w:rStyle w:val="af1"/>
        </w:rPr>
        <w:t xml:space="preserve"> на» выбрано значение не равное</w:t>
      </w:r>
      <w:r w:rsidRPr="001565E8">
        <w:rPr>
          <w:rStyle w:val="af1"/>
        </w:rPr>
        <w:t xml:space="preserve"> значению 01.01.ГГГГ</w:t>
      </w:r>
      <w:r>
        <w:rPr>
          <w:rStyle w:val="af1"/>
        </w:rPr>
        <w:t>)</w:t>
      </w:r>
      <w:bookmarkEnd w:id="636"/>
      <w:bookmarkEnd w:id="637"/>
    </w:p>
    <w:p w:rsidR="008F708E" w:rsidRDefault="008F708E" w:rsidP="008F708E">
      <w:pPr>
        <w:pStyle w:val="af0"/>
        <w:rPr>
          <w:rStyle w:val="af1"/>
        </w:rPr>
      </w:pPr>
      <w:r>
        <w:t xml:space="preserve">Показатели в блоках, если </w:t>
      </w:r>
      <w:r w:rsidRPr="001565E8">
        <w:rPr>
          <w:rStyle w:val="af1"/>
        </w:rPr>
        <w:t>в пара</w:t>
      </w:r>
      <w:r>
        <w:rPr>
          <w:rStyle w:val="af1"/>
        </w:rPr>
        <w:t>метре «По состоянию на» выбрано значение не равное</w:t>
      </w:r>
      <w:r w:rsidRPr="001565E8">
        <w:rPr>
          <w:rStyle w:val="af1"/>
        </w:rPr>
        <w:t xml:space="preserve"> значению 01.01.ГГГГ</w:t>
      </w:r>
      <w:r>
        <w:rPr>
          <w:rStyle w:val="af1"/>
        </w:rPr>
        <w:t>:</w:t>
      </w:r>
    </w:p>
    <w:p w:rsidR="008F708E" w:rsidRDefault="008F708E" w:rsidP="005C6E50">
      <w:pPr>
        <w:pStyle w:val="af0"/>
        <w:numPr>
          <w:ilvl w:val="0"/>
          <w:numId w:val="122"/>
        </w:numPr>
        <w:rPr>
          <w:b/>
          <w:szCs w:val="28"/>
        </w:rPr>
      </w:pPr>
      <w:r>
        <w:rPr>
          <w:b/>
          <w:szCs w:val="28"/>
        </w:rPr>
        <w:t>Блок «Лимиты»</w:t>
      </w:r>
    </w:p>
    <w:p w:rsidR="008F708E" w:rsidRPr="004C72A8" w:rsidRDefault="008F708E" w:rsidP="005C6E50">
      <w:pPr>
        <w:pStyle w:val="af0"/>
        <w:numPr>
          <w:ilvl w:val="1"/>
          <w:numId w:val="122"/>
        </w:numPr>
        <w:ind w:left="1276"/>
        <w:rPr>
          <w:szCs w:val="28"/>
        </w:rPr>
      </w:pPr>
      <w:r w:rsidRPr="001565E8">
        <w:rPr>
          <w:szCs w:val="28"/>
        </w:rPr>
        <w:t>Роспись на ГГГГ год</w:t>
      </w:r>
      <w:r>
        <w:rPr>
          <w:szCs w:val="28"/>
        </w:rPr>
        <w:t>;</w:t>
      </w:r>
    </w:p>
    <w:p w:rsidR="008F708E" w:rsidRDefault="008F708E" w:rsidP="005C6E50">
      <w:pPr>
        <w:pStyle w:val="af0"/>
        <w:numPr>
          <w:ilvl w:val="1"/>
          <w:numId w:val="122"/>
        </w:numPr>
        <w:ind w:left="1276"/>
        <w:rPr>
          <w:szCs w:val="28"/>
        </w:rPr>
      </w:pPr>
      <w:r w:rsidRPr="004C72A8">
        <w:rPr>
          <w:szCs w:val="28"/>
        </w:rPr>
        <w:t>Кассовый план ГРБС</w:t>
      </w:r>
      <w:r>
        <w:rPr>
          <w:szCs w:val="28"/>
        </w:rPr>
        <w:t>;</w:t>
      </w:r>
    </w:p>
    <w:p w:rsidR="008F708E" w:rsidRDefault="008F708E" w:rsidP="005C6E50">
      <w:pPr>
        <w:pStyle w:val="af0"/>
        <w:numPr>
          <w:ilvl w:val="1"/>
          <w:numId w:val="122"/>
        </w:numPr>
        <w:ind w:left="1276"/>
        <w:rPr>
          <w:szCs w:val="28"/>
        </w:rPr>
      </w:pPr>
      <w:r>
        <w:rPr>
          <w:szCs w:val="28"/>
        </w:rPr>
        <w:t>Доведено;</w:t>
      </w:r>
    </w:p>
    <w:p w:rsidR="008F708E" w:rsidRDefault="008F708E" w:rsidP="005C6E50">
      <w:pPr>
        <w:pStyle w:val="af0"/>
        <w:numPr>
          <w:ilvl w:val="1"/>
          <w:numId w:val="122"/>
        </w:numPr>
        <w:ind w:left="1276"/>
        <w:rPr>
          <w:szCs w:val="28"/>
        </w:rPr>
      </w:pPr>
      <w:r>
        <w:rPr>
          <w:szCs w:val="28"/>
        </w:rPr>
        <w:t>Распределено;</w:t>
      </w:r>
    </w:p>
    <w:p w:rsidR="008F708E" w:rsidRDefault="008F708E" w:rsidP="005C6E50">
      <w:pPr>
        <w:pStyle w:val="af0"/>
        <w:numPr>
          <w:ilvl w:val="1"/>
          <w:numId w:val="122"/>
        </w:numPr>
        <w:ind w:left="1276"/>
        <w:rPr>
          <w:szCs w:val="28"/>
        </w:rPr>
      </w:pPr>
      <w:r>
        <w:rPr>
          <w:szCs w:val="28"/>
        </w:rPr>
        <w:t>В резерве;</w:t>
      </w:r>
    </w:p>
    <w:p w:rsidR="008F708E" w:rsidRDefault="008F708E" w:rsidP="005C6E50">
      <w:pPr>
        <w:pStyle w:val="af0"/>
        <w:numPr>
          <w:ilvl w:val="1"/>
          <w:numId w:val="122"/>
        </w:numPr>
        <w:ind w:left="1276"/>
        <w:rPr>
          <w:szCs w:val="28"/>
        </w:rPr>
      </w:pPr>
      <w:r>
        <w:rPr>
          <w:szCs w:val="28"/>
        </w:rPr>
        <w:t>Заблокированные и нераспределенные лимиты;</w:t>
      </w:r>
    </w:p>
    <w:p w:rsidR="008F708E" w:rsidRDefault="008F708E" w:rsidP="005C6E50">
      <w:pPr>
        <w:pStyle w:val="af0"/>
        <w:numPr>
          <w:ilvl w:val="1"/>
          <w:numId w:val="122"/>
        </w:numPr>
        <w:ind w:left="1276"/>
        <w:rPr>
          <w:szCs w:val="28"/>
        </w:rPr>
      </w:pPr>
      <w:r>
        <w:rPr>
          <w:szCs w:val="28"/>
        </w:rPr>
        <w:t>Сумма факторов риска;</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заключения Минцифры</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снятия ограничений ФАИП</w:t>
      </w:r>
      <w:r>
        <w:rPr>
          <w:szCs w:val="28"/>
        </w:rPr>
        <w:t>;</w:t>
      </w:r>
    </w:p>
    <w:p w:rsidR="008F708E" w:rsidRPr="00476D0F" w:rsidRDefault="008F708E" w:rsidP="005C6E50">
      <w:pPr>
        <w:pStyle w:val="af0"/>
        <w:numPr>
          <w:ilvl w:val="2"/>
          <w:numId w:val="122"/>
        </w:numPr>
        <w:ind w:left="1701"/>
        <w:rPr>
          <w:szCs w:val="28"/>
        </w:rPr>
      </w:pPr>
      <w:r w:rsidRPr="00476D0F">
        <w:rPr>
          <w:szCs w:val="28"/>
        </w:rPr>
        <w:t>Индексация оплаты труда</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утверждения НПА</w:t>
      </w:r>
      <w:r>
        <w:rPr>
          <w:szCs w:val="28"/>
        </w:rPr>
        <w:t>;</w:t>
      </w:r>
    </w:p>
    <w:p w:rsidR="008F708E" w:rsidRPr="00476D0F" w:rsidRDefault="008F708E" w:rsidP="005C6E50">
      <w:pPr>
        <w:pStyle w:val="af0"/>
        <w:numPr>
          <w:ilvl w:val="2"/>
          <w:numId w:val="122"/>
        </w:numPr>
        <w:ind w:left="1701"/>
        <w:rPr>
          <w:szCs w:val="28"/>
        </w:rPr>
      </w:pPr>
      <w:r w:rsidRPr="00476D0F">
        <w:rPr>
          <w:szCs w:val="28"/>
        </w:rPr>
        <w:t>Нераспределенные ЛБО</w:t>
      </w:r>
      <w:r>
        <w:rPr>
          <w:szCs w:val="28"/>
        </w:rPr>
        <w:t>;</w:t>
      </w:r>
    </w:p>
    <w:p w:rsidR="008F708E" w:rsidRPr="00476D0F" w:rsidRDefault="008F708E" w:rsidP="005C6E50">
      <w:pPr>
        <w:pStyle w:val="af0"/>
        <w:numPr>
          <w:ilvl w:val="2"/>
          <w:numId w:val="122"/>
        </w:numPr>
        <w:ind w:left="1701"/>
        <w:rPr>
          <w:szCs w:val="28"/>
        </w:rPr>
      </w:pPr>
      <w:r>
        <w:rPr>
          <w:szCs w:val="28"/>
        </w:rPr>
        <w:t>Иное.</w:t>
      </w:r>
    </w:p>
    <w:p w:rsidR="008F708E" w:rsidRDefault="008F708E" w:rsidP="005C6E50">
      <w:pPr>
        <w:pStyle w:val="af0"/>
        <w:numPr>
          <w:ilvl w:val="0"/>
          <w:numId w:val="122"/>
        </w:numPr>
        <w:rPr>
          <w:b/>
          <w:szCs w:val="28"/>
        </w:rPr>
      </w:pPr>
      <w:r>
        <w:rPr>
          <w:b/>
          <w:szCs w:val="28"/>
        </w:rPr>
        <w:t>Блок «Бюджетные обязательства»</w:t>
      </w:r>
    </w:p>
    <w:p w:rsidR="008F708E" w:rsidRPr="00476D0F" w:rsidRDefault="008F708E" w:rsidP="005C6E50">
      <w:pPr>
        <w:pStyle w:val="af0"/>
        <w:numPr>
          <w:ilvl w:val="1"/>
          <w:numId w:val="122"/>
        </w:numPr>
        <w:ind w:left="1276"/>
        <w:rPr>
          <w:szCs w:val="28"/>
        </w:rPr>
      </w:pPr>
      <w:r w:rsidRPr="00476D0F">
        <w:rPr>
          <w:szCs w:val="28"/>
        </w:rPr>
        <w:t>Принятые обязательства</w:t>
      </w:r>
      <w:r>
        <w:rPr>
          <w:szCs w:val="28"/>
        </w:rPr>
        <w:t>;</w:t>
      </w:r>
    </w:p>
    <w:p w:rsidR="008F708E" w:rsidRPr="00476D0F" w:rsidRDefault="008F708E" w:rsidP="005C6E50">
      <w:pPr>
        <w:pStyle w:val="af0"/>
        <w:numPr>
          <w:ilvl w:val="1"/>
          <w:numId w:val="122"/>
        </w:numPr>
        <w:ind w:left="1276"/>
        <w:rPr>
          <w:szCs w:val="28"/>
        </w:rPr>
      </w:pPr>
      <w:r w:rsidRPr="00476D0F">
        <w:rPr>
          <w:szCs w:val="28"/>
        </w:rPr>
        <w:t>Действующие обязательства</w:t>
      </w:r>
      <w:r>
        <w:rPr>
          <w:szCs w:val="28"/>
        </w:rPr>
        <w:t>;</w:t>
      </w:r>
    </w:p>
    <w:p w:rsidR="008F708E" w:rsidRPr="00476D0F" w:rsidRDefault="008F708E" w:rsidP="005C6E50">
      <w:pPr>
        <w:pStyle w:val="af0"/>
        <w:numPr>
          <w:ilvl w:val="1"/>
          <w:numId w:val="122"/>
        </w:numPr>
        <w:ind w:left="1276"/>
        <w:rPr>
          <w:szCs w:val="28"/>
        </w:rPr>
      </w:pPr>
      <w:r w:rsidRPr="00476D0F">
        <w:rPr>
          <w:szCs w:val="28"/>
        </w:rPr>
        <w:t>Не принятые обязательства</w:t>
      </w:r>
      <w:r>
        <w:rPr>
          <w:szCs w:val="28"/>
        </w:rPr>
        <w:t>;</w:t>
      </w:r>
    </w:p>
    <w:p w:rsidR="008F708E" w:rsidRPr="00476D0F" w:rsidRDefault="008F708E" w:rsidP="005C6E50">
      <w:pPr>
        <w:pStyle w:val="af0"/>
        <w:numPr>
          <w:ilvl w:val="1"/>
          <w:numId w:val="122"/>
        </w:numPr>
        <w:ind w:left="1276"/>
        <w:rPr>
          <w:szCs w:val="28"/>
        </w:rPr>
      </w:pPr>
      <w:r w:rsidRPr="00476D0F">
        <w:rPr>
          <w:szCs w:val="28"/>
        </w:rPr>
        <w:t>Сумма факторов риска;</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Default="008F708E" w:rsidP="005C6E50">
      <w:pPr>
        <w:pStyle w:val="af0"/>
        <w:numPr>
          <w:ilvl w:val="2"/>
          <w:numId w:val="122"/>
        </w:numPr>
        <w:ind w:left="1701"/>
        <w:rPr>
          <w:szCs w:val="28"/>
        </w:rPr>
      </w:pPr>
      <w:r>
        <w:rPr>
          <w:szCs w:val="28"/>
        </w:rPr>
        <w:t>Не заключены контракты на поставку товаров (работ,услуг);</w:t>
      </w:r>
    </w:p>
    <w:p w:rsidR="008F708E" w:rsidRDefault="008F708E" w:rsidP="005C6E50">
      <w:pPr>
        <w:pStyle w:val="af0"/>
        <w:numPr>
          <w:ilvl w:val="2"/>
          <w:numId w:val="122"/>
        </w:numPr>
        <w:ind w:left="1701"/>
        <w:rPr>
          <w:szCs w:val="28"/>
        </w:rPr>
      </w:pPr>
      <w:r>
        <w:rPr>
          <w:szCs w:val="28"/>
        </w:rPr>
        <w:t>Не заключены соглашения с субъектами РФ на МБТ;</w:t>
      </w:r>
    </w:p>
    <w:p w:rsidR="008F708E" w:rsidRDefault="008F708E" w:rsidP="005C6E50">
      <w:pPr>
        <w:pStyle w:val="af0"/>
        <w:numPr>
          <w:ilvl w:val="2"/>
          <w:numId w:val="122"/>
        </w:numPr>
        <w:ind w:left="1701"/>
        <w:rPr>
          <w:szCs w:val="28"/>
        </w:rPr>
      </w:pPr>
      <w:r>
        <w:rPr>
          <w:szCs w:val="28"/>
        </w:rPr>
        <w:t>Не заключены соглашения с юридическими лицами;</w:t>
      </w:r>
    </w:p>
    <w:p w:rsidR="008F708E" w:rsidRDefault="008F708E" w:rsidP="005C6E50">
      <w:pPr>
        <w:pStyle w:val="af0"/>
        <w:numPr>
          <w:ilvl w:val="2"/>
          <w:numId w:val="122"/>
        </w:numPr>
        <w:ind w:left="1701"/>
        <w:rPr>
          <w:szCs w:val="28"/>
        </w:rPr>
      </w:pPr>
      <w:r>
        <w:rPr>
          <w:szCs w:val="28"/>
        </w:rPr>
        <w:t>Не заключены соглашения с БУ/АУ на гос.задания;</w:t>
      </w:r>
    </w:p>
    <w:p w:rsidR="008F708E" w:rsidRDefault="008F708E" w:rsidP="005C6E50">
      <w:pPr>
        <w:pStyle w:val="af0"/>
        <w:numPr>
          <w:ilvl w:val="2"/>
          <w:numId w:val="122"/>
        </w:numPr>
        <w:ind w:left="1701"/>
        <w:rPr>
          <w:szCs w:val="28"/>
        </w:rPr>
      </w:pPr>
      <w:r>
        <w:rPr>
          <w:szCs w:val="28"/>
        </w:rPr>
        <w:t>Не заключены соглашения с БУ/АУ на иные цели (в том числе на капвложения).</w:t>
      </w:r>
    </w:p>
    <w:p w:rsidR="008F708E" w:rsidRDefault="008F708E" w:rsidP="005C6E50">
      <w:pPr>
        <w:pStyle w:val="af0"/>
        <w:numPr>
          <w:ilvl w:val="0"/>
          <w:numId w:val="122"/>
        </w:numPr>
        <w:rPr>
          <w:b/>
          <w:szCs w:val="28"/>
        </w:rPr>
      </w:pPr>
      <w:r>
        <w:rPr>
          <w:b/>
          <w:szCs w:val="28"/>
        </w:rPr>
        <w:t>Блок «Исполнение»</w:t>
      </w:r>
    </w:p>
    <w:p w:rsidR="008F708E" w:rsidRPr="00476D0F" w:rsidRDefault="008F708E" w:rsidP="005C6E50">
      <w:pPr>
        <w:pStyle w:val="af0"/>
        <w:numPr>
          <w:ilvl w:val="1"/>
          <w:numId w:val="122"/>
        </w:numPr>
        <w:ind w:left="1276"/>
        <w:rPr>
          <w:szCs w:val="28"/>
        </w:rPr>
      </w:pPr>
      <w:r w:rsidRPr="00476D0F">
        <w:rPr>
          <w:szCs w:val="28"/>
        </w:rPr>
        <w:t>Факт</w:t>
      </w:r>
      <w:r>
        <w:rPr>
          <w:szCs w:val="28"/>
        </w:rPr>
        <w:t>;</w:t>
      </w:r>
    </w:p>
    <w:p w:rsidR="008F708E" w:rsidRPr="00476D0F" w:rsidRDefault="008F708E" w:rsidP="005C6E50">
      <w:pPr>
        <w:pStyle w:val="af0"/>
        <w:numPr>
          <w:ilvl w:val="1"/>
          <w:numId w:val="122"/>
        </w:numPr>
        <w:ind w:left="1276"/>
        <w:rPr>
          <w:szCs w:val="28"/>
        </w:rPr>
      </w:pPr>
      <w:r w:rsidRPr="00476D0F">
        <w:rPr>
          <w:szCs w:val="28"/>
        </w:rPr>
        <w:t>Осталось исполнить</w:t>
      </w:r>
      <w:r>
        <w:rPr>
          <w:szCs w:val="28"/>
        </w:rPr>
        <w:t>;</w:t>
      </w:r>
    </w:p>
    <w:p w:rsidR="008F708E" w:rsidRPr="00476D0F" w:rsidRDefault="008F708E" w:rsidP="005C6E50">
      <w:pPr>
        <w:pStyle w:val="af0"/>
        <w:numPr>
          <w:ilvl w:val="1"/>
          <w:numId w:val="122"/>
        </w:numPr>
        <w:ind w:left="1276"/>
        <w:rPr>
          <w:szCs w:val="28"/>
        </w:rPr>
      </w:pPr>
      <w:r w:rsidRPr="00476D0F">
        <w:rPr>
          <w:szCs w:val="28"/>
        </w:rPr>
        <w:t>Не исполнено в срок</w:t>
      </w:r>
      <w:r>
        <w:rPr>
          <w:szCs w:val="28"/>
        </w:rPr>
        <w:t>;</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Default="008F708E" w:rsidP="005C6E50">
      <w:pPr>
        <w:pStyle w:val="af0"/>
        <w:numPr>
          <w:ilvl w:val="2"/>
          <w:numId w:val="122"/>
        </w:numPr>
        <w:ind w:left="1701"/>
        <w:rPr>
          <w:szCs w:val="28"/>
        </w:rPr>
      </w:pPr>
      <w:r>
        <w:rPr>
          <w:szCs w:val="28"/>
        </w:rPr>
        <w:t>Не исполнены контракты на поставку товаров (работ,услуг);</w:t>
      </w:r>
    </w:p>
    <w:p w:rsidR="008F708E" w:rsidRDefault="008F708E" w:rsidP="005C6E50">
      <w:pPr>
        <w:pStyle w:val="af0"/>
        <w:numPr>
          <w:ilvl w:val="2"/>
          <w:numId w:val="122"/>
        </w:numPr>
        <w:ind w:left="1701"/>
        <w:rPr>
          <w:szCs w:val="28"/>
        </w:rPr>
      </w:pPr>
      <w:r>
        <w:rPr>
          <w:szCs w:val="28"/>
        </w:rPr>
        <w:t>Не исполнены соглашения с субъектами РФ на МБТ;</w:t>
      </w:r>
    </w:p>
    <w:p w:rsidR="008F708E" w:rsidRDefault="008F708E" w:rsidP="005C6E50">
      <w:pPr>
        <w:pStyle w:val="af0"/>
        <w:numPr>
          <w:ilvl w:val="2"/>
          <w:numId w:val="122"/>
        </w:numPr>
        <w:ind w:left="1701"/>
        <w:rPr>
          <w:szCs w:val="28"/>
        </w:rPr>
      </w:pPr>
      <w:r>
        <w:rPr>
          <w:szCs w:val="28"/>
        </w:rPr>
        <w:t>Не исполнены соглашения с юридическими лицами;</w:t>
      </w:r>
    </w:p>
    <w:p w:rsidR="008F708E" w:rsidRDefault="008F708E" w:rsidP="005C6E50">
      <w:pPr>
        <w:pStyle w:val="af0"/>
        <w:numPr>
          <w:ilvl w:val="2"/>
          <w:numId w:val="122"/>
        </w:numPr>
        <w:ind w:left="1701"/>
        <w:rPr>
          <w:szCs w:val="28"/>
        </w:rPr>
      </w:pPr>
      <w:r>
        <w:rPr>
          <w:szCs w:val="28"/>
        </w:rPr>
        <w:t>Не исполнены соглашения с БУ/АУ на гос.задания;</w:t>
      </w:r>
    </w:p>
    <w:p w:rsidR="008F708E" w:rsidRDefault="008F708E" w:rsidP="005C6E50">
      <w:pPr>
        <w:pStyle w:val="af0"/>
        <w:numPr>
          <w:ilvl w:val="2"/>
          <w:numId w:val="122"/>
        </w:numPr>
        <w:ind w:left="1701"/>
        <w:rPr>
          <w:szCs w:val="28"/>
        </w:rPr>
      </w:pPr>
      <w:r>
        <w:rPr>
          <w:szCs w:val="28"/>
        </w:rPr>
        <w:t>Не исполнены соглашения с БУ/АУ на иные цели (в том числе на капвложения);</w:t>
      </w:r>
    </w:p>
    <w:p w:rsidR="008F708E" w:rsidRPr="00476D0F" w:rsidRDefault="008F708E" w:rsidP="005C6E50">
      <w:pPr>
        <w:pStyle w:val="af0"/>
        <w:numPr>
          <w:ilvl w:val="2"/>
          <w:numId w:val="122"/>
        </w:numPr>
        <w:ind w:left="1701"/>
        <w:rPr>
          <w:szCs w:val="28"/>
        </w:rPr>
      </w:pPr>
      <w:r>
        <w:rPr>
          <w:szCs w:val="28"/>
        </w:rPr>
        <w:t>Иное.</w:t>
      </w:r>
    </w:p>
    <w:p w:rsidR="008F708E" w:rsidRDefault="008F708E" w:rsidP="005C6E50">
      <w:pPr>
        <w:pStyle w:val="af0"/>
        <w:numPr>
          <w:ilvl w:val="0"/>
          <w:numId w:val="122"/>
        </w:numPr>
        <w:rPr>
          <w:b/>
          <w:szCs w:val="28"/>
        </w:rPr>
      </w:pPr>
      <w:r>
        <w:rPr>
          <w:b/>
          <w:szCs w:val="28"/>
        </w:rPr>
        <w:t>Блок «Результаты предоставления субсидий»</w:t>
      </w:r>
    </w:p>
    <w:p w:rsidR="008F708E" w:rsidRPr="00476D0F" w:rsidRDefault="008F708E" w:rsidP="005C6E50">
      <w:pPr>
        <w:pStyle w:val="af0"/>
        <w:numPr>
          <w:ilvl w:val="1"/>
          <w:numId w:val="122"/>
        </w:numPr>
        <w:ind w:left="1276"/>
        <w:rPr>
          <w:szCs w:val="28"/>
        </w:rPr>
      </w:pPr>
      <w:r w:rsidRPr="00476D0F">
        <w:rPr>
          <w:szCs w:val="28"/>
        </w:rPr>
        <w:t>Количество субсидий</w:t>
      </w:r>
      <w:r>
        <w:rPr>
          <w:szCs w:val="28"/>
        </w:rPr>
        <w:t>;</w:t>
      </w:r>
    </w:p>
    <w:p w:rsidR="008F708E" w:rsidRPr="00476D0F" w:rsidRDefault="008F708E" w:rsidP="005C6E50">
      <w:pPr>
        <w:pStyle w:val="af0"/>
        <w:numPr>
          <w:ilvl w:val="1"/>
          <w:numId w:val="122"/>
        </w:numPr>
        <w:ind w:left="1276"/>
        <w:rPr>
          <w:szCs w:val="28"/>
        </w:rPr>
      </w:pPr>
      <w:r w:rsidRPr="00476D0F">
        <w:rPr>
          <w:szCs w:val="28"/>
        </w:rPr>
        <w:t>Результаты</w:t>
      </w:r>
      <w:r>
        <w:rPr>
          <w:szCs w:val="28"/>
        </w:rPr>
        <w:t>;</w:t>
      </w:r>
    </w:p>
    <w:p w:rsidR="008F708E" w:rsidRDefault="008F708E" w:rsidP="005C6E50">
      <w:pPr>
        <w:pStyle w:val="af0"/>
        <w:numPr>
          <w:ilvl w:val="1"/>
          <w:numId w:val="122"/>
        </w:numPr>
        <w:ind w:left="1276"/>
        <w:rPr>
          <w:szCs w:val="28"/>
        </w:rPr>
      </w:pPr>
      <w:r w:rsidRPr="00476D0F">
        <w:rPr>
          <w:szCs w:val="28"/>
        </w:rPr>
        <w:t>Не достигнуто</w:t>
      </w:r>
      <w:r>
        <w:rPr>
          <w:szCs w:val="28"/>
        </w:rPr>
        <w:t>;</w:t>
      </w:r>
    </w:p>
    <w:p w:rsidR="008F708E" w:rsidRPr="00476D0F" w:rsidRDefault="008F708E" w:rsidP="008F708E">
      <w:pPr>
        <w:pStyle w:val="af0"/>
        <w:ind w:left="1276" w:firstLine="0"/>
        <w:rPr>
          <w:szCs w:val="28"/>
        </w:rPr>
      </w:pPr>
      <w:r w:rsidRPr="00476D0F">
        <w:rPr>
          <w:szCs w:val="28"/>
        </w:rPr>
        <w:t>В том числе (раскрывается дополнительный список):</w:t>
      </w:r>
    </w:p>
    <w:p w:rsidR="008F708E" w:rsidRPr="004C72A8" w:rsidRDefault="008F708E" w:rsidP="005C6E50">
      <w:pPr>
        <w:pStyle w:val="af0"/>
        <w:numPr>
          <w:ilvl w:val="2"/>
          <w:numId w:val="122"/>
        </w:numPr>
        <w:ind w:left="1701"/>
        <w:rPr>
          <w:szCs w:val="28"/>
        </w:rPr>
      </w:pPr>
      <w:r>
        <w:rPr>
          <w:color w:val="auto"/>
          <w:szCs w:val="28"/>
        </w:rPr>
        <w:t>Субсидии юридическим лицам:</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5C6E50">
      <w:pPr>
        <w:pStyle w:val="af0"/>
        <w:numPr>
          <w:ilvl w:val="0"/>
          <w:numId w:val="121"/>
        </w:numPr>
        <w:ind w:left="1985" w:hanging="284"/>
        <w:rPr>
          <w:color w:val="auto"/>
          <w:szCs w:val="28"/>
        </w:rPr>
      </w:pPr>
      <w:r>
        <w:rPr>
          <w:color w:val="auto"/>
          <w:szCs w:val="28"/>
        </w:rPr>
        <w:t>Не достигнуто;</w:t>
      </w:r>
    </w:p>
    <w:p w:rsidR="008F708E" w:rsidRDefault="008F708E" w:rsidP="005C6E50">
      <w:pPr>
        <w:pStyle w:val="af0"/>
        <w:numPr>
          <w:ilvl w:val="2"/>
          <w:numId w:val="122"/>
        </w:numPr>
        <w:ind w:left="1701"/>
        <w:rPr>
          <w:color w:val="auto"/>
          <w:szCs w:val="28"/>
        </w:rPr>
      </w:pPr>
      <w:r>
        <w:rPr>
          <w:color w:val="auto"/>
          <w:szCs w:val="28"/>
        </w:rPr>
        <w:t>Субсидии БУ/АУ:</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5C6E50">
      <w:pPr>
        <w:pStyle w:val="af0"/>
        <w:numPr>
          <w:ilvl w:val="0"/>
          <w:numId w:val="121"/>
        </w:numPr>
        <w:ind w:left="1985" w:hanging="284"/>
        <w:rPr>
          <w:color w:val="auto"/>
          <w:szCs w:val="28"/>
        </w:rPr>
      </w:pPr>
      <w:r>
        <w:rPr>
          <w:color w:val="auto"/>
          <w:szCs w:val="28"/>
        </w:rPr>
        <w:t>Не достигнуто;</w:t>
      </w:r>
    </w:p>
    <w:p w:rsidR="008F708E" w:rsidRDefault="008F708E" w:rsidP="005C6E50">
      <w:pPr>
        <w:pStyle w:val="af0"/>
        <w:numPr>
          <w:ilvl w:val="2"/>
          <w:numId w:val="122"/>
        </w:numPr>
        <w:ind w:left="1701"/>
        <w:rPr>
          <w:color w:val="auto"/>
          <w:szCs w:val="28"/>
        </w:rPr>
      </w:pPr>
      <w:r>
        <w:rPr>
          <w:color w:val="auto"/>
          <w:szCs w:val="28"/>
        </w:rPr>
        <w:t>Межбюджетные трансферты субъектам РФ:</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5C6E50">
      <w:pPr>
        <w:pStyle w:val="af0"/>
        <w:numPr>
          <w:ilvl w:val="0"/>
          <w:numId w:val="121"/>
        </w:numPr>
        <w:ind w:left="1985" w:hanging="284"/>
        <w:rPr>
          <w:color w:val="auto"/>
          <w:szCs w:val="28"/>
        </w:rPr>
      </w:pPr>
      <w:r>
        <w:rPr>
          <w:color w:val="auto"/>
          <w:szCs w:val="28"/>
        </w:rPr>
        <w:t>Не достигнуто.</w:t>
      </w:r>
    </w:p>
    <w:p w:rsidR="008F708E" w:rsidRDefault="008F708E" w:rsidP="00920DA5">
      <w:pPr>
        <w:pStyle w:val="-0"/>
      </w:pPr>
      <w:r>
        <w:rPr>
          <w:noProof/>
          <w:snapToGrid/>
        </w:rPr>
        <w:drawing>
          <wp:inline distT="0" distB="0" distL="0" distR="0" wp14:anchorId="132B9CF4" wp14:editId="0B30F597">
            <wp:extent cx="6120130" cy="2603061"/>
            <wp:effectExtent l="0" t="0" r="0" b="6985"/>
            <wp:docPr id="706"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6120130" cy="2603061"/>
                    </a:xfrm>
                    <a:prstGeom prst="rect">
                      <a:avLst/>
                    </a:prstGeom>
                  </pic:spPr>
                </pic:pic>
              </a:graphicData>
            </a:graphic>
          </wp:inline>
        </w:drawing>
      </w:r>
    </w:p>
    <w:p w:rsidR="008F708E" w:rsidRDefault="008F708E" w:rsidP="00920DA5">
      <w:pPr>
        <w:pStyle w:val="-0"/>
      </w:pPr>
      <w:bookmarkStart w:id="638" w:name="_Toc80789134"/>
      <w:bookmarkStart w:id="639" w:name="_Toc119584337"/>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150</w:t>
      </w:r>
      <w:r>
        <w:rPr>
          <w:szCs w:val="28"/>
        </w:rPr>
        <w:fldChar w:fldCharType="end"/>
      </w:r>
      <w:r>
        <w:rPr>
          <w:szCs w:val="28"/>
        </w:rPr>
        <w:t xml:space="preserve"> – </w:t>
      </w:r>
      <w:r>
        <w:rPr>
          <w:rStyle w:val="af1"/>
        </w:rPr>
        <w:t>Макет борда «Бюджет», представление «По этапам - Расходы» (</w:t>
      </w:r>
      <w:r w:rsidRPr="001565E8">
        <w:rPr>
          <w:rStyle w:val="af1"/>
        </w:rPr>
        <w:t xml:space="preserve">в параметре «По </w:t>
      </w:r>
      <w:r w:rsidRPr="00920DA5">
        <w:rPr>
          <w:rStyle w:val="af1"/>
          <w:snapToGrid w:val="0"/>
        </w:rPr>
        <w:t>состоянию</w:t>
      </w:r>
      <w:r w:rsidRPr="001565E8">
        <w:rPr>
          <w:rStyle w:val="af1"/>
        </w:rPr>
        <w:t xml:space="preserve"> на» </w:t>
      </w:r>
      <w:r>
        <w:rPr>
          <w:rStyle w:val="af1"/>
        </w:rPr>
        <w:t xml:space="preserve">выбрано значение </w:t>
      </w:r>
      <w:r w:rsidRPr="001565E8">
        <w:rPr>
          <w:rStyle w:val="af1"/>
        </w:rPr>
        <w:t>01.01.ГГГГ</w:t>
      </w:r>
      <w:r>
        <w:rPr>
          <w:rStyle w:val="af1"/>
        </w:rPr>
        <w:t>)</w:t>
      </w:r>
      <w:bookmarkEnd w:id="638"/>
      <w:bookmarkEnd w:id="639"/>
    </w:p>
    <w:p w:rsidR="008F708E" w:rsidRDefault="008F708E" w:rsidP="008F708E">
      <w:pPr>
        <w:pStyle w:val="af0"/>
        <w:rPr>
          <w:rStyle w:val="af1"/>
        </w:rPr>
      </w:pPr>
      <w:r>
        <w:t xml:space="preserve">Показатели в блоках, если </w:t>
      </w:r>
      <w:r w:rsidRPr="001565E8">
        <w:rPr>
          <w:rStyle w:val="af1"/>
        </w:rPr>
        <w:t>в пара</w:t>
      </w:r>
      <w:r>
        <w:rPr>
          <w:rStyle w:val="af1"/>
        </w:rPr>
        <w:t xml:space="preserve">метре «По состоянию на» выбрано значение </w:t>
      </w:r>
      <w:r w:rsidRPr="001565E8">
        <w:rPr>
          <w:rStyle w:val="af1"/>
        </w:rPr>
        <w:t>01.01.ГГГГ</w:t>
      </w:r>
      <w:r>
        <w:rPr>
          <w:rStyle w:val="af1"/>
        </w:rPr>
        <w:t>:</w:t>
      </w:r>
    </w:p>
    <w:p w:rsidR="008F708E" w:rsidRDefault="008F708E" w:rsidP="005C6E50">
      <w:pPr>
        <w:pStyle w:val="af0"/>
        <w:numPr>
          <w:ilvl w:val="0"/>
          <w:numId w:val="122"/>
        </w:numPr>
        <w:rPr>
          <w:b/>
          <w:szCs w:val="28"/>
        </w:rPr>
      </w:pPr>
      <w:r>
        <w:rPr>
          <w:b/>
          <w:szCs w:val="28"/>
        </w:rPr>
        <w:t>Блок «Лимиты»</w:t>
      </w:r>
    </w:p>
    <w:p w:rsidR="008F708E" w:rsidRPr="004C72A8" w:rsidRDefault="008F708E" w:rsidP="005C6E50">
      <w:pPr>
        <w:pStyle w:val="af0"/>
        <w:numPr>
          <w:ilvl w:val="1"/>
          <w:numId w:val="122"/>
        </w:numPr>
        <w:ind w:left="1276"/>
        <w:rPr>
          <w:szCs w:val="28"/>
        </w:rPr>
      </w:pPr>
      <w:r w:rsidRPr="001565E8">
        <w:rPr>
          <w:szCs w:val="28"/>
        </w:rPr>
        <w:t>Роспись на ГГГГ год</w:t>
      </w:r>
      <w:r>
        <w:rPr>
          <w:szCs w:val="28"/>
        </w:rPr>
        <w:t>;</w:t>
      </w:r>
    </w:p>
    <w:p w:rsidR="008F708E" w:rsidRDefault="008F708E" w:rsidP="005C6E50">
      <w:pPr>
        <w:pStyle w:val="af0"/>
        <w:numPr>
          <w:ilvl w:val="1"/>
          <w:numId w:val="122"/>
        </w:numPr>
        <w:ind w:left="1276"/>
        <w:rPr>
          <w:szCs w:val="28"/>
        </w:rPr>
      </w:pPr>
      <w:r w:rsidRPr="004C72A8">
        <w:rPr>
          <w:szCs w:val="28"/>
        </w:rPr>
        <w:t>Кассовый план ГРБС</w:t>
      </w:r>
      <w:r>
        <w:rPr>
          <w:szCs w:val="28"/>
        </w:rPr>
        <w:t>;</w:t>
      </w:r>
    </w:p>
    <w:p w:rsidR="008F708E" w:rsidRDefault="008F708E" w:rsidP="005C6E50">
      <w:pPr>
        <w:pStyle w:val="af0"/>
        <w:numPr>
          <w:ilvl w:val="1"/>
          <w:numId w:val="122"/>
        </w:numPr>
        <w:ind w:left="1276"/>
        <w:rPr>
          <w:szCs w:val="28"/>
        </w:rPr>
      </w:pPr>
      <w:r>
        <w:rPr>
          <w:szCs w:val="28"/>
        </w:rPr>
        <w:t>Доведено;</w:t>
      </w:r>
    </w:p>
    <w:p w:rsidR="008F708E" w:rsidRDefault="008F708E" w:rsidP="005C6E50">
      <w:pPr>
        <w:pStyle w:val="af0"/>
        <w:numPr>
          <w:ilvl w:val="1"/>
          <w:numId w:val="122"/>
        </w:numPr>
        <w:ind w:left="1276"/>
        <w:rPr>
          <w:szCs w:val="28"/>
        </w:rPr>
      </w:pPr>
      <w:r>
        <w:rPr>
          <w:szCs w:val="28"/>
        </w:rPr>
        <w:t>Распределено;</w:t>
      </w:r>
    </w:p>
    <w:p w:rsidR="008F708E" w:rsidRDefault="008F708E" w:rsidP="005C6E50">
      <w:pPr>
        <w:pStyle w:val="af0"/>
        <w:numPr>
          <w:ilvl w:val="1"/>
          <w:numId w:val="122"/>
        </w:numPr>
        <w:ind w:left="1276"/>
        <w:rPr>
          <w:szCs w:val="28"/>
        </w:rPr>
      </w:pPr>
      <w:r>
        <w:rPr>
          <w:szCs w:val="28"/>
        </w:rPr>
        <w:t>В резерве;</w:t>
      </w:r>
    </w:p>
    <w:p w:rsidR="008F708E" w:rsidRDefault="008F708E" w:rsidP="005C6E50">
      <w:pPr>
        <w:pStyle w:val="af0"/>
        <w:numPr>
          <w:ilvl w:val="1"/>
          <w:numId w:val="122"/>
        </w:numPr>
        <w:ind w:left="1276"/>
        <w:rPr>
          <w:szCs w:val="28"/>
        </w:rPr>
      </w:pPr>
      <w:r>
        <w:rPr>
          <w:szCs w:val="28"/>
        </w:rPr>
        <w:t>Заблокированные и нераспределенные лимиты;</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заключения Минцифры</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снятия ограничений ФАИП</w:t>
      </w:r>
      <w:r>
        <w:rPr>
          <w:szCs w:val="28"/>
        </w:rPr>
        <w:t>;</w:t>
      </w:r>
    </w:p>
    <w:p w:rsidR="008F708E" w:rsidRPr="00476D0F" w:rsidRDefault="008F708E" w:rsidP="005C6E50">
      <w:pPr>
        <w:pStyle w:val="af0"/>
        <w:numPr>
          <w:ilvl w:val="2"/>
          <w:numId w:val="122"/>
        </w:numPr>
        <w:ind w:left="1701"/>
        <w:rPr>
          <w:szCs w:val="28"/>
        </w:rPr>
      </w:pPr>
      <w:r w:rsidRPr="00476D0F">
        <w:rPr>
          <w:szCs w:val="28"/>
        </w:rPr>
        <w:t>Индексация оплаты труда</w:t>
      </w:r>
      <w:r>
        <w:rPr>
          <w:szCs w:val="28"/>
        </w:rPr>
        <w:t>;</w:t>
      </w:r>
    </w:p>
    <w:p w:rsidR="008F708E" w:rsidRPr="00476D0F" w:rsidRDefault="008F708E" w:rsidP="005C6E50">
      <w:pPr>
        <w:pStyle w:val="af0"/>
        <w:numPr>
          <w:ilvl w:val="2"/>
          <w:numId w:val="122"/>
        </w:numPr>
        <w:ind w:left="1701"/>
        <w:rPr>
          <w:szCs w:val="28"/>
        </w:rPr>
      </w:pPr>
      <w:r w:rsidRPr="00476D0F">
        <w:rPr>
          <w:szCs w:val="28"/>
        </w:rPr>
        <w:t>Заблокировано до утверждения НПА</w:t>
      </w:r>
      <w:r>
        <w:rPr>
          <w:szCs w:val="28"/>
        </w:rPr>
        <w:t>;</w:t>
      </w:r>
    </w:p>
    <w:p w:rsidR="008F708E" w:rsidRPr="00476D0F" w:rsidRDefault="008F708E" w:rsidP="005C6E50">
      <w:pPr>
        <w:pStyle w:val="af0"/>
        <w:numPr>
          <w:ilvl w:val="2"/>
          <w:numId w:val="122"/>
        </w:numPr>
        <w:ind w:left="1701"/>
        <w:rPr>
          <w:szCs w:val="28"/>
        </w:rPr>
      </w:pPr>
      <w:r w:rsidRPr="00476D0F">
        <w:rPr>
          <w:szCs w:val="28"/>
        </w:rPr>
        <w:t>Нераспределенные ЛБО</w:t>
      </w:r>
      <w:r>
        <w:rPr>
          <w:szCs w:val="28"/>
        </w:rPr>
        <w:t>;</w:t>
      </w:r>
    </w:p>
    <w:p w:rsidR="008F708E" w:rsidRPr="00476D0F" w:rsidRDefault="008F708E" w:rsidP="005C6E50">
      <w:pPr>
        <w:pStyle w:val="af0"/>
        <w:numPr>
          <w:ilvl w:val="2"/>
          <w:numId w:val="122"/>
        </w:numPr>
        <w:ind w:left="1701"/>
        <w:rPr>
          <w:szCs w:val="28"/>
        </w:rPr>
      </w:pPr>
      <w:r>
        <w:rPr>
          <w:szCs w:val="28"/>
        </w:rPr>
        <w:t>Иное.</w:t>
      </w:r>
    </w:p>
    <w:p w:rsidR="008F708E" w:rsidRDefault="008F708E" w:rsidP="005C6E50">
      <w:pPr>
        <w:pStyle w:val="af0"/>
        <w:numPr>
          <w:ilvl w:val="0"/>
          <w:numId w:val="122"/>
        </w:numPr>
        <w:rPr>
          <w:b/>
          <w:szCs w:val="28"/>
        </w:rPr>
      </w:pPr>
      <w:r>
        <w:rPr>
          <w:b/>
          <w:szCs w:val="28"/>
        </w:rPr>
        <w:t>Блок «Бюджетные обязательства»</w:t>
      </w:r>
    </w:p>
    <w:p w:rsidR="008F708E" w:rsidRPr="00476D0F" w:rsidRDefault="008F708E" w:rsidP="005C6E50">
      <w:pPr>
        <w:pStyle w:val="af0"/>
        <w:numPr>
          <w:ilvl w:val="1"/>
          <w:numId w:val="122"/>
        </w:numPr>
        <w:ind w:left="1276"/>
        <w:rPr>
          <w:szCs w:val="28"/>
        </w:rPr>
      </w:pPr>
      <w:r w:rsidRPr="00476D0F">
        <w:rPr>
          <w:szCs w:val="28"/>
        </w:rPr>
        <w:t>Принятые обязательства</w:t>
      </w:r>
      <w:r>
        <w:rPr>
          <w:szCs w:val="28"/>
        </w:rPr>
        <w:t>;</w:t>
      </w:r>
    </w:p>
    <w:p w:rsidR="008F708E" w:rsidRPr="00476D0F" w:rsidRDefault="008F708E" w:rsidP="005C6E50">
      <w:pPr>
        <w:pStyle w:val="af0"/>
        <w:numPr>
          <w:ilvl w:val="1"/>
          <w:numId w:val="122"/>
        </w:numPr>
        <w:ind w:left="1276"/>
        <w:rPr>
          <w:szCs w:val="28"/>
        </w:rPr>
      </w:pPr>
      <w:r w:rsidRPr="00476D0F">
        <w:rPr>
          <w:szCs w:val="28"/>
        </w:rPr>
        <w:t>Действующие обязательства</w:t>
      </w:r>
      <w:r>
        <w:rPr>
          <w:szCs w:val="28"/>
        </w:rPr>
        <w:t>;</w:t>
      </w:r>
    </w:p>
    <w:p w:rsidR="008F708E" w:rsidRPr="00476D0F" w:rsidRDefault="008F708E" w:rsidP="005C6E50">
      <w:pPr>
        <w:pStyle w:val="af0"/>
        <w:numPr>
          <w:ilvl w:val="1"/>
          <w:numId w:val="122"/>
        </w:numPr>
        <w:ind w:left="1276"/>
        <w:rPr>
          <w:szCs w:val="28"/>
        </w:rPr>
      </w:pPr>
      <w:r w:rsidRPr="00476D0F">
        <w:rPr>
          <w:szCs w:val="28"/>
        </w:rPr>
        <w:t>Не принятые обязательства</w:t>
      </w:r>
      <w:r>
        <w:rPr>
          <w:szCs w:val="28"/>
        </w:rPr>
        <w:t>;</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Default="008F708E" w:rsidP="005C6E50">
      <w:pPr>
        <w:pStyle w:val="af0"/>
        <w:numPr>
          <w:ilvl w:val="2"/>
          <w:numId w:val="122"/>
        </w:numPr>
        <w:ind w:left="1701"/>
        <w:rPr>
          <w:szCs w:val="28"/>
        </w:rPr>
      </w:pPr>
      <w:r>
        <w:rPr>
          <w:szCs w:val="28"/>
        </w:rPr>
        <w:t>Не заключены контракты на поставку товаров (работ,услуг);</w:t>
      </w:r>
    </w:p>
    <w:p w:rsidR="008F708E" w:rsidRDefault="008F708E" w:rsidP="005C6E50">
      <w:pPr>
        <w:pStyle w:val="af0"/>
        <w:numPr>
          <w:ilvl w:val="2"/>
          <w:numId w:val="122"/>
        </w:numPr>
        <w:ind w:left="1701"/>
        <w:rPr>
          <w:szCs w:val="28"/>
        </w:rPr>
      </w:pPr>
      <w:r>
        <w:rPr>
          <w:szCs w:val="28"/>
        </w:rPr>
        <w:t>Не заключены соглашения с субъектами РФ на МБТ;</w:t>
      </w:r>
    </w:p>
    <w:p w:rsidR="008F708E" w:rsidRDefault="008F708E" w:rsidP="005C6E50">
      <w:pPr>
        <w:pStyle w:val="af0"/>
        <w:numPr>
          <w:ilvl w:val="2"/>
          <w:numId w:val="122"/>
        </w:numPr>
        <w:ind w:left="1701"/>
        <w:rPr>
          <w:szCs w:val="28"/>
        </w:rPr>
      </w:pPr>
      <w:r>
        <w:rPr>
          <w:szCs w:val="28"/>
        </w:rPr>
        <w:t>Не заключены соглашения с юридическими лицами;</w:t>
      </w:r>
    </w:p>
    <w:p w:rsidR="008F708E" w:rsidRDefault="008F708E" w:rsidP="005C6E50">
      <w:pPr>
        <w:pStyle w:val="af0"/>
        <w:numPr>
          <w:ilvl w:val="2"/>
          <w:numId w:val="122"/>
        </w:numPr>
        <w:ind w:left="1701"/>
        <w:rPr>
          <w:szCs w:val="28"/>
        </w:rPr>
      </w:pPr>
      <w:r>
        <w:rPr>
          <w:szCs w:val="28"/>
        </w:rPr>
        <w:t>Не заключены соглашения с БУ/АУ на гос.задания;</w:t>
      </w:r>
    </w:p>
    <w:p w:rsidR="008F708E" w:rsidRDefault="008F708E" w:rsidP="005C6E50">
      <w:pPr>
        <w:pStyle w:val="af0"/>
        <w:numPr>
          <w:ilvl w:val="2"/>
          <w:numId w:val="122"/>
        </w:numPr>
        <w:ind w:left="1701"/>
        <w:rPr>
          <w:szCs w:val="28"/>
        </w:rPr>
      </w:pPr>
      <w:r>
        <w:rPr>
          <w:szCs w:val="28"/>
        </w:rPr>
        <w:t>Не заключены соглашения с БУ/АУ на иные цели (в том числе на капвложения).</w:t>
      </w:r>
    </w:p>
    <w:p w:rsidR="008F708E" w:rsidRDefault="008F708E" w:rsidP="005C6E50">
      <w:pPr>
        <w:pStyle w:val="af0"/>
        <w:numPr>
          <w:ilvl w:val="0"/>
          <w:numId w:val="122"/>
        </w:numPr>
        <w:rPr>
          <w:b/>
          <w:szCs w:val="28"/>
        </w:rPr>
      </w:pPr>
      <w:r>
        <w:rPr>
          <w:b/>
          <w:szCs w:val="28"/>
        </w:rPr>
        <w:t>Блок «Исполнение»</w:t>
      </w:r>
    </w:p>
    <w:p w:rsidR="008F708E" w:rsidRPr="00476D0F" w:rsidRDefault="008F708E" w:rsidP="005C6E50">
      <w:pPr>
        <w:pStyle w:val="af0"/>
        <w:numPr>
          <w:ilvl w:val="1"/>
          <w:numId w:val="122"/>
        </w:numPr>
        <w:ind w:left="1276"/>
        <w:rPr>
          <w:szCs w:val="28"/>
        </w:rPr>
      </w:pPr>
      <w:r w:rsidRPr="00476D0F">
        <w:rPr>
          <w:szCs w:val="28"/>
        </w:rPr>
        <w:t>Факт</w:t>
      </w:r>
      <w:r>
        <w:rPr>
          <w:szCs w:val="28"/>
        </w:rPr>
        <w:t>;</w:t>
      </w:r>
    </w:p>
    <w:p w:rsidR="008F708E" w:rsidRPr="00476D0F" w:rsidRDefault="008F708E" w:rsidP="005C6E50">
      <w:pPr>
        <w:pStyle w:val="af0"/>
        <w:numPr>
          <w:ilvl w:val="1"/>
          <w:numId w:val="122"/>
        </w:numPr>
        <w:ind w:left="1276"/>
        <w:rPr>
          <w:szCs w:val="28"/>
        </w:rPr>
      </w:pPr>
      <w:r>
        <w:rPr>
          <w:szCs w:val="28"/>
        </w:rPr>
        <w:t>Отклонение от росписи;</w:t>
      </w:r>
    </w:p>
    <w:p w:rsidR="008F708E" w:rsidRDefault="008F708E" w:rsidP="008F708E">
      <w:pPr>
        <w:pStyle w:val="af0"/>
        <w:ind w:left="1276" w:firstLine="0"/>
        <w:rPr>
          <w:szCs w:val="28"/>
        </w:rPr>
      </w:pPr>
      <w:r>
        <w:rPr>
          <w:szCs w:val="28"/>
        </w:rPr>
        <w:t>Формула отклонения росписи;</w:t>
      </w:r>
    </w:p>
    <w:p w:rsidR="008F708E" w:rsidRPr="00476D0F" w:rsidRDefault="008F708E" w:rsidP="005C6E50">
      <w:pPr>
        <w:pStyle w:val="af0"/>
        <w:numPr>
          <w:ilvl w:val="1"/>
          <w:numId w:val="122"/>
        </w:numPr>
        <w:ind w:left="1276"/>
        <w:rPr>
          <w:szCs w:val="28"/>
        </w:rPr>
      </w:pPr>
      <w:r>
        <w:rPr>
          <w:szCs w:val="28"/>
        </w:rPr>
        <w:t>Не исполнено по кассе:</w:t>
      </w:r>
    </w:p>
    <w:p w:rsidR="008F708E" w:rsidRDefault="008F708E" w:rsidP="008F708E">
      <w:pPr>
        <w:pStyle w:val="af0"/>
        <w:ind w:left="1276" w:firstLine="0"/>
        <w:rPr>
          <w:szCs w:val="28"/>
        </w:rPr>
      </w:pPr>
      <w:r>
        <w:rPr>
          <w:szCs w:val="28"/>
        </w:rPr>
        <w:t>В том числе (</w:t>
      </w:r>
      <w:r w:rsidRPr="00476D0F">
        <w:rPr>
          <w:szCs w:val="28"/>
        </w:rPr>
        <w:t>раскрывается дополнительный список</w:t>
      </w:r>
      <w:r>
        <w:rPr>
          <w:szCs w:val="28"/>
        </w:rPr>
        <w:t>):</w:t>
      </w:r>
    </w:p>
    <w:p w:rsidR="008F708E" w:rsidRDefault="008F708E" w:rsidP="005C6E50">
      <w:pPr>
        <w:pStyle w:val="af0"/>
        <w:numPr>
          <w:ilvl w:val="2"/>
          <w:numId w:val="122"/>
        </w:numPr>
        <w:ind w:left="1701"/>
        <w:rPr>
          <w:szCs w:val="28"/>
        </w:rPr>
      </w:pPr>
      <w:r>
        <w:rPr>
          <w:szCs w:val="28"/>
        </w:rPr>
        <w:t>По контрактам на поставку товаров (работ,услуг);</w:t>
      </w:r>
    </w:p>
    <w:p w:rsidR="008F708E" w:rsidRDefault="008F708E" w:rsidP="005C6E50">
      <w:pPr>
        <w:pStyle w:val="af0"/>
        <w:numPr>
          <w:ilvl w:val="2"/>
          <w:numId w:val="122"/>
        </w:numPr>
        <w:ind w:left="1701"/>
        <w:rPr>
          <w:szCs w:val="28"/>
        </w:rPr>
      </w:pPr>
      <w:r>
        <w:rPr>
          <w:szCs w:val="28"/>
        </w:rPr>
        <w:t>По соглашениям с субъектами РФ на МБТ;</w:t>
      </w:r>
    </w:p>
    <w:p w:rsidR="008F708E" w:rsidRDefault="008F708E" w:rsidP="005C6E50">
      <w:pPr>
        <w:pStyle w:val="af0"/>
        <w:numPr>
          <w:ilvl w:val="2"/>
          <w:numId w:val="122"/>
        </w:numPr>
        <w:ind w:left="1701"/>
        <w:rPr>
          <w:szCs w:val="28"/>
        </w:rPr>
      </w:pPr>
      <w:r>
        <w:rPr>
          <w:szCs w:val="28"/>
        </w:rPr>
        <w:t>По соглашениям с юридическими лицами;</w:t>
      </w:r>
    </w:p>
    <w:p w:rsidR="008F708E" w:rsidRDefault="008F708E" w:rsidP="005C6E50">
      <w:pPr>
        <w:pStyle w:val="af0"/>
        <w:numPr>
          <w:ilvl w:val="2"/>
          <w:numId w:val="122"/>
        </w:numPr>
        <w:ind w:left="1701"/>
        <w:rPr>
          <w:szCs w:val="28"/>
        </w:rPr>
      </w:pPr>
      <w:r>
        <w:rPr>
          <w:szCs w:val="28"/>
        </w:rPr>
        <w:t>По соглашениям с БУ/АУ на гос.задания;</w:t>
      </w:r>
    </w:p>
    <w:p w:rsidR="008F708E" w:rsidRDefault="008F708E" w:rsidP="005C6E50">
      <w:pPr>
        <w:pStyle w:val="af0"/>
        <w:numPr>
          <w:ilvl w:val="2"/>
          <w:numId w:val="122"/>
        </w:numPr>
        <w:ind w:left="1701"/>
        <w:rPr>
          <w:szCs w:val="28"/>
        </w:rPr>
      </w:pPr>
      <w:r>
        <w:rPr>
          <w:szCs w:val="28"/>
        </w:rPr>
        <w:t>По соглашениям с БУ/АУ на иные цели (в том числе на капвложения);</w:t>
      </w:r>
    </w:p>
    <w:p w:rsidR="008F708E" w:rsidRPr="00476D0F" w:rsidRDefault="008F708E" w:rsidP="005C6E50">
      <w:pPr>
        <w:pStyle w:val="af0"/>
        <w:numPr>
          <w:ilvl w:val="2"/>
          <w:numId w:val="122"/>
        </w:numPr>
        <w:ind w:left="1701"/>
        <w:rPr>
          <w:szCs w:val="28"/>
        </w:rPr>
      </w:pPr>
      <w:r>
        <w:rPr>
          <w:szCs w:val="28"/>
        </w:rPr>
        <w:t>Иных обязательств.</w:t>
      </w:r>
    </w:p>
    <w:p w:rsidR="008F708E" w:rsidRDefault="008F708E" w:rsidP="005C6E50">
      <w:pPr>
        <w:pStyle w:val="af0"/>
        <w:numPr>
          <w:ilvl w:val="0"/>
          <w:numId w:val="122"/>
        </w:numPr>
        <w:rPr>
          <w:b/>
          <w:szCs w:val="28"/>
        </w:rPr>
      </w:pPr>
      <w:r>
        <w:rPr>
          <w:b/>
          <w:szCs w:val="28"/>
        </w:rPr>
        <w:t>Блок «Результаты предоставления субсидий»</w:t>
      </w:r>
    </w:p>
    <w:p w:rsidR="008F708E" w:rsidRPr="00476D0F" w:rsidRDefault="008F708E" w:rsidP="005C6E50">
      <w:pPr>
        <w:pStyle w:val="af0"/>
        <w:numPr>
          <w:ilvl w:val="1"/>
          <w:numId w:val="122"/>
        </w:numPr>
        <w:ind w:left="1276"/>
        <w:rPr>
          <w:szCs w:val="28"/>
        </w:rPr>
      </w:pPr>
      <w:r w:rsidRPr="00476D0F">
        <w:rPr>
          <w:szCs w:val="28"/>
        </w:rPr>
        <w:t>Количество субсидий</w:t>
      </w:r>
      <w:r>
        <w:rPr>
          <w:szCs w:val="28"/>
        </w:rPr>
        <w:t>;</w:t>
      </w:r>
    </w:p>
    <w:p w:rsidR="008F708E" w:rsidRPr="00476D0F" w:rsidRDefault="008F708E" w:rsidP="005C6E50">
      <w:pPr>
        <w:pStyle w:val="af0"/>
        <w:numPr>
          <w:ilvl w:val="1"/>
          <w:numId w:val="122"/>
        </w:numPr>
        <w:ind w:left="1276"/>
        <w:rPr>
          <w:szCs w:val="28"/>
        </w:rPr>
      </w:pPr>
      <w:r w:rsidRPr="00476D0F">
        <w:rPr>
          <w:szCs w:val="28"/>
        </w:rPr>
        <w:t>Результаты</w:t>
      </w:r>
      <w:r>
        <w:rPr>
          <w:szCs w:val="28"/>
        </w:rPr>
        <w:t>;</w:t>
      </w:r>
    </w:p>
    <w:p w:rsidR="008F708E" w:rsidRPr="00476D0F" w:rsidRDefault="008F708E" w:rsidP="008F708E">
      <w:pPr>
        <w:pStyle w:val="af0"/>
        <w:ind w:left="1276" w:firstLine="0"/>
        <w:rPr>
          <w:szCs w:val="28"/>
        </w:rPr>
      </w:pPr>
      <w:r w:rsidRPr="00476D0F">
        <w:rPr>
          <w:szCs w:val="28"/>
        </w:rPr>
        <w:t>В том числе (раскрывается дополнительный список):</w:t>
      </w:r>
    </w:p>
    <w:p w:rsidR="008F708E" w:rsidRPr="004C72A8" w:rsidRDefault="008F708E" w:rsidP="005C6E50">
      <w:pPr>
        <w:pStyle w:val="af0"/>
        <w:numPr>
          <w:ilvl w:val="2"/>
          <w:numId w:val="122"/>
        </w:numPr>
        <w:ind w:left="1701"/>
        <w:rPr>
          <w:szCs w:val="28"/>
        </w:rPr>
      </w:pPr>
      <w:r>
        <w:rPr>
          <w:color w:val="auto"/>
          <w:szCs w:val="28"/>
        </w:rPr>
        <w:t>Субсидии юридическим лицам:</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5C6E50">
      <w:pPr>
        <w:pStyle w:val="af0"/>
        <w:numPr>
          <w:ilvl w:val="2"/>
          <w:numId w:val="122"/>
        </w:numPr>
        <w:ind w:left="1701"/>
        <w:rPr>
          <w:color w:val="auto"/>
          <w:szCs w:val="28"/>
        </w:rPr>
      </w:pPr>
      <w:r>
        <w:rPr>
          <w:color w:val="auto"/>
          <w:szCs w:val="28"/>
        </w:rPr>
        <w:t>Субсидии БУ/АУ:</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5C6E50">
      <w:pPr>
        <w:pStyle w:val="af0"/>
        <w:numPr>
          <w:ilvl w:val="2"/>
          <w:numId w:val="122"/>
        </w:numPr>
        <w:ind w:left="1701"/>
        <w:rPr>
          <w:color w:val="auto"/>
          <w:szCs w:val="28"/>
        </w:rPr>
      </w:pPr>
      <w:r>
        <w:rPr>
          <w:color w:val="auto"/>
          <w:szCs w:val="28"/>
        </w:rPr>
        <w:t>Межбюджетные трансферты субъектам РФ:</w:t>
      </w:r>
    </w:p>
    <w:p w:rsidR="008F708E" w:rsidRDefault="008F708E" w:rsidP="005C6E50">
      <w:pPr>
        <w:pStyle w:val="af0"/>
        <w:numPr>
          <w:ilvl w:val="0"/>
          <w:numId w:val="121"/>
        </w:numPr>
        <w:ind w:left="1985" w:hanging="284"/>
        <w:rPr>
          <w:color w:val="auto"/>
          <w:szCs w:val="28"/>
        </w:rPr>
      </w:pPr>
      <w:r>
        <w:rPr>
          <w:color w:val="auto"/>
          <w:szCs w:val="28"/>
        </w:rPr>
        <w:t>Количество субсидий;</w:t>
      </w:r>
    </w:p>
    <w:p w:rsidR="008F708E" w:rsidRDefault="008F708E" w:rsidP="005C6E50">
      <w:pPr>
        <w:pStyle w:val="af0"/>
        <w:numPr>
          <w:ilvl w:val="0"/>
          <w:numId w:val="121"/>
        </w:numPr>
        <w:ind w:left="1985" w:hanging="284"/>
        <w:rPr>
          <w:color w:val="auto"/>
          <w:szCs w:val="28"/>
        </w:rPr>
      </w:pPr>
      <w:r>
        <w:rPr>
          <w:color w:val="auto"/>
          <w:szCs w:val="28"/>
        </w:rPr>
        <w:t>Результаты.</w:t>
      </w:r>
    </w:p>
    <w:p w:rsidR="008F708E" w:rsidRDefault="008F708E" w:rsidP="00920DA5">
      <w:pPr>
        <w:pStyle w:val="af0"/>
      </w:pPr>
      <w:r w:rsidRPr="00920DA5">
        <w:t>Описание</w:t>
      </w:r>
      <w:r>
        <w:t xml:space="preserve"> источников и формул расчета показателей представлены в таблице </w:t>
      </w:r>
      <w:r>
        <w:fldChar w:fldCharType="begin"/>
      </w:r>
      <w:r>
        <w:instrText xml:space="preserve"> REF табл13 \h </w:instrText>
      </w:r>
      <w:r>
        <w:fldChar w:fldCharType="separate"/>
      </w:r>
      <w:r w:rsidR="00BF0BEE">
        <w:rPr>
          <w:noProof/>
        </w:rPr>
        <w:t>25</w:t>
      </w:r>
      <w:r>
        <w:fldChar w:fldCharType="end"/>
      </w:r>
      <w:r>
        <w:t>.</w:t>
      </w:r>
    </w:p>
    <w:p w:rsidR="008F708E" w:rsidRPr="00DE3AEE" w:rsidRDefault="008F708E" w:rsidP="008F708E">
      <w:pPr>
        <w:pStyle w:val="-"/>
      </w:pPr>
      <w:bookmarkStart w:id="640" w:name="_Toc80789116"/>
      <w:bookmarkStart w:id="641" w:name="_Toc119585166"/>
      <w:r>
        <w:t xml:space="preserve">Таблица </w:t>
      </w:r>
      <w:bookmarkStart w:id="642" w:name="табл13"/>
      <w:r>
        <w:fldChar w:fldCharType="begin"/>
      </w:r>
      <w:r>
        <w:instrText xml:space="preserve"> SEQ Таблица \* ARABIC </w:instrText>
      </w:r>
      <w:r>
        <w:fldChar w:fldCharType="separate"/>
      </w:r>
      <w:r w:rsidR="00BF0BEE">
        <w:rPr>
          <w:noProof/>
        </w:rPr>
        <w:t>25</w:t>
      </w:r>
      <w:r>
        <w:fldChar w:fldCharType="end"/>
      </w:r>
      <w:bookmarkEnd w:id="642"/>
      <w:r>
        <w:t xml:space="preserve"> – Показатели п</w:t>
      </w:r>
      <w:r w:rsidRPr="00DE3AEE">
        <w:t>редставлени</w:t>
      </w:r>
      <w:r>
        <w:t>я</w:t>
      </w:r>
      <w:r w:rsidRPr="00DE3AEE">
        <w:t xml:space="preserve"> «По этапам - Расходы»</w:t>
      </w:r>
      <w:bookmarkEnd w:id="640"/>
      <w:bookmarkEnd w:id="641"/>
    </w:p>
    <w:tbl>
      <w:tblPr>
        <w:tblW w:w="946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662"/>
      </w:tblGrid>
      <w:tr w:rsidR="008F708E" w:rsidRPr="0032031B" w:rsidTr="008F708E">
        <w:trPr>
          <w:tblHeader/>
        </w:trPr>
        <w:tc>
          <w:tcPr>
            <w:tcW w:w="2801"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6662"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2801" w:type="dxa"/>
            <w:shd w:val="clear" w:color="auto" w:fill="808080" w:themeFill="background1" w:themeFillShade="80"/>
          </w:tcPr>
          <w:p w:rsidR="008F708E" w:rsidRPr="003B5160" w:rsidRDefault="008F708E" w:rsidP="008F708E">
            <w:pPr>
              <w:pStyle w:val="af0"/>
              <w:ind w:firstLine="0"/>
              <w:jc w:val="left"/>
              <w:rPr>
                <w:color w:val="auto"/>
                <w:sz w:val="24"/>
                <w:szCs w:val="24"/>
              </w:rPr>
            </w:pPr>
          </w:p>
        </w:tc>
        <w:tc>
          <w:tcPr>
            <w:tcW w:w="6662" w:type="dxa"/>
            <w:shd w:val="clear" w:color="auto" w:fill="808080" w:themeFill="background1" w:themeFillShade="80"/>
          </w:tcPr>
          <w:p w:rsidR="008F708E" w:rsidRPr="00030820" w:rsidRDefault="008F708E" w:rsidP="008F708E">
            <w:pPr>
              <w:pStyle w:val="af0"/>
              <w:ind w:firstLine="0"/>
              <w:jc w:val="left"/>
              <w:rPr>
                <w:b/>
                <w:color w:val="auto"/>
                <w:sz w:val="24"/>
                <w:szCs w:val="24"/>
              </w:rPr>
            </w:pPr>
            <w:r w:rsidRPr="00030820">
              <w:rPr>
                <w:b/>
                <w:color w:val="auto"/>
                <w:sz w:val="24"/>
                <w:szCs w:val="24"/>
              </w:rPr>
              <w:t>ЭТАП «ЛИМИТЫ»</w:t>
            </w:r>
          </w:p>
        </w:tc>
      </w:tr>
      <w:tr w:rsidR="008F708E" w:rsidRPr="0032031B" w:rsidTr="008F708E">
        <w:tc>
          <w:tcPr>
            <w:tcW w:w="2801" w:type="dxa"/>
            <w:shd w:val="clear" w:color="auto" w:fill="F2F2F2" w:themeFill="background1" w:themeFillShade="F2"/>
          </w:tcPr>
          <w:p w:rsidR="008F708E" w:rsidRPr="003B5160" w:rsidRDefault="008F708E" w:rsidP="008F708E">
            <w:pPr>
              <w:pStyle w:val="af0"/>
              <w:ind w:firstLine="0"/>
              <w:jc w:val="left"/>
              <w:rPr>
                <w:color w:val="auto"/>
                <w:sz w:val="24"/>
                <w:szCs w:val="24"/>
              </w:rPr>
            </w:pPr>
            <w:r w:rsidRPr="003B5160">
              <w:rPr>
                <w:color w:val="auto"/>
                <w:sz w:val="24"/>
                <w:szCs w:val="24"/>
              </w:rPr>
              <w:t>Роспись на ГГГГ год, где ГГГГ - значение из параметра «Год».</w:t>
            </w:r>
          </w:p>
        </w:tc>
        <w:tc>
          <w:tcPr>
            <w:tcW w:w="6662" w:type="dxa"/>
            <w:shd w:val="clear" w:color="auto" w:fill="auto"/>
          </w:tcPr>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 «ГАБС» установлено значение «Все».</w:t>
            </w:r>
          </w:p>
          <w:p w:rsidR="008F708E" w:rsidRPr="003B5160" w:rsidRDefault="008F708E" w:rsidP="008F708E">
            <w:pPr>
              <w:pStyle w:val="af0"/>
              <w:ind w:firstLine="0"/>
              <w:jc w:val="left"/>
              <w:rPr>
                <w:color w:val="auto"/>
                <w:sz w:val="24"/>
                <w:szCs w:val="24"/>
              </w:rPr>
            </w:pPr>
            <w:r w:rsidRPr="003B5160">
              <w:rPr>
                <w:color w:val="auto"/>
                <w:sz w:val="24"/>
                <w:szCs w:val="24"/>
              </w:rPr>
              <w:t>Источник:</w:t>
            </w:r>
          </w:p>
          <w:p w:rsidR="008F708E" w:rsidRPr="003B5160" w:rsidRDefault="008F708E" w:rsidP="008F708E">
            <w:pPr>
              <w:pStyle w:val="af0"/>
              <w:ind w:firstLine="0"/>
              <w:jc w:val="left"/>
              <w:rPr>
                <w:color w:val="auto"/>
                <w:sz w:val="24"/>
                <w:szCs w:val="24"/>
              </w:rPr>
            </w:pPr>
            <w:r w:rsidRPr="003B5160">
              <w:rPr>
                <w:color w:val="auto"/>
                <w:sz w:val="24"/>
                <w:szCs w:val="24"/>
              </w:rPr>
              <w:t>АСФК, форма 0504072, раздел «4 Расходы КВР» (с закрытой частью), показатель «Утверждено БА».</w:t>
            </w:r>
          </w:p>
          <w:p w:rsidR="008F708E" w:rsidRPr="003B5160" w:rsidRDefault="008F708E" w:rsidP="008F708E">
            <w:pPr>
              <w:pStyle w:val="af0"/>
              <w:ind w:firstLine="0"/>
              <w:jc w:val="left"/>
              <w:rPr>
                <w:color w:val="auto"/>
                <w:sz w:val="24"/>
                <w:szCs w:val="24"/>
              </w:rPr>
            </w:pPr>
          </w:p>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и/или «ГАБС» установлены значения не равные значению «Все».</w:t>
            </w:r>
          </w:p>
          <w:p w:rsidR="008F708E" w:rsidRPr="003B5160" w:rsidRDefault="008F708E" w:rsidP="008F708E">
            <w:pPr>
              <w:pStyle w:val="af0"/>
              <w:ind w:firstLine="0"/>
              <w:jc w:val="left"/>
              <w:rPr>
                <w:color w:val="auto"/>
                <w:sz w:val="24"/>
                <w:szCs w:val="24"/>
              </w:rPr>
            </w:pPr>
            <w:r w:rsidRPr="003B5160">
              <w:rPr>
                <w:sz w:val="24"/>
                <w:szCs w:val="24"/>
              </w:rPr>
              <w:t>ПБП, набор «Мониторинг исполнения федерального бюджета в части бюджетных ассигнований», показатель «БА текущий год (СБР на дату)».</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Доведено</w:t>
            </w:r>
          </w:p>
        </w:tc>
        <w:tc>
          <w:tcPr>
            <w:tcW w:w="6662" w:type="dxa"/>
            <w:shd w:val="clear" w:color="auto" w:fill="auto"/>
          </w:tcPr>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 «ГАБС» установлено значение «Все».</w:t>
            </w:r>
          </w:p>
          <w:p w:rsidR="008F708E" w:rsidRPr="003B5160" w:rsidRDefault="008F708E" w:rsidP="008F708E">
            <w:pPr>
              <w:pStyle w:val="af0"/>
              <w:ind w:firstLine="0"/>
              <w:jc w:val="left"/>
              <w:rPr>
                <w:color w:val="auto"/>
                <w:sz w:val="24"/>
                <w:szCs w:val="24"/>
              </w:rPr>
            </w:pPr>
            <w:r>
              <w:rPr>
                <w:color w:val="auto"/>
                <w:sz w:val="24"/>
                <w:szCs w:val="24"/>
              </w:rPr>
              <w:t>Формула</w:t>
            </w:r>
            <w:r w:rsidRPr="003B5160">
              <w:rPr>
                <w:color w:val="auto"/>
                <w:sz w:val="24"/>
                <w:szCs w:val="24"/>
              </w:rPr>
              <w:t>:</w:t>
            </w:r>
          </w:p>
          <w:p w:rsidR="008F708E" w:rsidRPr="003B5160" w:rsidRDefault="008F708E" w:rsidP="008F708E">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«Доведенные ЛБО до ГРБС»</w:t>
            </w:r>
            <w:r>
              <w:rPr>
                <w:color w:val="auto"/>
                <w:sz w:val="24"/>
                <w:szCs w:val="24"/>
              </w:rPr>
              <w:t xml:space="preserve"> ПЛЮС «</w:t>
            </w:r>
            <w:r w:rsidRPr="003B5160">
              <w:rPr>
                <w:color w:val="auto"/>
                <w:sz w:val="24"/>
                <w:szCs w:val="24"/>
              </w:rPr>
              <w:t>Бюджетные ассигнования на исполнение ПНО, доведено ФК</w:t>
            </w:r>
            <w:r>
              <w:rPr>
                <w:color w:val="auto"/>
                <w:sz w:val="24"/>
                <w:szCs w:val="24"/>
              </w:rPr>
              <w:t>»</w:t>
            </w:r>
            <w:r w:rsidRPr="003B5160">
              <w:rPr>
                <w:color w:val="auto"/>
                <w:sz w:val="24"/>
                <w:szCs w:val="24"/>
              </w:rPr>
              <w:t>.</w:t>
            </w:r>
          </w:p>
          <w:p w:rsidR="008F708E" w:rsidRPr="003B5160" w:rsidRDefault="008F708E" w:rsidP="008F708E">
            <w:pPr>
              <w:pStyle w:val="af0"/>
              <w:ind w:firstLine="0"/>
              <w:jc w:val="left"/>
              <w:rPr>
                <w:color w:val="auto"/>
                <w:sz w:val="24"/>
                <w:szCs w:val="24"/>
              </w:rPr>
            </w:pPr>
          </w:p>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и/или «ГАБС» установлены значения не равные значению «Все».</w:t>
            </w:r>
          </w:p>
          <w:p w:rsidR="008F708E" w:rsidRPr="003B5160" w:rsidRDefault="008F708E" w:rsidP="008F708E">
            <w:pPr>
              <w:pStyle w:val="af0"/>
              <w:ind w:firstLine="0"/>
              <w:jc w:val="left"/>
              <w:rPr>
                <w:color w:val="auto"/>
                <w:sz w:val="24"/>
                <w:szCs w:val="24"/>
              </w:rPr>
            </w:pPr>
            <w:r>
              <w:rPr>
                <w:color w:val="auto"/>
                <w:sz w:val="24"/>
                <w:szCs w:val="24"/>
              </w:rPr>
              <w:t>Формула</w:t>
            </w:r>
            <w:r w:rsidRPr="003B5160">
              <w:rPr>
                <w:color w:val="auto"/>
                <w:sz w:val="24"/>
                <w:szCs w:val="24"/>
              </w:rPr>
              <w:t>:</w:t>
            </w:r>
          </w:p>
          <w:p w:rsidR="008F708E" w:rsidRDefault="008F708E" w:rsidP="008F708E">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«Доведенные ЛБО до ГРБС»</w:t>
            </w:r>
            <w:r>
              <w:rPr>
                <w:color w:val="auto"/>
                <w:sz w:val="24"/>
                <w:szCs w:val="24"/>
              </w:rPr>
              <w:t xml:space="preserve"> ПЛЮС «</w:t>
            </w:r>
            <w:r w:rsidRPr="003B5160">
              <w:rPr>
                <w:color w:val="auto"/>
                <w:sz w:val="24"/>
                <w:szCs w:val="24"/>
              </w:rPr>
              <w:t>Бюджетные ассигнования на исполнение ПНО, доведено ФК</w:t>
            </w:r>
            <w:r>
              <w:rPr>
                <w:color w:val="auto"/>
                <w:sz w:val="24"/>
                <w:szCs w:val="24"/>
              </w:rPr>
              <w:t>»</w:t>
            </w:r>
            <w:r w:rsidRPr="003B5160">
              <w:rPr>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Распределено</w:t>
            </w:r>
          </w:p>
        </w:tc>
        <w:tc>
          <w:tcPr>
            <w:tcW w:w="6662" w:type="dxa"/>
            <w:shd w:val="clear" w:color="auto" w:fill="auto"/>
          </w:tcPr>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 «ГАБС» установлено значение «Все».</w:t>
            </w:r>
          </w:p>
          <w:p w:rsidR="008F708E" w:rsidRPr="003B5160" w:rsidRDefault="008F708E" w:rsidP="008F708E">
            <w:pPr>
              <w:pStyle w:val="af0"/>
              <w:ind w:firstLine="0"/>
              <w:jc w:val="left"/>
              <w:rPr>
                <w:color w:val="auto"/>
                <w:sz w:val="24"/>
                <w:szCs w:val="24"/>
              </w:rPr>
            </w:pPr>
            <w:r>
              <w:rPr>
                <w:color w:val="auto"/>
                <w:sz w:val="24"/>
                <w:szCs w:val="24"/>
              </w:rPr>
              <w:t>Формула</w:t>
            </w:r>
            <w:r w:rsidRPr="003B5160">
              <w:rPr>
                <w:color w:val="auto"/>
                <w:sz w:val="24"/>
                <w:szCs w:val="24"/>
              </w:rPr>
              <w:t>:</w:t>
            </w:r>
          </w:p>
          <w:p w:rsidR="008F708E" w:rsidRDefault="008F708E" w:rsidP="008F708E">
            <w:pPr>
              <w:pStyle w:val="af0"/>
              <w:ind w:firstLine="0"/>
              <w:jc w:val="left"/>
              <w:rPr>
                <w:color w:val="auto"/>
                <w:sz w:val="24"/>
                <w:szCs w:val="24"/>
              </w:rPr>
            </w:pPr>
            <w:r w:rsidRPr="003B5160">
              <w:rPr>
                <w:color w:val="auto"/>
                <w:sz w:val="24"/>
                <w:szCs w:val="24"/>
              </w:rPr>
              <w:t>АСФК, форма 0504072, раздел «4 Расходы КВР» (с закрытой частью), показатель «Распределенные ЛБО ГРБС»</w:t>
            </w:r>
            <w:r>
              <w:rPr>
                <w:color w:val="auto"/>
                <w:sz w:val="24"/>
                <w:szCs w:val="24"/>
              </w:rPr>
              <w:t xml:space="preserve"> ПЛЮС «</w:t>
            </w:r>
            <w:r w:rsidRPr="003B5160">
              <w:rPr>
                <w:color w:val="auto"/>
                <w:sz w:val="24"/>
                <w:szCs w:val="24"/>
              </w:rPr>
              <w:t xml:space="preserve">Бюджетные ассигнования на исполнение ПНО, </w:t>
            </w:r>
            <w:r w:rsidRPr="00106DD7">
              <w:rPr>
                <w:color w:val="auto"/>
                <w:sz w:val="24"/>
                <w:szCs w:val="24"/>
              </w:rPr>
              <w:t>распределено ГРБС</w:t>
            </w:r>
            <w:r>
              <w:rPr>
                <w:color w:val="auto"/>
                <w:sz w:val="24"/>
                <w:szCs w:val="24"/>
              </w:rPr>
              <w:t>»</w:t>
            </w:r>
            <w:r w:rsidRPr="003B5160">
              <w:rPr>
                <w:color w:val="auto"/>
                <w:sz w:val="24"/>
                <w:szCs w:val="24"/>
              </w:rPr>
              <w:t>.</w:t>
            </w:r>
          </w:p>
          <w:p w:rsidR="008F708E" w:rsidRPr="003B5160" w:rsidRDefault="008F708E" w:rsidP="008F708E">
            <w:pPr>
              <w:pStyle w:val="af0"/>
              <w:ind w:firstLine="0"/>
              <w:jc w:val="left"/>
              <w:rPr>
                <w:color w:val="auto"/>
                <w:sz w:val="24"/>
                <w:szCs w:val="24"/>
              </w:rPr>
            </w:pPr>
          </w:p>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и/или «ГАБС» установлены значения не равные значению «Все».</w:t>
            </w:r>
          </w:p>
          <w:p w:rsidR="008F708E" w:rsidRDefault="008F708E" w:rsidP="008F708E">
            <w:pPr>
              <w:pStyle w:val="af0"/>
              <w:ind w:firstLine="0"/>
              <w:jc w:val="left"/>
              <w:rPr>
                <w:color w:val="auto"/>
                <w:sz w:val="24"/>
                <w:szCs w:val="24"/>
              </w:rPr>
            </w:pPr>
            <w:r w:rsidRPr="003B5160">
              <w:rPr>
                <w:color w:val="auto"/>
                <w:sz w:val="24"/>
                <w:szCs w:val="24"/>
              </w:rPr>
              <w:t>АСФК, форма 0504072, раздел «4 Расходы КВР» (с закрытой частью), показатель «Распределенные ЛБО ГРБС»</w:t>
            </w:r>
            <w:r>
              <w:rPr>
                <w:color w:val="auto"/>
                <w:sz w:val="24"/>
                <w:szCs w:val="24"/>
              </w:rPr>
              <w:t xml:space="preserve"> ПЛЮС «</w:t>
            </w:r>
            <w:r w:rsidRPr="003B5160">
              <w:rPr>
                <w:color w:val="auto"/>
                <w:sz w:val="24"/>
                <w:szCs w:val="24"/>
              </w:rPr>
              <w:t xml:space="preserve">Бюджетные ассигнования на исполнение ПНО, </w:t>
            </w:r>
            <w:r w:rsidRPr="00106DD7">
              <w:rPr>
                <w:color w:val="auto"/>
                <w:sz w:val="24"/>
                <w:szCs w:val="24"/>
              </w:rPr>
              <w:t>распределено ГРБС</w:t>
            </w:r>
            <w:r>
              <w:rPr>
                <w:color w:val="auto"/>
                <w:sz w:val="24"/>
                <w:szCs w:val="24"/>
              </w:rPr>
              <w:t>»</w:t>
            </w:r>
            <w:r w:rsidRPr="003B5160">
              <w:rPr>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В резерве</w:t>
            </w:r>
          </w:p>
        </w:tc>
        <w:tc>
          <w:tcPr>
            <w:tcW w:w="6662" w:type="dxa"/>
            <w:shd w:val="clear" w:color="auto" w:fill="auto"/>
          </w:tcPr>
          <w:p w:rsidR="008F708E" w:rsidRDefault="008F708E" w:rsidP="008F708E">
            <w:pPr>
              <w:pStyle w:val="af0"/>
              <w:ind w:firstLine="0"/>
              <w:jc w:val="left"/>
              <w:rPr>
                <w:color w:val="auto"/>
                <w:sz w:val="24"/>
                <w:szCs w:val="24"/>
              </w:rPr>
            </w:pPr>
            <w:r w:rsidRPr="00106DD7">
              <w:rPr>
                <w:color w:val="auto"/>
                <w:sz w:val="24"/>
                <w:szCs w:val="24"/>
              </w:rPr>
              <w:t>ПБП, набор «Мониторинг исполнения федерального бюджета в части бюджетных ассигнований», показатель «zlbo_fk».</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sidRPr="00BA6ADF">
              <w:rPr>
                <w:color w:val="auto"/>
                <w:sz w:val="24"/>
                <w:szCs w:val="24"/>
              </w:rPr>
              <w:t>Заблокированные и нераспределенные лимиты</w:t>
            </w:r>
          </w:p>
        </w:tc>
        <w:tc>
          <w:tcPr>
            <w:tcW w:w="6662" w:type="dxa"/>
            <w:shd w:val="clear" w:color="auto" w:fill="auto"/>
          </w:tcPr>
          <w:p w:rsidR="008F708E" w:rsidRPr="00106DD7" w:rsidRDefault="008F708E" w:rsidP="008F708E">
            <w:pPr>
              <w:pStyle w:val="af0"/>
              <w:ind w:firstLine="0"/>
              <w:jc w:val="left"/>
              <w:rPr>
                <w:color w:val="auto"/>
                <w:sz w:val="24"/>
                <w:szCs w:val="24"/>
              </w:rPr>
            </w:pPr>
            <w:r w:rsidRPr="007A1347">
              <w:rPr>
                <w:color w:val="auto"/>
                <w:sz w:val="24"/>
                <w:szCs w:val="24"/>
              </w:rPr>
              <w:t xml:space="preserve">«Заблокированные лимиты» </w:t>
            </w:r>
            <w:r>
              <w:rPr>
                <w:color w:val="auto"/>
                <w:sz w:val="24"/>
                <w:szCs w:val="24"/>
              </w:rPr>
              <w:t xml:space="preserve">ПЛЮС «Иное» </w:t>
            </w:r>
            <w:r w:rsidRPr="007A1347">
              <w:rPr>
                <w:color w:val="auto"/>
                <w:sz w:val="24"/>
                <w:szCs w:val="24"/>
              </w:rPr>
              <w:t>ПЛЮС «Нераспределенные лимиты»</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Сумма факторов риска (заблокировано и не распределено в срок)</w:t>
            </w:r>
          </w:p>
        </w:tc>
        <w:tc>
          <w:tcPr>
            <w:tcW w:w="6662" w:type="dxa"/>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Default="008F708E" w:rsidP="008F708E">
            <w:pPr>
              <w:pStyle w:val="af0"/>
              <w:ind w:firstLine="0"/>
              <w:jc w:val="left"/>
              <w:rPr>
                <w:color w:val="auto"/>
                <w:sz w:val="24"/>
                <w:szCs w:val="24"/>
              </w:rPr>
            </w:pPr>
            <w:r w:rsidRPr="007A1347">
              <w:rPr>
                <w:color w:val="auto"/>
                <w:sz w:val="24"/>
                <w:szCs w:val="24"/>
              </w:rPr>
              <w:t xml:space="preserve">«Заблокированные лимиты» ПЛЮС «Нераспределенные лимиты в срок» </w:t>
            </w:r>
          </w:p>
          <w:p w:rsidR="008F708E" w:rsidRDefault="008F708E" w:rsidP="008F708E">
            <w:pPr>
              <w:pStyle w:val="af0"/>
              <w:ind w:firstLine="0"/>
              <w:jc w:val="left"/>
              <w:rPr>
                <w:color w:val="auto"/>
                <w:sz w:val="24"/>
                <w:szCs w:val="24"/>
              </w:rPr>
            </w:pPr>
            <w:r>
              <w:rPr>
                <w:i/>
                <w:color w:val="auto"/>
                <w:sz w:val="24"/>
                <w:szCs w:val="24"/>
              </w:rPr>
              <w:t>Показатель</w:t>
            </w:r>
            <w:r w:rsidRPr="00BD5C4F">
              <w:rPr>
                <w:i/>
                <w:color w:val="auto"/>
                <w:sz w:val="24"/>
                <w:szCs w:val="24"/>
              </w:rPr>
              <w:t xml:space="preserve">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shd w:val="clear" w:color="auto" w:fill="auto"/>
          </w:tcPr>
          <w:p w:rsidR="008F708E" w:rsidRDefault="008F708E" w:rsidP="008F708E">
            <w:pPr>
              <w:pStyle w:val="af0"/>
              <w:ind w:firstLine="0"/>
              <w:jc w:val="left"/>
              <w:rPr>
                <w:color w:val="auto"/>
                <w:sz w:val="24"/>
                <w:szCs w:val="24"/>
              </w:rPr>
            </w:pPr>
            <w:r w:rsidRPr="00BD5C4F">
              <w:rPr>
                <w:color w:val="auto"/>
                <w:sz w:val="24"/>
                <w:szCs w:val="24"/>
              </w:rPr>
              <w:t>Заблокированные и нераспределенные лимиты</w:t>
            </w:r>
          </w:p>
        </w:tc>
        <w:tc>
          <w:tcPr>
            <w:tcW w:w="6662" w:type="dxa"/>
            <w:shd w:val="clear" w:color="auto" w:fill="auto"/>
          </w:tcPr>
          <w:p w:rsidR="008F708E" w:rsidRPr="007A1347" w:rsidRDefault="008F708E" w:rsidP="008F708E">
            <w:pPr>
              <w:pStyle w:val="af0"/>
              <w:ind w:firstLine="0"/>
              <w:jc w:val="left"/>
              <w:rPr>
                <w:color w:val="auto"/>
                <w:sz w:val="24"/>
                <w:szCs w:val="24"/>
              </w:rPr>
            </w:pPr>
            <w:r w:rsidRPr="007A1347">
              <w:rPr>
                <w:color w:val="auto"/>
                <w:sz w:val="24"/>
                <w:szCs w:val="24"/>
              </w:rPr>
              <w:t>Формула:</w:t>
            </w:r>
          </w:p>
          <w:p w:rsidR="008F708E" w:rsidRPr="00A53B2A" w:rsidRDefault="008F708E" w:rsidP="008F708E">
            <w:pPr>
              <w:pStyle w:val="af0"/>
              <w:ind w:firstLine="0"/>
              <w:jc w:val="left"/>
              <w:rPr>
                <w:i/>
                <w:color w:val="auto"/>
                <w:sz w:val="24"/>
                <w:szCs w:val="24"/>
              </w:rPr>
            </w:pPr>
            <w:r w:rsidRPr="007A1347">
              <w:rPr>
                <w:color w:val="auto"/>
                <w:sz w:val="24"/>
                <w:szCs w:val="24"/>
              </w:rPr>
              <w:t>«Заблокированные лимиты» ПЛЮС «Нераспределенные лимиты в срок»</w:t>
            </w:r>
            <w:r>
              <w:rPr>
                <w:color w:val="auto"/>
                <w:sz w:val="24"/>
                <w:szCs w:val="24"/>
              </w:rPr>
              <w:t>.</w:t>
            </w:r>
          </w:p>
        </w:tc>
      </w:tr>
      <w:tr w:rsidR="008F708E" w:rsidRPr="0032031B" w:rsidTr="008F708E">
        <w:tc>
          <w:tcPr>
            <w:tcW w:w="2801" w:type="dxa"/>
            <w:vMerge w:val="restart"/>
            <w:shd w:val="clear" w:color="auto" w:fill="auto"/>
          </w:tcPr>
          <w:p w:rsidR="008F708E" w:rsidRPr="00C56518" w:rsidRDefault="008F708E" w:rsidP="008F708E">
            <w:pPr>
              <w:pStyle w:val="af0"/>
              <w:ind w:firstLine="0"/>
              <w:jc w:val="left"/>
              <w:rPr>
                <w:color w:val="auto"/>
                <w:sz w:val="24"/>
                <w:szCs w:val="24"/>
              </w:rPr>
            </w:pPr>
            <w:r w:rsidRPr="00C56518">
              <w:rPr>
                <w:color w:val="auto"/>
                <w:sz w:val="24"/>
                <w:szCs w:val="24"/>
              </w:rPr>
              <w:t>Заблок</w:t>
            </w:r>
            <w:r>
              <w:rPr>
                <w:color w:val="auto"/>
                <w:sz w:val="24"/>
                <w:szCs w:val="24"/>
              </w:rPr>
              <w:t>ировано</w:t>
            </w:r>
            <w:r w:rsidRPr="00C56518">
              <w:rPr>
                <w:color w:val="auto"/>
                <w:sz w:val="24"/>
                <w:szCs w:val="24"/>
              </w:rPr>
              <w:t xml:space="preserve"> до заключения Минцифры</w:t>
            </w:r>
          </w:p>
        </w:tc>
        <w:tc>
          <w:tcPr>
            <w:tcW w:w="6662" w:type="dxa"/>
            <w:shd w:val="clear" w:color="auto" w:fill="auto"/>
          </w:tcPr>
          <w:p w:rsidR="008F708E" w:rsidRPr="00A53B2A"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w:t>
            </w:r>
            <w:r>
              <w:rPr>
                <w:color w:val="auto"/>
                <w:sz w:val="24"/>
                <w:szCs w:val="24"/>
              </w:rPr>
              <w:t>zlbo_mc</w:t>
            </w:r>
            <w:r w:rsidRPr="00423D09">
              <w:rPr>
                <w:color w:val="auto"/>
                <w:sz w:val="24"/>
                <w:szCs w:val="24"/>
              </w:rPr>
              <w:t>».</w:t>
            </w:r>
          </w:p>
        </w:tc>
      </w:tr>
      <w:tr w:rsidR="008F708E" w:rsidRPr="0032031B" w:rsidTr="008F708E">
        <w:tc>
          <w:tcPr>
            <w:tcW w:w="2801" w:type="dxa"/>
            <w:vMerge/>
            <w:shd w:val="clear" w:color="auto" w:fill="auto"/>
          </w:tcPr>
          <w:p w:rsidR="008F708E" w:rsidRPr="00C56518"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i/>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w:t>
            </w:r>
            <w:r>
              <w:rPr>
                <w:color w:val="auto"/>
                <w:sz w:val="24"/>
                <w:szCs w:val="24"/>
              </w:rPr>
              <w:t>zlbo_mc</w:t>
            </w:r>
            <w:r w:rsidRPr="00423D09">
              <w:rPr>
                <w:color w:val="auto"/>
                <w:sz w:val="24"/>
                <w:szCs w:val="24"/>
              </w:rPr>
              <w:t>».</w:t>
            </w:r>
          </w:p>
          <w:p w:rsidR="008F708E" w:rsidRPr="00423D09"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vMerge w:val="restart"/>
            <w:shd w:val="clear" w:color="auto" w:fill="auto"/>
          </w:tcPr>
          <w:p w:rsidR="008F708E" w:rsidRPr="00C56518" w:rsidRDefault="008F708E" w:rsidP="008F708E">
            <w:pPr>
              <w:pStyle w:val="af0"/>
              <w:ind w:firstLine="0"/>
              <w:jc w:val="left"/>
              <w:rPr>
                <w:color w:val="auto"/>
                <w:sz w:val="24"/>
                <w:szCs w:val="24"/>
              </w:rPr>
            </w:pPr>
            <w:r w:rsidRPr="00C56518">
              <w:rPr>
                <w:color w:val="auto"/>
                <w:sz w:val="24"/>
                <w:szCs w:val="24"/>
              </w:rPr>
              <w:t>Заблок</w:t>
            </w:r>
            <w:r>
              <w:rPr>
                <w:color w:val="auto"/>
                <w:sz w:val="24"/>
                <w:szCs w:val="24"/>
              </w:rPr>
              <w:t>ировано</w:t>
            </w:r>
            <w:r w:rsidRPr="00C56518">
              <w:rPr>
                <w:color w:val="auto"/>
                <w:sz w:val="24"/>
                <w:szCs w:val="24"/>
              </w:rPr>
              <w:t xml:space="preserve"> до снятия ограничений ФАИП</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«zlbo_faip</w:t>
            </w:r>
            <w:r>
              <w:rPr>
                <w:color w:val="auto"/>
                <w:sz w:val="24"/>
                <w:szCs w:val="24"/>
              </w:rPr>
              <w:t>».</w:t>
            </w:r>
          </w:p>
        </w:tc>
      </w:tr>
      <w:tr w:rsidR="008F708E" w:rsidRPr="0032031B" w:rsidTr="008F708E">
        <w:tc>
          <w:tcPr>
            <w:tcW w:w="2801" w:type="dxa"/>
            <w:vMerge/>
            <w:shd w:val="clear" w:color="auto" w:fill="auto"/>
          </w:tcPr>
          <w:p w:rsidR="008F708E" w:rsidRPr="00BD5C4F"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«zlbo_faip</w:t>
            </w:r>
            <w:r>
              <w:rPr>
                <w:color w:val="auto"/>
                <w:sz w:val="24"/>
                <w:szCs w:val="24"/>
              </w:rPr>
              <w:t>».</w:t>
            </w:r>
          </w:p>
          <w:p w:rsidR="008F708E" w:rsidRPr="00423D09"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BD5C4F">
              <w:rPr>
                <w:color w:val="auto"/>
                <w:sz w:val="24"/>
                <w:szCs w:val="24"/>
              </w:rPr>
              <w:t>Индексация оплаты труда</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«zlbo_index</w:t>
            </w:r>
            <w:r>
              <w:rPr>
                <w:color w:val="auto"/>
                <w:sz w:val="24"/>
                <w:szCs w:val="24"/>
              </w:rPr>
              <w:t>».</w:t>
            </w:r>
          </w:p>
        </w:tc>
      </w:tr>
      <w:tr w:rsidR="008F708E" w:rsidRPr="0032031B" w:rsidTr="008F708E">
        <w:tc>
          <w:tcPr>
            <w:tcW w:w="2801" w:type="dxa"/>
            <w:vMerge/>
            <w:shd w:val="clear" w:color="auto" w:fill="auto"/>
          </w:tcPr>
          <w:p w:rsidR="008F708E" w:rsidRPr="00BD5C4F"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«zlbo_index</w:t>
            </w:r>
            <w:r>
              <w:rPr>
                <w:color w:val="auto"/>
                <w:sz w:val="24"/>
                <w:szCs w:val="24"/>
              </w:rPr>
              <w:t>».</w:t>
            </w:r>
          </w:p>
          <w:p w:rsidR="008F708E" w:rsidRPr="00423D09"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C56518">
              <w:rPr>
                <w:color w:val="auto"/>
                <w:sz w:val="24"/>
                <w:szCs w:val="24"/>
              </w:rPr>
              <w:t>Заблок</w:t>
            </w:r>
            <w:r>
              <w:rPr>
                <w:color w:val="auto"/>
                <w:sz w:val="24"/>
                <w:szCs w:val="24"/>
              </w:rPr>
              <w:t>ировано</w:t>
            </w:r>
            <w:r w:rsidRPr="00BD5C4F">
              <w:rPr>
                <w:color w:val="auto"/>
                <w:sz w:val="24"/>
                <w:szCs w:val="24"/>
              </w:rPr>
              <w:t xml:space="preserve"> до утверждения НПА</w:t>
            </w: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«zlbo_npa</w:t>
            </w:r>
            <w:r>
              <w:rPr>
                <w:color w:val="auto"/>
                <w:sz w:val="24"/>
                <w:szCs w:val="24"/>
              </w:rPr>
              <w:t xml:space="preserve">» ПЛЮС </w:t>
            </w:r>
            <w:r w:rsidRPr="00423D09">
              <w:rPr>
                <w:color w:val="auto"/>
                <w:sz w:val="24"/>
                <w:szCs w:val="24"/>
              </w:rPr>
              <w:t>«zlbo_etc</w:t>
            </w:r>
            <w:r>
              <w:rPr>
                <w:color w:val="auto"/>
                <w:sz w:val="24"/>
                <w:szCs w:val="24"/>
              </w:rPr>
              <w:t>» («</w:t>
            </w:r>
            <w:r w:rsidRPr="00BD5C4F">
              <w:rPr>
                <w:color w:val="auto"/>
                <w:sz w:val="24"/>
                <w:szCs w:val="24"/>
              </w:rPr>
              <w:t>Заблок</w:t>
            </w:r>
            <w:r>
              <w:rPr>
                <w:color w:val="auto"/>
                <w:sz w:val="24"/>
                <w:szCs w:val="24"/>
              </w:rPr>
              <w:t>ировано</w:t>
            </w:r>
            <w:r w:rsidRPr="00BD5C4F">
              <w:rPr>
                <w:color w:val="auto"/>
                <w:sz w:val="24"/>
                <w:szCs w:val="24"/>
              </w:rPr>
              <w:t xml:space="preserve"> до утверждения НПА</w:t>
            </w:r>
            <w:r>
              <w:rPr>
                <w:color w:val="auto"/>
                <w:sz w:val="24"/>
                <w:szCs w:val="24"/>
              </w:rPr>
              <w:t>» ПЛЮС «</w:t>
            </w:r>
            <w:r w:rsidRPr="00E37BD6">
              <w:rPr>
                <w:color w:val="auto"/>
                <w:sz w:val="24"/>
                <w:szCs w:val="24"/>
              </w:rPr>
              <w:t>Иное (в т.ч. не передано уведомление на утверждение ЛБО)</w:t>
            </w:r>
            <w:r>
              <w:rPr>
                <w:color w:val="auto"/>
                <w:sz w:val="24"/>
                <w:szCs w:val="24"/>
              </w:rPr>
              <w:t>»).</w:t>
            </w:r>
          </w:p>
        </w:tc>
      </w:tr>
      <w:tr w:rsidR="008F708E" w:rsidRPr="0032031B" w:rsidTr="008F708E">
        <w:tc>
          <w:tcPr>
            <w:tcW w:w="2801" w:type="dxa"/>
            <w:vMerge/>
            <w:shd w:val="clear" w:color="auto" w:fill="auto"/>
          </w:tcPr>
          <w:p w:rsidR="008F708E" w:rsidRPr="00BD5C4F"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«zlbo_npa</w:t>
            </w:r>
            <w:r>
              <w:rPr>
                <w:color w:val="auto"/>
                <w:sz w:val="24"/>
                <w:szCs w:val="24"/>
              </w:rPr>
              <w:t xml:space="preserve">» ПЛЮС </w:t>
            </w:r>
            <w:r w:rsidRPr="00423D09">
              <w:rPr>
                <w:color w:val="auto"/>
                <w:sz w:val="24"/>
                <w:szCs w:val="24"/>
              </w:rPr>
              <w:t>«zlbo_etc</w:t>
            </w:r>
            <w:r>
              <w:rPr>
                <w:color w:val="auto"/>
                <w:sz w:val="24"/>
                <w:szCs w:val="24"/>
              </w:rPr>
              <w:t>» («</w:t>
            </w:r>
            <w:r w:rsidRPr="00BD5C4F">
              <w:rPr>
                <w:color w:val="auto"/>
                <w:sz w:val="24"/>
                <w:szCs w:val="24"/>
              </w:rPr>
              <w:t>Заблок</w:t>
            </w:r>
            <w:r>
              <w:rPr>
                <w:color w:val="auto"/>
                <w:sz w:val="24"/>
                <w:szCs w:val="24"/>
              </w:rPr>
              <w:t>ировано</w:t>
            </w:r>
            <w:r w:rsidRPr="00BD5C4F">
              <w:rPr>
                <w:color w:val="auto"/>
                <w:sz w:val="24"/>
                <w:szCs w:val="24"/>
              </w:rPr>
              <w:t xml:space="preserve"> до утверждения НПА</w:t>
            </w:r>
            <w:r>
              <w:rPr>
                <w:color w:val="auto"/>
                <w:sz w:val="24"/>
                <w:szCs w:val="24"/>
              </w:rPr>
              <w:t>» ПЛЮС «</w:t>
            </w:r>
            <w:r w:rsidRPr="00E37BD6">
              <w:rPr>
                <w:color w:val="auto"/>
                <w:sz w:val="24"/>
                <w:szCs w:val="24"/>
              </w:rPr>
              <w:t>Иное (в т.ч. не передано уведомление на утверждение ЛБО)</w:t>
            </w:r>
            <w:r>
              <w:rPr>
                <w:color w:val="auto"/>
                <w:sz w:val="24"/>
                <w:szCs w:val="24"/>
              </w:rPr>
              <w:t>»).</w:t>
            </w:r>
          </w:p>
          <w:p w:rsidR="008F708E" w:rsidRPr="00423D09"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vMerge w:val="restart"/>
            <w:shd w:val="clear" w:color="auto" w:fill="auto"/>
          </w:tcPr>
          <w:p w:rsidR="008F708E" w:rsidRPr="00BD5C4F" w:rsidRDefault="008F708E" w:rsidP="008F708E">
            <w:pPr>
              <w:pStyle w:val="af0"/>
              <w:ind w:firstLine="0"/>
              <w:jc w:val="left"/>
              <w:rPr>
                <w:color w:val="auto"/>
                <w:sz w:val="24"/>
                <w:szCs w:val="24"/>
              </w:rPr>
            </w:pPr>
            <w:r w:rsidRPr="00BD5C4F">
              <w:rPr>
                <w:color w:val="auto"/>
                <w:sz w:val="24"/>
                <w:szCs w:val="24"/>
              </w:rPr>
              <w:t>Иное</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Pr="00423D09" w:rsidRDefault="008F708E" w:rsidP="008F708E">
            <w:pPr>
              <w:pStyle w:val="af0"/>
              <w:ind w:firstLine="0"/>
              <w:jc w:val="left"/>
              <w:rPr>
                <w:color w:val="auto"/>
                <w:sz w:val="24"/>
                <w:szCs w:val="24"/>
              </w:rPr>
            </w:pPr>
            <w:r>
              <w:rPr>
                <w:color w:val="auto"/>
                <w:sz w:val="24"/>
                <w:szCs w:val="24"/>
              </w:rPr>
              <w:t>«</w:t>
            </w:r>
            <w:r w:rsidRPr="00E37BD6">
              <w:rPr>
                <w:color w:val="auto"/>
                <w:sz w:val="24"/>
                <w:szCs w:val="24"/>
              </w:rPr>
              <w:t>Роспись</w:t>
            </w:r>
            <w:r>
              <w:rPr>
                <w:color w:val="auto"/>
                <w:sz w:val="24"/>
                <w:szCs w:val="24"/>
              </w:rPr>
              <w:t>»</w:t>
            </w:r>
            <w:r w:rsidRPr="00E37BD6">
              <w:rPr>
                <w:color w:val="auto"/>
                <w:sz w:val="24"/>
                <w:szCs w:val="24"/>
              </w:rPr>
              <w:t xml:space="preserve"> </w:t>
            </w:r>
            <w:r>
              <w:rPr>
                <w:color w:val="auto"/>
                <w:sz w:val="24"/>
                <w:szCs w:val="24"/>
              </w:rPr>
              <w:t>МИНУС</w:t>
            </w:r>
            <w:r w:rsidRPr="00E37BD6">
              <w:rPr>
                <w:color w:val="auto"/>
                <w:sz w:val="24"/>
                <w:szCs w:val="24"/>
              </w:rPr>
              <w:t xml:space="preserve"> </w:t>
            </w:r>
            <w:r>
              <w:rPr>
                <w:color w:val="auto"/>
                <w:sz w:val="24"/>
                <w:szCs w:val="24"/>
              </w:rPr>
              <w:t>«</w:t>
            </w:r>
            <w:r w:rsidRPr="00E37BD6">
              <w:rPr>
                <w:color w:val="auto"/>
                <w:sz w:val="24"/>
                <w:szCs w:val="24"/>
              </w:rPr>
              <w:t>В резерве</w:t>
            </w:r>
            <w:r>
              <w:rPr>
                <w:color w:val="auto"/>
                <w:sz w:val="24"/>
                <w:szCs w:val="24"/>
              </w:rPr>
              <w:t>» МИНУС «</w:t>
            </w:r>
            <w:r w:rsidRPr="00E37BD6">
              <w:rPr>
                <w:color w:val="auto"/>
                <w:sz w:val="24"/>
                <w:szCs w:val="24"/>
              </w:rPr>
              <w:t>Заблокированные лимиты</w:t>
            </w:r>
            <w:r>
              <w:rPr>
                <w:color w:val="auto"/>
                <w:sz w:val="24"/>
                <w:szCs w:val="24"/>
              </w:rPr>
              <w:t>» МИНУС</w:t>
            </w:r>
            <w:r w:rsidRPr="00E37BD6">
              <w:rPr>
                <w:color w:val="auto"/>
                <w:sz w:val="24"/>
                <w:szCs w:val="24"/>
              </w:rPr>
              <w:t xml:space="preserve"> </w:t>
            </w:r>
            <w:r>
              <w:rPr>
                <w:color w:val="auto"/>
                <w:sz w:val="24"/>
                <w:szCs w:val="24"/>
              </w:rPr>
              <w:t>«</w:t>
            </w:r>
            <w:r w:rsidRPr="00E37BD6">
              <w:rPr>
                <w:color w:val="auto"/>
                <w:sz w:val="24"/>
                <w:szCs w:val="24"/>
              </w:rPr>
              <w:t>Доведенные лимиты</w:t>
            </w:r>
            <w:r>
              <w:rPr>
                <w:color w:val="auto"/>
                <w:sz w:val="24"/>
                <w:szCs w:val="24"/>
              </w:rPr>
              <w:t>».</w:t>
            </w:r>
          </w:p>
        </w:tc>
      </w:tr>
      <w:tr w:rsidR="008F708E" w:rsidRPr="0032031B" w:rsidTr="008F708E">
        <w:tc>
          <w:tcPr>
            <w:tcW w:w="2801" w:type="dxa"/>
            <w:vMerge/>
            <w:shd w:val="clear" w:color="auto" w:fill="auto"/>
          </w:tcPr>
          <w:p w:rsidR="008F708E" w:rsidRPr="00BD5C4F"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w:t>
            </w:r>
            <w:r w:rsidRPr="00E37BD6">
              <w:rPr>
                <w:color w:val="auto"/>
                <w:sz w:val="24"/>
                <w:szCs w:val="24"/>
              </w:rPr>
              <w:t>Роспись</w:t>
            </w:r>
            <w:r>
              <w:rPr>
                <w:color w:val="auto"/>
                <w:sz w:val="24"/>
                <w:szCs w:val="24"/>
              </w:rPr>
              <w:t>»</w:t>
            </w:r>
            <w:r w:rsidRPr="00E37BD6">
              <w:rPr>
                <w:color w:val="auto"/>
                <w:sz w:val="24"/>
                <w:szCs w:val="24"/>
              </w:rPr>
              <w:t xml:space="preserve"> </w:t>
            </w:r>
            <w:r>
              <w:rPr>
                <w:color w:val="auto"/>
                <w:sz w:val="24"/>
                <w:szCs w:val="24"/>
              </w:rPr>
              <w:t>МИНУС</w:t>
            </w:r>
            <w:r w:rsidRPr="00E37BD6">
              <w:rPr>
                <w:color w:val="auto"/>
                <w:sz w:val="24"/>
                <w:szCs w:val="24"/>
              </w:rPr>
              <w:t xml:space="preserve"> </w:t>
            </w:r>
            <w:r>
              <w:rPr>
                <w:color w:val="auto"/>
                <w:sz w:val="24"/>
                <w:szCs w:val="24"/>
              </w:rPr>
              <w:t>«</w:t>
            </w:r>
            <w:r w:rsidRPr="00E37BD6">
              <w:rPr>
                <w:color w:val="auto"/>
                <w:sz w:val="24"/>
                <w:szCs w:val="24"/>
              </w:rPr>
              <w:t>В резерве</w:t>
            </w:r>
            <w:r>
              <w:rPr>
                <w:color w:val="auto"/>
                <w:sz w:val="24"/>
                <w:szCs w:val="24"/>
              </w:rPr>
              <w:t>» МИНУС «</w:t>
            </w:r>
            <w:r w:rsidRPr="00E37BD6">
              <w:rPr>
                <w:color w:val="auto"/>
                <w:sz w:val="24"/>
                <w:szCs w:val="24"/>
              </w:rPr>
              <w:t>Заблокированные лимиты</w:t>
            </w:r>
            <w:r>
              <w:rPr>
                <w:color w:val="auto"/>
                <w:sz w:val="24"/>
                <w:szCs w:val="24"/>
              </w:rPr>
              <w:t>» МИНУС</w:t>
            </w:r>
            <w:r w:rsidRPr="00E37BD6">
              <w:rPr>
                <w:color w:val="auto"/>
                <w:sz w:val="24"/>
                <w:szCs w:val="24"/>
              </w:rPr>
              <w:t xml:space="preserve"> </w:t>
            </w:r>
            <w:r>
              <w:rPr>
                <w:color w:val="auto"/>
                <w:sz w:val="24"/>
                <w:szCs w:val="24"/>
              </w:rPr>
              <w:t>«</w:t>
            </w:r>
            <w:r w:rsidRPr="00E37BD6">
              <w:rPr>
                <w:color w:val="auto"/>
                <w:sz w:val="24"/>
                <w:szCs w:val="24"/>
              </w:rPr>
              <w:t>Доведенные лимиты</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vMerge w:val="restart"/>
            <w:shd w:val="clear" w:color="auto" w:fill="auto"/>
          </w:tcPr>
          <w:p w:rsidR="008F708E" w:rsidRPr="00BD5C4F" w:rsidRDefault="008F708E" w:rsidP="008F708E">
            <w:pPr>
              <w:pStyle w:val="af0"/>
              <w:ind w:firstLine="0"/>
              <w:jc w:val="left"/>
              <w:rPr>
                <w:color w:val="auto"/>
                <w:sz w:val="24"/>
                <w:szCs w:val="24"/>
              </w:rPr>
            </w:pPr>
            <w:r>
              <w:rPr>
                <w:color w:val="auto"/>
                <w:sz w:val="24"/>
                <w:szCs w:val="24"/>
              </w:rPr>
              <w:t>Нераспределенные</w:t>
            </w:r>
            <w:r w:rsidRPr="00BD5C4F">
              <w:rPr>
                <w:color w:val="auto"/>
                <w:sz w:val="24"/>
                <w:szCs w:val="24"/>
              </w:rPr>
              <w:t xml:space="preserve"> </w:t>
            </w:r>
            <w:r>
              <w:rPr>
                <w:color w:val="auto"/>
                <w:sz w:val="24"/>
                <w:szCs w:val="24"/>
              </w:rPr>
              <w:t>ЛБО</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Pr="00C56518" w:rsidRDefault="008F708E" w:rsidP="008F708E">
            <w:pPr>
              <w:pStyle w:val="af0"/>
              <w:ind w:firstLine="0"/>
              <w:jc w:val="left"/>
              <w:rPr>
                <w:color w:val="auto"/>
                <w:sz w:val="24"/>
                <w:szCs w:val="24"/>
              </w:rPr>
            </w:pPr>
            <w:r>
              <w:rPr>
                <w:color w:val="auto"/>
                <w:sz w:val="24"/>
                <w:szCs w:val="24"/>
              </w:rPr>
              <w:t>«Доведено» МИНУС «Распределено».</w:t>
            </w:r>
          </w:p>
        </w:tc>
      </w:tr>
      <w:tr w:rsidR="008F708E" w:rsidRPr="0032031B" w:rsidTr="008F708E">
        <w:tc>
          <w:tcPr>
            <w:tcW w:w="2801" w:type="dxa"/>
            <w:vMerge/>
            <w:shd w:val="clear" w:color="auto" w:fill="auto"/>
          </w:tcPr>
          <w:p w:rsidR="008F708E" w:rsidRPr="00BD5C4F"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Расчет показателя «Нераспределенные ЛБО</w:t>
            </w:r>
            <w:r w:rsidRPr="00BD5C4F">
              <w:rPr>
                <w:color w:val="auto"/>
                <w:sz w:val="24"/>
                <w:szCs w:val="24"/>
              </w:rPr>
              <w:t xml:space="preserve"> в срок</w:t>
            </w:r>
            <w:r>
              <w:rPr>
                <w:color w:val="auto"/>
                <w:sz w:val="24"/>
                <w:szCs w:val="24"/>
              </w:rPr>
              <w:t xml:space="preserve">» описан в пункте </w:t>
            </w:r>
            <w:r>
              <w:rPr>
                <w:color w:val="auto"/>
                <w:sz w:val="24"/>
                <w:szCs w:val="24"/>
              </w:rPr>
              <w:fldChar w:fldCharType="begin"/>
            </w:r>
            <w:r>
              <w:rPr>
                <w:color w:val="auto"/>
                <w:sz w:val="24"/>
                <w:szCs w:val="24"/>
              </w:rPr>
              <w:instrText xml:space="preserve"> REF _Ref80300572 \n \h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ГРБС с отклонениями</w:t>
            </w:r>
          </w:p>
          <w:p w:rsidR="008F708E" w:rsidRDefault="008F708E" w:rsidP="008F708E">
            <w:pPr>
              <w:pStyle w:val="af0"/>
              <w:ind w:firstLine="0"/>
              <w:jc w:val="left"/>
              <w:rPr>
                <w:color w:val="auto"/>
                <w:sz w:val="24"/>
                <w:szCs w:val="24"/>
              </w:rPr>
            </w:pPr>
          </w:p>
          <w:p w:rsidR="008F708E" w:rsidRPr="00BD5C4F" w:rsidRDefault="008F708E" w:rsidP="008F708E">
            <w:pPr>
              <w:pStyle w:val="af0"/>
              <w:ind w:firstLine="0"/>
              <w:jc w:val="left"/>
              <w:rPr>
                <w:color w:val="auto"/>
                <w:sz w:val="24"/>
                <w:szCs w:val="24"/>
              </w:rPr>
            </w:pPr>
            <w:r>
              <w:rPr>
                <w:color w:val="auto"/>
                <w:sz w:val="24"/>
                <w:szCs w:val="24"/>
              </w:rPr>
              <w:t>Переход в представление «По ГРБС» отчета «Расходы федерального бюджета»</w:t>
            </w:r>
          </w:p>
        </w:tc>
        <w:tc>
          <w:tcPr>
            <w:tcW w:w="6662" w:type="dxa"/>
            <w:shd w:val="clear" w:color="auto" w:fill="F2F2F2" w:themeFill="background1" w:themeFillShade="F2"/>
          </w:tcPr>
          <w:p w:rsidR="008F708E" w:rsidRPr="00B70294" w:rsidRDefault="008F708E" w:rsidP="008F708E">
            <w:pPr>
              <w:pStyle w:val="af0"/>
              <w:ind w:firstLine="0"/>
              <w:jc w:val="left"/>
              <w:rPr>
                <w:color w:val="auto"/>
                <w:sz w:val="24"/>
                <w:szCs w:val="24"/>
              </w:rPr>
            </w:pPr>
            <w:r w:rsidRPr="00B70294">
              <w:rPr>
                <w:color w:val="auto"/>
                <w:sz w:val="24"/>
                <w:szCs w:val="24"/>
              </w:rPr>
              <w:t>Значения в формате: «</w:t>
            </w:r>
            <w:r w:rsidRPr="00B70294">
              <w:rPr>
                <w:color w:val="auto"/>
                <w:sz w:val="24"/>
                <w:szCs w:val="24"/>
                <w:lang w:val="en-US"/>
              </w:rPr>
              <w:t>X</w:t>
            </w:r>
            <w:r w:rsidRPr="00B70294">
              <w:rPr>
                <w:color w:val="auto"/>
                <w:sz w:val="24"/>
                <w:szCs w:val="24"/>
              </w:rPr>
              <w:t xml:space="preserve"> из </w:t>
            </w:r>
            <w:r w:rsidRPr="00B70294">
              <w:rPr>
                <w:color w:val="auto"/>
                <w:sz w:val="24"/>
                <w:szCs w:val="24"/>
                <w:lang w:val="en-US"/>
              </w:rPr>
              <w:t>Y</w:t>
            </w:r>
            <w:r w:rsidRPr="00B70294">
              <w:rPr>
                <w:color w:val="auto"/>
                <w:sz w:val="24"/>
                <w:szCs w:val="24"/>
              </w:rPr>
              <w:t>».</w:t>
            </w:r>
          </w:p>
          <w:p w:rsidR="008F708E" w:rsidRPr="002E61C7" w:rsidRDefault="008F708E" w:rsidP="005C6E50">
            <w:pPr>
              <w:pStyle w:val="af0"/>
              <w:numPr>
                <w:ilvl w:val="0"/>
                <w:numId w:val="125"/>
              </w:numPr>
              <w:jc w:val="left"/>
              <w:rPr>
                <w:color w:val="auto"/>
                <w:sz w:val="24"/>
                <w:szCs w:val="24"/>
              </w:rPr>
            </w:pPr>
            <w:r w:rsidRPr="00B70294">
              <w:rPr>
                <w:color w:val="auto"/>
                <w:sz w:val="24"/>
                <w:szCs w:val="24"/>
              </w:rPr>
              <w:t>«</w:t>
            </w:r>
            <w:r w:rsidRPr="00B70294">
              <w:rPr>
                <w:color w:val="auto"/>
                <w:sz w:val="24"/>
                <w:szCs w:val="24"/>
                <w:lang w:val="en-US"/>
              </w:rPr>
              <w:t>X</w:t>
            </w:r>
            <w:r w:rsidRPr="00B70294">
              <w:rPr>
                <w:color w:val="auto"/>
                <w:sz w:val="24"/>
                <w:szCs w:val="24"/>
              </w:rPr>
              <w:t xml:space="preserve">» - </w:t>
            </w:r>
            <w:r>
              <w:rPr>
                <w:color w:val="auto"/>
                <w:sz w:val="24"/>
                <w:szCs w:val="24"/>
              </w:rPr>
              <w:t>количество ГРБС, у которых присутствуют значения по показателю «Сумма факторов риска (заблокировано и не распределено в срок)» (</w:t>
            </w:r>
            <w:r w:rsidRPr="00B70294">
              <w:rPr>
                <w:i/>
                <w:color w:val="auto"/>
                <w:sz w:val="24"/>
                <w:szCs w:val="24"/>
              </w:rPr>
              <w:t>при выборе в параметре «По состоянию на» значения не равного значению 01.01.ГГГГ</w:t>
            </w:r>
            <w:r>
              <w:rPr>
                <w:i/>
                <w:color w:val="auto"/>
                <w:sz w:val="24"/>
                <w:szCs w:val="24"/>
              </w:rPr>
              <w:t>)</w:t>
            </w:r>
            <w:r w:rsidRPr="00103625">
              <w:rPr>
                <w:iCs/>
                <w:color w:val="auto"/>
                <w:sz w:val="24"/>
                <w:szCs w:val="24"/>
              </w:rPr>
              <w:t xml:space="preserve"> или «</w:t>
            </w:r>
            <w:r w:rsidRPr="00BA6ADF">
              <w:rPr>
                <w:color w:val="auto"/>
                <w:sz w:val="24"/>
                <w:szCs w:val="24"/>
              </w:rPr>
              <w:t>Заблокированные и нераспределенные лимиты</w:t>
            </w:r>
            <w:r>
              <w:rPr>
                <w:iCs/>
                <w:color w:val="auto"/>
                <w:sz w:val="24"/>
                <w:szCs w:val="24"/>
              </w:rPr>
              <w:t xml:space="preserve">» </w:t>
            </w:r>
            <w:r>
              <w:rPr>
                <w:color w:val="auto"/>
                <w:sz w:val="24"/>
                <w:szCs w:val="24"/>
              </w:rPr>
              <w:t>(</w:t>
            </w:r>
            <w:r w:rsidRPr="00B70294">
              <w:rPr>
                <w:i/>
                <w:color w:val="auto"/>
                <w:sz w:val="24"/>
                <w:szCs w:val="24"/>
              </w:rPr>
              <w:t>при выборе в параметре «По состоянию на» значения 01.01.ГГГГ</w:t>
            </w:r>
            <w:r>
              <w:rPr>
                <w:i/>
                <w:color w:val="auto"/>
                <w:sz w:val="24"/>
                <w:szCs w:val="24"/>
              </w:rPr>
              <w:t>);</w:t>
            </w:r>
          </w:p>
          <w:p w:rsidR="008F708E" w:rsidRDefault="008F708E" w:rsidP="005C6E50">
            <w:pPr>
              <w:pStyle w:val="af0"/>
              <w:numPr>
                <w:ilvl w:val="0"/>
                <w:numId w:val="125"/>
              </w:numPr>
              <w:jc w:val="left"/>
              <w:rPr>
                <w:color w:val="auto"/>
                <w:sz w:val="24"/>
                <w:szCs w:val="24"/>
              </w:rPr>
            </w:pPr>
            <w:r>
              <w:rPr>
                <w:color w:val="auto"/>
                <w:sz w:val="24"/>
                <w:szCs w:val="24"/>
              </w:rPr>
              <w:t>«</w:t>
            </w:r>
            <w:r>
              <w:rPr>
                <w:color w:val="auto"/>
                <w:sz w:val="24"/>
                <w:szCs w:val="24"/>
                <w:lang w:val="en-US"/>
              </w:rPr>
              <w:t>Y</w:t>
            </w:r>
            <w:r w:rsidRPr="00B70294">
              <w:rPr>
                <w:color w:val="auto"/>
                <w:sz w:val="24"/>
                <w:szCs w:val="24"/>
              </w:rPr>
              <w:t xml:space="preserve">» - </w:t>
            </w:r>
            <w:r>
              <w:rPr>
                <w:color w:val="auto"/>
                <w:sz w:val="24"/>
                <w:szCs w:val="24"/>
              </w:rPr>
              <w:t xml:space="preserve">общее количество ГРБС на дату </w:t>
            </w:r>
            <w:r w:rsidRPr="002E61C7">
              <w:rPr>
                <w:iCs/>
                <w:color w:val="auto"/>
                <w:sz w:val="24"/>
                <w:szCs w:val="24"/>
              </w:rPr>
              <w:t>в параметре «По состоянию на».</w:t>
            </w:r>
          </w:p>
        </w:tc>
      </w:tr>
      <w:tr w:rsidR="008F708E" w:rsidRPr="0032031B" w:rsidTr="008F708E">
        <w:tc>
          <w:tcPr>
            <w:tcW w:w="2801" w:type="dxa"/>
            <w:shd w:val="clear" w:color="auto" w:fill="808080" w:themeFill="background1" w:themeFillShade="80"/>
          </w:tcPr>
          <w:p w:rsidR="008F708E" w:rsidRDefault="008F708E" w:rsidP="008F708E">
            <w:pPr>
              <w:pStyle w:val="af0"/>
              <w:ind w:firstLine="0"/>
              <w:jc w:val="left"/>
              <w:rPr>
                <w:color w:val="auto"/>
                <w:sz w:val="24"/>
                <w:szCs w:val="24"/>
              </w:rPr>
            </w:pPr>
          </w:p>
        </w:tc>
        <w:tc>
          <w:tcPr>
            <w:tcW w:w="6662" w:type="dxa"/>
            <w:shd w:val="clear" w:color="auto" w:fill="808080" w:themeFill="background1" w:themeFillShade="80"/>
          </w:tcPr>
          <w:p w:rsidR="008F708E" w:rsidRPr="00030820" w:rsidRDefault="008F708E" w:rsidP="008F708E">
            <w:pPr>
              <w:pStyle w:val="af0"/>
              <w:ind w:firstLine="0"/>
              <w:jc w:val="left"/>
              <w:rPr>
                <w:b/>
                <w:color w:val="auto"/>
                <w:sz w:val="24"/>
                <w:szCs w:val="24"/>
              </w:rPr>
            </w:pPr>
            <w:r w:rsidRPr="00030820">
              <w:rPr>
                <w:b/>
                <w:color w:val="auto"/>
                <w:sz w:val="24"/>
                <w:szCs w:val="24"/>
              </w:rPr>
              <w:t>ЭТАП «БЮДЖЕТНЫЕ ОБЯЗАТЕЛЬСТВА»</w:t>
            </w:r>
          </w:p>
        </w:tc>
      </w:tr>
      <w:tr w:rsidR="008F708E" w:rsidRPr="0032031B" w:rsidTr="008F708E">
        <w:tc>
          <w:tcPr>
            <w:tcW w:w="2801" w:type="dxa"/>
            <w:shd w:val="clear" w:color="auto" w:fill="F2F2F2" w:themeFill="background1" w:themeFillShade="F2"/>
          </w:tcPr>
          <w:p w:rsidR="008F708E" w:rsidRPr="00BD5C4F" w:rsidRDefault="008F708E" w:rsidP="008F708E">
            <w:pPr>
              <w:pStyle w:val="af0"/>
              <w:ind w:firstLine="0"/>
              <w:jc w:val="left"/>
              <w:rPr>
                <w:color w:val="auto"/>
                <w:sz w:val="24"/>
                <w:szCs w:val="24"/>
              </w:rPr>
            </w:pPr>
            <w:r>
              <w:rPr>
                <w:color w:val="auto"/>
                <w:sz w:val="24"/>
                <w:szCs w:val="24"/>
              </w:rPr>
              <w:t>Принятые обязательства</w:t>
            </w:r>
          </w:p>
        </w:tc>
        <w:tc>
          <w:tcPr>
            <w:tcW w:w="6662" w:type="dxa"/>
            <w:shd w:val="clear" w:color="auto" w:fill="auto"/>
          </w:tcPr>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 «ГАБС» установлено значение «Все».</w:t>
            </w:r>
          </w:p>
          <w:p w:rsidR="008F708E" w:rsidRPr="003B5160" w:rsidRDefault="008F708E" w:rsidP="008F708E">
            <w:pPr>
              <w:pStyle w:val="af0"/>
              <w:ind w:firstLine="0"/>
              <w:jc w:val="left"/>
              <w:rPr>
                <w:color w:val="auto"/>
                <w:sz w:val="24"/>
                <w:szCs w:val="24"/>
              </w:rPr>
            </w:pPr>
            <w:r>
              <w:rPr>
                <w:color w:val="auto"/>
                <w:sz w:val="24"/>
                <w:szCs w:val="24"/>
              </w:rPr>
              <w:t>Формула</w:t>
            </w:r>
            <w:r w:rsidRPr="003B5160">
              <w:rPr>
                <w:color w:val="auto"/>
                <w:sz w:val="24"/>
                <w:szCs w:val="24"/>
              </w:rPr>
              <w:t>:</w:t>
            </w:r>
          </w:p>
          <w:p w:rsidR="008F708E" w:rsidRPr="003B5160" w:rsidRDefault="008F708E" w:rsidP="008F708E">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w:t>
            </w:r>
            <w:r w:rsidRPr="002748A9">
              <w:rPr>
                <w:color w:val="auto"/>
                <w:sz w:val="24"/>
                <w:szCs w:val="24"/>
              </w:rPr>
              <w:t>Принято бюджетных обязательств</w:t>
            </w:r>
            <w:r>
              <w:rPr>
                <w:color w:val="auto"/>
                <w:sz w:val="24"/>
                <w:szCs w:val="24"/>
              </w:rPr>
              <w:t>»</w:t>
            </w:r>
            <w:r w:rsidRPr="003B5160">
              <w:rPr>
                <w:color w:val="auto"/>
                <w:sz w:val="24"/>
                <w:szCs w:val="24"/>
              </w:rPr>
              <w:t>.</w:t>
            </w:r>
          </w:p>
          <w:p w:rsidR="008F708E" w:rsidRPr="003B5160" w:rsidRDefault="008F708E" w:rsidP="008F708E">
            <w:pPr>
              <w:pStyle w:val="af0"/>
              <w:ind w:firstLine="0"/>
              <w:jc w:val="left"/>
              <w:rPr>
                <w:color w:val="auto"/>
                <w:sz w:val="24"/>
                <w:szCs w:val="24"/>
              </w:rPr>
            </w:pPr>
          </w:p>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и/или «ГАБС» установлены значения не равные значению «Все».</w:t>
            </w:r>
          </w:p>
          <w:p w:rsidR="008F708E" w:rsidRPr="003B5160" w:rsidRDefault="008F708E" w:rsidP="008F708E">
            <w:pPr>
              <w:pStyle w:val="af0"/>
              <w:ind w:firstLine="0"/>
              <w:jc w:val="left"/>
              <w:rPr>
                <w:color w:val="auto"/>
                <w:sz w:val="24"/>
                <w:szCs w:val="24"/>
              </w:rPr>
            </w:pPr>
            <w:r>
              <w:rPr>
                <w:color w:val="auto"/>
                <w:sz w:val="24"/>
                <w:szCs w:val="24"/>
              </w:rPr>
              <w:t>Формула</w:t>
            </w:r>
            <w:r w:rsidRPr="003B5160">
              <w:rPr>
                <w:color w:val="auto"/>
                <w:sz w:val="24"/>
                <w:szCs w:val="24"/>
              </w:rPr>
              <w:t>:</w:t>
            </w:r>
          </w:p>
          <w:p w:rsidR="008F708E" w:rsidRDefault="008F708E" w:rsidP="008F708E">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w:t>
            </w:r>
            <w:r w:rsidRPr="002748A9">
              <w:rPr>
                <w:color w:val="auto"/>
                <w:sz w:val="24"/>
                <w:szCs w:val="24"/>
              </w:rPr>
              <w:t>Принято бюджетных обязательств</w:t>
            </w:r>
            <w:r>
              <w:rPr>
                <w:color w:val="auto"/>
                <w:sz w:val="24"/>
                <w:szCs w:val="24"/>
              </w:rPr>
              <w:t>»</w:t>
            </w:r>
            <w:r w:rsidRPr="003B5160">
              <w:rPr>
                <w:color w:val="auto"/>
                <w:sz w:val="24"/>
                <w:szCs w:val="24"/>
              </w:rPr>
              <w:t>.</w:t>
            </w:r>
          </w:p>
        </w:tc>
      </w:tr>
      <w:tr w:rsidR="008F708E" w:rsidRPr="0032031B" w:rsidTr="008F708E">
        <w:tc>
          <w:tcPr>
            <w:tcW w:w="2801" w:type="dxa"/>
            <w:shd w:val="clear" w:color="auto" w:fill="F2F2F2" w:themeFill="background1" w:themeFillShade="F2"/>
          </w:tcPr>
          <w:p w:rsidR="008F708E" w:rsidRPr="00BD5C4F" w:rsidRDefault="008F708E" w:rsidP="008F708E">
            <w:pPr>
              <w:pStyle w:val="af0"/>
              <w:ind w:firstLine="0"/>
              <w:jc w:val="left"/>
              <w:rPr>
                <w:color w:val="auto"/>
                <w:sz w:val="24"/>
                <w:szCs w:val="24"/>
              </w:rPr>
            </w:pPr>
            <w:r>
              <w:rPr>
                <w:color w:val="auto"/>
                <w:sz w:val="24"/>
                <w:szCs w:val="24"/>
              </w:rPr>
              <w:t>Действующие  обязательства</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 xml:space="preserve">«Не принятые обязательства» по показателям: </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2748A9">
              <w:rPr>
                <w:color w:val="auto"/>
                <w:sz w:val="24"/>
                <w:szCs w:val="24"/>
              </w:rPr>
              <w:t>Выплаты персоналу</w:t>
            </w:r>
            <w:r>
              <w:rPr>
                <w:color w:val="auto"/>
                <w:sz w:val="24"/>
                <w:szCs w:val="24"/>
              </w:rPr>
              <w:t>» (вид расходов 100);</w:t>
            </w:r>
          </w:p>
          <w:p w:rsidR="008F708E" w:rsidRDefault="008F708E" w:rsidP="005C6E50">
            <w:pPr>
              <w:pStyle w:val="af0"/>
              <w:numPr>
                <w:ilvl w:val="0"/>
                <w:numId w:val="123"/>
              </w:numPr>
              <w:ind w:left="360"/>
              <w:jc w:val="left"/>
              <w:rPr>
                <w:color w:val="auto"/>
                <w:sz w:val="24"/>
                <w:szCs w:val="24"/>
              </w:rPr>
            </w:pPr>
            <w:r>
              <w:rPr>
                <w:color w:val="auto"/>
                <w:sz w:val="24"/>
                <w:szCs w:val="24"/>
              </w:rPr>
              <w:t xml:space="preserve">«Социальное </w:t>
            </w:r>
            <w:r w:rsidRPr="002748A9">
              <w:rPr>
                <w:color w:val="auto"/>
                <w:sz w:val="24"/>
                <w:szCs w:val="24"/>
              </w:rPr>
              <w:t>обеспечение</w:t>
            </w:r>
            <w:r>
              <w:rPr>
                <w:color w:val="auto"/>
                <w:sz w:val="24"/>
                <w:szCs w:val="24"/>
              </w:rPr>
              <w:t>» (виды расходов 300 кроме 323);</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2748A9">
              <w:rPr>
                <w:color w:val="auto"/>
                <w:sz w:val="24"/>
                <w:szCs w:val="24"/>
              </w:rPr>
              <w:t>Уплата налогов</w:t>
            </w:r>
            <w:r>
              <w:rPr>
                <w:color w:val="auto"/>
                <w:sz w:val="24"/>
                <w:szCs w:val="24"/>
              </w:rPr>
              <w:t xml:space="preserve">» (виды расходов </w:t>
            </w:r>
            <w:r w:rsidRPr="00DF0010">
              <w:rPr>
                <w:color w:val="auto"/>
                <w:sz w:val="24"/>
                <w:szCs w:val="24"/>
              </w:rPr>
              <w:t>831, 850, 88</w:t>
            </w:r>
            <w:r>
              <w:rPr>
                <w:color w:val="auto"/>
                <w:sz w:val="24"/>
                <w:szCs w:val="24"/>
              </w:rPr>
              <w:t>0);</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Международные обязательства</w:t>
            </w:r>
            <w:r>
              <w:rPr>
                <w:color w:val="auto"/>
                <w:sz w:val="24"/>
                <w:szCs w:val="24"/>
              </w:rPr>
              <w:t>» (виды расходов 832, 860);</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Долг и гарантии</w:t>
            </w:r>
            <w:r>
              <w:rPr>
                <w:color w:val="auto"/>
                <w:sz w:val="24"/>
                <w:szCs w:val="24"/>
              </w:rPr>
              <w:t>» (виды расходов 710, 841);</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МБТ ГВБФ</w:t>
            </w:r>
            <w:r>
              <w:rPr>
                <w:color w:val="auto"/>
                <w:sz w:val="24"/>
                <w:szCs w:val="24"/>
              </w:rPr>
              <w:t>» (виды расходов 550, 560, 570);</w:t>
            </w:r>
          </w:p>
          <w:p w:rsidR="008F708E" w:rsidRDefault="008F708E" w:rsidP="005C6E50">
            <w:pPr>
              <w:pStyle w:val="af0"/>
              <w:numPr>
                <w:ilvl w:val="0"/>
                <w:numId w:val="123"/>
              </w:numPr>
              <w:ind w:left="360"/>
              <w:jc w:val="left"/>
              <w:rPr>
                <w:color w:val="auto"/>
                <w:sz w:val="24"/>
                <w:szCs w:val="24"/>
              </w:rPr>
            </w:pPr>
            <w:r w:rsidRPr="00DF0010">
              <w:rPr>
                <w:color w:val="auto"/>
                <w:sz w:val="24"/>
                <w:szCs w:val="24"/>
              </w:rPr>
              <w:t>«</w:t>
            </w:r>
            <w:r>
              <w:rPr>
                <w:color w:val="auto"/>
                <w:sz w:val="24"/>
                <w:szCs w:val="24"/>
              </w:rPr>
              <w:t>МБТ субъектам (до</w:t>
            </w:r>
            <w:r w:rsidRPr="00DF0010">
              <w:rPr>
                <w:color w:val="auto"/>
                <w:sz w:val="24"/>
                <w:szCs w:val="24"/>
              </w:rPr>
              <w:t>тации)» (виды расходов 510)</w:t>
            </w:r>
            <w:r>
              <w:rPr>
                <w:color w:val="auto"/>
                <w:sz w:val="24"/>
                <w:szCs w:val="24"/>
              </w:rPr>
              <w:t>;</w:t>
            </w:r>
          </w:p>
          <w:p w:rsidR="008F708E" w:rsidRDefault="008F708E"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Иные действующие обязательства</w:t>
            </w:r>
            <w:r>
              <w:rPr>
                <w:color w:val="auto"/>
                <w:sz w:val="24"/>
                <w:szCs w:val="24"/>
              </w:rPr>
              <w:t xml:space="preserve">» (по формуле: </w:t>
            </w:r>
          </w:p>
          <w:p w:rsidR="008F708E" w:rsidRDefault="008F708E" w:rsidP="008F708E">
            <w:pPr>
              <w:pStyle w:val="af0"/>
              <w:ind w:left="360" w:firstLine="0"/>
              <w:jc w:val="left"/>
              <w:rPr>
                <w:color w:val="auto"/>
                <w:sz w:val="24"/>
                <w:szCs w:val="24"/>
              </w:rPr>
            </w:pPr>
            <w:r>
              <w:rPr>
                <w:color w:val="auto"/>
                <w:sz w:val="24"/>
                <w:szCs w:val="24"/>
              </w:rPr>
              <w:t>«Распределено» МИНУС «Н</w:t>
            </w:r>
            <w:r w:rsidRPr="00DF0010">
              <w:rPr>
                <w:color w:val="auto"/>
                <w:sz w:val="24"/>
                <w:szCs w:val="24"/>
              </w:rPr>
              <w:t>е приняты</w:t>
            </w:r>
            <w:r>
              <w:rPr>
                <w:color w:val="auto"/>
                <w:sz w:val="24"/>
                <w:szCs w:val="24"/>
              </w:rPr>
              <w:t>е</w:t>
            </w:r>
            <w:r w:rsidRPr="00DF0010">
              <w:rPr>
                <w:color w:val="auto"/>
                <w:sz w:val="24"/>
                <w:szCs w:val="24"/>
              </w:rPr>
              <w:t xml:space="preserve"> БО</w:t>
            </w:r>
            <w:r>
              <w:rPr>
                <w:color w:val="auto"/>
                <w:sz w:val="24"/>
                <w:szCs w:val="24"/>
              </w:rPr>
              <w:t xml:space="preserve"> (по контрактам и соглашениям» МИНУС «Выплаты персоналу» МИНУС «</w:t>
            </w:r>
            <w:r w:rsidRPr="00DF0010">
              <w:rPr>
                <w:color w:val="auto"/>
                <w:sz w:val="24"/>
                <w:szCs w:val="24"/>
              </w:rPr>
              <w:t>Соц</w:t>
            </w:r>
            <w:r>
              <w:rPr>
                <w:color w:val="auto"/>
                <w:sz w:val="24"/>
                <w:szCs w:val="24"/>
              </w:rPr>
              <w:t>иальное</w:t>
            </w:r>
            <w:r w:rsidRPr="00DF0010">
              <w:rPr>
                <w:color w:val="auto"/>
                <w:sz w:val="24"/>
                <w:szCs w:val="24"/>
              </w:rPr>
              <w:t xml:space="preserve"> обеспечение</w:t>
            </w:r>
            <w:r>
              <w:rPr>
                <w:color w:val="auto"/>
                <w:sz w:val="24"/>
                <w:szCs w:val="24"/>
              </w:rPr>
              <w:t>» МИНУС «</w:t>
            </w:r>
            <w:r w:rsidRPr="00DF0010">
              <w:rPr>
                <w:color w:val="auto"/>
                <w:sz w:val="24"/>
                <w:szCs w:val="24"/>
              </w:rPr>
              <w:t>Уплата налогов</w:t>
            </w:r>
            <w:r>
              <w:rPr>
                <w:color w:val="auto"/>
                <w:sz w:val="24"/>
                <w:szCs w:val="24"/>
              </w:rPr>
              <w:t>» МИНУС «</w:t>
            </w:r>
            <w:r w:rsidRPr="00DF0010">
              <w:rPr>
                <w:color w:val="auto"/>
                <w:sz w:val="24"/>
                <w:szCs w:val="24"/>
              </w:rPr>
              <w:t>Международные обязательства</w:t>
            </w:r>
            <w:r>
              <w:rPr>
                <w:color w:val="auto"/>
                <w:sz w:val="24"/>
                <w:szCs w:val="24"/>
              </w:rPr>
              <w:t>» МИНУС «</w:t>
            </w:r>
            <w:r w:rsidRPr="00DF0010">
              <w:rPr>
                <w:color w:val="auto"/>
                <w:sz w:val="24"/>
                <w:szCs w:val="24"/>
              </w:rPr>
              <w:t>Долг и гарантии</w:t>
            </w:r>
            <w:r>
              <w:rPr>
                <w:color w:val="auto"/>
                <w:sz w:val="24"/>
                <w:szCs w:val="24"/>
              </w:rPr>
              <w:t>» МИНУС «</w:t>
            </w:r>
            <w:r w:rsidRPr="00DF0010">
              <w:rPr>
                <w:color w:val="auto"/>
                <w:sz w:val="24"/>
                <w:szCs w:val="24"/>
              </w:rPr>
              <w:t>Нет МБТ ГВБФ</w:t>
            </w:r>
            <w:r>
              <w:rPr>
                <w:color w:val="auto"/>
                <w:sz w:val="24"/>
                <w:szCs w:val="24"/>
              </w:rPr>
              <w:t>» МИНУС «М</w:t>
            </w:r>
            <w:r w:rsidRPr="00DF0010">
              <w:rPr>
                <w:color w:val="auto"/>
                <w:sz w:val="24"/>
                <w:szCs w:val="24"/>
              </w:rPr>
              <w:t>БТ субъектам</w:t>
            </w:r>
            <w:r>
              <w:rPr>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sidRPr="0093510D">
              <w:rPr>
                <w:color w:val="auto"/>
                <w:sz w:val="24"/>
                <w:szCs w:val="24"/>
              </w:rPr>
              <w:t>Не принятые обязательства</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«Распределено» МИНУС «Приняты обязательства».</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Сумма факторов риска (непринятые обязательства в срок)</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Расчет показателя «</w:t>
            </w:r>
            <w:r w:rsidRPr="00C078B7">
              <w:rPr>
                <w:color w:val="auto"/>
                <w:sz w:val="24"/>
                <w:szCs w:val="24"/>
              </w:rPr>
              <w:t>Не принятые обязательства</w:t>
            </w:r>
            <w:r w:rsidRPr="00BD5C4F">
              <w:rPr>
                <w:color w:val="auto"/>
                <w:sz w:val="24"/>
                <w:szCs w:val="24"/>
              </w:rPr>
              <w:t xml:space="preserve"> в срок</w:t>
            </w:r>
            <w:r>
              <w:rPr>
                <w:color w:val="auto"/>
                <w:sz w:val="24"/>
                <w:szCs w:val="24"/>
              </w:rPr>
              <w:t xml:space="preserve">» описан в пункте </w:t>
            </w:r>
            <w:r>
              <w:rPr>
                <w:color w:val="auto"/>
                <w:sz w:val="24"/>
                <w:szCs w:val="24"/>
              </w:rPr>
              <w:fldChar w:fldCharType="begin"/>
            </w:r>
            <w:r>
              <w:rPr>
                <w:color w:val="auto"/>
                <w:sz w:val="24"/>
                <w:szCs w:val="24"/>
              </w:rPr>
              <w:instrText xml:space="preserve"> REF _Ref80300572 \n \h  \* MERGEFORMAT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2A3E82">
              <w:rPr>
                <w:color w:val="auto"/>
                <w:sz w:val="24"/>
                <w:szCs w:val="24"/>
              </w:rPr>
              <w:t>Не заключены контракты</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w:t>
            </w:r>
            <w:r>
              <w:rPr>
                <w:color w:val="auto"/>
                <w:sz w:val="24"/>
                <w:szCs w:val="24"/>
              </w:rPr>
              <w:t>»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w:t>
            </w:r>
            <w:r>
              <w:rPr>
                <w:color w:val="auto"/>
                <w:sz w:val="24"/>
                <w:szCs w:val="24"/>
              </w:rPr>
              <w:t xml:space="preserve"> в срок»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Pr>
                <w:color w:val="auto"/>
                <w:sz w:val="24"/>
                <w:szCs w:val="24"/>
              </w:rPr>
              <w:t>Не заключены соглашения</w:t>
            </w:r>
            <w:r w:rsidRPr="002A3E82">
              <w:rPr>
                <w:color w:val="auto"/>
                <w:sz w:val="24"/>
                <w:szCs w:val="24"/>
              </w:rPr>
              <w:t xml:space="preserve"> с субъектами РФ</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«Не принятые обязательства»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2A3E82">
              <w:rPr>
                <w:color w:val="auto"/>
                <w:sz w:val="24"/>
                <w:szCs w:val="24"/>
              </w:rPr>
              <w:t xml:space="preserve">Не заключены </w:t>
            </w:r>
            <w:r>
              <w:rPr>
                <w:color w:val="auto"/>
                <w:sz w:val="24"/>
                <w:szCs w:val="24"/>
              </w:rPr>
              <w:t>соглашения с</w:t>
            </w:r>
            <w:r w:rsidRPr="002A3E82">
              <w:rPr>
                <w:color w:val="auto"/>
                <w:sz w:val="24"/>
                <w:szCs w:val="24"/>
              </w:rPr>
              <w:t xml:space="preserve"> ЮЛ</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принятые обязательства»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2A3E82">
              <w:rPr>
                <w:color w:val="auto"/>
                <w:sz w:val="24"/>
                <w:szCs w:val="24"/>
              </w:rPr>
              <w:t xml:space="preserve">Не заключены </w:t>
            </w:r>
            <w:r>
              <w:rPr>
                <w:color w:val="auto"/>
                <w:sz w:val="24"/>
                <w:szCs w:val="24"/>
              </w:rPr>
              <w:t>соглашения</w:t>
            </w:r>
            <w:r w:rsidRPr="002A3E82">
              <w:rPr>
                <w:color w:val="auto"/>
                <w:sz w:val="24"/>
                <w:szCs w:val="24"/>
              </w:rPr>
              <w:t xml:space="preserve"> с БУ/АУ на ГЗ</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принятые обязательства» по видам расходов </w:t>
            </w:r>
            <w:r w:rsidRPr="007B5899">
              <w:rPr>
                <w:color w:val="auto"/>
                <w:sz w:val="24"/>
                <w:szCs w:val="24"/>
              </w:rPr>
              <w:t>611, 621, 614 и 624</w:t>
            </w:r>
            <w:r>
              <w:rPr>
                <w:color w:val="auto"/>
                <w:sz w:val="24"/>
                <w:szCs w:val="24"/>
              </w:rPr>
              <w:t>.</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611, 621, 614 и 624</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2A3E82">
              <w:rPr>
                <w:color w:val="auto"/>
                <w:sz w:val="24"/>
                <w:szCs w:val="24"/>
              </w:rPr>
              <w:t xml:space="preserve">Не заключены </w:t>
            </w:r>
            <w:r>
              <w:rPr>
                <w:color w:val="auto"/>
                <w:sz w:val="24"/>
                <w:szCs w:val="24"/>
              </w:rPr>
              <w:t>соглашения</w:t>
            </w:r>
            <w:r w:rsidRPr="002A3E82">
              <w:rPr>
                <w:color w:val="auto"/>
                <w:sz w:val="24"/>
                <w:szCs w:val="24"/>
              </w:rPr>
              <w:t xml:space="preserve"> с БУ/АУ на иные цели</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принятые обязательства» по видам расходов </w:t>
            </w:r>
            <w:r w:rsidRPr="007B5899">
              <w:rPr>
                <w:color w:val="auto"/>
                <w:sz w:val="24"/>
                <w:szCs w:val="24"/>
              </w:rPr>
              <w:t>461, 462, 464, 465, 612, 613, 622, 623</w:t>
            </w:r>
            <w:r>
              <w:rPr>
                <w:color w:val="auto"/>
                <w:sz w:val="24"/>
                <w:szCs w:val="24"/>
              </w:rPr>
              <w:t>.</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93510D">
              <w:rPr>
                <w:color w:val="auto"/>
                <w:sz w:val="24"/>
                <w:szCs w:val="24"/>
              </w:rPr>
              <w:t>Не принятые обязательства в срок</w:t>
            </w:r>
            <w:r>
              <w:rPr>
                <w:color w:val="auto"/>
                <w:sz w:val="24"/>
                <w:szCs w:val="24"/>
              </w:rPr>
              <w:t xml:space="preserve">» по видам расходов </w:t>
            </w:r>
            <w:r w:rsidRPr="007B5899">
              <w:rPr>
                <w:color w:val="auto"/>
                <w:sz w:val="24"/>
                <w:szCs w:val="24"/>
              </w:rPr>
              <w:t>461, 462, 464, 465, 612, 613, 622, 623</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ГРБС с отклонениями</w:t>
            </w:r>
          </w:p>
          <w:p w:rsidR="008F708E" w:rsidRDefault="008F708E" w:rsidP="008F708E">
            <w:pPr>
              <w:pStyle w:val="af0"/>
              <w:ind w:firstLine="0"/>
              <w:jc w:val="left"/>
              <w:rPr>
                <w:color w:val="auto"/>
                <w:sz w:val="24"/>
                <w:szCs w:val="24"/>
              </w:rPr>
            </w:pPr>
          </w:p>
          <w:p w:rsidR="008F708E" w:rsidRPr="002A3E82" w:rsidRDefault="008F708E" w:rsidP="008F708E">
            <w:pPr>
              <w:pStyle w:val="af0"/>
              <w:ind w:firstLine="0"/>
              <w:jc w:val="left"/>
              <w:rPr>
                <w:color w:val="auto"/>
                <w:sz w:val="24"/>
                <w:szCs w:val="24"/>
              </w:rPr>
            </w:pPr>
            <w:r>
              <w:rPr>
                <w:color w:val="auto"/>
                <w:sz w:val="24"/>
                <w:szCs w:val="24"/>
              </w:rPr>
              <w:t>Переход в представление «По ГРБС» отчета «Расходы федерального бюджета»</w:t>
            </w:r>
          </w:p>
        </w:tc>
        <w:tc>
          <w:tcPr>
            <w:tcW w:w="6662" w:type="dxa"/>
            <w:shd w:val="clear" w:color="auto" w:fill="F2F2F2" w:themeFill="background1" w:themeFillShade="F2"/>
          </w:tcPr>
          <w:p w:rsidR="008F708E" w:rsidRPr="00B70294" w:rsidRDefault="008F708E" w:rsidP="008F708E">
            <w:pPr>
              <w:pStyle w:val="af0"/>
              <w:ind w:firstLine="0"/>
              <w:jc w:val="left"/>
              <w:rPr>
                <w:color w:val="auto"/>
                <w:sz w:val="24"/>
                <w:szCs w:val="24"/>
              </w:rPr>
            </w:pPr>
            <w:r w:rsidRPr="00B70294">
              <w:rPr>
                <w:color w:val="auto"/>
                <w:sz w:val="24"/>
                <w:szCs w:val="24"/>
              </w:rPr>
              <w:t>Значения в формате: «</w:t>
            </w:r>
            <w:r w:rsidRPr="00B70294">
              <w:rPr>
                <w:color w:val="auto"/>
                <w:sz w:val="24"/>
                <w:szCs w:val="24"/>
                <w:lang w:val="en-US"/>
              </w:rPr>
              <w:t>X</w:t>
            </w:r>
            <w:r w:rsidRPr="00B70294">
              <w:rPr>
                <w:color w:val="auto"/>
                <w:sz w:val="24"/>
                <w:szCs w:val="24"/>
              </w:rPr>
              <w:t xml:space="preserve"> из </w:t>
            </w:r>
            <w:r w:rsidRPr="00B70294">
              <w:rPr>
                <w:color w:val="auto"/>
                <w:sz w:val="24"/>
                <w:szCs w:val="24"/>
                <w:lang w:val="en-US"/>
              </w:rPr>
              <w:t>Y</w:t>
            </w:r>
            <w:r w:rsidRPr="00B70294">
              <w:rPr>
                <w:color w:val="auto"/>
                <w:sz w:val="24"/>
                <w:szCs w:val="24"/>
              </w:rPr>
              <w:t>».</w:t>
            </w:r>
          </w:p>
          <w:p w:rsidR="008F708E" w:rsidRPr="00103625" w:rsidRDefault="008F708E" w:rsidP="005C6E50">
            <w:pPr>
              <w:pStyle w:val="af0"/>
              <w:numPr>
                <w:ilvl w:val="0"/>
                <w:numId w:val="125"/>
              </w:numPr>
              <w:jc w:val="left"/>
              <w:rPr>
                <w:color w:val="auto"/>
                <w:sz w:val="24"/>
                <w:szCs w:val="24"/>
              </w:rPr>
            </w:pPr>
            <w:r w:rsidRPr="00B70294">
              <w:rPr>
                <w:color w:val="auto"/>
                <w:sz w:val="24"/>
                <w:szCs w:val="24"/>
              </w:rPr>
              <w:t>«</w:t>
            </w:r>
            <w:r w:rsidRPr="00B70294">
              <w:rPr>
                <w:color w:val="auto"/>
                <w:sz w:val="24"/>
                <w:szCs w:val="24"/>
                <w:lang w:val="en-US"/>
              </w:rPr>
              <w:t>X</w:t>
            </w:r>
            <w:r w:rsidRPr="00B70294">
              <w:rPr>
                <w:color w:val="auto"/>
                <w:sz w:val="24"/>
                <w:szCs w:val="24"/>
              </w:rPr>
              <w:t xml:space="preserve">» - </w:t>
            </w:r>
            <w:r>
              <w:rPr>
                <w:color w:val="auto"/>
                <w:sz w:val="24"/>
                <w:szCs w:val="24"/>
              </w:rPr>
              <w:t>количество ГРБС, у которых присутствуют значения по показателю «Сумма факторов риска (непринятые обязательства в срок)» (</w:t>
            </w:r>
            <w:r w:rsidRPr="00B70294">
              <w:rPr>
                <w:i/>
                <w:color w:val="auto"/>
                <w:sz w:val="24"/>
                <w:szCs w:val="24"/>
              </w:rPr>
              <w:t>при выборе в параметре «По состоянию на» значения не равного значению 01.01.ГГГГ</w:t>
            </w:r>
            <w:r>
              <w:rPr>
                <w:i/>
                <w:color w:val="auto"/>
                <w:sz w:val="24"/>
                <w:szCs w:val="24"/>
              </w:rPr>
              <w:t>)</w:t>
            </w:r>
            <w:r w:rsidRPr="00103625">
              <w:rPr>
                <w:iCs/>
                <w:color w:val="auto"/>
                <w:sz w:val="24"/>
                <w:szCs w:val="24"/>
              </w:rPr>
              <w:t xml:space="preserve"> или «Не </w:t>
            </w:r>
            <w:r>
              <w:rPr>
                <w:iCs/>
                <w:color w:val="auto"/>
                <w:sz w:val="24"/>
                <w:szCs w:val="24"/>
              </w:rPr>
              <w:t xml:space="preserve">принятые обязательства» </w:t>
            </w:r>
            <w:r>
              <w:rPr>
                <w:color w:val="auto"/>
                <w:sz w:val="24"/>
                <w:szCs w:val="24"/>
              </w:rPr>
              <w:t>(</w:t>
            </w:r>
            <w:r w:rsidRPr="00B70294">
              <w:rPr>
                <w:i/>
                <w:color w:val="auto"/>
                <w:sz w:val="24"/>
                <w:szCs w:val="24"/>
              </w:rPr>
              <w:t>при выборе в параметре «По состоянию на» значения 01.01.ГГГГ</w:t>
            </w:r>
            <w:r>
              <w:rPr>
                <w:i/>
                <w:color w:val="auto"/>
                <w:sz w:val="24"/>
                <w:szCs w:val="24"/>
              </w:rPr>
              <w:t>);</w:t>
            </w:r>
          </w:p>
          <w:p w:rsidR="008F708E" w:rsidRDefault="008F708E" w:rsidP="005C6E50">
            <w:pPr>
              <w:pStyle w:val="af0"/>
              <w:numPr>
                <w:ilvl w:val="0"/>
                <w:numId w:val="125"/>
              </w:numPr>
              <w:jc w:val="left"/>
              <w:rPr>
                <w:color w:val="auto"/>
                <w:sz w:val="24"/>
                <w:szCs w:val="24"/>
              </w:rPr>
            </w:pPr>
            <w:r>
              <w:rPr>
                <w:color w:val="auto"/>
                <w:sz w:val="24"/>
                <w:szCs w:val="24"/>
              </w:rPr>
              <w:t>«</w:t>
            </w:r>
            <w:r>
              <w:rPr>
                <w:color w:val="auto"/>
                <w:sz w:val="24"/>
                <w:szCs w:val="24"/>
                <w:lang w:val="en-US"/>
              </w:rPr>
              <w:t>Y</w:t>
            </w:r>
            <w:r w:rsidRPr="00B70294">
              <w:rPr>
                <w:color w:val="auto"/>
                <w:sz w:val="24"/>
                <w:szCs w:val="24"/>
              </w:rPr>
              <w:t xml:space="preserve">» - </w:t>
            </w:r>
            <w:r>
              <w:rPr>
                <w:color w:val="auto"/>
                <w:sz w:val="24"/>
                <w:szCs w:val="24"/>
              </w:rPr>
              <w:t xml:space="preserve">общее количество ГРБС на дату </w:t>
            </w:r>
            <w:r w:rsidRPr="002E61C7">
              <w:rPr>
                <w:iCs/>
                <w:color w:val="auto"/>
                <w:sz w:val="24"/>
                <w:szCs w:val="24"/>
              </w:rPr>
              <w:t>в параметре «По состоянию на».</w:t>
            </w:r>
          </w:p>
        </w:tc>
      </w:tr>
      <w:tr w:rsidR="008F708E" w:rsidRPr="0032031B" w:rsidTr="008F708E">
        <w:tc>
          <w:tcPr>
            <w:tcW w:w="2801" w:type="dxa"/>
            <w:shd w:val="clear" w:color="auto" w:fill="808080" w:themeFill="background1" w:themeFillShade="80"/>
          </w:tcPr>
          <w:p w:rsidR="008F708E" w:rsidRPr="00030820" w:rsidRDefault="008F708E" w:rsidP="008F708E">
            <w:pPr>
              <w:pStyle w:val="af0"/>
              <w:ind w:firstLine="0"/>
              <w:jc w:val="left"/>
              <w:rPr>
                <w:b/>
                <w:color w:val="auto"/>
                <w:sz w:val="24"/>
                <w:szCs w:val="24"/>
              </w:rPr>
            </w:pPr>
          </w:p>
        </w:tc>
        <w:tc>
          <w:tcPr>
            <w:tcW w:w="6662" w:type="dxa"/>
            <w:shd w:val="clear" w:color="auto" w:fill="808080" w:themeFill="background1" w:themeFillShade="80"/>
          </w:tcPr>
          <w:p w:rsidR="008F708E" w:rsidRPr="00030820" w:rsidRDefault="008F708E" w:rsidP="008F708E">
            <w:pPr>
              <w:pStyle w:val="af0"/>
              <w:ind w:firstLine="0"/>
              <w:jc w:val="left"/>
              <w:rPr>
                <w:b/>
                <w:color w:val="auto"/>
                <w:sz w:val="24"/>
                <w:szCs w:val="24"/>
              </w:rPr>
            </w:pPr>
            <w:r>
              <w:rPr>
                <w:b/>
                <w:color w:val="auto"/>
                <w:sz w:val="24"/>
                <w:szCs w:val="24"/>
              </w:rPr>
              <w:t>ЭТАП «ИСПОЛНЕНИЕ»</w:t>
            </w:r>
          </w:p>
        </w:tc>
      </w:tr>
      <w:tr w:rsidR="008F708E" w:rsidRPr="0032031B" w:rsidTr="008F708E">
        <w:tc>
          <w:tcPr>
            <w:tcW w:w="2801" w:type="dxa"/>
            <w:shd w:val="clear" w:color="auto" w:fill="F2F2F2" w:themeFill="background1" w:themeFillShade="F2"/>
          </w:tcPr>
          <w:p w:rsidR="008F708E" w:rsidRPr="002A3E82" w:rsidRDefault="008F708E" w:rsidP="008F708E">
            <w:pPr>
              <w:pStyle w:val="af0"/>
              <w:ind w:firstLine="0"/>
              <w:jc w:val="left"/>
              <w:rPr>
                <w:color w:val="auto"/>
                <w:sz w:val="24"/>
                <w:szCs w:val="24"/>
              </w:rPr>
            </w:pPr>
            <w:r w:rsidRPr="0032031B">
              <w:rPr>
                <w:color w:val="auto"/>
                <w:sz w:val="24"/>
                <w:szCs w:val="24"/>
              </w:rPr>
              <w:t>Факт</w:t>
            </w:r>
          </w:p>
        </w:tc>
        <w:tc>
          <w:tcPr>
            <w:tcW w:w="6662" w:type="dxa"/>
            <w:shd w:val="clear" w:color="auto" w:fill="auto"/>
          </w:tcPr>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 «ГАБС» установлено значение «Все».</w:t>
            </w:r>
          </w:p>
          <w:p w:rsidR="008F708E" w:rsidRDefault="008F708E" w:rsidP="008F708E">
            <w:pPr>
              <w:pStyle w:val="af0"/>
              <w:ind w:firstLine="0"/>
              <w:jc w:val="left"/>
              <w:rPr>
                <w:color w:val="auto"/>
                <w:sz w:val="24"/>
                <w:szCs w:val="24"/>
              </w:rPr>
            </w:pPr>
            <w:r>
              <w:rPr>
                <w:color w:val="auto"/>
                <w:sz w:val="24"/>
                <w:szCs w:val="24"/>
              </w:rPr>
              <w:t xml:space="preserve">АСФК, форма 0504072, раздел </w:t>
            </w:r>
            <w:r w:rsidRPr="00284D1D">
              <w:rPr>
                <w:color w:val="auto"/>
                <w:sz w:val="24"/>
                <w:szCs w:val="24"/>
              </w:rPr>
              <w:t>«4 Расходы КВР»</w:t>
            </w:r>
            <w:r>
              <w:rPr>
                <w:color w:val="auto"/>
                <w:sz w:val="24"/>
                <w:szCs w:val="24"/>
              </w:rPr>
              <w:t xml:space="preserve"> (с закрытой частью)</w:t>
            </w:r>
            <w:r w:rsidRPr="0032031B">
              <w:rPr>
                <w:color w:val="auto"/>
                <w:sz w:val="24"/>
                <w:szCs w:val="24"/>
              </w:rPr>
              <w:t>, показатель «Кассовое исполнение».</w:t>
            </w:r>
          </w:p>
          <w:p w:rsidR="008F708E" w:rsidRPr="003B5160" w:rsidRDefault="008F708E" w:rsidP="008F708E">
            <w:pPr>
              <w:pStyle w:val="af0"/>
              <w:ind w:firstLine="0"/>
              <w:jc w:val="left"/>
              <w:rPr>
                <w:color w:val="auto"/>
                <w:sz w:val="24"/>
                <w:szCs w:val="24"/>
              </w:rPr>
            </w:pPr>
          </w:p>
          <w:p w:rsidR="008F708E" w:rsidRPr="003B5160" w:rsidRDefault="008F708E" w:rsidP="008F708E">
            <w:pPr>
              <w:pStyle w:val="af0"/>
              <w:ind w:firstLine="0"/>
              <w:jc w:val="left"/>
              <w:rPr>
                <w:i/>
                <w:color w:val="auto"/>
                <w:sz w:val="24"/>
                <w:szCs w:val="24"/>
              </w:rPr>
            </w:pPr>
            <w:r w:rsidRPr="003B5160">
              <w:rPr>
                <w:i/>
                <w:color w:val="auto"/>
                <w:sz w:val="24"/>
                <w:szCs w:val="24"/>
              </w:rPr>
              <w:t>В параметрах «Вице-премьер» и/или «ГАБС» установлены значения не равные значению «Все».</w:t>
            </w:r>
          </w:p>
          <w:p w:rsidR="008F708E" w:rsidRPr="00806499" w:rsidRDefault="008F708E" w:rsidP="008F708E">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w:t>
            </w:r>
            <w:r w:rsidRPr="0032031B">
              <w:rPr>
                <w:color w:val="auto"/>
                <w:sz w:val="24"/>
                <w:szCs w:val="24"/>
              </w:rPr>
              <w:t>Кассовое исполнение</w:t>
            </w:r>
            <w:r>
              <w:rPr>
                <w:color w:val="auto"/>
                <w:sz w:val="24"/>
                <w:szCs w:val="24"/>
              </w:rPr>
              <w:t>»</w:t>
            </w:r>
            <w:r w:rsidRPr="003B5160">
              <w:rPr>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sidRPr="009B1D07">
              <w:rPr>
                <w:color w:val="auto"/>
                <w:sz w:val="24"/>
                <w:szCs w:val="24"/>
              </w:rPr>
              <w:t>Риск неисполнения по данным ГРБ</w:t>
            </w:r>
            <w:r>
              <w:rPr>
                <w:color w:val="auto"/>
                <w:sz w:val="24"/>
                <w:szCs w:val="24"/>
              </w:rPr>
              <w:t>С</w:t>
            </w:r>
          </w:p>
          <w:p w:rsidR="008F708E" w:rsidRPr="00030820" w:rsidRDefault="008F708E" w:rsidP="008F708E">
            <w:pPr>
              <w:pStyle w:val="af0"/>
              <w:ind w:firstLine="0"/>
              <w:jc w:val="left"/>
              <w:rPr>
                <w:i/>
                <w:color w:val="auto"/>
                <w:sz w:val="24"/>
                <w:szCs w:val="24"/>
              </w:rPr>
            </w:pPr>
            <w:r w:rsidRPr="00030820">
              <w:rPr>
                <w:i/>
                <w:color w:val="auto"/>
                <w:sz w:val="24"/>
                <w:szCs w:val="24"/>
              </w:rPr>
              <w:t>(показатель для данных за 2020 год)</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Оплата заключенных гос.контрактов, включая КС</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Федеральный дорожный фонд</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Субсидии ЮЛ «под потребность»</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Субсидии, субвенции и иные МБТ «под потребность»</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Резервный фонд и иные резервные средства</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Реализация решений в сфере нац.обороны</w:t>
            </w:r>
          </w:p>
        </w:tc>
        <w:tc>
          <w:tcPr>
            <w:tcW w:w="6662" w:type="dxa"/>
            <w:shd w:val="clear" w:color="auto" w:fill="auto"/>
          </w:tcPr>
          <w:p w:rsidR="008F708E" w:rsidRPr="009B1D07" w:rsidRDefault="008F708E" w:rsidP="008F708E">
            <w:pPr>
              <w:pStyle w:val="af0"/>
              <w:ind w:firstLine="0"/>
              <w:jc w:val="left"/>
              <w:rPr>
                <w:color w:val="auto"/>
                <w:sz w:val="24"/>
                <w:szCs w:val="24"/>
              </w:rPr>
            </w:pPr>
            <w:r w:rsidRPr="009B1D07">
              <w:rPr>
                <w:color w:val="auto"/>
                <w:sz w:val="24"/>
                <w:szCs w:val="24"/>
              </w:rPr>
              <w:t>ПБП, форма по сбору информации с ГРБС о</w:t>
            </w:r>
            <w:r>
              <w:rPr>
                <w:color w:val="auto"/>
                <w:sz w:val="24"/>
                <w:szCs w:val="24"/>
              </w:rPr>
              <w:t xml:space="preserve"> прогнозе неисполнения бюджета.</w:t>
            </w:r>
          </w:p>
          <w:p w:rsidR="008F708E" w:rsidRDefault="008F708E" w:rsidP="008F708E">
            <w:pPr>
              <w:pStyle w:val="af0"/>
              <w:ind w:firstLine="0"/>
              <w:jc w:val="left"/>
              <w:rPr>
                <w:i/>
                <w:color w:val="auto"/>
                <w:sz w:val="24"/>
                <w:szCs w:val="24"/>
              </w:rPr>
            </w:pPr>
            <w:r w:rsidRPr="009B1D07">
              <w:rPr>
                <w:i/>
                <w:color w:val="auto"/>
                <w:sz w:val="24"/>
                <w:szCs w:val="24"/>
              </w:rPr>
              <w:t>Показатель выводится для данных за 2020 год.</w:t>
            </w:r>
          </w:p>
          <w:p w:rsidR="008F708E" w:rsidRPr="003B5160" w:rsidRDefault="008F708E" w:rsidP="008F708E">
            <w:pPr>
              <w:pStyle w:val="af0"/>
              <w:ind w:firstLine="0"/>
              <w:jc w:val="left"/>
              <w:rPr>
                <w:i/>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r>
              <w:rPr>
                <w:i/>
                <w:color w:val="auto"/>
                <w:sz w:val="24"/>
                <w:szCs w:val="24"/>
              </w:rPr>
              <w:t>.</w:t>
            </w:r>
          </w:p>
        </w:tc>
      </w:tr>
      <w:tr w:rsidR="008F708E" w:rsidRPr="0032031B" w:rsidTr="008F708E">
        <w:tc>
          <w:tcPr>
            <w:tcW w:w="2801" w:type="dxa"/>
            <w:shd w:val="clear" w:color="auto" w:fill="auto"/>
          </w:tcPr>
          <w:p w:rsidR="008F708E" w:rsidRPr="0032031B" w:rsidRDefault="008F708E" w:rsidP="008F708E">
            <w:pPr>
              <w:pStyle w:val="af0"/>
              <w:ind w:firstLine="0"/>
              <w:jc w:val="left"/>
              <w:rPr>
                <w:color w:val="auto"/>
                <w:sz w:val="24"/>
                <w:szCs w:val="24"/>
              </w:rPr>
            </w:pPr>
            <w:r w:rsidRPr="009B1D07">
              <w:rPr>
                <w:color w:val="auto"/>
                <w:sz w:val="24"/>
                <w:szCs w:val="24"/>
              </w:rPr>
              <w:t>Иные остатки</w:t>
            </w:r>
          </w:p>
        </w:tc>
        <w:tc>
          <w:tcPr>
            <w:tcW w:w="6662" w:type="dxa"/>
            <w:shd w:val="clear" w:color="auto" w:fill="auto"/>
          </w:tcPr>
          <w:p w:rsidR="008F708E" w:rsidRPr="003B5160" w:rsidRDefault="008F708E" w:rsidP="008F708E">
            <w:pPr>
              <w:pStyle w:val="af0"/>
              <w:ind w:firstLine="0"/>
              <w:jc w:val="left"/>
              <w:rPr>
                <w:i/>
                <w:color w:val="auto"/>
                <w:sz w:val="24"/>
                <w:szCs w:val="24"/>
              </w:rPr>
            </w:pPr>
          </w:p>
        </w:tc>
      </w:tr>
      <w:tr w:rsidR="008F708E" w:rsidRPr="0032031B" w:rsidTr="008F708E">
        <w:tc>
          <w:tcPr>
            <w:tcW w:w="2801" w:type="dxa"/>
            <w:shd w:val="clear" w:color="auto" w:fill="F2F2F2" w:themeFill="background1" w:themeFillShade="F2"/>
          </w:tcPr>
          <w:p w:rsidR="008F708E" w:rsidRPr="002A3E82" w:rsidRDefault="008F708E" w:rsidP="008F708E">
            <w:pPr>
              <w:pStyle w:val="af0"/>
              <w:ind w:firstLine="0"/>
              <w:jc w:val="left"/>
              <w:rPr>
                <w:color w:val="auto"/>
                <w:sz w:val="24"/>
                <w:szCs w:val="24"/>
              </w:rPr>
            </w:pPr>
            <w:r>
              <w:rPr>
                <w:color w:val="auto"/>
                <w:sz w:val="24"/>
                <w:szCs w:val="24"/>
              </w:rPr>
              <w:t>Осталось исполнить</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w:t>
            </w:r>
            <w:r w:rsidRPr="003B5160">
              <w:rPr>
                <w:color w:val="auto"/>
                <w:sz w:val="24"/>
                <w:szCs w:val="24"/>
              </w:rPr>
              <w:t>Роспись на ГГГГ год</w:t>
            </w:r>
            <w:r>
              <w:rPr>
                <w:color w:val="auto"/>
                <w:sz w:val="24"/>
                <w:szCs w:val="24"/>
              </w:rPr>
              <w:t>» МИНУС «Факт».</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sidRPr="002A3E82">
              <w:rPr>
                <w:color w:val="auto"/>
                <w:sz w:val="24"/>
                <w:szCs w:val="24"/>
              </w:rPr>
              <w:t>Не исполнено в срок</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Расчет показателя описан в пункте </w:t>
            </w:r>
            <w:r>
              <w:rPr>
                <w:color w:val="auto"/>
                <w:sz w:val="24"/>
                <w:szCs w:val="24"/>
              </w:rPr>
              <w:fldChar w:fldCharType="begin"/>
            </w:r>
            <w:r>
              <w:rPr>
                <w:color w:val="auto"/>
                <w:sz w:val="24"/>
                <w:szCs w:val="24"/>
              </w:rPr>
              <w:instrText xml:space="preserve"> REF _Ref80300572 \n \h  \* MERGEFORMAT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030820">
              <w:rPr>
                <w:color w:val="auto"/>
                <w:sz w:val="24"/>
                <w:szCs w:val="24"/>
              </w:rPr>
              <w:t>Не исполнены контракты на поставку товаров (работ, услуг)</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«Осталось исполнить»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2A3E82">
              <w:rPr>
                <w:color w:val="auto"/>
                <w:sz w:val="24"/>
                <w:szCs w:val="24"/>
              </w:rPr>
              <w:t xml:space="preserve">Не исполнено </w:t>
            </w:r>
            <w:r>
              <w:rPr>
                <w:color w:val="auto"/>
                <w:sz w:val="24"/>
                <w:szCs w:val="24"/>
              </w:rPr>
              <w:t>в срок»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030820">
              <w:rPr>
                <w:color w:val="auto"/>
                <w:sz w:val="24"/>
                <w:szCs w:val="24"/>
              </w:rPr>
              <w:t>Не исполнены соглашения с субъектами РФ на МБТ</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«Осталось исполнить»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2A3E82">
              <w:rPr>
                <w:color w:val="auto"/>
                <w:sz w:val="24"/>
                <w:szCs w:val="24"/>
              </w:rPr>
              <w:t xml:space="preserve">Не исполнено </w:t>
            </w:r>
            <w:r w:rsidRPr="0093510D">
              <w:rPr>
                <w:color w:val="auto"/>
                <w:sz w:val="24"/>
                <w:szCs w:val="24"/>
              </w:rPr>
              <w:t>в срок</w:t>
            </w:r>
            <w:r>
              <w:rPr>
                <w:color w:val="auto"/>
                <w:sz w:val="24"/>
                <w:szCs w:val="24"/>
              </w:rPr>
              <w:t>»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030820">
              <w:rPr>
                <w:color w:val="auto"/>
                <w:sz w:val="24"/>
                <w:szCs w:val="24"/>
              </w:rPr>
              <w:t>Не исполнены соглашения с юридическими лицами</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«Осталось исполнить»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2A3E82">
              <w:rPr>
                <w:color w:val="auto"/>
                <w:sz w:val="24"/>
                <w:szCs w:val="24"/>
              </w:rPr>
              <w:t xml:space="preserve">Не исполнено </w:t>
            </w:r>
            <w:r w:rsidRPr="0093510D">
              <w:rPr>
                <w:color w:val="auto"/>
                <w:sz w:val="24"/>
                <w:szCs w:val="24"/>
              </w:rPr>
              <w:t>в срок</w:t>
            </w:r>
            <w:r>
              <w:rPr>
                <w:color w:val="auto"/>
                <w:sz w:val="24"/>
                <w:szCs w:val="24"/>
              </w:rPr>
              <w:t xml:space="preserve">»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030820">
              <w:rPr>
                <w:color w:val="auto"/>
                <w:sz w:val="24"/>
                <w:szCs w:val="24"/>
              </w:rPr>
              <w:t>Не исполнены соглашения с БУ/АУ на гос. задания</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«Осталось исполнить» по видам расходов </w:t>
            </w:r>
            <w:r w:rsidRPr="007B5899">
              <w:rPr>
                <w:color w:val="auto"/>
                <w:sz w:val="24"/>
                <w:szCs w:val="24"/>
              </w:rPr>
              <w:t>611, 621, 614 и 624</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2A3E82">
              <w:rPr>
                <w:color w:val="auto"/>
                <w:sz w:val="24"/>
                <w:szCs w:val="24"/>
              </w:rPr>
              <w:t xml:space="preserve">Не исполнено </w:t>
            </w:r>
            <w:r w:rsidRPr="0093510D">
              <w:rPr>
                <w:color w:val="auto"/>
                <w:sz w:val="24"/>
                <w:szCs w:val="24"/>
              </w:rPr>
              <w:t>в срок</w:t>
            </w:r>
            <w:r>
              <w:rPr>
                <w:color w:val="auto"/>
                <w:sz w:val="24"/>
                <w:szCs w:val="24"/>
              </w:rPr>
              <w:t xml:space="preserve">» по видам расходов </w:t>
            </w:r>
            <w:r w:rsidRPr="007B5899">
              <w:rPr>
                <w:color w:val="auto"/>
                <w:sz w:val="24"/>
                <w:szCs w:val="24"/>
              </w:rPr>
              <w:t>611, 621, 614 и 624</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Default="008F708E" w:rsidP="008F708E">
            <w:pPr>
              <w:pStyle w:val="af0"/>
              <w:ind w:firstLine="0"/>
              <w:jc w:val="left"/>
              <w:rPr>
                <w:color w:val="auto"/>
                <w:sz w:val="24"/>
                <w:szCs w:val="24"/>
              </w:rPr>
            </w:pPr>
            <w:r w:rsidRPr="00030820">
              <w:rPr>
                <w:color w:val="auto"/>
                <w:sz w:val="24"/>
                <w:szCs w:val="24"/>
              </w:rPr>
              <w:t>Не исполнены соглашения с БУ/АУ на иные цели (в т.ч. на капвложения)</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«Осталось исполнить» по видам расходов </w:t>
            </w:r>
            <w:r w:rsidRPr="007B5899">
              <w:rPr>
                <w:color w:val="auto"/>
                <w:sz w:val="24"/>
                <w:szCs w:val="24"/>
              </w:rPr>
              <w:t>461, 462, 464, 465, 612, 613, 622, 623</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Pr="002A3E82"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w:t>
            </w:r>
            <w:r w:rsidRPr="002A3E82">
              <w:rPr>
                <w:color w:val="auto"/>
                <w:sz w:val="24"/>
                <w:szCs w:val="24"/>
              </w:rPr>
              <w:t xml:space="preserve">Не исполнено </w:t>
            </w:r>
            <w:r w:rsidRPr="0093510D">
              <w:rPr>
                <w:color w:val="auto"/>
                <w:sz w:val="24"/>
                <w:szCs w:val="24"/>
              </w:rPr>
              <w:t>в срок</w:t>
            </w:r>
            <w:r>
              <w:rPr>
                <w:color w:val="auto"/>
                <w:sz w:val="24"/>
                <w:szCs w:val="24"/>
              </w:rPr>
              <w:t xml:space="preserve">» по видам расходов </w:t>
            </w:r>
            <w:r w:rsidRPr="007B5899">
              <w:rPr>
                <w:color w:val="auto"/>
                <w:sz w:val="24"/>
                <w:szCs w:val="24"/>
              </w:rPr>
              <w:t>461, 462, 464, 465, 612, 613, 622, 623</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val="restart"/>
            <w:shd w:val="clear" w:color="auto" w:fill="auto"/>
          </w:tcPr>
          <w:p w:rsidR="008F708E" w:rsidRPr="00030820" w:rsidRDefault="008F708E" w:rsidP="008F708E">
            <w:pPr>
              <w:pStyle w:val="af0"/>
              <w:ind w:firstLine="0"/>
              <w:jc w:val="left"/>
              <w:rPr>
                <w:color w:val="auto"/>
                <w:sz w:val="24"/>
                <w:szCs w:val="24"/>
                <w:lang w:val="en-US"/>
              </w:rPr>
            </w:pPr>
            <w:r>
              <w:rPr>
                <w:color w:val="auto"/>
                <w:sz w:val="24"/>
                <w:szCs w:val="24"/>
              </w:rPr>
              <w:t>Иное</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«Осталось исполнить</w:t>
            </w:r>
            <w:r w:rsidRPr="00030820">
              <w:rPr>
                <w:color w:val="auto"/>
                <w:sz w:val="24"/>
                <w:szCs w:val="24"/>
              </w:rPr>
              <w:t xml:space="preserve"> </w:t>
            </w:r>
            <w:r>
              <w:rPr>
                <w:color w:val="auto"/>
                <w:sz w:val="24"/>
                <w:szCs w:val="24"/>
              </w:rPr>
              <w:t xml:space="preserve">« МИНУС </w:t>
            </w:r>
            <w:r w:rsidRPr="00030820">
              <w:rPr>
                <w:color w:val="auto"/>
                <w:sz w:val="24"/>
                <w:szCs w:val="24"/>
              </w:rPr>
              <w:t>«Не исполнены контракты на поставку товаров (работ, услуг)» МИНУС «Не исполнены соглашения с субъектами РФ на МБТ» МИНУС «Не исполнены соглашения с юридическими лицами» МИНУС «Не исполнены соглашения с БУ/АУ на гос. Задания» МИНУС «Не исполнены соглашения с БУ/АУ на иные цели (в т.ч. на капвложения)».</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vMerge/>
            <w:shd w:val="clear" w:color="auto" w:fill="auto"/>
          </w:tcPr>
          <w:p w:rsidR="008F708E" w:rsidRDefault="008F708E" w:rsidP="008F708E">
            <w:pPr>
              <w:pStyle w:val="af0"/>
              <w:ind w:firstLine="0"/>
              <w:jc w:val="left"/>
              <w:rPr>
                <w:color w:val="auto"/>
                <w:sz w:val="24"/>
                <w:szCs w:val="24"/>
              </w:rPr>
            </w:pP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w:t>
            </w:r>
            <w:r w:rsidRPr="002A3E82">
              <w:rPr>
                <w:color w:val="auto"/>
                <w:sz w:val="24"/>
                <w:szCs w:val="24"/>
              </w:rPr>
              <w:t>Не исполнено в срок</w:t>
            </w:r>
            <w:r w:rsidRPr="00030820">
              <w:rPr>
                <w:color w:val="auto"/>
                <w:sz w:val="24"/>
                <w:szCs w:val="24"/>
              </w:rPr>
              <w:t xml:space="preserve"> </w:t>
            </w:r>
            <w:r>
              <w:rPr>
                <w:color w:val="auto"/>
                <w:sz w:val="24"/>
                <w:szCs w:val="24"/>
              </w:rPr>
              <w:t xml:space="preserve">« МИНУС </w:t>
            </w:r>
            <w:r w:rsidRPr="00030820">
              <w:rPr>
                <w:color w:val="auto"/>
                <w:sz w:val="24"/>
                <w:szCs w:val="24"/>
              </w:rPr>
              <w:t>«Не исполнены контракты на поставку товаров (работ, услуг)» МИНУС «Не исполнены соглашения с субъектами РФ на МБТ» МИНУС «Не исполнены соглашения с юридическими лицами» МИНУС «Не исполнены соглашения с БУ/АУ на гос. Задания» МИНУС «Не исполнены соглашения с БУ/АУ на иные цели (в т.ч. на капвложения)».</w:t>
            </w:r>
          </w:p>
          <w:p w:rsidR="008F708E" w:rsidRDefault="008F708E" w:rsidP="008F708E">
            <w:pPr>
              <w:pStyle w:val="af0"/>
              <w:ind w:firstLine="0"/>
              <w:jc w:val="left"/>
              <w:rPr>
                <w:color w:val="auto"/>
                <w:sz w:val="24"/>
                <w:szCs w:val="24"/>
              </w:rPr>
            </w:pPr>
            <w:r>
              <w:rPr>
                <w:i/>
                <w:color w:val="auto"/>
                <w:sz w:val="24"/>
                <w:szCs w:val="24"/>
              </w:rPr>
              <w:t xml:space="preserve">Показатель, выделенный красным цветом, </w:t>
            </w:r>
            <w:r w:rsidRPr="00326F72">
              <w:rPr>
                <w:i/>
                <w:color w:val="auto"/>
                <w:sz w:val="24"/>
                <w:szCs w:val="24"/>
              </w:rPr>
              <w:t>скрывается при выборе в параметре «По состоянию на» значения 01.01.ГГГГ</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 xml:space="preserve">Отклонение от росписи </w:t>
            </w:r>
          </w:p>
          <w:p w:rsidR="008F708E" w:rsidRPr="00030820" w:rsidRDefault="008F708E" w:rsidP="008F708E">
            <w:pPr>
              <w:pStyle w:val="af0"/>
              <w:ind w:firstLine="0"/>
              <w:jc w:val="left"/>
              <w:rPr>
                <w:i/>
                <w:color w:val="auto"/>
                <w:sz w:val="24"/>
                <w:szCs w:val="24"/>
              </w:rPr>
            </w:pPr>
            <w:r w:rsidRPr="00030820">
              <w:rPr>
                <w:i/>
                <w:color w:val="auto"/>
                <w:sz w:val="24"/>
                <w:szCs w:val="24"/>
              </w:rPr>
              <w:t>(показатель для итогов за год)</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«В резерве» ПЛЮС «Заблокированные и нераспределенные лимиты» ПЛЮС «Не принятые обязательства» ПЛЮС «Не исполнено по кассе»</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скрывается при выборе в параметре «По состоянию на» значения</w:t>
            </w:r>
            <w:r>
              <w:rPr>
                <w:i/>
                <w:color w:val="auto"/>
                <w:sz w:val="24"/>
                <w:szCs w:val="24"/>
              </w:rPr>
              <w:t xml:space="preserve"> не равного значению</w:t>
            </w:r>
            <w:r w:rsidRPr="00326F72">
              <w:rPr>
                <w:i/>
                <w:color w:val="auto"/>
                <w:sz w:val="24"/>
                <w:szCs w:val="24"/>
              </w:rPr>
              <w:t xml:space="preserve"> 01.01.ГГГГ</w:t>
            </w:r>
            <w:r>
              <w:rPr>
                <w:i/>
                <w:color w:val="auto"/>
                <w:sz w:val="24"/>
                <w:szCs w:val="24"/>
              </w:rPr>
              <w:t>.</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 xml:space="preserve">Не исполнено по кассе </w:t>
            </w:r>
          </w:p>
          <w:p w:rsidR="008F708E" w:rsidRDefault="008F708E" w:rsidP="008F708E">
            <w:pPr>
              <w:pStyle w:val="af0"/>
              <w:ind w:firstLine="0"/>
              <w:jc w:val="left"/>
              <w:rPr>
                <w:color w:val="auto"/>
                <w:sz w:val="24"/>
                <w:szCs w:val="24"/>
              </w:rPr>
            </w:pPr>
            <w:r w:rsidRPr="00030820">
              <w:rPr>
                <w:i/>
                <w:color w:val="auto"/>
                <w:sz w:val="24"/>
                <w:szCs w:val="24"/>
              </w:rPr>
              <w:t>(показатель для итогов за год)</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Default="008F708E" w:rsidP="008F708E">
            <w:pPr>
              <w:pStyle w:val="af0"/>
              <w:ind w:firstLine="0"/>
              <w:jc w:val="left"/>
              <w:rPr>
                <w:color w:val="auto"/>
                <w:sz w:val="24"/>
                <w:szCs w:val="24"/>
              </w:rPr>
            </w:pPr>
            <w:r>
              <w:rPr>
                <w:color w:val="auto"/>
                <w:sz w:val="24"/>
                <w:szCs w:val="24"/>
              </w:rPr>
              <w:t>«Роспись» МИНУС «Факт» МИНУС «В резерве» МИНУС «Заблокированные лимиты» МИНУС «Осталось распределить» МИНУС «Не принятые обязательства».</w:t>
            </w:r>
          </w:p>
          <w:p w:rsidR="008F708E" w:rsidRDefault="008F708E" w:rsidP="008F708E">
            <w:pPr>
              <w:pStyle w:val="af0"/>
              <w:ind w:firstLine="0"/>
              <w:jc w:val="left"/>
              <w:rPr>
                <w:color w:val="auto"/>
                <w:sz w:val="24"/>
                <w:szCs w:val="24"/>
              </w:rPr>
            </w:pPr>
          </w:p>
          <w:p w:rsidR="008F708E" w:rsidRDefault="008F708E" w:rsidP="008F708E">
            <w:pPr>
              <w:pStyle w:val="af0"/>
              <w:ind w:firstLine="0"/>
              <w:jc w:val="left"/>
              <w:rPr>
                <w:color w:val="auto"/>
                <w:sz w:val="24"/>
                <w:szCs w:val="24"/>
              </w:rPr>
            </w:pPr>
            <w:r w:rsidRPr="00BD5C4F">
              <w:rPr>
                <w:i/>
                <w:color w:val="auto"/>
                <w:sz w:val="24"/>
                <w:szCs w:val="24"/>
              </w:rPr>
              <w:t xml:space="preserve">Колонка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p>
        </w:tc>
      </w:tr>
      <w:tr w:rsidR="008F708E" w:rsidRPr="0032031B" w:rsidTr="008F708E">
        <w:tc>
          <w:tcPr>
            <w:tcW w:w="2801" w:type="dxa"/>
            <w:shd w:val="clear" w:color="auto" w:fill="auto"/>
          </w:tcPr>
          <w:p w:rsidR="008F708E" w:rsidRDefault="008F708E" w:rsidP="008F708E">
            <w:pPr>
              <w:pStyle w:val="af0"/>
              <w:ind w:firstLine="0"/>
              <w:jc w:val="left"/>
              <w:rPr>
                <w:color w:val="auto"/>
                <w:sz w:val="24"/>
                <w:szCs w:val="24"/>
              </w:rPr>
            </w:pPr>
            <w:r w:rsidRPr="00AB4A7E">
              <w:rPr>
                <w:color w:val="auto"/>
                <w:sz w:val="24"/>
                <w:szCs w:val="24"/>
              </w:rPr>
              <w:t>По контрактам на поставку товаров (работ, услуг)</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«Не исполнено по кассе» по видам расходов 200</w:t>
            </w:r>
            <w:r w:rsidRPr="007B5899">
              <w:rPr>
                <w:color w:val="auto"/>
                <w:sz w:val="24"/>
                <w:szCs w:val="24"/>
              </w:rPr>
              <w:t>, 41</w:t>
            </w:r>
            <w:r>
              <w:rPr>
                <w:color w:val="auto"/>
                <w:sz w:val="24"/>
                <w:szCs w:val="24"/>
              </w:rPr>
              <w:t>0</w:t>
            </w:r>
            <w:r w:rsidRPr="007B5899">
              <w:rPr>
                <w:color w:val="auto"/>
                <w:sz w:val="24"/>
                <w:szCs w:val="24"/>
              </w:rPr>
              <w:t xml:space="preserve"> (КРОМЕ КВР 415), </w:t>
            </w:r>
            <w:r>
              <w:rPr>
                <w:color w:val="auto"/>
                <w:sz w:val="24"/>
                <w:szCs w:val="24"/>
              </w:rPr>
              <w:t>323.</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r>
              <w:rPr>
                <w:i/>
                <w:color w:val="auto"/>
                <w:sz w:val="24"/>
                <w:szCs w:val="24"/>
              </w:rPr>
              <w:t>.</w:t>
            </w:r>
          </w:p>
        </w:tc>
      </w:tr>
      <w:tr w:rsidR="008F708E" w:rsidRPr="0032031B" w:rsidTr="008F708E">
        <w:tc>
          <w:tcPr>
            <w:tcW w:w="2801" w:type="dxa"/>
            <w:shd w:val="clear" w:color="auto" w:fill="auto"/>
          </w:tcPr>
          <w:p w:rsidR="008F708E" w:rsidRDefault="008F708E" w:rsidP="008F708E">
            <w:pPr>
              <w:pStyle w:val="af0"/>
              <w:ind w:firstLine="0"/>
              <w:jc w:val="left"/>
              <w:rPr>
                <w:color w:val="auto"/>
                <w:sz w:val="24"/>
                <w:szCs w:val="24"/>
              </w:rPr>
            </w:pPr>
            <w:r w:rsidRPr="00AB4A7E">
              <w:rPr>
                <w:color w:val="auto"/>
                <w:sz w:val="24"/>
                <w:szCs w:val="24"/>
              </w:rPr>
              <w:t>По соглашениям с субъектами РФ на МБТ</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Показатель «Не исполнено по кассе» по видам расходов 520</w:t>
            </w:r>
            <w:r w:rsidRPr="007B5899">
              <w:rPr>
                <w:color w:val="auto"/>
                <w:sz w:val="24"/>
                <w:szCs w:val="24"/>
              </w:rPr>
              <w:t>, 54</w:t>
            </w:r>
            <w:r>
              <w:rPr>
                <w:color w:val="auto"/>
                <w:sz w:val="24"/>
                <w:szCs w:val="24"/>
              </w:rPr>
              <w:t>0</w:t>
            </w:r>
            <w:r w:rsidRPr="007B5899">
              <w:rPr>
                <w:color w:val="auto"/>
                <w:sz w:val="24"/>
                <w:szCs w:val="24"/>
              </w:rPr>
              <w:t>, 53</w:t>
            </w:r>
            <w:r>
              <w:rPr>
                <w:color w:val="auto"/>
                <w:sz w:val="24"/>
                <w:szCs w:val="24"/>
              </w:rPr>
              <w:t>0.</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r>
              <w:rPr>
                <w:i/>
                <w:color w:val="auto"/>
                <w:sz w:val="24"/>
                <w:szCs w:val="24"/>
              </w:rPr>
              <w:t>.</w:t>
            </w:r>
          </w:p>
        </w:tc>
      </w:tr>
      <w:tr w:rsidR="008F708E" w:rsidRPr="0032031B" w:rsidTr="008F708E">
        <w:tc>
          <w:tcPr>
            <w:tcW w:w="2801" w:type="dxa"/>
            <w:shd w:val="clear" w:color="auto" w:fill="auto"/>
          </w:tcPr>
          <w:p w:rsidR="008F708E" w:rsidRDefault="008F708E" w:rsidP="008F708E">
            <w:pPr>
              <w:pStyle w:val="af0"/>
              <w:ind w:firstLine="0"/>
              <w:jc w:val="left"/>
              <w:rPr>
                <w:color w:val="auto"/>
                <w:sz w:val="24"/>
                <w:szCs w:val="24"/>
              </w:rPr>
            </w:pPr>
            <w:r w:rsidRPr="00AB4A7E">
              <w:rPr>
                <w:color w:val="auto"/>
                <w:sz w:val="24"/>
                <w:szCs w:val="24"/>
              </w:rPr>
              <w:t>По соглашениям с юридическими лицами</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 xml:space="preserve">Формула: </w:t>
            </w:r>
          </w:p>
          <w:p w:rsidR="008F708E" w:rsidRDefault="008F708E" w:rsidP="008F708E">
            <w:pPr>
              <w:pStyle w:val="af0"/>
              <w:ind w:firstLine="0"/>
              <w:jc w:val="left"/>
              <w:rPr>
                <w:color w:val="auto"/>
                <w:sz w:val="24"/>
                <w:szCs w:val="24"/>
              </w:rPr>
            </w:pPr>
            <w:r>
              <w:rPr>
                <w:color w:val="auto"/>
                <w:sz w:val="24"/>
                <w:szCs w:val="24"/>
              </w:rPr>
              <w:t xml:space="preserve">Показатель «Не исполнено по кассе» по видам расходов </w:t>
            </w:r>
            <w:r w:rsidRPr="007B5899">
              <w:rPr>
                <w:color w:val="auto"/>
                <w:sz w:val="24"/>
                <w:szCs w:val="24"/>
              </w:rPr>
              <w:t>45</w:t>
            </w:r>
            <w:r>
              <w:rPr>
                <w:color w:val="auto"/>
                <w:sz w:val="24"/>
                <w:szCs w:val="24"/>
              </w:rPr>
              <w:t>0</w:t>
            </w:r>
            <w:r w:rsidRPr="007B5899">
              <w:rPr>
                <w:color w:val="auto"/>
                <w:sz w:val="24"/>
                <w:szCs w:val="24"/>
              </w:rPr>
              <w:t>,</w:t>
            </w:r>
            <w:r>
              <w:rPr>
                <w:color w:val="auto"/>
                <w:sz w:val="24"/>
                <w:szCs w:val="24"/>
              </w:rPr>
              <w:t xml:space="preserve"> </w:t>
            </w:r>
            <w:r w:rsidRPr="007B5899">
              <w:rPr>
                <w:color w:val="auto"/>
                <w:sz w:val="24"/>
                <w:szCs w:val="24"/>
              </w:rPr>
              <w:t xml:space="preserve">463, 466, </w:t>
            </w:r>
            <w:r>
              <w:rPr>
                <w:color w:val="auto"/>
                <w:sz w:val="24"/>
                <w:szCs w:val="24"/>
              </w:rPr>
              <w:t>630</w:t>
            </w:r>
            <w:r w:rsidRPr="007B5899">
              <w:rPr>
                <w:color w:val="auto"/>
                <w:sz w:val="24"/>
                <w:szCs w:val="24"/>
              </w:rPr>
              <w:t>, 81</w:t>
            </w:r>
            <w:r>
              <w:rPr>
                <w:color w:val="auto"/>
                <w:sz w:val="24"/>
                <w:szCs w:val="24"/>
              </w:rPr>
              <w:t>0</w:t>
            </w:r>
            <w:r w:rsidRPr="007B5899">
              <w:rPr>
                <w:color w:val="auto"/>
                <w:sz w:val="24"/>
                <w:szCs w:val="24"/>
              </w:rPr>
              <w:t xml:space="preserve">, </w:t>
            </w:r>
            <w:r>
              <w:rPr>
                <w:color w:val="auto"/>
                <w:sz w:val="24"/>
                <w:szCs w:val="24"/>
              </w:rPr>
              <w:t xml:space="preserve">820, </w:t>
            </w:r>
            <w:r w:rsidRPr="007B5899">
              <w:rPr>
                <w:color w:val="auto"/>
                <w:sz w:val="24"/>
                <w:szCs w:val="24"/>
              </w:rPr>
              <w:t>415</w:t>
            </w:r>
            <w:r>
              <w:rPr>
                <w:color w:val="auto"/>
                <w:sz w:val="24"/>
                <w:szCs w:val="24"/>
              </w:rPr>
              <w:t>.</w:t>
            </w:r>
          </w:p>
          <w:p w:rsidR="008F708E" w:rsidRDefault="008F708E" w:rsidP="008F708E">
            <w:pPr>
              <w:pStyle w:val="af0"/>
              <w:ind w:firstLine="0"/>
              <w:jc w:val="left"/>
              <w:rPr>
                <w:color w:val="auto"/>
                <w:sz w:val="24"/>
                <w:szCs w:val="24"/>
              </w:rPr>
            </w:pPr>
            <w:r>
              <w:rPr>
                <w:i/>
                <w:color w:val="auto"/>
                <w:sz w:val="24"/>
                <w:szCs w:val="24"/>
              </w:rPr>
              <w:t xml:space="preserve">Показатель </w:t>
            </w:r>
            <w:r w:rsidRPr="00326F72">
              <w:rPr>
                <w:i/>
                <w:color w:val="auto"/>
                <w:sz w:val="24"/>
                <w:szCs w:val="24"/>
              </w:rPr>
              <w:t xml:space="preserve">скрывается при выборе в параметре «По состоянию на» значения </w:t>
            </w:r>
            <w:r>
              <w:rPr>
                <w:i/>
                <w:color w:val="auto"/>
                <w:sz w:val="24"/>
                <w:szCs w:val="24"/>
              </w:rPr>
              <w:t xml:space="preserve">не </w:t>
            </w:r>
            <w:r w:rsidRPr="00326F72">
              <w:rPr>
                <w:i/>
                <w:color w:val="auto"/>
                <w:sz w:val="24"/>
                <w:szCs w:val="24"/>
              </w:rPr>
              <w:t>равного значению 01.01.ГГГГ</w:t>
            </w:r>
            <w:r>
              <w:rPr>
                <w:i/>
                <w:color w:val="auto"/>
                <w:sz w:val="24"/>
                <w:szCs w:val="24"/>
              </w:rPr>
              <w:t>.</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По соглашениям с БУ/АУ на гос.задания</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 xml:space="preserve">Формула: </w:t>
            </w:r>
          </w:p>
          <w:p w:rsidR="008F708E" w:rsidRPr="00B70294" w:rsidRDefault="008F708E" w:rsidP="008F708E">
            <w:pPr>
              <w:pStyle w:val="af0"/>
              <w:ind w:firstLine="0"/>
              <w:jc w:val="left"/>
              <w:rPr>
                <w:color w:val="auto"/>
                <w:sz w:val="24"/>
                <w:szCs w:val="24"/>
              </w:rPr>
            </w:pPr>
            <w:r w:rsidRPr="00B70294">
              <w:rPr>
                <w:color w:val="auto"/>
                <w:sz w:val="24"/>
                <w:szCs w:val="24"/>
              </w:rPr>
              <w:t>Показатель «Не исполнено по кассе» по видам расходов 611, 621, 614 и 624.</w:t>
            </w:r>
          </w:p>
          <w:p w:rsidR="008F708E" w:rsidRPr="00B70294" w:rsidRDefault="008F708E" w:rsidP="008F708E">
            <w:pPr>
              <w:pStyle w:val="af0"/>
              <w:ind w:firstLine="0"/>
              <w:jc w:val="left"/>
              <w:rPr>
                <w:color w:val="auto"/>
                <w:sz w:val="24"/>
                <w:szCs w:val="24"/>
              </w:rPr>
            </w:pPr>
            <w:r w:rsidRPr="00B70294">
              <w:rPr>
                <w:i/>
                <w:color w:val="auto"/>
                <w:sz w:val="24"/>
                <w:szCs w:val="24"/>
              </w:rPr>
              <w:t>Показатель скрывается при выборе в параметре «По состоянию на» значения не равного значению 01.01.ГГГГ.</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По соглашениям с БУ/АУ на иные цели (в том числе на капвложения)</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 xml:space="preserve">Формула: </w:t>
            </w:r>
          </w:p>
          <w:p w:rsidR="008F708E" w:rsidRPr="00B70294" w:rsidRDefault="008F708E" w:rsidP="008F708E">
            <w:pPr>
              <w:pStyle w:val="af0"/>
              <w:ind w:firstLine="0"/>
              <w:jc w:val="left"/>
              <w:rPr>
                <w:color w:val="auto"/>
                <w:sz w:val="24"/>
                <w:szCs w:val="24"/>
              </w:rPr>
            </w:pPr>
            <w:r w:rsidRPr="00B70294">
              <w:rPr>
                <w:color w:val="auto"/>
                <w:sz w:val="24"/>
                <w:szCs w:val="24"/>
              </w:rPr>
              <w:t>Показатель «Не исполнено по кассе» по видам расходов 461, 462, 464, 465, 612, 613, 622, 623.</w:t>
            </w:r>
          </w:p>
          <w:p w:rsidR="008F708E" w:rsidRPr="00B70294" w:rsidRDefault="008F708E" w:rsidP="008F708E">
            <w:pPr>
              <w:pStyle w:val="af0"/>
              <w:ind w:firstLine="0"/>
              <w:jc w:val="left"/>
              <w:rPr>
                <w:color w:val="auto"/>
                <w:sz w:val="24"/>
                <w:szCs w:val="24"/>
              </w:rPr>
            </w:pPr>
            <w:r w:rsidRPr="00B70294">
              <w:rPr>
                <w:i/>
                <w:color w:val="auto"/>
                <w:sz w:val="24"/>
                <w:szCs w:val="24"/>
              </w:rPr>
              <w:t>Показатель скрывается при выборе в параметре «По состоянию на» значения не равного значению 01.01.ГГГГ.</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Иных обязательств</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 xml:space="preserve">Формула: </w:t>
            </w:r>
          </w:p>
          <w:p w:rsidR="008F708E" w:rsidRPr="00B70294" w:rsidRDefault="008F708E" w:rsidP="008F708E">
            <w:pPr>
              <w:pStyle w:val="af0"/>
              <w:ind w:firstLine="0"/>
              <w:jc w:val="left"/>
              <w:rPr>
                <w:color w:val="auto"/>
                <w:sz w:val="24"/>
                <w:szCs w:val="24"/>
              </w:rPr>
            </w:pPr>
            <w:r w:rsidRPr="00B70294">
              <w:rPr>
                <w:color w:val="auto"/>
                <w:sz w:val="24"/>
                <w:szCs w:val="24"/>
              </w:rPr>
              <w:t>«Не исполнено по кассе» МИНУС «По контрактам на поставку товаров (работ, услуг)» МИНУС «По соглашениям с субъектами РФ на МБТ» МИНУС «По соглашениям с юридическими лицами» МИНУС «По соглашениям с БУ/АУ на гос.задания» МИНУС «По соглашениям с БУ/АУ на иные цели (в том числе на капвложения)»</w:t>
            </w:r>
          </w:p>
          <w:p w:rsidR="008F708E" w:rsidRPr="00B70294" w:rsidRDefault="008F708E" w:rsidP="008F708E">
            <w:pPr>
              <w:pStyle w:val="af0"/>
              <w:ind w:firstLine="0"/>
              <w:jc w:val="left"/>
              <w:rPr>
                <w:color w:val="auto"/>
                <w:sz w:val="24"/>
                <w:szCs w:val="24"/>
              </w:rPr>
            </w:pPr>
            <w:r w:rsidRPr="00B70294">
              <w:rPr>
                <w:i/>
                <w:color w:val="auto"/>
                <w:sz w:val="24"/>
                <w:szCs w:val="24"/>
              </w:rPr>
              <w:t>Показатель скрывается при выборе в параметре «По состоянию на» значения не равного значению 01.01.ГГГГ.</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Pr>
                <w:color w:val="auto"/>
                <w:sz w:val="24"/>
                <w:szCs w:val="24"/>
              </w:rPr>
              <w:t>ГРБС с отклонениями</w:t>
            </w:r>
          </w:p>
          <w:p w:rsidR="008F708E" w:rsidRDefault="008F708E" w:rsidP="008F708E">
            <w:pPr>
              <w:pStyle w:val="af0"/>
              <w:ind w:firstLine="0"/>
              <w:jc w:val="left"/>
              <w:rPr>
                <w:color w:val="auto"/>
                <w:sz w:val="24"/>
                <w:szCs w:val="24"/>
              </w:rPr>
            </w:pPr>
          </w:p>
          <w:p w:rsidR="008F708E" w:rsidRPr="00B70294" w:rsidRDefault="008F708E" w:rsidP="008F708E">
            <w:pPr>
              <w:pStyle w:val="af0"/>
              <w:ind w:firstLine="0"/>
              <w:jc w:val="left"/>
              <w:rPr>
                <w:color w:val="auto"/>
                <w:sz w:val="24"/>
                <w:szCs w:val="24"/>
              </w:rPr>
            </w:pPr>
            <w:r>
              <w:rPr>
                <w:color w:val="auto"/>
                <w:sz w:val="24"/>
                <w:szCs w:val="24"/>
              </w:rPr>
              <w:t>Переход в представление «По ГРБС» отчета «Расходы федерального бюджета»</w:t>
            </w:r>
          </w:p>
        </w:tc>
        <w:tc>
          <w:tcPr>
            <w:tcW w:w="6662" w:type="dxa"/>
            <w:shd w:val="clear" w:color="auto" w:fill="F2F2F2" w:themeFill="background1" w:themeFillShade="F2"/>
          </w:tcPr>
          <w:p w:rsidR="008F708E" w:rsidRPr="00B70294" w:rsidRDefault="008F708E" w:rsidP="008F708E">
            <w:pPr>
              <w:pStyle w:val="af0"/>
              <w:ind w:firstLine="0"/>
              <w:jc w:val="left"/>
              <w:rPr>
                <w:color w:val="auto"/>
                <w:sz w:val="24"/>
                <w:szCs w:val="24"/>
              </w:rPr>
            </w:pPr>
            <w:r w:rsidRPr="00B70294">
              <w:rPr>
                <w:color w:val="auto"/>
                <w:sz w:val="24"/>
                <w:szCs w:val="24"/>
              </w:rPr>
              <w:t>Значения в формате: «</w:t>
            </w:r>
            <w:r w:rsidRPr="00B70294">
              <w:rPr>
                <w:color w:val="auto"/>
                <w:sz w:val="24"/>
                <w:szCs w:val="24"/>
                <w:lang w:val="en-US"/>
              </w:rPr>
              <w:t>X</w:t>
            </w:r>
            <w:r w:rsidRPr="00B70294">
              <w:rPr>
                <w:color w:val="auto"/>
                <w:sz w:val="24"/>
                <w:szCs w:val="24"/>
              </w:rPr>
              <w:t xml:space="preserve"> из </w:t>
            </w:r>
            <w:r w:rsidRPr="00B70294">
              <w:rPr>
                <w:color w:val="auto"/>
                <w:sz w:val="24"/>
                <w:szCs w:val="24"/>
                <w:lang w:val="en-US"/>
              </w:rPr>
              <w:t>Y</w:t>
            </w:r>
            <w:r w:rsidRPr="00B70294">
              <w:rPr>
                <w:color w:val="auto"/>
                <w:sz w:val="24"/>
                <w:szCs w:val="24"/>
              </w:rPr>
              <w:t>».</w:t>
            </w:r>
          </w:p>
          <w:p w:rsidR="008F708E" w:rsidRPr="00103625" w:rsidRDefault="008F708E" w:rsidP="005C6E50">
            <w:pPr>
              <w:pStyle w:val="af0"/>
              <w:numPr>
                <w:ilvl w:val="0"/>
                <w:numId w:val="125"/>
              </w:numPr>
              <w:jc w:val="left"/>
              <w:rPr>
                <w:color w:val="auto"/>
                <w:sz w:val="24"/>
                <w:szCs w:val="24"/>
              </w:rPr>
            </w:pPr>
            <w:r w:rsidRPr="00B70294">
              <w:rPr>
                <w:color w:val="auto"/>
                <w:sz w:val="24"/>
                <w:szCs w:val="24"/>
              </w:rPr>
              <w:t>«</w:t>
            </w:r>
            <w:r w:rsidRPr="00B70294">
              <w:rPr>
                <w:color w:val="auto"/>
                <w:sz w:val="24"/>
                <w:szCs w:val="24"/>
                <w:lang w:val="en-US"/>
              </w:rPr>
              <w:t>X</w:t>
            </w:r>
            <w:r w:rsidRPr="00B70294">
              <w:rPr>
                <w:color w:val="auto"/>
                <w:sz w:val="24"/>
                <w:szCs w:val="24"/>
              </w:rPr>
              <w:t xml:space="preserve">» - </w:t>
            </w:r>
            <w:r>
              <w:rPr>
                <w:color w:val="auto"/>
                <w:sz w:val="24"/>
                <w:szCs w:val="24"/>
              </w:rPr>
              <w:t>количество ГРБС, у которых присутствуют значения по показателю «Не исполнено в срок» (</w:t>
            </w:r>
            <w:r w:rsidRPr="00B70294">
              <w:rPr>
                <w:i/>
                <w:color w:val="auto"/>
                <w:sz w:val="24"/>
                <w:szCs w:val="24"/>
              </w:rPr>
              <w:t>при выборе в параметре «По состоянию на» значения не равного значению 01.01.ГГГГ</w:t>
            </w:r>
            <w:r>
              <w:rPr>
                <w:i/>
                <w:color w:val="auto"/>
                <w:sz w:val="24"/>
                <w:szCs w:val="24"/>
              </w:rPr>
              <w:t>)</w:t>
            </w:r>
            <w:r w:rsidRPr="00103625">
              <w:rPr>
                <w:iCs/>
                <w:color w:val="auto"/>
                <w:sz w:val="24"/>
                <w:szCs w:val="24"/>
              </w:rPr>
              <w:t xml:space="preserve"> или «Не исполнено по кассе</w:t>
            </w:r>
            <w:r>
              <w:rPr>
                <w:iCs/>
                <w:color w:val="auto"/>
                <w:sz w:val="24"/>
                <w:szCs w:val="24"/>
              </w:rPr>
              <w:t xml:space="preserve">» </w:t>
            </w:r>
            <w:r>
              <w:rPr>
                <w:color w:val="auto"/>
                <w:sz w:val="24"/>
                <w:szCs w:val="24"/>
              </w:rPr>
              <w:t>(</w:t>
            </w:r>
            <w:r w:rsidRPr="00B70294">
              <w:rPr>
                <w:i/>
                <w:color w:val="auto"/>
                <w:sz w:val="24"/>
                <w:szCs w:val="24"/>
              </w:rPr>
              <w:t>при выборе в параметре «По состоянию на» значения 01.01.ГГГГ</w:t>
            </w:r>
            <w:r>
              <w:rPr>
                <w:i/>
                <w:color w:val="auto"/>
                <w:sz w:val="24"/>
                <w:szCs w:val="24"/>
              </w:rPr>
              <w:t>);</w:t>
            </w:r>
          </w:p>
          <w:p w:rsidR="008F708E" w:rsidRPr="00103625" w:rsidRDefault="008F708E" w:rsidP="005C6E50">
            <w:pPr>
              <w:pStyle w:val="af0"/>
              <w:numPr>
                <w:ilvl w:val="0"/>
                <w:numId w:val="125"/>
              </w:numPr>
              <w:jc w:val="left"/>
              <w:rPr>
                <w:color w:val="auto"/>
                <w:sz w:val="24"/>
                <w:szCs w:val="24"/>
              </w:rPr>
            </w:pPr>
            <w:r>
              <w:rPr>
                <w:color w:val="auto"/>
                <w:sz w:val="24"/>
                <w:szCs w:val="24"/>
              </w:rPr>
              <w:t>«</w:t>
            </w:r>
            <w:r>
              <w:rPr>
                <w:color w:val="auto"/>
                <w:sz w:val="24"/>
                <w:szCs w:val="24"/>
                <w:lang w:val="en-US"/>
              </w:rPr>
              <w:t>Y</w:t>
            </w:r>
            <w:r w:rsidRPr="00B70294">
              <w:rPr>
                <w:color w:val="auto"/>
                <w:sz w:val="24"/>
                <w:szCs w:val="24"/>
              </w:rPr>
              <w:t xml:space="preserve">» - </w:t>
            </w:r>
            <w:r>
              <w:rPr>
                <w:color w:val="auto"/>
                <w:sz w:val="24"/>
                <w:szCs w:val="24"/>
              </w:rPr>
              <w:t xml:space="preserve">общее количество ГРБС на дату </w:t>
            </w:r>
            <w:r w:rsidRPr="00CC1238">
              <w:rPr>
                <w:iCs/>
                <w:color w:val="auto"/>
                <w:sz w:val="24"/>
                <w:szCs w:val="24"/>
              </w:rPr>
              <w:t>в параметре «По состоянию на».</w:t>
            </w:r>
          </w:p>
        </w:tc>
      </w:tr>
      <w:tr w:rsidR="008F708E" w:rsidRPr="0032031B" w:rsidTr="008F708E">
        <w:tc>
          <w:tcPr>
            <w:tcW w:w="2801" w:type="dxa"/>
            <w:shd w:val="clear" w:color="auto" w:fill="808080" w:themeFill="background1" w:themeFillShade="80"/>
          </w:tcPr>
          <w:p w:rsidR="008F708E" w:rsidRPr="00B70294" w:rsidRDefault="008F708E" w:rsidP="008F708E">
            <w:pPr>
              <w:pStyle w:val="af0"/>
              <w:ind w:firstLine="0"/>
              <w:jc w:val="left"/>
              <w:rPr>
                <w:color w:val="auto"/>
                <w:sz w:val="24"/>
                <w:szCs w:val="24"/>
              </w:rPr>
            </w:pPr>
          </w:p>
        </w:tc>
        <w:tc>
          <w:tcPr>
            <w:tcW w:w="6662" w:type="dxa"/>
            <w:shd w:val="clear" w:color="auto" w:fill="808080" w:themeFill="background1" w:themeFillShade="80"/>
          </w:tcPr>
          <w:p w:rsidR="008F708E" w:rsidRPr="00B70294" w:rsidRDefault="008F708E" w:rsidP="008F708E">
            <w:pPr>
              <w:pStyle w:val="af0"/>
              <w:ind w:firstLine="0"/>
              <w:jc w:val="left"/>
              <w:rPr>
                <w:b/>
                <w:color w:val="auto"/>
                <w:sz w:val="24"/>
                <w:szCs w:val="24"/>
              </w:rPr>
            </w:pPr>
            <w:r w:rsidRPr="00B70294">
              <w:rPr>
                <w:b/>
                <w:color w:val="auto"/>
                <w:sz w:val="24"/>
                <w:szCs w:val="24"/>
              </w:rPr>
              <w:t>БЛОК «РЕЗУЛЬТАТЫ ПРЕДОСТАВЛЕНИЯ СУБСИДИЙ»</w:t>
            </w:r>
          </w:p>
        </w:tc>
      </w:tr>
      <w:tr w:rsidR="008F708E" w:rsidRPr="0032031B" w:rsidTr="008F708E">
        <w:trPr>
          <w:trHeight w:val="1523"/>
        </w:trPr>
        <w:tc>
          <w:tcPr>
            <w:tcW w:w="2801" w:type="dxa"/>
            <w:shd w:val="clear" w:color="auto" w:fill="F2F2F2" w:themeFill="background1" w:themeFillShade="F2"/>
          </w:tcPr>
          <w:p w:rsidR="008F708E" w:rsidRPr="00B70294" w:rsidRDefault="008F708E" w:rsidP="008F708E">
            <w:pPr>
              <w:pStyle w:val="af0"/>
              <w:ind w:firstLine="0"/>
              <w:jc w:val="left"/>
              <w:rPr>
                <w:color w:val="auto"/>
                <w:sz w:val="24"/>
                <w:szCs w:val="24"/>
              </w:rPr>
            </w:pPr>
            <w:r w:rsidRPr="00B70294">
              <w:rPr>
                <w:color w:val="auto"/>
                <w:sz w:val="24"/>
                <w:szCs w:val="24"/>
              </w:rPr>
              <w:t>Количество субсидий</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Считается уникальное количество КЦСР (10 знаков) по открытым цепочкам кодов бюджетной классификации, по которым есть значения последующим показателям: «Роспись» или «Доведено» или «Распределено» или «Заблокированные лимиты» или «Факт» или «Бюджетные обязательства» или «Денежные обязательства».</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Показатель «Субсидии юридическим лицам» / «Субсидии БУ/АУ» / «Межбюджетные трансферты субъектам РФ»</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 xml:space="preserve">В каждую группу относятся КБК по классификации субсидий по типам, приведенной в пункте </w:t>
            </w:r>
            <w:r w:rsidRPr="00B70294">
              <w:rPr>
                <w:color w:val="auto"/>
                <w:sz w:val="24"/>
                <w:szCs w:val="24"/>
              </w:rPr>
              <w:fldChar w:fldCharType="begin"/>
            </w:r>
            <w:r w:rsidRPr="00B70294">
              <w:rPr>
                <w:color w:val="auto"/>
                <w:sz w:val="24"/>
                <w:szCs w:val="24"/>
              </w:rPr>
              <w:instrText xml:space="preserve"> REF _Ref80387481 \n \h  \* MERGEFORMAT </w:instrText>
            </w:r>
            <w:r w:rsidRPr="00B70294">
              <w:rPr>
                <w:color w:val="auto"/>
                <w:sz w:val="24"/>
                <w:szCs w:val="24"/>
              </w:rPr>
            </w:r>
            <w:r w:rsidRPr="00B70294">
              <w:rPr>
                <w:color w:val="auto"/>
                <w:sz w:val="24"/>
                <w:szCs w:val="24"/>
              </w:rPr>
              <w:fldChar w:fldCharType="separate"/>
            </w:r>
            <w:r w:rsidR="00BF0BEE">
              <w:rPr>
                <w:color w:val="auto"/>
                <w:sz w:val="24"/>
                <w:szCs w:val="24"/>
              </w:rPr>
              <w:t>7.2.14.2</w:t>
            </w:r>
            <w:r w:rsidRPr="00B70294">
              <w:rPr>
                <w:color w:val="auto"/>
                <w:sz w:val="24"/>
                <w:szCs w:val="24"/>
              </w:rPr>
              <w:fldChar w:fldCharType="end"/>
            </w:r>
            <w:r w:rsidRPr="00B70294">
              <w:rPr>
                <w:color w:val="auto"/>
                <w:sz w:val="24"/>
                <w:szCs w:val="24"/>
              </w:rPr>
              <w:t>.</w:t>
            </w:r>
          </w:p>
          <w:p w:rsidR="008F708E" w:rsidRPr="00B70294" w:rsidRDefault="008F708E" w:rsidP="008F708E">
            <w:pPr>
              <w:pStyle w:val="af0"/>
              <w:ind w:firstLine="0"/>
              <w:jc w:val="left"/>
              <w:rPr>
                <w:color w:val="auto"/>
                <w:sz w:val="24"/>
                <w:szCs w:val="24"/>
              </w:rPr>
            </w:pPr>
            <w:r w:rsidRPr="00B70294">
              <w:rPr>
                <w:color w:val="auto"/>
                <w:sz w:val="24"/>
                <w:szCs w:val="24"/>
              </w:rPr>
              <w:t>Показатель определяется классификацией субсидий по установленным типам</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количество субсидий</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Считается уникальное количество КЦСР (10 знаков) по открытым цепочкам кодов бюджетной классификации, по которым есть значения последующим показателям: «Роспись» или «Доведено» или «Распределено» или «Заблокированные лимиты» или «Факт» или «Бюджетные обязательства» или «Денежные обязательства».</w:t>
            </w:r>
          </w:p>
          <w:p w:rsidR="008F708E" w:rsidRPr="00B70294" w:rsidRDefault="008F708E" w:rsidP="008F708E">
            <w:pPr>
              <w:pStyle w:val="af0"/>
              <w:ind w:firstLine="0"/>
              <w:jc w:val="left"/>
              <w:rPr>
                <w:color w:val="auto"/>
                <w:sz w:val="24"/>
                <w:szCs w:val="24"/>
              </w:rPr>
            </w:pPr>
          </w:p>
          <w:p w:rsidR="008F708E" w:rsidRPr="00B70294" w:rsidRDefault="008F708E" w:rsidP="008F708E">
            <w:pPr>
              <w:pStyle w:val="af0"/>
              <w:ind w:firstLine="0"/>
              <w:jc w:val="left"/>
              <w:rPr>
                <w:color w:val="auto"/>
                <w:sz w:val="24"/>
                <w:szCs w:val="24"/>
              </w:rPr>
            </w:pPr>
            <w:r w:rsidRPr="00B70294">
              <w:rPr>
                <w:color w:val="auto"/>
                <w:sz w:val="24"/>
                <w:szCs w:val="24"/>
              </w:rPr>
              <w:t>Один КЦСР может входить в несколько типов субсидий</w:t>
            </w:r>
            <w:r w:rsidRPr="00FE2685">
              <w:rPr>
                <w:b/>
                <w:bCs/>
                <w:color w:val="auto"/>
                <w:sz w:val="24"/>
                <w:szCs w:val="24"/>
              </w:rPr>
              <w:t>!</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результаты</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Источник: ПУР, Реестр соглашений.</w:t>
            </w:r>
          </w:p>
          <w:p w:rsidR="008F708E" w:rsidRPr="00B70294" w:rsidRDefault="008F708E" w:rsidP="008F708E">
            <w:pPr>
              <w:pStyle w:val="af0"/>
              <w:ind w:firstLine="0"/>
              <w:jc w:val="left"/>
              <w:rPr>
                <w:color w:val="auto"/>
                <w:sz w:val="24"/>
                <w:szCs w:val="24"/>
              </w:rPr>
            </w:pPr>
            <w:r w:rsidRPr="00B70294">
              <w:rPr>
                <w:color w:val="auto"/>
                <w:sz w:val="24"/>
                <w:szCs w:val="24"/>
              </w:rPr>
              <w:t>Значения в формате: «</w:t>
            </w:r>
            <w:r w:rsidRPr="00B70294">
              <w:rPr>
                <w:color w:val="auto"/>
                <w:sz w:val="24"/>
                <w:szCs w:val="24"/>
                <w:lang w:val="en-US"/>
              </w:rPr>
              <w:t>X</w:t>
            </w:r>
            <w:r w:rsidRPr="00B70294">
              <w:rPr>
                <w:color w:val="auto"/>
                <w:sz w:val="24"/>
                <w:szCs w:val="24"/>
              </w:rPr>
              <w:t xml:space="preserve"> из </w:t>
            </w:r>
            <w:r w:rsidRPr="00B70294">
              <w:rPr>
                <w:color w:val="auto"/>
                <w:sz w:val="24"/>
                <w:szCs w:val="24"/>
                <w:lang w:val="en-US"/>
              </w:rPr>
              <w:t>Y</w:t>
            </w:r>
            <w:r w:rsidRPr="00B70294">
              <w:rPr>
                <w:color w:val="auto"/>
                <w:sz w:val="24"/>
                <w:szCs w:val="24"/>
              </w:rPr>
              <w:t>».</w:t>
            </w:r>
          </w:p>
          <w:p w:rsidR="008F708E" w:rsidRPr="00DA042B" w:rsidRDefault="008F708E" w:rsidP="005C6E50">
            <w:pPr>
              <w:pStyle w:val="af0"/>
              <w:numPr>
                <w:ilvl w:val="0"/>
                <w:numId w:val="125"/>
              </w:numPr>
              <w:jc w:val="left"/>
              <w:rPr>
                <w:color w:val="auto"/>
                <w:sz w:val="24"/>
                <w:szCs w:val="24"/>
              </w:rPr>
            </w:pPr>
            <w:r w:rsidRPr="00DA042B">
              <w:rPr>
                <w:color w:val="auto"/>
                <w:sz w:val="24"/>
                <w:szCs w:val="24"/>
              </w:rPr>
              <w:t>«X» - количество достигнутых результатов:</w:t>
            </w:r>
          </w:p>
          <w:p w:rsidR="008F708E" w:rsidRPr="00DA042B" w:rsidRDefault="008F708E" w:rsidP="008F708E">
            <w:pPr>
              <w:pStyle w:val="af0"/>
              <w:ind w:left="360" w:firstLine="0"/>
              <w:jc w:val="left"/>
              <w:rPr>
                <w:color w:val="auto"/>
                <w:sz w:val="24"/>
                <w:szCs w:val="24"/>
              </w:rPr>
            </w:pPr>
            <w:r w:rsidRPr="00DA042B">
              <w:rPr>
                <w:color w:val="auto"/>
                <w:sz w:val="24"/>
                <w:szCs w:val="24"/>
              </w:rPr>
              <w:t>количество уникальных значений результатов из уникальных соглашений на выбранный год, по которым плановая дата достижения наступила (меньше текущей даты), а процент достижения больше либо равно 100%;</w:t>
            </w:r>
          </w:p>
          <w:p w:rsidR="008F708E" w:rsidRPr="00BB7606" w:rsidRDefault="008F708E" w:rsidP="005C6E50">
            <w:pPr>
              <w:pStyle w:val="af0"/>
              <w:numPr>
                <w:ilvl w:val="0"/>
                <w:numId w:val="125"/>
              </w:numPr>
              <w:jc w:val="left"/>
              <w:rPr>
                <w:color w:val="auto"/>
                <w:sz w:val="24"/>
                <w:szCs w:val="24"/>
              </w:rPr>
            </w:pPr>
            <w:r w:rsidRPr="00DA042B">
              <w:rPr>
                <w:color w:val="auto"/>
                <w:sz w:val="24"/>
                <w:szCs w:val="24"/>
              </w:rPr>
              <w:t>«Y» - общее количество уникальных значений результатов из уникальных соглашений, которое должно быть достигнуто в выбранном году.</w:t>
            </w:r>
            <w:r w:rsidRPr="00BB7606">
              <w:rPr>
                <w:color w:val="auto"/>
                <w:sz w:val="24"/>
                <w:szCs w:val="24"/>
              </w:rPr>
              <w:t>.</w:t>
            </w:r>
          </w:p>
        </w:tc>
      </w:tr>
      <w:tr w:rsidR="008F708E" w:rsidRPr="0032031B" w:rsidTr="008F708E">
        <w:tc>
          <w:tcPr>
            <w:tcW w:w="2801"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не достигнуто</w:t>
            </w:r>
          </w:p>
        </w:tc>
        <w:tc>
          <w:tcPr>
            <w:tcW w:w="6662" w:type="dxa"/>
            <w:shd w:val="clear" w:color="auto" w:fill="auto"/>
          </w:tcPr>
          <w:p w:rsidR="008F708E" w:rsidRPr="00B70294" w:rsidRDefault="008F708E" w:rsidP="008F708E">
            <w:pPr>
              <w:pStyle w:val="af0"/>
              <w:ind w:firstLine="0"/>
              <w:jc w:val="left"/>
              <w:rPr>
                <w:color w:val="auto"/>
                <w:sz w:val="24"/>
                <w:szCs w:val="24"/>
              </w:rPr>
            </w:pPr>
            <w:r w:rsidRPr="00B70294">
              <w:rPr>
                <w:color w:val="auto"/>
                <w:sz w:val="24"/>
                <w:szCs w:val="24"/>
              </w:rPr>
              <w:t>Источник: ПУР, Реестр соглашений.</w:t>
            </w:r>
          </w:p>
          <w:p w:rsidR="008F708E" w:rsidRPr="00BB7606" w:rsidRDefault="008F708E" w:rsidP="008F708E">
            <w:pPr>
              <w:pStyle w:val="af0"/>
              <w:ind w:firstLine="0"/>
              <w:jc w:val="left"/>
              <w:rPr>
                <w:color w:val="auto"/>
                <w:sz w:val="24"/>
                <w:szCs w:val="24"/>
              </w:rPr>
            </w:pPr>
            <w:r w:rsidRPr="00BB7606">
              <w:rPr>
                <w:color w:val="auto"/>
                <w:sz w:val="24"/>
                <w:szCs w:val="24"/>
              </w:rPr>
              <w:t xml:space="preserve">Количество не достигнутых результатов: </w:t>
            </w:r>
          </w:p>
          <w:p w:rsidR="008F708E" w:rsidRPr="00B70294" w:rsidRDefault="008F708E" w:rsidP="008F708E">
            <w:pPr>
              <w:pStyle w:val="af0"/>
              <w:ind w:firstLine="0"/>
              <w:jc w:val="left"/>
              <w:rPr>
                <w:color w:val="auto"/>
                <w:sz w:val="24"/>
                <w:szCs w:val="24"/>
              </w:rPr>
            </w:pPr>
            <w:r w:rsidRPr="00DA042B">
              <w:rPr>
                <w:color w:val="auto"/>
                <w:sz w:val="24"/>
                <w:szCs w:val="24"/>
              </w:rPr>
              <w:t>количество уникальных значений результатов из уникальных соглашений на выбранный год, по которым плановая дата достижения наступила (меньше текущей даты), а процент достижения меньше 100%.</w:t>
            </w:r>
          </w:p>
        </w:tc>
      </w:tr>
      <w:tr w:rsidR="008F708E" w:rsidRPr="0032031B" w:rsidTr="008F708E">
        <w:tc>
          <w:tcPr>
            <w:tcW w:w="2801" w:type="dxa"/>
            <w:shd w:val="clear" w:color="auto" w:fill="F2F2F2" w:themeFill="background1" w:themeFillShade="F2"/>
          </w:tcPr>
          <w:p w:rsidR="008F708E" w:rsidRPr="00BB7606" w:rsidRDefault="008F708E" w:rsidP="008F708E">
            <w:pPr>
              <w:pStyle w:val="af0"/>
              <w:ind w:firstLine="0"/>
              <w:jc w:val="left"/>
              <w:rPr>
                <w:color w:val="auto"/>
                <w:sz w:val="24"/>
                <w:szCs w:val="24"/>
                <w:lang w:val="en-US"/>
              </w:rPr>
            </w:pPr>
            <w:r>
              <w:rPr>
                <w:color w:val="auto"/>
                <w:sz w:val="24"/>
                <w:szCs w:val="24"/>
              </w:rPr>
              <w:t>Подробнее -</w:t>
            </w:r>
            <w:r>
              <w:rPr>
                <w:color w:val="auto"/>
                <w:sz w:val="24"/>
                <w:szCs w:val="24"/>
                <w:lang w:val="en-US"/>
              </w:rPr>
              <w:t>&gt;</w:t>
            </w:r>
          </w:p>
        </w:tc>
        <w:tc>
          <w:tcPr>
            <w:tcW w:w="6662" w:type="dxa"/>
            <w:shd w:val="clear" w:color="auto" w:fill="F2F2F2" w:themeFill="background1" w:themeFillShade="F2"/>
          </w:tcPr>
          <w:p w:rsidR="008F708E" w:rsidRPr="00BB7606" w:rsidRDefault="008F708E" w:rsidP="008F708E">
            <w:pPr>
              <w:pStyle w:val="af0"/>
              <w:ind w:firstLine="0"/>
              <w:jc w:val="left"/>
              <w:rPr>
                <w:color w:val="auto"/>
                <w:sz w:val="24"/>
                <w:szCs w:val="24"/>
              </w:rPr>
            </w:pPr>
            <w:r>
              <w:rPr>
                <w:color w:val="auto"/>
                <w:sz w:val="24"/>
                <w:szCs w:val="24"/>
              </w:rPr>
              <w:t>Переход в представление «Общие данные» борда «Субсидии» с передачей значения параметра «Год».</w:t>
            </w:r>
          </w:p>
        </w:tc>
      </w:tr>
    </w:tbl>
    <w:p w:rsidR="008F708E" w:rsidRPr="00BB7606" w:rsidRDefault="008F708E" w:rsidP="008F708E">
      <w:pPr>
        <w:pStyle w:val="af0"/>
      </w:pPr>
      <w:r w:rsidRPr="00BB7606">
        <w:t>В блоках «ЛИМИТЫ», «БЮДЖЕТНЫЕ ОБЯЗАТЕЛЬСТВА», «ИСПОЛНЕНИЕ» все значения выводятся с одним знаком после запятой.</w:t>
      </w:r>
    </w:p>
    <w:p w:rsidR="008F708E" w:rsidRDefault="008F708E" w:rsidP="008F708E">
      <w:pPr>
        <w:pStyle w:val="af0"/>
      </w:pPr>
      <w:r w:rsidRPr="00BB7606">
        <w:t>В блоке «РЕЗУЛЬТАТЫ ПРЕДОСТАВЛЕНИЯ СУБСИДИЙ» все значения целые.</w:t>
      </w:r>
    </w:p>
    <w:p w:rsidR="008F708E" w:rsidRDefault="008F708E" w:rsidP="008F708E">
      <w:pPr>
        <w:jc w:val="left"/>
        <w:rPr>
          <w:sz w:val="28"/>
        </w:rPr>
      </w:pPr>
      <w:r>
        <w:br w:type="page"/>
      </w:r>
    </w:p>
    <w:p w:rsidR="008F708E" w:rsidRDefault="008F708E" w:rsidP="00920DA5">
      <w:pPr>
        <w:pStyle w:val="42"/>
        <w:rPr>
          <w:noProof/>
        </w:rPr>
      </w:pPr>
      <w:r w:rsidRPr="00920DA5">
        <w:t>Представление</w:t>
      </w:r>
      <w:r w:rsidRPr="00D536DC">
        <w:rPr>
          <w:noProof/>
          <w:lang w:val="en-US"/>
        </w:rPr>
        <w:t xml:space="preserve"> «По </w:t>
      </w:r>
      <w:r>
        <w:rPr>
          <w:noProof/>
        </w:rPr>
        <w:t>этапам - Доходы</w:t>
      </w:r>
      <w:r w:rsidRPr="00D536DC">
        <w:rPr>
          <w:noProof/>
          <w:lang w:val="en-US"/>
        </w:rPr>
        <w:t>»</w:t>
      </w:r>
    </w:p>
    <w:p w:rsidR="008F708E" w:rsidRDefault="008F708E" w:rsidP="008F708E">
      <w:pPr>
        <w:pStyle w:val="af0"/>
      </w:pPr>
      <w:r w:rsidRPr="000B4C41">
        <w:t>Представление «</w:t>
      </w:r>
      <w:r>
        <w:t xml:space="preserve">По </w:t>
      </w:r>
      <w:r w:rsidRPr="00B319FB">
        <w:t xml:space="preserve">этапам - </w:t>
      </w:r>
      <w:r>
        <w:t>Доходы</w:t>
      </w:r>
      <w:r w:rsidRPr="000B4C41">
        <w:t>» аналитического отчета «</w:t>
      </w:r>
      <w:r>
        <w:t>Бюджет</w:t>
      </w:r>
      <w:r w:rsidRPr="000B4C41">
        <w:t>» отобража</w:t>
      </w:r>
      <w:r w:rsidR="00920DA5">
        <w:t>е</w:t>
      </w:r>
      <w:r w:rsidRPr="000B4C41">
        <w:t xml:space="preserve">т информацию </w:t>
      </w:r>
      <w:r>
        <w:t>в форме дашборда.</w:t>
      </w:r>
    </w:p>
    <w:p w:rsidR="008F708E" w:rsidRDefault="008F708E" w:rsidP="008F708E">
      <w:pPr>
        <w:pStyle w:val="af0"/>
      </w:pPr>
      <w:r>
        <w:t>Параметры:</w:t>
      </w:r>
    </w:p>
    <w:p w:rsidR="008F708E" w:rsidRDefault="008F708E" w:rsidP="00DE1661">
      <w:pPr>
        <w:pStyle w:val="13"/>
        <w:rPr>
          <w:snapToGrid/>
        </w:rPr>
      </w:pPr>
      <w:r w:rsidRPr="001C32EF">
        <w:rPr>
          <w:snapToGrid/>
        </w:rPr>
        <w:t>По состоянию на:</w:t>
      </w:r>
    </w:p>
    <w:p w:rsidR="008F708E" w:rsidRPr="00A94105" w:rsidRDefault="008F708E" w:rsidP="008F708E">
      <w:pPr>
        <w:pStyle w:val="af0"/>
        <w:ind w:left="1211" w:firstLine="0"/>
      </w:pPr>
      <w:r w:rsidRPr="00A94105">
        <w:t>Календарь с выбором даты данных</w:t>
      </w:r>
      <w:r>
        <w:t xml:space="preserve"> (формат </w:t>
      </w:r>
      <w:r w:rsidRPr="003D29B2">
        <w:t>ДД.ММ.ГГГГ)</w:t>
      </w:r>
      <w:r w:rsidRPr="00A94105">
        <w:t>.</w:t>
      </w:r>
    </w:p>
    <w:p w:rsidR="008F708E" w:rsidRPr="001C32EF" w:rsidRDefault="008F708E" w:rsidP="008F708E">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8F708E" w:rsidRDefault="008F708E" w:rsidP="00DE1661">
      <w:pPr>
        <w:pStyle w:val="13"/>
      </w:pPr>
      <w:r>
        <w:t>Год:</w:t>
      </w:r>
    </w:p>
    <w:p w:rsidR="008F708E" w:rsidRDefault="008F708E" w:rsidP="008F708E">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8F708E" w:rsidRDefault="008F708E" w:rsidP="008F708E">
      <w:pPr>
        <w:pStyle w:val="af0"/>
        <w:ind w:left="1211" w:firstLine="0"/>
      </w:pPr>
      <w:r>
        <w:t>По умолчанию устанавливается текущий год;</w:t>
      </w:r>
    </w:p>
    <w:p w:rsidR="008F708E" w:rsidRDefault="008F708E" w:rsidP="00DE1661">
      <w:pPr>
        <w:pStyle w:val="13"/>
      </w:pPr>
      <w:r>
        <w:t>ГАБС:</w:t>
      </w:r>
    </w:p>
    <w:p w:rsidR="008F708E" w:rsidRPr="00D472EA" w:rsidRDefault="008F708E" w:rsidP="008F708E">
      <w:pPr>
        <w:pStyle w:val="af0"/>
        <w:ind w:left="1211" w:firstLine="0"/>
      </w:pPr>
      <w:r w:rsidRPr="00D472EA">
        <w:t>Выпадающий список с множественным выбором.</w:t>
      </w:r>
    </w:p>
    <w:p w:rsidR="008F708E" w:rsidRDefault="008F708E" w:rsidP="008F708E">
      <w:pPr>
        <w:pStyle w:val="af0"/>
        <w:ind w:left="1211" w:firstLine="0"/>
      </w:pPr>
      <w:r w:rsidRPr="00D472EA">
        <w:t>Выводятся код и наименование ГАБС.</w:t>
      </w:r>
    </w:p>
    <w:p w:rsidR="008F708E" w:rsidRDefault="008F708E" w:rsidP="008F708E">
      <w:pPr>
        <w:pStyle w:val="af0"/>
        <w:ind w:left="1211" w:firstLine="0"/>
      </w:pPr>
      <w:r>
        <w:t>По умолчанию установлено значение «Все»</w:t>
      </w:r>
    </w:p>
    <w:p w:rsidR="008F708E" w:rsidRDefault="008F708E" w:rsidP="00DE1661">
      <w:pPr>
        <w:pStyle w:val="13"/>
        <w:rPr>
          <w:snapToGrid/>
        </w:rPr>
      </w:pPr>
      <w:r w:rsidRPr="001C32EF">
        <w:rPr>
          <w:snapToGrid/>
        </w:rPr>
        <w:t xml:space="preserve">Единицы измерения: </w:t>
      </w:r>
    </w:p>
    <w:p w:rsidR="008F708E" w:rsidRPr="003A4A3C" w:rsidRDefault="008F708E" w:rsidP="008F708E">
      <w:pPr>
        <w:pStyle w:val="af0"/>
        <w:ind w:left="1211" w:firstLine="0"/>
      </w:pPr>
      <w:r w:rsidRPr="003A4A3C">
        <w:t>Выпадающий список с выбором единиц измерения.</w:t>
      </w:r>
    </w:p>
    <w:p w:rsidR="008F708E" w:rsidRDefault="008F708E" w:rsidP="008F708E">
      <w:pPr>
        <w:pStyle w:val="af0"/>
        <w:ind w:left="1211" w:firstLine="0"/>
      </w:pPr>
      <w:r w:rsidRPr="003A4A3C">
        <w:t xml:space="preserve">Состоит из </w:t>
      </w:r>
      <w:r>
        <w:t>значений</w:t>
      </w:r>
      <w:r w:rsidRPr="003A4A3C">
        <w:t>: тыс. руб., млн руб., млрд руб.</w:t>
      </w:r>
    </w:p>
    <w:p w:rsidR="008F708E" w:rsidRDefault="008F708E" w:rsidP="008F708E">
      <w:pPr>
        <w:pStyle w:val="af0"/>
        <w:ind w:left="1211" w:firstLine="0"/>
      </w:pPr>
      <w:r>
        <w:t>По умолчанию установлено значение «млрд руб.».</w:t>
      </w:r>
    </w:p>
    <w:p w:rsidR="008F708E" w:rsidRDefault="008F708E" w:rsidP="008F708E">
      <w:pPr>
        <w:pStyle w:val="af0"/>
        <w:keepNext/>
      </w:pPr>
      <w:r>
        <w:t>Заголовок:</w:t>
      </w:r>
    </w:p>
    <w:p w:rsidR="008F708E" w:rsidRDefault="008F708E" w:rsidP="008F708E">
      <w:pPr>
        <w:pStyle w:val="af0"/>
      </w:pPr>
      <w:r>
        <w:t>В параметрах «ГАБС» выбраны значения «Все»: Этапы бюджетного процесса по доходам федерального бюджета.</w:t>
      </w:r>
    </w:p>
    <w:p w:rsidR="008F708E" w:rsidRDefault="008F708E" w:rsidP="008F708E">
      <w:pPr>
        <w:pStyle w:val="af0"/>
      </w:pPr>
      <w:r>
        <w:t xml:space="preserve">В параметре «ГАБС» выбраны значения не равные значению «Все»: Этапы бюджетного процесса по доходам федерального бюджета по </w:t>
      </w:r>
      <w:r w:rsidRPr="00781D17">
        <w:t>&lt;</w:t>
      </w:r>
      <w:r>
        <w:t>Полное наименование одного из выбранных ГАБС</w:t>
      </w:r>
      <w:r w:rsidRPr="00781D17">
        <w:t>&gt;</w:t>
      </w:r>
      <w:r>
        <w:t xml:space="preserve"> + </w:t>
      </w:r>
      <w:r w:rsidRPr="008D0E79">
        <w:t>&lt;</w:t>
      </w:r>
      <w:r>
        <w:rPr>
          <w:lang w:val="en-US"/>
        </w:rPr>
        <w:t>N</w:t>
      </w:r>
      <w:r w:rsidRPr="008D0E79">
        <w:t xml:space="preserve"> </w:t>
      </w:r>
      <w:r>
        <w:t>–</w:t>
      </w:r>
      <w:r w:rsidRPr="008D0E79">
        <w:t xml:space="preserve"> </w:t>
      </w:r>
      <w:r>
        <w:t>количество выбранных ГАБС</w:t>
      </w:r>
      <w:r w:rsidRPr="008D0E79">
        <w:t>&gt;</w:t>
      </w:r>
      <w:r>
        <w:t xml:space="preserve"> ГАБС. Например, Этапы бюджетного процесса по расходам федерального бюджета по Министерство промышленности и торговли Российской Федерации +2 ГАБС.</w:t>
      </w:r>
    </w:p>
    <w:p w:rsidR="008F708E" w:rsidRDefault="008F708E" w:rsidP="008F708E">
      <w:pPr>
        <w:pStyle w:val="af0"/>
        <w:keepNext/>
      </w:pPr>
      <w:r>
        <w:t>Дашборд состоит из 2 блоков:</w:t>
      </w:r>
    </w:p>
    <w:p w:rsidR="008F708E" w:rsidRPr="003A4A3C" w:rsidRDefault="008F708E" w:rsidP="00DE1661">
      <w:pPr>
        <w:pStyle w:val="13"/>
        <w:rPr>
          <w:snapToGrid/>
        </w:rPr>
      </w:pPr>
      <w:r>
        <w:rPr>
          <w:snapToGrid/>
        </w:rPr>
        <w:t>Планирование;</w:t>
      </w:r>
    </w:p>
    <w:p w:rsidR="008F708E" w:rsidRPr="00475EB4" w:rsidRDefault="008F708E" w:rsidP="00DE1661">
      <w:pPr>
        <w:pStyle w:val="13"/>
        <w:rPr>
          <w:snapToGrid/>
        </w:rPr>
      </w:pPr>
      <w:r>
        <w:rPr>
          <w:snapToGrid/>
        </w:rPr>
        <w:t>Исполнение</w:t>
      </w:r>
      <w:r w:rsidRPr="00475EB4">
        <w:rPr>
          <w:snapToGrid/>
        </w:rPr>
        <w:t>.</w:t>
      </w:r>
    </w:p>
    <w:p w:rsidR="008F708E" w:rsidRDefault="008F708E" w:rsidP="00920DA5">
      <w:pPr>
        <w:pStyle w:val="-0"/>
      </w:pPr>
      <w:r>
        <w:rPr>
          <w:noProof/>
          <w:snapToGrid/>
        </w:rPr>
        <w:drawing>
          <wp:inline distT="0" distB="0" distL="0" distR="0" wp14:anchorId="704A5720" wp14:editId="6EFD6C72">
            <wp:extent cx="6120130" cy="2440725"/>
            <wp:effectExtent l="0" t="0" r="0" b="0"/>
            <wp:docPr id="708"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a:stretch>
                      <a:fillRect/>
                    </a:stretch>
                  </pic:blipFill>
                  <pic:spPr>
                    <a:xfrm>
                      <a:off x="0" y="0"/>
                      <a:ext cx="6120130" cy="2440725"/>
                    </a:xfrm>
                    <a:prstGeom prst="rect">
                      <a:avLst/>
                    </a:prstGeom>
                  </pic:spPr>
                </pic:pic>
              </a:graphicData>
            </a:graphic>
          </wp:inline>
        </w:drawing>
      </w:r>
    </w:p>
    <w:p w:rsidR="008F708E" w:rsidRDefault="008F708E" w:rsidP="00920DA5">
      <w:pPr>
        <w:pStyle w:val="-0"/>
      </w:pPr>
      <w:bookmarkStart w:id="643" w:name="_Toc80789135"/>
      <w:bookmarkStart w:id="644" w:name="_Toc119584338"/>
      <w:r>
        <w:rPr>
          <w:rStyle w:val="af1"/>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151</w:t>
      </w:r>
      <w:r>
        <w:rPr>
          <w:szCs w:val="28"/>
        </w:rPr>
        <w:fldChar w:fldCharType="end"/>
      </w:r>
      <w:r>
        <w:rPr>
          <w:szCs w:val="28"/>
        </w:rPr>
        <w:t xml:space="preserve"> – </w:t>
      </w:r>
      <w:r w:rsidRPr="00920DA5">
        <w:rPr>
          <w:rStyle w:val="af1"/>
          <w:snapToGrid w:val="0"/>
        </w:rPr>
        <w:t>Макет</w:t>
      </w:r>
      <w:r>
        <w:rPr>
          <w:rStyle w:val="af1"/>
        </w:rPr>
        <w:t xml:space="preserve"> борда «Бюджет», представление «По этапам - Доходы»</w:t>
      </w:r>
      <w:bookmarkEnd w:id="643"/>
      <w:bookmarkEnd w:id="644"/>
    </w:p>
    <w:p w:rsidR="008F708E" w:rsidRDefault="008F708E" w:rsidP="008F708E">
      <w:pPr>
        <w:pStyle w:val="af0"/>
      </w:pPr>
      <w:r>
        <w:t xml:space="preserve">Описание источников и формул расчета показателей представлено в таблице </w:t>
      </w:r>
      <w:r>
        <w:fldChar w:fldCharType="begin"/>
      </w:r>
      <w:r>
        <w:instrText xml:space="preserve"> REF табл14 \h </w:instrText>
      </w:r>
      <w:r>
        <w:fldChar w:fldCharType="separate"/>
      </w:r>
      <w:r w:rsidR="00BF0BEE">
        <w:rPr>
          <w:noProof/>
        </w:rPr>
        <w:t>26</w:t>
      </w:r>
      <w:r>
        <w:fldChar w:fldCharType="end"/>
      </w:r>
      <w:r>
        <w:t xml:space="preserve">. </w:t>
      </w:r>
    </w:p>
    <w:p w:rsidR="008F708E" w:rsidRPr="00FB5719" w:rsidRDefault="008F708E" w:rsidP="008F708E">
      <w:pPr>
        <w:pStyle w:val="-"/>
      </w:pPr>
      <w:bookmarkStart w:id="645" w:name="_Toc80789117"/>
      <w:bookmarkStart w:id="646" w:name="_Toc119585167"/>
      <w:r>
        <w:t xml:space="preserve">Таблица </w:t>
      </w:r>
      <w:bookmarkStart w:id="647" w:name="табл14"/>
      <w:r>
        <w:fldChar w:fldCharType="begin"/>
      </w:r>
      <w:r>
        <w:instrText xml:space="preserve"> SEQ Таблица \* ARABIC </w:instrText>
      </w:r>
      <w:r>
        <w:fldChar w:fldCharType="separate"/>
      </w:r>
      <w:r w:rsidR="00BF0BEE">
        <w:rPr>
          <w:noProof/>
        </w:rPr>
        <w:t>26</w:t>
      </w:r>
      <w:r>
        <w:fldChar w:fldCharType="end"/>
      </w:r>
      <w:bookmarkEnd w:id="647"/>
      <w:r>
        <w:t xml:space="preserve"> – </w:t>
      </w:r>
      <w:r w:rsidRPr="00FB5719">
        <w:t xml:space="preserve">Показатели </w:t>
      </w:r>
      <w:r w:rsidRPr="00FB5719">
        <w:rPr>
          <w:noProof/>
        </w:rPr>
        <w:t>Представления «По этапам - Доходы»</w:t>
      </w:r>
      <w:bookmarkEnd w:id="645"/>
      <w:bookmarkEnd w:id="646"/>
    </w:p>
    <w:tbl>
      <w:tblPr>
        <w:tblW w:w="9463"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662"/>
      </w:tblGrid>
      <w:tr w:rsidR="008F708E" w:rsidRPr="0032031B" w:rsidTr="008F708E">
        <w:trPr>
          <w:tblHeader/>
        </w:trPr>
        <w:tc>
          <w:tcPr>
            <w:tcW w:w="2801"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Показатель</w:t>
            </w:r>
          </w:p>
        </w:tc>
        <w:tc>
          <w:tcPr>
            <w:tcW w:w="6662" w:type="dxa"/>
            <w:shd w:val="clear" w:color="auto" w:fill="D9D9D9"/>
          </w:tcPr>
          <w:p w:rsidR="008F708E" w:rsidRPr="00F74B35" w:rsidRDefault="008F708E" w:rsidP="008F708E">
            <w:pPr>
              <w:pStyle w:val="af0"/>
              <w:ind w:firstLine="0"/>
              <w:jc w:val="center"/>
              <w:rPr>
                <w:b/>
                <w:color w:val="auto"/>
                <w:sz w:val="24"/>
                <w:szCs w:val="24"/>
              </w:rPr>
            </w:pPr>
            <w:r w:rsidRPr="00F74B35">
              <w:rPr>
                <w:b/>
                <w:color w:val="auto"/>
                <w:sz w:val="24"/>
                <w:szCs w:val="24"/>
              </w:rPr>
              <w:t>Правило формирования</w:t>
            </w:r>
          </w:p>
        </w:tc>
      </w:tr>
      <w:tr w:rsidR="008F708E" w:rsidRPr="0032031B" w:rsidTr="008F708E">
        <w:tc>
          <w:tcPr>
            <w:tcW w:w="2801" w:type="dxa"/>
            <w:shd w:val="clear" w:color="auto" w:fill="808080" w:themeFill="background1" w:themeFillShade="80"/>
          </w:tcPr>
          <w:p w:rsidR="008F708E" w:rsidRPr="003B5160" w:rsidRDefault="008F708E" w:rsidP="008F708E">
            <w:pPr>
              <w:pStyle w:val="af0"/>
              <w:ind w:firstLine="0"/>
              <w:jc w:val="left"/>
              <w:rPr>
                <w:color w:val="auto"/>
                <w:sz w:val="24"/>
                <w:szCs w:val="24"/>
              </w:rPr>
            </w:pPr>
          </w:p>
        </w:tc>
        <w:tc>
          <w:tcPr>
            <w:tcW w:w="6662" w:type="dxa"/>
            <w:shd w:val="clear" w:color="auto" w:fill="808080" w:themeFill="background1" w:themeFillShade="80"/>
          </w:tcPr>
          <w:p w:rsidR="008F708E" w:rsidRPr="00030820" w:rsidRDefault="008F708E" w:rsidP="008F708E">
            <w:pPr>
              <w:pStyle w:val="af0"/>
              <w:ind w:firstLine="0"/>
              <w:jc w:val="left"/>
              <w:rPr>
                <w:b/>
                <w:color w:val="auto"/>
                <w:sz w:val="24"/>
                <w:szCs w:val="24"/>
              </w:rPr>
            </w:pPr>
            <w:r w:rsidRPr="00030820">
              <w:rPr>
                <w:b/>
                <w:color w:val="auto"/>
                <w:sz w:val="24"/>
                <w:szCs w:val="24"/>
              </w:rPr>
              <w:t>ЭТАП «</w:t>
            </w:r>
            <w:r>
              <w:rPr>
                <w:b/>
                <w:color w:val="auto"/>
                <w:sz w:val="24"/>
                <w:szCs w:val="24"/>
              </w:rPr>
              <w:t>ПЛАНИРОВАНИЕ</w:t>
            </w:r>
            <w:r w:rsidRPr="00030820">
              <w:rPr>
                <w:b/>
                <w:color w:val="auto"/>
                <w:sz w:val="24"/>
                <w:szCs w:val="24"/>
              </w:rPr>
              <w:t>»</w:t>
            </w:r>
          </w:p>
        </w:tc>
      </w:tr>
      <w:tr w:rsidR="008F708E" w:rsidRPr="0032031B" w:rsidTr="008F708E">
        <w:tc>
          <w:tcPr>
            <w:tcW w:w="2801" w:type="dxa"/>
            <w:shd w:val="clear" w:color="auto" w:fill="F2F2F2" w:themeFill="background1" w:themeFillShade="F2"/>
          </w:tcPr>
          <w:p w:rsidR="008F708E" w:rsidRPr="003B5160" w:rsidRDefault="008F708E" w:rsidP="008F708E">
            <w:pPr>
              <w:pStyle w:val="af0"/>
              <w:ind w:firstLine="0"/>
              <w:jc w:val="left"/>
              <w:rPr>
                <w:color w:val="auto"/>
                <w:sz w:val="24"/>
                <w:szCs w:val="24"/>
              </w:rPr>
            </w:pPr>
            <w:r>
              <w:rPr>
                <w:color w:val="auto"/>
                <w:sz w:val="24"/>
                <w:szCs w:val="24"/>
              </w:rPr>
              <w:t>Прогноз</w:t>
            </w:r>
          </w:p>
        </w:tc>
        <w:tc>
          <w:tcPr>
            <w:tcW w:w="6662" w:type="dxa"/>
            <w:shd w:val="clear" w:color="auto" w:fill="auto"/>
          </w:tcPr>
          <w:p w:rsidR="008F708E" w:rsidRPr="003B5160" w:rsidRDefault="008F708E" w:rsidP="008F708E">
            <w:pPr>
              <w:pStyle w:val="af0"/>
              <w:ind w:firstLine="0"/>
              <w:jc w:val="left"/>
              <w:rPr>
                <w:color w:val="auto"/>
                <w:sz w:val="24"/>
                <w:szCs w:val="24"/>
              </w:rPr>
            </w:pPr>
            <w:r>
              <w:t xml:space="preserve">ПБП, форма </w:t>
            </w:r>
            <w:r w:rsidRPr="00C50FBB">
              <w:t>0501031</w:t>
            </w:r>
            <w:r>
              <w:t>, р</w:t>
            </w:r>
            <w:r w:rsidRPr="00F30B20">
              <w:t>аздел «Прогноз доходов федерального бюджета», графа «сумма»</w:t>
            </w:r>
            <w:r>
              <w:t xml:space="preserve"> </w:t>
            </w:r>
          </w:p>
        </w:tc>
      </w:tr>
      <w:tr w:rsidR="008F708E" w:rsidRPr="0032031B" w:rsidTr="008F708E">
        <w:tc>
          <w:tcPr>
            <w:tcW w:w="2801" w:type="dxa"/>
            <w:shd w:val="clear" w:color="auto" w:fill="F2F2F2" w:themeFill="background1" w:themeFillShade="F2"/>
          </w:tcPr>
          <w:p w:rsidR="008F708E" w:rsidRDefault="008F708E" w:rsidP="008F708E">
            <w:pPr>
              <w:pStyle w:val="af0"/>
              <w:ind w:firstLine="0"/>
              <w:jc w:val="left"/>
              <w:rPr>
                <w:color w:val="auto"/>
                <w:sz w:val="24"/>
                <w:szCs w:val="24"/>
              </w:rPr>
            </w:pPr>
            <w:r w:rsidRPr="00C31AD9">
              <w:rPr>
                <w:color w:val="auto"/>
                <w:sz w:val="24"/>
                <w:szCs w:val="24"/>
              </w:rPr>
              <w:t>Уточненный прогноз</w:t>
            </w:r>
          </w:p>
        </w:tc>
        <w:tc>
          <w:tcPr>
            <w:tcW w:w="6662" w:type="dxa"/>
            <w:shd w:val="clear" w:color="auto" w:fill="auto"/>
          </w:tcPr>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установлено значение «Все». </w:t>
            </w:r>
          </w:p>
          <w:p w:rsidR="008F708E" w:rsidRDefault="008F708E" w:rsidP="008F708E">
            <w:pPr>
              <w:jc w:val="left"/>
            </w:pPr>
            <w:r>
              <w:t xml:space="preserve">В строке «Всего» </w:t>
            </w:r>
            <w:r>
              <w:rPr>
                <w:color w:val="auto"/>
                <w:szCs w:val="24"/>
              </w:rPr>
              <w:t>выводится значение по формуле:</w:t>
            </w:r>
          </w:p>
          <w:p w:rsidR="008F708E"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p>
          <w:p w:rsidR="008F708E" w:rsidRDefault="008F708E" w:rsidP="008F708E">
            <w:pPr>
              <w:jc w:val="left"/>
            </w:pPr>
            <w:r>
              <w:t>ПЛЮС</w:t>
            </w:r>
          </w:p>
          <w:p w:rsidR="008F708E" w:rsidRDefault="008F708E" w:rsidP="008F708E">
            <w:pPr>
              <w:pStyle w:val="af0"/>
              <w:ind w:firstLine="0"/>
              <w:jc w:val="left"/>
              <w:rPr>
                <w:color w:val="auto"/>
                <w:sz w:val="24"/>
                <w:szCs w:val="24"/>
              </w:rPr>
            </w:pPr>
            <w:r w:rsidRPr="0032031B">
              <w:rPr>
                <w:color w:val="auto"/>
                <w:sz w:val="24"/>
                <w:szCs w:val="24"/>
              </w:rPr>
              <w:t>Уточнения, связанные с принятием отдельных НПА</w:t>
            </w:r>
            <w:r>
              <w:rPr>
                <w:color w:val="auto"/>
                <w:sz w:val="24"/>
                <w:szCs w:val="24"/>
              </w:rPr>
              <w:t xml:space="preserve"> (в 2020 году на суммы </w:t>
            </w:r>
            <w:r w:rsidRPr="008D667B">
              <w:rPr>
                <w:color w:val="auto"/>
                <w:sz w:val="24"/>
                <w:szCs w:val="24"/>
              </w:rPr>
              <w:t>27 379 377 700 р</w:t>
            </w:r>
            <w:r>
              <w:rPr>
                <w:color w:val="auto"/>
                <w:sz w:val="24"/>
                <w:szCs w:val="24"/>
              </w:rPr>
              <w:t>уб., 17 131 321 700 руб., 2 000 </w:t>
            </w:r>
            <w:r w:rsidRPr="008D667B">
              <w:rPr>
                <w:color w:val="auto"/>
                <w:sz w:val="24"/>
                <w:szCs w:val="24"/>
              </w:rPr>
              <w:t xml:space="preserve">000 000 руб., 10 258 133 </w:t>
            </w:r>
            <w:r>
              <w:rPr>
                <w:color w:val="auto"/>
                <w:sz w:val="24"/>
                <w:szCs w:val="24"/>
              </w:rPr>
              <w:t>600 руб., 2 492 200 000 руб., 3 </w:t>
            </w:r>
            <w:r w:rsidRPr="008D667B">
              <w:rPr>
                <w:color w:val="auto"/>
                <w:sz w:val="24"/>
                <w:szCs w:val="24"/>
              </w:rPr>
              <w:t>588 300 000 руб., 1 066 047 652 500 руб., 730 607 600 руб.</w:t>
            </w:r>
            <w:r>
              <w:rPr>
                <w:color w:val="auto"/>
                <w:sz w:val="24"/>
                <w:szCs w:val="24"/>
              </w:rPr>
              <w:t>)</w:t>
            </w:r>
            <w:r w:rsidRPr="0032031B">
              <w:rPr>
                <w:color w:val="auto"/>
                <w:sz w:val="24"/>
                <w:szCs w:val="24"/>
              </w:rPr>
              <w:t>.</w:t>
            </w:r>
          </w:p>
          <w:p w:rsidR="008F708E" w:rsidRDefault="008F708E" w:rsidP="008F708E">
            <w:pPr>
              <w:jc w:val="left"/>
            </w:pPr>
            <w:r>
              <w:t xml:space="preserve">В строках по ГРБС </w:t>
            </w:r>
            <w:r>
              <w:rPr>
                <w:color w:val="auto"/>
                <w:szCs w:val="24"/>
              </w:rPr>
              <w:t>выводится значение из источника:</w:t>
            </w:r>
          </w:p>
          <w:p w:rsidR="008F708E" w:rsidRDefault="008F708E" w:rsidP="008F708E">
            <w:pPr>
              <w:jc w:val="left"/>
            </w:pPr>
            <w:r>
              <w:t xml:space="preserve">В строке «Всего» </w:t>
            </w:r>
            <w:r>
              <w:rPr>
                <w:color w:val="auto"/>
                <w:szCs w:val="24"/>
              </w:rPr>
              <w:t>выводится значение по формуле:</w:t>
            </w:r>
          </w:p>
          <w:p w:rsidR="008F708E" w:rsidRDefault="008F708E" w:rsidP="008F708E">
            <w:pPr>
              <w:jc w:val="left"/>
            </w:pPr>
            <w:r>
              <w:t xml:space="preserve">ПБП, форма </w:t>
            </w:r>
            <w:r w:rsidRPr="00C50FBB">
              <w:t>0501031</w:t>
            </w:r>
            <w:r>
              <w:t>, р</w:t>
            </w:r>
            <w:r w:rsidRPr="00F30B20">
              <w:t>аздел «Прогноз доходов федерального бюджета», графа «сумма»</w:t>
            </w:r>
            <w:r>
              <w:t>.</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43316">
              <w:rPr>
                <w:i/>
                <w:color w:val="auto"/>
                <w:sz w:val="24"/>
                <w:szCs w:val="24"/>
              </w:rPr>
              <w:t>В параметре «ГАБС» установлены значения не равные значению «Все».</w:t>
            </w:r>
          </w:p>
          <w:p w:rsidR="008F708E" w:rsidRDefault="008F708E" w:rsidP="008F708E">
            <w:pPr>
              <w:pStyle w:val="af0"/>
              <w:ind w:firstLine="0"/>
              <w:jc w:val="left"/>
              <w:rPr>
                <w:color w:val="auto"/>
                <w:sz w:val="24"/>
                <w:szCs w:val="24"/>
              </w:rPr>
            </w:pPr>
            <w:r w:rsidRPr="00F71EF4">
              <w:rPr>
                <w:color w:val="auto"/>
                <w:sz w:val="24"/>
                <w:szCs w:val="24"/>
              </w:rPr>
              <w:t>ПБП, форма 0501031, раздел «Прогноз доходов федерального бюджета», графа «сумма»</w:t>
            </w:r>
            <w:r>
              <w:t xml:space="preserve"> </w:t>
            </w:r>
          </w:p>
        </w:tc>
      </w:tr>
      <w:tr w:rsidR="008F708E" w:rsidRPr="0032031B" w:rsidTr="008F708E">
        <w:tc>
          <w:tcPr>
            <w:tcW w:w="2801" w:type="dxa"/>
            <w:shd w:val="clear" w:color="auto" w:fill="F2F2F2" w:themeFill="background1" w:themeFillShade="F2"/>
          </w:tcPr>
          <w:p w:rsidR="008F708E" w:rsidRPr="00C31AD9" w:rsidRDefault="008F708E" w:rsidP="008F708E">
            <w:pPr>
              <w:pStyle w:val="af0"/>
              <w:ind w:firstLine="0"/>
              <w:jc w:val="left"/>
              <w:rPr>
                <w:color w:val="auto"/>
                <w:sz w:val="24"/>
                <w:szCs w:val="24"/>
              </w:rPr>
            </w:pPr>
            <w:r w:rsidRPr="00C31AD9">
              <w:rPr>
                <w:color w:val="auto"/>
                <w:sz w:val="24"/>
                <w:szCs w:val="24"/>
              </w:rPr>
              <w:t>Кассовый план ГАДБ</w:t>
            </w:r>
          </w:p>
        </w:tc>
        <w:tc>
          <w:tcPr>
            <w:tcW w:w="6662" w:type="dxa"/>
            <w:shd w:val="clear" w:color="auto" w:fill="auto"/>
          </w:tcPr>
          <w:p w:rsidR="008F708E" w:rsidRDefault="008F708E" w:rsidP="008F708E">
            <w:pPr>
              <w:pStyle w:val="af0"/>
              <w:ind w:firstLine="0"/>
              <w:jc w:val="left"/>
              <w:rPr>
                <w:i/>
                <w:color w:val="auto"/>
                <w:sz w:val="24"/>
                <w:szCs w:val="24"/>
              </w:rPr>
            </w:pPr>
            <w:r w:rsidRPr="00343316">
              <w:rPr>
                <w:i/>
                <w:color w:val="auto"/>
                <w:sz w:val="24"/>
                <w:szCs w:val="24"/>
              </w:rPr>
              <w:t>В параметре «ГАБС» установлено значение «Все».</w:t>
            </w:r>
          </w:p>
          <w:p w:rsidR="008F708E" w:rsidRDefault="008F708E" w:rsidP="008F708E">
            <w:pPr>
              <w:jc w:val="left"/>
            </w:pPr>
            <w:r>
              <w:t xml:space="preserve">В строке «Всего» </w:t>
            </w:r>
            <w:r>
              <w:rPr>
                <w:color w:val="auto"/>
                <w:szCs w:val="24"/>
              </w:rPr>
              <w:t>выводится значение из источника:</w:t>
            </w:r>
          </w:p>
          <w:p w:rsidR="008F708E" w:rsidRDefault="008F708E" w:rsidP="008F708E">
            <w:pPr>
              <w:pStyle w:val="af0"/>
              <w:ind w:firstLine="0"/>
              <w:jc w:val="left"/>
              <w:rPr>
                <w:color w:val="auto"/>
                <w:sz w:val="24"/>
                <w:szCs w:val="24"/>
              </w:rPr>
            </w:pPr>
            <w:r w:rsidRPr="0032031B">
              <w:rPr>
                <w:color w:val="auto"/>
                <w:sz w:val="24"/>
                <w:szCs w:val="24"/>
              </w:rPr>
              <w:t>ПБП, форма 0501043, показатель «Кассовые поступления по доходам – всего», графа «Итого за год»</w:t>
            </w:r>
            <w:r>
              <w:rPr>
                <w:color w:val="auto"/>
                <w:sz w:val="24"/>
                <w:szCs w:val="24"/>
              </w:rPr>
              <w:t>.</w:t>
            </w:r>
          </w:p>
          <w:p w:rsidR="008F708E" w:rsidRDefault="008F708E" w:rsidP="008F708E">
            <w:pPr>
              <w:pStyle w:val="af0"/>
              <w:ind w:firstLine="0"/>
              <w:jc w:val="left"/>
              <w:rPr>
                <w:color w:val="auto"/>
                <w:sz w:val="24"/>
                <w:szCs w:val="24"/>
              </w:rPr>
            </w:pPr>
            <w:r w:rsidRPr="007117AD">
              <w:rPr>
                <w:color w:val="auto"/>
                <w:sz w:val="24"/>
                <w:szCs w:val="24"/>
              </w:rPr>
              <w:t>В строках по ГРБС выводится значение</w:t>
            </w:r>
            <w:r>
              <w:rPr>
                <w:color w:val="auto"/>
                <w:sz w:val="24"/>
                <w:szCs w:val="24"/>
              </w:rPr>
              <w:t xml:space="preserve"> </w:t>
            </w:r>
            <w:r w:rsidRPr="007117AD">
              <w:rPr>
                <w:color w:val="auto"/>
                <w:sz w:val="24"/>
                <w:szCs w:val="24"/>
              </w:rPr>
              <w:t>из источника</w:t>
            </w:r>
            <w:r>
              <w:rPr>
                <w:color w:val="auto"/>
                <w:sz w:val="24"/>
                <w:szCs w:val="24"/>
              </w:rPr>
              <w:t>:</w:t>
            </w:r>
          </w:p>
          <w:p w:rsidR="008F708E" w:rsidRDefault="008F708E" w:rsidP="008F708E">
            <w:pPr>
              <w:pStyle w:val="af0"/>
              <w:ind w:firstLine="0"/>
              <w:jc w:val="left"/>
              <w:rPr>
                <w:color w:val="auto"/>
                <w:sz w:val="24"/>
                <w:szCs w:val="24"/>
              </w:rPr>
            </w:pPr>
            <w:r w:rsidRPr="0032031B">
              <w:rPr>
                <w:color w:val="auto"/>
                <w:sz w:val="24"/>
                <w:szCs w:val="24"/>
              </w:rPr>
              <w:t>ПБП, форма 05001083, графа «Сумма на год, всего».</w:t>
            </w:r>
          </w:p>
          <w:p w:rsidR="008F708E" w:rsidRDefault="008F708E" w:rsidP="008F708E">
            <w:pPr>
              <w:jc w:val="left"/>
            </w:pPr>
          </w:p>
          <w:p w:rsidR="008F708E" w:rsidRPr="00343316" w:rsidRDefault="008F708E" w:rsidP="008F708E">
            <w:pPr>
              <w:pStyle w:val="af0"/>
              <w:ind w:firstLine="0"/>
              <w:jc w:val="left"/>
              <w:rPr>
                <w:i/>
                <w:color w:val="auto"/>
                <w:sz w:val="24"/>
                <w:szCs w:val="24"/>
              </w:rPr>
            </w:pPr>
            <w:r w:rsidRPr="00343316">
              <w:rPr>
                <w:i/>
                <w:color w:val="auto"/>
                <w:sz w:val="24"/>
                <w:szCs w:val="24"/>
              </w:rPr>
              <w:t xml:space="preserve">В параметре «ГАБС» установлены значения не равные значению «Все». </w:t>
            </w:r>
          </w:p>
          <w:p w:rsidR="008F708E" w:rsidRDefault="008F708E" w:rsidP="008F708E">
            <w:pPr>
              <w:pStyle w:val="af0"/>
              <w:ind w:firstLine="0"/>
              <w:jc w:val="left"/>
              <w:rPr>
                <w:color w:val="auto"/>
                <w:sz w:val="24"/>
                <w:szCs w:val="24"/>
              </w:rPr>
            </w:pPr>
            <w:r w:rsidRPr="0032031B">
              <w:rPr>
                <w:color w:val="auto"/>
                <w:sz w:val="24"/>
                <w:szCs w:val="24"/>
              </w:rPr>
              <w:t>ПБП, форма 05001083, графа «Сумма на год, всего».</w:t>
            </w:r>
          </w:p>
          <w:p w:rsidR="008F708E" w:rsidRDefault="008F708E" w:rsidP="008F708E">
            <w:pPr>
              <w:pStyle w:val="af0"/>
              <w:ind w:firstLine="0"/>
              <w:jc w:val="left"/>
              <w:rPr>
                <w:color w:val="auto"/>
                <w:sz w:val="24"/>
                <w:szCs w:val="24"/>
              </w:rPr>
            </w:pPr>
          </w:p>
          <w:p w:rsidR="008F708E" w:rsidRPr="00343316" w:rsidRDefault="008F708E" w:rsidP="008F708E">
            <w:pPr>
              <w:pStyle w:val="af0"/>
              <w:ind w:firstLine="0"/>
              <w:jc w:val="left"/>
              <w:rPr>
                <w:i/>
                <w:color w:val="auto"/>
                <w:sz w:val="24"/>
                <w:szCs w:val="24"/>
              </w:rPr>
            </w:pPr>
            <w:r w:rsidRPr="003E229A">
              <w:rPr>
                <w:color w:val="auto"/>
                <w:sz w:val="24"/>
                <w:szCs w:val="24"/>
              </w:rPr>
              <w:t>При отсутствии данных по формам 0501043 и 05001083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8F708E" w:rsidRPr="0032031B" w:rsidTr="008F708E">
        <w:tc>
          <w:tcPr>
            <w:tcW w:w="2801" w:type="dxa"/>
            <w:shd w:val="clear" w:color="auto" w:fill="F2F2F2" w:themeFill="background1" w:themeFillShade="F2"/>
          </w:tcPr>
          <w:p w:rsidR="008F708E" w:rsidRPr="00C31AD9" w:rsidRDefault="008F708E" w:rsidP="008F708E">
            <w:pPr>
              <w:pStyle w:val="af0"/>
              <w:ind w:firstLine="0"/>
              <w:jc w:val="left"/>
              <w:rPr>
                <w:color w:val="auto"/>
                <w:sz w:val="24"/>
                <w:szCs w:val="24"/>
              </w:rPr>
            </w:pPr>
            <w:r>
              <w:rPr>
                <w:color w:val="auto"/>
                <w:sz w:val="24"/>
                <w:szCs w:val="24"/>
              </w:rPr>
              <w:t>Н</w:t>
            </w:r>
            <w:r w:rsidRPr="008742C7">
              <w:rPr>
                <w:color w:val="auto"/>
                <w:sz w:val="24"/>
                <w:szCs w:val="24"/>
              </w:rPr>
              <w:t>еисполнени</w:t>
            </w:r>
            <w:r>
              <w:rPr>
                <w:color w:val="auto"/>
                <w:sz w:val="24"/>
                <w:szCs w:val="24"/>
              </w:rPr>
              <w:t>е бюджета</w:t>
            </w:r>
          </w:p>
        </w:tc>
        <w:tc>
          <w:tcPr>
            <w:tcW w:w="6662" w:type="dxa"/>
            <w:shd w:val="clear" w:color="auto" w:fill="auto"/>
          </w:tcPr>
          <w:p w:rsidR="008F708E" w:rsidRDefault="008F708E" w:rsidP="008F708E">
            <w:pPr>
              <w:jc w:val="left"/>
            </w:pPr>
            <w:r>
              <w:t>Формула:</w:t>
            </w:r>
          </w:p>
          <w:p w:rsidR="008F708E" w:rsidRDefault="008F708E" w:rsidP="008F708E">
            <w:pPr>
              <w:jc w:val="left"/>
            </w:pPr>
            <w:r>
              <w:t>«Кассовый план ГАДБ на ГГГГ год» МИНУС «Уточненный прогноз на ГГГГ год».</w:t>
            </w:r>
          </w:p>
          <w:p w:rsidR="008F708E" w:rsidRDefault="008F708E" w:rsidP="008F708E">
            <w:pPr>
              <w:jc w:val="left"/>
            </w:pPr>
          </w:p>
          <w:p w:rsidR="008F708E" w:rsidRPr="00580B92" w:rsidRDefault="008F708E" w:rsidP="008F708E">
            <w:pPr>
              <w:pStyle w:val="af0"/>
              <w:ind w:firstLine="0"/>
              <w:jc w:val="left"/>
              <w:rPr>
                <w:sz w:val="24"/>
              </w:rPr>
            </w:pPr>
            <w:r w:rsidRPr="00580B92">
              <w:rPr>
                <w:sz w:val="24"/>
              </w:rPr>
              <w:t>Если результат расчета больше 0, то выводится «0».</w:t>
            </w:r>
          </w:p>
        </w:tc>
      </w:tr>
      <w:tr w:rsidR="008F708E" w:rsidRPr="0032031B" w:rsidTr="008F708E">
        <w:tc>
          <w:tcPr>
            <w:tcW w:w="2801" w:type="dxa"/>
            <w:shd w:val="clear" w:color="auto" w:fill="808080" w:themeFill="background1" w:themeFillShade="80"/>
          </w:tcPr>
          <w:p w:rsidR="008F708E" w:rsidRPr="00431CF5" w:rsidRDefault="008F708E" w:rsidP="008F708E">
            <w:pPr>
              <w:pStyle w:val="af0"/>
              <w:ind w:firstLine="0"/>
              <w:jc w:val="left"/>
              <w:rPr>
                <w:color w:val="auto"/>
                <w:sz w:val="24"/>
                <w:szCs w:val="24"/>
                <w:highlight w:val="red"/>
              </w:rPr>
            </w:pPr>
          </w:p>
        </w:tc>
        <w:tc>
          <w:tcPr>
            <w:tcW w:w="6662" w:type="dxa"/>
            <w:shd w:val="clear" w:color="auto" w:fill="808080" w:themeFill="background1" w:themeFillShade="80"/>
          </w:tcPr>
          <w:p w:rsidR="008F708E" w:rsidRPr="00382E8C" w:rsidRDefault="008F708E" w:rsidP="008F708E">
            <w:pPr>
              <w:jc w:val="left"/>
              <w:rPr>
                <w:b/>
                <w:bCs/>
                <w:highlight w:val="red"/>
              </w:rPr>
            </w:pPr>
            <w:r w:rsidRPr="00382E8C">
              <w:rPr>
                <w:b/>
                <w:bCs/>
              </w:rPr>
              <w:t>ЭТАП «ИСПОЛНЕНИЕ»</w:t>
            </w:r>
          </w:p>
        </w:tc>
      </w:tr>
      <w:tr w:rsidR="008F708E" w:rsidRPr="0032031B" w:rsidTr="008F708E">
        <w:tc>
          <w:tcPr>
            <w:tcW w:w="2801" w:type="dxa"/>
            <w:shd w:val="clear" w:color="auto" w:fill="F2F2F2" w:themeFill="background1" w:themeFillShade="F2"/>
          </w:tcPr>
          <w:p w:rsidR="008F708E" w:rsidRPr="00C31AD9" w:rsidRDefault="008F708E" w:rsidP="008F708E">
            <w:pPr>
              <w:pStyle w:val="af0"/>
              <w:ind w:firstLine="0"/>
              <w:jc w:val="left"/>
              <w:rPr>
                <w:color w:val="auto"/>
                <w:sz w:val="24"/>
                <w:szCs w:val="24"/>
              </w:rPr>
            </w:pPr>
            <w:r w:rsidRPr="00C31AD9">
              <w:rPr>
                <w:color w:val="auto"/>
                <w:sz w:val="24"/>
                <w:szCs w:val="24"/>
              </w:rPr>
              <w:t>Факт</w:t>
            </w:r>
          </w:p>
        </w:tc>
        <w:tc>
          <w:tcPr>
            <w:tcW w:w="6662" w:type="dxa"/>
            <w:shd w:val="clear" w:color="auto" w:fill="auto"/>
          </w:tcPr>
          <w:p w:rsidR="008F708E" w:rsidRPr="00343316" w:rsidRDefault="008F708E" w:rsidP="008F708E">
            <w:pPr>
              <w:pStyle w:val="af0"/>
              <w:ind w:firstLine="0"/>
              <w:jc w:val="left"/>
              <w:rPr>
                <w:i/>
                <w:color w:val="auto"/>
                <w:sz w:val="24"/>
                <w:szCs w:val="24"/>
              </w:rPr>
            </w:pPr>
            <w:r w:rsidRPr="0032031B">
              <w:rPr>
                <w:color w:val="auto"/>
                <w:sz w:val="24"/>
                <w:szCs w:val="24"/>
              </w:rPr>
              <w:t>АСФК, форма О_0504072, раздел «Доходы бюджета</w:t>
            </w:r>
            <w:r>
              <w:rPr>
                <w:color w:val="auto"/>
                <w:sz w:val="24"/>
                <w:szCs w:val="24"/>
              </w:rPr>
              <w:t>»</w:t>
            </w:r>
            <w:r w:rsidRPr="0032031B">
              <w:rPr>
                <w:color w:val="auto"/>
                <w:sz w:val="24"/>
                <w:szCs w:val="24"/>
              </w:rPr>
              <w:t>, показатель «Кассовое исполнение».</w:t>
            </w:r>
          </w:p>
        </w:tc>
      </w:tr>
      <w:tr w:rsidR="008F708E" w:rsidRPr="0032031B" w:rsidTr="008F708E">
        <w:tc>
          <w:tcPr>
            <w:tcW w:w="2801" w:type="dxa"/>
            <w:shd w:val="clear" w:color="auto" w:fill="F2F2F2" w:themeFill="background1" w:themeFillShade="F2"/>
          </w:tcPr>
          <w:p w:rsidR="008F708E" w:rsidRPr="00C31AD9" w:rsidRDefault="008F708E" w:rsidP="008F708E">
            <w:pPr>
              <w:pStyle w:val="af0"/>
              <w:ind w:firstLine="0"/>
              <w:jc w:val="left"/>
              <w:rPr>
                <w:color w:val="auto"/>
                <w:sz w:val="24"/>
                <w:szCs w:val="24"/>
              </w:rPr>
            </w:pPr>
            <w:r>
              <w:rPr>
                <w:color w:val="auto"/>
                <w:sz w:val="24"/>
                <w:szCs w:val="24"/>
              </w:rPr>
              <w:t>Осталось исполнить</w:t>
            </w:r>
          </w:p>
        </w:tc>
        <w:tc>
          <w:tcPr>
            <w:tcW w:w="6662" w:type="dxa"/>
            <w:shd w:val="clear" w:color="auto" w:fill="auto"/>
          </w:tcPr>
          <w:p w:rsidR="008F708E" w:rsidRDefault="008F708E" w:rsidP="008F708E">
            <w:pPr>
              <w:pStyle w:val="af0"/>
              <w:ind w:firstLine="0"/>
              <w:jc w:val="left"/>
              <w:rPr>
                <w:color w:val="auto"/>
                <w:sz w:val="24"/>
                <w:szCs w:val="24"/>
              </w:rPr>
            </w:pPr>
            <w:r>
              <w:rPr>
                <w:color w:val="auto"/>
                <w:sz w:val="24"/>
                <w:szCs w:val="24"/>
              </w:rPr>
              <w:t>Формула:</w:t>
            </w:r>
          </w:p>
          <w:p w:rsidR="008F708E" w:rsidRPr="0032031B" w:rsidRDefault="008F708E" w:rsidP="008F708E">
            <w:pPr>
              <w:pStyle w:val="af0"/>
              <w:ind w:firstLine="0"/>
              <w:jc w:val="left"/>
              <w:rPr>
                <w:color w:val="auto"/>
                <w:sz w:val="24"/>
                <w:szCs w:val="24"/>
              </w:rPr>
            </w:pPr>
            <w:r>
              <w:rPr>
                <w:color w:val="auto"/>
                <w:sz w:val="24"/>
                <w:szCs w:val="24"/>
              </w:rPr>
              <w:t>«</w:t>
            </w:r>
            <w:r w:rsidRPr="00C31AD9">
              <w:rPr>
                <w:color w:val="auto"/>
                <w:sz w:val="24"/>
                <w:szCs w:val="24"/>
              </w:rPr>
              <w:t>Уточненный прогноз</w:t>
            </w:r>
            <w:r>
              <w:rPr>
                <w:color w:val="auto"/>
                <w:sz w:val="24"/>
                <w:szCs w:val="24"/>
              </w:rPr>
              <w:t>» МИНУС «Факт».</w:t>
            </w:r>
          </w:p>
        </w:tc>
      </w:tr>
    </w:tbl>
    <w:p w:rsidR="00347174" w:rsidRPr="00130243" w:rsidRDefault="00347174" w:rsidP="00347174">
      <w:pPr>
        <w:pStyle w:val="35"/>
      </w:pPr>
      <w:bookmarkStart w:id="648" w:name="_Toc93074530"/>
      <w:bookmarkStart w:id="649" w:name="_Toc119585084"/>
      <w:r>
        <w:t>Отчет «Закупка товаров, работ, услуг Свод»</w:t>
      </w:r>
      <w:bookmarkEnd w:id="648"/>
      <w:r w:rsidR="00130243">
        <w:t xml:space="preserve"> (</w:t>
      </w:r>
      <w:r w:rsidR="00130243">
        <w:rPr>
          <w:lang w:val="en-US"/>
        </w:rPr>
        <w:t>PIAO</w:t>
      </w:r>
      <w:r w:rsidR="00130243" w:rsidRPr="00130243">
        <w:t>_180_102_</w:t>
      </w:r>
      <w:r w:rsidR="00130243">
        <w:rPr>
          <w:lang w:val="en-US"/>
        </w:rPr>
        <w:t>report</w:t>
      </w:r>
      <w:r w:rsidR="00130243" w:rsidRPr="00130243">
        <w:t>)</w:t>
      </w:r>
      <w:bookmarkEnd w:id="649"/>
    </w:p>
    <w:p w:rsidR="00130243" w:rsidRDefault="00130243" w:rsidP="00130243">
      <w:pPr>
        <w:pStyle w:val="af0"/>
        <w:rPr>
          <w:szCs w:val="28"/>
        </w:rPr>
      </w:pPr>
      <w:r>
        <w:rPr>
          <w:rStyle w:val="af1"/>
        </w:rPr>
        <w:t>Аналитический отчет</w:t>
      </w:r>
      <w:r w:rsidRPr="00CB7C5A">
        <w:rPr>
          <w:rStyle w:val="af1"/>
        </w:rPr>
        <w:t xml:space="preserve"> «</w:t>
      </w:r>
      <w:r>
        <w:rPr>
          <w:rStyle w:val="af1"/>
        </w:rPr>
        <w:t>Закупка ТРУ Свод</w:t>
      </w:r>
      <w:r w:rsidRPr="00CB7C5A">
        <w:rPr>
          <w:rStyle w:val="af1"/>
        </w:rPr>
        <w:t>»</w:t>
      </w:r>
      <w:r>
        <w:rPr>
          <w:rStyle w:val="af1"/>
        </w:rPr>
        <w:t xml:space="preserve"> </w:t>
      </w:r>
      <w:r>
        <w:rPr>
          <w:szCs w:val="28"/>
        </w:rPr>
        <w:t>обеспечива</w:t>
      </w:r>
      <w:r w:rsidR="000E2DA7">
        <w:rPr>
          <w:szCs w:val="28"/>
        </w:rPr>
        <w:t>е</w:t>
      </w:r>
      <w:r>
        <w:rPr>
          <w:szCs w:val="28"/>
        </w:rPr>
        <w:t>т возможность анализа информации по всем закупкам в разрезе следующих показателей:</w:t>
      </w:r>
    </w:p>
    <w:p w:rsidR="00130243" w:rsidRDefault="00130243" w:rsidP="00130243">
      <w:pPr>
        <w:pStyle w:val="13"/>
        <w:rPr>
          <w:rFonts w:eastAsia="Calibri"/>
        </w:rPr>
      </w:pPr>
      <w:r>
        <w:rPr>
          <w:rFonts w:eastAsia="Calibri"/>
        </w:rPr>
        <w:t>бюджетные ассигнования на закупки (БА);</w:t>
      </w:r>
    </w:p>
    <w:p w:rsidR="00130243" w:rsidRDefault="00130243" w:rsidP="00130243">
      <w:pPr>
        <w:pStyle w:val="13"/>
        <w:rPr>
          <w:rFonts w:eastAsia="Calibri"/>
        </w:rPr>
      </w:pPr>
      <w:r>
        <w:rPr>
          <w:rFonts w:eastAsia="Calibri"/>
        </w:rPr>
        <w:t>извещения (принимаемые БО);</w:t>
      </w:r>
    </w:p>
    <w:p w:rsidR="00130243" w:rsidRDefault="00130243" w:rsidP="00130243">
      <w:pPr>
        <w:pStyle w:val="13"/>
        <w:rPr>
          <w:rFonts w:eastAsia="Calibri"/>
        </w:rPr>
      </w:pPr>
      <w:r>
        <w:rPr>
          <w:rFonts w:eastAsia="Calibri"/>
        </w:rPr>
        <w:t>заключенные контракты;</w:t>
      </w:r>
    </w:p>
    <w:p w:rsidR="00130243" w:rsidRDefault="00130243" w:rsidP="00130243">
      <w:pPr>
        <w:pStyle w:val="13"/>
        <w:rPr>
          <w:rFonts w:eastAsia="Calibri"/>
        </w:rPr>
      </w:pPr>
      <w:r>
        <w:rPr>
          <w:rFonts w:eastAsia="Calibri"/>
        </w:rPr>
        <w:t>исполненные контракты;</w:t>
      </w:r>
    </w:p>
    <w:p w:rsidR="00130243" w:rsidRDefault="00130243" w:rsidP="00130243">
      <w:pPr>
        <w:pStyle w:val="13"/>
        <w:rPr>
          <w:rFonts w:eastAsia="Calibri"/>
        </w:rPr>
      </w:pPr>
      <w:r>
        <w:rPr>
          <w:rFonts w:eastAsia="Calibri"/>
        </w:rPr>
        <w:t>оплаченные контракты.</w:t>
      </w:r>
    </w:p>
    <w:p w:rsidR="00130243" w:rsidRDefault="00130243" w:rsidP="00130243">
      <w:pPr>
        <w:pStyle w:val="af0"/>
        <w:rPr>
          <w:rFonts w:eastAsia="Calibri"/>
        </w:rPr>
      </w:pPr>
      <w:r>
        <w:rPr>
          <w:rFonts w:eastAsia="Calibri"/>
        </w:rPr>
        <w:t>Аналитический отчет отображает информацию в форме таблицы</w:t>
      </w:r>
      <w:r w:rsidR="000E2DA7">
        <w:rPr>
          <w:rFonts w:eastAsia="Calibri"/>
        </w:rPr>
        <w:t>,</w:t>
      </w:r>
      <w:r>
        <w:rPr>
          <w:rFonts w:eastAsia="Calibri"/>
        </w:rPr>
        <w:t xml:space="preserve"> имеет 4 представления:</w:t>
      </w:r>
    </w:p>
    <w:p w:rsidR="00130243" w:rsidRDefault="00130243" w:rsidP="00130243">
      <w:pPr>
        <w:pStyle w:val="13"/>
        <w:rPr>
          <w:rFonts w:eastAsia="Calibri"/>
        </w:rPr>
      </w:pPr>
      <w:r>
        <w:rPr>
          <w:rFonts w:eastAsia="Calibri"/>
        </w:rPr>
        <w:t>по вице-премьерам;</w:t>
      </w:r>
    </w:p>
    <w:p w:rsidR="00130243" w:rsidRDefault="00130243" w:rsidP="00130243">
      <w:pPr>
        <w:pStyle w:val="13"/>
        <w:rPr>
          <w:rFonts w:eastAsia="Calibri"/>
        </w:rPr>
      </w:pPr>
      <w:r>
        <w:rPr>
          <w:rFonts w:eastAsia="Calibri"/>
        </w:rPr>
        <w:t>по ГРБС;</w:t>
      </w:r>
    </w:p>
    <w:p w:rsidR="00130243" w:rsidRDefault="00130243" w:rsidP="00130243">
      <w:pPr>
        <w:pStyle w:val="13"/>
        <w:rPr>
          <w:rFonts w:eastAsia="Calibri"/>
        </w:rPr>
      </w:pPr>
      <w:r>
        <w:rPr>
          <w:rFonts w:eastAsia="Calibri"/>
        </w:rPr>
        <w:t>по видам закупок;</w:t>
      </w:r>
    </w:p>
    <w:p w:rsidR="00130243" w:rsidRDefault="00130243" w:rsidP="00130243">
      <w:pPr>
        <w:pStyle w:val="13"/>
        <w:rPr>
          <w:rFonts w:eastAsia="Calibri"/>
        </w:rPr>
      </w:pPr>
      <w:r>
        <w:rPr>
          <w:rFonts w:eastAsia="Calibri"/>
        </w:rPr>
        <w:t>по КБК.</w:t>
      </w:r>
    </w:p>
    <w:p w:rsidR="00130243" w:rsidRDefault="00130243" w:rsidP="00130243">
      <w:pPr>
        <w:pStyle w:val="af0"/>
      </w:pPr>
      <w:r>
        <w:t>Группировка строк в представлениях:</w:t>
      </w:r>
    </w:p>
    <w:p w:rsidR="00130243" w:rsidRDefault="00130243"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ГРБС</w:t>
      </w:r>
      <w:r>
        <w:rPr>
          <w:snapToGrid/>
          <w:color w:val="auto"/>
          <w:sz w:val="28"/>
          <w:szCs w:val="28"/>
        </w:rPr>
        <w:t>».</w:t>
      </w:r>
    </w:p>
    <w:p w:rsidR="00130243" w:rsidRDefault="00130243" w:rsidP="00130243">
      <w:pPr>
        <w:spacing w:line="360" w:lineRule="exact"/>
        <w:ind w:left="927"/>
        <w:rPr>
          <w:snapToGrid/>
          <w:color w:val="auto"/>
          <w:sz w:val="28"/>
          <w:szCs w:val="28"/>
        </w:rPr>
      </w:pPr>
      <w:r>
        <w:rPr>
          <w:snapToGrid/>
          <w:color w:val="auto"/>
          <w:sz w:val="28"/>
          <w:szCs w:val="28"/>
        </w:rPr>
        <w:t>Названия колонок: «</w:t>
      </w:r>
      <w:r w:rsidRPr="00932110">
        <w:rPr>
          <w:snapToGrid/>
          <w:color w:val="auto"/>
          <w:sz w:val="28"/>
          <w:szCs w:val="28"/>
        </w:rPr>
        <w:t>Наименование</w:t>
      </w:r>
      <w:r>
        <w:rPr>
          <w:snapToGrid/>
          <w:color w:val="auto"/>
          <w:sz w:val="28"/>
          <w:szCs w:val="28"/>
        </w:rPr>
        <w:t xml:space="preserve"> показателя», «К</w:t>
      </w:r>
      <w:r w:rsidRPr="00932110">
        <w:rPr>
          <w:snapToGrid/>
          <w:color w:val="auto"/>
          <w:sz w:val="28"/>
          <w:szCs w:val="28"/>
        </w:rPr>
        <w:t>од ГРБС</w:t>
      </w:r>
      <w:r>
        <w:rPr>
          <w:snapToGrid/>
          <w:color w:val="auto"/>
          <w:sz w:val="28"/>
          <w:szCs w:val="28"/>
        </w:rPr>
        <w:t>».</w:t>
      </w:r>
    </w:p>
    <w:p w:rsidR="00130243" w:rsidRDefault="00130243" w:rsidP="00130243">
      <w:pPr>
        <w:spacing w:line="360" w:lineRule="exact"/>
        <w:ind w:left="927"/>
        <w:rPr>
          <w:snapToGrid/>
          <w:color w:val="auto"/>
          <w:sz w:val="28"/>
          <w:szCs w:val="28"/>
        </w:rPr>
      </w:pPr>
      <w:r>
        <w:rPr>
          <w:snapToGrid/>
          <w:color w:val="auto"/>
          <w:sz w:val="28"/>
          <w:szCs w:val="28"/>
        </w:rPr>
        <w:t>Сортировка строк по коду ГРБС.</w:t>
      </w:r>
    </w:p>
    <w:p w:rsidR="00130243" w:rsidRPr="00932110" w:rsidRDefault="00130243" w:rsidP="00130243">
      <w:pPr>
        <w:spacing w:line="360" w:lineRule="exact"/>
        <w:ind w:left="927"/>
        <w:rPr>
          <w:snapToGrid/>
          <w:color w:val="auto"/>
          <w:sz w:val="28"/>
          <w:szCs w:val="28"/>
        </w:rPr>
      </w:pPr>
      <w:r w:rsidRPr="00DF3F16">
        <w:rPr>
          <w:snapToGrid/>
          <w:color w:val="auto"/>
          <w:sz w:val="28"/>
          <w:szCs w:val="28"/>
        </w:rPr>
        <w:t>Код «000» (суммы</w:t>
      </w:r>
      <w:r>
        <w:rPr>
          <w:snapToGrid/>
          <w:color w:val="auto"/>
          <w:sz w:val="28"/>
          <w:szCs w:val="28"/>
        </w:rPr>
        <w:t xml:space="preserve"> по закрытым цепочкам КБК) выводится вверху списка.</w:t>
      </w:r>
    </w:p>
    <w:p w:rsidR="00130243" w:rsidRDefault="00130243"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 xml:space="preserve">По </w:t>
      </w:r>
      <w:r>
        <w:rPr>
          <w:snapToGrid/>
          <w:color w:val="auto"/>
          <w:sz w:val="28"/>
          <w:szCs w:val="28"/>
        </w:rPr>
        <w:t>вице-премьерам».</w:t>
      </w:r>
    </w:p>
    <w:p w:rsidR="00130243" w:rsidRDefault="00130243" w:rsidP="00130243">
      <w:pPr>
        <w:spacing w:line="360" w:lineRule="exact"/>
        <w:ind w:left="927"/>
        <w:rPr>
          <w:snapToGrid/>
          <w:color w:val="auto"/>
          <w:sz w:val="28"/>
          <w:szCs w:val="28"/>
        </w:rPr>
      </w:pPr>
      <w:r>
        <w:rPr>
          <w:snapToGrid/>
          <w:color w:val="auto"/>
          <w:sz w:val="28"/>
          <w:szCs w:val="28"/>
        </w:rPr>
        <w:t>Названия колонок: «</w:t>
      </w:r>
      <w:r w:rsidRPr="00932110">
        <w:rPr>
          <w:snapToGrid/>
          <w:color w:val="auto"/>
          <w:sz w:val="28"/>
          <w:szCs w:val="28"/>
        </w:rPr>
        <w:t>Наименование</w:t>
      </w:r>
      <w:r>
        <w:rPr>
          <w:snapToGrid/>
          <w:color w:val="auto"/>
          <w:sz w:val="28"/>
          <w:szCs w:val="28"/>
        </w:rPr>
        <w:t xml:space="preserve"> показателя».</w:t>
      </w:r>
    </w:p>
    <w:p w:rsidR="00130243" w:rsidRDefault="00130243" w:rsidP="00130243">
      <w:pPr>
        <w:spacing w:line="360" w:lineRule="exact"/>
        <w:ind w:left="927"/>
        <w:rPr>
          <w:snapToGrid/>
          <w:color w:val="auto"/>
          <w:sz w:val="28"/>
          <w:szCs w:val="28"/>
        </w:rPr>
      </w:pPr>
      <w:r>
        <w:rPr>
          <w:snapToGrid/>
          <w:color w:val="auto"/>
          <w:sz w:val="28"/>
          <w:szCs w:val="28"/>
        </w:rPr>
        <w:t>Показатель «Иное»</w:t>
      </w:r>
      <w:r w:rsidRPr="00DF3F16">
        <w:rPr>
          <w:snapToGrid/>
          <w:color w:val="auto"/>
          <w:sz w:val="28"/>
          <w:szCs w:val="28"/>
        </w:rPr>
        <w:t xml:space="preserve"> (суммы</w:t>
      </w:r>
      <w:r>
        <w:rPr>
          <w:snapToGrid/>
          <w:color w:val="auto"/>
          <w:sz w:val="28"/>
          <w:szCs w:val="28"/>
        </w:rPr>
        <w:t xml:space="preserve"> по цепочкам КБК, не привязанным к вице-премьерам) выводится внизу списка.</w:t>
      </w:r>
    </w:p>
    <w:p w:rsidR="00130243" w:rsidRDefault="00130243"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 xml:space="preserve">По видам </w:t>
      </w:r>
      <w:r>
        <w:rPr>
          <w:snapToGrid/>
          <w:color w:val="auto"/>
          <w:sz w:val="28"/>
          <w:szCs w:val="28"/>
        </w:rPr>
        <w:t>закупок»:</w:t>
      </w:r>
    </w:p>
    <w:p w:rsidR="00130243" w:rsidRDefault="00130243" w:rsidP="00130243">
      <w:pPr>
        <w:spacing w:line="360" w:lineRule="exact"/>
        <w:ind w:left="927"/>
        <w:rPr>
          <w:snapToGrid/>
          <w:color w:val="auto"/>
          <w:sz w:val="28"/>
          <w:szCs w:val="28"/>
        </w:rPr>
      </w:pPr>
      <w:r>
        <w:rPr>
          <w:snapToGrid/>
          <w:color w:val="auto"/>
          <w:sz w:val="28"/>
          <w:szCs w:val="28"/>
        </w:rPr>
        <w:t>Названия колонок: «Наименование показателя», «Код».</w:t>
      </w:r>
    </w:p>
    <w:p w:rsidR="00130243" w:rsidRPr="0011639A" w:rsidRDefault="00130243" w:rsidP="00130243">
      <w:pPr>
        <w:spacing w:line="360" w:lineRule="exact"/>
        <w:ind w:left="927"/>
        <w:rPr>
          <w:snapToGrid/>
          <w:color w:val="auto"/>
          <w:sz w:val="28"/>
          <w:szCs w:val="28"/>
        </w:rPr>
      </w:pPr>
      <w:r w:rsidRPr="0011639A">
        <w:rPr>
          <w:snapToGrid/>
          <w:color w:val="auto"/>
          <w:sz w:val="28"/>
          <w:szCs w:val="28"/>
        </w:rPr>
        <w:t>Иерархия в строках:</w:t>
      </w:r>
    </w:p>
    <w:p w:rsidR="00130243" w:rsidRDefault="00130243" w:rsidP="00130243">
      <w:pPr>
        <w:pStyle w:val="29"/>
        <w:rPr>
          <w:snapToGrid/>
        </w:rPr>
      </w:pPr>
      <w:r>
        <w:rPr>
          <w:snapToGrid/>
        </w:rPr>
        <w:t xml:space="preserve">наименование и </w:t>
      </w:r>
      <w:r w:rsidRPr="00743B68">
        <w:rPr>
          <w:snapToGrid/>
        </w:rPr>
        <w:t>код группы видов</w:t>
      </w:r>
      <w:r>
        <w:rPr>
          <w:snapToGrid/>
        </w:rPr>
        <w:t xml:space="preserve"> расходов (1 уровень);</w:t>
      </w:r>
    </w:p>
    <w:p w:rsidR="00130243" w:rsidRDefault="00130243" w:rsidP="00130243">
      <w:pPr>
        <w:pStyle w:val="29"/>
        <w:rPr>
          <w:snapToGrid/>
        </w:rPr>
      </w:pPr>
      <w:r>
        <w:rPr>
          <w:snapToGrid/>
        </w:rPr>
        <w:t>наименование и код подгруппы видов расходов (2 уровень);</w:t>
      </w:r>
    </w:p>
    <w:p w:rsidR="00130243" w:rsidRDefault="00130243" w:rsidP="00130243">
      <w:pPr>
        <w:pStyle w:val="29"/>
        <w:rPr>
          <w:snapToGrid/>
        </w:rPr>
      </w:pPr>
      <w:r>
        <w:rPr>
          <w:snapToGrid/>
        </w:rPr>
        <w:t>наименование и код элемента видов расходов (3 уровень);</w:t>
      </w:r>
    </w:p>
    <w:p w:rsidR="00130243" w:rsidRPr="0011639A" w:rsidRDefault="00130243" w:rsidP="00130243">
      <w:pPr>
        <w:spacing w:line="360" w:lineRule="exact"/>
        <w:ind w:left="927"/>
        <w:rPr>
          <w:snapToGrid/>
          <w:color w:val="auto"/>
          <w:sz w:val="28"/>
          <w:szCs w:val="28"/>
        </w:rPr>
      </w:pPr>
      <w:r w:rsidRPr="0011639A">
        <w:rPr>
          <w:snapToGrid/>
          <w:color w:val="auto"/>
          <w:sz w:val="28"/>
          <w:szCs w:val="28"/>
        </w:rPr>
        <w:t xml:space="preserve">Сортировка по коду </w:t>
      </w:r>
      <w:r>
        <w:rPr>
          <w:snapToGrid/>
          <w:color w:val="auto"/>
          <w:sz w:val="28"/>
          <w:szCs w:val="28"/>
        </w:rPr>
        <w:t>вида расходов</w:t>
      </w:r>
      <w:r w:rsidRPr="0011639A">
        <w:rPr>
          <w:snapToGrid/>
          <w:color w:val="auto"/>
          <w:sz w:val="28"/>
          <w:szCs w:val="28"/>
        </w:rPr>
        <w:t>.</w:t>
      </w:r>
    </w:p>
    <w:p w:rsidR="00130243" w:rsidRDefault="00130243" w:rsidP="005C6E50">
      <w:pPr>
        <w:numPr>
          <w:ilvl w:val="0"/>
          <w:numId w:val="127"/>
        </w:numPr>
        <w:spacing w:line="360" w:lineRule="exact"/>
        <w:rPr>
          <w:snapToGrid/>
          <w:color w:val="auto"/>
          <w:sz w:val="28"/>
          <w:szCs w:val="28"/>
        </w:rPr>
      </w:pPr>
      <w:r>
        <w:rPr>
          <w:snapToGrid/>
          <w:color w:val="auto"/>
          <w:sz w:val="28"/>
          <w:szCs w:val="28"/>
        </w:rPr>
        <w:t>«</w:t>
      </w:r>
      <w:r w:rsidRPr="00382E8C">
        <w:rPr>
          <w:snapToGrid/>
          <w:color w:val="auto"/>
          <w:sz w:val="28"/>
          <w:szCs w:val="28"/>
        </w:rPr>
        <w:t>По КБК</w:t>
      </w:r>
      <w:r>
        <w:rPr>
          <w:snapToGrid/>
          <w:color w:val="auto"/>
          <w:sz w:val="28"/>
          <w:szCs w:val="28"/>
        </w:rPr>
        <w:t>»:</w:t>
      </w:r>
    </w:p>
    <w:p w:rsidR="00130243" w:rsidRDefault="00130243" w:rsidP="00130243">
      <w:pPr>
        <w:spacing w:line="360" w:lineRule="exact"/>
        <w:ind w:left="927"/>
        <w:rPr>
          <w:snapToGrid/>
          <w:color w:val="auto"/>
          <w:sz w:val="28"/>
          <w:szCs w:val="28"/>
        </w:rPr>
      </w:pPr>
      <w:r>
        <w:rPr>
          <w:snapToGrid/>
          <w:color w:val="auto"/>
          <w:sz w:val="28"/>
          <w:szCs w:val="28"/>
        </w:rPr>
        <w:t>Названия колонок:</w:t>
      </w:r>
    </w:p>
    <w:p w:rsidR="00130243" w:rsidRDefault="00130243" w:rsidP="00130243">
      <w:pPr>
        <w:pStyle w:val="29"/>
        <w:rPr>
          <w:snapToGrid/>
        </w:rPr>
      </w:pPr>
      <w:r>
        <w:rPr>
          <w:snapToGrid/>
        </w:rPr>
        <w:t>«ГРБС» - код ГРБС;</w:t>
      </w:r>
    </w:p>
    <w:p w:rsidR="00130243" w:rsidRDefault="00130243" w:rsidP="00130243">
      <w:pPr>
        <w:pStyle w:val="29"/>
        <w:rPr>
          <w:snapToGrid/>
        </w:rPr>
      </w:pPr>
      <w:r>
        <w:rPr>
          <w:snapToGrid/>
        </w:rPr>
        <w:t xml:space="preserve"> «РзПр» - код РзПр;</w:t>
      </w:r>
    </w:p>
    <w:p w:rsidR="00130243" w:rsidRDefault="00130243" w:rsidP="00130243">
      <w:pPr>
        <w:pStyle w:val="29"/>
        <w:rPr>
          <w:snapToGrid/>
        </w:rPr>
      </w:pPr>
      <w:r>
        <w:rPr>
          <w:snapToGrid/>
        </w:rPr>
        <w:t xml:space="preserve"> «КЦСР» - код КЦСР;</w:t>
      </w:r>
    </w:p>
    <w:p w:rsidR="00130243" w:rsidRDefault="00130243" w:rsidP="00130243">
      <w:pPr>
        <w:pStyle w:val="29"/>
        <w:rPr>
          <w:snapToGrid/>
        </w:rPr>
      </w:pPr>
      <w:r>
        <w:rPr>
          <w:snapToGrid/>
        </w:rPr>
        <w:t xml:space="preserve"> «КВР» - код КВР;</w:t>
      </w:r>
    </w:p>
    <w:p w:rsidR="00130243" w:rsidRPr="00165A73" w:rsidRDefault="00130243" w:rsidP="00130243">
      <w:pPr>
        <w:spacing w:line="360" w:lineRule="exact"/>
        <w:ind w:left="927"/>
        <w:rPr>
          <w:snapToGrid/>
          <w:color w:val="auto"/>
          <w:sz w:val="28"/>
          <w:szCs w:val="28"/>
        </w:rPr>
      </w:pPr>
      <w:r w:rsidRPr="00165A73">
        <w:rPr>
          <w:snapToGrid/>
          <w:color w:val="auto"/>
          <w:sz w:val="28"/>
          <w:szCs w:val="28"/>
        </w:rPr>
        <w:t xml:space="preserve">Сортировка по коду </w:t>
      </w:r>
      <w:r>
        <w:rPr>
          <w:snapToGrid/>
          <w:color w:val="auto"/>
          <w:sz w:val="28"/>
          <w:szCs w:val="28"/>
        </w:rPr>
        <w:t>ГРБС, коду РзПр, коду КЦСР, коду КВР.</w:t>
      </w:r>
    </w:p>
    <w:p w:rsidR="00130243" w:rsidRPr="00130243" w:rsidRDefault="00130243" w:rsidP="00130243">
      <w:pPr>
        <w:pStyle w:val="af0"/>
        <w:rPr>
          <w:rFonts w:eastAsia="Calibri"/>
        </w:rPr>
      </w:pPr>
      <w:r>
        <w:rPr>
          <w:rFonts w:eastAsia="Calibri"/>
        </w:rPr>
        <w:t>Перечень параметров представлений, и их описание представлено в таблице</w:t>
      </w:r>
      <w:r w:rsidRPr="00130243">
        <w:rPr>
          <w:rFonts w:eastAsia="Calibri"/>
        </w:rPr>
        <w:t xml:space="preserve"> </w:t>
      </w:r>
      <w:r>
        <w:rPr>
          <w:rFonts w:eastAsia="Calibri"/>
        </w:rPr>
        <w:fldChar w:fldCharType="begin"/>
      </w:r>
      <w:r>
        <w:rPr>
          <w:rFonts w:eastAsia="Calibri"/>
        </w:rPr>
        <w:instrText xml:space="preserve"> REF _Ref93511808 \h </w:instrText>
      </w:r>
      <w:r>
        <w:rPr>
          <w:rFonts w:eastAsia="Calibri"/>
        </w:rPr>
      </w:r>
      <w:r>
        <w:rPr>
          <w:rFonts w:eastAsia="Calibri"/>
        </w:rPr>
        <w:fldChar w:fldCharType="separate"/>
      </w:r>
      <w:r w:rsidR="00BF0BEE">
        <w:rPr>
          <w:noProof/>
        </w:rPr>
        <w:t>27</w:t>
      </w:r>
      <w:r>
        <w:rPr>
          <w:rFonts w:eastAsia="Calibri"/>
        </w:rPr>
        <w:fldChar w:fldCharType="end"/>
      </w:r>
      <w:r>
        <w:rPr>
          <w:rFonts w:eastAsia="Calibri"/>
        </w:rPr>
        <w:t>.</w:t>
      </w:r>
    </w:p>
    <w:p w:rsidR="00130243" w:rsidRDefault="00130243" w:rsidP="00130243">
      <w:pPr>
        <w:pStyle w:val="afff8"/>
        <w:keepNext/>
      </w:pPr>
      <w:bookmarkStart w:id="650" w:name="_Toc119585168"/>
      <w:r>
        <w:t xml:space="preserve">Таблица </w:t>
      </w:r>
      <w:fldSimple w:instr=" SEQ Таблица \* ARABIC ">
        <w:bookmarkStart w:id="651" w:name="_Ref93511808"/>
        <w:r w:rsidR="00BF0BEE">
          <w:rPr>
            <w:noProof/>
          </w:rPr>
          <w:t>27</w:t>
        </w:r>
        <w:bookmarkEnd w:id="651"/>
      </w:fldSimple>
      <w:r>
        <w:rPr>
          <w:noProof/>
        </w:rPr>
        <w:t xml:space="preserve"> –</w:t>
      </w:r>
      <w:r w:rsidRPr="00C474F6">
        <w:t xml:space="preserve"> Перечень параметров </w:t>
      </w:r>
      <w:r>
        <w:t>отчета «Закупка товаров, работ, услуг Свод»</w:t>
      </w:r>
      <w:bookmarkEnd w:id="650"/>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51"/>
        <w:gridCol w:w="1134"/>
        <w:gridCol w:w="4252"/>
        <w:gridCol w:w="2552"/>
      </w:tblGrid>
      <w:tr w:rsidR="00130243" w:rsidRPr="0098550F" w:rsidTr="00130243">
        <w:trPr>
          <w:cantSplit/>
          <w:trHeight w:val="347"/>
          <w:tblHeader/>
        </w:trPr>
        <w:tc>
          <w:tcPr>
            <w:tcW w:w="1242" w:type="dxa"/>
            <w:shd w:val="clear" w:color="auto" w:fill="D9D9D9" w:themeFill="background1" w:themeFillShade="D9"/>
            <w:vAlign w:val="center"/>
            <w:hideMark/>
          </w:tcPr>
          <w:p w:rsidR="00130243" w:rsidRPr="0098550F" w:rsidRDefault="00130243" w:rsidP="00651423">
            <w:pPr>
              <w:jc w:val="center"/>
              <w:rPr>
                <w:b/>
                <w:bCs/>
                <w:color w:val="auto"/>
                <w:szCs w:val="24"/>
              </w:rPr>
            </w:pPr>
            <w:r w:rsidRPr="0098550F">
              <w:rPr>
                <w:b/>
                <w:bCs/>
                <w:color w:val="auto"/>
                <w:szCs w:val="24"/>
              </w:rPr>
              <w:t>Тип</w:t>
            </w:r>
          </w:p>
        </w:tc>
        <w:tc>
          <w:tcPr>
            <w:tcW w:w="851" w:type="dxa"/>
            <w:shd w:val="clear" w:color="auto" w:fill="D9D9D9" w:themeFill="background1" w:themeFillShade="D9"/>
            <w:vAlign w:val="center"/>
            <w:hideMark/>
          </w:tcPr>
          <w:p w:rsidR="00130243" w:rsidRPr="0098550F" w:rsidRDefault="00130243" w:rsidP="00651423">
            <w:pPr>
              <w:jc w:val="center"/>
              <w:rPr>
                <w:b/>
                <w:bCs/>
                <w:color w:val="auto"/>
                <w:szCs w:val="24"/>
              </w:rPr>
            </w:pPr>
            <w:r w:rsidRPr="0098550F">
              <w:rPr>
                <w:b/>
                <w:bCs/>
                <w:color w:val="auto"/>
                <w:szCs w:val="24"/>
              </w:rPr>
              <w:t>Наименование</w:t>
            </w:r>
          </w:p>
        </w:tc>
        <w:tc>
          <w:tcPr>
            <w:tcW w:w="1134" w:type="dxa"/>
            <w:shd w:val="clear" w:color="auto" w:fill="D9D9D9" w:themeFill="background1" w:themeFillShade="D9"/>
            <w:vAlign w:val="center"/>
          </w:tcPr>
          <w:p w:rsidR="00130243" w:rsidRPr="0098550F" w:rsidRDefault="00130243" w:rsidP="00651423">
            <w:pPr>
              <w:jc w:val="center"/>
              <w:rPr>
                <w:b/>
                <w:bCs/>
                <w:color w:val="auto"/>
                <w:szCs w:val="24"/>
              </w:rPr>
            </w:pPr>
            <w:r w:rsidRPr="0098550F">
              <w:rPr>
                <w:b/>
                <w:bCs/>
                <w:color w:val="auto"/>
                <w:szCs w:val="24"/>
              </w:rPr>
              <w:t>Источник данных</w:t>
            </w:r>
          </w:p>
        </w:tc>
        <w:tc>
          <w:tcPr>
            <w:tcW w:w="4252" w:type="dxa"/>
            <w:shd w:val="clear" w:color="auto" w:fill="D9D9D9" w:themeFill="background1" w:themeFillShade="D9"/>
            <w:vAlign w:val="center"/>
          </w:tcPr>
          <w:p w:rsidR="00130243" w:rsidRPr="0098550F" w:rsidRDefault="00130243" w:rsidP="00651423">
            <w:pPr>
              <w:jc w:val="center"/>
              <w:rPr>
                <w:b/>
                <w:bCs/>
                <w:color w:val="auto"/>
                <w:szCs w:val="24"/>
              </w:rPr>
            </w:pPr>
            <w:r w:rsidRPr="0098550F">
              <w:rPr>
                <w:b/>
                <w:bCs/>
                <w:color w:val="auto"/>
                <w:szCs w:val="24"/>
              </w:rPr>
              <w:t>Примечание</w:t>
            </w:r>
          </w:p>
        </w:tc>
        <w:tc>
          <w:tcPr>
            <w:tcW w:w="2552" w:type="dxa"/>
            <w:shd w:val="clear" w:color="auto" w:fill="D9D9D9" w:themeFill="background1" w:themeFillShade="D9"/>
            <w:vAlign w:val="center"/>
          </w:tcPr>
          <w:p w:rsidR="00130243" w:rsidRPr="0098550F" w:rsidRDefault="00130243" w:rsidP="00651423">
            <w:pPr>
              <w:jc w:val="center"/>
              <w:rPr>
                <w:b/>
                <w:bCs/>
                <w:color w:val="auto"/>
                <w:szCs w:val="24"/>
              </w:rPr>
            </w:pPr>
            <w:r w:rsidRPr="0098550F">
              <w:rPr>
                <w:b/>
                <w:bCs/>
                <w:color w:val="auto"/>
                <w:szCs w:val="24"/>
              </w:rPr>
              <w:t>Пример</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sidRPr="0098550F">
              <w:rPr>
                <w:color w:val="auto"/>
                <w:szCs w:val="24"/>
              </w:rPr>
              <w:t>ГРБС</w:t>
            </w:r>
          </w:p>
        </w:tc>
        <w:tc>
          <w:tcPr>
            <w:tcW w:w="1134" w:type="dxa"/>
          </w:tcPr>
          <w:p w:rsidR="00130243" w:rsidRPr="0098550F" w:rsidRDefault="00130243" w:rsidP="00651423">
            <w:pPr>
              <w:jc w:val="left"/>
              <w:rPr>
                <w:color w:val="auto"/>
                <w:szCs w:val="24"/>
              </w:rPr>
            </w:pPr>
          </w:p>
        </w:tc>
        <w:tc>
          <w:tcPr>
            <w:tcW w:w="4252" w:type="dxa"/>
          </w:tcPr>
          <w:p w:rsidR="00130243" w:rsidRPr="0098550F" w:rsidRDefault="00130243" w:rsidP="00651423">
            <w:pPr>
              <w:jc w:val="left"/>
              <w:rPr>
                <w:color w:val="auto"/>
                <w:szCs w:val="24"/>
              </w:rPr>
            </w:pPr>
            <w:r w:rsidRPr="0098550F">
              <w:rPr>
                <w:color w:val="auto"/>
                <w:szCs w:val="24"/>
              </w:rPr>
              <w:t>Плоский список с выбором конкретного ГРБС</w:t>
            </w:r>
          </w:p>
        </w:tc>
        <w:tc>
          <w:tcPr>
            <w:tcW w:w="2552" w:type="dxa"/>
          </w:tcPr>
          <w:p w:rsidR="00130243" w:rsidRPr="0098550F" w:rsidRDefault="00130243" w:rsidP="00651423">
            <w:pPr>
              <w:rPr>
                <w:color w:val="auto"/>
                <w:szCs w:val="24"/>
              </w:rPr>
            </w:pPr>
            <w:r w:rsidRPr="0098550F">
              <w:rPr>
                <w:color w:val="auto"/>
                <w:szCs w:val="24"/>
              </w:rPr>
              <w:t>054 - Минкультуры России</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sidRPr="0098550F">
              <w:rPr>
                <w:color w:val="auto"/>
                <w:szCs w:val="24"/>
              </w:rPr>
              <w:t>Год</w:t>
            </w:r>
          </w:p>
        </w:tc>
        <w:tc>
          <w:tcPr>
            <w:tcW w:w="1134" w:type="dxa"/>
          </w:tcPr>
          <w:p w:rsidR="00130243" w:rsidRPr="0098550F" w:rsidRDefault="00130243" w:rsidP="00651423">
            <w:pPr>
              <w:jc w:val="left"/>
              <w:rPr>
                <w:color w:val="auto"/>
                <w:szCs w:val="24"/>
              </w:rPr>
            </w:pPr>
          </w:p>
        </w:tc>
        <w:tc>
          <w:tcPr>
            <w:tcW w:w="4252" w:type="dxa"/>
          </w:tcPr>
          <w:p w:rsidR="00130243" w:rsidRPr="0098550F" w:rsidRDefault="00130243" w:rsidP="00651423">
            <w:pPr>
              <w:jc w:val="left"/>
              <w:rPr>
                <w:color w:val="auto"/>
                <w:szCs w:val="24"/>
              </w:rPr>
            </w:pPr>
            <w:r w:rsidRPr="0098550F">
              <w:rPr>
                <w:color w:val="auto"/>
                <w:szCs w:val="24"/>
              </w:rPr>
              <w:t>Плоский список с выбором нужного года. Расчет по дате внесения последнего изменения</w:t>
            </w:r>
          </w:p>
        </w:tc>
        <w:tc>
          <w:tcPr>
            <w:tcW w:w="2552" w:type="dxa"/>
          </w:tcPr>
          <w:p w:rsidR="00130243" w:rsidRPr="0098550F" w:rsidRDefault="00130243" w:rsidP="00651423">
            <w:pPr>
              <w:rPr>
                <w:color w:val="auto"/>
                <w:szCs w:val="24"/>
              </w:rPr>
            </w:pPr>
            <w:r w:rsidRPr="0098550F">
              <w:rPr>
                <w:color w:val="auto"/>
                <w:szCs w:val="24"/>
              </w:rPr>
              <w:t>20</w:t>
            </w:r>
            <w:r>
              <w:rPr>
                <w:color w:val="auto"/>
                <w:szCs w:val="24"/>
              </w:rPr>
              <w:t>21</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sidRPr="0098550F">
              <w:rPr>
                <w:color w:val="auto"/>
                <w:szCs w:val="24"/>
              </w:rPr>
              <w:t>Единицы измерения</w:t>
            </w:r>
          </w:p>
        </w:tc>
        <w:tc>
          <w:tcPr>
            <w:tcW w:w="1134" w:type="dxa"/>
          </w:tcPr>
          <w:p w:rsidR="00130243" w:rsidRPr="0098550F" w:rsidRDefault="00130243" w:rsidP="00651423">
            <w:pPr>
              <w:jc w:val="left"/>
              <w:rPr>
                <w:color w:val="auto"/>
                <w:szCs w:val="24"/>
              </w:rPr>
            </w:pPr>
          </w:p>
        </w:tc>
        <w:tc>
          <w:tcPr>
            <w:tcW w:w="4252" w:type="dxa"/>
          </w:tcPr>
          <w:p w:rsidR="00130243" w:rsidRPr="0098550F" w:rsidRDefault="00130243" w:rsidP="00651423">
            <w:pPr>
              <w:jc w:val="left"/>
              <w:rPr>
                <w:color w:val="auto"/>
                <w:szCs w:val="24"/>
              </w:rPr>
            </w:pPr>
            <w:r w:rsidRPr="0098550F">
              <w:rPr>
                <w:color w:val="auto"/>
                <w:szCs w:val="24"/>
              </w:rPr>
              <w:t>Плоский список с выбором единиц измерения. Состоит из элементов: руб., тыс. руб., млн руб., млрд руб.</w:t>
            </w:r>
          </w:p>
        </w:tc>
        <w:tc>
          <w:tcPr>
            <w:tcW w:w="2552" w:type="dxa"/>
          </w:tcPr>
          <w:p w:rsidR="00130243" w:rsidRPr="0098550F" w:rsidRDefault="00130243" w:rsidP="00651423">
            <w:pPr>
              <w:rPr>
                <w:color w:val="auto"/>
                <w:szCs w:val="24"/>
              </w:rPr>
            </w:pPr>
            <w:r>
              <w:rPr>
                <w:color w:val="auto"/>
                <w:szCs w:val="24"/>
              </w:rPr>
              <w:t>тыс</w:t>
            </w:r>
            <w:r w:rsidRPr="0098550F">
              <w:rPr>
                <w:color w:val="auto"/>
                <w:szCs w:val="24"/>
              </w:rPr>
              <w:t xml:space="preserve"> руб</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Вице-премьер</w:t>
            </w:r>
          </w:p>
        </w:tc>
        <w:tc>
          <w:tcPr>
            <w:tcW w:w="1134" w:type="dxa"/>
          </w:tcPr>
          <w:p w:rsidR="00130243" w:rsidRPr="0098550F" w:rsidRDefault="00130243" w:rsidP="00651423">
            <w:pPr>
              <w:rPr>
                <w:color w:val="auto"/>
                <w:szCs w:val="24"/>
              </w:rPr>
            </w:pPr>
          </w:p>
        </w:tc>
        <w:tc>
          <w:tcPr>
            <w:tcW w:w="4252" w:type="dxa"/>
          </w:tcPr>
          <w:p w:rsidR="00130243" w:rsidRPr="0098550F" w:rsidRDefault="00130243" w:rsidP="00651423">
            <w:pPr>
              <w:jc w:val="left"/>
              <w:rPr>
                <w:color w:val="auto"/>
                <w:szCs w:val="24"/>
              </w:rPr>
            </w:pPr>
            <w:r>
              <w:t>Выпадающий список без множественного выбора.</w:t>
            </w:r>
            <w:r>
              <w:br/>
              <w:t xml:space="preserve">Выводится ФИО вице-премьеров и значение «Иные» (цепочки КБК не курируемые вице-премьерами, а так же </w:t>
            </w:r>
            <w:r w:rsidRPr="004B39B3">
              <w:rPr>
                <w:snapToGrid/>
                <w:szCs w:val="28"/>
              </w:rPr>
              <w:t>по закрытым сведениям, не расписанным по тонким цепочкам КБК</w:t>
            </w:r>
            <w:r>
              <w:t>).</w:t>
            </w:r>
            <w:r>
              <w:b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r>
              <w:br/>
            </w:r>
            <w:r w:rsidRPr="00380564">
              <w:t>По умолч</w:t>
            </w:r>
            <w:r>
              <w:t>анию установлено значение «Все»</w:t>
            </w:r>
          </w:p>
        </w:tc>
        <w:tc>
          <w:tcPr>
            <w:tcW w:w="2552" w:type="dxa"/>
          </w:tcPr>
          <w:p w:rsidR="00130243" w:rsidRPr="0098550F" w:rsidRDefault="00130243" w:rsidP="00651423">
            <w:pPr>
              <w:jc w:val="left"/>
              <w:rPr>
                <w:color w:val="auto"/>
                <w:szCs w:val="24"/>
              </w:rPr>
            </w:pPr>
            <w:r>
              <w:rPr>
                <w:color w:val="auto"/>
                <w:szCs w:val="24"/>
              </w:rPr>
              <w:t>В.В. Абрамченко</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РзПр</w:t>
            </w:r>
          </w:p>
        </w:tc>
        <w:tc>
          <w:tcPr>
            <w:tcW w:w="1134" w:type="dxa"/>
          </w:tcPr>
          <w:p w:rsidR="00130243" w:rsidRPr="0098550F" w:rsidRDefault="00130243" w:rsidP="00651423">
            <w:pPr>
              <w:rPr>
                <w:color w:val="auto"/>
                <w:szCs w:val="24"/>
              </w:rPr>
            </w:pPr>
          </w:p>
        </w:tc>
        <w:tc>
          <w:tcPr>
            <w:tcW w:w="4252" w:type="dxa"/>
          </w:tcPr>
          <w:p w:rsidR="00130243" w:rsidRPr="0098550F" w:rsidRDefault="00130243" w:rsidP="00651423">
            <w:pPr>
              <w:jc w:val="left"/>
              <w:rPr>
                <w:color w:val="auto"/>
                <w:szCs w:val="24"/>
              </w:rPr>
            </w:pPr>
            <w:r>
              <w:t>В</w:t>
            </w:r>
            <w:r w:rsidRPr="00BD07C4">
              <w:t>ыпадающий иерархический список с множественным выбором. Выводятся код и наименование РЗПР. Возможность контекстного поиска по коду и наименованию РЗПР. По умолчанию выводится значение «Все».</w:t>
            </w:r>
          </w:p>
        </w:tc>
        <w:tc>
          <w:tcPr>
            <w:tcW w:w="2552" w:type="dxa"/>
          </w:tcPr>
          <w:p w:rsidR="00130243" w:rsidRPr="0098550F" w:rsidRDefault="00130243" w:rsidP="00651423">
            <w:pPr>
              <w:rPr>
                <w:color w:val="auto"/>
                <w:szCs w:val="24"/>
              </w:rPr>
            </w:pPr>
            <w:r>
              <w:rPr>
                <w:color w:val="auto"/>
                <w:szCs w:val="24"/>
              </w:rPr>
              <w:t>0100</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Default="00130243" w:rsidP="00651423">
            <w:pPr>
              <w:rPr>
                <w:color w:val="auto"/>
                <w:szCs w:val="24"/>
              </w:rPr>
            </w:pPr>
            <w:r>
              <w:rPr>
                <w:color w:val="auto"/>
                <w:szCs w:val="24"/>
              </w:rPr>
              <w:t>КЦСР</w:t>
            </w:r>
          </w:p>
        </w:tc>
        <w:tc>
          <w:tcPr>
            <w:tcW w:w="1134" w:type="dxa"/>
          </w:tcPr>
          <w:p w:rsidR="00130243" w:rsidRPr="0098550F" w:rsidRDefault="00130243" w:rsidP="00651423">
            <w:pPr>
              <w:rPr>
                <w:color w:val="auto"/>
                <w:szCs w:val="24"/>
              </w:rPr>
            </w:pPr>
          </w:p>
        </w:tc>
        <w:tc>
          <w:tcPr>
            <w:tcW w:w="4252" w:type="dxa"/>
          </w:tcPr>
          <w:p w:rsidR="00130243" w:rsidRPr="00C10A06" w:rsidRDefault="00130243" w:rsidP="00651423">
            <w:pPr>
              <w:jc w:val="left"/>
              <w:rPr>
                <w:color w:val="auto"/>
                <w:szCs w:val="24"/>
              </w:rPr>
            </w:pPr>
            <w:r>
              <w:rPr>
                <w:color w:val="auto"/>
                <w:szCs w:val="24"/>
              </w:rPr>
              <w:t xml:space="preserve">Поисковая строка. </w:t>
            </w:r>
            <w:r w:rsidRPr="00C10A06">
              <w:rPr>
                <w:color w:val="auto"/>
                <w:szCs w:val="24"/>
              </w:rPr>
              <w:t>окно для поиска введённых значений по реквизиту «КЦСР» (10 знаков).</w:t>
            </w:r>
          </w:p>
          <w:p w:rsidR="00130243" w:rsidRPr="0098550F" w:rsidRDefault="00130243" w:rsidP="00651423">
            <w:pPr>
              <w:jc w:val="left"/>
              <w:rPr>
                <w:color w:val="auto"/>
                <w:szCs w:val="24"/>
              </w:rPr>
            </w:pPr>
            <w:r w:rsidRPr="00C10A06">
              <w:rPr>
                <w:color w:val="auto"/>
                <w:szCs w:val="24"/>
              </w:rPr>
              <w:t>Множественного выбора нет.</w:t>
            </w:r>
          </w:p>
        </w:tc>
        <w:tc>
          <w:tcPr>
            <w:tcW w:w="2552" w:type="dxa"/>
          </w:tcPr>
          <w:p w:rsidR="00130243" w:rsidRPr="0098550F" w:rsidRDefault="00130243" w:rsidP="00651423">
            <w:pPr>
              <w:rPr>
                <w:color w:val="auto"/>
                <w:szCs w:val="24"/>
              </w:rPr>
            </w:pPr>
            <w:r>
              <w:rPr>
                <w:color w:val="auto"/>
                <w:szCs w:val="24"/>
              </w:rPr>
              <w:t>0300500001</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Default="00130243" w:rsidP="00651423">
            <w:pPr>
              <w:rPr>
                <w:color w:val="auto"/>
                <w:szCs w:val="24"/>
              </w:rPr>
            </w:pPr>
            <w:r>
              <w:rPr>
                <w:color w:val="auto"/>
                <w:szCs w:val="24"/>
              </w:rPr>
              <w:t>КВР</w:t>
            </w:r>
          </w:p>
        </w:tc>
        <w:tc>
          <w:tcPr>
            <w:tcW w:w="1134" w:type="dxa"/>
          </w:tcPr>
          <w:p w:rsidR="00130243" w:rsidRPr="0098550F" w:rsidRDefault="00130243" w:rsidP="00651423">
            <w:pPr>
              <w:rPr>
                <w:color w:val="auto"/>
                <w:szCs w:val="24"/>
              </w:rPr>
            </w:pPr>
          </w:p>
        </w:tc>
        <w:tc>
          <w:tcPr>
            <w:tcW w:w="4252" w:type="dxa"/>
          </w:tcPr>
          <w:p w:rsidR="00130243" w:rsidRPr="0098550F" w:rsidRDefault="00130243" w:rsidP="00651423">
            <w:pPr>
              <w:jc w:val="left"/>
              <w:rPr>
                <w:color w:val="auto"/>
                <w:szCs w:val="24"/>
              </w:rPr>
            </w:pPr>
            <w:r>
              <w:t>В</w:t>
            </w:r>
            <w:r w:rsidRPr="00BD07C4">
              <w:t>ыпадающий иерархический список с множественным выбором. Выводятся код и наименование КВР. Возможность контекстного поиска по коду и наименованию КВР. По умолчанию выводится значение «Все»</w:t>
            </w:r>
          </w:p>
        </w:tc>
        <w:tc>
          <w:tcPr>
            <w:tcW w:w="2552" w:type="dxa"/>
          </w:tcPr>
          <w:p w:rsidR="00130243" w:rsidRPr="0098550F" w:rsidRDefault="00130243" w:rsidP="00651423">
            <w:pPr>
              <w:rPr>
                <w:color w:val="auto"/>
                <w:szCs w:val="24"/>
              </w:rPr>
            </w:pPr>
            <w:r>
              <w:rPr>
                <w:color w:val="auto"/>
                <w:szCs w:val="24"/>
              </w:rPr>
              <w:t>100</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Default="00130243" w:rsidP="00651423">
            <w:pPr>
              <w:rPr>
                <w:color w:val="auto"/>
                <w:szCs w:val="24"/>
              </w:rPr>
            </w:pPr>
            <w:r>
              <w:rPr>
                <w:color w:val="auto"/>
                <w:szCs w:val="24"/>
              </w:rPr>
              <w:t>НП (ФП)</w:t>
            </w:r>
          </w:p>
        </w:tc>
        <w:tc>
          <w:tcPr>
            <w:tcW w:w="1134" w:type="dxa"/>
          </w:tcPr>
          <w:p w:rsidR="00130243" w:rsidRPr="0098550F" w:rsidRDefault="00130243" w:rsidP="00651423">
            <w:pPr>
              <w:rPr>
                <w:color w:val="auto"/>
                <w:szCs w:val="24"/>
              </w:rPr>
            </w:pPr>
          </w:p>
        </w:tc>
        <w:tc>
          <w:tcPr>
            <w:tcW w:w="4252" w:type="dxa"/>
          </w:tcPr>
          <w:p w:rsidR="00130243" w:rsidRPr="0098550F" w:rsidRDefault="00130243" w:rsidP="00651423">
            <w:pPr>
              <w:jc w:val="left"/>
              <w:rPr>
                <w:color w:val="auto"/>
                <w:szCs w:val="24"/>
              </w:rPr>
            </w:pPr>
            <w:r>
              <w:t>В</w:t>
            </w:r>
            <w:r w:rsidRPr="00BD07C4">
              <w:t>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tc>
        <w:tc>
          <w:tcPr>
            <w:tcW w:w="2552" w:type="dxa"/>
          </w:tcPr>
          <w:p w:rsidR="00130243" w:rsidRPr="0098550F" w:rsidRDefault="00130243" w:rsidP="00651423">
            <w:pPr>
              <w:rPr>
                <w:color w:val="auto"/>
                <w:szCs w:val="24"/>
              </w:rPr>
            </w:pPr>
            <w:r>
              <w:rPr>
                <w:color w:val="auto"/>
                <w:szCs w:val="24"/>
              </w:rPr>
              <w:t>А-Культура</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Default="00130243" w:rsidP="00651423">
            <w:pPr>
              <w:rPr>
                <w:color w:val="auto"/>
                <w:szCs w:val="24"/>
              </w:rPr>
            </w:pPr>
            <w:r>
              <w:rPr>
                <w:color w:val="auto"/>
                <w:szCs w:val="24"/>
              </w:rPr>
              <w:t>Тип КБК</w:t>
            </w:r>
          </w:p>
        </w:tc>
        <w:tc>
          <w:tcPr>
            <w:tcW w:w="1134" w:type="dxa"/>
          </w:tcPr>
          <w:p w:rsidR="00130243" w:rsidRPr="0098550F" w:rsidRDefault="00130243" w:rsidP="00651423">
            <w:pPr>
              <w:rPr>
                <w:color w:val="auto"/>
                <w:szCs w:val="24"/>
              </w:rPr>
            </w:pPr>
          </w:p>
        </w:tc>
        <w:tc>
          <w:tcPr>
            <w:tcW w:w="4252" w:type="dxa"/>
          </w:tcPr>
          <w:p w:rsidR="00130243" w:rsidRPr="0098550F" w:rsidRDefault="00130243" w:rsidP="00651423">
            <w:pPr>
              <w:jc w:val="left"/>
              <w:rPr>
                <w:color w:val="auto"/>
                <w:szCs w:val="24"/>
              </w:rPr>
            </w:pPr>
            <w:r>
              <w:rPr>
                <w:color w:val="auto"/>
                <w:szCs w:val="24"/>
              </w:rPr>
              <w:t>Выпадающий список с возможностью выбора открытых и закрытых цепочек КБК. По умолчанию значение «Открытые КБК»</w:t>
            </w:r>
          </w:p>
        </w:tc>
        <w:tc>
          <w:tcPr>
            <w:tcW w:w="2552" w:type="dxa"/>
          </w:tcPr>
          <w:p w:rsidR="00130243" w:rsidRPr="0098550F" w:rsidRDefault="00130243" w:rsidP="00651423">
            <w:pPr>
              <w:rPr>
                <w:color w:val="auto"/>
                <w:szCs w:val="24"/>
              </w:rPr>
            </w:pPr>
            <w:r>
              <w:rPr>
                <w:color w:val="auto"/>
                <w:szCs w:val="24"/>
              </w:rPr>
              <w:t>Открытые КБК</w:t>
            </w:r>
          </w:p>
        </w:tc>
      </w:tr>
      <w:tr w:rsidR="00130243" w:rsidRPr="0098550F" w:rsidTr="00130243">
        <w:trPr>
          <w:cantSplit/>
          <w:trHeight w:val="223"/>
        </w:trPr>
        <w:tc>
          <w:tcPr>
            <w:tcW w:w="1242" w:type="dxa"/>
            <w:shd w:val="clear" w:color="auto" w:fill="auto"/>
          </w:tcPr>
          <w:p w:rsidR="00130243" w:rsidRPr="0098550F"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Статус контракта в ЕИС</w:t>
            </w:r>
          </w:p>
        </w:tc>
        <w:tc>
          <w:tcPr>
            <w:tcW w:w="1134" w:type="dxa"/>
          </w:tcPr>
          <w:p w:rsidR="00130243" w:rsidRPr="0098550F" w:rsidRDefault="00130243" w:rsidP="00651423">
            <w:pPr>
              <w:jc w:val="left"/>
              <w:rPr>
                <w:color w:val="auto"/>
                <w:szCs w:val="24"/>
              </w:rPr>
            </w:pPr>
            <w:r>
              <w:rPr>
                <w:color w:val="auto"/>
                <w:szCs w:val="24"/>
              </w:rPr>
              <w:t>ЕИС Мониторинг</w:t>
            </w:r>
          </w:p>
        </w:tc>
        <w:tc>
          <w:tcPr>
            <w:tcW w:w="4252" w:type="dxa"/>
          </w:tcPr>
          <w:p w:rsidR="00130243" w:rsidRDefault="00130243" w:rsidP="00651423">
            <w:pPr>
              <w:jc w:val="left"/>
              <w:rPr>
                <w:color w:val="auto"/>
                <w:szCs w:val="24"/>
              </w:rPr>
            </w:pPr>
            <w:r>
              <w:rPr>
                <w:color w:val="auto"/>
                <w:szCs w:val="24"/>
              </w:rPr>
              <w:t>Возможные значения:</w:t>
            </w:r>
          </w:p>
          <w:p w:rsidR="00130243" w:rsidRPr="001B03BE" w:rsidRDefault="00130243" w:rsidP="005C6E50">
            <w:pPr>
              <w:pStyle w:val="afff6"/>
              <w:numPr>
                <w:ilvl w:val="0"/>
                <w:numId w:val="129"/>
              </w:numPr>
              <w:jc w:val="left"/>
              <w:rPr>
                <w:color w:val="auto"/>
                <w:sz w:val="24"/>
                <w:szCs w:val="24"/>
              </w:rPr>
            </w:pPr>
            <w:r w:rsidRPr="001B03BE">
              <w:rPr>
                <w:color w:val="auto"/>
                <w:sz w:val="24"/>
                <w:szCs w:val="24"/>
              </w:rPr>
              <w:t>Контракт заключен;</w:t>
            </w:r>
          </w:p>
          <w:p w:rsidR="00130243" w:rsidRPr="001B03BE" w:rsidRDefault="00130243" w:rsidP="005C6E50">
            <w:pPr>
              <w:pStyle w:val="afff6"/>
              <w:numPr>
                <w:ilvl w:val="0"/>
                <w:numId w:val="129"/>
              </w:numPr>
              <w:jc w:val="left"/>
              <w:rPr>
                <w:color w:val="auto"/>
                <w:sz w:val="24"/>
                <w:szCs w:val="24"/>
              </w:rPr>
            </w:pPr>
            <w:r w:rsidRPr="001B03BE">
              <w:rPr>
                <w:color w:val="auto"/>
                <w:sz w:val="24"/>
                <w:szCs w:val="24"/>
              </w:rPr>
              <w:t>Контракт исполнен;</w:t>
            </w:r>
          </w:p>
          <w:p w:rsidR="00130243" w:rsidRPr="001B03BE" w:rsidRDefault="00130243" w:rsidP="005C6E50">
            <w:pPr>
              <w:pStyle w:val="afff6"/>
              <w:numPr>
                <w:ilvl w:val="0"/>
                <w:numId w:val="129"/>
              </w:numPr>
              <w:jc w:val="left"/>
              <w:rPr>
                <w:color w:val="auto"/>
                <w:szCs w:val="24"/>
              </w:rPr>
            </w:pPr>
            <w:r w:rsidRPr="001B03BE">
              <w:rPr>
                <w:color w:val="auto"/>
                <w:sz w:val="24"/>
                <w:szCs w:val="24"/>
              </w:rPr>
              <w:t>Исполнение контракта прекращено.</w:t>
            </w:r>
          </w:p>
        </w:tc>
        <w:tc>
          <w:tcPr>
            <w:tcW w:w="2552" w:type="dxa"/>
          </w:tcPr>
          <w:p w:rsidR="00130243" w:rsidRPr="0098550F" w:rsidRDefault="00130243" w:rsidP="00651423">
            <w:pPr>
              <w:rPr>
                <w:color w:val="auto"/>
                <w:szCs w:val="24"/>
              </w:rPr>
            </w:pPr>
          </w:p>
        </w:tc>
      </w:tr>
      <w:tr w:rsidR="00130243" w:rsidRPr="0098550F" w:rsidTr="00130243">
        <w:trPr>
          <w:cantSplit/>
          <w:trHeight w:val="223"/>
        </w:trPr>
        <w:tc>
          <w:tcPr>
            <w:tcW w:w="1242" w:type="dxa"/>
            <w:shd w:val="clear" w:color="auto" w:fill="auto"/>
          </w:tcPr>
          <w:p w:rsidR="00130243" w:rsidRPr="00130243" w:rsidRDefault="00130243" w:rsidP="005C6E50">
            <w:pPr>
              <w:numPr>
                <w:ilvl w:val="0"/>
                <w:numId w:val="132"/>
              </w:numPr>
              <w:ind w:left="426"/>
              <w:jc w:val="left"/>
              <w:rPr>
                <w:color w:val="auto"/>
                <w:szCs w:val="24"/>
              </w:rPr>
            </w:pPr>
            <w:r w:rsidRPr="0068083A">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Статус исполнения</w:t>
            </w:r>
          </w:p>
        </w:tc>
        <w:tc>
          <w:tcPr>
            <w:tcW w:w="1134" w:type="dxa"/>
          </w:tcPr>
          <w:p w:rsidR="00130243" w:rsidRPr="0098550F" w:rsidRDefault="00130243" w:rsidP="00651423">
            <w:pPr>
              <w:jc w:val="left"/>
              <w:rPr>
                <w:color w:val="auto"/>
                <w:szCs w:val="24"/>
              </w:rPr>
            </w:pPr>
          </w:p>
        </w:tc>
        <w:tc>
          <w:tcPr>
            <w:tcW w:w="4252" w:type="dxa"/>
          </w:tcPr>
          <w:p w:rsidR="00130243" w:rsidRDefault="00130243" w:rsidP="00651423">
            <w:pPr>
              <w:jc w:val="left"/>
              <w:rPr>
                <w:color w:val="auto"/>
                <w:szCs w:val="24"/>
              </w:rPr>
            </w:pPr>
            <w:r>
              <w:rPr>
                <w:color w:val="auto"/>
                <w:szCs w:val="24"/>
              </w:rPr>
              <w:t>Обработанное значение статуса контракта, приходящего из ЕИС мониторинг. Принимает следующие значения:</w:t>
            </w:r>
          </w:p>
          <w:p w:rsidR="00130243" w:rsidRPr="000B60E6" w:rsidRDefault="00130243" w:rsidP="005C6E50">
            <w:pPr>
              <w:pStyle w:val="afff6"/>
              <w:numPr>
                <w:ilvl w:val="0"/>
                <w:numId w:val="130"/>
              </w:numPr>
              <w:jc w:val="left"/>
              <w:rPr>
                <w:color w:val="auto"/>
                <w:sz w:val="24"/>
                <w:szCs w:val="24"/>
              </w:rPr>
            </w:pPr>
            <w:r w:rsidRPr="000B60E6">
              <w:rPr>
                <w:color w:val="auto"/>
                <w:sz w:val="24"/>
                <w:szCs w:val="24"/>
              </w:rPr>
              <w:t>На исполнении;</w:t>
            </w:r>
          </w:p>
          <w:p w:rsidR="00130243" w:rsidRPr="000B60E6" w:rsidRDefault="00130243" w:rsidP="005C6E50">
            <w:pPr>
              <w:pStyle w:val="afff6"/>
              <w:numPr>
                <w:ilvl w:val="0"/>
                <w:numId w:val="130"/>
              </w:numPr>
              <w:jc w:val="left"/>
              <w:rPr>
                <w:color w:val="auto"/>
                <w:sz w:val="24"/>
                <w:szCs w:val="24"/>
              </w:rPr>
            </w:pPr>
            <w:r w:rsidRPr="000B60E6">
              <w:rPr>
                <w:color w:val="auto"/>
                <w:sz w:val="24"/>
                <w:szCs w:val="24"/>
              </w:rPr>
              <w:t>Исполненный;</w:t>
            </w:r>
          </w:p>
          <w:p w:rsidR="00130243" w:rsidRPr="000B60E6" w:rsidRDefault="00130243" w:rsidP="005C6E50">
            <w:pPr>
              <w:pStyle w:val="afff6"/>
              <w:numPr>
                <w:ilvl w:val="0"/>
                <w:numId w:val="130"/>
              </w:numPr>
              <w:jc w:val="left"/>
              <w:rPr>
                <w:color w:val="auto"/>
                <w:szCs w:val="24"/>
              </w:rPr>
            </w:pPr>
            <w:r w:rsidRPr="000B60E6">
              <w:rPr>
                <w:color w:val="auto"/>
                <w:sz w:val="24"/>
                <w:szCs w:val="24"/>
              </w:rPr>
              <w:t>Расторгнутый.</w:t>
            </w:r>
          </w:p>
        </w:tc>
        <w:tc>
          <w:tcPr>
            <w:tcW w:w="2552" w:type="dxa"/>
          </w:tcPr>
          <w:p w:rsidR="00130243" w:rsidRPr="00C10A06" w:rsidRDefault="00130243" w:rsidP="00651423">
            <w:pPr>
              <w:rPr>
                <w:color w:val="auto"/>
                <w:szCs w:val="24"/>
              </w:rPr>
            </w:pPr>
          </w:p>
        </w:tc>
      </w:tr>
      <w:tr w:rsidR="00130243" w:rsidRPr="0098550F" w:rsidTr="00130243">
        <w:trPr>
          <w:cantSplit/>
          <w:trHeight w:val="223"/>
        </w:trPr>
        <w:tc>
          <w:tcPr>
            <w:tcW w:w="1242" w:type="dxa"/>
            <w:shd w:val="clear" w:color="auto" w:fill="auto"/>
          </w:tcPr>
          <w:p w:rsidR="00130243" w:rsidRPr="00130243" w:rsidRDefault="00130243" w:rsidP="005C6E50">
            <w:pPr>
              <w:numPr>
                <w:ilvl w:val="0"/>
                <w:numId w:val="132"/>
              </w:numPr>
              <w:ind w:left="426"/>
              <w:jc w:val="left"/>
              <w:rPr>
                <w:color w:val="auto"/>
                <w:szCs w:val="24"/>
              </w:rPr>
            </w:pPr>
            <w:r w:rsidRPr="0068083A">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Поиск по номеру реестровой записи контракта</w:t>
            </w:r>
          </w:p>
        </w:tc>
        <w:tc>
          <w:tcPr>
            <w:tcW w:w="1134" w:type="dxa"/>
          </w:tcPr>
          <w:p w:rsidR="00130243" w:rsidRPr="0098550F" w:rsidRDefault="00130243" w:rsidP="00651423">
            <w:pPr>
              <w:jc w:val="left"/>
              <w:rPr>
                <w:color w:val="auto"/>
                <w:szCs w:val="24"/>
              </w:rPr>
            </w:pPr>
          </w:p>
        </w:tc>
        <w:tc>
          <w:tcPr>
            <w:tcW w:w="4252" w:type="dxa"/>
          </w:tcPr>
          <w:p w:rsidR="00130243" w:rsidRPr="0098550F" w:rsidRDefault="00130243" w:rsidP="00651423">
            <w:pPr>
              <w:jc w:val="left"/>
              <w:rPr>
                <w:color w:val="auto"/>
                <w:szCs w:val="24"/>
              </w:rPr>
            </w:pPr>
            <w:r>
              <w:rPr>
                <w:color w:val="auto"/>
                <w:szCs w:val="24"/>
              </w:rPr>
              <w:t>Поисковая строка с возможностью ввода значений номера реестровой записи контракта</w:t>
            </w:r>
          </w:p>
        </w:tc>
        <w:tc>
          <w:tcPr>
            <w:tcW w:w="2552" w:type="dxa"/>
          </w:tcPr>
          <w:p w:rsidR="00130243" w:rsidRPr="00C10A06" w:rsidRDefault="00130243" w:rsidP="00651423">
            <w:pPr>
              <w:rPr>
                <w:color w:val="auto"/>
                <w:szCs w:val="24"/>
              </w:rPr>
            </w:pPr>
          </w:p>
        </w:tc>
      </w:tr>
      <w:tr w:rsidR="00130243" w:rsidRPr="0098550F" w:rsidTr="00130243">
        <w:trPr>
          <w:cantSplit/>
          <w:trHeight w:val="223"/>
        </w:trPr>
        <w:tc>
          <w:tcPr>
            <w:tcW w:w="1242" w:type="dxa"/>
            <w:shd w:val="clear" w:color="auto" w:fill="auto"/>
          </w:tcPr>
          <w:p w:rsidR="00130243" w:rsidRPr="00130243" w:rsidRDefault="00130243" w:rsidP="005C6E50">
            <w:pPr>
              <w:numPr>
                <w:ilvl w:val="0"/>
                <w:numId w:val="132"/>
              </w:numPr>
              <w:ind w:left="426"/>
              <w:jc w:val="left"/>
              <w:rPr>
                <w:color w:val="auto"/>
                <w:szCs w:val="24"/>
              </w:rPr>
            </w:pPr>
            <w:r w:rsidRPr="0068083A">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Признак КС</w:t>
            </w:r>
          </w:p>
        </w:tc>
        <w:tc>
          <w:tcPr>
            <w:tcW w:w="1134" w:type="dxa"/>
          </w:tcPr>
          <w:p w:rsidR="00130243" w:rsidRPr="0098550F" w:rsidRDefault="00130243" w:rsidP="00651423">
            <w:pPr>
              <w:jc w:val="left"/>
              <w:rPr>
                <w:color w:val="auto"/>
                <w:szCs w:val="24"/>
              </w:rPr>
            </w:pPr>
            <w:r>
              <w:rPr>
                <w:color w:val="auto"/>
                <w:szCs w:val="24"/>
              </w:rPr>
              <w:t>ЕИС Мониторинг</w:t>
            </w:r>
          </w:p>
        </w:tc>
        <w:tc>
          <w:tcPr>
            <w:tcW w:w="4252" w:type="dxa"/>
          </w:tcPr>
          <w:p w:rsidR="00130243" w:rsidRPr="0098550F" w:rsidRDefault="00130243" w:rsidP="00651423">
            <w:pPr>
              <w:jc w:val="left"/>
              <w:rPr>
                <w:color w:val="auto"/>
                <w:szCs w:val="24"/>
              </w:rPr>
            </w:pPr>
            <w:r>
              <w:rPr>
                <w:color w:val="auto"/>
                <w:szCs w:val="24"/>
              </w:rPr>
              <w:t xml:space="preserve">Выпадающий список с единственностью выбора </w:t>
            </w:r>
            <w:r w:rsidRPr="000B60E6">
              <w:rPr>
                <w:color w:val="auto"/>
                <w:szCs w:val="24"/>
              </w:rPr>
              <w:t>Требуется КС/БС</w:t>
            </w:r>
            <w:r>
              <w:rPr>
                <w:color w:val="auto"/>
                <w:szCs w:val="24"/>
              </w:rPr>
              <w:t>.</w:t>
            </w:r>
          </w:p>
        </w:tc>
        <w:tc>
          <w:tcPr>
            <w:tcW w:w="2552" w:type="dxa"/>
          </w:tcPr>
          <w:p w:rsidR="00130243" w:rsidRPr="00C10A06" w:rsidRDefault="00130243" w:rsidP="00651423">
            <w:pPr>
              <w:rPr>
                <w:color w:val="auto"/>
                <w:szCs w:val="24"/>
              </w:rPr>
            </w:pPr>
          </w:p>
        </w:tc>
      </w:tr>
      <w:tr w:rsidR="00130243" w:rsidRPr="0098550F" w:rsidTr="00130243">
        <w:trPr>
          <w:cantSplit/>
          <w:trHeight w:val="223"/>
        </w:trPr>
        <w:tc>
          <w:tcPr>
            <w:tcW w:w="1242" w:type="dxa"/>
            <w:shd w:val="clear" w:color="auto" w:fill="auto"/>
          </w:tcPr>
          <w:p w:rsidR="00130243" w:rsidRPr="00130243" w:rsidRDefault="00130243" w:rsidP="005C6E50">
            <w:pPr>
              <w:numPr>
                <w:ilvl w:val="0"/>
                <w:numId w:val="132"/>
              </w:numPr>
              <w:ind w:left="426"/>
              <w:jc w:val="left"/>
              <w:rPr>
                <w:color w:val="auto"/>
                <w:szCs w:val="24"/>
              </w:rPr>
            </w:pPr>
            <w:r w:rsidRPr="0068083A">
              <w:rPr>
                <w:color w:val="auto"/>
                <w:szCs w:val="24"/>
              </w:rPr>
              <w:t>Фильтр</w:t>
            </w:r>
          </w:p>
        </w:tc>
        <w:tc>
          <w:tcPr>
            <w:tcW w:w="851" w:type="dxa"/>
            <w:shd w:val="clear" w:color="auto" w:fill="auto"/>
          </w:tcPr>
          <w:p w:rsidR="00130243" w:rsidRPr="0098550F" w:rsidRDefault="00130243" w:rsidP="00651423">
            <w:pPr>
              <w:rPr>
                <w:color w:val="auto"/>
                <w:szCs w:val="24"/>
              </w:rPr>
            </w:pPr>
            <w:r>
              <w:rPr>
                <w:color w:val="auto"/>
                <w:szCs w:val="24"/>
              </w:rPr>
              <w:t>Заказчик</w:t>
            </w:r>
          </w:p>
        </w:tc>
        <w:tc>
          <w:tcPr>
            <w:tcW w:w="1134" w:type="dxa"/>
          </w:tcPr>
          <w:p w:rsidR="00130243" w:rsidRPr="0098550F" w:rsidRDefault="00130243" w:rsidP="00651423">
            <w:pPr>
              <w:jc w:val="left"/>
              <w:rPr>
                <w:color w:val="auto"/>
                <w:szCs w:val="24"/>
              </w:rPr>
            </w:pPr>
          </w:p>
        </w:tc>
        <w:tc>
          <w:tcPr>
            <w:tcW w:w="4252" w:type="dxa"/>
          </w:tcPr>
          <w:p w:rsidR="00130243" w:rsidRPr="0098550F" w:rsidRDefault="00130243" w:rsidP="00651423">
            <w:pPr>
              <w:jc w:val="left"/>
              <w:rPr>
                <w:color w:val="auto"/>
                <w:szCs w:val="24"/>
              </w:rPr>
            </w:pPr>
            <w:r>
              <w:rPr>
                <w:color w:val="auto"/>
                <w:szCs w:val="24"/>
              </w:rPr>
              <w:t>Поисковая строка. Поиск по ИНН или наименованию заказчика.</w:t>
            </w:r>
          </w:p>
        </w:tc>
        <w:tc>
          <w:tcPr>
            <w:tcW w:w="2552" w:type="dxa"/>
          </w:tcPr>
          <w:p w:rsidR="00130243" w:rsidRPr="00C10A06" w:rsidRDefault="00130243" w:rsidP="00651423">
            <w:pPr>
              <w:rPr>
                <w:color w:val="auto"/>
                <w:szCs w:val="24"/>
              </w:rPr>
            </w:pPr>
          </w:p>
        </w:tc>
      </w:tr>
      <w:tr w:rsidR="00130243" w:rsidRPr="0098550F" w:rsidTr="00130243">
        <w:trPr>
          <w:cantSplit/>
          <w:trHeight w:val="223"/>
        </w:trPr>
        <w:tc>
          <w:tcPr>
            <w:tcW w:w="1242" w:type="dxa"/>
            <w:shd w:val="clear" w:color="auto" w:fill="auto"/>
          </w:tcPr>
          <w:p w:rsidR="00130243" w:rsidRPr="0068083A" w:rsidRDefault="00130243" w:rsidP="005C6E50">
            <w:pPr>
              <w:numPr>
                <w:ilvl w:val="0"/>
                <w:numId w:val="132"/>
              </w:numPr>
              <w:ind w:left="426"/>
              <w:jc w:val="left"/>
              <w:rPr>
                <w:color w:val="auto"/>
                <w:szCs w:val="24"/>
              </w:rPr>
            </w:pPr>
            <w:r w:rsidRPr="0098550F">
              <w:rPr>
                <w:color w:val="auto"/>
                <w:szCs w:val="24"/>
              </w:rPr>
              <w:t>Фильтр</w:t>
            </w:r>
          </w:p>
        </w:tc>
        <w:tc>
          <w:tcPr>
            <w:tcW w:w="851" w:type="dxa"/>
            <w:shd w:val="clear" w:color="auto" w:fill="auto"/>
          </w:tcPr>
          <w:p w:rsidR="00130243" w:rsidRDefault="00130243" w:rsidP="00651423">
            <w:pPr>
              <w:rPr>
                <w:color w:val="auto"/>
                <w:szCs w:val="24"/>
              </w:rPr>
            </w:pPr>
            <w:r>
              <w:rPr>
                <w:color w:val="auto"/>
                <w:szCs w:val="24"/>
              </w:rPr>
              <w:t>Показатель</w:t>
            </w:r>
          </w:p>
        </w:tc>
        <w:tc>
          <w:tcPr>
            <w:tcW w:w="1134" w:type="dxa"/>
          </w:tcPr>
          <w:p w:rsidR="00130243" w:rsidRPr="0098550F" w:rsidRDefault="00130243" w:rsidP="00651423">
            <w:pPr>
              <w:jc w:val="left"/>
              <w:rPr>
                <w:color w:val="auto"/>
                <w:szCs w:val="24"/>
              </w:rPr>
            </w:pPr>
          </w:p>
        </w:tc>
        <w:tc>
          <w:tcPr>
            <w:tcW w:w="4252" w:type="dxa"/>
          </w:tcPr>
          <w:p w:rsidR="00130243" w:rsidRDefault="00130243" w:rsidP="00651423">
            <w:pPr>
              <w:jc w:val="left"/>
              <w:rPr>
                <w:color w:val="auto"/>
                <w:szCs w:val="24"/>
              </w:rPr>
            </w:pPr>
            <w:r>
              <w:rPr>
                <w:color w:val="auto"/>
                <w:szCs w:val="24"/>
              </w:rPr>
              <w:t>Параметр сортировки и фильтрации числовых значений показателей:</w:t>
            </w:r>
          </w:p>
          <w:p w:rsidR="00130243" w:rsidRPr="000B60E6" w:rsidRDefault="00130243" w:rsidP="005C6E50">
            <w:pPr>
              <w:pStyle w:val="afff6"/>
              <w:numPr>
                <w:ilvl w:val="0"/>
                <w:numId w:val="131"/>
              </w:numPr>
              <w:jc w:val="left"/>
              <w:rPr>
                <w:color w:val="auto"/>
                <w:sz w:val="24"/>
                <w:szCs w:val="24"/>
              </w:rPr>
            </w:pPr>
            <w:r w:rsidRPr="000B60E6">
              <w:rPr>
                <w:color w:val="auto"/>
                <w:sz w:val="24"/>
                <w:szCs w:val="24"/>
              </w:rPr>
              <w:t>Объем бюджетных ассигнований;</w:t>
            </w:r>
          </w:p>
          <w:p w:rsidR="00130243" w:rsidRPr="000B60E6" w:rsidRDefault="00130243" w:rsidP="005C6E50">
            <w:pPr>
              <w:pStyle w:val="afff6"/>
              <w:numPr>
                <w:ilvl w:val="0"/>
                <w:numId w:val="131"/>
              </w:numPr>
              <w:jc w:val="left"/>
              <w:rPr>
                <w:color w:val="auto"/>
                <w:sz w:val="24"/>
                <w:szCs w:val="24"/>
              </w:rPr>
            </w:pPr>
            <w:r w:rsidRPr="000B60E6">
              <w:rPr>
                <w:color w:val="auto"/>
                <w:sz w:val="24"/>
                <w:szCs w:val="24"/>
              </w:rPr>
              <w:t>Объем заключенных контрактов;</w:t>
            </w:r>
          </w:p>
          <w:p w:rsidR="00130243" w:rsidRPr="000B60E6" w:rsidRDefault="00130243" w:rsidP="005C6E50">
            <w:pPr>
              <w:pStyle w:val="afff6"/>
              <w:numPr>
                <w:ilvl w:val="0"/>
                <w:numId w:val="131"/>
              </w:numPr>
              <w:jc w:val="left"/>
              <w:rPr>
                <w:color w:val="auto"/>
                <w:sz w:val="24"/>
                <w:szCs w:val="24"/>
              </w:rPr>
            </w:pPr>
            <w:r w:rsidRPr="000B60E6">
              <w:rPr>
                <w:color w:val="auto"/>
                <w:sz w:val="24"/>
                <w:szCs w:val="24"/>
              </w:rPr>
              <w:t>Объем исполненных контрактов;</w:t>
            </w:r>
          </w:p>
          <w:p w:rsidR="00130243" w:rsidRPr="000B60E6" w:rsidRDefault="00130243" w:rsidP="005C6E50">
            <w:pPr>
              <w:pStyle w:val="afff6"/>
              <w:numPr>
                <w:ilvl w:val="0"/>
                <w:numId w:val="131"/>
              </w:numPr>
              <w:jc w:val="left"/>
              <w:rPr>
                <w:color w:val="auto"/>
                <w:szCs w:val="24"/>
              </w:rPr>
            </w:pPr>
            <w:r w:rsidRPr="000B60E6">
              <w:rPr>
                <w:color w:val="auto"/>
                <w:sz w:val="24"/>
                <w:szCs w:val="24"/>
              </w:rPr>
              <w:t>Объем оплаченных контрактов.</w:t>
            </w:r>
          </w:p>
          <w:p w:rsidR="00130243" w:rsidRPr="000B60E6" w:rsidRDefault="00130243" w:rsidP="00651423">
            <w:pPr>
              <w:ind w:left="360"/>
              <w:jc w:val="left"/>
              <w:rPr>
                <w:color w:val="auto"/>
                <w:szCs w:val="24"/>
              </w:rPr>
            </w:pPr>
          </w:p>
        </w:tc>
        <w:tc>
          <w:tcPr>
            <w:tcW w:w="2552" w:type="dxa"/>
          </w:tcPr>
          <w:p w:rsidR="00130243" w:rsidRPr="00C10A06" w:rsidRDefault="00130243" w:rsidP="00651423">
            <w:pPr>
              <w:rPr>
                <w:color w:val="auto"/>
                <w:szCs w:val="24"/>
              </w:rPr>
            </w:pPr>
          </w:p>
        </w:tc>
      </w:tr>
    </w:tbl>
    <w:p w:rsidR="000E2DA7" w:rsidRDefault="000E2DA7" w:rsidP="00686A91">
      <w:pPr>
        <w:pStyle w:val="af0"/>
        <w:rPr>
          <w:rFonts w:eastAsia="Calibri"/>
        </w:rPr>
      </w:pPr>
    </w:p>
    <w:p w:rsidR="00130243" w:rsidRPr="00130243" w:rsidRDefault="00130243" w:rsidP="00686A91">
      <w:pPr>
        <w:pStyle w:val="af0"/>
        <w:rPr>
          <w:rFonts w:eastAsia="Calibri"/>
        </w:rPr>
      </w:pPr>
      <w:r>
        <w:rPr>
          <w:rFonts w:eastAsia="Calibri"/>
        </w:rPr>
        <w:t>Перечень столбцов, которые должна содержать таблица, а также переходов и их описание представлены в таблице</w:t>
      </w:r>
      <w:r w:rsidR="00651423">
        <w:rPr>
          <w:rFonts w:eastAsia="Calibri"/>
        </w:rPr>
        <w:t xml:space="preserve"> </w:t>
      </w:r>
      <w:r w:rsidR="00651423">
        <w:rPr>
          <w:rFonts w:eastAsia="Calibri"/>
        </w:rPr>
        <w:fldChar w:fldCharType="begin"/>
      </w:r>
      <w:r w:rsidR="00651423">
        <w:rPr>
          <w:rFonts w:eastAsia="Calibri"/>
        </w:rPr>
        <w:instrText xml:space="preserve"> REF _Ref93512057 \h </w:instrText>
      </w:r>
      <w:r w:rsidR="00651423">
        <w:rPr>
          <w:rFonts w:eastAsia="Calibri"/>
        </w:rPr>
      </w:r>
      <w:r w:rsidR="00651423">
        <w:rPr>
          <w:rFonts w:eastAsia="Calibri"/>
        </w:rPr>
        <w:fldChar w:fldCharType="separate"/>
      </w:r>
      <w:r w:rsidR="00BF0BEE">
        <w:rPr>
          <w:noProof/>
        </w:rPr>
        <w:t>28</w:t>
      </w:r>
      <w:r w:rsidR="00651423">
        <w:rPr>
          <w:rFonts w:eastAsia="Calibri"/>
        </w:rPr>
        <w:fldChar w:fldCharType="end"/>
      </w:r>
      <w:r>
        <w:rPr>
          <w:rFonts w:eastAsia="Calibri"/>
        </w:rPr>
        <w:t>.</w:t>
      </w:r>
    </w:p>
    <w:p w:rsidR="00651423" w:rsidRDefault="00651423" w:rsidP="000E2DA7">
      <w:pPr>
        <w:pStyle w:val="-"/>
      </w:pPr>
      <w:bookmarkStart w:id="652" w:name="_Toc119585169"/>
      <w:r>
        <w:t xml:space="preserve">Таблица </w:t>
      </w:r>
      <w:fldSimple w:instr=" SEQ Таблица \* ARABIC ">
        <w:bookmarkStart w:id="653" w:name="_Ref93512057"/>
        <w:r w:rsidR="00BF0BEE">
          <w:rPr>
            <w:noProof/>
          </w:rPr>
          <w:t>28</w:t>
        </w:r>
        <w:bookmarkEnd w:id="653"/>
      </w:fldSimple>
      <w:r>
        <w:rPr>
          <w:noProof/>
        </w:rPr>
        <w:t xml:space="preserve"> –</w:t>
      </w:r>
      <w:r>
        <w:t xml:space="preserve"> Перечень граф отчета «Закупка товаров, работ, услуг Свод»</w:t>
      </w:r>
      <w:bookmarkEnd w:id="652"/>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5"/>
        <w:gridCol w:w="1276"/>
        <w:gridCol w:w="1985"/>
        <w:gridCol w:w="3827"/>
      </w:tblGrid>
      <w:tr w:rsidR="00651423" w:rsidRPr="0098550F" w:rsidTr="00651423">
        <w:trPr>
          <w:cantSplit/>
          <w:trHeight w:val="347"/>
          <w:tblHeader/>
        </w:trPr>
        <w:tc>
          <w:tcPr>
            <w:tcW w:w="1526" w:type="dxa"/>
            <w:shd w:val="clear" w:color="auto" w:fill="D9D9D9" w:themeFill="background1" w:themeFillShade="D9"/>
            <w:vAlign w:val="center"/>
            <w:hideMark/>
          </w:tcPr>
          <w:p w:rsidR="00651423" w:rsidRPr="0098550F" w:rsidRDefault="00651423" w:rsidP="00651423">
            <w:pPr>
              <w:jc w:val="center"/>
              <w:rPr>
                <w:b/>
                <w:bCs/>
                <w:color w:val="auto"/>
                <w:szCs w:val="24"/>
              </w:rPr>
            </w:pPr>
            <w:r w:rsidRPr="0098550F">
              <w:rPr>
                <w:b/>
                <w:bCs/>
                <w:color w:val="auto"/>
                <w:szCs w:val="24"/>
              </w:rPr>
              <w:t>Тип</w:t>
            </w:r>
          </w:p>
        </w:tc>
        <w:tc>
          <w:tcPr>
            <w:tcW w:w="1275" w:type="dxa"/>
            <w:shd w:val="clear" w:color="auto" w:fill="D9D9D9" w:themeFill="background1" w:themeFillShade="D9"/>
            <w:vAlign w:val="center"/>
            <w:hideMark/>
          </w:tcPr>
          <w:p w:rsidR="00651423" w:rsidRPr="0098550F" w:rsidRDefault="00651423" w:rsidP="00651423">
            <w:pPr>
              <w:jc w:val="center"/>
              <w:rPr>
                <w:b/>
                <w:bCs/>
                <w:color w:val="auto"/>
                <w:szCs w:val="24"/>
              </w:rPr>
            </w:pPr>
            <w:r w:rsidRPr="0098550F">
              <w:rPr>
                <w:b/>
                <w:bCs/>
                <w:color w:val="auto"/>
                <w:szCs w:val="24"/>
              </w:rPr>
              <w:t>Наименование</w:t>
            </w:r>
          </w:p>
        </w:tc>
        <w:tc>
          <w:tcPr>
            <w:tcW w:w="1276" w:type="dxa"/>
            <w:shd w:val="clear" w:color="auto" w:fill="D9D9D9" w:themeFill="background1" w:themeFillShade="D9"/>
          </w:tcPr>
          <w:p w:rsidR="00651423" w:rsidRPr="0098550F" w:rsidRDefault="00651423" w:rsidP="00651423">
            <w:pPr>
              <w:jc w:val="center"/>
              <w:rPr>
                <w:b/>
                <w:bCs/>
                <w:color w:val="auto"/>
                <w:szCs w:val="24"/>
              </w:rPr>
            </w:pPr>
            <w:r w:rsidRPr="0098550F">
              <w:rPr>
                <w:b/>
                <w:bCs/>
                <w:color w:val="auto"/>
                <w:szCs w:val="24"/>
              </w:rPr>
              <w:t>Источник данных</w:t>
            </w:r>
          </w:p>
        </w:tc>
        <w:tc>
          <w:tcPr>
            <w:tcW w:w="1985" w:type="dxa"/>
            <w:shd w:val="clear" w:color="auto" w:fill="D9D9D9" w:themeFill="background1" w:themeFillShade="D9"/>
            <w:vAlign w:val="center"/>
          </w:tcPr>
          <w:p w:rsidR="00651423" w:rsidRPr="0098550F" w:rsidRDefault="00651423" w:rsidP="00651423">
            <w:pPr>
              <w:jc w:val="center"/>
              <w:rPr>
                <w:b/>
                <w:bCs/>
                <w:color w:val="auto"/>
                <w:szCs w:val="24"/>
              </w:rPr>
            </w:pPr>
            <w:r w:rsidRPr="0098550F">
              <w:rPr>
                <w:b/>
                <w:bCs/>
                <w:color w:val="auto"/>
                <w:szCs w:val="24"/>
              </w:rPr>
              <w:t>Примечание</w:t>
            </w:r>
          </w:p>
        </w:tc>
        <w:tc>
          <w:tcPr>
            <w:tcW w:w="3827" w:type="dxa"/>
            <w:shd w:val="clear" w:color="auto" w:fill="D9D9D9" w:themeFill="background1" w:themeFillShade="D9"/>
            <w:vAlign w:val="center"/>
          </w:tcPr>
          <w:p w:rsidR="00651423" w:rsidRPr="0098550F" w:rsidRDefault="00651423" w:rsidP="00651423">
            <w:pPr>
              <w:jc w:val="center"/>
              <w:rPr>
                <w:b/>
                <w:bCs/>
                <w:color w:val="auto"/>
                <w:szCs w:val="24"/>
              </w:rPr>
            </w:pPr>
            <w:r w:rsidRPr="0098550F">
              <w:rPr>
                <w:b/>
                <w:bCs/>
                <w:color w:val="auto"/>
                <w:szCs w:val="24"/>
              </w:rPr>
              <w:t>Пример</w:t>
            </w:r>
          </w:p>
        </w:tc>
      </w:tr>
      <w:tr w:rsidR="00651423" w:rsidRPr="0098550F" w:rsidTr="00651423">
        <w:trPr>
          <w:cantSplit/>
          <w:trHeight w:val="223"/>
        </w:trPr>
        <w:tc>
          <w:tcPr>
            <w:tcW w:w="1526" w:type="dxa"/>
            <w:shd w:val="clear" w:color="auto" w:fill="auto"/>
          </w:tcPr>
          <w:p w:rsidR="00651423" w:rsidRDefault="00651423" w:rsidP="005C6E50">
            <w:pPr>
              <w:numPr>
                <w:ilvl w:val="0"/>
                <w:numId w:val="135"/>
              </w:numPr>
              <w:ind w:left="0" w:firstLine="0"/>
              <w:jc w:val="left"/>
            </w:pPr>
            <w:r w:rsidRPr="00761D1B">
              <w:rPr>
                <w:color w:val="auto"/>
                <w:szCs w:val="24"/>
              </w:rPr>
              <w:t>Графа</w:t>
            </w:r>
          </w:p>
        </w:tc>
        <w:tc>
          <w:tcPr>
            <w:tcW w:w="1275" w:type="dxa"/>
            <w:shd w:val="clear" w:color="auto" w:fill="auto"/>
          </w:tcPr>
          <w:p w:rsidR="00651423" w:rsidRPr="0098550F" w:rsidRDefault="00651423" w:rsidP="00651423">
            <w:pPr>
              <w:rPr>
                <w:color w:val="auto"/>
                <w:szCs w:val="24"/>
              </w:rPr>
            </w:pPr>
            <w:r>
              <w:rPr>
                <w:color w:val="auto"/>
                <w:szCs w:val="24"/>
              </w:rPr>
              <w:t>Бюджетные ассигнования на закупки (БА)</w:t>
            </w:r>
          </w:p>
        </w:tc>
        <w:tc>
          <w:tcPr>
            <w:tcW w:w="1276" w:type="dxa"/>
          </w:tcPr>
          <w:p w:rsidR="00651423" w:rsidRDefault="00651423" w:rsidP="00651423">
            <w:pPr>
              <w:jc w:val="left"/>
              <w:rPr>
                <w:color w:val="auto"/>
                <w:szCs w:val="24"/>
              </w:rPr>
            </w:pPr>
            <w:r>
              <w:rPr>
                <w:color w:val="auto"/>
                <w:szCs w:val="24"/>
              </w:rPr>
              <w:t>Главная книга;</w:t>
            </w:r>
          </w:p>
          <w:p w:rsidR="00651423" w:rsidRDefault="00651423" w:rsidP="00651423">
            <w:pPr>
              <w:jc w:val="left"/>
              <w:rPr>
                <w:color w:val="auto"/>
                <w:szCs w:val="24"/>
              </w:rPr>
            </w:pPr>
            <w:r>
              <w:rPr>
                <w:color w:val="auto"/>
                <w:szCs w:val="24"/>
              </w:rPr>
              <w:t>ЕИС Мониторинг;</w:t>
            </w:r>
          </w:p>
          <w:p w:rsidR="00651423" w:rsidRPr="0098550F" w:rsidRDefault="00651423" w:rsidP="00651423">
            <w:pPr>
              <w:jc w:val="left"/>
              <w:rPr>
                <w:color w:val="auto"/>
                <w:szCs w:val="24"/>
              </w:rPr>
            </w:pPr>
            <w:r w:rsidRPr="004B79F2">
              <w:rPr>
                <w:color w:val="auto"/>
                <w:szCs w:val="24"/>
              </w:rPr>
              <w:t>БД ПУР ЭБ</w:t>
            </w:r>
          </w:p>
        </w:tc>
        <w:tc>
          <w:tcPr>
            <w:tcW w:w="1985" w:type="dxa"/>
          </w:tcPr>
          <w:p w:rsidR="00651423" w:rsidRPr="0098550F" w:rsidRDefault="00651423" w:rsidP="00651423">
            <w:pPr>
              <w:jc w:val="left"/>
              <w:rPr>
                <w:color w:val="auto"/>
                <w:szCs w:val="24"/>
              </w:rPr>
            </w:pPr>
          </w:p>
        </w:tc>
        <w:tc>
          <w:tcPr>
            <w:tcW w:w="3827" w:type="dxa"/>
          </w:tcPr>
          <w:p w:rsidR="00651423" w:rsidRPr="00837EFE" w:rsidRDefault="00651423" w:rsidP="00651423">
            <w:pPr>
              <w:jc w:val="left"/>
              <w:rPr>
                <w:color w:val="auto"/>
                <w:szCs w:val="24"/>
              </w:rPr>
            </w:pPr>
            <w:r w:rsidRPr="00837EFE">
              <w:rPr>
                <w:color w:val="auto"/>
                <w:szCs w:val="24"/>
              </w:rPr>
              <w:t>Формула(сумма):</w:t>
            </w:r>
          </w:p>
          <w:p w:rsidR="00651423" w:rsidRPr="00837EFE" w:rsidRDefault="00651423" w:rsidP="005C6E50">
            <w:pPr>
              <w:pStyle w:val="afff6"/>
              <w:numPr>
                <w:ilvl w:val="0"/>
                <w:numId w:val="133"/>
              </w:numPr>
              <w:jc w:val="left"/>
              <w:rPr>
                <w:color w:val="auto"/>
                <w:sz w:val="24"/>
                <w:szCs w:val="24"/>
              </w:rPr>
            </w:pPr>
            <w:r w:rsidRPr="00837EFE">
              <w:rPr>
                <w:color w:val="auto"/>
                <w:sz w:val="24"/>
                <w:szCs w:val="24"/>
              </w:rPr>
              <w:t>Главная книга. Показатели росписи по КВР 200, 410 +323(кроме 415);</w:t>
            </w:r>
          </w:p>
          <w:p w:rsidR="00651423" w:rsidRPr="00837EFE" w:rsidRDefault="00651423" w:rsidP="005C6E50">
            <w:pPr>
              <w:pStyle w:val="afff6"/>
              <w:numPr>
                <w:ilvl w:val="0"/>
                <w:numId w:val="133"/>
              </w:numPr>
              <w:jc w:val="left"/>
              <w:rPr>
                <w:color w:val="auto"/>
                <w:sz w:val="24"/>
                <w:szCs w:val="24"/>
              </w:rPr>
            </w:pPr>
            <w:r w:rsidRPr="00837EFE">
              <w:rPr>
                <w:color w:val="auto"/>
                <w:sz w:val="24"/>
                <w:szCs w:val="24"/>
              </w:rPr>
              <w:t>Реестр закупок (фин.обеспечение на текущий год). КВР &lt;&gt;200, 410, 415. Показатель «Фин.обеспечение на текущий год».</w:t>
            </w:r>
          </w:p>
          <w:p w:rsidR="00651423" w:rsidRPr="00837EFE" w:rsidRDefault="00651423" w:rsidP="005C6E50">
            <w:pPr>
              <w:pStyle w:val="afff6"/>
              <w:numPr>
                <w:ilvl w:val="0"/>
                <w:numId w:val="133"/>
              </w:numPr>
              <w:jc w:val="left"/>
              <w:rPr>
                <w:color w:val="auto"/>
                <w:sz w:val="24"/>
                <w:szCs w:val="24"/>
              </w:rPr>
            </w:pPr>
            <w:r w:rsidRPr="00837EFE">
              <w:rPr>
                <w:color w:val="auto"/>
                <w:sz w:val="24"/>
                <w:szCs w:val="24"/>
              </w:rPr>
              <w:t>План график (фин. обеспечение контрактов, заключенных по планам-графикам прошлых лет). КВР &lt;&gt;200, 410, 415</w:t>
            </w:r>
          </w:p>
          <w:p w:rsidR="00651423" w:rsidRPr="00837EFE" w:rsidRDefault="00651423" w:rsidP="005C6E50">
            <w:pPr>
              <w:pStyle w:val="afff6"/>
              <w:numPr>
                <w:ilvl w:val="0"/>
                <w:numId w:val="133"/>
              </w:numPr>
              <w:jc w:val="left"/>
              <w:rPr>
                <w:color w:val="auto"/>
                <w:sz w:val="24"/>
                <w:szCs w:val="24"/>
              </w:rPr>
            </w:pPr>
            <w:r w:rsidRPr="00837EFE">
              <w:rPr>
                <w:color w:val="auto"/>
                <w:sz w:val="24"/>
                <w:szCs w:val="24"/>
              </w:rPr>
              <w:t xml:space="preserve">ПУР </w:t>
            </w:r>
            <w:r>
              <w:rPr>
                <w:color w:val="auto"/>
                <w:sz w:val="24"/>
                <w:szCs w:val="24"/>
              </w:rPr>
              <w:t xml:space="preserve">ЭБ </w:t>
            </w:r>
            <w:r w:rsidRPr="00837EFE">
              <w:rPr>
                <w:color w:val="auto"/>
                <w:sz w:val="24"/>
                <w:szCs w:val="24"/>
              </w:rPr>
              <w:t xml:space="preserve">(закупки малого объема). </w:t>
            </w:r>
          </w:p>
          <w:p w:rsidR="00651423" w:rsidRPr="00837EFE" w:rsidRDefault="00651423" w:rsidP="00651423">
            <w:pPr>
              <w:pStyle w:val="afff6"/>
              <w:ind w:left="720"/>
              <w:jc w:val="left"/>
              <w:rPr>
                <w:color w:val="auto"/>
                <w:sz w:val="24"/>
                <w:szCs w:val="24"/>
              </w:rPr>
            </w:pPr>
            <w:r w:rsidRPr="00837EFE">
              <w:rPr>
                <w:color w:val="auto"/>
                <w:sz w:val="24"/>
                <w:szCs w:val="24"/>
              </w:rPr>
              <w:t>К</w:t>
            </w:r>
            <w:r>
              <w:rPr>
                <w:color w:val="auto"/>
                <w:sz w:val="24"/>
                <w:szCs w:val="24"/>
              </w:rPr>
              <w:t>ВР &lt;&gt;200, 410, 415. Показатель «Бюджетные обязательства на год»</w:t>
            </w:r>
          </w:p>
          <w:p w:rsidR="00651423" w:rsidRPr="0098550F" w:rsidRDefault="00651423" w:rsidP="00651423">
            <w:pPr>
              <w:jc w:val="left"/>
              <w:rPr>
                <w:color w:val="auto"/>
                <w:szCs w:val="24"/>
              </w:rPr>
            </w:pPr>
          </w:p>
        </w:tc>
      </w:tr>
      <w:tr w:rsidR="00651423" w:rsidRPr="0098550F" w:rsidTr="00651423">
        <w:trPr>
          <w:cantSplit/>
          <w:trHeight w:val="223"/>
        </w:trPr>
        <w:tc>
          <w:tcPr>
            <w:tcW w:w="1526" w:type="dxa"/>
            <w:shd w:val="clear" w:color="auto" w:fill="auto"/>
          </w:tcPr>
          <w:p w:rsidR="00651423" w:rsidRPr="002D130C" w:rsidRDefault="00651423" w:rsidP="005C6E50">
            <w:pPr>
              <w:numPr>
                <w:ilvl w:val="0"/>
                <w:numId w:val="135"/>
              </w:numPr>
              <w:ind w:left="0" w:firstLine="0"/>
              <w:jc w:val="left"/>
              <w:rPr>
                <w:color w:val="auto"/>
                <w:szCs w:val="24"/>
              </w:rPr>
            </w:pPr>
            <w:r w:rsidRPr="00761D1B">
              <w:rPr>
                <w:color w:val="auto"/>
                <w:szCs w:val="24"/>
              </w:rPr>
              <w:t>Графа</w:t>
            </w:r>
          </w:p>
        </w:tc>
        <w:tc>
          <w:tcPr>
            <w:tcW w:w="1275" w:type="dxa"/>
            <w:shd w:val="clear" w:color="auto" w:fill="auto"/>
          </w:tcPr>
          <w:p w:rsidR="00651423" w:rsidRPr="0098550F" w:rsidRDefault="00651423" w:rsidP="00651423">
            <w:pPr>
              <w:rPr>
                <w:color w:val="auto"/>
                <w:szCs w:val="24"/>
              </w:rPr>
            </w:pPr>
            <w:r>
              <w:rPr>
                <w:color w:val="auto"/>
                <w:szCs w:val="24"/>
              </w:rPr>
              <w:t>Извещения (принимаемые БО)</w:t>
            </w:r>
          </w:p>
        </w:tc>
        <w:tc>
          <w:tcPr>
            <w:tcW w:w="1276" w:type="dxa"/>
          </w:tcPr>
          <w:p w:rsidR="00651423" w:rsidRPr="0098550F" w:rsidRDefault="00651423" w:rsidP="00651423">
            <w:pPr>
              <w:jc w:val="left"/>
              <w:rPr>
                <w:color w:val="auto"/>
                <w:szCs w:val="24"/>
              </w:rPr>
            </w:pPr>
            <w:r>
              <w:rPr>
                <w:color w:val="auto"/>
                <w:szCs w:val="24"/>
              </w:rPr>
              <w:t>Главная книга</w:t>
            </w:r>
          </w:p>
        </w:tc>
        <w:tc>
          <w:tcPr>
            <w:tcW w:w="1985" w:type="dxa"/>
          </w:tcPr>
          <w:p w:rsidR="00651423" w:rsidRPr="00837EFE" w:rsidRDefault="00651423" w:rsidP="00651423">
            <w:pPr>
              <w:jc w:val="left"/>
              <w:rPr>
                <w:color w:val="auto"/>
                <w:szCs w:val="24"/>
              </w:rPr>
            </w:pPr>
          </w:p>
        </w:tc>
        <w:tc>
          <w:tcPr>
            <w:tcW w:w="3827" w:type="dxa"/>
          </w:tcPr>
          <w:p w:rsidR="00651423" w:rsidRPr="00837EFE" w:rsidRDefault="00651423" w:rsidP="00651423">
            <w:pPr>
              <w:jc w:val="left"/>
              <w:rPr>
                <w:color w:val="auto"/>
                <w:szCs w:val="24"/>
              </w:rPr>
            </w:pPr>
            <w:r w:rsidRPr="00837EFE">
              <w:rPr>
                <w:color w:val="auto"/>
                <w:szCs w:val="24"/>
              </w:rPr>
              <w:t>Все КВР</w:t>
            </w:r>
            <w:r>
              <w:rPr>
                <w:color w:val="auto"/>
                <w:szCs w:val="24"/>
              </w:rPr>
              <w:t>. Показатель «Принимаемые БО»</w:t>
            </w:r>
          </w:p>
          <w:p w:rsidR="00651423" w:rsidRPr="00837EFE" w:rsidRDefault="00651423" w:rsidP="00651423">
            <w:pPr>
              <w:jc w:val="left"/>
              <w:rPr>
                <w:color w:val="auto"/>
                <w:szCs w:val="24"/>
              </w:rPr>
            </w:pPr>
            <w:r w:rsidRPr="00837EFE">
              <w:rPr>
                <w:color w:val="auto"/>
                <w:szCs w:val="24"/>
              </w:rPr>
              <w:t>(Сумма по закрытым КБК по КВР 200)</w:t>
            </w:r>
          </w:p>
        </w:tc>
      </w:tr>
      <w:tr w:rsidR="00651423" w:rsidRPr="0098550F" w:rsidTr="00651423">
        <w:trPr>
          <w:cantSplit/>
          <w:trHeight w:val="223"/>
        </w:trPr>
        <w:tc>
          <w:tcPr>
            <w:tcW w:w="1526" w:type="dxa"/>
            <w:vMerge w:val="restart"/>
            <w:shd w:val="clear" w:color="auto" w:fill="auto"/>
          </w:tcPr>
          <w:p w:rsidR="00651423" w:rsidRPr="002D130C" w:rsidRDefault="00651423" w:rsidP="005C6E50">
            <w:pPr>
              <w:numPr>
                <w:ilvl w:val="0"/>
                <w:numId w:val="135"/>
              </w:numPr>
              <w:ind w:left="0" w:firstLine="0"/>
              <w:jc w:val="left"/>
              <w:rPr>
                <w:color w:val="auto"/>
                <w:szCs w:val="24"/>
              </w:rPr>
            </w:pPr>
            <w:r w:rsidRPr="00761D1B">
              <w:rPr>
                <w:color w:val="auto"/>
                <w:szCs w:val="24"/>
              </w:rPr>
              <w:t>Графа</w:t>
            </w:r>
          </w:p>
          <w:p w:rsidR="00651423" w:rsidRPr="002D130C" w:rsidRDefault="00651423" w:rsidP="00651423">
            <w:pPr>
              <w:jc w:val="left"/>
              <w:rPr>
                <w:color w:val="auto"/>
                <w:szCs w:val="24"/>
              </w:rPr>
            </w:pPr>
          </w:p>
        </w:tc>
        <w:tc>
          <w:tcPr>
            <w:tcW w:w="1275" w:type="dxa"/>
            <w:vMerge w:val="restart"/>
            <w:shd w:val="clear" w:color="auto" w:fill="auto"/>
          </w:tcPr>
          <w:p w:rsidR="00651423" w:rsidRPr="0098550F" w:rsidRDefault="00651423" w:rsidP="00651423">
            <w:pPr>
              <w:rPr>
                <w:color w:val="auto"/>
                <w:szCs w:val="24"/>
              </w:rPr>
            </w:pPr>
            <w:r>
              <w:rPr>
                <w:color w:val="auto"/>
                <w:szCs w:val="24"/>
              </w:rPr>
              <w:t>Заключенные контракты</w:t>
            </w: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Контрольная точка на ДД.ММ.ГГГГ</w:t>
            </w:r>
          </w:p>
        </w:tc>
        <w:tc>
          <w:tcPr>
            <w:tcW w:w="3827" w:type="dxa"/>
          </w:tcPr>
          <w:p w:rsidR="00651423" w:rsidRPr="00837EFE" w:rsidRDefault="00651423" w:rsidP="00651423">
            <w:pPr>
              <w:jc w:val="left"/>
              <w:rPr>
                <w:color w:val="auto"/>
                <w:szCs w:val="24"/>
              </w:rPr>
            </w:pPr>
            <w:r w:rsidRPr="00837EFE">
              <w:rPr>
                <w:color w:val="auto"/>
                <w:szCs w:val="24"/>
              </w:rPr>
              <w:t>Контрольная точка.</w:t>
            </w:r>
          </w:p>
          <w:p w:rsidR="00651423" w:rsidRPr="0098550F" w:rsidRDefault="00651423" w:rsidP="00651423">
            <w:pPr>
              <w:jc w:val="left"/>
              <w:rPr>
                <w:color w:val="auto"/>
                <w:szCs w:val="24"/>
              </w:rPr>
            </w:pPr>
            <w:r w:rsidRPr="00837EFE">
              <w:rPr>
                <w:color w:val="auto"/>
                <w:szCs w:val="24"/>
              </w:rPr>
              <w:t>Применяем КТ для ДД.ММ.ГГГГ для выбранного года.</w:t>
            </w:r>
          </w:p>
        </w:tc>
      </w:tr>
      <w:tr w:rsidR="00651423" w:rsidRPr="0098550F" w:rsidTr="00651423">
        <w:trPr>
          <w:cantSplit/>
          <w:trHeight w:val="223"/>
        </w:trPr>
        <w:tc>
          <w:tcPr>
            <w:tcW w:w="1526" w:type="dxa"/>
            <w:vMerge/>
            <w:shd w:val="clear" w:color="auto" w:fill="auto"/>
          </w:tcPr>
          <w:p w:rsidR="00651423" w:rsidRDefault="00651423" w:rsidP="00651423"/>
        </w:tc>
        <w:tc>
          <w:tcPr>
            <w:tcW w:w="1275" w:type="dxa"/>
            <w:vMerge/>
            <w:shd w:val="clear" w:color="auto" w:fill="auto"/>
          </w:tcPr>
          <w:p w:rsidR="00651423" w:rsidRPr="0098550F" w:rsidRDefault="00651423" w:rsidP="00651423">
            <w:pPr>
              <w:rPr>
                <w:color w:val="auto"/>
                <w:szCs w:val="24"/>
              </w:rPr>
            </w:pP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Факт от БА, %</w:t>
            </w:r>
          </w:p>
        </w:tc>
        <w:tc>
          <w:tcPr>
            <w:tcW w:w="3827" w:type="dxa"/>
          </w:tcPr>
          <w:p w:rsidR="00651423" w:rsidRPr="00837EFE" w:rsidRDefault="00651423" w:rsidP="00651423">
            <w:pPr>
              <w:rPr>
                <w:color w:val="auto"/>
                <w:szCs w:val="24"/>
              </w:rPr>
            </w:pPr>
            <w:r w:rsidRPr="00837EFE">
              <w:rPr>
                <w:color w:val="auto"/>
                <w:szCs w:val="24"/>
              </w:rPr>
              <w:t>Факт от БА.</w:t>
            </w:r>
          </w:p>
          <w:p w:rsidR="00651423" w:rsidRPr="00837EFE" w:rsidRDefault="00651423" w:rsidP="00651423">
            <w:pPr>
              <w:rPr>
                <w:color w:val="auto"/>
                <w:szCs w:val="24"/>
              </w:rPr>
            </w:pPr>
            <w:r w:rsidRPr="00837EFE">
              <w:rPr>
                <w:color w:val="auto"/>
                <w:szCs w:val="24"/>
              </w:rPr>
              <w:t>Считаем по следующему правилу:</w:t>
            </w:r>
          </w:p>
          <w:p w:rsidR="00651423" w:rsidRPr="00837EFE" w:rsidRDefault="00651423" w:rsidP="00651423">
            <w:pPr>
              <w:rPr>
                <w:color w:val="auto"/>
                <w:szCs w:val="24"/>
              </w:rPr>
            </w:pPr>
            <w:r w:rsidRPr="00837EFE">
              <w:rPr>
                <w:color w:val="auto"/>
                <w:szCs w:val="24"/>
              </w:rPr>
              <w:t>Рассчитываем значение в % по формуле: (Бюджетные обязательства / Бюджетные ассигнования *100% )</w:t>
            </w:r>
          </w:p>
          <w:p w:rsidR="00651423" w:rsidRPr="00837EFE" w:rsidRDefault="00651423" w:rsidP="00651423">
            <w:pPr>
              <w:rPr>
                <w:color w:val="auto"/>
                <w:szCs w:val="24"/>
              </w:rPr>
            </w:pPr>
            <w:r w:rsidRPr="00837EFE">
              <w:rPr>
                <w:color w:val="auto"/>
                <w:szCs w:val="24"/>
              </w:rPr>
              <w:t xml:space="preserve">Индикация: </w:t>
            </w:r>
          </w:p>
          <w:p w:rsidR="00651423" w:rsidRPr="00837EFE" w:rsidRDefault="00651423" w:rsidP="00651423">
            <w:pPr>
              <w:rPr>
                <w:color w:val="auto"/>
                <w:szCs w:val="24"/>
              </w:rPr>
            </w:pPr>
            <w:r w:rsidRPr="00837EFE">
              <w:rPr>
                <w:color w:val="auto"/>
                <w:szCs w:val="24"/>
              </w:rPr>
              <w:t>- если ФАКТ &gt;= КТ – зеленый;</w:t>
            </w:r>
          </w:p>
          <w:p w:rsidR="00651423" w:rsidRPr="0098550F" w:rsidRDefault="00651423" w:rsidP="00651423">
            <w:pPr>
              <w:rPr>
                <w:color w:val="auto"/>
                <w:szCs w:val="24"/>
              </w:rPr>
            </w:pPr>
            <w:r w:rsidRPr="00837EFE">
              <w:rPr>
                <w:color w:val="auto"/>
                <w:szCs w:val="24"/>
              </w:rPr>
              <w:t>- если ФАКТ &lt; КТ – красный;</w:t>
            </w:r>
          </w:p>
        </w:tc>
      </w:tr>
      <w:tr w:rsidR="00651423" w:rsidRPr="0098550F" w:rsidTr="00651423">
        <w:trPr>
          <w:cantSplit/>
          <w:trHeight w:val="223"/>
        </w:trPr>
        <w:tc>
          <w:tcPr>
            <w:tcW w:w="1526" w:type="dxa"/>
            <w:vMerge/>
            <w:shd w:val="clear" w:color="auto" w:fill="auto"/>
          </w:tcPr>
          <w:p w:rsidR="00651423" w:rsidRDefault="00651423" w:rsidP="00651423"/>
        </w:tc>
        <w:tc>
          <w:tcPr>
            <w:tcW w:w="1275" w:type="dxa"/>
            <w:vMerge/>
            <w:shd w:val="clear" w:color="auto" w:fill="auto"/>
          </w:tcPr>
          <w:p w:rsidR="00651423" w:rsidRDefault="00651423" w:rsidP="00651423">
            <w:pPr>
              <w:rPr>
                <w:color w:val="auto"/>
                <w:szCs w:val="24"/>
              </w:rPr>
            </w:pPr>
          </w:p>
        </w:tc>
        <w:tc>
          <w:tcPr>
            <w:tcW w:w="1276" w:type="dxa"/>
          </w:tcPr>
          <w:p w:rsidR="00651423" w:rsidRDefault="00651423" w:rsidP="00651423">
            <w:pPr>
              <w:jc w:val="left"/>
              <w:rPr>
                <w:color w:val="auto"/>
                <w:szCs w:val="24"/>
              </w:rPr>
            </w:pPr>
            <w:r>
              <w:rPr>
                <w:color w:val="auto"/>
                <w:szCs w:val="24"/>
              </w:rPr>
              <w:t>Главная книга;</w:t>
            </w:r>
          </w:p>
          <w:p w:rsidR="00651423" w:rsidRDefault="00651423" w:rsidP="00651423">
            <w:pPr>
              <w:jc w:val="left"/>
              <w:rPr>
                <w:color w:val="auto"/>
                <w:szCs w:val="24"/>
              </w:rPr>
            </w:pPr>
            <w:r>
              <w:rPr>
                <w:color w:val="auto"/>
                <w:szCs w:val="24"/>
              </w:rPr>
              <w:t>ЕИС Мониторинг;</w:t>
            </w:r>
          </w:p>
          <w:p w:rsidR="00651423" w:rsidRPr="0098550F" w:rsidRDefault="00651423" w:rsidP="00651423">
            <w:pPr>
              <w:rPr>
                <w:color w:val="auto"/>
                <w:szCs w:val="24"/>
              </w:rPr>
            </w:pPr>
            <w:r w:rsidRPr="004B79F2">
              <w:rPr>
                <w:color w:val="auto"/>
                <w:szCs w:val="24"/>
              </w:rPr>
              <w:t>БД ПУР ЭБ</w:t>
            </w:r>
          </w:p>
        </w:tc>
        <w:tc>
          <w:tcPr>
            <w:tcW w:w="1985" w:type="dxa"/>
          </w:tcPr>
          <w:p w:rsidR="00651423" w:rsidRPr="0098550F" w:rsidRDefault="00651423" w:rsidP="00651423">
            <w:pPr>
              <w:jc w:val="left"/>
              <w:rPr>
                <w:color w:val="auto"/>
                <w:szCs w:val="24"/>
              </w:rPr>
            </w:pPr>
            <w:r>
              <w:rPr>
                <w:color w:val="auto"/>
                <w:szCs w:val="24"/>
              </w:rPr>
              <w:t>Сумма, млрд. руб</w:t>
            </w:r>
          </w:p>
        </w:tc>
        <w:tc>
          <w:tcPr>
            <w:tcW w:w="3827" w:type="dxa"/>
          </w:tcPr>
          <w:p w:rsidR="00651423" w:rsidRPr="00837EFE" w:rsidRDefault="00651423" w:rsidP="00651423">
            <w:pPr>
              <w:jc w:val="left"/>
              <w:rPr>
                <w:color w:val="auto"/>
                <w:szCs w:val="24"/>
              </w:rPr>
            </w:pPr>
            <w:r w:rsidRPr="00837EFE">
              <w:rPr>
                <w:color w:val="auto"/>
                <w:szCs w:val="24"/>
              </w:rPr>
              <w:t>Формула(сумма):</w:t>
            </w:r>
          </w:p>
          <w:p w:rsidR="00651423" w:rsidRPr="00837EFE" w:rsidRDefault="00651423" w:rsidP="00651423">
            <w:pPr>
              <w:jc w:val="left"/>
              <w:rPr>
                <w:color w:val="auto"/>
                <w:szCs w:val="24"/>
              </w:rPr>
            </w:pPr>
            <w:r w:rsidRPr="00837EFE">
              <w:rPr>
                <w:color w:val="auto"/>
                <w:szCs w:val="24"/>
              </w:rPr>
              <w:t>1.</w:t>
            </w:r>
            <w:r w:rsidRPr="00837EFE">
              <w:rPr>
                <w:color w:val="auto"/>
                <w:szCs w:val="24"/>
              </w:rPr>
              <w:tab/>
              <w:t>Главная книга. Показатели БО по КВР 200, 410 +323(кроме 415);</w:t>
            </w:r>
          </w:p>
          <w:p w:rsidR="00651423" w:rsidRPr="00837EFE" w:rsidRDefault="00651423" w:rsidP="00651423">
            <w:pPr>
              <w:jc w:val="left"/>
              <w:rPr>
                <w:color w:val="auto"/>
                <w:szCs w:val="24"/>
              </w:rPr>
            </w:pPr>
            <w:r w:rsidRPr="00837EFE">
              <w:rPr>
                <w:color w:val="auto"/>
                <w:szCs w:val="24"/>
              </w:rPr>
              <w:t>2.</w:t>
            </w:r>
            <w:r w:rsidRPr="00837EFE">
              <w:rPr>
                <w:color w:val="auto"/>
                <w:szCs w:val="24"/>
              </w:rPr>
              <w:tab/>
              <w:t>Реестр закупок (фин.обеспечение на текущий год). КВР &lt;&gt;200, 410, 415. Показатель «Фин.обеспечение на текущий год»;</w:t>
            </w:r>
          </w:p>
          <w:p w:rsidR="00651423" w:rsidRPr="00837EFE" w:rsidRDefault="00651423" w:rsidP="00651423">
            <w:pPr>
              <w:jc w:val="left"/>
              <w:rPr>
                <w:color w:val="auto"/>
                <w:szCs w:val="24"/>
              </w:rPr>
            </w:pPr>
            <w:r w:rsidRPr="00837EFE">
              <w:rPr>
                <w:color w:val="auto"/>
                <w:szCs w:val="24"/>
              </w:rPr>
              <w:t>3.</w:t>
            </w:r>
            <w:r w:rsidRPr="00837EFE">
              <w:rPr>
                <w:color w:val="auto"/>
                <w:szCs w:val="24"/>
              </w:rPr>
              <w:tab/>
              <w:t xml:space="preserve">ПУР </w:t>
            </w:r>
            <w:r>
              <w:rPr>
                <w:color w:val="auto"/>
                <w:szCs w:val="24"/>
              </w:rPr>
              <w:t xml:space="preserve">ЭБ </w:t>
            </w:r>
            <w:r w:rsidRPr="00837EFE">
              <w:rPr>
                <w:color w:val="auto"/>
                <w:szCs w:val="24"/>
              </w:rPr>
              <w:t xml:space="preserve">(закупки малого объема). </w:t>
            </w:r>
          </w:p>
          <w:p w:rsidR="00651423" w:rsidRPr="00B554C2" w:rsidRDefault="00651423" w:rsidP="00651423">
            <w:pPr>
              <w:jc w:val="left"/>
              <w:rPr>
                <w:sz w:val="28"/>
              </w:rPr>
            </w:pPr>
            <w:r w:rsidRPr="00837EFE">
              <w:rPr>
                <w:color w:val="auto"/>
                <w:szCs w:val="24"/>
              </w:rPr>
              <w:t>КВР &lt;&gt;200, 410, 41</w:t>
            </w:r>
            <w:r>
              <w:rPr>
                <w:color w:val="auto"/>
                <w:szCs w:val="24"/>
              </w:rPr>
              <w:t>5. Показатель «</w:t>
            </w:r>
            <w:r w:rsidRPr="00837EFE">
              <w:rPr>
                <w:color w:val="auto"/>
                <w:szCs w:val="24"/>
              </w:rPr>
              <w:t>Бюджетные обязательства на год</w:t>
            </w:r>
            <w:r>
              <w:rPr>
                <w:color w:val="auto"/>
                <w:szCs w:val="24"/>
              </w:rPr>
              <w:t>»</w:t>
            </w:r>
          </w:p>
        </w:tc>
      </w:tr>
      <w:tr w:rsidR="00651423" w:rsidRPr="0098550F" w:rsidTr="00651423">
        <w:trPr>
          <w:cantSplit/>
          <w:trHeight w:val="223"/>
        </w:trPr>
        <w:tc>
          <w:tcPr>
            <w:tcW w:w="1526" w:type="dxa"/>
            <w:vMerge w:val="restart"/>
            <w:shd w:val="clear" w:color="auto" w:fill="auto"/>
          </w:tcPr>
          <w:p w:rsidR="00651423" w:rsidRPr="002D130C" w:rsidRDefault="00651423" w:rsidP="005C6E50">
            <w:pPr>
              <w:numPr>
                <w:ilvl w:val="0"/>
                <w:numId w:val="135"/>
              </w:numPr>
              <w:ind w:left="0" w:firstLine="0"/>
              <w:jc w:val="left"/>
              <w:rPr>
                <w:color w:val="auto"/>
                <w:szCs w:val="24"/>
              </w:rPr>
            </w:pPr>
            <w:r w:rsidRPr="00761D1B">
              <w:rPr>
                <w:color w:val="auto"/>
                <w:szCs w:val="24"/>
              </w:rPr>
              <w:t>Графа</w:t>
            </w:r>
          </w:p>
        </w:tc>
        <w:tc>
          <w:tcPr>
            <w:tcW w:w="1275" w:type="dxa"/>
            <w:vMerge w:val="restart"/>
            <w:shd w:val="clear" w:color="auto" w:fill="auto"/>
          </w:tcPr>
          <w:p w:rsidR="00651423" w:rsidRDefault="00651423" w:rsidP="00651423">
            <w:pPr>
              <w:rPr>
                <w:color w:val="auto"/>
                <w:szCs w:val="24"/>
              </w:rPr>
            </w:pPr>
            <w:r>
              <w:rPr>
                <w:color w:val="auto"/>
                <w:szCs w:val="24"/>
              </w:rPr>
              <w:t>Исполненные контракты</w:t>
            </w: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Факт от БО, %</w:t>
            </w:r>
          </w:p>
        </w:tc>
        <w:tc>
          <w:tcPr>
            <w:tcW w:w="3827" w:type="dxa"/>
          </w:tcPr>
          <w:p w:rsidR="00651423" w:rsidRPr="00875D37" w:rsidRDefault="00651423" w:rsidP="00651423">
            <w:pPr>
              <w:jc w:val="left"/>
              <w:rPr>
                <w:color w:val="auto"/>
                <w:szCs w:val="24"/>
              </w:rPr>
            </w:pPr>
            <w:r w:rsidRPr="00875D37">
              <w:rPr>
                <w:color w:val="auto"/>
                <w:szCs w:val="24"/>
              </w:rPr>
              <w:t>Факт от БО.</w:t>
            </w:r>
          </w:p>
          <w:p w:rsidR="00651423" w:rsidRPr="00875D37" w:rsidRDefault="00651423" w:rsidP="00651423">
            <w:pPr>
              <w:jc w:val="left"/>
              <w:rPr>
                <w:color w:val="auto"/>
                <w:szCs w:val="24"/>
              </w:rPr>
            </w:pPr>
            <w:r w:rsidRPr="00875D37">
              <w:rPr>
                <w:color w:val="auto"/>
                <w:szCs w:val="24"/>
              </w:rPr>
              <w:t>Считаем по следующему правилу:</w:t>
            </w:r>
          </w:p>
          <w:p w:rsidR="00651423" w:rsidRDefault="00651423" w:rsidP="00651423">
            <w:pPr>
              <w:jc w:val="left"/>
              <w:rPr>
                <w:sz w:val="28"/>
              </w:rPr>
            </w:pPr>
            <w:r w:rsidRPr="00875D37">
              <w:rPr>
                <w:color w:val="auto"/>
                <w:szCs w:val="24"/>
              </w:rPr>
              <w:t>Рассчитываем значение в % по формуле: (Денежные обязательства / Бюджетные обязательства *100% )</w:t>
            </w:r>
          </w:p>
          <w:p w:rsidR="00651423" w:rsidRPr="0092653B" w:rsidRDefault="00651423" w:rsidP="00651423">
            <w:pPr>
              <w:pStyle w:val="afff6"/>
              <w:ind w:left="720"/>
              <w:jc w:val="left"/>
            </w:pPr>
          </w:p>
        </w:tc>
      </w:tr>
      <w:tr w:rsidR="00651423" w:rsidRPr="0098550F" w:rsidTr="00651423">
        <w:trPr>
          <w:cantSplit/>
          <w:trHeight w:val="223"/>
        </w:trPr>
        <w:tc>
          <w:tcPr>
            <w:tcW w:w="1526" w:type="dxa"/>
            <w:vMerge/>
            <w:shd w:val="clear" w:color="auto" w:fill="auto"/>
          </w:tcPr>
          <w:p w:rsidR="00651423" w:rsidRPr="002D130C" w:rsidRDefault="00651423" w:rsidP="005C6E50">
            <w:pPr>
              <w:numPr>
                <w:ilvl w:val="0"/>
                <w:numId w:val="135"/>
              </w:numPr>
              <w:ind w:left="0" w:firstLine="0"/>
              <w:jc w:val="left"/>
              <w:rPr>
                <w:color w:val="auto"/>
                <w:szCs w:val="24"/>
              </w:rPr>
            </w:pPr>
          </w:p>
        </w:tc>
        <w:tc>
          <w:tcPr>
            <w:tcW w:w="1275" w:type="dxa"/>
            <w:vMerge/>
            <w:shd w:val="clear" w:color="auto" w:fill="auto"/>
          </w:tcPr>
          <w:p w:rsidR="00651423" w:rsidRDefault="00651423" w:rsidP="00651423">
            <w:pPr>
              <w:rPr>
                <w:color w:val="auto"/>
                <w:szCs w:val="24"/>
              </w:rPr>
            </w:pPr>
          </w:p>
        </w:tc>
        <w:tc>
          <w:tcPr>
            <w:tcW w:w="1276" w:type="dxa"/>
          </w:tcPr>
          <w:p w:rsidR="00651423" w:rsidRDefault="00651423" w:rsidP="00651423">
            <w:pPr>
              <w:jc w:val="left"/>
              <w:rPr>
                <w:color w:val="auto"/>
                <w:szCs w:val="24"/>
              </w:rPr>
            </w:pPr>
            <w:r>
              <w:rPr>
                <w:color w:val="auto"/>
                <w:szCs w:val="24"/>
              </w:rPr>
              <w:t>Главная книга;</w:t>
            </w:r>
          </w:p>
          <w:p w:rsidR="00651423" w:rsidRPr="0098550F" w:rsidRDefault="00651423" w:rsidP="00651423">
            <w:pPr>
              <w:rPr>
                <w:color w:val="auto"/>
                <w:szCs w:val="24"/>
              </w:rPr>
            </w:pPr>
            <w:r w:rsidRPr="004B79F2">
              <w:rPr>
                <w:color w:val="auto"/>
                <w:szCs w:val="24"/>
              </w:rPr>
              <w:t>БД ПУР ЭБ</w:t>
            </w:r>
          </w:p>
        </w:tc>
        <w:tc>
          <w:tcPr>
            <w:tcW w:w="1985" w:type="dxa"/>
          </w:tcPr>
          <w:p w:rsidR="00651423" w:rsidRPr="0098550F" w:rsidRDefault="00651423" w:rsidP="00651423">
            <w:pPr>
              <w:jc w:val="left"/>
              <w:rPr>
                <w:color w:val="auto"/>
                <w:szCs w:val="24"/>
              </w:rPr>
            </w:pPr>
            <w:r>
              <w:rPr>
                <w:color w:val="auto"/>
                <w:szCs w:val="24"/>
              </w:rPr>
              <w:t>Сумма, млрд. руб</w:t>
            </w:r>
          </w:p>
        </w:tc>
        <w:tc>
          <w:tcPr>
            <w:tcW w:w="3827" w:type="dxa"/>
          </w:tcPr>
          <w:p w:rsidR="00651423" w:rsidRPr="00875D37" w:rsidRDefault="00651423" w:rsidP="00651423">
            <w:pPr>
              <w:jc w:val="left"/>
              <w:rPr>
                <w:color w:val="auto"/>
                <w:szCs w:val="24"/>
              </w:rPr>
            </w:pPr>
            <w:r w:rsidRPr="00875D37">
              <w:rPr>
                <w:color w:val="auto"/>
                <w:szCs w:val="24"/>
              </w:rPr>
              <w:t>Формула(сумма):</w:t>
            </w:r>
          </w:p>
          <w:p w:rsidR="00651423" w:rsidRPr="00875D37" w:rsidRDefault="00651423" w:rsidP="00651423">
            <w:pPr>
              <w:jc w:val="left"/>
              <w:rPr>
                <w:color w:val="auto"/>
                <w:szCs w:val="24"/>
              </w:rPr>
            </w:pPr>
            <w:r>
              <w:rPr>
                <w:color w:val="auto"/>
                <w:szCs w:val="24"/>
              </w:rPr>
              <w:t xml:space="preserve">1. </w:t>
            </w:r>
            <w:r w:rsidRPr="00875D37">
              <w:rPr>
                <w:color w:val="auto"/>
                <w:szCs w:val="24"/>
              </w:rPr>
              <w:t>Главная книга. Показатели ДО по КВР 200, 410 +323(кроме 415);</w:t>
            </w:r>
          </w:p>
          <w:p w:rsidR="00651423" w:rsidRPr="00875D37" w:rsidRDefault="00651423" w:rsidP="00651423">
            <w:pPr>
              <w:jc w:val="left"/>
              <w:rPr>
                <w:color w:val="auto"/>
                <w:szCs w:val="24"/>
              </w:rPr>
            </w:pPr>
            <w:r>
              <w:rPr>
                <w:color w:val="auto"/>
                <w:szCs w:val="24"/>
              </w:rPr>
              <w:t xml:space="preserve">2. </w:t>
            </w:r>
            <w:r w:rsidRPr="00875D37">
              <w:rPr>
                <w:color w:val="auto"/>
                <w:szCs w:val="24"/>
              </w:rPr>
              <w:t xml:space="preserve">ПУР </w:t>
            </w:r>
            <w:r>
              <w:rPr>
                <w:color w:val="auto"/>
                <w:szCs w:val="24"/>
              </w:rPr>
              <w:t>ЭБ</w:t>
            </w:r>
            <w:r w:rsidRPr="00875D37">
              <w:rPr>
                <w:color w:val="auto"/>
                <w:szCs w:val="24"/>
              </w:rPr>
              <w:t>(стыковка с Реестром контрактов в ЕИС по номеру контракта и номеру БО).</w:t>
            </w:r>
          </w:p>
          <w:p w:rsidR="00651423" w:rsidRPr="00875D37" w:rsidRDefault="00651423" w:rsidP="00651423">
            <w:pPr>
              <w:jc w:val="left"/>
              <w:rPr>
                <w:color w:val="auto"/>
                <w:szCs w:val="24"/>
              </w:rPr>
            </w:pPr>
            <w:r w:rsidRPr="00875D37">
              <w:rPr>
                <w:color w:val="auto"/>
                <w:szCs w:val="24"/>
              </w:rPr>
              <w:t>КВР &lt;&gt;200, 410, 415</w:t>
            </w:r>
          </w:p>
          <w:p w:rsidR="00651423" w:rsidRPr="00875D37" w:rsidRDefault="00651423" w:rsidP="00651423">
            <w:pPr>
              <w:jc w:val="left"/>
              <w:rPr>
                <w:color w:val="auto"/>
                <w:szCs w:val="24"/>
              </w:rPr>
            </w:pPr>
            <w:r>
              <w:rPr>
                <w:color w:val="auto"/>
                <w:szCs w:val="24"/>
              </w:rPr>
              <w:t>Показатель «Денежные обязательства на год»</w:t>
            </w:r>
            <w:r w:rsidRPr="00875D37">
              <w:rPr>
                <w:color w:val="auto"/>
                <w:szCs w:val="24"/>
              </w:rPr>
              <w:t>;</w:t>
            </w:r>
          </w:p>
          <w:p w:rsidR="00651423" w:rsidRPr="00875D37" w:rsidRDefault="00651423" w:rsidP="00651423">
            <w:pPr>
              <w:jc w:val="left"/>
              <w:rPr>
                <w:color w:val="auto"/>
                <w:szCs w:val="24"/>
              </w:rPr>
            </w:pPr>
            <w:r>
              <w:rPr>
                <w:color w:val="auto"/>
                <w:szCs w:val="24"/>
              </w:rPr>
              <w:t>3.</w:t>
            </w:r>
            <w:r w:rsidRPr="00875D37">
              <w:rPr>
                <w:color w:val="auto"/>
                <w:szCs w:val="24"/>
              </w:rPr>
              <w:t xml:space="preserve">ПУР </w:t>
            </w:r>
            <w:r>
              <w:rPr>
                <w:color w:val="auto"/>
                <w:szCs w:val="24"/>
              </w:rPr>
              <w:t>ЭБ</w:t>
            </w:r>
            <w:r w:rsidRPr="00875D37">
              <w:rPr>
                <w:color w:val="auto"/>
                <w:szCs w:val="24"/>
              </w:rPr>
              <w:t xml:space="preserve">(закупки малого объема). </w:t>
            </w:r>
          </w:p>
          <w:p w:rsidR="00651423" w:rsidRPr="00B554C2" w:rsidRDefault="00651423" w:rsidP="00651423">
            <w:pPr>
              <w:jc w:val="left"/>
              <w:rPr>
                <w:sz w:val="28"/>
              </w:rPr>
            </w:pPr>
            <w:r w:rsidRPr="00875D37">
              <w:rPr>
                <w:color w:val="auto"/>
                <w:szCs w:val="24"/>
              </w:rPr>
              <w:t>К</w:t>
            </w:r>
            <w:r>
              <w:rPr>
                <w:color w:val="auto"/>
                <w:szCs w:val="24"/>
              </w:rPr>
              <w:t>ВР &lt;&gt;200, 410, 415. Показатель «</w:t>
            </w:r>
            <w:r w:rsidRPr="00875D37">
              <w:rPr>
                <w:color w:val="auto"/>
                <w:szCs w:val="24"/>
              </w:rPr>
              <w:t>Денежные обязательства на год</w:t>
            </w:r>
            <w:r>
              <w:rPr>
                <w:color w:val="auto"/>
                <w:szCs w:val="24"/>
              </w:rPr>
              <w:t>»</w:t>
            </w:r>
            <w:r w:rsidRPr="00875D37">
              <w:rPr>
                <w:color w:val="auto"/>
                <w:szCs w:val="24"/>
              </w:rPr>
              <w:t>.</w:t>
            </w:r>
          </w:p>
        </w:tc>
      </w:tr>
      <w:tr w:rsidR="00651423" w:rsidRPr="0098550F" w:rsidTr="00651423">
        <w:trPr>
          <w:cantSplit/>
          <w:trHeight w:val="223"/>
        </w:trPr>
        <w:tc>
          <w:tcPr>
            <w:tcW w:w="1526" w:type="dxa"/>
            <w:vMerge w:val="restart"/>
            <w:shd w:val="clear" w:color="auto" w:fill="auto"/>
          </w:tcPr>
          <w:p w:rsidR="00651423" w:rsidRPr="002D130C" w:rsidRDefault="00651423" w:rsidP="005C6E50">
            <w:pPr>
              <w:numPr>
                <w:ilvl w:val="0"/>
                <w:numId w:val="135"/>
              </w:numPr>
              <w:ind w:left="0" w:firstLine="0"/>
              <w:jc w:val="left"/>
              <w:rPr>
                <w:color w:val="auto"/>
                <w:szCs w:val="24"/>
              </w:rPr>
            </w:pPr>
            <w:r w:rsidRPr="00761D1B">
              <w:rPr>
                <w:color w:val="auto"/>
                <w:szCs w:val="24"/>
              </w:rPr>
              <w:t>Графа</w:t>
            </w:r>
          </w:p>
          <w:p w:rsidR="00651423" w:rsidRPr="002D130C" w:rsidRDefault="00651423" w:rsidP="00651423">
            <w:pPr>
              <w:jc w:val="left"/>
              <w:rPr>
                <w:color w:val="auto"/>
                <w:szCs w:val="24"/>
              </w:rPr>
            </w:pPr>
          </w:p>
        </w:tc>
        <w:tc>
          <w:tcPr>
            <w:tcW w:w="1275" w:type="dxa"/>
            <w:vMerge w:val="restart"/>
            <w:shd w:val="clear" w:color="auto" w:fill="auto"/>
          </w:tcPr>
          <w:p w:rsidR="00651423" w:rsidRDefault="00651423" w:rsidP="00651423">
            <w:pPr>
              <w:rPr>
                <w:color w:val="auto"/>
                <w:szCs w:val="24"/>
              </w:rPr>
            </w:pPr>
            <w:r>
              <w:rPr>
                <w:color w:val="auto"/>
                <w:szCs w:val="24"/>
              </w:rPr>
              <w:t>Оплаченные контракты</w:t>
            </w: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Контрольная точка на ДД.ММ.ГГГГ</w:t>
            </w:r>
          </w:p>
        </w:tc>
        <w:tc>
          <w:tcPr>
            <w:tcW w:w="3827" w:type="dxa"/>
          </w:tcPr>
          <w:p w:rsidR="00651423" w:rsidRPr="00875D37" w:rsidRDefault="00651423" w:rsidP="00651423">
            <w:pPr>
              <w:jc w:val="left"/>
              <w:rPr>
                <w:color w:val="auto"/>
                <w:szCs w:val="24"/>
              </w:rPr>
            </w:pPr>
            <w:r w:rsidRPr="00875D37">
              <w:rPr>
                <w:color w:val="auto"/>
                <w:szCs w:val="24"/>
              </w:rPr>
              <w:t>Контрольная точка.</w:t>
            </w:r>
          </w:p>
          <w:p w:rsidR="00651423" w:rsidRPr="0032031B" w:rsidRDefault="00651423" w:rsidP="00651423">
            <w:pPr>
              <w:jc w:val="left"/>
              <w:rPr>
                <w:color w:val="auto"/>
                <w:szCs w:val="24"/>
              </w:rPr>
            </w:pPr>
            <w:r w:rsidRPr="00875D37">
              <w:rPr>
                <w:color w:val="auto"/>
                <w:szCs w:val="24"/>
              </w:rPr>
              <w:t>Применяем КТ для ДД.ММ.ГГГГ для выбранного года.</w:t>
            </w:r>
          </w:p>
        </w:tc>
      </w:tr>
      <w:tr w:rsidR="00651423" w:rsidRPr="0098550F" w:rsidTr="00651423">
        <w:trPr>
          <w:cantSplit/>
          <w:trHeight w:val="223"/>
        </w:trPr>
        <w:tc>
          <w:tcPr>
            <w:tcW w:w="1526" w:type="dxa"/>
            <w:vMerge/>
            <w:shd w:val="clear" w:color="auto" w:fill="auto"/>
          </w:tcPr>
          <w:p w:rsidR="00651423" w:rsidRPr="002D130C" w:rsidRDefault="00651423" w:rsidP="005C6E50">
            <w:pPr>
              <w:numPr>
                <w:ilvl w:val="0"/>
                <w:numId w:val="135"/>
              </w:numPr>
              <w:ind w:left="0" w:firstLine="0"/>
              <w:jc w:val="left"/>
              <w:rPr>
                <w:color w:val="auto"/>
                <w:szCs w:val="24"/>
              </w:rPr>
            </w:pPr>
          </w:p>
        </w:tc>
        <w:tc>
          <w:tcPr>
            <w:tcW w:w="1275" w:type="dxa"/>
            <w:vMerge/>
            <w:shd w:val="clear" w:color="auto" w:fill="auto"/>
          </w:tcPr>
          <w:p w:rsidR="00651423" w:rsidRDefault="00651423" w:rsidP="00651423">
            <w:pPr>
              <w:rPr>
                <w:color w:val="auto"/>
                <w:szCs w:val="24"/>
              </w:rPr>
            </w:pP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Факт от БА, %</w:t>
            </w:r>
          </w:p>
        </w:tc>
        <w:tc>
          <w:tcPr>
            <w:tcW w:w="3827" w:type="dxa"/>
          </w:tcPr>
          <w:p w:rsidR="00651423" w:rsidRPr="00875D37" w:rsidRDefault="00651423" w:rsidP="00651423">
            <w:pPr>
              <w:jc w:val="left"/>
              <w:rPr>
                <w:color w:val="auto"/>
                <w:szCs w:val="24"/>
              </w:rPr>
            </w:pPr>
            <w:r w:rsidRPr="00875D37">
              <w:rPr>
                <w:color w:val="auto"/>
                <w:szCs w:val="24"/>
              </w:rPr>
              <w:t>Факт от БА.</w:t>
            </w:r>
          </w:p>
          <w:p w:rsidR="00651423" w:rsidRPr="00875D37" w:rsidRDefault="00651423" w:rsidP="00651423">
            <w:pPr>
              <w:jc w:val="left"/>
              <w:rPr>
                <w:color w:val="auto"/>
                <w:szCs w:val="24"/>
              </w:rPr>
            </w:pPr>
            <w:r w:rsidRPr="00875D37">
              <w:rPr>
                <w:color w:val="auto"/>
                <w:szCs w:val="24"/>
              </w:rPr>
              <w:t>Считаем по следующему правилу:</w:t>
            </w:r>
          </w:p>
          <w:p w:rsidR="00651423" w:rsidRPr="00875D37" w:rsidRDefault="00651423" w:rsidP="00651423">
            <w:pPr>
              <w:jc w:val="left"/>
              <w:rPr>
                <w:color w:val="auto"/>
                <w:szCs w:val="24"/>
              </w:rPr>
            </w:pPr>
            <w:r w:rsidRPr="00875D37">
              <w:rPr>
                <w:color w:val="auto"/>
                <w:szCs w:val="24"/>
              </w:rPr>
              <w:t>Рассчитываем значение в % по формуле: (Оплаченные контракты/ Бюджетные ассигнования *100% )</w:t>
            </w:r>
          </w:p>
          <w:p w:rsidR="00651423" w:rsidRPr="00875D37" w:rsidRDefault="00651423" w:rsidP="00651423">
            <w:pPr>
              <w:jc w:val="left"/>
              <w:rPr>
                <w:color w:val="auto"/>
                <w:szCs w:val="24"/>
              </w:rPr>
            </w:pPr>
            <w:r w:rsidRPr="00875D37">
              <w:rPr>
                <w:color w:val="auto"/>
                <w:szCs w:val="24"/>
              </w:rPr>
              <w:t xml:space="preserve">Индикация: </w:t>
            </w:r>
          </w:p>
          <w:p w:rsidR="00651423" w:rsidRPr="00875D37" w:rsidRDefault="00651423" w:rsidP="00651423">
            <w:pPr>
              <w:jc w:val="left"/>
              <w:rPr>
                <w:color w:val="auto"/>
                <w:szCs w:val="24"/>
              </w:rPr>
            </w:pPr>
            <w:r w:rsidRPr="00875D37">
              <w:rPr>
                <w:color w:val="auto"/>
                <w:szCs w:val="24"/>
              </w:rPr>
              <w:t>- если ФАКТ &gt;= КТ – зеленый;</w:t>
            </w:r>
          </w:p>
          <w:p w:rsidR="00651423" w:rsidRPr="00B554C2" w:rsidRDefault="00651423" w:rsidP="00651423">
            <w:pPr>
              <w:jc w:val="left"/>
              <w:rPr>
                <w:sz w:val="28"/>
              </w:rPr>
            </w:pPr>
            <w:r w:rsidRPr="00875D37">
              <w:rPr>
                <w:color w:val="auto"/>
                <w:szCs w:val="24"/>
              </w:rPr>
              <w:t>- если ФАКТ &lt; КТ – красный;</w:t>
            </w:r>
          </w:p>
        </w:tc>
      </w:tr>
      <w:tr w:rsidR="00651423" w:rsidRPr="0098550F" w:rsidTr="00651423">
        <w:trPr>
          <w:cantSplit/>
          <w:trHeight w:val="223"/>
        </w:trPr>
        <w:tc>
          <w:tcPr>
            <w:tcW w:w="1526" w:type="dxa"/>
            <w:vMerge/>
            <w:shd w:val="clear" w:color="auto" w:fill="auto"/>
          </w:tcPr>
          <w:p w:rsidR="00651423" w:rsidRPr="00761D1B" w:rsidRDefault="00651423" w:rsidP="005C6E50">
            <w:pPr>
              <w:numPr>
                <w:ilvl w:val="0"/>
                <w:numId w:val="135"/>
              </w:numPr>
              <w:ind w:left="0" w:firstLine="0"/>
              <w:jc w:val="left"/>
              <w:rPr>
                <w:color w:val="auto"/>
                <w:szCs w:val="24"/>
              </w:rPr>
            </w:pPr>
          </w:p>
        </w:tc>
        <w:tc>
          <w:tcPr>
            <w:tcW w:w="1275" w:type="dxa"/>
            <w:vMerge/>
            <w:shd w:val="clear" w:color="auto" w:fill="auto"/>
          </w:tcPr>
          <w:p w:rsidR="00651423" w:rsidRDefault="00651423" w:rsidP="00651423">
            <w:pPr>
              <w:rPr>
                <w:color w:val="auto"/>
                <w:szCs w:val="24"/>
              </w:rPr>
            </w:pP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Факт от ДО, %</w:t>
            </w:r>
          </w:p>
        </w:tc>
        <w:tc>
          <w:tcPr>
            <w:tcW w:w="3827" w:type="dxa"/>
          </w:tcPr>
          <w:p w:rsidR="00651423" w:rsidRPr="00875D37" w:rsidRDefault="00651423" w:rsidP="00651423">
            <w:pPr>
              <w:jc w:val="left"/>
              <w:rPr>
                <w:color w:val="auto"/>
                <w:szCs w:val="24"/>
              </w:rPr>
            </w:pPr>
            <w:r w:rsidRPr="00875D37">
              <w:rPr>
                <w:color w:val="auto"/>
                <w:szCs w:val="24"/>
              </w:rPr>
              <w:t>Факт от ДО.</w:t>
            </w:r>
          </w:p>
          <w:p w:rsidR="00651423" w:rsidRPr="00875D37" w:rsidRDefault="00651423" w:rsidP="00651423">
            <w:pPr>
              <w:jc w:val="left"/>
              <w:rPr>
                <w:color w:val="auto"/>
                <w:szCs w:val="24"/>
              </w:rPr>
            </w:pPr>
            <w:r w:rsidRPr="00875D37">
              <w:rPr>
                <w:color w:val="auto"/>
                <w:szCs w:val="24"/>
              </w:rPr>
              <w:t>Считаем по следующему правилу:</w:t>
            </w:r>
          </w:p>
          <w:p w:rsidR="00651423" w:rsidRPr="00B554C2" w:rsidRDefault="00651423" w:rsidP="00651423">
            <w:pPr>
              <w:jc w:val="left"/>
              <w:rPr>
                <w:sz w:val="28"/>
              </w:rPr>
            </w:pPr>
            <w:r w:rsidRPr="00875D37">
              <w:rPr>
                <w:color w:val="auto"/>
                <w:szCs w:val="24"/>
              </w:rPr>
              <w:t>Рассчитываем значение в % по формуле: (Оплаченные контракты/Денежные  обязательства *100% )</w:t>
            </w:r>
          </w:p>
        </w:tc>
      </w:tr>
      <w:tr w:rsidR="00651423" w:rsidRPr="0098550F" w:rsidTr="00651423">
        <w:trPr>
          <w:cantSplit/>
          <w:trHeight w:val="223"/>
        </w:trPr>
        <w:tc>
          <w:tcPr>
            <w:tcW w:w="1526" w:type="dxa"/>
            <w:vMerge/>
            <w:shd w:val="clear" w:color="auto" w:fill="auto"/>
          </w:tcPr>
          <w:p w:rsidR="00651423" w:rsidRPr="00761D1B" w:rsidRDefault="00651423" w:rsidP="005C6E50">
            <w:pPr>
              <w:numPr>
                <w:ilvl w:val="0"/>
                <w:numId w:val="135"/>
              </w:numPr>
              <w:ind w:left="0" w:firstLine="0"/>
              <w:jc w:val="left"/>
              <w:rPr>
                <w:color w:val="auto"/>
                <w:szCs w:val="24"/>
              </w:rPr>
            </w:pPr>
          </w:p>
        </w:tc>
        <w:tc>
          <w:tcPr>
            <w:tcW w:w="1275" w:type="dxa"/>
            <w:vMerge/>
            <w:shd w:val="clear" w:color="auto" w:fill="auto"/>
          </w:tcPr>
          <w:p w:rsidR="00651423" w:rsidRDefault="00651423" w:rsidP="00651423">
            <w:pPr>
              <w:rPr>
                <w:color w:val="auto"/>
                <w:szCs w:val="24"/>
              </w:rPr>
            </w:pPr>
          </w:p>
        </w:tc>
        <w:tc>
          <w:tcPr>
            <w:tcW w:w="1276" w:type="dxa"/>
          </w:tcPr>
          <w:p w:rsidR="00651423" w:rsidRPr="0098550F" w:rsidRDefault="00651423" w:rsidP="00651423">
            <w:pPr>
              <w:rPr>
                <w:color w:val="auto"/>
                <w:szCs w:val="24"/>
              </w:rPr>
            </w:pPr>
          </w:p>
        </w:tc>
        <w:tc>
          <w:tcPr>
            <w:tcW w:w="1985" w:type="dxa"/>
          </w:tcPr>
          <w:p w:rsidR="00651423" w:rsidRPr="0098550F" w:rsidRDefault="00651423" w:rsidP="00651423">
            <w:pPr>
              <w:jc w:val="left"/>
              <w:rPr>
                <w:color w:val="auto"/>
                <w:szCs w:val="24"/>
              </w:rPr>
            </w:pPr>
            <w:r>
              <w:rPr>
                <w:color w:val="auto"/>
                <w:szCs w:val="24"/>
              </w:rPr>
              <w:t>Сумма, млрд. руб</w:t>
            </w:r>
          </w:p>
        </w:tc>
        <w:tc>
          <w:tcPr>
            <w:tcW w:w="3827" w:type="dxa"/>
          </w:tcPr>
          <w:p w:rsidR="00651423" w:rsidRPr="00875D37" w:rsidRDefault="00651423" w:rsidP="00651423">
            <w:pPr>
              <w:jc w:val="left"/>
              <w:rPr>
                <w:color w:val="auto"/>
                <w:szCs w:val="24"/>
              </w:rPr>
            </w:pPr>
            <w:r w:rsidRPr="00875D37">
              <w:rPr>
                <w:color w:val="auto"/>
                <w:szCs w:val="24"/>
              </w:rPr>
              <w:t>Формула</w:t>
            </w:r>
            <w:r>
              <w:rPr>
                <w:color w:val="auto"/>
                <w:szCs w:val="24"/>
              </w:rPr>
              <w:t xml:space="preserve"> </w:t>
            </w:r>
            <w:r w:rsidRPr="00875D37">
              <w:rPr>
                <w:color w:val="auto"/>
                <w:szCs w:val="24"/>
              </w:rPr>
              <w:t>(сумма):</w:t>
            </w:r>
          </w:p>
          <w:p w:rsidR="00651423" w:rsidRPr="00875D37" w:rsidRDefault="00651423" w:rsidP="005C6E50">
            <w:pPr>
              <w:pStyle w:val="afff6"/>
              <w:numPr>
                <w:ilvl w:val="0"/>
                <w:numId w:val="134"/>
              </w:numPr>
              <w:jc w:val="left"/>
              <w:rPr>
                <w:color w:val="auto"/>
                <w:sz w:val="24"/>
                <w:szCs w:val="24"/>
              </w:rPr>
            </w:pPr>
            <w:r w:rsidRPr="00875D37">
              <w:rPr>
                <w:color w:val="auto"/>
                <w:sz w:val="24"/>
                <w:szCs w:val="24"/>
              </w:rPr>
              <w:t>Главная книга. Показатели ДО по КВР 200, 410 +323(кроме 415);</w:t>
            </w:r>
          </w:p>
          <w:p w:rsidR="00651423" w:rsidRPr="00875D37" w:rsidRDefault="00651423" w:rsidP="005C6E50">
            <w:pPr>
              <w:pStyle w:val="afff6"/>
              <w:numPr>
                <w:ilvl w:val="0"/>
                <w:numId w:val="134"/>
              </w:numPr>
              <w:jc w:val="left"/>
              <w:rPr>
                <w:color w:val="auto"/>
                <w:sz w:val="24"/>
                <w:szCs w:val="24"/>
              </w:rPr>
            </w:pPr>
            <w:r w:rsidRPr="00875D37">
              <w:rPr>
                <w:color w:val="auto"/>
                <w:sz w:val="24"/>
                <w:szCs w:val="24"/>
              </w:rPr>
              <w:t xml:space="preserve">ПУР </w:t>
            </w:r>
            <w:r>
              <w:rPr>
                <w:color w:val="auto"/>
                <w:sz w:val="24"/>
                <w:szCs w:val="24"/>
              </w:rPr>
              <w:t xml:space="preserve">ЭБ </w:t>
            </w:r>
            <w:r w:rsidRPr="00875D37">
              <w:rPr>
                <w:color w:val="auto"/>
                <w:sz w:val="24"/>
                <w:szCs w:val="24"/>
              </w:rPr>
              <w:t xml:space="preserve">(закупки малого объема). </w:t>
            </w:r>
          </w:p>
          <w:p w:rsidR="00651423" w:rsidRPr="00875D37" w:rsidRDefault="00651423" w:rsidP="00651423">
            <w:pPr>
              <w:pStyle w:val="afff6"/>
              <w:ind w:left="720"/>
              <w:jc w:val="left"/>
              <w:rPr>
                <w:color w:val="auto"/>
                <w:sz w:val="24"/>
                <w:szCs w:val="24"/>
              </w:rPr>
            </w:pPr>
            <w:r w:rsidRPr="00875D37">
              <w:rPr>
                <w:color w:val="auto"/>
                <w:sz w:val="24"/>
                <w:szCs w:val="24"/>
              </w:rPr>
              <w:t>К</w:t>
            </w:r>
            <w:r>
              <w:rPr>
                <w:color w:val="auto"/>
                <w:sz w:val="24"/>
                <w:szCs w:val="24"/>
              </w:rPr>
              <w:t>ВР &lt;&gt;200, 410, 415. Показатель «</w:t>
            </w:r>
            <w:r w:rsidRPr="00875D37">
              <w:rPr>
                <w:color w:val="auto"/>
                <w:sz w:val="24"/>
                <w:szCs w:val="24"/>
              </w:rPr>
              <w:t>Бюджетные обязательства на год</w:t>
            </w:r>
            <w:r>
              <w:rPr>
                <w:color w:val="auto"/>
                <w:sz w:val="24"/>
                <w:szCs w:val="24"/>
              </w:rPr>
              <w:t>»</w:t>
            </w:r>
          </w:p>
          <w:p w:rsidR="00651423" w:rsidRDefault="00651423" w:rsidP="005C6E50">
            <w:pPr>
              <w:pStyle w:val="af0"/>
              <w:numPr>
                <w:ilvl w:val="0"/>
                <w:numId w:val="134"/>
              </w:numPr>
              <w:jc w:val="left"/>
              <w:rPr>
                <w:color w:val="auto"/>
                <w:sz w:val="24"/>
                <w:szCs w:val="24"/>
              </w:rPr>
            </w:pPr>
            <w:r w:rsidRPr="0092653B">
              <w:rPr>
                <w:color w:val="auto"/>
                <w:sz w:val="24"/>
                <w:szCs w:val="24"/>
              </w:rPr>
              <w:t>АСФК (стыковка с Реестром контрактов в ЕИС по номеру контракта и номеру БО)</w:t>
            </w:r>
          </w:p>
          <w:p w:rsidR="00651423" w:rsidRPr="0092653B" w:rsidRDefault="00651423" w:rsidP="00651423">
            <w:pPr>
              <w:pStyle w:val="af0"/>
              <w:ind w:left="720" w:firstLine="0"/>
              <w:jc w:val="left"/>
              <w:rPr>
                <w:color w:val="auto"/>
                <w:sz w:val="24"/>
                <w:szCs w:val="24"/>
              </w:rPr>
            </w:pPr>
            <w:r w:rsidRPr="0092653B">
              <w:rPr>
                <w:color w:val="auto"/>
                <w:sz w:val="24"/>
                <w:szCs w:val="24"/>
              </w:rPr>
              <w:t>КВР &lt;&gt;200, 410, 415</w:t>
            </w:r>
          </w:p>
          <w:p w:rsidR="00651423" w:rsidRPr="00875D37" w:rsidRDefault="00651423" w:rsidP="00651423">
            <w:pPr>
              <w:jc w:val="left"/>
              <w:rPr>
                <w:color w:val="auto"/>
                <w:szCs w:val="24"/>
              </w:rPr>
            </w:pPr>
            <w:r w:rsidRPr="0092653B">
              <w:rPr>
                <w:color w:val="auto"/>
                <w:szCs w:val="24"/>
              </w:rPr>
              <w:t xml:space="preserve">Показатель: </w:t>
            </w:r>
            <w:r>
              <w:rPr>
                <w:color w:val="auto"/>
                <w:szCs w:val="24"/>
              </w:rPr>
              <w:t>«</w:t>
            </w:r>
            <w:r w:rsidRPr="0092653B">
              <w:rPr>
                <w:color w:val="auto"/>
                <w:szCs w:val="24"/>
              </w:rPr>
              <w:t>Сумма оплаты в платежках с начала года</w:t>
            </w:r>
            <w:r>
              <w:rPr>
                <w:color w:val="auto"/>
                <w:szCs w:val="24"/>
              </w:rPr>
              <w:t>»</w:t>
            </w:r>
          </w:p>
        </w:tc>
      </w:tr>
      <w:tr w:rsidR="00651423" w:rsidRPr="0098550F" w:rsidTr="00651423">
        <w:trPr>
          <w:cantSplit/>
          <w:trHeight w:val="223"/>
        </w:trPr>
        <w:tc>
          <w:tcPr>
            <w:tcW w:w="1526" w:type="dxa"/>
            <w:shd w:val="clear" w:color="auto" w:fill="auto"/>
          </w:tcPr>
          <w:p w:rsidR="00651423" w:rsidRPr="0098550F" w:rsidRDefault="00651423" w:rsidP="005C6E50">
            <w:pPr>
              <w:numPr>
                <w:ilvl w:val="0"/>
                <w:numId w:val="135"/>
              </w:numPr>
              <w:ind w:left="0" w:firstLine="0"/>
              <w:jc w:val="left"/>
              <w:rPr>
                <w:color w:val="auto"/>
                <w:szCs w:val="24"/>
              </w:rPr>
            </w:pPr>
            <w:r w:rsidRPr="0098550F">
              <w:rPr>
                <w:color w:val="auto"/>
                <w:szCs w:val="24"/>
              </w:rPr>
              <w:t>Переход</w:t>
            </w:r>
          </w:p>
        </w:tc>
        <w:tc>
          <w:tcPr>
            <w:tcW w:w="1275" w:type="dxa"/>
            <w:shd w:val="clear" w:color="auto" w:fill="auto"/>
          </w:tcPr>
          <w:p w:rsidR="00651423" w:rsidRPr="00875D37" w:rsidRDefault="00651423" w:rsidP="00651423">
            <w:pPr>
              <w:rPr>
                <w:color w:val="auto"/>
                <w:szCs w:val="24"/>
              </w:rPr>
            </w:pPr>
            <w:r>
              <w:rPr>
                <w:color w:val="auto"/>
                <w:szCs w:val="24"/>
              </w:rPr>
              <w:t>По ГРБС</w:t>
            </w:r>
          </w:p>
        </w:tc>
        <w:tc>
          <w:tcPr>
            <w:tcW w:w="1276" w:type="dxa"/>
          </w:tcPr>
          <w:p w:rsidR="00651423" w:rsidRPr="0098550F" w:rsidRDefault="00651423" w:rsidP="00651423">
            <w:pPr>
              <w:jc w:val="left"/>
              <w:rPr>
                <w:color w:val="auto"/>
                <w:szCs w:val="24"/>
              </w:rPr>
            </w:pPr>
          </w:p>
        </w:tc>
        <w:tc>
          <w:tcPr>
            <w:tcW w:w="1985" w:type="dxa"/>
          </w:tcPr>
          <w:p w:rsidR="00651423" w:rsidRPr="0098550F" w:rsidRDefault="00651423" w:rsidP="00651423">
            <w:pPr>
              <w:jc w:val="left"/>
              <w:rPr>
                <w:color w:val="auto"/>
                <w:szCs w:val="24"/>
              </w:rPr>
            </w:pPr>
            <w:r w:rsidRPr="0098550F">
              <w:rPr>
                <w:color w:val="auto"/>
                <w:szCs w:val="24"/>
              </w:rPr>
              <w:t>Переход</w:t>
            </w:r>
            <w:r>
              <w:rPr>
                <w:color w:val="auto"/>
                <w:szCs w:val="24"/>
              </w:rPr>
              <w:t xml:space="preserve"> в представлении «По вице-премьерам»</w:t>
            </w:r>
            <w:r w:rsidRPr="0098550F">
              <w:rPr>
                <w:color w:val="auto"/>
                <w:szCs w:val="24"/>
              </w:rPr>
              <w:t xml:space="preserve"> с графы </w:t>
            </w:r>
            <w:r>
              <w:rPr>
                <w:color w:val="auto"/>
                <w:szCs w:val="24"/>
              </w:rPr>
              <w:t>«Вице-премьер» в представление «По ГРБС» с передачей выбранных параметров.</w:t>
            </w:r>
          </w:p>
        </w:tc>
        <w:tc>
          <w:tcPr>
            <w:tcW w:w="3827" w:type="dxa"/>
          </w:tcPr>
          <w:p w:rsidR="00651423" w:rsidRPr="0098550F" w:rsidRDefault="00651423" w:rsidP="00651423">
            <w:pPr>
              <w:jc w:val="left"/>
              <w:rPr>
                <w:color w:val="auto"/>
                <w:szCs w:val="24"/>
              </w:rPr>
            </w:pPr>
          </w:p>
        </w:tc>
      </w:tr>
      <w:tr w:rsidR="00651423" w:rsidRPr="0098550F" w:rsidTr="00651423">
        <w:trPr>
          <w:cantSplit/>
          <w:trHeight w:val="223"/>
        </w:trPr>
        <w:tc>
          <w:tcPr>
            <w:tcW w:w="1526" w:type="dxa"/>
            <w:shd w:val="clear" w:color="auto" w:fill="auto"/>
          </w:tcPr>
          <w:p w:rsidR="00651423" w:rsidRPr="0098550F" w:rsidRDefault="00651423" w:rsidP="005C6E50">
            <w:pPr>
              <w:numPr>
                <w:ilvl w:val="0"/>
                <w:numId w:val="135"/>
              </w:numPr>
              <w:ind w:left="0" w:firstLine="0"/>
              <w:jc w:val="left"/>
              <w:rPr>
                <w:color w:val="auto"/>
                <w:szCs w:val="24"/>
              </w:rPr>
            </w:pPr>
            <w:r w:rsidRPr="0098550F">
              <w:rPr>
                <w:color w:val="auto"/>
                <w:szCs w:val="24"/>
              </w:rPr>
              <w:t>Переход</w:t>
            </w:r>
          </w:p>
        </w:tc>
        <w:tc>
          <w:tcPr>
            <w:tcW w:w="1275" w:type="dxa"/>
            <w:shd w:val="clear" w:color="auto" w:fill="auto"/>
          </w:tcPr>
          <w:p w:rsidR="00651423" w:rsidRPr="00875D37" w:rsidRDefault="00651423" w:rsidP="00651423">
            <w:pPr>
              <w:rPr>
                <w:color w:val="auto"/>
                <w:szCs w:val="24"/>
              </w:rPr>
            </w:pPr>
            <w:r>
              <w:rPr>
                <w:color w:val="auto"/>
                <w:szCs w:val="24"/>
              </w:rPr>
              <w:t>По видам закупок</w:t>
            </w:r>
          </w:p>
        </w:tc>
        <w:tc>
          <w:tcPr>
            <w:tcW w:w="1276" w:type="dxa"/>
          </w:tcPr>
          <w:p w:rsidR="00651423" w:rsidRPr="0098550F" w:rsidRDefault="00651423" w:rsidP="00651423">
            <w:pPr>
              <w:jc w:val="left"/>
              <w:rPr>
                <w:color w:val="auto"/>
                <w:szCs w:val="24"/>
              </w:rPr>
            </w:pPr>
          </w:p>
        </w:tc>
        <w:tc>
          <w:tcPr>
            <w:tcW w:w="1985" w:type="dxa"/>
          </w:tcPr>
          <w:p w:rsidR="00651423" w:rsidRPr="0098550F" w:rsidRDefault="00651423" w:rsidP="00651423">
            <w:pPr>
              <w:jc w:val="left"/>
              <w:rPr>
                <w:color w:val="auto"/>
                <w:szCs w:val="24"/>
              </w:rPr>
            </w:pPr>
            <w:r w:rsidRPr="0098550F">
              <w:rPr>
                <w:color w:val="auto"/>
                <w:szCs w:val="24"/>
              </w:rPr>
              <w:t>Переход</w:t>
            </w:r>
            <w:r>
              <w:rPr>
                <w:color w:val="auto"/>
                <w:szCs w:val="24"/>
              </w:rPr>
              <w:t xml:space="preserve"> в представлении «По ГРБС» </w:t>
            </w:r>
            <w:r w:rsidRPr="0098550F">
              <w:rPr>
                <w:color w:val="auto"/>
                <w:szCs w:val="24"/>
              </w:rPr>
              <w:t xml:space="preserve">с графы </w:t>
            </w:r>
            <w:r>
              <w:rPr>
                <w:color w:val="auto"/>
                <w:szCs w:val="24"/>
              </w:rPr>
              <w:t>«Наименование ГРБС» в представление «По видам закупок» с передачей выбранных параметров.</w:t>
            </w:r>
          </w:p>
        </w:tc>
        <w:tc>
          <w:tcPr>
            <w:tcW w:w="3827" w:type="dxa"/>
          </w:tcPr>
          <w:p w:rsidR="00651423" w:rsidRPr="0098550F" w:rsidRDefault="00651423" w:rsidP="00651423">
            <w:pPr>
              <w:jc w:val="left"/>
              <w:rPr>
                <w:color w:val="auto"/>
                <w:szCs w:val="24"/>
              </w:rPr>
            </w:pPr>
          </w:p>
        </w:tc>
      </w:tr>
    </w:tbl>
    <w:p w:rsidR="00D7505A" w:rsidRDefault="00651423" w:rsidP="000B5177">
      <w:pPr>
        <w:pStyle w:val="-0"/>
      </w:pPr>
      <w:r>
        <w:rPr>
          <w:noProof/>
          <w:snapToGrid/>
        </w:rPr>
        <w:drawing>
          <wp:inline distT="0" distB="0" distL="0" distR="0" wp14:anchorId="0B363B24" wp14:editId="3A8792F2">
            <wp:extent cx="6119495" cy="2734581"/>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6119495" cy="2734581"/>
                    </a:xfrm>
                    <a:prstGeom prst="rect">
                      <a:avLst/>
                    </a:prstGeom>
                  </pic:spPr>
                </pic:pic>
              </a:graphicData>
            </a:graphic>
          </wp:inline>
        </w:drawing>
      </w:r>
    </w:p>
    <w:p w:rsidR="00651423" w:rsidRDefault="00651423" w:rsidP="000B5177">
      <w:pPr>
        <w:pStyle w:val="-0"/>
        <w:rPr>
          <w:noProof/>
        </w:rPr>
      </w:pPr>
      <w:bookmarkStart w:id="654" w:name="_Toc119584339"/>
      <w:r>
        <w:t xml:space="preserve">Рисунок </w:t>
      </w:r>
      <w:fldSimple w:instr=" SEQ Рисунок \* ARABIC ">
        <w:r w:rsidR="001860A9">
          <w:rPr>
            <w:noProof/>
          </w:rPr>
          <w:t>152</w:t>
        </w:r>
      </w:fldSimple>
      <w:r>
        <w:rPr>
          <w:noProof/>
        </w:rPr>
        <w:t xml:space="preserve"> –</w:t>
      </w:r>
      <w:r>
        <w:t xml:space="preserve"> </w:t>
      </w:r>
      <w:r w:rsidRPr="00AF0527">
        <w:t>Макет отчета «</w:t>
      </w:r>
      <w:r>
        <w:t>Закупка товаров, работ, услуг Свод</w:t>
      </w:r>
      <w:r w:rsidRPr="00AF0527">
        <w:t>».</w:t>
      </w:r>
      <w:bookmarkEnd w:id="654"/>
    </w:p>
    <w:p w:rsidR="00347174" w:rsidRDefault="00347174" w:rsidP="00347174">
      <w:pPr>
        <w:pStyle w:val="35"/>
      </w:pPr>
      <w:bookmarkStart w:id="655" w:name="_Toc93074531"/>
      <w:bookmarkStart w:id="656" w:name="_Toc119585085"/>
      <w:r>
        <w:t>Отчет «</w:t>
      </w:r>
      <w:r w:rsidR="009B1C89">
        <w:t xml:space="preserve">Закупка товаров, работ, услуг» </w:t>
      </w:r>
      <w:r>
        <w:t>по данным ЕИС Мониторинг</w:t>
      </w:r>
      <w:bookmarkEnd w:id="655"/>
      <w:r w:rsidR="009B1C89">
        <w:t xml:space="preserve"> (</w:t>
      </w:r>
      <w:r w:rsidR="009B1C89">
        <w:rPr>
          <w:lang w:val="en-US"/>
        </w:rPr>
        <w:t>PIAO</w:t>
      </w:r>
      <w:r w:rsidR="009B1C89" w:rsidRPr="009B1C89">
        <w:t>_180_102_</w:t>
      </w:r>
      <w:r w:rsidR="009B1C89">
        <w:rPr>
          <w:lang w:val="en-US"/>
        </w:rPr>
        <w:t>report</w:t>
      </w:r>
      <w:r w:rsidR="009B1C89">
        <w:t>)</w:t>
      </w:r>
      <w:bookmarkEnd w:id="656"/>
    </w:p>
    <w:p w:rsidR="00F72728" w:rsidRDefault="00F72728" w:rsidP="00F72728">
      <w:pPr>
        <w:pStyle w:val="af0"/>
        <w:rPr>
          <w:szCs w:val="28"/>
        </w:rPr>
      </w:pPr>
      <w:r>
        <w:rPr>
          <w:rStyle w:val="af1"/>
        </w:rPr>
        <w:t>Аналитический отчет</w:t>
      </w:r>
      <w:r w:rsidRPr="00CB7C5A">
        <w:rPr>
          <w:rStyle w:val="af1"/>
        </w:rPr>
        <w:t xml:space="preserve"> «</w:t>
      </w:r>
      <w:r>
        <w:rPr>
          <w:rStyle w:val="af1"/>
        </w:rPr>
        <w:t>Закупка ТРУ</w:t>
      </w:r>
      <w:r w:rsidRPr="00CB7C5A">
        <w:rPr>
          <w:rStyle w:val="af1"/>
        </w:rPr>
        <w:t>»</w:t>
      </w:r>
      <w:r>
        <w:rPr>
          <w:rStyle w:val="af1"/>
        </w:rPr>
        <w:t xml:space="preserve"> по данным системы ЕИС Мониторинг </w:t>
      </w:r>
      <w:r>
        <w:rPr>
          <w:szCs w:val="28"/>
        </w:rPr>
        <w:t>обеспечива</w:t>
      </w:r>
      <w:r w:rsidR="000E2DA7">
        <w:rPr>
          <w:szCs w:val="28"/>
        </w:rPr>
        <w:t>е</w:t>
      </w:r>
      <w:r>
        <w:rPr>
          <w:szCs w:val="28"/>
        </w:rPr>
        <w:t xml:space="preserve">т возможность анализа информации по закупкам и </w:t>
      </w:r>
      <w:r>
        <w:t>контрактам по 44-ФЗ</w:t>
      </w:r>
      <w:r>
        <w:rPr>
          <w:szCs w:val="28"/>
        </w:rPr>
        <w:t>, опубликованным на сайте https://zakupki.gov.ru в разрезе следующих показателей:</w:t>
      </w:r>
    </w:p>
    <w:p w:rsidR="00F72728" w:rsidRDefault="00F72728" w:rsidP="00F72728">
      <w:pPr>
        <w:pStyle w:val="13"/>
        <w:rPr>
          <w:rFonts w:eastAsia="Calibri"/>
        </w:rPr>
      </w:pPr>
      <w:r>
        <w:rPr>
          <w:rFonts w:eastAsia="Calibri"/>
        </w:rPr>
        <w:t>фин. обеспечение контракта;</w:t>
      </w:r>
    </w:p>
    <w:p w:rsidR="00F72728" w:rsidRDefault="00F72728" w:rsidP="00F72728">
      <w:pPr>
        <w:pStyle w:val="13"/>
        <w:rPr>
          <w:rFonts w:eastAsia="Calibri"/>
        </w:rPr>
      </w:pPr>
      <w:r>
        <w:rPr>
          <w:rFonts w:eastAsia="Calibri"/>
        </w:rPr>
        <w:t>количество контрактов;</w:t>
      </w:r>
    </w:p>
    <w:p w:rsidR="00F72728" w:rsidRDefault="00F72728" w:rsidP="00F72728">
      <w:pPr>
        <w:pStyle w:val="13"/>
        <w:rPr>
          <w:rFonts w:eastAsia="Calibri"/>
        </w:rPr>
      </w:pPr>
      <w:r>
        <w:rPr>
          <w:rFonts w:eastAsia="Calibri"/>
        </w:rPr>
        <w:t>заключенные контракты;</w:t>
      </w:r>
    </w:p>
    <w:p w:rsidR="00F72728" w:rsidRDefault="00F72728" w:rsidP="00F72728">
      <w:pPr>
        <w:pStyle w:val="13"/>
        <w:rPr>
          <w:rFonts w:eastAsia="Calibri"/>
        </w:rPr>
      </w:pPr>
      <w:r>
        <w:rPr>
          <w:rFonts w:eastAsia="Calibri"/>
        </w:rPr>
        <w:t>исполненные контракты;</w:t>
      </w:r>
    </w:p>
    <w:p w:rsidR="00F72728" w:rsidRDefault="00F72728" w:rsidP="00F72728">
      <w:pPr>
        <w:pStyle w:val="13"/>
        <w:rPr>
          <w:rFonts w:eastAsia="Calibri"/>
        </w:rPr>
      </w:pPr>
      <w:r>
        <w:rPr>
          <w:rFonts w:eastAsia="Calibri"/>
        </w:rPr>
        <w:t>оплаченные контракты.</w:t>
      </w:r>
    </w:p>
    <w:p w:rsidR="00F72728" w:rsidRDefault="00F72728" w:rsidP="00F72728">
      <w:pPr>
        <w:pStyle w:val="af0"/>
        <w:rPr>
          <w:rFonts w:eastAsia="Calibri"/>
        </w:rPr>
      </w:pPr>
      <w:r>
        <w:rPr>
          <w:rFonts w:eastAsia="Calibri"/>
        </w:rPr>
        <w:t>Аналитический отчет отображает информацию в форме таблицы</w:t>
      </w:r>
      <w:r w:rsidR="000E2DA7">
        <w:rPr>
          <w:rFonts w:eastAsia="Calibri"/>
        </w:rPr>
        <w:t>,</w:t>
      </w:r>
      <w:r>
        <w:rPr>
          <w:rFonts w:eastAsia="Calibri"/>
        </w:rPr>
        <w:t xml:space="preserve"> имеет 6 представления:</w:t>
      </w:r>
    </w:p>
    <w:p w:rsidR="00F72728" w:rsidRDefault="00F72728" w:rsidP="00F72728">
      <w:pPr>
        <w:pStyle w:val="13"/>
        <w:rPr>
          <w:rFonts w:eastAsia="Calibri"/>
        </w:rPr>
      </w:pPr>
      <w:r>
        <w:rPr>
          <w:rFonts w:eastAsia="Calibri"/>
        </w:rPr>
        <w:t>по вице-премьерам;</w:t>
      </w:r>
    </w:p>
    <w:p w:rsidR="00F72728" w:rsidRDefault="00F72728" w:rsidP="00F72728">
      <w:pPr>
        <w:pStyle w:val="13"/>
        <w:rPr>
          <w:rFonts w:eastAsia="Calibri"/>
        </w:rPr>
      </w:pPr>
      <w:r>
        <w:rPr>
          <w:rFonts w:eastAsia="Calibri"/>
        </w:rPr>
        <w:t>по ГРБС;</w:t>
      </w:r>
    </w:p>
    <w:p w:rsidR="00F72728" w:rsidRDefault="00F72728" w:rsidP="00F72728">
      <w:pPr>
        <w:pStyle w:val="13"/>
        <w:rPr>
          <w:rFonts w:eastAsia="Calibri"/>
        </w:rPr>
      </w:pPr>
      <w:r>
        <w:rPr>
          <w:rFonts w:eastAsia="Calibri"/>
        </w:rPr>
        <w:t>по видам закупок;</w:t>
      </w:r>
    </w:p>
    <w:p w:rsidR="00F72728" w:rsidRDefault="00F72728" w:rsidP="00F72728">
      <w:pPr>
        <w:pStyle w:val="13"/>
        <w:rPr>
          <w:rFonts w:eastAsia="Calibri"/>
        </w:rPr>
      </w:pPr>
      <w:r>
        <w:rPr>
          <w:rFonts w:eastAsia="Calibri"/>
        </w:rPr>
        <w:t>по КБК;</w:t>
      </w:r>
    </w:p>
    <w:p w:rsidR="00F72728" w:rsidRDefault="00F72728" w:rsidP="00F72728">
      <w:pPr>
        <w:pStyle w:val="13"/>
        <w:rPr>
          <w:rFonts w:eastAsia="Calibri"/>
        </w:rPr>
      </w:pPr>
      <w:r>
        <w:rPr>
          <w:rFonts w:eastAsia="Calibri"/>
        </w:rPr>
        <w:t>контракты (ЕИС);</w:t>
      </w:r>
    </w:p>
    <w:p w:rsidR="00F72728" w:rsidRDefault="00F72728" w:rsidP="00F72728">
      <w:pPr>
        <w:pStyle w:val="13"/>
        <w:rPr>
          <w:rFonts w:eastAsia="Calibri"/>
        </w:rPr>
      </w:pPr>
      <w:r>
        <w:rPr>
          <w:rFonts w:eastAsia="Calibri"/>
        </w:rPr>
        <w:t>по поставщикам.</w:t>
      </w:r>
    </w:p>
    <w:p w:rsidR="00F72728" w:rsidRDefault="00F72728" w:rsidP="00F72728">
      <w:pPr>
        <w:pStyle w:val="af0"/>
      </w:pPr>
      <w:r>
        <w:t>Группировка строк в представлениях:</w:t>
      </w:r>
    </w:p>
    <w:p w:rsidR="00F72728" w:rsidRDefault="00F72728" w:rsidP="005C6E50">
      <w:pPr>
        <w:numPr>
          <w:ilvl w:val="0"/>
          <w:numId w:val="136"/>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ГРБС</w:t>
      </w:r>
      <w:r>
        <w:rPr>
          <w:snapToGrid/>
          <w:color w:val="auto"/>
          <w:sz w:val="28"/>
          <w:szCs w:val="28"/>
        </w:rPr>
        <w:t>».</w:t>
      </w:r>
    </w:p>
    <w:p w:rsidR="00F72728" w:rsidRDefault="00F72728" w:rsidP="00F72728">
      <w:pPr>
        <w:spacing w:line="360" w:lineRule="exact"/>
        <w:ind w:left="927"/>
        <w:rPr>
          <w:snapToGrid/>
          <w:color w:val="auto"/>
          <w:sz w:val="28"/>
          <w:szCs w:val="28"/>
        </w:rPr>
      </w:pPr>
      <w:r>
        <w:rPr>
          <w:snapToGrid/>
          <w:color w:val="auto"/>
          <w:sz w:val="28"/>
          <w:szCs w:val="28"/>
        </w:rPr>
        <w:t>Названия колонок: «</w:t>
      </w:r>
      <w:r w:rsidRPr="00932110">
        <w:rPr>
          <w:snapToGrid/>
          <w:color w:val="auto"/>
          <w:sz w:val="28"/>
          <w:szCs w:val="28"/>
        </w:rPr>
        <w:t>Наименование</w:t>
      </w:r>
      <w:r>
        <w:rPr>
          <w:snapToGrid/>
          <w:color w:val="auto"/>
          <w:sz w:val="28"/>
          <w:szCs w:val="28"/>
        </w:rPr>
        <w:t xml:space="preserve"> показателя», «К</w:t>
      </w:r>
      <w:r w:rsidRPr="00932110">
        <w:rPr>
          <w:snapToGrid/>
          <w:color w:val="auto"/>
          <w:sz w:val="28"/>
          <w:szCs w:val="28"/>
        </w:rPr>
        <w:t>од ГРБС</w:t>
      </w:r>
      <w:r>
        <w:rPr>
          <w:snapToGrid/>
          <w:color w:val="auto"/>
          <w:sz w:val="28"/>
          <w:szCs w:val="28"/>
        </w:rPr>
        <w:t>».</w:t>
      </w:r>
    </w:p>
    <w:p w:rsidR="00F72728" w:rsidRDefault="00F72728" w:rsidP="00F72728">
      <w:pPr>
        <w:spacing w:line="360" w:lineRule="exact"/>
        <w:ind w:left="927"/>
        <w:rPr>
          <w:snapToGrid/>
          <w:color w:val="auto"/>
          <w:sz w:val="28"/>
          <w:szCs w:val="28"/>
        </w:rPr>
      </w:pPr>
      <w:r>
        <w:rPr>
          <w:snapToGrid/>
          <w:color w:val="auto"/>
          <w:sz w:val="28"/>
          <w:szCs w:val="28"/>
        </w:rPr>
        <w:t>Сортировка строк по коду ГРБС.</w:t>
      </w:r>
    </w:p>
    <w:p w:rsidR="00F72728" w:rsidRPr="00932110" w:rsidRDefault="00F72728" w:rsidP="00F72728">
      <w:pPr>
        <w:spacing w:line="360" w:lineRule="exact"/>
        <w:ind w:left="927"/>
        <w:rPr>
          <w:snapToGrid/>
          <w:color w:val="auto"/>
          <w:sz w:val="28"/>
          <w:szCs w:val="28"/>
        </w:rPr>
      </w:pPr>
      <w:r w:rsidRPr="00DF3F16">
        <w:rPr>
          <w:snapToGrid/>
          <w:color w:val="auto"/>
          <w:sz w:val="28"/>
          <w:szCs w:val="28"/>
        </w:rPr>
        <w:t>Код «000» (суммы</w:t>
      </w:r>
      <w:r>
        <w:rPr>
          <w:snapToGrid/>
          <w:color w:val="auto"/>
          <w:sz w:val="28"/>
          <w:szCs w:val="28"/>
        </w:rPr>
        <w:t xml:space="preserve"> по закрытым цепочкам КБК) выводится вверху списка.</w:t>
      </w:r>
    </w:p>
    <w:p w:rsidR="00F72728" w:rsidRDefault="00F72728" w:rsidP="005C6E50">
      <w:pPr>
        <w:numPr>
          <w:ilvl w:val="0"/>
          <w:numId w:val="136"/>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 xml:space="preserve">По </w:t>
      </w:r>
      <w:r>
        <w:rPr>
          <w:snapToGrid/>
          <w:color w:val="auto"/>
          <w:sz w:val="28"/>
          <w:szCs w:val="28"/>
        </w:rPr>
        <w:t>вице-премьерам».</w:t>
      </w:r>
    </w:p>
    <w:p w:rsidR="00F72728" w:rsidRDefault="00F72728" w:rsidP="00F72728">
      <w:pPr>
        <w:spacing w:line="360" w:lineRule="exact"/>
        <w:ind w:left="927"/>
        <w:rPr>
          <w:snapToGrid/>
          <w:color w:val="auto"/>
          <w:sz w:val="28"/>
          <w:szCs w:val="28"/>
        </w:rPr>
      </w:pPr>
      <w:r>
        <w:rPr>
          <w:snapToGrid/>
          <w:color w:val="auto"/>
          <w:sz w:val="28"/>
          <w:szCs w:val="28"/>
        </w:rPr>
        <w:t>Названия колонок: «</w:t>
      </w:r>
      <w:r w:rsidRPr="00932110">
        <w:rPr>
          <w:snapToGrid/>
          <w:color w:val="auto"/>
          <w:sz w:val="28"/>
          <w:szCs w:val="28"/>
        </w:rPr>
        <w:t>Наименование</w:t>
      </w:r>
      <w:r>
        <w:rPr>
          <w:snapToGrid/>
          <w:color w:val="auto"/>
          <w:sz w:val="28"/>
          <w:szCs w:val="28"/>
        </w:rPr>
        <w:t xml:space="preserve"> показателя».</w:t>
      </w:r>
    </w:p>
    <w:p w:rsidR="00F72728" w:rsidRDefault="00F72728" w:rsidP="00F72728">
      <w:pPr>
        <w:spacing w:line="360" w:lineRule="exact"/>
        <w:ind w:left="927"/>
        <w:rPr>
          <w:snapToGrid/>
          <w:color w:val="auto"/>
          <w:sz w:val="28"/>
          <w:szCs w:val="28"/>
        </w:rPr>
      </w:pPr>
      <w:r>
        <w:rPr>
          <w:snapToGrid/>
          <w:color w:val="auto"/>
          <w:sz w:val="28"/>
          <w:szCs w:val="28"/>
        </w:rPr>
        <w:t>Показатель «Иное»</w:t>
      </w:r>
      <w:r w:rsidRPr="00DF3F16">
        <w:rPr>
          <w:snapToGrid/>
          <w:color w:val="auto"/>
          <w:sz w:val="28"/>
          <w:szCs w:val="28"/>
        </w:rPr>
        <w:t xml:space="preserve"> (суммы</w:t>
      </w:r>
      <w:r>
        <w:rPr>
          <w:snapToGrid/>
          <w:color w:val="auto"/>
          <w:sz w:val="28"/>
          <w:szCs w:val="28"/>
        </w:rPr>
        <w:t xml:space="preserve"> по цепочкам КБК, не привязанным к вице-премьерам) выводится внизу списка.</w:t>
      </w:r>
    </w:p>
    <w:p w:rsidR="00F72728" w:rsidRDefault="00F72728" w:rsidP="005C6E50">
      <w:pPr>
        <w:numPr>
          <w:ilvl w:val="0"/>
          <w:numId w:val="136"/>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 xml:space="preserve">По видам </w:t>
      </w:r>
      <w:r>
        <w:rPr>
          <w:snapToGrid/>
          <w:color w:val="auto"/>
          <w:sz w:val="28"/>
          <w:szCs w:val="28"/>
        </w:rPr>
        <w:t>закупок»:</w:t>
      </w:r>
    </w:p>
    <w:p w:rsidR="00F72728" w:rsidRDefault="00F72728" w:rsidP="00F72728">
      <w:pPr>
        <w:spacing w:line="360" w:lineRule="exact"/>
        <w:ind w:left="927"/>
        <w:rPr>
          <w:snapToGrid/>
          <w:color w:val="auto"/>
          <w:sz w:val="28"/>
          <w:szCs w:val="28"/>
        </w:rPr>
      </w:pPr>
      <w:r>
        <w:rPr>
          <w:snapToGrid/>
          <w:color w:val="auto"/>
          <w:sz w:val="28"/>
          <w:szCs w:val="28"/>
        </w:rPr>
        <w:t>Названия колонок: «Наименование показателя», «Код».</w:t>
      </w:r>
    </w:p>
    <w:p w:rsidR="00F72728" w:rsidRPr="0011639A" w:rsidRDefault="00F72728" w:rsidP="00F72728">
      <w:pPr>
        <w:spacing w:line="360" w:lineRule="exact"/>
        <w:ind w:left="927"/>
        <w:rPr>
          <w:snapToGrid/>
          <w:color w:val="auto"/>
          <w:sz w:val="28"/>
          <w:szCs w:val="28"/>
        </w:rPr>
      </w:pPr>
      <w:r w:rsidRPr="0011639A">
        <w:rPr>
          <w:snapToGrid/>
          <w:color w:val="auto"/>
          <w:sz w:val="28"/>
          <w:szCs w:val="28"/>
        </w:rPr>
        <w:t>Иерархия в строках:</w:t>
      </w:r>
    </w:p>
    <w:p w:rsidR="00F72728" w:rsidRDefault="00F72728" w:rsidP="00F72728">
      <w:pPr>
        <w:pStyle w:val="29"/>
        <w:rPr>
          <w:snapToGrid/>
        </w:rPr>
      </w:pPr>
      <w:r>
        <w:rPr>
          <w:snapToGrid/>
        </w:rPr>
        <w:t xml:space="preserve">наименование и </w:t>
      </w:r>
      <w:r w:rsidRPr="00743B68">
        <w:rPr>
          <w:snapToGrid/>
        </w:rPr>
        <w:t>код группы видов</w:t>
      </w:r>
      <w:r>
        <w:rPr>
          <w:snapToGrid/>
        </w:rPr>
        <w:t xml:space="preserve"> расходов (1 уровень);</w:t>
      </w:r>
    </w:p>
    <w:p w:rsidR="00F72728" w:rsidRDefault="00F72728" w:rsidP="00F72728">
      <w:pPr>
        <w:pStyle w:val="29"/>
        <w:rPr>
          <w:snapToGrid/>
        </w:rPr>
      </w:pPr>
      <w:r>
        <w:rPr>
          <w:snapToGrid/>
        </w:rPr>
        <w:t>наименование и код подгруппы видов расходов (2 уровень);</w:t>
      </w:r>
    </w:p>
    <w:p w:rsidR="00F72728" w:rsidRDefault="00F72728" w:rsidP="00F72728">
      <w:pPr>
        <w:pStyle w:val="29"/>
        <w:rPr>
          <w:snapToGrid/>
        </w:rPr>
      </w:pPr>
      <w:r>
        <w:rPr>
          <w:snapToGrid/>
        </w:rPr>
        <w:t>наименование и код элемента видов расходов (3 уровень);</w:t>
      </w:r>
    </w:p>
    <w:p w:rsidR="00F72728" w:rsidRPr="0011639A" w:rsidRDefault="00F72728" w:rsidP="00F72728">
      <w:pPr>
        <w:spacing w:line="360" w:lineRule="exact"/>
        <w:ind w:left="927"/>
        <w:rPr>
          <w:snapToGrid/>
          <w:color w:val="auto"/>
          <w:sz w:val="28"/>
          <w:szCs w:val="28"/>
        </w:rPr>
      </w:pPr>
      <w:r w:rsidRPr="0011639A">
        <w:rPr>
          <w:snapToGrid/>
          <w:color w:val="auto"/>
          <w:sz w:val="28"/>
          <w:szCs w:val="28"/>
        </w:rPr>
        <w:t xml:space="preserve">Сортировка по коду </w:t>
      </w:r>
      <w:r>
        <w:rPr>
          <w:snapToGrid/>
          <w:color w:val="auto"/>
          <w:sz w:val="28"/>
          <w:szCs w:val="28"/>
        </w:rPr>
        <w:t>вида расходов</w:t>
      </w:r>
      <w:r w:rsidRPr="0011639A">
        <w:rPr>
          <w:snapToGrid/>
          <w:color w:val="auto"/>
          <w:sz w:val="28"/>
          <w:szCs w:val="28"/>
        </w:rPr>
        <w:t>.</w:t>
      </w:r>
    </w:p>
    <w:p w:rsidR="00F72728" w:rsidRDefault="00F72728" w:rsidP="005C6E50">
      <w:pPr>
        <w:numPr>
          <w:ilvl w:val="0"/>
          <w:numId w:val="136"/>
        </w:numPr>
        <w:spacing w:line="360" w:lineRule="exact"/>
        <w:rPr>
          <w:snapToGrid/>
          <w:color w:val="auto"/>
          <w:sz w:val="28"/>
          <w:szCs w:val="28"/>
        </w:rPr>
      </w:pPr>
      <w:r>
        <w:rPr>
          <w:snapToGrid/>
          <w:color w:val="auto"/>
          <w:sz w:val="28"/>
          <w:szCs w:val="28"/>
        </w:rPr>
        <w:t>«</w:t>
      </w:r>
      <w:r w:rsidRPr="00382E8C">
        <w:rPr>
          <w:snapToGrid/>
          <w:color w:val="auto"/>
          <w:sz w:val="28"/>
          <w:szCs w:val="28"/>
        </w:rPr>
        <w:t>По КБК</w:t>
      </w:r>
      <w:r>
        <w:rPr>
          <w:snapToGrid/>
          <w:color w:val="auto"/>
          <w:sz w:val="28"/>
          <w:szCs w:val="28"/>
        </w:rPr>
        <w:t>»:</w:t>
      </w:r>
    </w:p>
    <w:p w:rsidR="00F72728" w:rsidRDefault="00F72728" w:rsidP="00F72728">
      <w:pPr>
        <w:spacing w:line="360" w:lineRule="exact"/>
        <w:ind w:left="927"/>
        <w:rPr>
          <w:snapToGrid/>
          <w:color w:val="auto"/>
          <w:sz w:val="28"/>
          <w:szCs w:val="28"/>
        </w:rPr>
      </w:pPr>
      <w:r>
        <w:rPr>
          <w:snapToGrid/>
          <w:color w:val="auto"/>
          <w:sz w:val="28"/>
          <w:szCs w:val="28"/>
        </w:rPr>
        <w:t>Названия колонок:</w:t>
      </w:r>
    </w:p>
    <w:p w:rsidR="00F72728" w:rsidRDefault="00F72728" w:rsidP="00F72728">
      <w:pPr>
        <w:pStyle w:val="29"/>
        <w:rPr>
          <w:snapToGrid/>
        </w:rPr>
      </w:pPr>
      <w:r>
        <w:rPr>
          <w:snapToGrid/>
        </w:rPr>
        <w:t>«ГРБС» - код ГРБС;</w:t>
      </w:r>
    </w:p>
    <w:p w:rsidR="00F72728" w:rsidRDefault="00F72728" w:rsidP="00F72728">
      <w:pPr>
        <w:pStyle w:val="29"/>
        <w:rPr>
          <w:snapToGrid/>
        </w:rPr>
      </w:pPr>
      <w:r>
        <w:rPr>
          <w:snapToGrid/>
        </w:rPr>
        <w:t xml:space="preserve"> «РзПр» - код РзПр;</w:t>
      </w:r>
    </w:p>
    <w:p w:rsidR="00F72728" w:rsidRDefault="00F72728" w:rsidP="00F72728">
      <w:pPr>
        <w:pStyle w:val="29"/>
        <w:rPr>
          <w:snapToGrid/>
        </w:rPr>
      </w:pPr>
      <w:r>
        <w:rPr>
          <w:snapToGrid/>
        </w:rPr>
        <w:t xml:space="preserve"> «КЦСР» - код КЦСР;</w:t>
      </w:r>
    </w:p>
    <w:p w:rsidR="00F72728" w:rsidRDefault="00F72728" w:rsidP="00F72728">
      <w:pPr>
        <w:pStyle w:val="29"/>
        <w:rPr>
          <w:snapToGrid/>
        </w:rPr>
      </w:pPr>
      <w:r>
        <w:rPr>
          <w:snapToGrid/>
        </w:rPr>
        <w:t xml:space="preserve"> «КВР» - код КВР;</w:t>
      </w:r>
    </w:p>
    <w:p w:rsidR="00F72728" w:rsidRPr="00F72728" w:rsidRDefault="00F72728" w:rsidP="00F72728">
      <w:pPr>
        <w:pStyle w:val="af0"/>
        <w:rPr>
          <w:snapToGrid/>
        </w:rPr>
      </w:pPr>
      <w:r w:rsidRPr="00F72728">
        <w:rPr>
          <w:snapToGrid/>
        </w:rPr>
        <w:t>Сортировка по коду ГРБС, коду РзПр, коду КЦСР, коду КВР.</w:t>
      </w:r>
    </w:p>
    <w:p w:rsidR="00F72728" w:rsidRDefault="00F72728" w:rsidP="00F72728">
      <w:pPr>
        <w:pStyle w:val="af0"/>
        <w:rPr>
          <w:rFonts w:eastAsia="Calibri"/>
        </w:rPr>
      </w:pPr>
      <w:r w:rsidRPr="00F72728">
        <w:rPr>
          <w:snapToGrid/>
        </w:rPr>
        <w:t>Перечень параметров</w:t>
      </w:r>
      <w:r w:rsidRPr="00F72728">
        <w:rPr>
          <w:rFonts w:eastAsia="Calibri"/>
          <w:snapToGrid/>
        </w:rPr>
        <w:t xml:space="preserve"> представлений</w:t>
      </w:r>
      <w:r>
        <w:rPr>
          <w:rFonts w:eastAsia="Calibri"/>
        </w:rPr>
        <w:t xml:space="preserve">, и их описание представлено в таблице </w:t>
      </w:r>
      <w:r>
        <w:rPr>
          <w:rFonts w:eastAsia="Calibri"/>
        </w:rPr>
        <w:fldChar w:fldCharType="begin"/>
      </w:r>
      <w:r>
        <w:rPr>
          <w:rFonts w:eastAsia="Calibri"/>
        </w:rPr>
        <w:instrText xml:space="preserve"> REF _Ref93513445 \h </w:instrText>
      </w:r>
      <w:r>
        <w:rPr>
          <w:rFonts w:eastAsia="Calibri"/>
        </w:rPr>
      </w:r>
      <w:r>
        <w:rPr>
          <w:rFonts w:eastAsia="Calibri"/>
        </w:rPr>
        <w:fldChar w:fldCharType="separate"/>
      </w:r>
      <w:r w:rsidR="00BF0BEE">
        <w:rPr>
          <w:noProof/>
        </w:rPr>
        <w:t>29</w:t>
      </w:r>
      <w:r>
        <w:rPr>
          <w:rFonts w:eastAsia="Calibri"/>
        </w:rPr>
        <w:fldChar w:fldCharType="end"/>
      </w:r>
      <w:r>
        <w:rPr>
          <w:rFonts w:eastAsia="Calibri"/>
        </w:rPr>
        <w:t>.</w:t>
      </w:r>
    </w:p>
    <w:p w:rsidR="00F72728" w:rsidRDefault="00F72728" w:rsidP="00F72728">
      <w:pPr>
        <w:pStyle w:val="-"/>
      </w:pPr>
      <w:bookmarkStart w:id="657" w:name="_Toc119585170"/>
      <w:r>
        <w:t xml:space="preserve">Таблица </w:t>
      </w:r>
      <w:fldSimple w:instr=" SEQ Таблица \* ARABIC ">
        <w:bookmarkStart w:id="658" w:name="_Ref93513445"/>
        <w:r w:rsidR="00BF0BEE">
          <w:rPr>
            <w:noProof/>
          </w:rPr>
          <w:t>29</w:t>
        </w:r>
        <w:bookmarkEnd w:id="658"/>
      </w:fldSimple>
      <w:r>
        <w:rPr>
          <w:noProof/>
        </w:rPr>
        <w:t xml:space="preserve"> –</w:t>
      </w:r>
      <w:r>
        <w:t xml:space="preserve"> Перечень параметров отчета «Закупка товаров, работ, услуг» (по данным системы ЕИС Мониторинг)</w:t>
      </w:r>
      <w:bookmarkEnd w:id="657"/>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878"/>
        <w:gridCol w:w="1559"/>
        <w:gridCol w:w="3544"/>
        <w:gridCol w:w="1701"/>
      </w:tblGrid>
      <w:tr w:rsidR="00F72728" w:rsidRPr="0098550F" w:rsidTr="00F72728">
        <w:trPr>
          <w:cantSplit/>
          <w:trHeight w:val="347"/>
          <w:tblHeader/>
        </w:trPr>
        <w:tc>
          <w:tcPr>
            <w:tcW w:w="0" w:type="auto"/>
            <w:shd w:val="clear" w:color="auto" w:fill="D9D9D9" w:themeFill="background1" w:themeFillShade="D9"/>
            <w:vAlign w:val="center"/>
            <w:hideMark/>
          </w:tcPr>
          <w:p w:rsidR="00F72728" w:rsidRPr="0098550F" w:rsidRDefault="00F72728" w:rsidP="000B5177">
            <w:pPr>
              <w:jc w:val="center"/>
              <w:rPr>
                <w:b/>
                <w:bCs/>
                <w:color w:val="auto"/>
                <w:szCs w:val="24"/>
              </w:rPr>
            </w:pPr>
            <w:r w:rsidRPr="0098550F">
              <w:rPr>
                <w:b/>
                <w:bCs/>
                <w:color w:val="auto"/>
                <w:szCs w:val="24"/>
              </w:rPr>
              <w:t>Тип</w:t>
            </w:r>
          </w:p>
        </w:tc>
        <w:tc>
          <w:tcPr>
            <w:tcW w:w="1878" w:type="dxa"/>
            <w:shd w:val="clear" w:color="auto" w:fill="D9D9D9" w:themeFill="background1" w:themeFillShade="D9"/>
            <w:vAlign w:val="center"/>
            <w:hideMark/>
          </w:tcPr>
          <w:p w:rsidR="00F72728" w:rsidRPr="0098550F" w:rsidRDefault="00F72728" w:rsidP="000B5177">
            <w:pPr>
              <w:jc w:val="center"/>
              <w:rPr>
                <w:b/>
                <w:bCs/>
                <w:color w:val="auto"/>
                <w:szCs w:val="24"/>
              </w:rPr>
            </w:pPr>
            <w:r w:rsidRPr="0098550F">
              <w:rPr>
                <w:b/>
                <w:bCs/>
                <w:color w:val="auto"/>
                <w:szCs w:val="24"/>
              </w:rPr>
              <w:t>Наименование</w:t>
            </w:r>
          </w:p>
        </w:tc>
        <w:tc>
          <w:tcPr>
            <w:tcW w:w="1559" w:type="dxa"/>
            <w:shd w:val="clear" w:color="auto" w:fill="D9D9D9" w:themeFill="background1" w:themeFillShade="D9"/>
          </w:tcPr>
          <w:p w:rsidR="00F72728" w:rsidRPr="0098550F" w:rsidRDefault="00F72728" w:rsidP="000B5177">
            <w:pPr>
              <w:jc w:val="center"/>
              <w:rPr>
                <w:b/>
                <w:bCs/>
                <w:color w:val="auto"/>
                <w:szCs w:val="24"/>
              </w:rPr>
            </w:pPr>
            <w:r w:rsidRPr="0098550F">
              <w:rPr>
                <w:b/>
                <w:bCs/>
                <w:color w:val="auto"/>
                <w:szCs w:val="24"/>
              </w:rPr>
              <w:t>Источник данных</w:t>
            </w:r>
          </w:p>
        </w:tc>
        <w:tc>
          <w:tcPr>
            <w:tcW w:w="3544" w:type="dxa"/>
            <w:shd w:val="clear" w:color="auto" w:fill="D9D9D9" w:themeFill="background1" w:themeFillShade="D9"/>
            <w:vAlign w:val="center"/>
          </w:tcPr>
          <w:p w:rsidR="00F72728" w:rsidRPr="0098550F" w:rsidRDefault="00F72728" w:rsidP="000B5177">
            <w:pPr>
              <w:jc w:val="center"/>
              <w:rPr>
                <w:b/>
                <w:bCs/>
                <w:color w:val="auto"/>
                <w:szCs w:val="24"/>
              </w:rPr>
            </w:pPr>
            <w:r w:rsidRPr="0098550F">
              <w:rPr>
                <w:b/>
                <w:bCs/>
                <w:color w:val="auto"/>
                <w:szCs w:val="24"/>
              </w:rPr>
              <w:t>Примечание</w:t>
            </w:r>
          </w:p>
        </w:tc>
        <w:tc>
          <w:tcPr>
            <w:tcW w:w="1701" w:type="dxa"/>
            <w:shd w:val="clear" w:color="auto" w:fill="D9D9D9" w:themeFill="background1" w:themeFillShade="D9"/>
            <w:vAlign w:val="center"/>
          </w:tcPr>
          <w:p w:rsidR="00F72728" w:rsidRPr="0098550F" w:rsidRDefault="00F72728" w:rsidP="000B5177">
            <w:pPr>
              <w:jc w:val="center"/>
              <w:rPr>
                <w:b/>
                <w:bCs/>
                <w:color w:val="auto"/>
                <w:szCs w:val="24"/>
              </w:rPr>
            </w:pPr>
            <w:r w:rsidRPr="0098550F">
              <w:rPr>
                <w:b/>
                <w:bCs/>
                <w:color w:val="auto"/>
                <w:szCs w:val="24"/>
              </w:rPr>
              <w:t>Пример</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sidRPr="0098550F">
              <w:rPr>
                <w:color w:val="auto"/>
                <w:szCs w:val="24"/>
              </w:rPr>
              <w:t>ГРБС</w:t>
            </w:r>
          </w:p>
        </w:tc>
        <w:tc>
          <w:tcPr>
            <w:tcW w:w="1559" w:type="dxa"/>
          </w:tcPr>
          <w:p w:rsidR="00F72728" w:rsidRPr="0098550F" w:rsidRDefault="00F72728" w:rsidP="000B5177">
            <w:pPr>
              <w:jc w:val="left"/>
              <w:rPr>
                <w:color w:val="auto"/>
                <w:szCs w:val="24"/>
              </w:rPr>
            </w:pPr>
          </w:p>
        </w:tc>
        <w:tc>
          <w:tcPr>
            <w:tcW w:w="3544" w:type="dxa"/>
          </w:tcPr>
          <w:p w:rsidR="00F72728" w:rsidRPr="0098550F" w:rsidRDefault="00F72728" w:rsidP="000B5177">
            <w:pPr>
              <w:jc w:val="left"/>
              <w:rPr>
                <w:color w:val="auto"/>
                <w:szCs w:val="24"/>
              </w:rPr>
            </w:pPr>
            <w:r w:rsidRPr="0098550F">
              <w:rPr>
                <w:color w:val="auto"/>
                <w:szCs w:val="24"/>
              </w:rPr>
              <w:t>Плоский список с выбором конкретного ГРБС</w:t>
            </w:r>
          </w:p>
        </w:tc>
        <w:tc>
          <w:tcPr>
            <w:tcW w:w="1701" w:type="dxa"/>
          </w:tcPr>
          <w:p w:rsidR="00F72728" w:rsidRPr="0098550F" w:rsidRDefault="00F72728" w:rsidP="000B5177">
            <w:pPr>
              <w:rPr>
                <w:color w:val="auto"/>
                <w:szCs w:val="24"/>
              </w:rPr>
            </w:pPr>
            <w:r w:rsidRPr="0098550F">
              <w:rPr>
                <w:color w:val="auto"/>
                <w:szCs w:val="24"/>
              </w:rPr>
              <w:t>054 - Минкультуры России</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sidRPr="0098550F">
              <w:rPr>
                <w:color w:val="auto"/>
                <w:szCs w:val="24"/>
              </w:rPr>
              <w:t>Год</w:t>
            </w:r>
          </w:p>
        </w:tc>
        <w:tc>
          <w:tcPr>
            <w:tcW w:w="1559" w:type="dxa"/>
          </w:tcPr>
          <w:p w:rsidR="00F72728" w:rsidRPr="0098550F" w:rsidRDefault="00F72728" w:rsidP="000B5177">
            <w:pPr>
              <w:jc w:val="left"/>
              <w:rPr>
                <w:color w:val="auto"/>
                <w:szCs w:val="24"/>
              </w:rPr>
            </w:pPr>
          </w:p>
        </w:tc>
        <w:tc>
          <w:tcPr>
            <w:tcW w:w="3544" w:type="dxa"/>
          </w:tcPr>
          <w:p w:rsidR="00F72728" w:rsidRPr="0098550F" w:rsidRDefault="00F72728" w:rsidP="000B5177">
            <w:pPr>
              <w:jc w:val="left"/>
              <w:rPr>
                <w:color w:val="auto"/>
                <w:szCs w:val="24"/>
              </w:rPr>
            </w:pPr>
            <w:r w:rsidRPr="0098550F">
              <w:rPr>
                <w:color w:val="auto"/>
                <w:szCs w:val="24"/>
              </w:rPr>
              <w:t>Плоский список с выбором нужного года. Расчет по дате внесения последнего изменения</w:t>
            </w:r>
          </w:p>
        </w:tc>
        <w:tc>
          <w:tcPr>
            <w:tcW w:w="1701" w:type="dxa"/>
          </w:tcPr>
          <w:p w:rsidR="00F72728" w:rsidRPr="0098550F" w:rsidRDefault="00F72728" w:rsidP="000B5177">
            <w:pPr>
              <w:rPr>
                <w:color w:val="auto"/>
                <w:szCs w:val="24"/>
              </w:rPr>
            </w:pPr>
            <w:r w:rsidRPr="0098550F">
              <w:rPr>
                <w:color w:val="auto"/>
                <w:szCs w:val="24"/>
              </w:rPr>
              <w:t>20</w:t>
            </w:r>
            <w:r>
              <w:rPr>
                <w:color w:val="auto"/>
                <w:szCs w:val="24"/>
              </w:rPr>
              <w:t>21</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sidRPr="0098550F">
              <w:rPr>
                <w:color w:val="auto"/>
                <w:szCs w:val="24"/>
              </w:rPr>
              <w:t>Единицы измерения</w:t>
            </w:r>
          </w:p>
        </w:tc>
        <w:tc>
          <w:tcPr>
            <w:tcW w:w="1559" w:type="dxa"/>
          </w:tcPr>
          <w:p w:rsidR="00F72728" w:rsidRPr="0098550F" w:rsidRDefault="00F72728" w:rsidP="000B5177">
            <w:pPr>
              <w:jc w:val="left"/>
              <w:rPr>
                <w:color w:val="auto"/>
                <w:szCs w:val="24"/>
              </w:rPr>
            </w:pPr>
          </w:p>
        </w:tc>
        <w:tc>
          <w:tcPr>
            <w:tcW w:w="3544" w:type="dxa"/>
          </w:tcPr>
          <w:p w:rsidR="00F72728" w:rsidRPr="0098550F" w:rsidRDefault="00F72728" w:rsidP="000B5177">
            <w:pPr>
              <w:jc w:val="left"/>
              <w:rPr>
                <w:color w:val="auto"/>
                <w:szCs w:val="24"/>
              </w:rPr>
            </w:pPr>
            <w:r w:rsidRPr="0098550F">
              <w:rPr>
                <w:color w:val="auto"/>
                <w:szCs w:val="24"/>
              </w:rPr>
              <w:t>Плоский список с выбором единиц измерения. Состоит из элементов: руб., тыс. руб., млн руб., млрд руб.</w:t>
            </w:r>
          </w:p>
        </w:tc>
        <w:tc>
          <w:tcPr>
            <w:tcW w:w="1701" w:type="dxa"/>
          </w:tcPr>
          <w:p w:rsidR="00F72728" w:rsidRPr="0098550F" w:rsidRDefault="00F72728" w:rsidP="000B5177">
            <w:pPr>
              <w:rPr>
                <w:color w:val="auto"/>
                <w:szCs w:val="24"/>
              </w:rPr>
            </w:pPr>
            <w:r>
              <w:rPr>
                <w:color w:val="auto"/>
                <w:szCs w:val="24"/>
              </w:rPr>
              <w:t>тыс</w:t>
            </w:r>
            <w:r w:rsidRPr="0098550F">
              <w:rPr>
                <w:color w:val="auto"/>
                <w:szCs w:val="24"/>
              </w:rPr>
              <w:t xml:space="preserve"> руб</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Вице-премьер</w:t>
            </w:r>
          </w:p>
        </w:tc>
        <w:tc>
          <w:tcPr>
            <w:tcW w:w="1559" w:type="dxa"/>
          </w:tcPr>
          <w:p w:rsidR="00F72728" w:rsidRPr="0098550F" w:rsidRDefault="00F72728" w:rsidP="000B5177">
            <w:pPr>
              <w:rPr>
                <w:color w:val="auto"/>
                <w:szCs w:val="24"/>
              </w:rPr>
            </w:pPr>
          </w:p>
        </w:tc>
        <w:tc>
          <w:tcPr>
            <w:tcW w:w="3544" w:type="dxa"/>
          </w:tcPr>
          <w:p w:rsidR="00F72728" w:rsidRPr="0098550F" w:rsidRDefault="00F72728" w:rsidP="000B5177">
            <w:pPr>
              <w:jc w:val="left"/>
              <w:rPr>
                <w:color w:val="auto"/>
                <w:szCs w:val="24"/>
              </w:rPr>
            </w:pPr>
            <w:r>
              <w:t>Выпадающий список без множественного выбора.</w:t>
            </w:r>
            <w:r>
              <w:br/>
              <w:t xml:space="preserve">Выводится ФИО вице-премьеров и значение «Иные» (цепочки КБК не курируемые вице-премьерами, а так же </w:t>
            </w:r>
            <w:r w:rsidRPr="004B39B3">
              <w:rPr>
                <w:snapToGrid/>
                <w:szCs w:val="28"/>
              </w:rPr>
              <w:t>по закрытым сведениям, не расписанным по тонким цепочкам КБК</w:t>
            </w:r>
            <w:r>
              <w:t>).</w:t>
            </w:r>
            <w:r>
              <w:b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r>
              <w:br/>
            </w:r>
            <w:r w:rsidRPr="00380564">
              <w:t>По умолч</w:t>
            </w:r>
            <w:r>
              <w:t>анию установлено значение «Все»</w:t>
            </w:r>
          </w:p>
        </w:tc>
        <w:tc>
          <w:tcPr>
            <w:tcW w:w="1701" w:type="dxa"/>
          </w:tcPr>
          <w:p w:rsidR="00F72728" w:rsidRPr="0098550F" w:rsidRDefault="00F72728" w:rsidP="000B5177">
            <w:pPr>
              <w:jc w:val="left"/>
              <w:rPr>
                <w:color w:val="auto"/>
                <w:szCs w:val="24"/>
              </w:rPr>
            </w:pPr>
            <w:r>
              <w:rPr>
                <w:color w:val="auto"/>
                <w:szCs w:val="24"/>
              </w:rPr>
              <w:t>В.В. Абрамченко</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РзПр</w:t>
            </w:r>
          </w:p>
        </w:tc>
        <w:tc>
          <w:tcPr>
            <w:tcW w:w="1559" w:type="dxa"/>
          </w:tcPr>
          <w:p w:rsidR="00F72728" w:rsidRPr="0098550F" w:rsidRDefault="00F72728" w:rsidP="000B5177">
            <w:pPr>
              <w:rPr>
                <w:color w:val="auto"/>
                <w:szCs w:val="24"/>
              </w:rPr>
            </w:pPr>
          </w:p>
        </w:tc>
        <w:tc>
          <w:tcPr>
            <w:tcW w:w="3544" w:type="dxa"/>
          </w:tcPr>
          <w:p w:rsidR="00F72728" w:rsidRPr="0098550F" w:rsidRDefault="00F72728" w:rsidP="000B5177">
            <w:pPr>
              <w:jc w:val="left"/>
              <w:rPr>
                <w:color w:val="auto"/>
                <w:szCs w:val="24"/>
              </w:rPr>
            </w:pPr>
            <w:r>
              <w:t>В</w:t>
            </w:r>
            <w:r w:rsidRPr="00BD07C4">
              <w:t>ыпадающий иерархический список с множественным выбором. Выводятся код и наименование РЗПР. Возможность контекстного поиска по коду и наименованию РЗПР. По умолчанию выводится значение «Все».</w:t>
            </w:r>
          </w:p>
        </w:tc>
        <w:tc>
          <w:tcPr>
            <w:tcW w:w="1701" w:type="dxa"/>
          </w:tcPr>
          <w:p w:rsidR="00F72728" w:rsidRPr="0098550F" w:rsidRDefault="00F72728" w:rsidP="000B5177">
            <w:pPr>
              <w:rPr>
                <w:color w:val="auto"/>
                <w:szCs w:val="24"/>
              </w:rPr>
            </w:pPr>
            <w:r>
              <w:rPr>
                <w:color w:val="auto"/>
                <w:szCs w:val="24"/>
              </w:rPr>
              <w:t>0100</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Default="00F72728" w:rsidP="000B5177">
            <w:pPr>
              <w:rPr>
                <w:color w:val="auto"/>
                <w:szCs w:val="24"/>
              </w:rPr>
            </w:pPr>
            <w:r>
              <w:rPr>
                <w:color w:val="auto"/>
                <w:szCs w:val="24"/>
              </w:rPr>
              <w:t>КЦСР</w:t>
            </w:r>
          </w:p>
        </w:tc>
        <w:tc>
          <w:tcPr>
            <w:tcW w:w="1559" w:type="dxa"/>
          </w:tcPr>
          <w:p w:rsidR="00F72728" w:rsidRPr="0098550F" w:rsidRDefault="00F72728" w:rsidP="000B5177">
            <w:pPr>
              <w:rPr>
                <w:color w:val="auto"/>
                <w:szCs w:val="24"/>
              </w:rPr>
            </w:pPr>
          </w:p>
        </w:tc>
        <w:tc>
          <w:tcPr>
            <w:tcW w:w="3544" w:type="dxa"/>
          </w:tcPr>
          <w:p w:rsidR="00F72728" w:rsidRPr="00C10A06" w:rsidRDefault="00F72728" w:rsidP="000B5177">
            <w:pPr>
              <w:jc w:val="left"/>
              <w:rPr>
                <w:color w:val="auto"/>
                <w:szCs w:val="24"/>
              </w:rPr>
            </w:pPr>
            <w:r>
              <w:rPr>
                <w:color w:val="auto"/>
                <w:szCs w:val="24"/>
              </w:rPr>
              <w:t xml:space="preserve">Поисковая строка. </w:t>
            </w:r>
            <w:r w:rsidRPr="00C10A06">
              <w:rPr>
                <w:color w:val="auto"/>
                <w:szCs w:val="24"/>
              </w:rPr>
              <w:t>окно для поиска введённых значений по реквизиту «КЦСР» (10 знаков).</w:t>
            </w:r>
          </w:p>
          <w:p w:rsidR="00F72728" w:rsidRPr="0098550F" w:rsidRDefault="00F72728" w:rsidP="000B5177">
            <w:pPr>
              <w:jc w:val="left"/>
              <w:rPr>
                <w:color w:val="auto"/>
                <w:szCs w:val="24"/>
              </w:rPr>
            </w:pPr>
            <w:r w:rsidRPr="00C10A06">
              <w:rPr>
                <w:color w:val="auto"/>
                <w:szCs w:val="24"/>
              </w:rPr>
              <w:t>Множественного выбора нет.</w:t>
            </w:r>
          </w:p>
        </w:tc>
        <w:tc>
          <w:tcPr>
            <w:tcW w:w="1701" w:type="dxa"/>
          </w:tcPr>
          <w:p w:rsidR="00F72728" w:rsidRPr="0098550F" w:rsidRDefault="00F72728" w:rsidP="000B5177">
            <w:pPr>
              <w:rPr>
                <w:color w:val="auto"/>
                <w:szCs w:val="24"/>
              </w:rPr>
            </w:pPr>
            <w:r>
              <w:rPr>
                <w:color w:val="auto"/>
                <w:szCs w:val="24"/>
              </w:rPr>
              <w:t>0300500001</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Default="00F72728" w:rsidP="000B5177">
            <w:pPr>
              <w:rPr>
                <w:color w:val="auto"/>
                <w:szCs w:val="24"/>
              </w:rPr>
            </w:pPr>
            <w:r>
              <w:rPr>
                <w:color w:val="auto"/>
                <w:szCs w:val="24"/>
              </w:rPr>
              <w:t>КВР</w:t>
            </w:r>
          </w:p>
        </w:tc>
        <w:tc>
          <w:tcPr>
            <w:tcW w:w="1559" w:type="dxa"/>
          </w:tcPr>
          <w:p w:rsidR="00F72728" w:rsidRPr="0098550F" w:rsidRDefault="00F72728" w:rsidP="000B5177">
            <w:pPr>
              <w:rPr>
                <w:color w:val="auto"/>
                <w:szCs w:val="24"/>
              </w:rPr>
            </w:pPr>
          </w:p>
        </w:tc>
        <w:tc>
          <w:tcPr>
            <w:tcW w:w="3544" w:type="dxa"/>
          </w:tcPr>
          <w:p w:rsidR="00F72728" w:rsidRPr="0098550F" w:rsidRDefault="00F72728" w:rsidP="000B5177">
            <w:pPr>
              <w:jc w:val="left"/>
              <w:rPr>
                <w:color w:val="auto"/>
                <w:szCs w:val="24"/>
              </w:rPr>
            </w:pPr>
            <w:r>
              <w:t>В</w:t>
            </w:r>
            <w:r w:rsidRPr="00BD07C4">
              <w:t>ыпадающий иерархический список с множественным выбором. Выводятся код и наименование КВР. Возможность контекстного поиска по коду и наименованию КВР. По умолчанию выводится значение «Все»</w:t>
            </w:r>
          </w:p>
        </w:tc>
        <w:tc>
          <w:tcPr>
            <w:tcW w:w="1701" w:type="dxa"/>
          </w:tcPr>
          <w:p w:rsidR="00F72728" w:rsidRPr="0098550F" w:rsidRDefault="00F72728" w:rsidP="000B5177">
            <w:pPr>
              <w:rPr>
                <w:color w:val="auto"/>
                <w:szCs w:val="24"/>
              </w:rPr>
            </w:pPr>
            <w:r>
              <w:rPr>
                <w:color w:val="auto"/>
                <w:szCs w:val="24"/>
              </w:rPr>
              <w:t>100</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Default="00F72728" w:rsidP="000B5177">
            <w:pPr>
              <w:rPr>
                <w:color w:val="auto"/>
                <w:szCs w:val="24"/>
              </w:rPr>
            </w:pPr>
            <w:r>
              <w:rPr>
                <w:color w:val="auto"/>
                <w:szCs w:val="24"/>
              </w:rPr>
              <w:t>НП (ФП)</w:t>
            </w:r>
          </w:p>
        </w:tc>
        <w:tc>
          <w:tcPr>
            <w:tcW w:w="1559" w:type="dxa"/>
          </w:tcPr>
          <w:p w:rsidR="00F72728" w:rsidRPr="0098550F" w:rsidRDefault="00F72728" w:rsidP="000B5177">
            <w:pPr>
              <w:rPr>
                <w:color w:val="auto"/>
                <w:szCs w:val="24"/>
              </w:rPr>
            </w:pPr>
          </w:p>
        </w:tc>
        <w:tc>
          <w:tcPr>
            <w:tcW w:w="3544" w:type="dxa"/>
          </w:tcPr>
          <w:p w:rsidR="00F72728" w:rsidRPr="0098550F" w:rsidRDefault="00F72728" w:rsidP="000B5177">
            <w:pPr>
              <w:jc w:val="left"/>
              <w:rPr>
                <w:color w:val="auto"/>
                <w:szCs w:val="24"/>
              </w:rPr>
            </w:pPr>
            <w:r>
              <w:t>В</w:t>
            </w:r>
            <w:r w:rsidRPr="00BD07C4">
              <w:t>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tc>
        <w:tc>
          <w:tcPr>
            <w:tcW w:w="1701" w:type="dxa"/>
          </w:tcPr>
          <w:p w:rsidR="00F72728" w:rsidRPr="0098550F" w:rsidRDefault="00F72728" w:rsidP="000B5177">
            <w:pPr>
              <w:rPr>
                <w:color w:val="auto"/>
                <w:szCs w:val="24"/>
              </w:rPr>
            </w:pPr>
            <w:r>
              <w:rPr>
                <w:color w:val="auto"/>
                <w:szCs w:val="24"/>
              </w:rPr>
              <w:t>А-Культура</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Default="00F72728" w:rsidP="000B5177">
            <w:pPr>
              <w:rPr>
                <w:color w:val="auto"/>
                <w:szCs w:val="24"/>
              </w:rPr>
            </w:pPr>
            <w:r>
              <w:rPr>
                <w:color w:val="auto"/>
                <w:szCs w:val="24"/>
              </w:rPr>
              <w:t>Тип КБК</w:t>
            </w:r>
          </w:p>
        </w:tc>
        <w:tc>
          <w:tcPr>
            <w:tcW w:w="1559" w:type="dxa"/>
          </w:tcPr>
          <w:p w:rsidR="00F72728" w:rsidRPr="0098550F" w:rsidRDefault="00F72728" w:rsidP="000B5177">
            <w:pPr>
              <w:rPr>
                <w:color w:val="auto"/>
                <w:szCs w:val="24"/>
              </w:rPr>
            </w:pPr>
          </w:p>
        </w:tc>
        <w:tc>
          <w:tcPr>
            <w:tcW w:w="3544" w:type="dxa"/>
          </w:tcPr>
          <w:p w:rsidR="00F72728" w:rsidRPr="0098550F" w:rsidRDefault="00F72728" w:rsidP="000B5177">
            <w:pPr>
              <w:jc w:val="left"/>
              <w:rPr>
                <w:color w:val="auto"/>
                <w:szCs w:val="24"/>
              </w:rPr>
            </w:pPr>
            <w:r>
              <w:rPr>
                <w:color w:val="auto"/>
                <w:szCs w:val="24"/>
              </w:rPr>
              <w:t>Выпадающий список с возможностью выбора открытых и закрытых цепочек КБК. По умолчанию значение «Открытые КБК»</w:t>
            </w:r>
          </w:p>
        </w:tc>
        <w:tc>
          <w:tcPr>
            <w:tcW w:w="1701" w:type="dxa"/>
          </w:tcPr>
          <w:p w:rsidR="00F72728" w:rsidRPr="0098550F" w:rsidRDefault="00F72728" w:rsidP="000B5177">
            <w:pPr>
              <w:rPr>
                <w:color w:val="auto"/>
                <w:szCs w:val="24"/>
              </w:rPr>
            </w:pPr>
            <w:r>
              <w:rPr>
                <w:color w:val="auto"/>
                <w:szCs w:val="24"/>
              </w:rPr>
              <w:t>Открытые КБК</w:t>
            </w:r>
          </w:p>
        </w:tc>
      </w:tr>
      <w:tr w:rsidR="00F72728" w:rsidRPr="0098550F" w:rsidTr="00F72728">
        <w:trPr>
          <w:cantSplit/>
          <w:trHeight w:val="223"/>
        </w:trPr>
        <w:tc>
          <w:tcPr>
            <w:tcW w:w="0" w:type="auto"/>
            <w:shd w:val="clear" w:color="auto" w:fill="auto"/>
          </w:tcPr>
          <w:p w:rsidR="00F72728" w:rsidRPr="0098550F"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Статус контракта в ЕИС</w:t>
            </w:r>
          </w:p>
        </w:tc>
        <w:tc>
          <w:tcPr>
            <w:tcW w:w="1559" w:type="dxa"/>
          </w:tcPr>
          <w:p w:rsidR="00F72728" w:rsidRPr="0098550F" w:rsidRDefault="00F72728" w:rsidP="000B5177">
            <w:pPr>
              <w:jc w:val="left"/>
              <w:rPr>
                <w:color w:val="auto"/>
                <w:szCs w:val="24"/>
              </w:rPr>
            </w:pPr>
            <w:r>
              <w:rPr>
                <w:color w:val="auto"/>
                <w:szCs w:val="24"/>
              </w:rPr>
              <w:t>ЕИС Мониторинг</w:t>
            </w:r>
          </w:p>
        </w:tc>
        <w:tc>
          <w:tcPr>
            <w:tcW w:w="3544" w:type="dxa"/>
          </w:tcPr>
          <w:p w:rsidR="00F72728" w:rsidRDefault="00F72728" w:rsidP="000B5177">
            <w:pPr>
              <w:jc w:val="left"/>
              <w:rPr>
                <w:color w:val="auto"/>
                <w:szCs w:val="24"/>
              </w:rPr>
            </w:pPr>
            <w:r>
              <w:rPr>
                <w:color w:val="auto"/>
                <w:szCs w:val="24"/>
              </w:rPr>
              <w:t>Возможные значения:</w:t>
            </w:r>
          </w:p>
          <w:p w:rsidR="00F72728" w:rsidRPr="001B03BE" w:rsidRDefault="00F72728" w:rsidP="005C6E50">
            <w:pPr>
              <w:pStyle w:val="afff6"/>
              <w:numPr>
                <w:ilvl w:val="0"/>
                <w:numId w:val="139"/>
              </w:numPr>
              <w:jc w:val="left"/>
              <w:rPr>
                <w:color w:val="auto"/>
                <w:sz w:val="24"/>
                <w:szCs w:val="24"/>
              </w:rPr>
            </w:pPr>
            <w:r w:rsidRPr="001B03BE">
              <w:rPr>
                <w:color w:val="auto"/>
                <w:sz w:val="24"/>
                <w:szCs w:val="24"/>
              </w:rPr>
              <w:t>Контракт заключен;</w:t>
            </w:r>
          </w:p>
          <w:p w:rsidR="00F72728" w:rsidRPr="001B03BE" w:rsidRDefault="00F72728" w:rsidP="005C6E50">
            <w:pPr>
              <w:pStyle w:val="afff6"/>
              <w:numPr>
                <w:ilvl w:val="0"/>
                <w:numId w:val="139"/>
              </w:numPr>
              <w:jc w:val="left"/>
              <w:rPr>
                <w:color w:val="auto"/>
                <w:sz w:val="24"/>
                <w:szCs w:val="24"/>
              </w:rPr>
            </w:pPr>
            <w:r w:rsidRPr="001B03BE">
              <w:rPr>
                <w:color w:val="auto"/>
                <w:sz w:val="24"/>
                <w:szCs w:val="24"/>
              </w:rPr>
              <w:t>Контракт исполнен;</w:t>
            </w:r>
          </w:p>
          <w:p w:rsidR="00F72728" w:rsidRPr="001B03BE" w:rsidRDefault="00F72728" w:rsidP="005C6E50">
            <w:pPr>
              <w:pStyle w:val="afff6"/>
              <w:numPr>
                <w:ilvl w:val="0"/>
                <w:numId w:val="139"/>
              </w:numPr>
              <w:jc w:val="left"/>
              <w:rPr>
                <w:color w:val="auto"/>
                <w:szCs w:val="24"/>
              </w:rPr>
            </w:pPr>
            <w:r w:rsidRPr="001B03BE">
              <w:rPr>
                <w:color w:val="auto"/>
                <w:sz w:val="24"/>
                <w:szCs w:val="24"/>
              </w:rPr>
              <w:t>Исполнение контракта прекращено.</w:t>
            </w:r>
          </w:p>
        </w:tc>
        <w:tc>
          <w:tcPr>
            <w:tcW w:w="1701" w:type="dxa"/>
          </w:tcPr>
          <w:p w:rsidR="00F72728" w:rsidRPr="0098550F" w:rsidRDefault="00F72728" w:rsidP="000B5177">
            <w:pPr>
              <w:rPr>
                <w:color w:val="auto"/>
                <w:szCs w:val="24"/>
              </w:rPr>
            </w:pPr>
          </w:p>
        </w:tc>
      </w:tr>
      <w:tr w:rsidR="00F72728" w:rsidRPr="0098550F" w:rsidTr="00F72728">
        <w:trPr>
          <w:cantSplit/>
          <w:trHeight w:val="223"/>
        </w:trPr>
        <w:tc>
          <w:tcPr>
            <w:tcW w:w="0" w:type="auto"/>
            <w:shd w:val="clear" w:color="auto" w:fill="auto"/>
          </w:tcPr>
          <w:p w:rsidR="00F72728" w:rsidRPr="008C6B4B" w:rsidRDefault="00F72728" w:rsidP="005C6E50">
            <w:pPr>
              <w:numPr>
                <w:ilvl w:val="0"/>
                <w:numId w:val="137"/>
              </w:numPr>
              <w:jc w:val="left"/>
              <w:rPr>
                <w:color w:val="auto"/>
                <w:szCs w:val="24"/>
              </w:rPr>
            </w:pPr>
            <w:r w:rsidRPr="0068083A">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Статус исполнения</w:t>
            </w:r>
          </w:p>
        </w:tc>
        <w:tc>
          <w:tcPr>
            <w:tcW w:w="1559" w:type="dxa"/>
          </w:tcPr>
          <w:p w:rsidR="00F72728" w:rsidRPr="0098550F" w:rsidRDefault="00F72728" w:rsidP="000B5177">
            <w:pPr>
              <w:jc w:val="left"/>
              <w:rPr>
                <w:color w:val="auto"/>
                <w:szCs w:val="24"/>
              </w:rPr>
            </w:pPr>
          </w:p>
        </w:tc>
        <w:tc>
          <w:tcPr>
            <w:tcW w:w="3544" w:type="dxa"/>
          </w:tcPr>
          <w:p w:rsidR="00F72728" w:rsidRDefault="00F72728" w:rsidP="000B5177">
            <w:pPr>
              <w:jc w:val="left"/>
              <w:rPr>
                <w:color w:val="auto"/>
                <w:szCs w:val="24"/>
              </w:rPr>
            </w:pPr>
            <w:r>
              <w:rPr>
                <w:color w:val="auto"/>
                <w:szCs w:val="24"/>
              </w:rPr>
              <w:t>Обработанное значение статуса контракта, приходящего из ЕИС мониторинг. Принимает следующие значения:</w:t>
            </w:r>
          </w:p>
          <w:p w:rsidR="00F72728" w:rsidRPr="000B60E6" w:rsidRDefault="00F72728" w:rsidP="005C6E50">
            <w:pPr>
              <w:pStyle w:val="afff6"/>
              <w:numPr>
                <w:ilvl w:val="0"/>
                <w:numId w:val="140"/>
              </w:numPr>
              <w:jc w:val="left"/>
              <w:rPr>
                <w:color w:val="auto"/>
                <w:sz w:val="24"/>
                <w:szCs w:val="24"/>
              </w:rPr>
            </w:pPr>
            <w:r w:rsidRPr="000B60E6">
              <w:rPr>
                <w:color w:val="auto"/>
                <w:sz w:val="24"/>
                <w:szCs w:val="24"/>
              </w:rPr>
              <w:t>На исполнении;</w:t>
            </w:r>
          </w:p>
          <w:p w:rsidR="00F72728" w:rsidRPr="000B60E6" w:rsidRDefault="00F72728" w:rsidP="005C6E50">
            <w:pPr>
              <w:pStyle w:val="afff6"/>
              <w:numPr>
                <w:ilvl w:val="0"/>
                <w:numId w:val="140"/>
              </w:numPr>
              <w:jc w:val="left"/>
              <w:rPr>
                <w:color w:val="auto"/>
                <w:sz w:val="24"/>
                <w:szCs w:val="24"/>
              </w:rPr>
            </w:pPr>
            <w:r w:rsidRPr="000B60E6">
              <w:rPr>
                <w:color w:val="auto"/>
                <w:sz w:val="24"/>
                <w:szCs w:val="24"/>
              </w:rPr>
              <w:t>Исполненный;</w:t>
            </w:r>
          </w:p>
          <w:p w:rsidR="00F72728" w:rsidRPr="000B60E6" w:rsidRDefault="00F72728" w:rsidP="005C6E50">
            <w:pPr>
              <w:pStyle w:val="afff6"/>
              <w:numPr>
                <w:ilvl w:val="0"/>
                <w:numId w:val="140"/>
              </w:numPr>
              <w:jc w:val="left"/>
              <w:rPr>
                <w:color w:val="auto"/>
                <w:szCs w:val="24"/>
              </w:rPr>
            </w:pPr>
            <w:r w:rsidRPr="000B60E6">
              <w:rPr>
                <w:color w:val="auto"/>
                <w:sz w:val="24"/>
                <w:szCs w:val="24"/>
              </w:rPr>
              <w:t>Расторгнутый.</w:t>
            </w:r>
          </w:p>
        </w:tc>
        <w:tc>
          <w:tcPr>
            <w:tcW w:w="1701" w:type="dxa"/>
          </w:tcPr>
          <w:p w:rsidR="00F72728" w:rsidRPr="00C10A06" w:rsidRDefault="00F72728" w:rsidP="000B5177">
            <w:pPr>
              <w:rPr>
                <w:color w:val="auto"/>
                <w:szCs w:val="24"/>
              </w:rPr>
            </w:pPr>
          </w:p>
        </w:tc>
      </w:tr>
      <w:tr w:rsidR="00F72728" w:rsidRPr="0098550F" w:rsidTr="00F72728">
        <w:trPr>
          <w:cantSplit/>
          <w:trHeight w:val="223"/>
        </w:trPr>
        <w:tc>
          <w:tcPr>
            <w:tcW w:w="0" w:type="auto"/>
            <w:shd w:val="clear" w:color="auto" w:fill="auto"/>
          </w:tcPr>
          <w:p w:rsidR="00F72728" w:rsidRPr="008C6B4B" w:rsidRDefault="00F72728" w:rsidP="005C6E50">
            <w:pPr>
              <w:numPr>
                <w:ilvl w:val="0"/>
                <w:numId w:val="137"/>
              </w:numPr>
              <w:jc w:val="left"/>
              <w:rPr>
                <w:color w:val="auto"/>
                <w:szCs w:val="24"/>
              </w:rPr>
            </w:pPr>
            <w:r w:rsidRPr="0068083A">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Поиск по номеру реестровой записи контракта</w:t>
            </w:r>
          </w:p>
        </w:tc>
        <w:tc>
          <w:tcPr>
            <w:tcW w:w="1559" w:type="dxa"/>
          </w:tcPr>
          <w:p w:rsidR="00F72728" w:rsidRPr="0098550F" w:rsidRDefault="00F72728" w:rsidP="000B5177">
            <w:pPr>
              <w:jc w:val="left"/>
              <w:rPr>
                <w:color w:val="auto"/>
                <w:szCs w:val="24"/>
              </w:rPr>
            </w:pPr>
          </w:p>
        </w:tc>
        <w:tc>
          <w:tcPr>
            <w:tcW w:w="3544" w:type="dxa"/>
          </w:tcPr>
          <w:p w:rsidR="00F72728" w:rsidRPr="0098550F" w:rsidRDefault="00F72728" w:rsidP="000B5177">
            <w:pPr>
              <w:jc w:val="left"/>
              <w:rPr>
                <w:color w:val="auto"/>
                <w:szCs w:val="24"/>
              </w:rPr>
            </w:pPr>
            <w:r>
              <w:rPr>
                <w:color w:val="auto"/>
                <w:szCs w:val="24"/>
              </w:rPr>
              <w:t>Поисковая строка с возможностью ввода значений номера реестровой записи контракта</w:t>
            </w:r>
          </w:p>
        </w:tc>
        <w:tc>
          <w:tcPr>
            <w:tcW w:w="1701" w:type="dxa"/>
          </w:tcPr>
          <w:p w:rsidR="00F72728" w:rsidRPr="00C10A06" w:rsidRDefault="00F72728" w:rsidP="000B5177">
            <w:pPr>
              <w:rPr>
                <w:color w:val="auto"/>
                <w:szCs w:val="24"/>
              </w:rPr>
            </w:pPr>
          </w:p>
        </w:tc>
      </w:tr>
      <w:tr w:rsidR="00F72728" w:rsidRPr="0098550F" w:rsidTr="00F72728">
        <w:trPr>
          <w:cantSplit/>
          <w:trHeight w:val="223"/>
        </w:trPr>
        <w:tc>
          <w:tcPr>
            <w:tcW w:w="0" w:type="auto"/>
            <w:shd w:val="clear" w:color="auto" w:fill="auto"/>
          </w:tcPr>
          <w:p w:rsidR="00F72728" w:rsidRPr="008C6B4B" w:rsidRDefault="00F72728" w:rsidP="005C6E50">
            <w:pPr>
              <w:numPr>
                <w:ilvl w:val="0"/>
                <w:numId w:val="137"/>
              </w:numPr>
              <w:jc w:val="left"/>
              <w:rPr>
                <w:color w:val="auto"/>
                <w:szCs w:val="24"/>
              </w:rPr>
            </w:pPr>
            <w:r w:rsidRPr="0068083A">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Признак КС</w:t>
            </w:r>
          </w:p>
        </w:tc>
        <w:tc>
          <w:tcPr>
            <w:tcW w:w="1559" w:type="dxa"/>
          </w:tcPr>
          <w:p w:rsidR="00F72728" w:rsidRPr="0098550F" w:rsidRDefault="00F72728" w:rsidP="000B5177">
            <w:pPr>
              <w:jc w:val="left"/>
              <w:rPr>
                <w:color w:val="auto"/>
                <w:szCs w:val="24"/>
              </w:rPr>
            </w:pPr>
            <w:r>
              <w:rPr>
                <w:color w:val="auto"/>
                <w:szCs w:val="24"/>
              </w:rPr>
              <w:t>ЕИС Мониторинг</w:t>
            </w:r>
          </w:p>
        </w:tc>
        <w:tc>
          <w:tcPr>
            <w:tcW w:w="3544" w:type="dxa"/>
          </w:tcPr>
          <w:p w:rsidR="00F72728" w:rsidRPr="0098550F" w:rsidRDefault="00F72728" w:rsidP="000B5177">
            <w:pPr>
              <w:jc w:val="left"/>
              <w:rPr>
                <w:color w:val="auto"/>
                <w:szCs w:val="24"/>
              </w:rPr>
            </w:pPr>
            <w:r>
              <w:rPr>
                <w:color w:val="auto"/>
                <w:szCs w:val="24"/>
              </w:rPr>
              <w:t xml:space="preserve">Выпадающий список с единственностью выбора </w:t>
            </w:r>
            <w:r w:rsidRPr="000B60E6">
              <w:rPr>
                <w:color w:val="auto"/>
                <w:szCs w:val="24"/>
              </w:rPr>
              <w:t>Требуется КС/БС</w:t>
            </w:r>
            <w:r>
              <w:rPr>
                <w:color w:val="auto"/>
                <w:szCs w:val="24"/>
              </w:rPr>
              <w:t>.</w:t>
            </w:r>
          </w:p>
        </w:tc>
        <w:tc>
          <w:tcPr>
            <w:tcW w:w="1701" w:type="dxa"/>
          </w:tcPr>
          <w:p w:rsidR="00F72728" w:rsidRPr="00C10A06" w:rsidRDefault="00F72728" w:rsidP="000B5177">
            <w:pPr>
              <w:rPr>
                <w:color w:val="auto"/>
                <w:szCs w:val="24"/>
              </w:rPr>
            </w:pPr>
          </w:p>
        </w:tc>
      </w:tr>
      <w:tr w:rsidR="00F72728" w:rsidRPr="0098550F" w:rsidTr="00F72728">
        <w:trPr>
          <w:cantSplit/>
          <w:trHeight w:val="223"/>
        </w:trPr>
        <w:tc>
          <w:tcPr>
            <w:tcW w:w="0" w:type="auto"/>
            <w:shd w:val="clear" w:color="auto" w:fill="auto"/>
          </w:tcPr>
          <w:p w:rsidR="00F72728" w:rsidRPr="008C6B4B" w:rsidRDefault="00F72728" w:rsidP="005C6E50">
            <w:pPr>
              <w:numPr>
                <w:ilvl w:val="0"/>
                <w:numId w:val="137"/>
              </w:numPr>
              <w:jc w:val="left"/>
              <w:rPr>
                <w:color w:val="auto"/>
                <w:szCs w:val="24"/>
              </w:rPr>
            </w:pPr>
            <w:r w:rsidRPr="0068083A">
              <w:rPr>
                <w:color w:val="auto"/>
                <w:szCs w:val="24"/>
              </w:rPr>
              <w:t>Фильтр</w:t>
            </w:r>
          </w:p>
        </w:tc>
        <w:tc>
          <w:tcPr>
            <w:tcW w:w="1878" w:type="dxa"/>
            <w:shd w:val="clear" w:color="auto" w:fill="auto"/>
          </w:tcPr>
          <w:p w:rsidR="00F72728" w:rsidRPr="0098550F" w:rsidRDefault="00F72728" w:rsidP="000B5177">
            <w:pPr>
              <w:rPr>
                <w:color w:val="auto"/>
                <w:szCs w:val="24"/>
              </w:rPr>
            </w:pPr>
            <w:r>
              <w:rPr>
                <w:color w:val="auto"/>
                <w:szCs w:val="24"/>
              </w:rPr>
              <w:t>Заказчик</w:t>
            </w:r>
          </w:p>
        </w:tc>
        <w:tc>
          <w:tcPr>
            <w:tcW w:w="1559" w:type="dxa"/>
          </w:tcPr>
          <w:p w:rsidR="00F72728" w:rsidRPr="0098550F" w:rsidRDefault="00F72728" w:rsidP="000B5177">
            <w:pPr>
              <w:jc w:val="left"/>
              <w:rPr>
                <w:color w:val="auto"/>
                <w:szCs w:val="24"/>
              </w:rPr>
            </w:pPr>
          </w:p>
        </w:tc>
        <w:tc>
          <w:tcPr>
            <w:tcW w:w="3544" w:type="dxa"/>
          </w:tcPr>
          <w:p w:rsidR="00F72728" w:rsidRPr="0098550F" w:rsidRDefault="00F72728" w:rsidP="000B5177">
            <w:pPr>
              <w:jc w:val="left"/>
              <w:rPr>
                <w:color w:val="auto"/>
                <w:szCs w:val="24"/>
              </w:rPr>
            </w:pPr>
            <w:r>
              <w:rPr>
                <w:color w:val="auto"/>
                <w:szCs w:val="24"/>
              </w:rPr>
              <w:t>Поисковая строка. Поиск по ИНН или наименованию заказчика.</w:t>
            </w:r>
          </w:p>
        </w:tc>
        <w:tc>
          <w:tcPr>
            <w:tcW w:w="1701" w:type="dxa"/>
          </w:tcPr>
          <w:p w:rsidR="00F72728" w:rsidRPr="00C10A06" w:rsidRDefault="00F72728" w:rsidP="000B5177">
            <w:pPr>
              <w:rPr>
                <w:color w:val="auto"/>
                <w:szCs w:val="24"/>
              </w:rPr>
            </w:pPr>
          </w:p>
        </w:tc>
      </w:tr>
      <w:tr w:rsidR="00F72728" w:rsidRPr="0098550F" w:rsidTr="00F72728">
        <w:trPr>
          <w:cantSplit/>
          <w:trHeight w:val="223"/>
        </w:trPr>
        <w:tc>
          <w:tcPr>
            <w:tcW w:w="0" w:type="auto"/>
            <w:shd w:val="clear" w:color="auto" w:fill="auto"/>
          </w:tcPr>
          <w:p w:rsidR="00F72728" w:rsidRPr="0068083A" w:rsidRDefault="00F72728" w:rsidP="005C6E50">
            <w:pPr>
              <w:numPr>
                <w:ilvl w:val="0"/>
                <w:numId w:val="137"/>
              </w:numPr>
              <w:jc w:val="left"/>
              <w:rPr>
                <w:color w:val="auto"/>
                <w:szCs w:val="24"/>
              </w:rPr>
            </w:pPr>
            <w:r w:rsidRPr="0098550F">
              <w:rPr>
                <w:color w:val="auto"/>
                <w:szCs w:val="24"/>
              </w:rPr>
              <w:t>Фильтр</w:t>
            </w:r>
          </w:p>
        </w:tc>
        <w:tc>
          <w:tcPr>
            <w:tcW w:w="1878" w:type="dxa"/>
            <w:shd w:val="clear" w:color="auto" w:fill="auto"/>
          </w:tcPr>
          <w:p w:rsidR="00F72728" w:rsidRDefault="00F72728" w:rsidP="000B5177">
            <w:pPr>
              <w:rPr>
                <w:color w:val="auto"/>
                <w:szCs w:val="24"/>
              </w:rPr>
            </w:pPr>
            <w:r>
              <w:rPr>
                <w:color w:val="auto"/>
                <w:szCs w:val="24"/>
              </w:rPr>
              <w:t>Показатель</w:t>
            </w:r>
          </w:p>
        </w:tc>
        <w:tc>
          <w:tcPr>
            <w:tcW w:w="1559" w:type="dxa"/>
          </w:tcPr>
          <w:p w:rsidR="00F72728" w:rsidRPr="0098550F" w:rsidRDefault="00F72728" w:rsidP="000B5177">
            <w:pPr>
              <w:jc w:val="left"/>
              <w:rPr>
                <w:color w:val="auto"/>
                <w:szCs w:val="24"/>
              </w:rPr>
            </w:pPr>
          </w:p>
        </w:tc>
        <w:tc>
          <w:tcPr>
            <w:tcW w:w="3544" w:type="dxa"/>
          </w:tcPr>
          <w:p w:rsidR="00F72728" w:rsidRDefault="00F72728" w:rsidP="000B5177">
            <w:pPr>
              <w:jc w:val="left"/>
              <w:rPr>
                <w:color w:val="auto"/>
                <w:szCs w:val="24"/>
              </w:rPr>
            </w:pPr>
            <w:r>
              <w:rPr>
                <w:color w:val="auto"/>
                <w:szCs w:val="24"/>
              </w:rPr>
              <w:t>Параметр сортировки и фильтрации числовых значений показателей:</w:t>
            </w:r>
          </w:p>
          <w:p w:rsidR="00F72728" w:rsidRPr="000B60E6" w:rsidRDefault="00F72728" w:rsidP="005C6E50">
            <w:pPr>
              <w:pStyle w:val="afff6"/>
              <w:numPr>
                <w:ilvl w:val="0"/>
                <w:numId w:val="138"/>
              </w:numPr>
              <w:jc w:val="left"/>
              <w:rPr>
                <w:color w:val="auto"/>
                <w:sz w:val="24"/>
                <w:szCs w:val="24"/>
              </w:rPr>
            </w:pPr>
            <w:r w:rsidRPr="000B60E6">
              <w:rPr>
                <w:color w:val="auto"/>
                <w:sz w:val="24"/>
                <w:szCs w:val="24"/>
              </w:rPr>
              <w:t>Объем бюджетных ассигнований;</w:t>
            </w:r>
          </w:p>
          <w:p w:rsidR="00F72728" w:rsidRPr="000B60E6" w:rsidRDefault="00F72728" w:rsidP="005C6E50">
            <w:pPr>
              <w:pStyle w:val="afff6"/>
              <w:numPr>
                <w:ilvl w:val="0"/>
                <w:numId w:val="138"/>
              </w:numPr>
              <w:jc w:val="left"/>
              <w:rPr>
                <w:color w:val="auto"/>
                <w:sz w:val="24"/>
                <w:szCs w:val="24"/>
              </w:rPr>
            </w:pPr>
            <w:r w:rsidRPr="000B60E6">
              <w:rPr>
                <w:color w:val="auto"/>
                <w:sz w:val="24"/>
                <w:szCs w:val="24"/>
              </w:rPr>
              <w:t>Объем заключенных контрактов;</w:t>
            </w:r>
          </w:p>
          <w:p w:rsidR="00F72728" w:rsidRPr="000B60E6" w:rsidRDefault="00F72728" w:rsidP="005C6E50">
            <w:pPr>
              <w:pStyle w:val="afff6"/>
              <w:numPr>
                <w:ilvl w:val="0"/>
                <w:numId w:val="138"/>
              </w:numPr>
              <w:jc w:val="left"/>
              <w:rPr>
                <w:color w:val="auto"/>
                <w:sz w:val="24"/>
                <w:szCs w:val="24"/>
              </w:rPr>
            </w:pPr>
            <w:r w:rsidRPr="000B60E6">
              <w:rPr>
                <w:color w:val="auto"/>
                <w:sz w:val="24"/>
                <w:szCs w:val="24"/>
              </w:rPr>
              <w:t>Объем исполненных контрактов;</w:t>
            </w:r>
          </w:p>
          <w:p w:rsidR="00F72728" w:rsidRPr="000B60E6" w:rsidRDefault="00F72728" w:rsidP="005C6E50">
            <w:pPr>
              <w:pStyle w:val="afff6"/>
              <w:numPr>
                <w:ilvl w:val="0"/>
                <w:numId w:val="138"/>
              </w:numPr>
              <w:jc w:val="left"/>
              <w:rPr>
                <w:color w:val="auto"/>
                <w:szCs w:val="24"/>
              </w:rPr>
            </w:pPr>
            <w:r w:rsidRPr="000B60E6">
              <w:rPr>
                <w:color w:val="auto"/>
                <w:sz w:val="24"/>
                <w:szCs w:val="24"/>
              </w:rPr>
              <w:t>Объем оплаченных контрактов.</w:t>
            </w:r>
          </w:p>
          <w:p w:rsidR="00F72728" w:rsidRPr="000B60E6" w:rsidRDefault="00F72728" w:rsidP="000B5177">
            <w:pPr>
              <w:ind w:left="360"/>
              <w:jc w:val="left"/>
              <w:rPr>
                <w:color w:val="auto"/>
                <w:szCs w:val="24"/>
              </w:rPr>
            </w:pPr>
          </w:p>
        </w:tc>
        <w:tc>
          <w:tcPr>
            <w:tcW w:w="1701" w:type="dxa"/>
          </w:tcPr>
          <w:p w:rsidR="00F72728" w:rsidRPr="00C10A06" w:rsidRDefault="00F72728" w:rsidP="000B5177">
            <w:pPr>
              <w:rPr>
                <w:color w:val="auto"/>
                <w:szCs w:val="24"/>
              </w:rPr>
            </w:pPr>
          </w:p>
        </w:tc>
      </w:tr>
    </w:tbl>
    <w:p w:rsidR="00F72728" w:rsidRDefault="00F72728" w:rsidP="00F72728">
      <w:pPr>
        <w:pStyle w:val="af0"/>
        <w:rPr>
          <w:rFonts w:eastAsia="Calibri"/>
        </w:rPr>
      </w:pPr>
      <w:r>
        <w:rPr>
          <w:rFonts w:eastAsia="Calibri"/>
        </w:rPr>
        <w:t>Перечень столбцов, которые содер</w:t>
      </w:r>
      <w:r w:rsidR="000E2DA7">
        <w:rPr>
          <w:rFonts w:eastAsia="Calibri"/>
        </w:rPr>
        <w:t>жит</w:t>
      </w:r>
      <w:r>
        <w:rPr>
          <w:rFonts w:eastAsia="Calibri"/>
        </w:rPr>
        <w:t xml:space="preserve"> таблица, а также переходов и их описание представлены в таблице</w:t>
      </w:r>
      <w:r w:rsidR="000B5177">
        <w:rPr>
          <w:rFonts w:eastAsia="Calibri"/>
        </w:rPr>
        <w:t xml:space="preserve"> </w:t>
      </w:r>
      <w:r w:rsidR="000B5177">
        <w:rPr>
          <w:rFonts w:eastAsia="Calibri"/>
        </w:rPr>
        <w:fldChar w:fldCharType="begin"/>
      </w:r>
      <w:r w:rsidR="000B5177">
        <w:rPr>
          <w:rFonts w:eastAsia="Calibri"/>
        </w:rPr>
        <w:instrText xml:space="preserve"> REF _Ref93513446 \h </w:instrText>
      </w:r>
      <w:r w:rsidR="000B5177">
        <w:rPr>
          <w:rFonts w:eastAsia="Calibri"/>
        </w:rPr>
      </w:r>
      <w:r w:rsidR="000B5177">
        <w:rPr>
          <w:rFonts w:eastAsia="Calibri"/>
        </w:rPr>
        <w:fldChar w:fldCharType="separate"/>
      </w:r>
      <w:r w:rsidR="00BF0BEE">
        <w:rPr>
          <w:noProof/>
        </w:rPr>
        <w:t>30</w:t>
      </w:r>
      <w:r w:rsidR="000B5177">
        <w:rPr>
          <w:rFonts w:eastAsia="Calibri"/>
        </w:rPr>
        <w:fldChar w:fldCharType="end"/>
      </w:r>
      <w:r w:rsidR="000B5177">
        <w:rPr>
          <w:rFonts w:eastAsia="Calibri"/>
        </w:rPr>
        <w:t>.</w:t>
      </w:r>
    </w:p>
    <w:p w:rsidR="000B5177" w:rsidRDefault="000B5177" w:rsidP="000B5177">
      <w:pPr>
        <w:pStyle w:val="-"/>
      </w:pPr>
      <w:bookmarkStart w:id="659" w:name="_Toc119585171"/>
      <w:r>
        <w:t xml:space="preserve">Таблица </w:t>
      </w:r>
      <w:fldSimple w:instr=" SEQ Таблица \* ARABIC ">
        <w:bookmarkStart w:id="660" w:name="_Ref93513446"/>
        <w:r w:rsidR="00BF0BEE">
          <w:rPr>
            <w:noProof/>
          </w:rPr>
          <w:t>30</w:t>
        </w:r>
        <w:bookmarkEnd w:id="660"/>
      </w:fldSimple>
      <w:r>
        <w:rPr>
          <w:noProof/>
        </w:rPr>
        <w:t xml:space="preserve"> –</w:t>
      </w:r>
      <w:r>
        <w:t xml:space="preserve"> Перечень граф отчета «Закупка товаров, работ, услуг» (по данным системы ЕИС Мониторинг)</w:t>
      </w:r>
      <w:bookmarkEnd w:id="659"/>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85"/>
        <w:gridCol w:w="1519"/>
        <w:gridCol w:w="2074"/>
        <w:gridCol w:w="3169"/>
      </w:tblGrid>
      <w:tr w:rsidR="000B5177" w:rsidRPr="0098550F" w:rsidTr="000B5177">
        <w:trPr>
          <w:cantSplit/>
          <w:trHeight w:val="347"/>
          <w:tblHeader/>
        </w:trPr>
        <w:tc>
          <w:tcPr>
            <w:tcW w:w="1384" w:type="dxa"/>
            <w:shd w:val="clear" w:color="auto" w:fill="D9D9D9" w:themeFill="background1" w:themeFillShade="D9"/>
            <w:vAlign w:val="center"/>
            <w:hideMark/>
          </w:tcPr>
          <w:p w:rsidR="000B5177" w:rsidRPr="0098550F" w:rsidRDefault="000B5177" w:rsidP="000B5177">
            <w:pPr>
              <w:jc w:val="center"/>
              <w:rPr>
                <w:b/>
                <w:bCs/>
                <w:color w:val="auto"/>
                <w:szCs w:val="24"/>
              </w:rPr>
            </w:pPr>
            <w:r w:rsidRPr="0098550F">
              <w:rPr>
                <w:b/>
                <w:bCs/>
                <w:color w:val="auto"/>
                <w:szCs w:val="24"/>
              </w:rPr>
              <w:t>Тип</w:t>
            </w:r>
          </w:p>
        </w:tc>
        <w:tc>
          <w:tcPr>
            <w:tcW w:w="1885" w:type="dxa"/>
            <w:shd w:val="clear" w:color="auto" w:fill="D9D9D9" w:themeFill="background1" w:themeFillShade="D9"/>
            <w:vAlign w:val="center"/>
            <w:hideMark/>
          </w:tcPr>
          <w:p w:rsidR="000B5177" w:rsidRPr="0098550F" w:rsidRDefault="000B5177" w:rsidP="000B5177">
            <w:pPr>
              <w:jc w:val="center"/>
              <w:rPr>
                <w:b/>
                <w:bCs/>
                <w:color w:val="auto"/>
                <w:szCs w:val="24"/>
              </w:rPr>
            </w:pPr>
            <w:r w:rsidRPr="0098550F">
              <w:rPr>
                <w:b/>
                <w:bCs/>
                <w:color w:val="auto"/>
                <w:szCs w:val="24"/>
              </w:rPr>
              <w:t>Наименование</w:t>
            </w:r>
          </w:p>
        </w:tc>
        <w:tc>
          <w:tcPr>
            <w:tcW w:w="1519" w:type="dxa"/>
            <w:shd w:val="clear" w:color="auto" w:fill="D9D9D9" w:themeFill="background1" w:themeFillShade="D9"/>
          </w:tcPr>
          <w:p w:rsidR="000B5177" w:rsidRPr="0098550F" w:rsidRDefault="000B5177" w:rsidP="000B5177">
            <w:pPr>
              <w:jc w:val="center"/>
              <w:rPr>
                <w:b/>
                <w:bCs/>
                <w:color w:val="auto"/>
                <w:szCs w:val="24"/>
              </w:rPr>
            </w:pPr>
            <w:r w:rsidRPr="0098550F">
              <w:rPr>
                <w:b/>
                <w:bCs/>
                <w:color w:val="auto"/>
                <w:szCs w:val="24"/>
              </w:rPr>
              <w:t>Источник данных</w:t>
            </w:r>
          </w:p>
        </w:tc>
        <w:tc>
          <w:tcPr>
            <w:tcW w:w="2074" w:type="dxa"/>
            <w:shd w:val="clear" w:color="auto" w:fill="D9D9D9" w:themeFill="background1" w:themeFillShade="D9"/>
            <w:vAlign w:val="center"/>
          </w:tcPr>
          <w:p w:rsidR="000B5177" w:rsidRPr="0098550F" w:rsidRDefault="000B5177" w:rsidP="000B5177">
            <w:pPr>
              <w:jc w:val="center"/>
              <w:rPr>
                <w:b/>
                <w:bCs/>
                <w:color w:val="auto"/>
                <w:szCs w:val="24"/>
              </w:rPr>
            </w:pPr>
            <w:r w:rsidRPr="0098550F">
              <w:rPr>
                <w:b/>
                <w:bCs/>
                <w:color w:val="auto"/>
                <w:szCs w:val="24"/>
              </w:rPr>
              <w:t>Примечание</w:t>
            </w:r>
          </w:p>
        </w:tc>
        <w:tc>
          <w:tcPr>
            <w:tcW w:w="3169" w:type="dxa"/>
            <w:shd w:val="clear" w:color="auto" w:fill="D9D9D9" w:themeFill="background1" w:themeFillShade="D9"/>
            <w:vAlign w:val="center"/>
          </w:tcPr>
          <w:p w:rsidR="000B5177" w:rsidRPr="0098550F" w:rsidRDefault="000B5177" w:rsidP="000B5177">
            <w:pPr>
              <w:jc w:val="center"/>
              <w:rPr>
                <w:b/>
                <w:bCs/>
                <w:color w:val="auto"/>
                <w:szCs w:val="24"/>
              </w:rPr>
            </w:pPr>
            <w:r w:rsidRPr="0098550F">
              <w:rPr>
                <w:b/>
                <w:bCs/>
                <w:color w:val="auto"/>
                <w:szCs w:val="24"/>
              </w:rPr>
              <w:t>Пример</w:t>
            </w:r>
          </w:p>
        </w:tc>
      </w:tr>
      <w:tr w:rsidR="000B5177" w:rsidRPr="0098550F" w:rsidTr="000B5177">
        <w:trPr>
          <w:cantSplit/>
          <w:trHeight w:val="223"/>
        </w:trPr>
        <w:tc>
          <w:tcPr>
            <w:tcW w:w="1384" w:type="dxa"/>
            <w:shd w:val="clear" w:color="auto" w:fill="auto"/>
          </w:tcPr>
          <w:p w:rsidR="000B5177" w:rsidRPr="008C6B4B" w:rsidRDefault="000B5177" w:rsidP="005C6E50">
            <w:pPr>
              <w:numPr>
                <w:ilvl w:val="0"/>
                <w:numId w:val="141"/>
              </w:numPr>
              <w:ind w:left="0" w:firstLine="0"/>
              <w:jc w:val="left"/>
              <w:rPr>
                <w:color w:val="auto"/>
                <w:szCs w:val="24"/>
              </w:rPr>
            </w:pPr>
            <w:r w:rsidRPr="00761D1B">
              <w:rPr>
                <w:color w:val="auto"/>
                <w:szCs w:val="24"/>
              </w:rPr>
              <w:t>Графа</w:t>
            </w:r>
          </w:p>
        </w:tc>
        <w:tc>
          <w:tcPr>
            <w:tcW w:w="1885" w:type="dxa"/>
            <w:shd w:val="clear" w:color="auto" w:fill="auto"/>
          </w:tcPr>
          <w:p w:rsidR="000B5177" w:rsidRPr="0098550F" w:rsidRDefault="000B5177" w:rsidP="000B5177">
            <w:pPr>
              <w:rPr>
                <w:color w:val="auto"/>
                <w:szCs w:val="24"/>
              </w:rPr>
            </w:pPr>
            <w:r>
              <w:rPr>
                <w:color w:val="auto"/>
                <w:szCs w:val="24"/>
              </w:rPr>
              <w:t>Объем финансового обеспечения на текущий год</w:t>
            </w:r>
          </w:p>
        </w:tc>
        <w:tc>
          <w:tcPr>
            <w:tcW w:w="1519" w:type="dxa"/>
          </w:tcPr>
          <w:p w:rsidR="000B5177" w:rsidRPr="0098550F" w:rsidRDefault="000B5177" w:rsidP="000B5177">
            <w:pPr>
              <w:jc w:val="left"/>
              <w:rPr>
                <w:color w:val="auto"/>
                <w:szCs w:val="24"/>
              </w:rPr>
            </w:pPr>
            <w:r>
              <w:rPr>
                <w:color w:val="auto"/>
                <w:szCs w:val="24"/>
              </w:rPr>
              <w:t>ЕИС Мониторинг</w:t>
            </w:r>
          </w:p>
          <w:p w:rsidR="000B5177" w:rsidRPr="0098550F" w:rsidRDefault="000B5177" w:rsidP="000B5177">
            <w:pPr>
              <w:jc w:val="left"/>
              <w:rPr>
                <w:color w:val="auto"/>
                <w:szCs w:val="24"/>
              </w:rPr>
            </w:pPr>
          </w:p>
        </w:tc>
        <w:tc>
          <w:tcPr>
            <w:tcW w:w="2074" w:type="dxa"/>
          </w:tcPr>
          <w:p w:rsidR="000B5177" w:rsidRPr="0098550F" w:rsidRDefault="000B5177" w:rsidP="000B5177">
            <w:pPr>
              <w:jc w:val="left"/>
              <w:rPr>
                <w:color w:val="auto"/>
                <w:szCs w:val="24"/>
              </w:rPr>
            </w:pPr>
            <w:r>
              <w:rPr>
                <w:color w:val="auto"/>
                <w:szCs w:val="24"/>
              </w:rPr>
              <w:t>Показатель «</w:t>
            </w:r>
            <w:r w:rsidRPr="00CC6B86">
              <w:rPr>
                <w:color w:val="auto"/>
                <w:szCs w:val="24"/>
              </w:rPr>
              <w:t>Объем финансового обеспечения</w:t>
            </w:r>
            <w:r>
              <w:rPr>
                <w:color w:val="auto"/>
                <w:szCs w:val="24"/>
              </w:rPr>
              <w:t>»</w:t>
            </w:r>
          </w:p>
        </w:tc>
        <w:tc>
          <w:tcPr>
            <w:tcW w:w="3169" w:type="dxa"/>
          </w:tcPr>
          <w:p w:rsidR="000B5177" w:rsidRPr="00CC6B86" w:rsidRDefault="000B5177" w:rsidP="000B5177">
            <w:pPr>
              <w:jc w:val="left"/>
              <w:rPr>
                <w:color w:val="auto"/>
                <w:szCs w:val="24"/>
              </w:rPr>
            </w:pPr>
            <w:r w:rsidRPr="00CC6B86">
              <w:rPr>
                <w:color w:val="auto"/>
                <w:szCs w:val="24"/>
              </w:rPr>
              <w:t>1 814 562 006,3</w:t>
            </w:r>
          </w:p>
        </w:tc>
      </w:tr>
      <w:tr w:rsidR="000B5177" w:rsidRPr="0098550F" w:rsidTr="000B5177">
        <w:trPr>
          <w:cantSplit/>
          <w:trHeight w:val="223"/>
        </w:trPr>
        <w:tc>
          <w:tcPr>
            <w:tcW w:w="1384" w:type="dxa"/>
            <w:shd w:val="clear" w:color="auto" w:fill="auto"/>
          </w:tcPr>
          <w:p w:rsidR="000B5177" w:rsidRPr="008C6B4B" w:rsidRDefault="000B5177" w:rsidP="005C6E50">
            <w:pPr>
              <w:numPr>
                <w:ilvl w:val="0"/>
                <w:numId w:val="141"/>
              </w:numPr>
              <w:ind w:left="0" w:firstLine="0"/>
              <w:jc w:val="left"/>
              <w:rPr>
                <w:color w:val="auto"/>
                <w:szCs w:val="24"/>
              </w:rPr>
            </w:pPr>
            <w:r w:rsidRPr="00761D1B">
              <w:rPr>
                <w:color w:val="auto"/>
                <w:szCs w:val="24"/>
              </w:rPr>
              <w:t>Графа</w:t>
            </w:r>
          </w:p>
        </w:tc>
        <w:tc>
          <w:tcPr>
            <w:tcW w:w="1885" w:type="dxa"/>
            <w:shd w:val="clear" w:color="auto" w:fill="auto"/>
          </w:tcPr>
          <w:p w:rsidR="000B5177" w:rsidRDefault="000B5177" w:rsidP="000B5177">
            <w:pPr>
              <w:rPr>
                <w:color w:val="auto"/>
                <w:szCs w:val="24"/>
              </w:rPr>
            </w:pPr>
            <w:r>
              <w:rPr>
                <w:color w:val="auto"/>
                <w:szCs w:val="24"/>
              </w:rPr>
              <w:t>Заключенные контракты</w:t>
            </w:r>
          </w:p>
        </w:tc>
        <w:tc>
          <w:tcPr>
            <w:tcW w:w="1519" w:type="dxa"/>
          </w:tcPr>
          <w:p w:rsidR="000B5177" w:rsidRPr="0098550F" w:rsidRDefault="000B5177" w:rsidP="000B5177">
            <w:pPr>
              <w:jc w:val="left"/>
              <w:rPr>
                <w:color w:val="auto"/>
                <w:szCs w:val="24"/>
              </w:rPr>
            </w:pPr>
            <w:r>
              <w:rPr>
                <w:color w:val="auto"/>
                <w:szCs w:val="24"/>
              </w:rPr>
              <w:t>ЕИС Мониторинг</w:t>
            </w:r>
          </w:p>
        </w:tc>
        <w:tc>
          <w:tcPr>
            <w:tcW w:w="2074" w:type="dxa"/>
          </w:tcPr>
          <w:p w:rsidR="000B5177" w:rsidRPr="0098550F" w:rsidRDefault="000B5177" w:rsidP="000B5177">
            <w:pPr>
              <w:jc w:val="left"/>
              <w:rPr>
                <w:color w:val="auto"/>
                <w:szCs w:val="24"/>
              </w:rPr>
            </w:pPr>
            <w:r w:rsidRPr="00CC6B86">
              <w:rPr>
                <w:color w:val="auto"/>
                <w:szCs w:val="24"/>
              </w:rPr>
              <w:t>Показатель «Сумма принятого БО в рублевом эквиваленте»</w:t>
            </w:r>
          </w:p>
        </w:tc>
        <w:tc>
          <w:tcPr>
            <w:tcW w:w="3169" w:type="dxa"/>
          </w:tcPr>
          <w:p w:rsidR="000B5177" w:rsidRPr="00B554C2" w:rsidRDefault="000B5177" w:rsidP="000B5177">
            <w:pPr>
              <w:jc w:val="left"/>
              <w:rPr>
                <w:sz w:val="28"/>
              </w:rPr>
            </w:pPr>
            <w:r w:rsidRPr="00CC6B86">
              <w:rPr>
                <w:sz w:val="28"/>
              </w:rPr>
              <w:t>1 775 275 283,8</w:t>
            </w:r>
          </w:p>
        </w:tc>
      </w:tr>
      <w:tr w:rsidR="000B5177" w:rsidRPr="0098550F" w:rsidTr="000B5177">
        <w:trPr>
          <w:cantSplit/>
          <w:trHeight w:val="223"/>
        </w:trPr>
        <w:tc>
          <w:tcPr>
            <w:tcW w:w="1384" w:type="dxa"/>
            <w:vMerge w:val="restart"/>
            <w:shd w:val="clear" w:color="auto" w:fill="auto"/>
          </w:tcPr>
          <w:p w:rsidR="000B5177" w:rsidRPr="008C6B4B" w:rsidRDefault="000B5177" w:rsidP="005C6E50">
            <w:pPr>
              <w:numPr>
                <w:ilvl w:val="0"/>
                <w:numId w:val="141"/>
              </w:numPr>
              <w:ind w:left="0" w:firstLine="0"/>
              <w:jc w:val="left"/>
              <w:rPr>
                <w:color w:val="auto"/>
                <w:szCs w:val="24"/>
              </w:rPr>
            </w:pPr>
            <w:r w:rsidRPr="00761D1B">
              <w:rPr>
                <w:color w:val="auto"/>
                <w:szCs w:val="24"/>
              </w:rPr>
              <w:t>Графа</w:t>
            </w:r>
          </w:p>
        </w:tc>
        <w:tc>
          <w:tcPr>
            <w:tcW w:w="1885" w:type="dxa"/>
            <w:vMerge w:val="restart"/>
            <w:shd w:val="clear" w:color="auto" w:fill="auto"/>
          </w:tcPr>
          <w:p w:rsidR="000B5177" w:rsidRDefault="000B5177" w:rsidP="000B5177">
            <w:pPr>
              <w:rPr>
                <w:color w:val="auto"/>
                <w:szCs w:val="24"/>
              </w:rPr>
            </w:pPr>
            <w:r>
              <w:rPr>
                <w:color w:val="auto"/>
                <w:szCs w:val="24"/>
              </w:rPr>
              <w:t>Исполненные контракты</w:t>
            </w:r>
          </w:p>
        </w:tc>
        <w:tc>
          <w:tcPr>
            <w:tcW w:w="1519" w:type="dxa"/>
          </w:tcPr>
          <w:p w:rsidR="000B5177" w:rsidRPr="0098550F" w:rsidRDefault="000B5177" w:rsidP="000B5177">
            <w:pPr>
              <w:rPr>
                <w:color w:val="auto"/>
                <w:szCs w:val="24"/>
              </w:rPr>
            </w:pPr>
          </w:p>
        </w:tc>
        <w:tc>
          <w:tcPr>
            <w:tcW w:w="2074" w:type="dxa"/>
          </w:tcPr>
          <w:p w:rsidR="000B5177" w:rsidRPr="0098550F" w:rsidRDefault="000B5177" w:rsidP="000B5177">
            <w:pPr>
              <w:jc w:val="left"/>
              <w:rPr>
                <w:color w:val="auto"/>
                <w:szCs w:val="24"/>
              </w:rPr>
            </w:pPr>
            <w:r>
              <w:rPr>
                <w:color w:val="auto"/>
                <w:szCs w:val="24"/>
              </w:rPr>
              <w:t>Факт от БО, %</w:t>
            </w:r>
          </w:p>
        </w:tc>
        <w:tc>
          <w:tcPr>
            <w:tcW w:w="3169" w:type="dxa"/>
          </w:tcPr>
          <w:p w:rsidR="000B5177" w:rsidRPr="00875D37" w:rsidRDefault="000B5177" w:rsidP="000B5177">
            <w:pPr>
              <w:jc w:val="left"/>
              <w:rPr>
                <w:color w:val="auto"/>
                <w:szCs w:val="24"/>
              </w:rPr>
            </w:pPr>
            <w:r w:rsidRPr="00875D37">
              <w:rPr>
                <w:color w:val="auto"/>
                <w:szCs w:val="24"/>
              </w:rPr>
              <w:t>Факт от БО.</w:t>
            </w:r>
          </w:p>
          <w:p w:rsidR="000B5177" w:rsidRPr="00875D37" w:rsidRDefault="000B5177" w:rsidP="000B5177">
            <w:pPr>
              <w:jc w:val="left"/>
              <w:rPr>
                <w:color w:val="auto"/>
                <w:szCs w:val="24"/>
              </w:rPr>
            </w:pPr>
            <w:r w:rsidRPr="00875D37">
              <w:rPr>
                <w:color w:val="auto"/>
                <w:szCs w:val="24"/>
              </w:rPr>
              <w:t>Считаем по следующему правилу:</w:t>
            </w:r>
          </w:p>
          <w:p w:rsidR="000B5177" w:rsidRPr="00E57763" w:rsidRDefault="000B5177" w:rsidP="000B5177">
            <w:pPr>
              <w:jc w:val="left"/>
              <w:rPr>
                <w:sz w:val="28"/>
              </w:rPr>
            </w:pPr>
            <w:r w:rsidRPr="00875D37">
              <w:rPr>
                <w:color w:val="auto"/>
                <w:szCs w:val="24"/>
              </w:rPr>
              <w:t>Рассчитываем значение в % по формуле: (Денежные обязательства / Бюд</w:t>
            </w:r>
            <w:r>
              <w:rPr>
                <w:color w:val="auto"/>
                <w:szCs w:val="24"/>
              </w:rPr>
              <w:t>жетные обязательства *100%</w:t>
            </w:r>
            <w:r w:rsidRPr="00875D37">
              <w:rPr>
                <w:color w:val="auto"/>
                <w:szCs w:val="24"/>
              </w:rPr>
              <w:t>)</w:t>
            </w:r>
          </w:p>
        </w:tc>
      </w:tr>
      <w:tr w:rsidR="000B5177" w:rsidRPr="0098550F" w:rsidTr="000B5177">
        <w:trPr>
          <w:cantSplit/>
          <w:trHeight w:val="223"/>
        </w:trPr>
        <w:tc>
          <w:tcPr>
            <w:tcW w:w="1384" w:type="dxa"/>
            <w:vMerge/>
            <w:shd w:val="clear" w:color="auto" w:fill="auto"/>
          </w:tcPr>
          <w:p w:rsidR="000B5177" w:rsidRPr="008C6B4B" w:rsidRDefault="000B5177" w:rsidP="005C6E50">
            <w:pPr>
              <w:numPr>
                <w:ilvl w:val="0"/>
                <w:numId w:val="141"/>
              </w:numPr>
              <w:ind w:left="0" w:firstLine="0"/>
              <w:jc w:val="left"/>
              <w:rPr>
                <w:color w:val="auto"/>
                <w:szCs w:val="24"/>
              </w:rPr>
            </w:pPr>
          </w:p>
        </w:tc>
        <w:tc>
          <w:tcPr>
            <w:tcW w:w="1885" w:type="dxa"/>
            <w:vMerge/>
            <w:shd w:val="clear" w:color="auto" w:fill="auto"/>
          </w:tcPr>
          <w:p w:rsidR="000B5177" w:rsidRDefault="000B5177" w:rsidP="000B5177">
            <w:pPr>
              <w:rPr>
                <w:color w:val="auto"/>
                <w:szCs w:val="24"/>
              </w:rPr>
            </w:pPr>
          </w:p>
        </w:tc>
        <w:tc>
          <w:tcPr>
            <w:tcW w:w="1519" w:type="dxa"/>
          </w:tcPr>
          <w:p w:rsidR="000B5177" w:rsidRPr="0098550F" w:rsidRDefault="000B5177" w:rsidP="000B5177">
            <w:pPr>
              <w:rPr>
                <w:color w:val="auto"/>
                <w:szCs w:val="24"/>
              </w:rPr>
            </w:pPr>
            <w:r w:rsidRPr="004B79F2">
              <w:rPr>
                <w:color w:val="auto"/>
                <w:szCs w:val="24"/>
              </w:rPr>
              <w:t>БД ПУР ЭБ</w:t>
            </w:r>
          </w:p>
        </w:tc>
        <w:tc>
          <w:tcPr>
            <w:tcW w:w="2074" w:type="dxa"/>
          </w:tcPr>
          <w:p w:rsidR="000B5177" w:rsidRPr="0098550F" w:rsidRDefault="000B5177" w:rsidP="000B5177">
            <w:pPr>
              <w:jc w:val="left"/>
              <w:rPr>
                <w:color w:val="auto"/>
                <w:szCs w:val="24"/>
              </w:rPr>
            </w:pPr>
            <w:r>
              <w:rPr>
                <w:color w:val="auto"/>
                <w:szCs w:val="24"/>
              </w:rPr>
              <w:t>Сумма, млрд. руб</w:t>
            </w:r>
          </w:p>
        </w:tc>
        <w:tc>
          <w:tcPr>
            <w:tcW w:w="3169" w:type="dxa"/>
          </w:tcPr>
          <w:p w:rsidR="000B5177" w:rsidRPr="00CC6B86" w:rsidRDefault="000B5177" w:rsidP="000B5177">
            <w:pPr>
              <w:jc w:val="left"/>
              <w:rPr>
                <w:color w:val="auto"/>
                <w:szCs w:val="24"/>
              </w:rPr>
            </w:pPr>
            <w:r w:rsidRPr="00CC6B86">
              <w:rPr>
                <w:color w:val="auto"/>
                <w:szCs w:val="24"/>
              </w:rPr>
              <w:t xml:space="preserve">Источник: ПУР </w:t>
            </w:r>
            <w:r>
              <w:rPr>
                <w:color w:val="auto"/>
                <w:szCs w:val="24"/>
              </w:rPr>
              <w:t xml:space="preserve">ЭБ </w:t>
            </w:r>
            <w:r w:rsidRPr="00CC6B86">
              <w:rPr>
                <w:color w:val="auto"/>
                <w:szCs w:val="24"/>
              </w:rPr>
              <w:t>(стыковка с Реестром контрактов в ЕИС по номеру контракта и номеру БО).</w:t>
            </w:r>
          </w:p>
          <w:p w:rsidR="000B5177" w:rsidRPr="00B554C2" w:rsidRDefault="000B5177" w:rsidP="000B5177">
            <w:pPr>
              <w:jc w:val="left"/>
              <w:rPr>
                <w:sz w:val="28"/>
              </w:rPr>
            </w:pPr>
            <w:r>
              <w:rPr>
                <w:color w:val="auto"/>
                <w:szCs w:val="24"/>
              </w:rPr>
              <w:t>Показатель «</w:t>
            </w:r>
            <w:r w:rsidRPr="00CC6B86">
              <w:rPr>
                <w:color w:val="auto"/>
                <w:szCs w:val="24"/>
              </w:rPr>
              <w:t>Денежные обязательства на год</w:t>
            </w:r>
            <w:r>
              <w:rPr>
                <w:color w:val="auto"/>
                <w:szCs w:val="24"/>
              </w:rPr>
              <w:t>»</w:t>
            </w:r>
            <w:r w:rsidRPr="00CC6B86">
              <w:rPr>
                <w:color w:val="auto"/>
                <w:szCs w:val="24"/>
              </w:rPr>
              <w:t>.</w:t>
            </w:r>
          </w:p>
        </w:tc>
      </w:tr>
      <w:tr w:rsidR="000B5177" w:rsidRPr="0098550F" w:rsidTr="000B5177">
        <w:trPr>
          <w:cantSplit/>
          <w:trHeight w:val="223"/>
        </w:trPr>
        <w:tc>
          <w:tcPr>
            <w:tcW w:w="1384" w:type="dxa"/>
            <w:vMerge w:val="restart"/>
            <w:shd w:val="clear" w:color="auto" w:fill="auto"/>
          </w:tcPr>
          <w:p w:rsidR="000B5177" w:rsidRPr="008C6B4B" w:rsidRDefault="000B5177" w:rsidP="005C6E50">
            <w:pPr>
              <w:numPr>
                <w:ilvl w:val="0"/>
                <w:numId w:val="141"/>
              </w:numPr>
              <w:ind w:left="0" w:firstLine="0"/>
              <w:jc w:val="left"/>
              <w:rPr>
                <w:color w:val="auto"/>
                <w:szCs w:val="24"/>
              </w:rPr>
            </w:pPr>
            <w:r w:rsidRPr="00761D1B">
              <w:rPr>
                <w:color w:val="auto"/>
                <w:szCs w:val="24"/>
              </w:rPr>
              <w:t>Графа</w:t>
            </w:r>
          </w:p>
          <w:p w:rsidR="000B5177" w:rsidRPr="008C6B4B" w:rsidRDefault="000B5177" w:rsidP="000B5177">
            <w:pPr>
              <w:jc w:val="left"/>
              <w:rPr>
                <w:color w:val="auto"/>
                <w:szCs w:val="24"/>
              </w:rPr>
            </w:pPr>
          </w:p>
        </w:tc>
        <w:tc>
          <w:tcPr>
            <w:tcW w:w="1885" w:type="dxa"/>
            <w:vMerge w:val="restart"/>
            <w:shd w:val="clear" w:color="auto" w:fill="auto"/>
          </w:tcPr>
          <w:p w:rsidR="000B5177" w:rsidRDefault="000B5177" w:rsidP="000B5177">
            <w:pPr>
              <w:rPr>
                <w:color w:val="auto"/>
                <w:szCs w:val="24"/>
              </w:rPr>
            </w:pPr>
            <w:r>
              <w:rPr>
                <w:color w:val="auto"/>
                <w:szCs w:val="24"/>
              </w:rPr>
              <w:t>Оплаченные контракты</w:t>
            </w:r>
          </w:p>
        </w:tc>
        <w:tc>
          <w:tcPr>
            <w:tcW w:w="1519" w:type="dxa"/>
          </w:tcPr>
          <w:p w:rsidR="000B5177" w:rsidRPr="0098550F" w:rsidRDefault="000B5177" w:rsidP="000B5177">
            <w:pPr>
              <w:rPr>
                <w:color w:val="auto"/>
                <w:szCs w:val="24"/>
              </w:rPr>
            </w:pPr>
          </w:p>
        </w:tc>
        <w:tc>
          <w:tcPr>
            <w:tcW w:w="2074" w:type="dxa"/>
          </w:tcPr>
          <w:p w:rsidR="000B5177" w:rsidRPr="0098550F" w:rsidRDefault="000B5177" w:rsidP="000B5177">
            <w:pPr>
              <w:jc w:val="left"/>
              <w:rPr>
                <w:color w:val="auto"/>
                <w:szCs w:val="24"/>
              </w:rPr>
            </w:pPr>
            <w:r>
              <w:rPr>
                <w:color w:val="auto"/>
                <w:szCs w:val="24"/>
              </w:rPr>
              <w:t>Контрольная точка на ДД.ММ.ГГГГ</w:t>
            </w:r>
          </w:p>
        </w:tc>
        <w:tc>
          <w:tcPr>
            <w:tcW w:w="3169" w:type="dxa"/>
          </w:tcPr>
          <w:p w:rsidR="000B5177" w:rsidRPr="00875D37" w:rsidRDefault="000B5177" w:rsidP="000B5177">
            <w:pPr>
              <w:jc w:val="left"/>
              <w:rPr>
                <w:color w:val="auto"/>
                <w:szCs w:val="24"/>
              </w:rPr>
            </w:pPr>
            <w:r w:rsidRPr="00875D37">
              <w:rPr>
                <w:color w:val="auto"/>
                <w:szCs w:val="24"/>
              </w:rPr>
              <w:t>Контрольная точка.</w:t>
            </w:r>
          </w:p>
          <w:p w:rsidR="000B5177" w:rsidRPr="0032031B" w:rsidRDefault="000B5177" w:rsidP="000B5177">
            <w:pPr>
              <w:jc w:val="left"/>
              <w:rPr>
                <w:color w:val="auto"/>
                <w:szCs w:val="24"/>
              </w:rPr>
            </w:pPr>
            <w:r w:rsidRPr="00875D37">
              <w:rPr>
                <w:color w:val="auto"/>
                <w:szCs w:val="24"/>
              </w:rPr>
              <w:t>Применяем КТ для ДД.ММ.ГГГГ для выбранного года.</w:t>
            </w:r>
          </w:p>
        </w:tc>
      </w:tr>
      <w:tr w:rsidR="000B5177" w:rsidRPr="0098550F" w:rsidTr="000B5177">
        <w:trPr>
          <w:cantSplit/>
          <w:trHeight w:val="223"/>
        </w:trPr>
        <w:tc>
          <w:tcPr>
            <w:tcW w:w="1384" w:type="dxa"/>
            <w:vMerge/>
            <w:shd w:val="clear" w:color="auto" w:fill="auto"/>
          </w:tcPr>
          <w:p w:rsidR="000B5177" w:rsidRPr="008C6B4B" w:rsidRDefault="000B5177" w:rsidP="005C6E50">
            <w:pPr>
              <w:numPr>
                <w:ilvl w:val="0"/>
                <w:numId w:val="141"/>
              </w:numPr>
              <w:ind w:left="0" w:firstLine="0"/>
              <w:jc w:val="left"/>
              <w:rPr>
                <w:color w:val="auto"/>
                <w:szCs w:val="24"/>
              </w:rPr>
            </w:pPr>
          </w:p>
        </w:tc>
        <w:tc>
          <w:tcPr>
            <w:tcW w:w="1885" w:type="dxa"/>
            <w:vMerge/>
            <w:shd w:val="clear" w:color="auto" w:fill="auto"/>
          </w:tcPr>
          <w:p w:rsidR="000B5177" w:rsidRDefault="000B5177" w:rsidP="000B5177">
            <w:pPr>
              <w:rPr>
                <w:color w:val="auto"/>
                <w:szCs w:val="24"/>
              </w:rPr>
            </w:pPr>
          </w:p>
        </w:tc>
        <w:tc>
          <w:tcPr>
            <w:tcW w:w="1519" w:type="dxa"/>
          </w:tcPr>
          <w:p w:rsidR="000B5177" w:rsidRPr="0098550F" w:rsidRDefault="000B5177" w:rsidP="000B5177">
            <w:pPr>
              <w:rPr>
                <w:color w:val="auto"/>
                <w:szCs w:val="24"/>
              </w:rPr>
            </w:pPr>
          </w:p>
        </w:tc>
        <w:tc>
          <w:tcPr>
            <w:tcW w:w="2074" w:type="dxa"/>
          </w:tcPr>
          <w:p w:rsidR="000B5177" w:rsidRPr="0098550F" w:rsidRDefault="000B5177" w:rsidP="000B5177">
            <w:pPr>
              <w:jc w:val="left"/>
              <w:rPr>
                <w:color w:val="auto"/>
                <w:szCs w:val="24"/>
              </w:rPr>
            </w:pPr>
            <w:r>
              <w:rPr>
                <w:color w:val="auto"/>
                <w:szCs w:val="24"/>
              </w:rPr>
              <w:t>Факт от БА, %</w:t>
            </w:r>
          </w:p>
        </w:tc>
        <w:tc>
          <w:tcPr>
            <w:tcW w:w="3169" w:type="dxa"/>
          </w:tcPr>
          <w:p w:rsidR="000B5177" w:rsidRPr="00875D37" w:rsidRDefault="000B5177" w:rsidP="000B5177">
            <w:pPr>
              <w:jc w:val="left"/>
              <w:rPr>
                <w:color w:val="auto"/>
                <w:szCs w:val="24"/>
              </w:rPr>
            </w:pPr>
            <w:r w:rsidRPr="00875D37">
              <w:rPr>
                <w:color w:val="auto"/>
                <w:szCs w:val="24"/>
              </w:rPr>
              <w:t>Факт от БА.</w:t>
            </w:r>
          </w:p>
          <w:p w:rsidR="000B5177" w:rsidRPr="00875D37" w:rsidRDefault="000B5177" w:rsidP="000B5177">
            <w:pPr>
              <w:jc w:val="left"/>
              <w:rPr>
                <w:color w:val="auto"/>
                <w:szCs w:val="24"/>
              </w:rPr>
            </w:pPr>
            <w:r w:rsidRPr="00875D37">
              <w:rPr>
                <w:color w:val="auto"/>
                <w:szCs w:val="24"/>
              </w:rPr>
              <w:t>Считаем по следующему правилу:</w:t>
            </w:r>
          </w:p>
          <w:p w:rsidR="000B5177" w:rsidRPr="00875D37" w:rsidRDefault="000B5177" w:rsidP="000B5177">
            <w:pPr>
              <w:jc w:val="left"/>
              <w:rPr>
                <w:color w:val="auto"/>
                <w:szCs w:val="24"/>
              </w:rPr>
            </w:pPr>
            <w:r w:rsidRPr="00875D37">
              <w:rPr>
                <w:color w:val="auto"/>
                <w:szCs w:val="24"/>
              </w:rPr>
              <w:t>Рассчитываем значение в % по формуле: (Оплаченные контракт</w:t>
            </w:r>
            <w:r>
              <w:rPr>
                <w:color w:val="auto"/>
                <w:szCs w:val="24"/>
              </w:rPr>
              <w:t>ы/ Бюджетные ассигнования *100%</w:t>
            </w:r>
            <w:r w:rsidRPr="00875D37">
              <w:rPr>
                <w:color w:val="auto"/>
                <w:szCs w:val="24"/>
              </w:rPr>
              <w:t>)</w:t>
            </w:r>
          </w:p>
          <w:p w:rsidR="000B5177" w:rsidRPr="00875D37" w:rsidRDefault="000B5177" w:rsidP="000B5177">
            <w:pPr>
              <w:jc w:val="left"/>
              <w:rPr>
                <w:color w:val="auto"/>
                <w:szCs w:val="24"/>
              </w:rPr>
            </w:pPr>
            <w:r w:rsidRPr="00875D37">
              <w:rPr>
                <w:color w:val="auto"/>
                <w:szCs w:val="24"/>
              </w:rPr>
              <w:t xml:space="preserve">Индикация: </w:t>
            </w:r>
          </w:p>
          <w:p w:rsidR="000B5177" w:rsidRPr="00875D37" w:rsidRDefault="000B5177" w:rsidP="000B5177">
            <w:pPr>
              <w:jc w:val="left"/>
              <w:rPr>
                <w:color w:val="auto"/>
                <w:szCs w:val="24"/>
              </w:rPr>
            </w:pPr>
            <w:r w:rsidRPr="00875D37">
              <w:rPr>
                <w:color w:val="auto"/>
                <w:szCs w:val="24"/>
              </w:rPr>
              <w:t>- если ФАКТ &gt;= КТ – зеленый;</w:t>
            </w:r>
          </w:p>
          <w:p w:rsidR="000B5177" w:rsidRPr="00B554C2" w:rsidRDefault="000B5177" w:rsidP="000B5177">
            <w:pPr>
              <w:jc w:val="left"/>
              <w:rPr>
                <w:sz w:val="28"/>
              </w:rPr>
            </w:pPr>
            <w:r w:rsidRPr="00875D37">
              <w:rPr>
                <w:color w:val="auto"/>
                <w:szCs w:val="24"/>
              </w:rPr>
              <w:t>- если ФАКТ &lt; КТ – красный;</w:t>
            </w:r>
          </w:p>
        </w:tc>
      </w:tr>
      <w:tr w:rsidR="000B5177" w:rsidRPr="0098550F" w:rsidTr="000B5177">
        <w:trPr>
          <w:cantSplit/>
          <w:trHeight w:val="223"/>
        </w:trPr>
        <w:tc>
          <w:tcPr>
            <w:tcW w:w="1384" w:type="dxa"/>
            <w:vMerge/>
            <w:shd w:val="clear" w:color="auto" w:fill="auto"/>
          </w:tcPr>
          <w:p w:rsidR="000B5177" w:rsidRPr="00761D1B" w:rsidRDefault="000B5177" w:rsidP="005C6E50">
            <w:pPr>
              <w:numPr>
                <w:ilvl w:val="0"/>
                <w:numId w:val="141"/>
              </w:numPr>
              <w:ind w:left="0" w:firstLine="0"/>
              <w:jc w:val="left"/>
              <w:rPr>
                <w:color w:val="auto"/>
                <w:szCs w:val="24"/>
              </w:rPr>
            </w:pPr>
          </w:p>
        </w:tc>
        <w:tc>
          <w:tcPr>
            <w:tcW w:w="1885" w:type="dxa"/>
            <w:vMerge/>
            <w:shd w:val="clear" w:color="auto" w:fill="auto"/>
          </w:tcPr>
          <w:p w:rsidR="000B5177" w:rsidRDefault="000B5177" w:rsidP="000B5177">
            <w:pPr>
              <w:rPr>
                <w:color w:val="auto"/>
                <w:szCs w:val="24"/>
              </w:rPr>
            </w:pPr>
          </w:p>
        </w:tc>
        <w:tc>
          <w:tcPr>
            <w:tcW w:w="1519" w:type="dxa"/>
          </w:tcPr>
          <w:p w:rsidR="000B5177" w:rsidRPr="0098550F" w:rsidRDefault="000B5177" w:rsidP="000B5177">
            <w:pPr>
              <w:rPr>
                <w:color w:val="auto"/>
                <w:szCs w:val="24"/>
              </w:rPr>
            </w:pPr>
          </w:p>
        </w:tc>
        <w:tc>
          <w:tcPr>
            <w:tcW w:w="2074" w:type="dxa"/>
          </w:tcPr>
          <w:p w:rsidR="000B5177" w:rsidRPr="0098550F" w:rsidRDefault="000B5177" w:rsidP="000B5177">
            <w:pPr>
              <w:jc w:val="left"/>
              <w:rPr>
                <w:color w:val="auto"/>
                <w:szCs w:val="24"/>
              </w:rPr>
            </w:pPr>
            <w:r>
              <w:rPr>
                <w:color w:val="auto"/>
                <w:szCs w:val="24"/>
              </w:rPr>
              <w:t>Факт от ДО, %</w:t>
            </w:r>
          </w:p>
        </w:tc>
        <w:tc>
          <w:tcPr>
            <w:tcW w:w="3169" w:type="dxa"/>
          </w:tcPr>
          <w:p w:rsidR="000B5177" w:rsidRPr="00875D37" w:rsidRDefault="000B5177" w:rsidP="000B5177">
            <w:pPr>
              <w:jc w:val="left"/>
              <w:rPr>
                <w:color w:val="auto"/>
                <w:szCs w:val="24"/>
              </w:rPr>
            </w:pPr>
            <w:r w:rsidRPr="00875D37">
              <w:rPr>
                <w:color w:val="auto"/>
                <w:szCs w:val="24"/>
              </w:rPr>
              <w:t>Факт от ДО.</w:t>
            </w:r>
          </w:p>
          <w:p w:rsidR="000B5177" w:rsidRPr="00875D37" w:rsidRDefault="000B5177" w:rsidP="000B5177">
            <w:pPr>
              <w:jc w:val="left"/>
              <w:rPr>
                <w:color w:val="auto"/>
                <w:szCs w:val="24"/>
              </w:rPr>
            </w:pPr>
            <w:r w:rsidRPr="00875D37">
              <w:rPr>
                <w:color w:val="auto"/>
                <w:szCs w:val="24"/>
              </w:rPr>
              <w:t>Считаем по следующему правилу:</w:t>
            </w:r>
          </w:p>
          <w:p w:rsidR="000B5177" w:rsidRPr="00B554C2" w:rsidRDefault="000B5177" w:rsidP="000B5177">
            <w:pPr>
              <w:jc w:val="left"/>
              <w:rPr>
                <w:sz w:val="28"/>
              </w:rPr>
            </w:pPr>
            <w:r w:rsidRPr="00875D37">
              <w:rPr>
                <w:color w:val="auto"/>
                <w:szCs w:val="24"/>
              </w:rPr>
              <w:t>Рассчитываем значение в % по формуле: (Оплаченные контракт</w:t>
            </w:r>
            <w:r>
              <w:rPr>
                <w:color w:val="auto"/>
                <w:szCs w:val="24"/>
              </w:rPr>
              <w:t>ы/Денежные  обязательства *100%</w:t>
            </w:r>
            <w:r w:rsidRPr="00875D37">
              <w:rPr>
                <w:color w:val="auto"/>
                <w:szCs w:val="24"/>
              </w:rPr>
              <w:t>)</w:t>
            </w:r>
          </w:p>
        </w:tc>
      </w:tr>
      <w:tr w:rsidR="000B5177" w:rsidRPr="0098550F" w:rsidTr="000B5177">
        <w:trPr>
          <w:cantSplit/>
          <w:trHeight w:val="223"/>
        </w:trPr>
        <w:tc>
          <w:tcPr>
            <w:tcW w:w="1384" w:type="dxa"/>
            <w:vMerge/>
            <w:shd w:val="clear" w:color="auto" w:fill="auto"/>
          </w:tcPr>
          <w:p w:rsidR="000B5177" w:rsidRPr="00761D1B" w:rsidRDefault="000B5177" w:rsidP="005C6E50">
            <w:pPr>
              <w:numPr>
                <w:ilvl w:val="0"/>
                <w:numId w:val="141"/>
              </w:numPr>
              <w:ind w:left="0" w:firstLine="0"/>
              <w:jc w:val="left"/>
              <w:rPr>
                <w:color w:val="auto"/>
                <w:szCs w:val="24"/>
              </w:rPr>
            </w:pPr>
          </w:p>
        </w:tc>
        <w:tc>
          <w:tcPr>
            <w:tcW w:w="1885" w:type="dxa"/>
            <w:vMerge/>
            <w:shd w:val="clear" w:color="auto" w:fill="auto"/>
          </w:tcPr>
          <w:p w:rsidR="000B5177" w:rsidRDefault="000B5177" w:rsidP="000B5177">
            <w:pPr>
              <w:rPr>
                <w:color w:val="auto"/>
                <w:szCs w:val="24"/>
              </w:rPr>
            </w:pPr>
          </w:p>
        </w:tc>
        <w:tc>
          <w:tcPr>
            <w:tcW w:w="1519" w:type="dxa"/>
          </w:tcPr>
          <w:p w:rsidR="000B5177" w:rsidRPr="0098550F" w:rsidRDefault="000B5177" w:rsidP="000B5177">
            <w:pPr>
              <w:rPr>
                <w:color w:val="auto"/>
                <w:szCs w:val="24"/>
              </w:rPr>
            </w:pPr>
          </w:p>
        </w:tc>
        <w:tc>
          <w:tcPr>
            <w:tcW w:w="2074" w:type="dxa"/>
          </w:tcPr>
          <w:p w:rsidR="000B5177" w:rsidRPr="0098550F" w:rsidRDefault="000B5177" w:rsidP="000B5177">
            <w:pPr>
              <w:jc w:val="left"/>
              <w:rPr>
                <w:color w:val="auto"/>
                <w:szCs w:val="24"/>
              </w:rPr>
            </w:pPr>
            <w:r>
              <w:rPr>
                <w:color w:val="auto"/>
                <w:szCs w:val="24"/>
              </w:rPr>
              <w:t>Сумма, млрд. руб</w:t>
            </w:r>
          </w:p>
        </w:tc>
        <w:tc>
          <w:tcPr>
            <w:tcW w:w="3169" w:type="dxa"/>
          </w:tcPr>
          <w:p w:rsidR="000B5177" w:rsidRPr="00CC6B86" w:rsidRDefault="000B5177" w:rsidP="000B5177">
            <w:pPr>
              <w:jc w:val="left"/>
              <w:rPr>
                <w:color w:val="auto"/>
                <w:szCs w:val="24"/>
              </w:rPr>
            </w:pPr>
            <w:r w:rsidRPr="00CC6B86">
              <w:rPr>
                <w:color w:val="auto"/>
                <w:szCs w:val="24"/>
              </w:rPr>
              <w:t>Источник: АСФК (стыковка с Реестром контрактов в ЕИС по номеру контракта и номеру БО)</w:t>
            </w:r>
          </w:p>
          <w:p w:rsidR="000B5177" w:rsidRPr="00875D37" w:rsidRDefault="000B5177" w:rsidP="000B5177">
            <w:pPr>
              <w:jc w:val="left"/>
              <w:rPr>
                <w:color w:val="auto"/>
                <w:szCs w:val="24"/>
              </w:rPr>
            </w:pPr>
            <w:r>
              <w:rPr>
                <w:color w:val="auto"/>
                <w:szCs w:val="24"/>
              </w:rPr>
              <w:t>Показатель: «</w:t>
            </w:r>
            <w:r w:rsidRPr="00CC6B86">
              <w:rPr>
                <w:color w:val="auto"/>
                <w:szCs w:val="24"/>
              </w:rPr>
              <w:t>Сумма оплаты в платежках с начала года</w:t>
            </w:r>
            <w:r>
              <w:rPr>
                <w:color w:val="auto"/>
                <w:szCs w:val="24"/>
              </w:rPr>
              <w:t>»</w:t>
            </w:r>
          </w:p>
        </w:tc>
      </w:tr>
      <w:tr w:rsidR="000B5177" w:rsidRPr="0098550F" w:rsidTr="000B5177">
        <w:trPr>
          <w:cantSplit/>
          <w:trHeight w:val="223"/>
        </w:trPr>
        <w:tc>
          <w:tcPr>
            <w:tcW w:w="1384" w:type="dxa"/>
            <w:shd w:val="clear" w:color="auto" w:fill="auto"/>
          </w:tcPr>
          <w:p w:rsidR="000B5177" w:rsidRPr="0098550F" w:rsidRDefault="000B5177" w:rsidP="005C6E50">
            <w:pPr>
              <w:numPr>
                <w:ilvl w:val="0"/>
                <w:numId w:val="141"/>
              </w:numPr>
              <w:ind w:left="0" w:firstLine="0"/>
              <w:jc w:val="left"/>
              <w:rPr>
                <w:color w:val="auto"/>
                <w:szCs w:val="24"/>
              </w:rPr>
            </w:pPr>
            <w:r w:rsidRPr="0098550F">
              <w:rPr>
                <w:color w:val="auto"/>
                <w:szCs w:val="24"/>
              </w:rPr>
              <w:t>Переход</w:t>
            </w:r>
          </w:p>
        </w:tc>
        <w:tc>
          <w:tcPr>
            <w:tcW w:w="1885" w:type="dxa"/>
            <w:shd w:val="clear" w:color="auto" w:fill="auto"/>
          </w:tcPr>
          <w:p w:rsidR="000B5177" w:rsidRPr="00875D37" w:rsidRDefault="000B5177" w:rsidP="000B5177">
            <w:pPr>
              <w:rPr>
                <w:color w:val="auto"/>
                <w:szCs w:val="24"/>
              </w:rPr>
            </w:pPr>
            <w:r>
              <w:rPr>
                <w:color w:val="auto"/>
                <w:szCs w:val="24"/>
              </w:rPr>
              <w:t>По ГРБС</w:t>
            </w:r>
          </w:p>
        </w:tc>
        <w:tc>
          <w:tcPr>
            <w:tcW w:w="1519" w:type="dxa"/>
          </w:tcPr>
          <w:p w:rsidR="000B5177" w:rsidRPr="0098550F" w:rsidRDefault="000B5177" w:rsidP="000B5177">
            <w:pPr>
              <w:jc w:val="left"/>
              <w:rPr>
                <w:color w:val="auto"/>
                <w:szCs w:val="24"/>
              </w:rPr>
            </w:pPr>
          </w:p>
        </w:tc>
        <w:tc>
          <w:tcPr>
            <w:tcW w:w="2074" w:type="dxa"/>
          </w:tcPr>
          <w:p w:rsidR="000B5177" w:rsidRPr="0098550F" w:rsidRDefault="000B5177" w:rsidP="000B5177">
            <w:pPr>
              <w:jc w:val="left"/>
              <w:rPr>
                <w:color w:val="auto"/>
                <w:szCs w:val="24"/>
              </w:rPr>
            </w:pPr>
            <w:r w:rsidRPr="0098550F">
              <w:rPr>
                <w:color w:val="auto"/>
                <w:szCs w:val="24"/>
              </w:rPr>
              <w:t>Переход</w:t>
            </w:r>
            <w:r>
              <w:rPr>
                <w:color w:val="auto"/>
                <w:szCs w:val="24"/>
              </w:rPr>
              <w:t xml:space="preserve"> в представлении «По вице-премьерам»</w:t>
            </w:r>
            <w:r w:rsidRPr="0098550F">
              <w:rPr>
                <w:color w:val="auto"/>
                <w:szCs w:val="24"/>
              </w:rPr>
              <w:t xml:space="preserve"> с графы </w:t>
            </w:r>
            <w:r>
              <w:rPr>
                <w:color w:val="auto"/>
                <w:szCs w:val="24"/>
              </w:rPr>
              <w:t>«Вице-премьер» в представление «По ГРБС» с передачей выбранных параметров.</w:t>
            </w:r>
          </w:p>
        </w:tc>
        <w:tc>
          <w:tcPr>
            <w:tcW w:w="3169" w:type="dxa"/>
          </w:tcPr>
          <w:p w:rsidR="000B5177" w:rsidRPr="0098550F" w:rsidRDefault="000B5177" w:rsidP="000B5177">
            <w:pPr>
              <w:jc w:val="left"/>
              <w:rPr>
                <w:color w:val="auto"/>
                <w:szCs w:val="24"/>
              </w:rPr>
            </w:pPr>
          </w:p>
        </w:tc>
      </w:tr>
      <w:tr w:rsidR="000B5177" w:rsidRPr="0098550F" w:rsidTr="000B5177">
        <w:trPr>
          <w:cantSplit/>
          <w:trHeight w:val="223"/>
        </w:trPr>
        <w:tc>
          <w:tcPr>
            <w:tcW w:w="1384" w:type="dxa"/>
            <w:shd w:val="clear" w:color="auto" w:fill="auto"/>
          </w:tcPr>
          <w:p w:rsidR="000B5177" w:rsidRPr="0098550F" w:rsidRDefault="000B5177" w:rsidP="005C6E50">
            <w:pPr>
              <w:numPr>
                <w:ilvl w:val="0"/>
                <w:numId w:val="141"/>
              </w:numPr>
              <w:ind w:left="0" w:firstLine="0"/>
              <w:jc w:val="left"/>
              <w:rPr>
                <w:color w:val="auto"/>
                <w:szCs w:val="24"/>
              </w:rPr>
            </w:pPr>
            <w:r w:rsidRPr="0098550F">
              <w:rPr>
                <w:color w:val="auto"/>
                <w:szCs w:val="24"/>
              </w:rPr>
              <w:t>Переход</w:t>
            </w:r>
          </w:p>
        </w:tc>
        <w:tc>
          <w:tcPr>
            <w:tcW w:w="1885" w:type="dxa"/>
            <w:shd w:val="clear" w:color="auto" w:fill="auto"/>
          </w:tcPr>
          <w:p w:rsidR="000B5177" w:rsidRPr="00875D37" w:rsidRDefault="000B5177" w:rsidP="000B5177">
            <w:pPr>
              <w:rPr>
                <w:color w:val="auto"/>
                <w:szCs w:val="24"/>
              </w:rPr>
            </w:pPr>
            <w:r>
              <w:rPr>
                <w:color w:val="auto"/>
                <w:szCs w:val="24"/>
              </w:rPr>
              <w:t>По видам закупок</w:t>
            </w:r>
          </w:p>
        </w:tc>
        <w:tc>
          <w:tcPr>
            <w:tcW w:w="1519" w:type="dxa"/>
          </w:tcPr>
          <w:p w:rsidR="000B5177" w:rsidRPr="0098550F" w:rsidRDefault="000B5177" w:rsidP="000B5177">
            <w:pPr>
              <w:jc w:val="left"/>
              <w:rPr>
                <w:color w:val="auto"/>
                <w:szCs w:val="24"/>
              </w:rPr>
            </w:pPr>
          </w:p>
        </w:tc>
        <w:tc>
          <w:tcPr>
            <w:tcW w:w="2074" w:type="dxa"/>
          </w:tcPr>
          <w:p w:rsidR="000B5177" w:rsidRPr="0098550F" w:rsidRDefault="000B5177" w:rsidP="000B5177">
            <w:pPr>
              <w:jc w:val="left"/>
              <w:rPr>
                <w:color w:val="auto"/>
                <w:szCs w:val="24"/>
              </w:rPr>
            </w:pPr>
            <w:r w:rsidRPr="0098550F">
              <w:rPr>
                <w:color w:val="auto"/>
                <w:szCs w:val="24"/>
              </w:rPr>
              <w:t>Переход</w:t>
            </w:r>
            <w:r>
              <w:rPr>
                <w:color w:val="auto"/>
                <w:szCs w:val="24"/>
              </w:rPr>
              <w:t xml:space="preserve"> в представлении «По ГРБС» </w:t>
            </w:r>
            <w:r w:rsidRPr="0098550F">
              <w:rPr>
                <w:color w:val="auto"/>
                <w:szCs w:val="24"/>
              </w:rPr>
              <w:t xml:space="preserve">с графы </w:t>
            </w:r>
            <w:r>
              <w:rPr>
                <w:color w:val="auto"/>
                <w:szCs w:val="24"/>
              </w:rPr>
              <w:t>«Наименование ГРБС» в представление «По видам закупок» с передачей выбранных параметров.</w:t>
            </w:r>
          </w:p>
        </w:tc>
        <w:tc>
          <w:tcPr>
            <w:tcW w:w="3169" w:type="dxa"/>
          </w:tcPr>
          <w:p w:rsidR="000B5177" w:rsidRPr="0098550F" w:rsidRDefault="000B5177" w:rsidP="000B5177">
            <w:pPr>
              <w:jc w:val="left"/>
              <w:rPr>
                <w:color w:val="auto"/>
                <w:szCs w:val="24"/>
              </w:rPr>
            </w:pPr>
          </w:p>
        </w:tc>
      </w:tr>
    </w:tbl>
    <w:p w:rsidR="000B5177" w:rsidRDefault="000B5177" w:rsidP="000B5177">
      <w:pPr>
        <w:pStyle w:val="-0"/>
        <w:keepNext/>
      </w:pPr>
      <w:r>
        <w:rPr>
          <w:noProof/>
          <w:snapToGrid/>
        </w:rPr>
        <w:drawing>
          <wp:inline distT="0" distB="0" distL="0" distR="0" wp14:anchorId="7E1D1099" wp14:editId="3C12B0BF">
            <wp:extent cx="6119495" cy="2539605"/>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6119495" cy="2539605"/>
                    </a:xfrm>
                    <a:prstGeom prst="rect">
                      <a:avLst/>
                    </a:prstGeom>
                  </pic:spPr>
                </pic:pic>
              </a:graphicData>
            </a:graphic>
          </wp:inline>
        </w:drawing>
      </w:r>
    </w:p>
    <w:p w:rsidR="000B5177" w:rsidRPr="00F72728" w:rsidRDefault="00686A91" w:rsidP="000B5177">
      <w:pPr>
        <w:pStyle w:val="-0"/>
      </w:pPr>
      <w:bookmarkStart w:id="661" w:name="_Toc119584340"/>
      <w:r>
        <w:t xml:space="preserve">Рисунок </w:t>
      </w:r>
      <w:fldSimple w:instr=" SEQ Рисунок \* ARABIC ">
        <w:r w:rsidR="001860A9">
          <w:rPr>
            <w:noProof/>
          </w:rPr>
          <w:t>153</w:t>
        </w:r>
      </w:fldSimple>
      <w:r w:rsidR="000B5177">
        <w:rPr>
          <w:noProof/>
        </w:rPr>
        <w:t xml:space="preserve"> –</w:t>
      </w:r>
      <w:r w:rsidR="000B5177" w:rsidRPr="00D740EA">
        <w:t xml:space="preserve"> </w:t>
      </w:r>
      <w:r w:rsidR="000B5177">
        <w:t>Макет</w:t>
      </w:r>
      <w:r w:rsidR="000B5177" w:rsidRPr="00D740EA">
        <w:t xml:space="preserve"> отчета </w:t>
      </w:r>
      <w:r w:rsidR="000B5177" w:rsidRPr="00CB7C5A">
        <w:rPr>
          <w:rStyle w:val="af1"/>
        </w:rPr>
        <w:t>«</w:t>
      </w:r>
      <w:r w:rsidR="000B5177">
        <w:rPr>
          <w:rStyle w:val="af1"/>
        </w:rPr>
        <w:t xml:space="preserve">Закупка </w:t>
      </w:r>
      <w:r w:rsidR="000B5177" w:rsidRPr="00CC3B2F">
        <w:rPr>
          <w:rStyle w:val="af1"/>
        </w:rPr>
        <w:t>товаров</w:t>
      </w:r>
      <w:r w:rsidR="000B5177">
        <w:rPr>
          <w:rStyle w:val="af1"/>
        </w:rPr>
        <w:t>, работ, услуг</w:t>
      </w:r>
      <w:r w:rsidR="000B5177" w:rsidRPr="00CB7C5A">
        <w:rPr>
          <w:rStyle w:val="af1"/>
        </w:rPr>
        <w:t>»</w:t>
      </w:r>
      <w:r w:rsidR="000B5177">
        <w:rPr>
          <w:rStyle w:val="af1"/>
        </w:rPr>
        <w:t>.</w:t>
      </w:r>
      <w:r w:rsidR="000B5177" w:rsidRPr="00CB7C5A">
        <w:rPr>
          <w:rStyle w:val="af1"/>
        </w:rPr>
        <w:t xml:space="preserve"> </w:t>
      </w:r>
      <w:r w:rsidR="000B5177">
        <w:rPr>
          <w:rStyle w:val="af1"/>
        </w:rPr>
        <w:t>По данным системы ЕИС Мониторинг</w:t>
      </w:r>
      <w:bookmarkEnd w:id="661"/>
    </w:p>
    <w:p w:rsidR="00ED0260" w:rsidRDefault="00ED0260" w:rsidP="00ED0260">
      <w:pPr>
        <w:pStyle w:val="35"/>
      </w:pPr>
      <w:bookmarkStart w:id="662" w:name="_Toc119585086"/>
      <w:r>
        <w:t>Отчет «Расходы федерального бюджета» (</w:t>
      </w:r>
      <w:r w:rsidRPr="006D5A13">
        <w:t>PIAO_169_001_report</w:t>
      </w:r>
      <w:r>
        <w:t>)</w:t>
      </w:r>
      <w:bookmarkEnd w:id="662"/>
    </w:p>
    <w:p w:rsidR="00D7306D" w:rsidRDefault="00D7306D" w:rsidP="00D7306D">
      <w:pPr>
        <w:pStyle w:val="af0"/>
      </w:pPr>
      <w:r>
        <w:t>А</w:t>
      </w:r>
      <w:r w:rsidRPr="000B4C41">
        <w:t>налитическ</w:t>
      </w:r>
      <w:r>
        <w:t xml:space="preserve">ий </w:t>
      </w:r>
      <w:r w:rsidRPr="000B4C41">
        <w:t>отчет «</w:t>
      </w:r>
      <w:r>
        <w:t>Расходы федерального бюджета</w:t>
      </w:r>
      <w:r w:rsidRPr="000B4C41">
        <w:t>» отобража</w:t>
      </w:r>
      <w:r w:rsidR="000E2DA7">
        <w:t>е</w:t>
      </w:r>
      <w:r w:rsidRPr="000B4C41">
        <w:t xml:space="preserve">т информацию </w:t>
      </w:r>
      <w:r>
        <w:t>в форме таблицы и состоять из представлений:</w:t>
      </w:r>
    </w:p>
    <w:p w:rsidR="00D7306D" w:rsidRPr="00382E8C" w:rsidRDefault="00D7306D" w:rsidP="00DE1661">
      <w:pPr>
        <w:pStyle w:val="13"/>
        <w:rPr>
          <w:snapToGrid/>
        </w:rPr>
      </w:pPr>
      <w:r w:rsidRPr="00382E8C">
        <w:rPr>
          <w:snapToGrid/>
        </w:rPr>
        <w:t>По ГРБС;</w:t>
      </w:r>
    </w:p>
    <w:p w:rsidR="00D7306D" w:rsidRPr="00382E8C" w:rsidRDefault="00D7306D" w:rsidP="00DE1661">
      <w:pPr>
        <w:pStyle w:val="13"/>
        <w:rPr>
          <w:snapToGrid/>
        </w:rPr>
      </w:pPr>
      <w:r w:rsidRPr="00382E8C">
        <w:rPr>
          <w:snapToGrid/>
        </w:rPr>
        <w:t>По нац</w:t>
      </w:r>
      <w:r>
        <w:rPr>
          <w:snapToGrid/>
        </w:rPr>
        <w:t xml:space="preserve">. </w:t>
      </w:r>
      <w:r w:rsidRPr="00382E8C">
        <w:rPr>
          <w:snapToGrid/>
        </w:rPr>
        <w:t>проектам;</w:t>
      </w:r>
    </w:p>
    <w:p w:rsidR="00D7306D" w:rsidRPr="00382E8C" w:rsidRDefault="00D7306D" w:rsidP="00DE1661">
      <w:pPr>
        <w:pStyle w:val="13"/>
        <w:rPr>
          <w:snapToGrid/>
        </w:rPr>
      </w:pPr>
      <w:r w:rsidRPr="00382E8C">
        <w:rPr>
          <w:snapToGrid/>
        </w:rPr>
        <w:t>По разделам расходов;</w:t>
      </w:r>
    </w:p>
    <w:p w:rsidR="00D7306D" w:rsidRPr="00382E8C" w:rsidRDefault="00D7306D" w:rsidP="00DE1661">
      <w:pPr>
        <w:pStyle w:val="13"/>
        <w:rPr>
          <w:snapToGrid/>
        </w:rPr>
      </w:pPr>
      <w:r w:rsidRPr="00382E8C">
        <w:rPr>
          <w:snapToGrid/>
        </w:rPr>
        <w:t>По видам расходов;</w:t>
      </w:r>
    </w:p>
    <w:p w:rsidR="00D7306D" w:rsidRPr="00382E8C" w:rsidRDefault="00D7306D" w:rsidP="00DE1661">
      <w:pPr>
        <w:pStyle w:val="13"/>
        <w:rPr>
          <w:snapToGrid/>
        </w:rPr>
      </w:pPr>
      <w:r w:rsidRPr="00382E8C">
        <w:rPr>
          <w:snapToGrid/>
        </w:rPr>
        <w:t>По КЦСР;</w:t>
      </w:r>
    </w:p>
    <w:p w:rsidR="00D7306D" w:rsidRPr="00382E8C" w:rsidRDefault="00D7306D" w:rsidP="00DE1661">
      <w:pPr>
        <w:pStyle w:val="13"/>
        <w:rPr>
          <w:snapToGrid/>
        </w:rPr>
      </w:pPr>
      <w:r w:rsidRPr="00382E8C">
        <w:rPr>
          <w:snapToGrid/>
        </w:rPr>
        <w:t>По КБК.</w:t>
      </w:r>
    </w:p>
    <w:p w:rsidR="00D7306D" w:rsidRDefault="00D7306D" w:rsidP="00D7306D">
      <w:pPr>
        <w:pStyle w:val="af0"/>
      </w:pPr>
      <w:r>
        <w:t>Параметры:</w:t>
      </w:r>
    </w:p>
    <w:p w:rsidR="00D7306D" w:rsidRDefault="00D7306D" w:rsidP="00DE1661">
      <w:pPr>
        <w:pStyle w:val="13"/>
        <w:rPr>
          <w:snapToGrid/>
        </w:rPr>
      </w:pPr>
      <w:r w:rsidRPr="001C32EF">
        <w:rPr>
          <w:snapToGrid/>
        </w:rPr>
        <w:t>По состоянию на:</w:t>
      </w:r>
    </w:p>
    <w:p w:rsidR="00D7306D" w:rsidRPr="00A94105" w:rsidRDefault="00D7306D" w:rsidP="00D7306D">
      <w:pPr>
        <w:pStyle w:val="af0"/>
        <w:ind w:left="1211" w:firstLine="0"/>
      </w:pPr>
      <w:r w:rsidRPr="00A94105">
        <w:t>Календарь с выбором даты данных</w:t>
      </w:r>
      <w:r>
        <w:t xml:space="preserve"> (формат </w:t>
      </w:r>
      <w:r w:rsidRPr="003D29B2">
        <w:t>ДД.ММ.ГГГГ)</w:t>
      </w:r>
      <w:r w:rsidRPr="00A94105">
        <w:t>.</w:t>
      </w:r>
    </w:p>
    <w:p w:rsidR="00D7306D" w:rsidRPr="001C32EF" w:rsidRDefault="00D7306D" w:rsidP="00D7306D">
      <w:pPr>
        <w:pStyle w:val="af0"/>
        <w:ind w:left="1211" w:firstLine="0"/>
        <w:rPr>
          <w:snapToGrid/>
          <w:color w:val="auto"/>
          <w:szCs w:val="28"/>
        </w:rPr>
      </w:pPr>
      <w:r w:rsidRPr="00A94105">
        <w:t>По умолчанию</w:t>
      </w:r>
      <w:r w:rsidRPr="001C32EF">
        <w:rPr>
          <w:snapToGrid/>
          <w:color w:val="auto"/>
          <w:szCs w:val="28"/>
        </w:rPr>
        <w:t xml:space="preserve"> отображается последняя </w:t>
      </w:r>
      <w:r w:rsidRPr="003D29B2">
        <w:t xml:space="preserve">доступная дата, на которую в системе </w:t>
      </w:r>
      <w:r>
        <w:t>сформированы</w:t>
      </w:r>
      <w:r w:rsidRPr="003D29B2">
        <w:t xml:space="preserve"> данные</w:t>
      </w:r>
      <w:r w:rsidRPr="001C32EF">
        <w:rPr>
          <w:snapToGrid/>
          <w:color w:val="auto"/>
          <w:szCs w:val="28"/>
        </w:rPr>
        <w:t>;</w:t>
      </w:r>
    </w:p>
    <w:p w:rsidR="00D7306D" w:rsidRDefault="00D7306D" w:rsidP="00DE1661">
      <w:pPr>
        <w:pStyle w:val="13"/>
      </w:pPr>
      <w:r>
        <w:t>Год:</w:t>
      </w:r>
    </w:p>
    <w:p w:rsidR="00D7306D" w:rsidRDefault="00D7306D" w:rsidP="00D7306D">
      <w:pPr>
        <w:pStyle w:val="af0"/>
        <w:ind w:left="1211" w:firstLine="0"/>
      </w:pPr>
      <w:r>
        <w:t>Выпадающий список без множественного выбора (формат ГГГГ - текущий год,</w:t>
      </w:r>
      <w:r w:rsidRPr="00A94105">
        <w:t xml:space="preserve"> </w:t>
      </w:r>
      <w:r>
        <w:t>1 год планового периода,</w:t>
      </w:r>
      <w:r w:rsidRPr="00A94105">
        <w:t xml:space="preserve"> </w:t>
      </w:r>
      <w:r>
        <w:t>2 год планового периода).</w:t>
      </w:r>
    </w:p>
    <w:p w:rsidR="00D7306D" w:rsidRDefault="00D7306D" w:rsidP="00D7306D">
      <w:pPr>
        <w:pStyle w:val="af0"/>
        <w:ind w:left="1211" w:firstLine="0"/>
      </w:pPr>
      <w:r>
        <w:t>По умолчанию устанавливается текущий год;</w:t>
      </w:r>
    </w:p>
    <w:p w:rsidR="00D7306D" w:rsidRDefault="00D7306D" w:rsidP="00DE1661">
      <w:pPr>
        <w:pStyle w:val="13"/>
      </w:pPr>
      <w:r>
        <w:t>Вице-премьер (</w:t>
      </w:r>
      <w:r w:rsidRPr="00E83CFF">
        <w:t>кроме представления «</w:t>
      </w:r>
      <w:r>
        <w:t>По нац.проектам»):</w:t>
      </w:r>
    </w:p>
    <w:p w:rsidR="00D7306D" w:rsidRDefault="00D7306D" w:rsidP="00D7306D">
      <w:pPr>
        <w:pStyle w:val="af0"/>
        <w:ind w:left="1211" w:firstLine="0"/>
      </w:pPr>
      <w:bookmarkStart w:id="663" w:name="_Hlk80531630"/>
      <w:r>
        <w:t>Выпадающий список без множественного выбора.</w:t>
      </w:r>
    </w:p>
    <w:bookmarkEnd w:id="663"/>
    <w:p w:rsidR="00D7306D" w:rsidRDefault="00D7306D" w:rsidP="00D7306D">
      <w:pPr>
        <w:pStyle w:val="af0"/>
        <w:ind w:left="1211" w:firstLine="0"/>
      </w:pPr>
      <w:r>
        <w:t xml:space="preserve">Выводится ФИО вице-премьеров и значение «Иные» (цепочки КБК не курируемые вице-премьерами, а так же </w:t>
      </w:r>
      <w:r w:rsidRPr="004B39B3">
        <w:rPr>
          <w:snapToGrid/>
          <w:color w:val="auto"/>
          <w:szCs w:val="28"/>
        </w:rPr>
        <w:t>по закрытым сведениям, не расписанным по тонким цепочкам КБК</w:t>
      </w:r>
      <w:r>
        <w:t>).</w:t>
      </w:r>
    </w:p>
    <w:p w:rsidR="00D7306D" w:rsidRDefault="00D7306D" w:rsidP="00D7306D">
      <w:pPr>
        <w:pStyle w:val="af0"/>
        <w:ind w:left="1211" w:firstLine="0"/>
      </w:pPr>
      <w: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p>
    <w:p w:rsidR="00D7306D" w:rsidRPr="00380564" w:rsidRDefault="00D7306D" w:rsidP="00D7306D">
      <w:pPr>
        <w:pStyle w:val="af0"/>
        <w:ind w:left="1211" w:firstLine="0"/>
      </w:pPr>
      <w:r w:rsidRPr="00380564">
        <w:t>По умолчанию установлено значение «Все».</w:t>
      </w:r>
    </w:p>
    <w:p w:rsidR="00D7306D" w:rsidRPr="00D27DF0" w:rsidRDefault="00D7306D" w:rsidP="00DE1661">
      <w:pPr>
        <w:pStyle w:val="13"/>
      </w:pPr>
      <w:r w:rsidRPr="00D27DF0">
        <w:t>Вице-премьер (в представлении «По нац.проектам»):</w:t>
      </w:r>
    </w:p>
    <w:p w:rsidR="00D7306D" w:rsidRPr="00D27DF0" w:rsidRDefault="00D7306D" w:rsidP="00D7306D">
      <w:pPr>
        <w:pStyle w:val="af0"/>
        <w:ind w:left="1211" w:firstLine="0"/>
      </w:pPr>
      <w:r w:rsidRPr="00D27DF0">
        <w:t>Выпадающий список без множественного выбора.</w:t>
      </w:r>
    </w:p>
    <w:p w:rsidR="00D7306D" w:rsidRPr="00D27DF0" w:rsidRDefault="00D7306D" w:rsidP="00D7306D">
      <w:pPr>
        <w:pStyle w:val="af0"/>
        <w:ind w:left="1211" w:firstLine="0"/>
      </w:pPr>
      <w:r w:rsidRPr="00D27DF0">
        <w:t>Выводится ФИО вице-премьеров и значение «Иные» (</w:t>
      </w:r>
      <w:r w:rsidRPr="00D27DF0">
        <w:rPr>
          <w:snapToGrid/>
          <w:color w:val="auto"/>
          <w:szCs w:val="28"/>
        </w:rPr>
        <w:t>закрытые сведения, не расписанные по тонким цепочкам КБК</w:t>
      </w:r>
      <w:r w:rsidRPr="00D27DF0">
        <w:t>).</w:t>
      </w:r>
    </w:p>
    <w:p w:rsidR="00D7306D" w:rsidRPr="00D27DF0" w:rsidRDefault="00D7306D" w:rsidP="00D7306D">
      <w:pPr>
        <w:pStyle w:val="af0"/>
        <w:ind w:left="1211" w:firstLine="0"/>
      </w:pPr>
      <w:r w:rsidRPr="00D27DF0">
        <w:t>При выборе ФИО вице-премьера значения фильтруются по курируемым ими национальным проектам в соответствии с паспортами национальных проектов.</w:t>
      </w:r>
    </w:p>
    <w:p w:rsidR="00D7306D" w:rsidRPr="00380564" w:rsidRDefault="00D7306D" w:rsidP="00D7306D">
      <w:pPr>
        <w:pStyle w:val="af0"/>
        <w:ind w:left="1211" w:firstLine="0"/>
      </w:pPr>
      <w:r w:rsidRPr="00D27DF0">
        <w:t>По умолчанию установлено значение «Все».</w:t>
      </w:r>
    </w:p>
    <w:p w:rsidR="00D7306D" w:rsidRPr="00380564" w:rsidRDefault="00D7306D" w:rsidP="00DE1661">
      <w:pPr>
        <w:pStyle w:val="13"/>
      </w:pPr>
      <w:r w:rsidRPr="00380564">
        <w:t>И / ИЛИ:</w:t>
      </w:r>
    </w:p>
    <w:p w:rsidR="00D7306D" w:rsidRPr="00380564" w:rsidRDefault="00D7306D" w:rsidP="00D7306D">
      <w:pPr>
        <w:pStyle w:val="af0"/>
        <w:ind w:left="1211" w:firstLine="0"/>
      </w:pPr>
      <w:r w:rsidRPr="00380564">
        <w:t>Параметр связывает параметры «Вице-премьер» и «КБК».</w:t>
      </w:r>
    </w:p>
    <w:p w:rsidR="00D7306D" w:rsidRPr="00380564" w:rsidRDefault="00D7306D" w:rsidP="00D7306D">
      <w:pPr>
        <w:pStyle w:val="af0"/>
        <w:ind w:left="1211" w:firstLine="0"/>
      </w:pPr>
      <w:r w:rsidRPr="00380564">
        <w:t>Параметр позволяет одновременно выбирать с помощью параметра «Вице-премьер» расходы (КБК), которые закреплены за вице-премьером, а также с помощью параметра «КБК» добавлять перечень КБК, которые не закреплены за вице-премьером, но находятся в зоне его интересов.</w:t>
      </w:r>
    </w:p>
    <w:p w:rsidR="00D7306D" w:rsidRPr="00380564" w:rsidRDefault="00D7306D" w:rsidP="00DE1661">
      <w:pPr>
        <w:pStyle w:val="13"/>
      </w:pPr>
      <w:r w:rsidRPr="00380564">
        <w:t>КБК:</w:t>
      </w:r>
    </w:p>
    <w:p w:rsidR="00D7306D" w:rsidRDefault="00D7306D" w:rsidP="00D7306D">
      <w:pPr>
        <w:pStyle w:val="af0"/>
        <w:ind w:left="1211" w:firstLine="0"/>
      </w:pPr>
      <w:r>
        <w:t>Выпадающий список с множественным выбором.</w:t>
      </w:r>
    </w:p>
    <w:p w:rsidR="00D7306D" w:rsidRDefault="00D7306D" w:rsidP="00D7306D">
      <w:pPr>
        <w:pStyle w:val="af0"/>
        <w:ind w:left="1211" w:firstLine="0"/>
      </w:pPr>
      <w:r>
        <w:t>Выводится 17-значный код бюджетной классификации расходов.</w:t>
      </w:r>
    </w:p>
    <w:p w:rsidR="00D7306D" w:rsidRPr="00380564" w:rsidRDefault="00D7306D" w:rsidP="00D7306D">
      <w:pPr>
        <w:pStyle w:val="af0"/>
        <w:ind w:left="1211" w:firstLine="0"/>
      </w:pPr>
      <w:r>
        <w:t>В «окно поиска» параметра можно осуществлять вставку списка КБК через запятую из документа</w:t>
      </w:r>
      <w:r w:rsidRPr="00AF3787">
        <w:t xml:space="preserve"> </w:t>
      </w:r>
      <w:r>
        <w:t>Ограничение: выбирать можно не более 2000 символов. Например, копируем текст «1870201311</w:t>
      </w:r>
      <w:r>
        <w:rPr>
          <w:lang w:val="en-US"/>
        </w:rPr>
        <w:t>R</w:t>
      </w:r>
      <w:r>
        <w:t>412100244, 1880302187</w:t>
      </w:r>
      <w:r>
        <w:rPr>
          <w:lang w:val="en-US"/>
        </w:rPr>
        <w:t>R</w:t>
      </w:r>
      <w:r>
        <w:t>311300244, 7250412225</w:t>
      </w:r>
      <w:r>
        <w:rPr>
          <w:lang w:val="en-US"/>
        </w:rPr>
        <w:t>V</w:t>
      </w:r>
      <w:r>
        <w:t>308100466», вставляем в «окно поиска», нажимам «лупу», нажимаем «выбрать найденные».</w:t>
      </w:r>
      <w:r w:rsidRPr="00AF3787">
        <w:t xml:space="preserve"> </w:t>
      </w:r>
    </w:p>
    <w:p w:rsidR="00D7306D" w:rsidRDefault="00D7306D" w:rsidP="00D7306D">
      <w:pPr>
        <w:pStyle w:val="af0"/>
        <w:ind w:left="1211" w:firstLine="0"/>
      </w:pPr>
      <w:r>
        <w:t>По умолчанию установлено значение «Все».</w:t>
      </w:r>
    </w:p>
    <w:p w:rsidR="00D7306D" w:rsidRDefault="00D7306D" w:rsidP="00DE1661">
      <w:pPr>
        <w:pStyle w:val="13"/>
      </w:pPr>
      <w:r>
        <w:t>ГРБС:</w:t>
      </w:r>
    </w:p>
    <w:p w:rsidR="00D7306D" w:rsidRPr="000948C0" w:rsidRDefault="00D7306D" w:rsidP="00D7306D">
      <w:pPr>
        <w:pStyle w:val="af0"/>
        <w:ind w:left="1211" w:firstLine="0"/>
      </w:pPr>
      <w:r w:rsidRPr="000948C0">
        <w:t>Выпадающий список с множественным выбором.</w:t>
      </w:r>
    </w:p>
    <w:p w:rsidR="00D7306D" w:rsidRPr="000948C0" w:rsidRDefault="00D7306D" w:rsidP="00D7306D">
      <w:pPr>
        <w:pStyle w:val="af0"/>
        <w:ind w:left="1211" w:firstLine="0"/>
      </w:pPr>
      <w:r w:rsidRPr="000948C0">
        <w:t xml:space="preserve">Выводятся код и наименование ГРБС. </w:t>
      </w:r>
    </w:p>
    <w:p w:rsidR="00D7306D" w:rsidRPr="000948C0" w:rsidRDefault="00D7306D" w:rsidP="00D7306D">
      <w:pPr>
        <w:pStyle w:val="af0"/>
        <w:ind w:left="1211" w:firstLine="0"/>
      </w:pPr>
      <w:r w:rsidRPr="000948C0">
        <w:t>Значение «000 - Иные» (значения по закрытым цепочкам КБК).</w:t>
      </w:r>
    </w:p>
    <w:p w:rsidR="00D7306D" w:rsidRPr="000948C0" w:rsidRDefault="00D7306D" w:rsidP="00D7306D">
      <w:pPr>
        <w:pStyle w:val="af0"/>
        <w:ind w:left="1211" w:firstLine="0"/>
      </w:pPr>
      <w:r w:rsidRPr="000948C0">
        <w:t>По умолчанию установлено значение «Все».</w:t>
      </w:r>
    </w:p>
    <w:p w:rsidR="00D7306D" w:rsidRPr="000948C0" w:rsidRDefault="00D7306D" w:rsidP="00DE1661">
      <w:pPr>
        <w:pStyle w:val="13"/>
        <w:rPr>
          <w:snapToGrid/>
        </w:rPr>
      </w:pPr>
      <w:r w:rsidRPr="000948C0">
        <w:rPr>
          <w:snapToGrid/>
        </w:rPr>
        <w:t>РзПр:</w:t>
      </w:r>
    </w:p>
    <w:p w:rsidR="00D7306D" w:rsidRPr="000948C0" w:rsidRDefault="00D7306D" w:rsidP="00D7306D">
      <w:pPr>
        <w:pStyle w:val="af0"/>
        <w:ind w:left="1211" w:firstLine="0"/>
      </w:pPr>
      <w:r w:rsidRPr="000948C0">
        <w:t>Выпадающий иерархический список без множественного выбора.</w:t>
      </w:r>
    </w:p>
    <w:p w:rsidR="00D7306D" w:rsidRPr="000948C0" w:rsidRDefault="00D7306D" w:rsidP="00D7306D">
      <w:pPr>
        <w:pStyle w:val="afff6"/>
        <w:spacing w:line="360" w:lineRule="exact"/>
        <w:ind w:left="1211"/>
      </w:pPr>
      <w:r w:rsidRPr="000948C0">
        <w:t>Выводится код и наименование РзПр.</w:t>
      </w:r>
    </w:p>
    <w:p w:rsidR="00D7306D" w:rsidRPr="000948C0" w:rsidRDefault="00D7306D" w:rsidP="00D7306D">
      <w:pPr>
        <w:pStyle w:val="af0"/>
        <w:ind w:left="1211" w:firstLine="0"/>
      </w:pPr>
      <w:r w:rsidRPr="000948C0">
        <w:t>Значение «0000 - Иные» (значения по закрытым цепочкам КБК).</w:t>
      </w:r>
    </w:p>
    <w:p w:rsidR="00D7306D" w:rsidRPr="000948C0" w:rsidRDefault="00D7306D" w:rsidP="00D7306D">
      <w:pPr>
        <w:pStyle w:val="af0"/>
        <w:ind w:left="1211" w:firstLine="0"/>
      </w:pPr>
      <w:r w:rsidRPr="000948C0">
        <w:t>По умолчанию установлено значение «Все»</w:t>
      </w:r>
    </w:p>
    <w:p w:rsidR="00D7306D" w:rsidRPr="000948C0" w:rsidRDefault="00D7306D" w:rsidP="00DE1661">
      <w:pPr>
        <w:pStyle w:val="13"/>
        <w:rPr>
          <w:snapToGrid/>
        </w:rPr>
      </w:pPr>
      <w:r w:rsidRPr="000948C0">
        <w:rPr>
          <w:snapToGrid/>
        </w:rPr>
        <w:t>КЦСР:</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Окно для поиска введённых значений по реквизиту «КЦСР» (10 знаков).</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Множественного выбора нет.</w:t>
      </w:r>
    </w:p>
    <w:p w:rsidR="00D7306D" w:rsidRPr="000948C0" w:rsidRDefault="00D7306D" w:rsidP="00DE1661">
      <w:pPr>
        <w:pStyle w:val="13"/>
        <w:rPr>
          <w:snapToGrid/>
        </w:rPr>
      </w:pPr>
      <w:r w:rsidRPr="000948C0">
        <w:rPr>
          <w:snapToGrid/>
        </w:rPr>
        <w:t>КВР:</w:t>
      </w:r>
    </w:p>
    <w:p w:rsidR="00D7306D" w:rsidRPr="000948C0" w:rsidRDefault="00D7306D" w:rsidP="00D7306D">
      <w:pPr>
        <w:pStyle w:val="af0"/>
        <w:ind w:left="1211" w:firstLine="0"/>
      </w:pPr>
      <w:r w:rsidRPr="000948C0">
        <w:t>Выпадающий иерархический список с множественным выбором.</w:t>
      </w:r>
    </w:p>
    <w:p w:rsidR="00D7306D" w:rsidRPr="000948C0" w:rsidRDefault="00D7306D" w:rsidP="00D7306D">
      <w:pPr>
        <w:pStyle w:val="af0"/>
        <w:ind w:left="1211" w:firstLine="0"/>
      </w:pPr>
      <w:r w:rsidRPr="000948C0">
        <w:t>Выводятся код и наименование видов расходов.</w:t>
      </w:r>
    </w:p>
    <w:p w:rsidR="00D7306D" w:rsidRPr="000948C0" w:rsidRDefault="00D7306D" w:rsidP="00D7306D">
      <w:pPr>
        <w:pStyle w:val="af0"/>
        <w:ind w:left="1211" w:firstLine="0"/>
      </w:pPr>
      <w:r w:rsidRPr="000948C0">
        <w:t>Значение «000 - Иные» (значения по закрытым цепочкам КБК).</w:t>
      </w:r>
    </w:p>
    <w:p w:rsidR="00D7306D" w:rsidRPr="00B50861" w:rsidRDefault="00D7306D" w:rsidP="00D7306D">
      <w:pPr>
        <w:pStyle w:val="af0"/>
        <w:ind w:left="1211" w:firstLine="0"/>
        <w:rPr>
          <w:snapToGrid/>
          <w:color w:val="auto"/>
          <w:szCs w:val="28"/>
        </w:rPr>
      </w:pPr>
      <w:r w:rsidRPr="00B50861">
        <w:t>По умолчанию</w:t>
      </w:r>
      <w:r w:rsidRPr="00B50861">
        <w:rPr>
          <w:snapToGrid/>
          <w:color w:val="auto"/>
          <w:szCs w:val="28"/>
        </w:rPr>
        <w:t xml:space="preserve"> установлено значение «Все».</w:t>
      </w:r>
    </w:p>
    <w:p w:rsidR="00D7306D" w:rsidRPr="00B50861" w:rsidRDefault="00D7306D" w:rsidP="00DE1661">
      <w:pPr>
        <w:pStyle w:val="13"/>
        <w:rPr>
          <w:snapToGrid/>
        </w:rPr>
      </w:pPr>
      <w:r w:rsidRPr="00B50861">
        <w:rPr>
          <w:snapToGrid/>
        </w:rPr>
        <w:t>НП (ФП):</w:t>
      </w:r>
    </w:p>
    <w:p w:rsidR="00D7306D" w:rsidRPr="00B50861" w:rsidRDefault="00D7306D" w:rsidP="00D7306D">
      <w:pPr>
        <w:pStyle w:val="af0"/>
        <w:ind w:left="1211" w:firstLine="0"/>
      </w:pPr>
      <w:r w:rsidRPr="00B50861">
        <w:t>Выпадающий иерархический список с множественным выбором.</w:t>
      </w:r>
    </w:p>
    <w:p w:rsidR="00D7306D" w:rsidRPr="000948C0" w:rsidRDefault="00D7306D" w:rsidP="00D7306D">
      <w:pPr>
        <w:pStyle w:val="af0"/>
        <w:ind w:left="1211" w:firstLine="0"/>
      </w:pPr>
      <w:r w:rsidRPr="00B50861">
        <w:t>Выводятся код и наименование национального (федерального) проекта</w:t>
      </w:r>
      <w:r w:rsidRPr="000948C0">
        <w:t xml:space="preserve"> и фиксированная запись «Расходы вне рамок национальных проектов».</w:t>
      </w:r>
    </w:p>
    <w:p w:rsidR="00D7306D" w:rsidRPr="000948C0" w:rsidRDefault="00D7306D" w:rsidP="00D7306D">
      <w:pPr>
        <w:pStyle w:val="af0"/>
        <w:ind w:left="1211" w:firstLine="0"/>
        <w:rPr>
          <w:snapToGrid/>
          <w:color w:val="auto"/>
          <w:szCs w:val="28"/>
        </w:rPr>
      </w:pPr>
      <w:r w:rsidRPr="000948C0">
        <w:t>По умолчанию</w:t>
      </w:r>
      <w:r w:rsidRPr="000948C0">
        <w:rPr>
          <w:snapToGrid/>
          <w:color w:val="auto"/>
          <w:szCs w:val="28"/>
        </w:rPr>
        <w:t xml:space="preserve"> установлено значение «Все».</w:t>
      </w:r>
    </w:p>
    <w:p w:rsidR="00D7306D" w:rsidRPr="000948C0" w:rsidRDefault="00D7306D" w:rsidP="00DE1661">
      <w:pPr>
        <w:pStyle w:val="13"/>
        <w:rPr>
          <w:snapToGrid/>
        </w:rPr>
      </w:pPr>
      <w:r w:rsidRPr="000948C0">
        <w:rPr>
          <w:snapToGrid/>
        </w:rPr>
        <w:t>Тип субсидии:</w:t>
      </w:r>
    </w:p>
    <w:p w:rsidR="00D7306D" w:rsidRPr="000948C0" w:rsidRDefault="00D7306D" w:rsidP="00D7306D">
      <w:pPr>
        <w:spacing w:line="360" w:lineRule="exact"/>
        <w:ind w:left="1211"/>
        <w:rPr>
          <w:snapToGrid/>
          <w:color w:val="auto"/>
          <w:sz w:val="28"/>
          <w:szCs w:val="28"/>
        </w:rPr>
      </w:pPr>
      <w:bookmarkStart w:id="664" w:name="_Hlk80534576"/>
      <w:r w:rsidRPr="000948C0">
        <w:rPr>
          <w:snapToGrid/>
          <w:color w:val="auto"/>
          <w:sz w:val="28"/>
          <w:szCs w:val="28"/>
        </w:rPr>
        <w:t>Выпадающий иерархический список с множественным выбором.</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 xml:space="preserve">Выводятся наименование типа субсидии в соответствии с пунктом </w:t>
      </w:r>
      <w:r w:rsidRPr="000948C0">
        <w:rPr>
          <w:snapToGrid/>
          <w:color w:val="auto"/>
          <w:sz w:val="28"/>
          <w:szCs w:val="28"/>
        </w:rPr>
        <w:fldChar w:fldCharType="begin"/>
      </w:r>
      <w:r w:rsidRPr="000948C0">
        <w:rPr>
          <w:snapToGrid/>
          <w:color w:val="auto"/>
          <w:sz w:val="28"/>
          <w:szCs w:val="28"/>
        </w:rPr>
        <w:instrText xml:space="preserve"> REF _Ref80387481 \r \h </w:instrText>
      </w:r>
      <w:r>
        <w:rPr>
          <w:snapToGrid/>
          <w:color w:val="auto"/>
          <w:sz w:val="28"/>
          <w:szCs w:val="28"/>
        </w:rPr>
        <w:instrText xml:space="preserve"> \* MERGEFORMAT </w:instrText>
      </w:r>
      <w:r w:rsidRPr="000948C0">
        <w:rPr>
          <w:snapToGrid/>
          <w:color w:val="auto"/>
          <w:sz w:val="28"/>
          <w:szCs w:val="28"/>
        </w:rPr>
      </w:r>
      <w:r w:rsidRPr="000948C0">
        <w:rPr>
          <w:snapToGrid/>
          <w:color w:val="auto"/>
          <w:sz w:val="28"/>
          <w:szCs w:val="28"/>
        </w:rPr>
        <w:fldChar w:fldCharType="separate"/>
      </w:r>
      <w:r w:rsidR="00BF0BEE">
        <w:rPr>
          <w:snapToGrid/>
          <w:color w:val="auto"/>
          <w:sz w:val="28"/>
          <w:szCs w:val="28"/>
        </w:rPr>
        <w:t>7.2.14.2</w:t>
      </w:r>
      <w:r w:rsidRPr="000948C0">
        <w:rPr>
          <w:snapToGrid/>
          <w:color w:val="auto"/>
          <w:sz w:val="28"/>
          <w:szCs w:val="28"/>
        </w:rPr>
        <w:fldChar w:fldCharType="end"/>
      </w:r>
      <w:r w:rsidRPr="000948C0">
        <w:rPr>
          <w:snapToGrid/>
          <w:color w:val="auto"/>
          <w:sz w:val="28"/>
          <w:szCs w:val="28"/>
        </w:rPr>
        <w:t xml:space="preserve"> и фиксированная запись «Расходы вне субсидий».</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 xml:space="preserve">По умолчанию установлено значение </w:t>
      </w:r>
      <w:bookmarkEnd w:id="664"/>
      <w:r w:rsidRPr="000948C0">
        <w:rPr>
          <w:snapToGrid/>
          <w:color w:val="auto"/>
          <w:sz w:val="28"/>
          <w:szCs w:val="28"/>
        </w:rPr>
        <w:t>«Все расходы».</w:t>
      </w:r>
    </w:p>
    <w:p w:rsidR="00D7306D" w:rsidRPr="000948C0" w:rsidRDefault="00D7306D" w:rsidP="00DE1661">
      <w:pPr>
        <w:pStyle w:val="13"/>
        <w:rPr>
          <w:snapToGrid/>
        </w:rPr>
      </w:pPr>
      <w:r w:rsidRPr="000948C0">
        <w:rPr>
          <w:snapToGrid/>
        </w:rPr>
        <w:t>Мероприятия:</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Выпадающий список с множественным выбором.</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 xml:space="preserve">Выводятся наименование мероприятия в соответствии с пунктом </w:t>
      </w:r>
      <w:r w:rsidRPr="000948C0">
        <w:rPr>
          <w:snapToGrid/>
          <w:color w:val="auto"/>
          <w:sz w:val="28"/>
          <w:szCs w:val="28"/>
        </w:rPr>
        <w:fldChar w:fldCharType="begin"/>
      </w:r>
      <w:r w:rsidRPr="000948C0">
        <w:rPr>
          <w:snapToGrid/>
          <w:color w:val="auto"/>
          <w:sz w:val="28"/>
          <w:szCs w:val="28"/>
        </w:rPr>
        <w:instrText xml:space="preserve"> REF _Ref80534617 \r \h </w:instrText>
      </w:r>
      <w:r>
        <w:rPr>
          <w:snapToGrid/>
          <w:color w:val="auto"/>
          <w:sz w:val="28"/>
          <w:szCs w:val="28"/>
        </w:rPr>
        <w:instrText xml:space="preserve"> \* MERGEFORMAT </w:instrText>
      </w:r>
      <w:r w:rsidRPr="000948C0">
        <w:rPr>
          <w:snapToGrid/>
          <w:color w:val="auto"/>
          <w:sz w:val="28"/>
          <w:szCs w:val="28"/>
        </w:rPr>
      </w:r>
      <w:r w:rsidRPr="000948C0">
        <w:rPr>
          <w:snapToGrid/>
          <w:color w:val="auto"/>
          <w:sz w:val="28"/>
          <w:szCs w:val="28"/>
        </w:rPr>
        <w:fldChar w:fldCharType="separate"/>
      </w:r>
      <w:r w:rsidR="00BF0BEE">
        <w:rPr>
          <w:snapToGrid/>
          <w:color w:val="auto"/>
          <w:sz w:val="28"/>
          <w:szCs w:val="28"/>
        </w:rPr>
        <w:t>7.2.14.3</w:t>
      </w:r>
      <w:r w:rsidRPr="000948C0">
        <w:rPr>
          <w:snapToGrid/>
          <w:color w:val="auto"/>
          <w:sz w:val="28"/>
          <w:szCs w:val="28"/>
        </w:rPr>
        <w:fldChar w:fldCharType="end"/>
      </w:r>
      <w:r w:rsidRPr="000948C0">
        <w:rPr>
          <w:snapToGrid/>
          <w:color w:val="auto"/>
          <w:sz w:val="28"/>
          <w:szCs w:val="28"/>
        </w:rPr>
        <w:t xml:space="preserve"> и фиксированное значение «Не указано мероприятие».</w:t>
      </w:r>
    </w:p>
    <w:p w:rsidR="00D7306D" w:rsidRPr="000948C0" w:rsidRDefault="00D7306D" w:rsidP="00D7306D">
      <w:pPr>
        <w:spacing w:line="360" w:lineRule="exact"/>
        <w:ind w:left="1211"/>
        <w:rPr>
          <w:snapToGrid/>
          <w:color w:val="auto"/>
          <w:sz w:val="28"/>
          <w:szCs w:val="28"/>
        </w:rPr>
      </w:pPr>
      <w:r w:rsidRPr="000948C0">
        <w:rPr>
          <w:snapToGrid/>
          <w:color w:val="auto"/>
          <w:sz w:val="28"/>
          <w:szCs w:val="28"/>
        </w:rPr>
        <w:t>По умолчанию установлено значение «Все».</w:t>
      </w:r>
    </w:p>
    <w:p w:rsidR="00D7306D" w:rsidRPr="000948C0" w:rsidRDefault="00D7306D" w:rsidP="00DE1661">
      <w:pPr>
        <w:pStyle w:val="13"/>
        <w:rPr>
          <w:snapToGrid/>
        </w:rPr>
      </w:pPr>
      <w:r w:rsidRPr="000948C0">
        <w:rPr>
          <w:snapToGrid/>
        </w:rPr>
        <w:t>Единицы измерения:</w:t>
      </w:r>
    </w:p>
    <w:p w:rsidR="00D7306D" w:rsidRPr="000948C0" w:rsidRDefault="00D7306D" w:rsidP="00D7306D">
      <w:pPr>
        <w:pStyle w:val="af0"/>
        <w:ind w:left="1211" w:firstLine="0"/>
      </w:pPr>
      <w:r w:rsidRPr="000948C0">
        <w:t>Выпадающий список с выбором единиц измерения.</w:t>
      </w:r>
    </w:p>
    <w:p w:rsidR="00D7306D" w:rsidRPr="000948C0" w:rsidRDefault="00D7306D" w:rsidP="00D7306D">
      <w:pPr>
        <w:pStyle w:val="af0"/>
        <w:ind w:left="1211" w:firstLine="0"/>
      </w:pPr>
      <w:r w:rsidRPr="000948C0">
        <w:t>Состоит из значений: руб, тыс руб., млн руб, млрд руб</w:t>
      </w:r>
    </w:p>
    <w:p w:rsidR="00D7306D" w:rsidRDefault="00D7306D" w:rsidP="00D7306D">
      <w:pPr>
        <w:pStyle w:val="af0"/>
        <w:ind w:left="1211" w:firstLine="0"/>
      </w:pPr>
      <w:r w:rsidRPr="000948C0">
        <w:t>По умолчанию установлено значение «млрд руб».</w:t>
      </w:r>
    </w:p>
    <w:p w:rsidR="00D7306D" w:rsidRDefault="00D7306D" w:rsidP="00D7306D">
      <w:pPr>
        <w:pStyle w:val="af0"/>
        <w:ind w:firstLine="0"/>
      </w:pPr>
      <w:r>
        <w:rPr>
          <w:noProof/>
          <w:snapToGrid/>
        </w:rPr>
        <w:drawing>
          <wp:inline distT="0" distB="0" distL="0" distR="0" wp14:anchorId="34137045" wp14:editId="68C6DB95">
            <wp:extent cx="6120130" cy="2683281"/>
            <wp:effectExtent l="0" t="0" r="0" b="3175"/>
            <wp:docPr id="5708" name="Рисунок 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6120130" cy="2683281"/>
                    </a:xfrm>
                    <a:prstGeom prst="rect">
                      <a:avLst/>
                    </a:prstGeom>
                  </pic:spPr>
                </pic:pic>
              </a:graphicData>
            </a:graphic>
          </wp:inline>
        </w:drawing>
      </w:r>
    </w:p>
    <w:p w:rsidR="00D7306D" w:rsidRDefault="00D7306D" w:rsidP="00286AED">
      <w:pPr>
        <w:pStyle w:val="-0"/>
      </w:pPr>
      <w:bookmarkStart w:id="665" w:name="_Toc80789136"/>
      <w:bookmarkStart w:id="666" w:name="_Toc119584341"/>
      <w:r w:rsidRPr="00020940">
        <w:rPr>
          <w:rStyle w:val="af1"/>
        </w:rPr>
        <w:t xml:space="preserve">Рисунок </w:t>
      </w:r>
      <w:r w:rsidRPr="00020940">
        <w:rPr>
          <w:szCs w:val="28"/>
        </w:rPr>
        <w:fldChar w:fldCharType="begin"/>
      </w:r>
      <w:r w:rsidRPr="00020940">
        <w:rPr>
          <w:szCs w:val="28"/>
        </w:rPr>
        <w:instrText xml:space="preserve"> SEQ Рисунок \* ARABIC </w:instrText>
      </w:r>
      <w:r w:rsidRPr="00020940">
        <w:rPr>
          <w:szCs w:val="28"/>
        </w:rPr>
        <w:fldChar w:fldCharType="separate"/>
      </w:r>
      <w:r w:rsidR="001860A9">
        <w:rPr>
          <w:noProof/>
          <w:szCs w:val="28"/>
        </w:rPr>
        <w:t>154</w:t>
      </w:r>
      <w:r w:rsidRPr="00020940">
        <w:rPr>
          <w:szCs w:val="28"/>
        </w:rPr>
        <w:fldChar w:fldCharType="end"/>
      </w:r>
      <w:r w:rsidRPr="00020940">
        <w:rPr>
          <w:szCs w:val="28"/>
        </w:rPr>
        <w:t xml:space="preserve"> – </w:t>
      </w:r>
      <w:r w:rsidRPr="00286AED">
        <w:rPr>
          <w:rStyle w:val="af1"/>
          <w:snapToGrid w:val="0"/>
        </w:rPr>
        <w:t>Макет</w:t>
      </w:r>
      <w:r w:rsidRPr="00020940">
        <w:rPr>
          <w:rStyle w:val="af1"/>
        </w:rPr>
        <w:t xml:space="preserve"> отчета «Расходы федерального бюджета»</w:t>
      </w:r>
      <w:bookmarkEnd w:id="665"/>
      <w:bookmarkEnd w:id="666"/>
    </w:p>
    <w:p w:rsidR="00D7306D" w:rsidRDefault="00D7306D" w:rsidP="00D7306D">
      <w:pPr>
        <w:pStyle w:val="af0"/>
      </w:pPr>
      <w:r>
        <w:t>Группировка строк в представлениях:</w:t>
      </w:r>
    </w:p>
    <w:p w:rsidR="00D7306D" w:rsidRDefault="00D7306D"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ГРБС</w:t>
      </w:r>
      <w:r>
        <w:rPr>
          <w:snapToGrid/>
          <w:color w:val="auto"/>
          <w:sz w:val="28"/>
          <w:szCs w:val="28"/>
        </w:rPr>
        <w:t>».</w:t>
      </w:r>
    </w:p>
    <w:p w:rsidR="00D7306D" w:rsidRDefault="00D7306D" w:rsidP="00D7306D">
      <w:pPr>
        <w:spacing w:line="360" w:lineRule="exact"/>
        <w:ind w:left="927"/>
        <w:rPr>
          <w:snapToGrid/>
          <w:color w:val="auto"/>
          <w:sz w:val="28"/>
          <w:szCs w:val="28"/>
        </w:rPr>
      </w:pPr>
      <w:r>
        <w:rPr>
          <w:snapToGrid/>
          <w:color w:val="auto"/>
          <w:sz w:val="28"/>
          <w:szCs w:val="28"/>
        </w:rPr>
        <w:t>Названия колонок: «</w:t>
      </w:r>
      <w:r w:rsidRPr="00932110">
        <w:rPr>
          <w:snapToGrid/>
          <w:color w:val="auto"/>
          <w:sz w:val="28"/>
          <w:szCs w:val="28"/>
        </w:rPr>
        <w:t>Наименование</w:t>
      </w:r>
      <w:r>
        <w:rPr>
          <w:snapToGrid/>
          <w:color w:val="auto"/>
          <w:sz w:val="28"/>
          <w:szCs w:val="28"/>
        </w:rPr>
        <w:t xml:space="preserve"> показателя», «К</w:t>
      </w:r>
      <w:r w:rsidRPr="00932110">
        <w:rPr>
          <w:snapToGrid/>
          <w:color w:val="auto"/>
          <w:sz w:val="28"/>
          <w:szCs w:val="28"/>
        </w:rPr>
        <w:t>од ГРБС</w:t>
      </w:r>
      <w:r>
        <w:rPr>
          <w:snapToGrid/>
          <w:color w:val="auto"/>
          <w:sz w:val="28"/>
          <w:szCs w:val="28"/>
        </w:rPr>
        <w:t>».</w:t>
      </w:r>
    </w:p>
    <w:p w:rsidR="00D7306D" w:rsidRDefault="00D7306D" w:rsidP="00D7306D">
      <w:pPr>
        <w:spacing w:line="360" w:lineRule="exact"/>
        <w:ind w:left="927"/>
        <w:rPr>
          <w:snapToGrid/>
          <w:color w:val="auto"/>
          <w:sz w:val="28"/>
          <w:szCs w:val="28"/>
        </w:rPr>
      </w:pPr>
      <w:r>
        <w:rPr>
          <w:snapToGrid/>
          <w:color w:val="auto"/>
          <w:sz w:val="28"/>
          <w:szCs w:val="28"/>
        </w:rPr>
        <w:t>Сортировка строк по коду ГРБС.</w:t>
      </w:r>
    </w:p>
    <w:p w:rsidR="00D7306D" w:rsidRPr="00932110" w:rsidRDefault="00D7306D" w:rsidP="00D7306D">
      <w:pPr>
        <w:spacing w:line="360" w:lineRule="exact"/>
        <w:ind w:left="927"/>
        <w:rPr>
          <w:snapToGrid/>
          <w:color w:val="auto"/>
          <w:sz w:val="28"/>
          <w:szCs w:val="28"/>
        </w:rPr>
      </w:pPr>
      <w:r w:rsidRPr="00DF3F16">
        <w:rPr>
          <w:snapToGrid/>
          <w:color w:val="auto"/>
          <w:sz w:val="28"/>
          <w:szCs w:val="28"/>
        </w:rPr>
        <w:t>Код «000» (суммы</w:t>
      </w:r>
      <w:r>
        <w:rPr>
          <w:snapToGrid/>
          <w:color w:val="auto"/>
          <w:sz w:val="28"/>
          <w:szCs w:val="28"/>
        </w:rPr>
        <w:t xml:space="preserve"> по закрытым цепочкам КБК) выводится внизу списка.</w:t>
      </w:r>
    </w:p>
    <w:p w:rsidR="00D7306D" w:rsidRDefault="00D7306D"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нац</w:t>
      </w:r>
      <w:r>
        <w:rPr>
          <w:snapToGrid/>
          <w:color w:val="auto"/>
          <w:sz w:val="28"/>
          <w:szCs w:val="28"/>
        </w:rPr>
        <w:t>. п</w:t>
      </w:r>
      <w:r w:rsidRPr="00382E8C">
        <w:rPr>
          <w:snapToGrid/>
          <w:color w:val="auto"/>
          <w:sz w:val="28"/>
          <w:szCs w:val="28"/>
        </w:rPr>
        <w:t>роектам</w:t>
      </w:r>
      <w:r>
        <w:rPr>
          <w:snapToGrid/>
          <w:color w:val="auto"/>
          <w:sz w:val="28"/>
          <w:szCs w:val="28"/>
        </w:rPr>
        <w:t>».</w:t>
      </w:r>
    </w:p>
    <w:p w:rsidR="00D7306D" w:rsidRPr="007238A1" w:rsidRDefault="00D7306D" w:rsidP="00D7306D">
      <w:pPr>
        <w:spacing w:line="360" w:lineRule="exact"/>
        <w:ind w:left="927"/>
        <w:rPr>
          <w:snapToGrid/>
          <w:color w:val="auto"/>
          <w:sz w:val="28"/>
          <w:szCs w:val="28"/>
        </w:rPr>
      </w:pPr>
      <w:r w:rsidRPr="007238A1">
        <w:rPr>
          <w:snapToGrid/>
          <w:color w:val="auto"/>
          <w:sz w:val="28"/>
          <w:szCs w:val="28"/>
        </w:rPr>
        <w:t>Названия колонок: «Наименование показателя», «НП (ФП)».</w:t>
      </w:r>
    </w:p>
    <w:p w:rsidR="00D7306D" w:rsidRPr="007238A1" w:rsidRDefault="00D7306D" w:rsidP="00D7306D">
      <w:pPr>
        <w:spacing w:line="360" w:lineRule="exact"/>
        <w:ind w:left="927"/>
        <w:rPr>
          <w:snapToGrid/>
          <w:color w:val="auto"/>
          <w:sz w:val="28"/>
          <w:szCs w:val="28"/>
        </w:rPr>
      </w:pPr>
      <w:r w:rsidRPr="007238A1">
        <w:rPr>
          <w:snapToGrid/>
          <w:color w:val="auto"/>
          <w:sz w:val="28"/>
          <w:szCs w:val="28"/>
        </w:rPr>
        <w:t>Иерархия в строках:</w:t>
      </w:r>
    </w:p>
    <w:p w:rsidR="00D7306D" w:rsidRPr="007238A1" w:rsidRDefault="00D7306D" w:rsidP="005C6E50">
      <w:pPr>
        <w:pStyle w:val="afff6"/>
        <w:numPr>
          <w:ilvl w:val="0"/>
          <w:numId w:val="128"/>
        </w:numPr>
        <w:spacing w:line="360" w:lineRule="exact"/>
        <w:rPr>
          <w:snapToGrid/>
          <w:color w:val="auto"/>
          <w:szCs w:val="28"/>
        </w:rPr>
      </w:pPr>
      <w:r w:rsidRPr="007238A1">
        <w:rPr>
          <w:snapToGrid/>
          <w:color w:val="auto"/>
          <w:szCs w:val="28"/>
        </w:rPr>
        <w:t>Расходы вне рамок национальных проектов (1 уровень);</w:t>
      </w:r>
    </w:p>
    <w:p w:rsidR="00D7306D" w:rsidRPr="007238A1" w:rsidRDefault="00D7306D" w:rsidP="005C6E50">
      <w:pPr>
        <w:pStyle w:val="afff6"/>
        <w:numPr>
          <w:ilvl w:val="0"/>
          <w:numId w:val="128"/>
        </w:numPr>
        <w:spacing w:line="360" w:lineRule="exact"/>
        <w:rPr>
          <w:snapToGrid/>
          <w:color w:val="auto"/>
          <w:szCs w:val="28"/>
        </w:rPr>
      </w:pPr>
      <w:r w:rsidRPr="007238A1">
        <w:rPr>
          <w:snapToGrid/>
          <w:color w:val="auto"/>
          <w:szCs w:val="28"/>
        </w:rPr>
        <w:t>Наименование и код национального проекта (1 уровень);</w:t>
      </w:r>
    </w:p>
    <w:p w:rsidR="00D7306D" w:rsidRPr="007238A1" w:rsidRDefault="00D7306D" w:rsidP="005C6E50">
      <w:pPr>
        <w:pStyle w:val="afff6"/>
        <w:numPr>
          <w:ilvl w:val="0"/>
          <w:numId w:val="128"/>
        </w:numPr>
        <w:spacing w:line="360" w:lineRule="exact"/>
        <w:rPr>
          <w:snapToGrid/>
          <w:color w:val="auto"/>
          <w:szCs w:val="28"/>
        </w:rPr>
      </w:pPr>
      <w:r w:rsidRPr="007238A1">
        <w:rPr>
          <w:snapToGrid/>
          <w:color w:val="auto"/>
          <w:szCs w:val="28"/>
        </w:rPr>
        <w:t>Наименование и код федерального проекта (2 уровень).</w:t>
      </w:r>
    </w:p>
    <w:p w:rsidR="00D7306D" w:rsidRPr="007238A1" w:rsidRDefault="00D7306D" w:rsidP="005C6E50">
      <w:pPr>
        <w:numPr>
          <w:ilvl w:val="0"/>
          <w:numId w:val="127"/>
        </w:numPr>
        <w:spacing w:line="360" w:lineRule="exact"/>
        <w:rPr>
          <w:snapToGrid/>
          <w:color w:val="auto"/>
          <w:sz w:val="28"/>
          <w:szCs w:val="28"/>
        </w:rPr>
      </w:pPr>
      <w:r w:rsidRPr="007238A1">
        <w:rPr>
          <w:snapToGrid/>
          <w:color w:val="auto"/>
          <w:sz w:val="28"/>
          <w:szCs w:val="28"/>
        </w:rPr>
        <w:t>Представление «По разделам расходов».</w:t>
      </w:r>
    </w:p>
    <w:p w:rsidR="00D7306D" w:rsidRDefault="00D7306D" w:rsidP="00D7306D">
      <w:pPr>
        <w:spacing w:line="360" w:lineRule="exact"/>
        <w:ind w:left="927"/>
        <w:rPr>
          <w:snapToGrid/>
          <w:color w:val="auto"/>
          <w:sz w:val="28"/>
          <w:szCs w:val="28"/>
        </w:rPr>
      </w:pPr>
      <w:r>
        <w:rPr>
          <w:snapToGrid/>
          <w:color w:val="auto"/>
          <w:sz w:val="28"/>
          <w:szCs w:val="28"/>
        </w:rPr>
        <w:t>Названия колонок: «Наименование показателя», «Код».</w:t>
      </w:r>
    </w:p>
    <w:p w:rsidR="00D7306D" w:rsidRPr="0011639A" w:rsidRDefault="00D7306D" w:rsidP="00D7306D">
      <w:pPr>
        <w:spacing w:line="360" w:lineRule="exact"/>
        <w:ind w:left="927"/>
        <w:rPr>
          <w:snapToGrid/>
          <w:color w:val="auto"/>
          <w:sz w:val="28"/>
          <w:szCs w:val="28"/>
        </w:rPr>
      </w:pPr>
      <w:r w:rsidRPr="0011639A">
        <w:rPr>
          <w:snapToGrid/>
          <w:color w:val="auto"/>
          <w:sz w:val="28"/>
          <w:szCs w:val="28"/>
        </w:rPr>
        <w:t>Иерархия в строках:</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и код раздела расходов (1 уровень);</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и код подраздела расходов (2 уровень);</w:t>
      </w:r>
    </w:p>
    <w:p w:rsidR="00D7306D" w:rsidRPr="00743B68" w:rsidRDefault="00D7306D" w:rsidP="00D7306D">
      <w:pPr>
        <w:spacing w:line="360" w:lineRule="exact"/>
        <w:ind w:left="927"/>
        <w:rPr>
          <w:snapToGrid/>
          <w:color w:val="auto"/>
          <w:sz w:val="28"/>
          <w:szCs w:val="28"/>
        </w:rPr>
      </w:pPr>
      <w:r w:rsidRPr="00743B68">
        <w:rPr>
          <w:snapToGrid/>
          <w:color w:val="auto"/>
          <w:sz w:val="28"/>
          <w:szCs w:val="28"/>
        </w:rPr>
        <w:t>Сортировка по коду разделов расходов.</w:t>
      </w:r>
    </w:p>
    <w:p w:rsidR="00D7306D" w:rsidRPr="0011639A" w:rsidRDefault="00D7306D" w:rsidP="00D7306D">
      <w:pPr>
        <w:spacing w:line="360" w:lineRule="exact"/>
        <w:ind w:left="927"/>
        <w:rPr>
          <w:snapToGrid/>
          <w:color w:val="auto"/>
          <w:sz w:val="28"/>
          <w:szCs w:val="28"/>
        </w:rPr>
      </w:pPr>
      <w:r w:rsidRPr="00743B68">
        <w:rPr>
          <w:snapToGrid/>
          <w:color w:val="auto"/>
          <w:sz w:val="28"/>
          <w:szCs w:val="28"/>
        </w:rPr>
        <w:t>Код «0000» (суммы по закрытым цепочкам КБК) выводится внизу списка.</w:t>
      </w:r>
    </w:p>
    <w:p w:rsidR="00D7306D" w:rsidRDefault="00D7306D"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видам расходов</w:t>
      </w:r>
      <w:r>
        <w:rPr>
          <w:snapToGrid/>
          <w:color w:val="auto"/>
          <w:sz w:val="28"/>
          <w:szCs w:val="28"/>
        </w:rPr>
        <w:t>»:</w:t>
      </w:r>
    </w:p>
    <w:p w:rsidR="00D7306D" w:rsidRDefault="00D7306D" w:rsidP="00D7306D">
      <w:pPr>
        <w:spacing w:line="360" w:lineRule="exact"/>
        <w:ind w:left="927"/>
        <w:rPr>
          <w:snapToGrid/>
          <w:color w:val="auto"/>
          <w:sz w:val="28"/>
          <w:szCs w:val="28"/>
        </w:rPr>
      </w:pPr>
      <w:r>
        <w:rPr>
          <w:snapToGrid/>
          <w:color w:val="auto"/>
          <w:sz w:val="28"/>
          <w:szCs w:val="28"/>
        </w:rPr>
        <w:t>Названия колонок: «Наименование показателя», «Код».</w:t>
      </w:r>
    </w:p>
    <w:p w:rsidR="00D7306D" w:rsidRPr="0011639A" w:rsidRDefault="00D7306D" w:rsidP="00D7306D">
      <w:pPr>
        <w:spacing w:line="360" w:lineRule="exact"/>
        <w:ind w:left="927"/>
        <w:rPr>
          <w:snapToGrid/>
          <w:color w:val="auto"/>
          <w:sz w:val="28"/>
          <w:szCs w:val="28"/>
        </w:rPr>
      </w:pPr>
      <w:r w:rsidRPr="0011639A">
        <w:rPr>
          <w:snapToGrid/>
          <w:color w:val="auto"/>
          <w:sz w:val="28"/>
          <w:szCs w:val="28"/>
        </w:rPr>
        <w:t>Иерархия в строках:</w:t>
      </w:r>
    </w:p>
    <w:p w:rsidR="00D7306D" w:rsidRDefault="00D7306D" w:rsidP="005C6E50">
      <w:pPr>
        <w:pStyle w:val="afff6"/>
        <w:numPr>
          <w:ilvl w:val="0"/>
          <w:numId w:val="128"/>
        </w:numPr>
        <w:spacing w:line="360" w:lineRule="exact"/>
        <w:rPr>
          <w:snapToGrid/>
          <w:color w:val="auto"/>
          <w:szCs w:val="28"/>
        </w:rPr>
      </w:pPr>
      <w:r>
        <w:rPr>
          <w:snapToGrid/>
          <w:color w:val="auto"/>
          <w:szCs w:val="28"/>
        </w:rPr>
        <w:t xml:space="preserve">Наименование и </w:t>
      </w:r>
      <w:r w:rsidRPr="00743B68">
        <w:rPr>
          <w:snapToGrid/>
          <w:color w:val="auto"/>
          <w:szCs w:val="28"/>
        </w:rPr>
        <w:t>код группы видов</w:t>
      </w:r>
      <w:r>
        <w:rPr>
          <w:snapToGrid/>
          <w:color w:val="auto"/>
          <w:szCs w:val="28"/>
        </w:rPr>
        <w:t xml:space="preserve"> расходов (1 уровень);</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и код подгруппы видов расходов (2 уровень);</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и код элемента видов расходов (3 уровень);</w:t>
      </w:r>
    </w:p>
    <w:p w:rsidR="00D7306D" w:rsidRPr="0011639A" w:rsidRDefault="00D7306D" w:rsidP="00D7306D">
      <w:pPr>
        <w:spacing w:line="360" w:lineRule="exact"/>
        <w:ind w:left="927"/>
        <w:rPr>
          <w:snapToGrid/>
          <w:color w:val="auto"/>
          <w:sz w:val="28"/>
          <w:szCs w:val="28"/>
        </w:rPr>
      </w:pPr>
      <w:r w:rsidRPr="0011639A">
        <w:rPr>
          <w:snapToGrid/>
          <w:color w:val="auto"/>
          <w:sz w:val="28"/>
          <w:szCs w:val="28"/>
        </w:rPr>
        <w:t xml:space="preserve">Сортировка по коду </w:t>
      </w:r>
      <w:r>
        <w:rPr>
          <w:snapToGrid/>
          <w:color w:val="auto"/>
          <w:sz w:val="28"/>
          <w:szCs w:val="28"/>
        </w:rPr>
        <w:t>вида расходов</w:t>
      </w:r>
      <w:r w:rsidRPr="0011639A">
        <w:rPr>
          <w:snapToGrid/>
          <w:color w:val="auto"/>
          <w:sz w:val="28"/>
          <w:szCs w:val="28"/>
        </w:rPr>
        <w:t>.</w:t>
      </w:r>
    </w:p>
    <w:p w:rsidR="00D7306D" w:rsidRPr="0011639A" w:rsidRDefault="00D7306D" w:rsidP="00D7306D">
      <w:pPr>
        <w:spacing w:line="360" w:lineRule="exact"/>
        <w:ind w:left="927"/>
        <w:rPr>
          <w:snapToGrid/>
          <w:color w:val="auto"/>
          <w:sz w:val="28"/>
          <w:szCs w:val="28"/>
        </w:rPr>
      </w:pPr>
      <w:r w:rsidRPr="00743B68">
        <w:rPr>
          <w:snapToGrid/>
          <w:color w:val="auto"/>
          <w:sz w:val="28"/>
          <w:szCs w:val="28"/>
        </w:rPr>
        <w:t>Код «000» (суммы по закрытым цепочкам КБК) выводится</w:t>
      </w:r>
      <w:r w:rsidRPr="0011639A">
        <w:rPr>
          <w:snapToGrid/>
          <w:color w:val="auto"/>
          <w:sz w:val="28"/>
          <w:szCs w:val="28"/>
        </w:rPr>
        <w:t xml:space="preserve"> внизу списка.</w:t>
      </w:r>
    </w:p>
    <w:p w:rsidR="00D7306D" w:rsidRDefault="00D7306D" w:rsidP="005C6E50">
      <w:pPr>
        <w:numPr>
          <w:ilvl w:val="0"/>
          <w:numId w:val="127"/>
        </w:numPr>
        <w:spacing w:line="360" w:lineRule="exact"/>
        <w:rPr>
          <w:snapToGrid/>
          <w:color w:val="auto"/>
          <w:sz w:val="28"/>
          <w:szCs w:val="28"/>
        </w:rPr>
      </w:pPr>
      <w:r>
        <w:rPr>
          <w:snapToGrid/>
          <w:color w:val="auto"/>
          <w:sz w:val="28"/>
          <w:szCs w:val="28"/>
        </w:rPr>
        <w:t>Представление «</w:t>
      </w:r>
      <w:r w:rsidRPr="00382E8C">
        <w:rPr>
          <w:snapToGrid/>
          <w:color w:val="auto"/>
          <w:sz w:val="28"/>
          <w:szCs w:val="28"/>
        </w:rPr>
        <w:t>По КЦСР</w:t>
      </w:r>
      <w:r>
        <w:rPr>
          <w:snapToGrid/>
          <w:color w:val="auto"/>
          <w:sz w:val="28"/>
          <w:szCs w:val="28"/>
        </w:rPr>
        <w:t>».</w:t>
      </w:r>
    </w:p>
    <w:p w:rsidR="00D7306D" w:rsidRDefault="00D7306D" w:rsidP="00D7306D">
      <w:pPr>
        <w:spacing w:line="360" w:lineRule="exact"/>
        <w:ind w:left="927"/>
        <w:rPr>
          <w:snapToGrid/>
          <w:color w:val="auto"/>
          <w:sz w:val="28"/>
          <w:szCs w:val="28"/>
        </w:rPr>
      </w:pPr>
      <w:r>
        <w:rPr>
          <w:snapToGrid/>
          <w:color w:val="auto"/>
          <w:sz w:val="28"/>
          <w:szCs w:val="28"/>
        </w:rPr>
        <w:t>Названия колонок: «Наименование показателя», «КЦСР».</w:t>
      </w:r>
    </w:p>
    <w:p w:rsidR="00D7306D" w:rsidRPr="00743B68" w:rsidRDefault="00D7306D" w:rsidP="00D7306D">
      <w:pPr>
        <w:pStyle w:val="afff6"/>
        <w:spacing w:line="360" w:lineRule="exact"/>
        <w:ind w:left="927"/>
        <w:rPr>
          <w:snapToGrid/>
          <w:color w:val="auto"/>
          <w:szCs w:val="28"/>
        </w:rPr>
      </w:pPr>
      <w:r w:rsidRPr="00743B68">
        <w:rPr>
          <w:snapToGrid/>
          <w:color w:val="auto"/>
          <w:szCs w:val="28"/>
        </w:rPr>
        <w:t>Наименование и код целевой статьи.</w:t>
      </w:r>
    </w:p>
    <w:p w:rsidR="00D7306D" w:rsidRPr="00743B68" w:rsidRDefault="00D7306D" w:rsidP="00D7306D">
      <w:pPr>
        <w:pStyle w:val="afff6"/>
        <w:spacing w:line="360" w:lineRule="exact"/>
        <w:ind w:left="927"/>
        <w:rPr>
          <w:snapToGrid/>
          <w:color w:val="auto"/>
          <w:szCs w:val="28"/>
        </w:rPr>
      </w:pPr>
      <w:r w:rsidRPr="00743B68">
        <w:rPr>
          <w:snapToGrid/>
          <w:color w:val="auto"/>
          <w:szCs w:val="28"/>
        </w:rPr>
        <w:t>Сортировка по коду целевой статьи.</w:t>
      </w:r>
    </w:p>
    <w:p w:rsidR="00D7306D" w:rsidRPr="00165A73" w:rsidRDefault="00D7306D" w:rsidP="00D7306D">
      <w:pPr>
        <w:pStyle w:val="afff6"/>
        <w:spacing w:line="360" w:lineRule="exact"/>
        <w:ind w:left="927"/>
        <w:rPr>
          <w:snapToGrid/>
          <w:color w:val="auto"/>
          <w:szCs w:val="28"/>
        </w:rPr>
      </w:pPr>
      <w:r w:rsidRPr="00743B68">
        <w:rPr>
          <w:snapToGrid/>
          <w:color w:val="auto"/>
          <w:szCs w:val="28"/>
        </w:rPr>
        <w:t>Код «00000 00000» (суммы по</w:t>
      </w:r>
      <w:r w:rsidRPr="00165A73">
        <w:rPr>
          <w:snapToGrid/>
          <w:color w:val="auto"/>
          <w:szCs w:val="28"/>
        </w:rPr>
        <w:t xml:space="preserve"> закрытым цепочкам КБК) выводится внизу списка.</w:t>
      </w:r>
    </w:p>
    <w:p w:rsidR="00D7306D" w:rsidRDefault="00D7306D" w:rsidP="005C6E50">
      <w:pPr>
        <w:numPr>
          <w:ilvl w:val="0"/>
          <w:numId w:val="127"/>
        </w:numPr>
        <w:spacing w:line="360" w:lineRule="exact"/>
        <w:rPr>
          <w:snapToGrid/>
          <w:color w:val="auto"/>
          <w:sz w:val="28"/>
          <w:szCs w:val="28"/>
        </w:rPr>
      </w:pPr>
      <w:r>
        <w:rPr>
          <w:snapToGrid/>
          <w:color w:val="auto"/>
          <w:sz w:val="28"/>
          <w:szCs w:val="28"/>
        </w:rPr>
        <w:t>«</w:t>
      </w:r>
      <w:r w:rsidRPr="00382E8C">
        <w:rPr>
          <w:snapToGrid/>
          <w:color w:val="auto"/>
          <w:sz w:val="28"/>
          <w:szCs w:val="28"/>
        </w:rPr>
        <w:t>По КБК</w:t>
      </w:r>
      <w:r>
        <w:rPr>
          <w:snapToGrid/>
          <w:color w:val="auto"/>
          <w:sz w:val="28"/>
          <w:szCs w:val="28"/>
        </w:rPr>
        <w:t>»:</w:t>
      </w:r>
    </w:p>
    <w:p w:rsidR="00D7306D" w:rsidRDefault="00D7306D" w:rsidP="00D7306D">
      <w:pPr>
        <w:spacing w:line="360" w:lineRule="exact"/>
        <w:ind w:left="927"/>
        <w:rPr>
          <w:snapToGrid/>
          <w:color w:val="auto"/>
          <w:sz w:val="28"/>
          <w:szCs w:val="28"/>
        </w:rPr>
      </w:pPr>
      <w:r>
        <w:rPr>
          <w:snapToGrid/>
          <w:color w:val="auto"/>
          <w:sz w:val="28"/>
          <w:szCs w:val="28"/>
        </w:rPr>
        <w:t>Названия колонок:</w:t>
      </w:r>
    </w:p>
    <w:p w:rsidR="00D7306D" w:rsidRDefault="00D7306D" w:rsidP="005C6E50">
      <w:pPr>
        <w:pStyle w:val="afff6"/>
        <w:numPr>
          <w:ilvl w:val="0"/>
          <w:numId w:val="128"/>
        </w:numPr>
        <w:spacing w:line="360" w:lineRule="exact"/>
        <w:rPr>
          <w:snapToGrid/>
          <w:color w:val="auto"/>
          <w:szCs w:val="28"/>
        </w:rPr>
      </w:pPr>
      <w:r>
        <w:rPr>
          <w:snapToGrid/>
          <w:color w:val="auto"/>
          <w:szCs w:val="28"/>
        </w:rPr>
        <w:t>«ГРБС» - код ГРБС;</w:t>
      </w:r>
    </w:p>
    <w:p w:rsidR="00D7306D" w:rsidRPr="00382E8C" w:rsidRDefault="00D7306D" w:rsidP="005C6E50">
      <w:pPr>
        <w:pStyle w:val="afff6"/>
        <w:numPr>
          <w:ilvl w:val="0"/>
          <w:numId w:val="128"/>
        </w:numPr>
        <w:spacing w:line="360" w:lineRule="exact"/>
        <w:rPr>
          <w:snapToGrid/>
          <w:color w:val="auto"/>
          <w:szCs w:val="28"/>
        </w:rPr>
      </w:pPr>
      <w:r>
        <w:rPr>
          <w:snapToGrid/>
          <w:color w:val="auto"/>
          <w:szCs w:val="28"/>
        </w:rPr>
        <w:t>«Наименование ГРБС» (по умолчанию колонка</w:t>
      </w:r>
      <w:r w:rsidRPr="00165A73">
        <w:rPr>
          <w:snapToGrid/>
          <w:color w:val="auto"/>
          <w:szCs w:val="28"/>
        </w:rPr>
        <w:t xml:space="preserve"> </w:t>
      </w:r>
      <w:r>
        <w:rPr>
          <w:snapToGrid/>
          <w:color w:val="auto"/>
          <w:szCs w:val="28"/>
        </w:rPr>
        <w:t>схлопнута);</w:t>
      </w:r>
    </w:p>
    <w:p w:rsidR="00D7306D" w:rsidRDefault="00D7306D" w:rsidP="005C6E50">
      <w:pPr>
        <w:pStyle w:val="afff6"/>
        <w:numPr>
          <w:ilvl w:val="0"/>
          <w:numId w:val="128"/>
        </w:numPr>
        <w:spacing w:line="360" w:lineRule="exact"/>
        <w:rPr>
          <w:snapToGrid/>
          <w:color w:val="auto"/>
          <w:szCs w:val="28"/>
        </w:rPr>
      </w:pPr>
      <w:r>
        <w:rPr>
          <w:snapToGrid/>
          <w:color w:val="auto"/>
          <w:szCs w:val="28"/>
        </w:rPr>
        <w:t>«РзПр» - код РзПр;</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РзПр» (по умолчанию колонка</w:t>
      </w:r>
      <w:r w:rsidRPr="00165A73">
        <w:rPr>
          <w:snapToGrid/>
          <w:color w:val="auto"/>
          <w:szCs w:val="28"/>
        </w:rPr>
        <w:t xml:space="preserve"> </w:t>
      </w:r>
      <w:r>
        <w:rPr>
          <w:snapToGrid/>
          <w:color w:val="auto"/>
          <w:szCs w:val="28"/>
        </w:rPr>
        <w:t>схлопнута);</w:t>
      </w:r>
    </w:p>
    <w:p w:rsidR="00D7306D" w:rsidRDefault="00D7306D" w:rsidP="005C6E50">
      <w:pPr>
        <w:pStyle w:val="afff6"/>
        <w:numPr>
          <w:ilvl w:val="0"/>
          <w:numId w:val="128"/>
        </w:numPr>
        <w:spacing w:line="360" w:lineRule="exact"/>
        <w:rPr>
          <w:snapToGrid/>
          <w:color w:val="auto"/>
          <w:szCs w:val="28"/>
        </w:rPr>
      </w:pPr>
      <w:r>
        <w:rPr>
          <w:snapToGrid/>
          <w:color w:val="auto"/>
          <w:szCs w:val="28"/>
        </w:rPr>
        <w:t>«КЦСР» - код КЦСР;</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КЦСР» (по умолчанию колонка</w:t>
      </w:r>
      <w:r w:rsidRPr="00165A73">
        <w:rPr>
          <w:snapToGrid/>
          <w:color w:val="auto"/>
          <w:szCs w:val="28"/>
        </w:rPr>
        <w:t xml:space="preserve"> </w:t>
      </w:r>
      <w:r>
        <w:rPr>
          <w:snapToGrid/>
          <w:color w:val="auto"/>
          <w:szCs w:val="28"/>
        </w:rPr>
        <w:t>схлопнута);</w:t>
      </w:r>
    </w:p>
    <w:p w:rsidR="00D7306D" w:rsidRDefault="00D7306D" w:rsidP="005C6E50">
      <w:pPr>
        <w:pStyle w:val="afff6"/>
        <w:numPr>
          <w:ilvl w:val="0"/>
          <w:numId w:val="128"/>
        </w:numPr>
        <w:spacing w:line="360" w:lineRule="exact"/>
        <w:rPr>
          <w:snapToGrid/>
          <w:color w:val="auto"/>
          <w:szCs w:val="28"/>
        </w:rPr>
      </w:pPr>
      <w:r>
        <w:rPr>
          <w:snapToGrid/>
          <w:color w:val="auto"/>
          <w:szCs w:val="28"/>
        </w:rPr>
        <w:t>«КВР» - код КВР;</w:t>
      </w:r>
    </w:p>
    <w:p w:rsidR="00D7306D" w:rsidRDefault="00D7306D" w:rsidP="005C6E50">
      <w:pPr>
        <w:pStyle w:val="afff6"/>
        <w:numPr>
          <w:ilvl w:val="0"/>
          <w:numId w:val="128"/>
        </w:numPr>
        <w:spacing w:line="360" w:lineRule="exact"/>
        <w:rPr>
          <w:snapToGrid/>
          <w:color w:val="auto"/>
          <w:szCs w:val="28"/>
        </w:rPr>
      </w:pPr>
      <w:r>
        <w:rPr>
          <w:snapToGrid/>
          <w:color w:val="auto"/>
          <w:szCs w:val="28"/>
        </w:rPr>
        <w:t>«Наименование КВР» (по умолчанию колонка</w:t>
      </w:r>
      <w:r w:rsidRPr="00165A73">
        <w:rPr>
          <w:snapToGrid/>
          <w:color w:val="auto"/>
          <w:szCs w:val="28"/>
        </w:rPr>
        <w:t xml:space="preserve"> </w:t>
      </w:r>
      <w:r>
        <w:rPr>
          <w:snapToGrid/>
          <w:color w:val="auto"/>
          <w:szCs w:val="28"/>
        </w:rPr>
        <w:t>схлопнута).</w:t>
      </w:r>
    </w:p>
    <w:p w:rsidR="00D7306D" w:rsidRPr="00165A73" w:rsidRDefault="00D7306D" w:rsidP="00D7306D">
      <w:pPr>
        <w:spacing w:line="360" w:lineRule="exact"/>
        <w:ind w:left="927"/>
        <w:rPr>
          <w:snapToGrid/>
          <w:color w:val="auto"/>
          <w:sz w:val="28"/>
          <w:szCs w:val="28"/>
        </w:rPr>
      </w:pPr>
      <w:r w:rsidRPr="00165A73">
        <w:rPr>
          <w:snapToGrid/>
          <w:color w:val="auto"/>
          <w:sz w:val="28"/>
          <w:szCs w:val="28"/>
        </w:rPr>
        <w:t xml:space="preserve">Сортировка по коду </w:t>
      </w:r>
      <w:r>
        <w:rPr>
          <w:snapToGrid/>
          <w:color w:val="auto"/>
          <w:sz w:val="28"/>
          <w:szCs w:val="28"/>
        </w:rPr>
        <w:t>ГРБС, коду РзПр, коду КЦСР, коду КВР.</w:t>
      </w:r>
    </w:p>
    <w:p w:rsidR="00D7306D" w:rsidRDefault="00D7306D" w:rsidP="00D7306D">
      <w:pPr>
        <w:pStyle w:val="af0"/>
        <w:rPr>
          <w:szCs w:val="28"/>
        </w:rPr>
      </w:pPr>
      <w:r>
        <w:rPr>
          <w:szCs w:val="28"/>
        </w:rPr>
        <w:t xml:space="preserve">Описание колонок представлений представлено в таблице </w:t>
      </w:r>
      <w:r>
        <w:rPr>
          <w:szCs w:val="28"/>
        </w:rPr>
        <w:fldChar w:fldCharType="begin"/>
      </w:r>
      <w:r>
        <w:rPr>
          <w:szCs w:val="28"/>
        </w:rPr>
        <w:instrText xml:space="preserve"> REF табл15 \h </w:instrText>
      </w:r>
      <w:r>
        <w:rPr>
          <w:szCs w:val="28"/>
        </w:rPr>
      </w:r>
      <w:r>
        <w:rPr>
          <w:szCs w:val="28"/>
        </w:rPr>
        <w:fldChar w:fldCharType="separate"/>
      </w:r>
      <w:r w:rsidR="00BF0BEE">
        <w:rPr>
          <w:noProof/>
        </w:rPr>
        <w:t>31</w:t>
      </w:r>
      <w:r>
        <w:rPr>
          <w:szCs w:val="28"/>
        </w:rPr>
        <w:fldChar w:fldCharType="end"/>
      </w:r>
      <w:r>
        <w:rPr>
          <w:szCs w:val="28"/>
        </w:rPr>
        <w:t>.</w:t>
      </w:r>
    </w:p>
    <w:p w:rsidR="00D7306D" w:rsidRPr="00FB5719" w:rsidRDefault="00D7306D" w:rsidP="00286AED">
      <w:pPr>
        <w:pStyle w:val="-"/>
      </w:pPr>
      <w:bookmarkStart w:id="667" w:name="_Toc80789118"/>
      <w:bookmarkStart w:id="668" w:name="_Toc119585172"/>
      <w:r>
        <w:t xml:space="preserve">Таблица </w:t>
      </w:r>
      <w:bookmarkStart w:id="669" w:name="табл15"/>
      <w:r>
        <w:fldChar w:fldCharType="begin"/>
      </w:r>
      <w:r>
        <w:instrText xml:space="preserve"> SEQ Таблица \* ARABIC </w:instrText>
      </w:r>
      <w:r>
        <w:fldChar w:fldCharType="separate"/>
      </w:r>
      <w:r w:rsidR="00BF0BEE">
        <w:rPr>
          <w:noProof/>
        </w:rPr>
        <w:t>31</w:t>
      </w:r>
      <w:r>
        <w:fldChar w:fldCharType="end"/>
      </w:r>
      <w:bookmarkEnd w:id="669"/>
      <w:r>
        <w:t xml:space="preserve"> – Показатели отчета «Расходы федерального проекта»</w:t>
      </w:r>
      <w:bookmarkEnd w:id="667"/>
      <w:bookmarkEnd w:id="6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581"/>
        <w:gridCol w:w="2237"/>
        <w:gridCol w:w="6024"/>
      </w:tblGrid>
      <w:tr w:rsidR="00D7306D" w:rsidRPr="00725571" w:rsidTr="00D7306D">
        <w:trPr>
          <w:trHeight w:val="330"/>
          <w:tblHeader/>
        </w:trPr>
        <w:tc>
          <w:tcPr>
            <w:tcW w:w="1943" w:type="pct"/>
            <w:gridSpan w:val="3"/>
            <w:shd w:val="clear" w:color="auto" w:fill="BFBFBF" w:themeFill="background1" w:themeFillShade="BF"/>
          </w:tcPr>
          <w:p w:rsidR="00D7306D" w:rsidRPr="00932110" w:rsidRDefault="00D7306D" w:rsidP="00D7306D">
            <w:pPr>
              <w:jc w:val="center"/>
              <w:rPr>
                <w:b/>
                <w:bCs/>
                <w:snapToGrid/>
                <w:szCs w:val="24"/>
              </w:rPr>
            </w:pPr>
            <w:r w:rsidRPr="00932110">
              <w:rPr>
                <w:b/>
                <w:bCs/>
                <w:snapToGrid/>
                <w:szCs w:val="24"/>
              </w:rPr>
              <w:t>П</w:t>
            </w:r>
            <w:r w:rsidRPr="00932110">
              <w:rPr>
                <w:b/>
                <w:bCs/>
                <w:szCs w:val="24"/>
              </w:rPr>
              <w:t>оказатель</w:t>
            </w:r>
          </w:p>
        </w:tc>
        <w:tc>
          <w:tcPr>
            <w:tcW w:w="3057" w:type="pct"/>
            <w:shd w:val="clear" w:color="auto" w:fill="BFBFBF" w:themeFill="background1" w:themeFillShade="BF"/>
          </w:tcPr>
          <w:p w:rsidR="00D7306D" w:rsidRPr="00932110" w:rsidRDefault="00D7306D" w:rsidP="00D7306D">
            <w:pPr>
              <w:jc w:val="center"/>
              <w:rPr>
                <w:b/>
                <w:bCs/>
                <w:snapToGrid/>
                <w:szCs w:val="24"/>
              </w:rPr>
            </w:pPr>
            <w:r w:rsidRPr="00932110">
              <w:rPr>
                <w:b/>
                <w:bCs/>
                <w:snapToGrid/>
                <w:szCs w:val="24"/>
              </w:rPr>
              <w:t>П</w:t>
            </w:r>
            <w:r w:rsidRPr="00932110">
              <w:rPr>
                <w:b/>
                <w:bCs/>
                <w:szCs w:val="24"/>
              </w:rPr>
              <w:t>равило формирования</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Роспись</w:t>
            </w:r>
          </w:p>
        </w:tc>
        <w:tc>
          <w:tcPr>
            <w:tcW w:w="3057" w:type="pct"/>
            <w:shd w:val="clear" w:color="auto" w:fill="auto"/>
            <w:hideMark/>
          </w:tcPr>
          <w:p w:rsidR="00D7306D" w:rsidRDefault="00D7306D" w:rsidP="00D7306D">
            <w:pPr>
              <w:jc w:val="left"/>
            </w:pPr>
            <w:r>
              <w:t>Открытая часть:</w:t>
            </w:r>
          </w:p>
          <w:p w:rsidR="00D7306D" w:rsidRDefault="00D7306D" w:rsidP="00D7306D">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p w:rsidR="00D7306D" w:rsidRDefault="00D7306D" w:rsidP="00D7306D">
            <w:pPr>
              <w:jc w:val="left"/>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Default="00D7306D" w:rsidP="00D7306D">
            <w:pPr>
              <w:pStyle w:val="af0"/>
              <w:ind w:firstLine="0"/>
              <w:jc w:val="left"/>
              <w:rPr>
                <w:color w:val="auto"/>
                <w:sz w:val="24"/>
                <w:szCs w:val="24"/>
              </w:rPr>
            </w:pPr>
            <w:r w:rsidRPr="00284D1D">
              <w:rPr>
                <w:color w:val="auto"/>
                <w:sz w:val="24"/>
                <w:szCs w:val="24"/>
              </w:rPr>
              <w:t>АСФК, форма 0504072, раздел «4 Расходы КВР»</w:t>
            </w:r>
            <w:r>
              <w:rPr>
                <w:color w:val="auto"/>
                <w:sz w:val="24"/>
                <w:szCs w:val="24"/>
              </w:rPr>
              <w:t xml:space="preserve"> (с закрытой частью)</w:t>
            </w:r>
            <w:r w:rsidRPr="00284D1D">
              <w:rPr>
                <w:color w:val="auto"/>
                <w:sz w:val="24"/>
                <w:szCs w:val="24"/>
              </w:rPr>
              <w:t xml:space="preserve">, </w:t>
            </w:r>
            <w:r>
              <w:rPr>
                <w:color w:val="auto"/>
                <w:sz w:val="24"/>
                <w:szCs w:val="24"/>
              </w:rPr>
              <w:t>показатель</w:t>
            </w:r>
            <w:r w:rsidRPr="00284D1D">
              <w:rPr>
                <w:color w:val="auto"/>
                <w:sz w:val="24"/>
                <w:szCs w:val="24"/>
              </w:rPr>
              <w:t xml:space="preserve"> «Утверждено БА»</w:t>
            </w:r>
          </w:p>
          <w:p w:rsidR="00D7306D" w:rsidRDefault="00D7306D" w:rsidP="00D7306D">
            <w:pPr>
              <w:jc w:val="left"/>
              <w:rPr>
                <w:snapToGrid/>
                <w:szCs w:val="24"/>
              </w:rPr>
            </w:pPr>
            <w:r>
              <w:rPr>
                <w:snapToGrid/>
                <w:szCs w:val="24"/>
              </w:rPr>
              <w:t>МИНУС</w:t>
            </w:r>
          </w:p>
          <w:p w:rsidR="00D7306D" w:rsidRPr="00F517B4" w:rsidRDefault="00D7306D" w:rsidP="00D7306D">
            <w:pPr>
              <w:jc w:val="left"/>
            </w:pPr>
            <w:r>
              <w:t xml:space="preserve">ПБП, набор </w:t>
            </w:r>
            <w:r w:rsidRPr="00284D1D">
              <w:t>«Мониторинг исполнения федерального бюджета в части бюджетных ассигнований»</w:t>
            </w:r>
            <w:r>
              <w:t>,</w:t>
            </w:r>
            <w:r w:rsidRPr="00284D1D">
              <w:t xml:space="preserve"> </w:t>
            </w:r>
            <w:r>
              <w:t>показатель «</w:t>
            </w:r>
            <w:r w:rsidRPr="00284D1D">
              <w:t>БА текущий год (СБР на дату)</w:t>
            </w:r>
            <w:r w:rsidRPr="00F30B20">
              <w:t>»</w:t>
            </w:r>
            <w: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из них ПНО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Default="00D7306D" w:rsidP="00D7306D">
            <w:pPr>
              <w:jc w:val="left"/>
              <w:rPr>
                <w:snapToGrid/>
                <w:szCs w:val="24"/>
              </w:rPr>
            </w:pPr>
            <w:r>
              <w:rPr>
                <w:snapToGrid/>
                <w:szCs w:val="24"/>
              </w:rPr>
              <w:t>«</w:t>
            </w:r>
            <w:r w:rsidRPr="00725571">
              <w:rPr>
                <w:snapToGrid/>
                <w:szCs w:val="24"/>
              </w:rPr>
              <w:t>Роспись</w:t>
            </w:r>
            <w:r>
              <w:rPr>
                <w:snapToGrid/>
                <w:szCs w:val="24"/>
              </w:rPr>
              <w:t xml:space="preserve">» по видам расходов </w:t>
            </w:r>
            <w:r w:rsidRPr="00725571">
              <w:rPr>
                <w:snapToGrid/>
                <w:szCs w:val="24"/>
              </w:rPr>
              <w:t>312, 313, 330</w:t>
            </w:r>
            <w:r>
              <w:rPr>
                <w:snapToGrid/>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«Роспись»</w:t>
            </w:r>
            <w:r>
              <w:rPr>
                <w:color w:val="auto"/>
                <w:szCs w:val="24"/>
              </w:rPr>
              <w:t>.</w:t>
            </w:r>
          </w:p>
        </w:tc>
      </w:tr>
      <w:tr w:rsidR="00D7306D" w:rsidRPr="00725571" w:rsidTr="00D7306D">
        <w:trPr>
          <w:trHeight w:val="330"/>
        </w:trPr>
        <w:tc>
          <w:tcPr>
            <w:tcW w:w="1943" w:type="pct"/>
            <w:gridSpan w:val="3"/>
            <w:shd w:val="clear" w:color="auto" w:fill="F2F2F2" w:themeFill="background1" w:themeFillShade="F2"/>
          </w:tcPr>
          <w:p w:rsidR="00D7306D" w:rsidRPr="00725571" w:rsidRDefault="00D7306D" w:rsidP="00D7306D">
            <w:pPr>
              <w:jc w:val="left"/>
              <w:rPr>
                <w:snapToGrid/>
                <w:szCs w:val="24"/>
              </w:rPr>
            </w:pPr>
            <w:r>
              <w:rPr>
                <w:snapToGrid/>
                <w:szCs w:val="24"/>
              </w:rPr>
              <w:t>Кассовый план</w:t>
            </w:r>
          </w:p>
        </w:tc>
        <w:tc>
          <w:tcPr>
            <w:tcW w:w="3057" w:type="pct"/>
            <w:shd w:val="clear" w:color="auto" w:fill="auto"/>
          </w:tcPr>
          <w:p w:rsidR="00D7306D" w:rsidRDefault="00D7306D" w:rsidP="00D7306D">
            <w:pPr>
              <w:jc w:val="left"/>
              <w:rPr>
                <w:snapToGrid/>
                <w:szCs w:val="24"/>
              </w:rPr>
            </w:pPr>
            <w:r>
              <w:rPr>
                <w:snapToGrid/>
                <w:szCs w:val="24"/>
              </w:rPr>
              <w:t>Колонка выводится только для представления «По ГРБС».</w:t>
            </w:r>
          </w:p>
          <w:p w:rsidR="00D7306D" w:rsidRDefault="00D7306D" w:rsidP="00D7306D">
            <w:pPr>
              <w:pStyle w:val="af0"/>
              <w:ind w:firstLine="0"/>
              <w:jc w:val="left"/>
              <w:rPr>
                <w:i/>
                <w:color w:val="auto"/>
                <w:sz w:val="24"/>
                <w:szCs w:val="24"/>
              </w:rPr>
            </w:pPr>
            <w:r>
              <w:rPr>
                <w:i/>
                <w:color w:val="auto"/>
                <w:sz w:val="24"/>
                <w:szCs w:val="24"/>
              </w:rPr>
              <w:t>Открытая часть:</w:t>
            </w:r>
          </w:p>
          <w:p w:rsidR="00D7306D" w:rsidRDefault="00D7306D" w:rsidP="00D7306D">
            <w:pPr>
              <w:pStyle w:val="af0"/>
              <w:ind w:firstLine="0"/>
              <w:jc w:val="left"/>
              <w:rPr>
                <w:color w:val="auto"/>
                <w:sz w:val="24"/>
                <w:szCs w:val="24"/>
              </w:rPr>
            </w:pPr>
            <w:r w:rsidRPr="0032031B">
              <w:rPr>
                <w:color w:val="auto"/>
                <w:sz w:val="24"/>
                <w:szCs w:val="24"/>
              </w:rPr>
              <w:t>ПБП, форма 05001083, графа «Сумма на год, всего».</w:t>
            </w:r>
          </w:p>
          <w:p w:rsidR="00D7306D" w:rsidRDefault="00D7306D" w:rsidP="00D7306D">
            <w:pPr>
              <w:jc w:val="left"/>
            </w:pPr>
            <w:r>
              <w:rPr>
                <w:i/>
                <w:color w:val="auto"/>
                <w:szCs w:val="24"/>
              </w:rPr>
              <w:t xml:space="preserve">Закрытая часть </w:t>
            </w:r>
            <w:r>
              <w:t>(по КВР 000, 100, 200, 300, 400, 500, 600, 700, 800):</w:t>
            </w:r>
          </w:p>
          <w:p w:rsidR="00D7306D" w:rsidRDefault="00D7306D" w:rsidP="00D7306D">
            <w:pPr>
              <w:jc w:val="left"/>
            </w:pPr>
            <w:r>
              <w:t>Формула:</w:t>
            </w:r>
          </w:p>
          <w:p w:rsidR="00D7306D" w:rsidRPr="0032031B" w:rsidRDefault="00D7306D" w:rsidP="00D7306D">
            <w:pPr>
              <w:pStyle w:val="af0"/>
              <w:ind w:firstLine="0"/>
              <w:jc w:val="left"/>
              <w:rPr>
                <w:color w:val="auto"/>
                <w:sz w:val="24"/>
                <w:szCs w:val="24"/>
              </w:rPr>
            </w:pPr>
            <w:r w:rsidRPr="0032031B">
              <w:rPr>
                <w:color w:val="auto"/>
                <w:sz w:val="24"/>
                <w:szCs w:val="24"/>
              </w:rPr>
              <w:t>ПБП, форма 0501043, показатель «Кассовые поступления по доходам – всего», графа «Итого за год»</w:t>
            </w:r>
            <w:r>
              <w:rPr>
                <w:color w:val="auto"/>
                <w:sz w:val="24"/>
                <w:szCs w:val="24"/>
              </w:rPr>
              <w:t>.</w:t>
            </w:r>
          </w:p>
          <w:p w:rsidR="00D7306D" w:rsidRDefault="00D7306D" w:rsidP="00D7306D">
            <w:pPr>
              <w:jc w:val="left"/>
            </w:pPr>
            <w:r>
              <w:t>МИНУС</w:t>
            </w:r>
          </w:p>
          <w:p w:rsidR="00D7306D" w:rsidRDefault="00D7306D" w:rsidP="00D7306D">
            <w:pPr>
              <w:pStyle w:val="af0"/>
              <w:ind w:firstLine="0"/>
              <w:jc w:val="left"/>
              <w:rPr>
                <w:color w:val="auto"/>
                <w:sz w:val="24"/>
                <w:szCs w:val="24"/>
              </w:rPr>
            </w:pPr>
            <w:r w:rsidRPr="0032031B">
              <w:rPr>
                <w:color w:val="auto"/>
                <w:sz w:val="24"/>
                <w:szCs w:val="24"/>
              </w:rPr>
              <w:t>ПБП, форма 05001083, графа «Сумма на год, всего».</w:t>
            </w:r>
          </w:p>
          <w:p w:rsidR="00D7306D" w:rsidRDefault="00D7306D" w:rsidP="00D7306D">
            <w:pPr>
              <w:pStyle w:val="af0"/>
              <w:ind w:firstLine="0"/>
              <w:jc w:val="left"/>
              <w:rPr>
                <w:color w:val="auto"/>
                <w:sz w:val="24"/>
                <w:szCs w:val="24"/>
              </w:rPr>
            </w:pPr>
          </w:p>
          <w:p w:rsidR="00D7306D" w:rsidRDefault="00D7306D" w:rsidP="00D7306D">
            <w:pPr>
              <w:jc w:val="left"/>
              <w:rPr>
                <w:snapToGrid/>
                <w:szCs w:val="24"/>
              </w:rPr>
            </w:pPr>
            <w:r w:rsidRPr="003E229A">
              <w:rPr>
                <w:color w:val="auto"/>
                <w:szCs w:val="24"/>
              </w:rPr>
              <w:t>При отсутствии данных по формам 0501043 и 05001083 на текущий месяц в отчете используются данные за предыдущий период. При появлении актуальных сведений, их необходимо отображать с начала текущего месяца (а не с даты загрузки информации в систему).</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Доведено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Доведенные лимиты</w:t>
            </w:r>
            <w:r>
              <w:rPr>
                <w:snapToGrid/>
                <w:szCs w:val="24"/>
              </w:rPr>
              <w:t>» ПЛЮС «</w:t>
            </w:r>
            <w:r w:rsidRPr="00725571">
              <w:rPr>
                <w:snapToGrid/>
                <w:szCs w:val="24"/>
              </w:rPr>
              <w:t>Доведено БА на ПНО</w:t>
            </w:r>
            <w:r>
              <w:rPr>
                <w:snapToGrid/>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Доведенные лимиты</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«Доведенные ЛБО до ГРБС</w:t>
            </w:r>
            <w:r>
              <w:rPr>
                <w:color w:val="auto"/>
                <w:sz w:val="24"/>
                <w:szCs w:val="24"/>
              </w:rPr>
              <w:t>»</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«Доведенные ЛБО до ГРБС»</w:t>
            </w:r>
          </w:p>
          <w:p w:rsidR="00D7306D" w:rsidRDefault="00D7306D" w:rsidP="00D7306D">
            <w:pPr>
              <w:pStyle w:val="af0"/>
              <w:ind w:firstLine="0"/>
              <w:jc w:val="left"/>
              <w:rPr>
                <w:color w:val="auto"/>
                <w:sz w:val="24"/>
                <w:szCs w:val="24"/>
              </w:rPr>
            </w:pPr>
            <w:r>
              <w:rPr>
                <w:color w:val="auto"/>
                <w:sz w:val="24"/>
                <w:szCs w:val="24"/>
              </w:rPr>
              <w:t>МИНУС</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«Доведенные ЛБО до ГРБС</w:t>
            </w:r>
            <w:r>
              <w:rPr>
                <w:color w:val="auto"/>
                <w:sz w:val="24"/>
                <w:szCs w:val="24"/>
              </w:rPr>
              <w:t>».</w:t>
            </w:r>
          </w:p>
          <w:p w:rsidR="00D7306D" w:rsidRPr="00725571" w:rsidRDefault="00D7306D" w:rsidP="00D7306D">
            <w:pPr>
              <w:pStyle w:val="af0"/>
              <w:ind w:firstLine="0"/>
              <w:jc w:val="left"/>
              <w:rPr>
                <w:snapToGrid/>
                <w:sz w:val="24"/>
                <w:szCs w:val="24"/>
              </w:rPr>
            </w:pPr>
            <w:r w:rsidRPr="00BD5C4F">
              <w:rPr>
                <w:i/>
                <w:color w:val="auto"/>
                <w:sz w:val="24"/>
                <w:szCs w:val="24"/>
              </w:rPr>
              <w:t xml:space="preserve">Колонка схлопнута </w:t>
            </w:r>
            <w:r>
              <w:rPr>
                <w:i/>
                <w:color w:val="auto"/>
                <w:sz w:val="24"/>
                <w:szCs w:val="24"/>
              </w:rPr>
              <w:t>за колонкой «Доведено»</w:t>
            </w:r>
            <w:r>
              <w:rPr>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Доведено БА на ПНО</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w:t>
            </w:r>
            <w:r>
              <w:rPr>
                <w:color w:val="auto"/>
                <w:sz w:val="24"/>
                <w:szCs w:val="24"/>
              </w:rPr>
              <w:t xml:space="preserve"> «</w:t>
            </w:r>
            <w:r w:rsidRPr="003B5160">
              <w:rPr>
                <w:color w:val="auto"/>
                <w:sz w:val="24"/>
                <w:szCs w:val="24"/>
              </w:rPr>
              <w:t>Бюджетные ассигнования на исполнение ПНО, доведено ФК</w:t>
            </w:r>
            <w:r>
              <w:rPr>
                <w:color w:val="auto"/>
                <w:sz w:val="24"/>
                <w:szCs w:val="24"/>
              </w:rPr>
              <w:t>»</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Pr="003B5160"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w:t>
            </w:r>
            <w:r>
              <w:rPr>
                <w:color w:val="auto"/>
                <w:sz w:val="24"/>
                <w:szCs w:val="24"/>
              </w:rPr>
              <w:t>«</w:t>
            </w:r>
            <w:r w:rsidRPr="003B5160">
              <w:rPr>
                <w:color w:val="auto"/>
                <w:sz w:val="24"/>
                <w:szCs w:val="24"/>
              </w:rPr>
              <w:t>Бюджетные ассигнования на исполнение ПНО, доведено ФК</w:t>
            </w:r>
            <w:r>
              <w:rPr>
                <w:color w:val="auto"/>
                <w:sz w:val="24"/>
                <w:szCs w:val="24"/>
              </w:rPr>
              <w:t>»</w:t>
            </w:r>
            <w:r w:rsidRPr="003B5160">
              <w:rPr>
                <w:color w:val="auto"/>
                <w:sz w:val="24"/>
                <w:szCs w:val="24"/>
              </w:rPr>
              <w:t>.</w:t>
            </w:r>
          </w:p>
          <w:p w:rsidR="00D7306D" w:rsidRDefault="00D7306D" w:rsidP="00D7306D">
            <w:pPr>
              <w:jc w:val="left"/>
              <w:rPr>
                <w:snapToGrid/>
                <w:szCs w:val="24"/>
              </w:rPr>
            </w:pPr>
            <w:r>
              <w:rPr>
                <w:snapToGrid/>
                <w:szCs w:val="24"/>
              </w:rPr>
              <w:t xml:space="preserve">МИНУС </w:t>
            </w:r>
          </w:p>
          <w:p w:rsidR="00D7306D" w:rsidRDefault="00D7306D" w:rsidP="00D7306D">
            <w:pPr>
              <w:jc w:val="left"/>
              <w:rPr>
                <w:color w:val="auto"/>
                <w:szCs w:val="24"/>
              </w:rPr>
            </w:pPr>
            <w:r>
              <w:rPr>
                <w:color w:val="auto"/>
                <w:szCs w:val="24"/>
              </w:rPr>
              <w:t>АСФК, форма 0504072, раздел</w:t>
            </w:r>
            <w:r w:rsidRPr="003B5160">
              <w:rPr>
                <w:color w:val="auto"/>
                <w:szCs w:val="24"/>
              </w:rPr>
              <w:t xml:space="preserve"> «</w:t>
            </w:r>
            <w:r>
              <w:rPr>
                <w:color w:val="auto"/>
                <w:szCs w:val="24"/>
              </w:rPr>
              <w:t xml:space="preserve">Расходы </w:t>
            </w:r>
            <w:r w:rsidRPr="0032031B">
              <w:rPr>
                <w:color w:val="auto"/>
                <w:szCs w:val="24"/>
              </w:rPr>
              <w:t>бюджета</w:t>
            </w:r>
            <w:r>
              <w:rPr>
                <w:color w:val="auto"/>
                <w:szCs w:val="24"/>
              </w:rPr>
              <w:t>» (открытая часть)</w:t>
            </w:r>
            <w:r w:rsidRPr="003B5160">
              <w:rPr>
                <w:color w:val="auto"/>
                <w:szCs w:val="24"/>
              </w:rPr>
              <w:t>, показатель</w:t>
            </w:r>
            <w:r>
              <w:rPr>
                <w:color w:val="auto"/>
                <w:szCs w:val="24"/>
              </w:rPr>
              <w:t xml:space="preserve"> «</w:t>
            </w:r>
            <w:r w:rsidRPr="003B5160">
              <w:rPr>
                <w:color w:val="auto"/>
                <w:szCs w:val="24"/>
              </w:rPr>
              <w:t>Бюджетные ассигнования на исполнение ПНО, доведено ФК</w:t>
            </w:r>
            <w:r>
              <w:rPr>
                <w:color w:val="auto"/>
                <w:szCs w:val="24"/>
              </w:rPr>
              <w:t>»</w:t>
            </w:r>
            <w:r w:rsidRPr="003B5160">
              <w:rPr>
                <w:color w:val="auto"/>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«Доведено»</w:t>
            </w:r>
            <w:r>
              <w:rPr>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доведения от росписи</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Доведено</w:t>
            </w:r>
            <w:r>
              <w:rPr>
                <w:snapToGrid/>
                <w:szCs w:val="24"/>
              </w:rPr>
              <w:t>»</w:t>
            </w:r>
            <w:r w:rsidRPr="00725571">
              <w:rPr>
                <w:snapToGrid/>
                <w:szCs w:val="24"/>
              </w:rPr>
              <w:t xml:space="preserve"> </w:t>
            </w:r>
            <w:r>
              <w:rPr>
                <w:snapToGrid/>
                <w:szCs w:val="24"/>
              </w:rPr>
              <w:t>РАЗДЕЛИТЬ</w:t>
            </w:r>
            <w:r w:rsidRPr="00725571">
              <w:rPr>
                <w:snapToGrid/>
                <w:szCs w:val="24"/>
              </w:rPr>
              <w:t xml:space="preserve"> </w:t>
            </w:r>
            <w:r>
              <w:rPr>
                <w:snapToGrid/>
                <w:szCs w:val="24"/>
              </w:rPr>
              <w:t>«</w:t>
            </w:r>
            <w:r w:rsidRPr="00725571">
              <w:rPr>
                <w:snapToGrid/>
                <w:szCs w:val="24"/>
              </w:rPr>
              <w:t>Роспись</w:t>
            </w:r>
            <w:r>
              <w:rPr>
                <w:snapToGrid/>
                <w:szCs w:val="24"/>
              </w:rPr>
              <w:t>»</w:t>
            </w:r>
            <w:r w:rsidRPr="00725571">
              <w:rPr>
                <w:snapToGrid/>
                <w:szCs w:val="24"/>
              </w:rPr>
              <w:t xml:space="preserve"> *100%</w:t>
            </w:r>
          </w:p>
        </w:tc>
      </w:tr>
      <w:tr w:rsidR="00D7306D" w:rsidRPr="00725571" w:rsidTr="00D7306D">
        <w:trPr>
          <w:trHeight w:val="408"/>
        </w:trPr>
        <w:tc>
          <w:tcPr>
            <w:tcW w:w="1943" w:type="pct"/>
            <w:gridSpan w:val="3"/>
            <w:shd w:val="clear" w:color="auto" w:fill="auto"/>
            <w:hideMark/>
          </w:tcPr>
          <w:p w:rsidR="00D7306D" w:rsidRPr="00743B68" w:rsidRDefault="00D7306D" w:rsidP="00D7306D">
            <w:pPr>
              <w:jc w:val="left"/>
              <w:rPr>
                <w:snapToGrid/>
                <w:szCs w:val="24"/>
              </w:rPr>
            </w:pPr>
            <w:r w:rsidRPr="00743B68">
              <w:rPr>
                <w:snapToGrid/>
                <w:szCs w:val="24"/>
              </w:rPr>
              <w:t>Контрольная точка</w:t>
            </w:r>
          </w:p>
        </w:tc>
        <w:tc>
          <w:tcPr>
            <w:tcW w:w="3057" w:type="pct"/>
            <w:shd w:val="clear" w:color="auto" w:fill="auto"/>
            <w:hideMark/>
          </w:tcPr>
          <w:p w:rsidR="00D7306D" w:rsidRDefault="00D7306D" w:rsidP="00D7306D">
            <w:pPr>
              <w:jc w:val="left"/>
              <w:rPr>
                <w:snapToGrid/>
                <w:szCs w:val="24"/>
              </w:rPr>
            </w:pPr>
            <w:r w:rsidRPr="00725571">
              <w:rPr>
                <w:snapToGrid/>
                <w:szCs w:val="24"/>
              </w:rPr>
              <w:t xml:space="preserve">Контрольная точка в соответствии с типовым графиком в формате: </w:t>
            </w:r>
            <w:r>
              <w:rPr>
                <w:snapToGrid/>
                <w:szCs w:val="24"/>
              </w:rPr>
              <w:t>«</w:t>
            </w:r>
            <w:r w:rsidRPr="00725571">
              <w:rPr>
                <w:snapToGrid/>
                <w:szCs w:val="24"/>
              </w:rPr>
              <w:t>100% на 01.01.2021</w:t>
            </w:r>
            <w:r>
              <w:rPr>
                <w:snapToGrid/>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w:t>
            </w:r>
            <w:r w:rsidRPr="00725571">
              <w:rPr>
                <w:snapToGrid/>
                <w:szCs w:val="24"/>
              </w:rPr>
              <w:t>% доведения от росписи</w:t>
            </w:r>
            <w:r>
              <w:rPr>
                <w:i/>
                <w:color w:val="auto"/>
                <w:szCs w:val="24"/>
              </w:rPr>
              <w:t>»</w:t>
            </w:r>
            <w:r>
              <w:rPr>
                <w:color w:val="auto"/>
                <w:szCs w:val="24"/>
              </w:rPr>
              <w:t>.</w:t>
            </w:r>
          </w:p>
        </w:tc>
      </w:tr>
      <w:tr w:rsidR="00D7306D" w:rsidRPr="00725571" w:rsidTr="00D7306D">
        <w:trPr>
          <w:trHeight w:val="330"/>
        </w:trPr>
        <w:tc>
          <w:tcPr>
            <w:tcW w:w="1943" w:type="pct"/>
            <w:gridSpan w:val="3"/>
            <w:shd w:val="clear" w:color="auto" w:fill="auto"/>
            <w:hideMark/>
          </w:tcPr>
          <w:p w:rsidR="00D7306D" w:rsidRPr="00743B68" w:rsidRDefault="00D7306D" w:rsidP="00D7306D">
            <w:pPr>
              <w:jc w:val="left"/>
              <w:rPr>
                <w:snapToGrid/>
                <w:szCs w:val="24"/>
              </w:rPr>
            </w:pPr>
            <w:r w:rsidRPr="00743B68">
              <w:rPr>
                <w:snapToGrid/>
                <w:szCs w:val="24"/>
              </w:rPr>
              <w:t>Не доведено (от росписи)</w:t>
            </w:r>
          </w:p>
        </w:tc>
        <w:tc>
          <w:tcPr>
            <w:tcW w:w="3057" w:type="pct"/>
            <w:shd w:val="clear" w:color="auto" w:fill="auto"/>
            <w:hideMark/>
          </w:tcPr>
          <w:p w:rsidR="00D7306D" w:rsidRDefault="00D7306D" w:rsidP="00D7306D">
            <w:pPr>
              <w:jc w:val="left"/>
              <w:rPr>
                <w:snapToGrid/>
                <w:szCs w:val="24"/>
              </w:rPr>
            </w:pPr>
            <w:r>
              <w:rPr>
                <w:snapToGrid/>
                <w:szCs w:val="24"/>
              </w:rPr>
              <w:t xml:space="preserve">Формула: </w:t>
            </w:r>
          </w:p>
          <w:p w:rsidR="00D7306D" w:rsidRDefault="00D7306D" w:rsidP="00D7306D">
            <w:pPr>
              <w:jc w:val="left"/>
              <w:rPr>
                <w:snapToGrid/>
                <w:szCs w:val="24"/>
              </w:rPr>
            </w:pPr>
            <w:r>
              <w:rPr>
                <w:snapToGrid/>
                <w:szCs w:val="24"/>
              </w:rPr>
              <w:t>«</w:t>
            </w:r>
            <w:r w:rsidRPr="00725571">
              <w:rPr>
                <w:snapToGrid/>
                <w:szCs w:val="24"/>
              </w:rPr>
              <w:t>Роспись</w:t>
            </w:r>
            <w:r>
              <w:rPr>
                <w:snapToGrid/>
                <w:szCs w:val="24"/>
              </w:rPr>
              <w:t>»</w:t>
            </w:r>
            <w:r w:rsidRPr="00725571">
              <w:rPr>
                <w:snapToGrid/>
                <w:szCs w:val="24"/>
              </w:rPr>
              <w:t xml:space="preserve"> </w:t>
            </w:r>
            <w:r>
              <w:rPr>
                <w:snapToGrid/>
                <w:szCs w:val="24"/>
              </w:rPr>
              <w:t>МИНУС</w:t>
            </w:r>
            <w:r w:rsidRPr="00725571">
              <w:rPr>
                <w:snapToGrid/>
                <w:szCs w:val="24"/>
              </w:rPr>
              <w:t xml:space="preserve"> </w:t>
            </w:r>
            <w:r>
              <w:rPr>
                <w:snapToGrid/>
                <w:szCs w:val="24"/>
              </w:rPr>
              <w:t>«</w:t>
            </w:r>
            <w:r w:rsidRPr="00725571">
              <w:rPr>
                <w:snapToGrid/>
                <w:szCs w:val="24"/>
              </w:rPr>
              <w:t>Доведено</w:t>
            </w:r>
            <w:r>
              <w:rPr>
                <w:snapToGrid/>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w:t>
            </w:r>
            <w:r w:rsidRPr="00725571">
              <w:rPr>
                <w:snapToGrid/>
                <w:szCs w:val="24"/>
              </w:rPr>
              <w:t>% доведения от росписи</w:t>
            </w:r>
            <w:r>
              <w:rPr>
                <w:i/>
                <w:color w:val="auto"/>
                <w:szCs w:val="24"/>
              </w:rPr>
              <w:t>»</w:t>
            </w:r>
            <w:r>
              <w:rPr>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В резерве</w:t>
            </w:r>
          </w:p>
        </w:tc>
        <w:tc>
          <w:tcPr>
            <w:tcW w:w="3057" w:type="pct"/>
            <w:shd w:val="clear" w:color="auto" w:fill="auto"/>
            <w:hideMark/>
          </w:tcPr>
          <w:p w:rsidR="00D7306D" w:rsidRPr="00725571" w:rsidRDefault="00D7306D" w:rsidP="00D7306D">
            <w:pPr>
              <w:jc w:val="left"/>
              <w:rPr>
                <w:snapToGrid/>
                <w:szCs w:val="24"/>
              </w:rPr>
            </w:pPr>
            <w:r w:rsidRPr="00106DD7">
              <w:rPr>
                <w:color w:val="auto"/>
                <w:szCs w:val="24"/>
              </w:rPr>
              <w:t>ПБП, набор «Мониторинг исполнения федерального бюджета в части бюджетных ассигнований», показатель «zlbo_fk».</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Заблокированные лимиты</w:t>
            </w:r>
          </w:p>
        </w:tc>
        <w:tc>
          <w:tcPr>
            <w:tcW w:w="3057" w:type="pct"/>
            <w:shd w:val="clear" w:color="auto" w:fill="auto"/>
            <w:hideMark/>
          </w:tcPr>
          <w:p w:rsidR="00D7306D" w:rsidRPr="007A1347" w:rsidRDefault="00D7306D" w:rsidP="00D7306D">
            <w:pPr>
              <w:pStyle w:val="af0"/>
              <w:ind w:firstLine="0"/>
              <w:jc w:val="left"/>
              <w:rPr>
                <w:color w:val="auto"/>
                <w:sz w:val="24"/>
                <w:szCs w:val="24"/>
              </w:rPr>
            </w:pPr>
            <w:r w:rsidRPr="007A1347">
              <w:rPr>
                <w:color w:val="auto"/>
                <w:sz w:val="24"/>
                <w:szCs w:val="24"/>
              </w:rPr>
              <w:t>Формула:</w:t>
            </w:r>
          </w:p>
          <w:p w:rsidR="00D7306D" w:rsidRDefault="00D7306D" w:rsidP="00D7306D">
            <w:pPr>
              <w:pStyle w:val="af0"/>
              <w:ind w:firstLine="0"/>
              <w:jc w:val="left"/>
              <w:rPr>
                <w:color w:val="auto"/>
                <w:sz w:val="24"/>
                <w:szCs w:val="24"/>
              </w:rPr>
            </w:pPr>
            <w:r w:rsidRPr="007A1347">
              <w:rPr>
                <w:color w:val="auto"/>
                <w:sz w:val="24"/>
                <w:szCs w:val="24"/>
              </w:rPr>
              <w:t>«</w:t>
            </w:r>
            <w:r w:rsidRPr="00725571">
              <w:rPr>
                <w:snapToGrid/>
                <w:sz w:val="24"/>
                <w:szCs w:val="24"/>
              </w:rPr>
              <w:t>до заключения Минцифры</w:t>
            </w:r>
            <w:r w:rsidRPr="007A1347">
              <w:rPr>
                <w:color w:val="auto"/>
                <w:sz w:val="24"/>
                <w:szCs w:val="24"/>
              </w:rPr>
              <w:t xml:space="preserve">» ПЛЮС </w:t>
            </w:r>
          </w:p>
          <w:p w:rsidR="00D7306D" w:rsidRDefault="00D7306D" w:rsidP="00D7306D">
            <w:pPr>
              <w:pStyle w:val="af0"/>
              <w:ind w:firstLine="0"/>
              <w:jc w:val="left"/>
              <w:rPr>
                <w:snapToGrid/>
                <w:sz w:val="24"/>
                <w:szCs w:val="24"/>
              </w:rPr>
            </w:pPr>
            <w:r w:rsidRPr="007A1347">
              <w:rPr>
                <w:color w:val="auto"/>
                <w:sz w:val="24"/>
                <w:szCs w:val="24"/>
              </w:rPr>
              <w:t>«</w:t>
            </w:r>
            <w:r w:rsidRPr="00725571">
              <w:rPr>
                <w:snapToGrid/>
                <w:sz w:val="24"/>
                <w:szCs w:val="24"/>
              </w:rPr>
              <w:t>до снятия ограничений в ФАИП</w:t>
            </w:r>
            <w:r w:rsidRPr="007A1347">
              <w:rPr>
                <w:color w:val="auto"/>
                <w:sz w:val="24"/>
                <w:szCs w:val="24"/>
              </w:rPr>
              <w:t>»</w:t>
            </w:r>
            <w:r w:rsidRPr="00725571">
              <w:rPr>
                <w:snapToGrid/>
                <w:sz w:val="24"/>
                <w:szCs w:val="24"/>
              </w:rPr>
              <w:t xml:space="preserve"> </w:t>
            </w:r>
            <w:r>
              <w:rPr>
                <w:snapToGrid/>
                <w:sz w:val="24"/>
                <w:szCs w:val="24"/>
              </w:rPr>
              <w:t xml:space="preserve">ПЛЮС </w:t>
            </w:r>
          </w:p>
          <w:p w:rsidR="00D7306D" w:rsidRDefault="00D7306D" w:rsidP="00D7306D">
            <w:pPr>
              <w:pStyle w:val="af0"/>
              <w:ind w:firstLine="0"/>
              <w:jc w:val="left"/>
              <w:rPr>
                <w:snapToGrid/>
                <w:sz w:val="24"/>
                <w:szCs w:val="24"/>
              </w:rPr>
            </w:pPr>
            <w:r>
              <w:rPr>
                <w:snapToGrid/>
                <w:sz w:val="24"/>
                <w:szCs w:val="24"/>
              </w:rPr>
              <w:t>«</w:t>
            </w:r>
            <w:r w:rsidRPr="00725571">
              <w:rPr>
                <w:snapToGrid/>
                <w:sz w:val="24"/>
                <w:szCs w:val="24"/>
              </w:rPr>
              <w:t>до индексации оплаты труда</w:t>
            </w:r>
            <w:r>
              <w:rPr>
                <w:snapToGrid/>
                <w:sz w:val="24"/>
                <w:szCs w:val="24"/>
              </w:rPr>
              <w:t xml:space="preserve">» ПЛЮС </w:t>
            </w:r>
          </w:p>
          <w:p w:rsidR="00D7306D" w:rsidRPr="000078D3" w:rsidRDefault="00D7306D" w:rsidP="00D7306D">
            <w:pPr>
              <w:pStyle w:val="af0"/>
              <w:ind w:firstLine="0"/>
              <w:jc w:val="left"/>
              <w:rPr>
                <w:i/>
                <w:color w:val="auto"/>
                <w:sz w:val="24"/>
                <w:szCs w:val="24"/>
              </w:rPr>
            </w:pPr>
            <w:r>
              <w:rPr>
                <w:snapToGrid/>
                <w:sz w:val="24"/>
                <w:szCs w:val="24"/>
              </w:rPr>
              <w:t>«</w:t>
            </w:r>
            <w:r w:rsidRPr="00725571">
              <w:rPr>
                <w:snapToGrid/>
                <w:sz w:val="24"/>
                <w:szCs w:val="24"/>
              </w:rPr>
              <w:t>до утверждения НПА</w:t>
            </w:r>
            <w:r>
              <w:rPr>
                <w:snapToGrid/>
                <w:sz w:val="24"/>
                <w:szCs w:val="24"/>
              </w:rPr>
              <w:t>».</w:t>
            </w:r>
          </w:p>
        </w:tc>
      </w:tr>
      <w:tr w:rsidR="00D7306D" w:rsidRPr="00725571" w:rsidTr="00D7306D">
        <w:trPr>
          <w:trHeight w:val="330"/>
        </w:trPr>
        <w:tc>
          <w:tcPr>
            <w:tcW w:w="808" w:type="pct"/>
            <w:gridSpan w:val="2"/>
            <w:vMerge w:val="restart"/>
            <w:shd w:val="clear" w:color="auto" w:fill="auto"/>
            <w:hideMark/>
          </w:tcPr>
          <w:p w:rsidR="00D7306D" w:rsidRPr="00725571" w:rsidRDefault="00D7306D" w:rsidP="00D7306D">
            <w:pPr>
              <w:jc w:val="left"/>
              <w:rPr>
                <w:snapToGrid/>
                <w:szCs w:val="24"/>
              </w:rPr>
            </w:pPr>
            <w:r w:rsidRPr="00725571">
              <w:rPr>
                <w:snapToGrid/>
                <w:szCs w:val="24"/>
              </w:rPr>
              <w:t>из них причины блокировки:</w:t>
            </w:r>
          </w:p>
        </w:tc>
        <w:tc>
          <w:tcPr>
            <w:tcW w:w="1135" w:type="pct"/>
            <w:shd w:val="clear" w:color="auto" w:fill="auto"/>
            <w:hideMark/>
          </w:tcPr>
          <w:p w:rsidR="00D7306D" w:rsidRPr="00725571" w:rsidRDefault="00D7306D" w:rsidP="00D7306D">
            <w:pPr>
              <w:jc w:val="left"/>
              <w:rPr>
                <w:snapToGrid/>
                <w:szCs w:val="24"/>
              </w:rPr>
            </w:pPr>
            <w:r w:rsidRPr="00725571">
              <w:rPr>
                <w:snapToGrid/>
                <w:szCs w:val="24"/>
              </w:rPr>
              <w:t>до заключения Минцифры</w:t>
            </w:r>
          </w:p>
        </w:tc>
        <w:tc>
          <w:tcPr>
            <w:tcW w:w="3057" w:type="pct"/>
            <w:shd w:val="clear" w:color="auto" w:fill="auto"/>
            <w:hideMark/>
          </w:tcPr>
          <w:p w:rsidR="00D7306D" w:rsidRDefault="00D7306D" w:rsidP="00D7306D">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w:t>
            </w:r>
            <w:r>
              <w:rPr>
                <w:color w:val="auto"/>
                <w:sz w:val="24"/>
                <w:szCs w:val="24"/>
              </w:rPr>
              <w:t>zlbo_mc</w:t>
            </w:r>
            <w:r w:rsidRPr="00423D09">
              <w:rPr>
                <w:color w:val="auto"/>
                <w:sz w:val="24"/>
                <w:szCs w:val="24"/>
              </w:rPr>
              <w:t>».</w:t>
            </w:r>
          </w:p>
          <w:p w:rsidR="00D7306D" w:rsidRPr="000078D3" w:rsidRDefault="00D7306D" w:rsidP="00D7306D">
            <w:pPr>
              <w:pStyle w:val="af0"/>
              <w:ind w:firstLine="0"/>
              <w:jc w:val="left"/>
              <w:rPr>
                <w:color w:val="auto"/>
                <w:sz w:val="24"/>
                <w:szCs w:val="24"/>
              </w:rPr>
            </w:pPr>
            <w:r w:rsidRPr="00BD5C4F">
              <w:rPr>
                <w:i/>
                <w:color w:val="auto"/>
                <w:sz w:val="24"/>
                <w:szCs w:val="24"/>
              </w:rPr>
              <w:t xml:space="preserve">Колонка схлопнута </w:t>
            </w:r>
            <w:r>
              <w:rPr>
                <w:i/>
                <w:color w:val="auto"/>
                <w:sz w:val="24"/>
                <w:szCs w:val="24"/>
              </w:rPr>
              <w:t>за колонкой «</w:t>
            </w:r>
            <w:r w:rsidRPr="00BD5C4F">
              <w:rPr>
                <w:i/>
                <w:color w:val="auto"/>
                <w:sz w:val="24"/>
                <w:szCs w:val="24"/>
              </w:rPr>
              <w:t>Заблокированные лимит</w:t>
            </w:r>
            <w:r>
              <w:rPr>
                <w:i/>
                <w:color w:val="auto"/>
                <w:sz w:val="24"/>
                <w:szCs w:val="24"/>
              </w:rPr>
              <w:t>ы»</w:t>
            </w:r>
            <w:r>
              <w:rPr>
                <w:color w:val="auto"/>
                <w:sz w:val="24"/>
                <w:szCs w:val="24"/>
              </w:rPr>
              <w:t>.</w:t>
            </w:r>
          </w:p>
        </w:tc>
      </w:tr>
      <w:tr w:rsidR="00D7306D" w:rsidRPr="00725571" w:rsidTr="00D7306D">
        <w:trPr>
          <w:trHeight w:val="330"/>
        </w:trPr>
        <w:tc>
          <w:tcPr>
            <w:tcW w:w="808" w:type="pct"/>
            <w:gridSpan w:val="2"/>
            <w:vMerge/>
            <w:shd w:val="clear" w:color="auto" w:fill="auto"/>
            <w:vAlign w:val="center"/>
            <w:hideMark/>
          </w:tcPr>
          <w:p w:rsidR="00D7306D" w:rsidRPr="00725571" w:rsidRDefault="00D7306D" w:rsidP="00D7306D">
            <w:pPr>
              <w:jc w:val="left"/>
              <w:rPr>
                <w:snapToGrid/>
                <w:szCs w:val="24"/>
              </w:rPr>
            </w:pPr>
          </w:p>
        </w:tc>
        <w:tc>
          <w:tcPr>
            <w:tcW w:w="1135" w:type="pct"/>
            <w:shd w:val="clear" w:color="auto" w:fill="auto"/>
            <w:hideMark/>
          </w:tcPr>
          <w:p w:rsidR="00D7306D" w:rsidRPr="00725571" w:rsidRDefault="00D7306D" w:rsidP="00D7306D">
            <w:pPr>
              <w:jc w:val="left"/>
              <w:rPr>
                <w:snapToGrid/>
                <w:szCs w:val="24"/>
              </w:rPr>
            </w:pPr>
            <w:r w:rsidRPr="00725571">
              <w:rPr>
                <w:snapToGrid/>
                <w:szCs w:val="24"/>
              </w:rPr>
              <w:t>до снятия ограничений в ФАИП</w:t>
            </w:r>
          </w:p>
        </w:tc>
        <w:tc>
          <w:tcPr>
            <w:tcW w:w="3057" w:type="pct"/>
            <w:shd w:val="clear" w:color="auto" w:fill="auto"/>
          </w:tcPr>
          <w:p w:rsidR="00D7306D" w:rsidRDefault="00D7306D" w:rsidP="00D7306D">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«zlbo_faip</w:t>
            </w:r>
            <w:r>
              <w:rPr>
                <w:color w:val="auto"/>
                <w:sz w:val="24"/>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w:t>
            </w:r>
            <w:r w:rsidRPr="00BD5C4F">
              <w:rPr>
                <w:i/>
                <w:color w:val="auto"/>
                <w:szCs w:val="24"/>
              </w:rPr>
              <w:t>Заблокированные лимит</w:t>
            </w:r>
            <w:r>
              <w:rPr>
                <w:i/>
                <w:color w:val="auto"/>
                <w:szCs w:val="24"/>
              </w:rPr>
              <w:t>ы»</w:t>
            </w:r>
            <w:r>
              <w:rPr>
                <w:color w:val="auto"/>
                <w:szCs w:val="24"/>
              </w:rPr>
              <w:t>.</w:t>
            </w:r>
          </w:p>
        </w:tc>
      </w:tr>
      <w:tr w:rsidR="00D7306D" w:rsidRPr="00725571" w:rsidTr="00D7306D">
        <w:trPr>
          <w:trHeight w:val="330"/>
        </w:trPr>
        <w:tc>
          <w:tcPr>
            <w:tcW w:w="808" w:type="pct"/>
            <w:gridSpan w:val="2"/>
            <w:vMerge/>
            <w:shd w:val="clear" w:color="auto" w:fill="auto"/>
            <w:vAlign w:val="center"/>
            <w:hideMark/>
          </w:tcPr>
          <w:p w:rsidR="00D7306D" w:rsidRPr="00725571" w:rsidRDefault="00D7306D" w:rsidP="00D7306D">
            <w:pPr>
              <w:jc w:val="left"/>
              <w:rPr>
                <w:snapToGrid/>
                <w:szCs w:val="24"/>
              </w:rPr>
            </w:pPr>
          </w:p>
        </w:tc>
        <w:tc>
          <w:tcPr>
            <w:tcW w:w="1135" w:type="pct"/>
            <w:shd w:val="clear" w:color="auto" w:fill="auto"/>
            <w:hideMark/>
          </w:tcPr>
          <w:p w:rsidR="00D7306D" w:rsidRPr="00725571" w:rsidRDefault="00D7306D" w:rsidP="00D7306D">
            <w:pPr>
              <w:jc w:val="left"/>
              <w:rPr>
                <w:snapToGrid/>
                <w:szCs w:val="24"/>
              </w:rPr>
            </w:pPr>
            <w:r w:rsidRPr="00725571">
              <w:rPr>
                <w:snapToGrid/>
                <w:szCs w:val="24"/>
              </w:rPr>
              <w:t>до индексации оплаты труда</w:t>
            </w:r>
          </w:p>
        </w:tc>
        <w:tc>
          <w:tcPr>
            <w:tcW w:w="3057" w:type="pct"/>
            <w:shd w:val="clear" w:color="auto" w:fill="auto"/>
          </w:tcPr>
          <w:p w:rsidR="00D7306D" w:rsidRDefault="00D7306D" w:rsidP="00D7306D">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«zlbo_index</w:t>
            </w:r>
            <w:r>
              <w:rPr>
                <w:color w:val="auto"/>
                <w:sz w:val="24"/>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w:t>
            </w:r>
            <w:r w:rsidRPr="00BD5C4F">
              <w:rPr>
                <w:i/>
                <w:color w:val="auto"/>
                <w:szCs w:val="24"/>
              </w:rPr>
              <w:t>Заблокированные лимит</w:t>
            </w:r>
            <w:r>
              <w:rPr>
                <w:i/>
                <w:color w:val="auto"/>
                <w:szCs w:val="24"/>
              </w:rPr>
              <w:t>ы»</w:t>
            </w:r>
            <w:r>
              <w:rPr>
                <w:color w:val="auto"/>
                <w:szCs w:val="24"/>
              </w:rPr>
              <w:t>.</w:t>
            </w:r>
          </w:p>
        </w:tc>
      </w:tr>
      <w:tr w:rsidR="00D7306D" w:rsidRPr="00725571" w:rsidTr="00D7306D">
        <w:trPr>
          <w:trHeight w:val="660"/>
        </w:trPr>
        <w:tc>
          <w:tcPr>
            <w:tcW w:w="808" w:type="pct"/>
            <w:gridSpan w:val="2"/>
            <w:vMerge/>
            <w:shd w:val="clear" w:color="auto" w:fill="auto"/>
            <w:vAlign w:val="center"/>
            <w:hideMark/>
          </w:tcPr>
          <w:p w:rsidR="00D7306D" w:rsidRPr="00725571" w:rsidRDefault="00D7306D" w:rsidP="00D7306D">
            <w:pPr>
              <w:jc w:val="left"/>
              <w:rPr>
                <w:snapToGrid/>
                <w:szCs w:val="24"/>
              </w:rPr>
            </w:pPr>
          </w:p>
        </w:tc>
        <w:tc>
          <w:tcPr>
            <w:tcW w:w="1135" w:type="pct"/>
            <w:shd w:val="clear" w:color="auto" w:fill="auto"/>
            <w:hideMark/>
          </w:tcPr>
          <w:p w:rsidR="00D7306D" w:rsidRPr="00725571" w:rsidRDefault="00D7306D" w:rsidP="00D7306D">
            <w:pPr>
              <w:jc w:val="left"/>
              <w:rPr>
                <w:snapToGrid/>
                <w:szCs w:val="24"/>
              </w:rPr>
            </w:pPr>
            <w:r w:rsidRPr="00725571">
              <w:rPr>
                <w:snapToGrid/>
                <w:szCs w:val="24"/>
              </w:rPr>
              <w:t>до утверждения НПА</w:t>
            </w:r>
          </w:p>
        </w:tc>
        <w:tc>
          <w:tcPr>
            <w:tcW w:w="3057" w:type="pct"/>
            <w:shd w:val="clear" w:color="auto" w:fill="auto"/>
          </w:tcPr>
          <w:p w:rsidR="00D7306D" w:rsidRDefault="00D7306D" w:rsidP="00D7306D">
            <w:pPr>
              <w:pStyle w:val="af0"/>
              <w:ind w:firstLine="0"/>
              <w:jc w:val="left"/>
              <w:rPr>
                <w:color w:val="auto"/>
                <w:sz w:val="24"/>
                <w:szCs w:val="24"/>
              </w:rPr>
            </w:pPr>
            <w:r w:rsidRPr="00423D09">
              <w:rPr>
                <w:color w:val="auto"/>
                <w:sz w:val="24"/>
                <w:szCs w:val="24"/>
              </w:rPr>
              <w:t>ПБП, набор «Мониторинг исполнения федерального бюджета в части бюджетных ассигнований», показатель «zlbo_npa</w:t>
            </w:r>
            <w:r>
              <w:rPr>
                <w:color w:val="auto"/>
                <w:sz w:val="24"/>
                <w:szCs w:val="24"/>
              </w:rPr>
              <w:t xml:space="preserve">» ПЛЮС </w:t>
            </w:r>
            <w:r w:rsidRPr="00423D09">
              <w:rPr>
                <w:color w:val="auto"/>
                <w:sz w:val="24"/>
                <w:szCs w:val="24"/>
              </w:rPr>
              <w:t>«zlbo_etc</w:t>
            </w:r>
            <w:r>
              <w:rPr>
                <w:color w:val="auto"/>
                <w:sz w:val="24"/>
                <w:szCs w:val="24"/>
              </w:rPr>
              <w:t>» («</w:t>
            </w:r>
            <w:r w:rsidRPr="00BD5C4F">
              <w:rPr>
                <w:color w:val="auto"/>
                <w:sz w:val="24"/>
                <w:szCs w:val="24"/>
              </w:rPr>
              <w:t>Заблок</w:t>
            </w:r>
            <w:r>
              <w:rPr>
                <w:color w:val="auto"/>
                <w:sz w:val="24"/>
                <w:szCs w:val="24"/>
              </w:rPr>
              <w:t>ировано</w:t>
            </w:r>
            <w:r w:rsidRPr="00BD5C4F">
              <w:rPr>
                <w:color w:val="auto"/>
                <w:sz w:val="24"/>
                <w:szCs w:val="24"/>
              </w:rPr>
              <w:t xml:space="preserve"> до утверждения НПА</w:t>
            </w:r>
            <w:r>
              <w:rPr>
                <w:color w:val="auto"/>
                <w:sz w:val="24"/>
                <w:szCs w:val="24"/>
              </w:rPr>
              <w:t>» ПЛЮС «</w:t>
            </w:r>
            <w:r w:rsidRPr="00E37BD6">
              <w:rPr>
                <w:color w:val="auto"/>
                <w:sz w:val="24"/>
                <w:szCs w:val="24"/>
              </w:rPr>
              <w:t>Иное (в т.ч. не передано уведомление на утверждение ЛБО)</w:t>
            </w:r>
            <w:r>
              <w:rPr>
                <w:color w:val="auto"/>
                <w:sz w:val="24"/>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w:t>
            </w:r>
            <w:r w:rsidRPr="00BD5C4F">
              <w:rPr>
                <w:i/>
                <w:color w:val="auto"/>
                <w:szCs w:val="24"/>
              </w:rPr>
              <w:t>Заблокированные лимит</w:t>
            </w:r>
            <w:r>
              <w:rPr>
                <w:i/>
                <w:color w:val="auto"/>
                <w:szCs w:val="24"/>
              </w:rPr>
              <w:t>ы»</w:t>
            </w:r>
            <w:r>
              <w:rPr>
                <w:color w:val="auto"/>
                <w:szCs w:val="24"/>
              </w:rPr>
              <w:t>.</w:t>
            </w:r>
          </w:p>
        </w:tc>
      </w:tr>
      <w:tr w:rsidR="00D7306D" w:rsidRPr="00725571" w:rsidTr="00D7306D">
        <w:trPr>
          <w:trHeight w:val="66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Иное</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Pr="00725571" w:rsidRDefault="00D7306D" w:rsidP="00D7306D">
            <w:pPr>
              <w:pStyle w:val="af0"/>
              <w:ind w:firstLine="0"/>
              <w:jc w:val="left"/>
              <w:rPr>
                <w:snapToGrid/>
                <w:sz w:val="24"/>
                <w:szCs w:val="24"/>
              </w:rPr>
            </w:pPr>
            <w:r>
              <w:rPr>
                <w:color w:val="auto"/>
                <w:sz w:val="24"/>
                <w:szCs w:val="24"/>
              </w:rPr>
              <w:t>«</w:t>
            </w:r>
            <w:r w:rsidRPr="00E37BD6">
              <w:rPr>
                <w:color w:val="auto"/>
                <w:sz w:val="24"/>
                <w:szCs w:val="24"/>
              </w:rPr>
              <w:t>Роспись</w:t>
            </w:r>
            <w:r>
              <w:rPr>
                <w:color w:val="auto"/>
                <w:sz w:val="24"/>
                <w:szCs w:val="24"/>
              </w:rPr>
              <w:t>»</w:t>
            </w:r>
            <w:r w:rsidRPr="00E37BD6">
              <w:rPr>
                <w:color w:val="auto"/>
                <w:sz w:val="24"/>
                <w:szCs w:val="24"/>
              </w:rPr>
              <w:t xml:space="preserve"> </w:t>
            </w:r>
            <w:r>
              <w:rPr>
                <w:color w:val="auto"/>
                <w:sz w:val="24"/>
                <w:szCs w:val="24"/>
              </w:rPr>
              <w:t>МИНУС</w:t>
            </w:r>
            <w:r w:rsidRPr="00E37BD6">
              <w:rPr>
                <w:color w:val="auto"/>
                <w:sz w:val="24"/>
                <w:szCs w:val="24"/>
              </w:rPr>
              <w:t xml:space="preserve"> </w:t>
            </w:r>
            <w:r>
              <w:rPr>
                <w:color w:val="auto"/>
                <w:sz w:val="24"/>
                <w:szCs w:val="24"/>
              </w:rPr>
              <w:t>«</w:t>
            </w:r>
            <w:r w:rsidRPr="00E37BD6">
              <w:rPr>
                <w:color w:val="auto"/>
                <w:sz w:val="24"/>
                <w:szCs w:val="24"/>
              </w:rPr>
              <w:t>В резерве</w:t>
            </w:r>
            <w:r>
              <w:rPr>
                <w:color w:val="auto"/>
                <w:sz w:val="24"/>
                <w:szCs w:val="24"/>
              </w:rPr>
              <w:t>»</w:t>
            </w:r>
            <w:r w:rsidRPr="00E37BD6">
              <w:rPr>
                <w:color w:val="auto"/>
                <w:sz w:val="24"/>
                <w:szCs w:val="24"/>
              </w:rPr>
              <w:t xml:space="preserve"> </w:t>
            </w:r>
            <w:r>
              <w:rPr>
                <w:color w:val="auto"/>
                <w:sz w:val="24"/>
                <w:szCs w:val="24"/>
              </w:rPr>
              <w:t>МИНУС</w:t>
            </w:r>
            <w:r w:rsidRPr="00E37BD6">
              <w:rPr>
                <w:color w:val="auto"/>
                <w:sz w:val="24"/>
                <w:szCs w:val="24"/>
              </w:rPr>
              <w:t xml:space="preserve"> </w:t>
            </w:r>
            <w:r>
              <w:rPr>
                <w:color w:val="auto"/>
                <w:sz w:val="24"/>
                <w:szCs w:val="24"/>
              </w:rPr>
              <w:t>«</w:t>
            </w:r>
            <w:r w:rsidRPr="00E37BD6">
              <w:rPr>
                <w:color w:val="auto"/>
                <w:sz w:val="24"/>
                <w:szCs w:val="24"/>
              </w:rPr>
              <w:t>Заблокированные лимиты</w:t>
            </w:r>
            <w:r>
              <w:rPr>
                <w:color w:val="auto"/>
                <w:sz w:val="24"/>
                <w:szCs w:val="24"/>
              </w:rPr>
              <w:t>»</w:t>
            </w:r>
            <w:r w:rsidRPr="00E37BD6">
              <w:rPr>
                <w:color w:val="auto"/>
                <w:sz w:val="24"/>
                <w:szCs w:val="24"/>
              </w:rPr>
              <w:t xml:space="preserve"> </w:t>
            </w:r>
            <w:r>
              <w:rPr>
                <w:color w:val="auto"/>
                <w:sz w:val="24"/>
                <w:szCs w:val="24"/>
              </w:rPr>
              <w:t>МИНУС</w:t>
            </w:r>
            <w:r w:rsidRPr="00E37BD6">
              <w:rPr>
                <w:color w:val="auto"/>
                <w:sz w:val="24"/>
                <w:szCs w:val="24"/>
              </w:rPr>
              <w:t xml:space="preserve"> </w:t>
            </w:r>
            <w:r>
              <w:rPr>
                <w:color w:val="auto"/>
                <w:sz w:val="24"/>
                <w:szCs w:val="24"/>
              </w:rPr>
              <w:t>«</w:t>
            </w:r>
            <w:r w:rsidRPr="00E37BD6">
              <w:rPr>
                <w:color w:val="auto"/>
                <w:sz w:val="24"/>
                <w:szCs w:val="24"/>
              </w:rPr>
              <w:t>Доведенные лимиты</w:t>
            </w:r>
            <w:r>
              <w:rPr>
                <w:color w:val="auto"/>
                <w:sz w:val="24"/>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Распределено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Распределенные лимиты</w:t>
            </w:r>
            <w:r>
              <w:rPr>
                <w:snapToGrid/>
                <w:szCs w:val="24"/>
              </w:rPr>
              <w:t>» ПЛЮС «</w:t>
            </w:r>
            <w:r w:rsidRPr="00725571">
              <w:rPr>
                <w:snapToGrid/>
                <w:szCs w:val="24"/>
              </w:rPr>
              <w:t>Распреде</w:t>
            </w:r>
            <w:r>
              <w:rPr>
                <w:snapToGrid/>
                <w:szCs w:val="24"/>
              </w:rPr>
              <w:t>л</w:t>
            </w:r>
            <w:r w:rsidRPr="00725571">
              <w:rPr>
                <w:snapToGrid/>
                <w:szCs w:val="24"/>
              </w:rPr>
              <w:t>ено БА на ПНО</w:t>
            </w:r>
            <w:r>
              <w:rPr>
                <w:snapToGrid/>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Распределенные лимиты</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«Распределенные ЛБО ГРБС</w:t>
            </w:r>
            <w:r>
              <w:rPr>
                <w:color w:val="auto"/>
                <w:sz w:val="24"/>
                <w:szCs w:val="24"/>
              </w:rPr>
              <w:t>»</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«Распределенные ЛБО ГРБС»</w:t>
            </w:r>
          </w:p>
          <w:p w:rsidR="00D7306D" w:rsidRDefault="00D7306D" w:rsidP="00D7306D">
            <w:pPr>
              <w:pStyle w:val="af0"/>
              <w:ind w:firstLine="0"/>
              <w:jc w:val="left"/>
              <w:rPr>
                <w:color w:val="auto"/>
                <w:sz w:val="24"/>
                <w:szCs w:val="24"/>
              </w:rPr>
            </w:pPr>
            <w:r>
              <w:rPr>
                <w:color w:val="auto"/>
                <w:sz w:val="24"/>
                <w:szCs w:val="24"/>
              </w:rPr>
              <w:t>МИНУС</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 «Распределенные ЛБО ГРБС</w:t>
            </w:r>
            <w:r>
              <w:rPr>
                <w:color w:val="auto"/>
                <w:sz w:val="24"/>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«Распределено»</w:t>
            </w:r>
            <w:r>
              <w:rPr>
                <w:color w:val="auto"/>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Распределено БА на ПНО</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w:t>
            </w:r>
            <w:r>
              <w:rPr>
                <w:color w:val="auto"/>
                <w:sz w:val="24"/>
                <w:szCs w:val="24"/>
              </w:rPr>
              <w:t xml:space="preserve"> «</w:t>
            </w:r>
            <w:r w:rsidRPr="003B5160">
              <w:rPr>
                <w:color w:val="auto"/>
                <w:sz w:val="24"/>
                <w:szCs w:val="24"/>
              </w:rPr>
              <w:t xml:space="preserve">Бюджетные ассигнования на исполнение ПНО, </w:t>
            </w:r>
            <w:r w:rsidRPr="00106DD7">
              <w:rPr>
                <w:color w:val="auto"/>
                <w:sz w:val="24"/>
                <w:szCs w:val="24"/>
              </w:rPr>
              <w:t>распределено ГРБС</w:t>
            </w:r>
            <w:r>
              <w:rPr>
                <w:color w:val="auto"/>
                <w:sz w:val="24"/>
                <w:szCs w:val="24"/>
              </w:rPr>
              <w:t>»</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Pr="003B5160"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w:t>
            </w:r>
            <w:r>
              <w:rPr>
                <w:color w:val="auto"/>
                <w:sz w:val="24"/>
                <w:szCs w:val="24"/>
              </w:rPr>
              <w:t>«</w:t>
            </w:r>
            <w:r w:rsidRPr="003B5160">
              <w:rPr>
                <w:color w:val="auto"/>
                <w:sz w:val="24"/>
                <w:szCs w:val="24"/>
              </w:rPr>
              <w:t xml:space="preserve">Бюджетные ассигнования на исполнение ПНО, </w:t>
            </w:r>
            <w:r w:rsidRPr="00106DD7">
              <w:rPr>
                <w:color w:val="auto"/>
                <w:sz w:val="24"/>
                <w:szCs w:val="24"/>
              </w:rPr>
              <w:t>распределено ГРБС</w:t>
            </w:r>
            <w:r>
              <w:rPr>
                <w:color w:val="auto"/>
                <w:sz w:val="24"/>
                <w:szCs w:val="24"/>
              </w:rPr>
              <w:t>»</w:t>
            </w:r>
            <w:r w:rsidRPr="003B5160">
              <w:rPr>
                <w:color w:val="auto"/>
                <w:sz w:val="24"/>
                <w:szCs w:val="24"/>
              </w:rPr>
              <w:t>.</w:t>
            </w:r>
          </w:p>
          <w:p w:rsidR="00D7306D" w:rsidRDefault="00D7306D" w:rsidP="00D7306D">
            <w:pPr>
              <w:jc w:val="left"/>
              <w:rPr>
                <w:snapToGrid/>
                <w:szCs w:val="24"/>
              </w:rPr>
            </w:pPr>
            <w:r>
              <w:rPr>
                <w:snapToGrid/>
                <w:szCs w:val="24"/>
              </w:rPr>
              <w:t xml:space="preserve">МИНУС </w:t>
            </w:r>
          </w:p>
          <w:p w:rsidR="00D7306D" w:rsidRDefault="00D7306D" w:rsidP="00D7306D">
            <w:pPr>
              <w:jc w:val="left"/>
              <w:rPr>
                <w:color w:val="auto"/>
                <w:szCs w:val="24"/>
              </w:rPr>
            </w:pPr>
            <w:r>
              <w:rPr>
                <w:color w:val="auto"/>
                <w:szCs w:val="24"/>
              </w:rPr>
              <w:t>АСФК, форма 0504072, раздел</w:t>
            </w:r>
            <w:r w:rsidRPr="003B5160">
              <w:rPr>
                <w:color w:val="auto"/>
                <w:szCs w:val="24"/>
              </w:rPr>
              <w:t xml:space="preserve"> «</w:t>
            </w:r>
            <w:r>
              <w:rPr>
                <w:color w:val="auto"/>
                <w:szCs w:val="24"/>
              </w:rPr>
              <w:t xml:space="preserve">Расходы </w:t>
            </w:r>
            <w:r w:rsidRPr="0032031B">
              <w:rPr>
                <w:color w:val="auto"/>
                <w:szCs w:val="24"/>
              </w:rPr>
              <w:t>бюджета</w:t>
            </w:r>
            <w:r>
              <w:rPr>
                <w:color w:val="auto"/>
                <w:szCs w:val="24"/>
              </w:rPr>
              <w:t>» (открытая часть)</w:t>
            </w:r>
            <w:r w:rsidRPr="003B5160">
              <w:rPr>
                <w:color w:val="auto"/>
                <w:szCs w:val="24"/>
              </w:rPr>
              <w:t>, показатель</w:t>
            </w:r>
            <w:r>
              <w:rPr>
                <w:color w:val="auto"/>
                <w:szCs w:val="24"/>
              </w:rPr>
              <w:t xml:space="preserve"> «</w:t>
            </w:r>
            <w:r w:rsidRPr="003B5160">
              <w:rPr>
                <w:color w:val="auto"/>
                <w:szCs w:val="24"/>
              </w:rPr>
              <w:t xml:space="preserve">Бюджетные ассигнования на исполнение ПНО, </w:t>
            </w:r>
            <w:r w:rsidRPr="00106DD7">
              <w:rPr>
                <w:color w:val="auto"/>
                <w:szCs w:val="24"/>
              </w:rPr>
              <w:t>распределено ГРБС</w:t>
            </w:r>
            <w:r>
              <w:rPr>
                <w:color w:val="auto"/>
                <w:szCs w:val="24"/>
              </w:rPr>
              <w:t>»</w:t>
            </w:r>
            <w:r w:rsidRPr="003B5160">
              <w:rPr>
                <w:color w:val="auto"/>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за колонкой «Распределено»</w:t>
            </w:r>
            <w:r>
              <w:rPr>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распределения лимитов (от доведено)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Распределено</w:t>
            </w:r>
            <w:r>
              <w:rPr>
                <w:snapToGrid/>
                <w:szCs w:val="24"/>
              </w:rPr>
              <w:t>»</w:t>
            </w:r>
            <w:r w:rsidRPr="00725571">
              <w:rPr>
                <w:snapToGrid/>
                <w:szCs w:val="24"/>
              </w:rPr>
              <w:t xml:space="preserve"> </w:t>
            </w:r>
            <w:r>
              <w:rPr>
                <w:snapToGrid/>
                <w:szCs w:val="24"/>
              </w:rPr>
              <w:t>/</w:t>
            </w:r>
            <w:r w:rsidRPr="00725571">
              <w:rPr>
                <w:snapToGrid/>
                <w:szCs w:val="24"/>
              </w:rPr>
              <w:t xml:space="preserve"> </w:t>
            </w:r>
            <w:r>
              <w:rPr>
                <w:snapToGrid/>
                <w:szCs w:val="24"/>
              </w:rPr>
              <w:t>«</w:t>
            </w:r>
            <w:r w:rsidRPr="00725571">
              <w:rPr>
                <w:snapToGrid/>
                <w:szCs w:val="24"/>
              </w:rPr>
              <w:t>Доведено</w:t>
            </w:r>
            <w:r>
              <w:rPr>
                <w:snapToGrid/>
                <w:szCs w:val="24"/>
              </w:rPr>
              <w:t>»</w:t>
            </w:r>
            <w:r w:rsidRPr="00725571">
              <w:rPr>
                <w:snapToGrid/>
                <w:szCs w:val="24"/>
              </w:rPr>
              <w:t xml:space="preserve"> * 100%</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распределения лимитов (от росписи)</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Распределено</w:t>
            </w:r>
            <w:r>
              <w:rPr>
                <w:snapToGrid/>
                <w:szCs w:val="24"/>
              </w:rPr>
              <w:t>»</w:t>
            </w:r>
            <w:r w:rsidRPr="00725571">
              <w:rPr>
                <w:snapToGrid/>
                <w:szCs w:val="24"/>
              </w:rPr>
              <w:t xml:space="preserve"> </w:t>
            </w:r>
            <w:r>
              <w:rPr>
                <w:snapToGrid/>
                <w:szCs w:val="24"/>
              </w:rPr>
              <w:t>/</w:t>
            </w:r>
            <w:r w:rsidRPr="00725571">
              <w:rPr>
                <w:snapToGrid/>
                <w:szCs w:val="24"/>
              </w:rPr>
              <w:t xml:space="preserve"> </w:t>
            </w:r>
            <w:r>
              <w:rPr>
                <w:snapToGrid/>
                <w:szCs w:val="24"/>
              </w:rPr>
              <w:t>«</w:t>
            </w:r>
            <w:r w:rsidRPr="00725571">
              <w:rPr>
                <w:snapToGrid/>
                <w:szCs w:val="24"/>
              </w:rPr>
              <w:t>Роспис</w:t>
            </w:r>
            <w:r>
              <w:rPr>
                <w:snapToGrid/>
                <w:szCs w:val="24"/>
              </w:rPr>
              <w:t>ь»</w:t>
            </w:r>
            <w:r w:rsidRPr="00725571">
              <w:rPr>
                <w:snapToGrid/>
                <w:szCs w:val="24"/>
              </w:rPr>
              <w:t xml:space="preserve"> * 100%</w:t>
            </w:r>
          </w:p>
        </w:tc>
      </w:tr>
      <w:tr w:rsidR="00D7306D" w:rsidRPr="00725571" w:rsidTr="00D7306D">
        <w:trPr>
          <w:trHeight w:val="99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Контрольная точка</w:t>
            </w:r>
          </w:p>
        </w:tc>
        <w:tc>
          <w:tcPr>
            <w:tcW w:w="3057" w:type="pct"/>
            <w:shd w:val="clear" w:color="auto" w:fill="auto"/>
            <w:hideMark/>
          </w:tcPr>
          <w:p w:rsidR="00D7306D" w:rsidRDefault="00D7306D" w:rsidP="00D7306D">
            <w:pPr>
              <w:jc w:val="left"/>
              <w:rPr>
                <w:snapToGrid/>
                <w:szCs w:val="24"/>
              </w:rPr>
            </w:pPr>
            <w:r w:rsidRPr="00725571">
              <w:rPr>
                <w:snapToGrid/>
                <w:szCs w:val="24"/>
              </w:rPr>
              <w:t>Контрольная точка</w:t>
            </w:r>
            <w:r>
              <w:rPr>
                <w:snapToGrid/>
                <w:szCs w:val="24"/>
              </w:rPr>
              <w:t xml:space="preserve"> этапа «Распределение лимитов»</w:t>
            </w:r>
            <w:r w:rsidRPr="00725571">
              <w:rPr>
                <w:snapToGrid/>
                <w:szCs w:val="24"/>
              </w:rPr>
              <w:t xml:space="preserve"> в соответствии с типовым графиком в формате: </w:t>
            </w:r>
            <w:r>
              <w:rPr>
                <w:snapToGrid/>
                <w:szCs w:val="24"/>
              </w:rPr>
              <w:t>«</w:t>
            </w:r>
            <w:r w:rsidRPr="00725571">
              <w:rPr>
                <w:snapToGrid/>
                <w:szCs w:val="24"/>
              </w:rPr>
              <w:t>100% на 01.01.2021</w:t>
            </w:r>
            <w:r>
              <w:rPr>
                <w:snapToGrid/>
                <w:szCs w:val="24"/>
              </w:rPr>
              <w:t>»</w:t>
            </w:r>
          </w:p>
          <w:p w:rsidR="00D7306D" w:rsidRPr="00725571" w:rsidRDefault="00D7306D" w:rsidP="00D7306D">
            <w:pPr>
              <w:jc w:val="left"/>
              <w:rPr>
                <w:snapToGrid/>
                <w:szCs w:val="24"/>
              </w:rPr>
            </w:pPr>
            <w:r w:rsidRPr="00BD5C4F">
              <w:rPr>
                <w:i/>
                <w:color w:val="auto"/>
                <w:szCs w:val="24"/>
              </w:rPr>
              <w:t xml:space="preserve">Колонка схлопнута </w:t>
            </w:r>
            <w:r>
              <w:rPr>
                <w:i/>
                <w:color w:val="auto"/>
                <w:szCs w:val="24"/>
              </w:rPr>
              <w:t xml:space="preserve">за </w:t>
            </w:r>
            <w:r w:rsidRPr="00D9000E">
              <w:rPr>
                <w:i/>
                <w:color w:val="auto"/>
                <w:szCs w:val="24"/>
              </w:rPr>
              <w:t>колонкой «</w:t>
            </w:r>
            <w:r w:rsidRPr="00D9000E">
              <w:rPr>
                <w:i/>
                <w:snapToGrid/>
                <w:szCs w:val="24"/>
              </w:rPr>
              <w:t>% распределения лимитов (от росписи)</w:t>
            </w:r>
            <w:r w:rsidRPr="00D9000E">
              <w:rPr>
                <w:i/>
                <w:color w:val="auto"/>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Не распределено (от росписи)</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Default="00D7306D" w:rsidP="00D7306D">
            <w:pPr>
              <w:jc w:val="left"/>
              <w:rPr>
                <w:snapToGrid/>
                <w:szCs w:val="24"/>
              </w:rPr>
            </w:pPr>
            <w:r>
              <w:rPr>
                <w:snapToGrid/>
                <w:szCs w:val="24"/>
              </w:rPr>
              <w:t>«</w:t>
            </w:r>
            <w:r w:rsidRPr="00725571">
              <w:rPr>
                <w:snapToGrid/>
                <w:szCs w:val="24"/>
              </w:rPr>
              <w:t>Роспись</w:t>
            </w:r>
            <w:r>
              <w:rPr>
                <w:snapToGrid/>
                <w:szCs w:val="24"/>
              </w:rPr>
              <w:t>» МИНУС «</w:t>
            </w:r>
            <w:r w:rsidRPr="00725571">
              <w:rPr>
                <w:snapToGrid/>
                <w:szCs w:val="24"/>
              </w:rPr>
              <w:t>Распределено</w:t>
            </w:r>
            <w:r>
              <w:rPr>
                <w:snapToGrid/>
                <w:szCs w:val="24"/>
              </w:rPr>
              <w:t>»</w:t>
            </w:r>
          </w:p>
          <w:p w:rsidR="00D7306D" w:rsidRPr="00725571" w:rsidRDefault="00D7306D" w:rsidP="00D7306D">
            <w:pPr>
              <w:jc w:val="left"/>
              <w:rPr>
                <w:snapToGrid/>
                <w:szCs w:val="24"/>
              </w:rPr>
            </w:pPr>
            <w:r w:rsidRPr="00BD5C4F">
              <w:rPr>
                <w:i/>
                <w:color w:val="auto"/>
                <w:szCs w:val="24"/>
              </w:rPr>
              <w:t xml:space="preserve">Колонка </w:t>
            </w:r>
            <w:r w:rsidRPr="00D9000E">
              <w:rPr>
                <w:i/>
                <w:color w:val="auto"/>
                <w:szCs w:val="24"/>
              </w:rPr>
              <w:t>схлопнута за колонкой «</w:t>
            </w:r>
            <w:r w:rsidRPr="00D9000E">
              <w:rPr>
                <w:i/>
                <w:snapToGrid/>
                <w:szCs w:val="24"/>
              </w:rPr>
              <w:t>% распределения лимитов (от росписи)</w:t>
            </w:r>
            <w:r w:rsidRPr="00D9000E">
              <w:rPr>
                <w:i/>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Нераспределенные лимиты (от доведено)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Доведено</w:t>
            </w:r>
            <w:r>
              <w:rPr>
                <w:snapToGrid/>
                <w:szCs w:val="24"/>
              </w:rPr>
              <w:t>» МИНУС «</w:t>
            </w:r>
            <w:r w:rsidRPr="00725571">
              <w:rPr>
                <w:snapToGrid/>
                <w:szCs w:val="24"/>
              </w:rPr>
              <w:t>Распределено</w:t>
            </w:r>
            <w:r>
              <w:rPr>
                <w:snapToGrid/>
                <w:szCs w:val="24"/>
              </w:rPr>
              <w:t>».</w:t>
            </w:r>
          </w:p>
        </w:tc>
      </w:tr>
      <w:tr w:rsidR="00D7306D" w:rsidRPr="00725571" w:rsidTr="00D7306D">
        <w:trPr>
          <w:trHeight w:val="533"/>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Нераспределенные лимиты в срок</w:t>
            </w:r>
          </w:p>
        </w:tc>
        <w:tc>
          <w:tcPr>
            <w:tcW w:w="3057" w:type="pct"/>
            <w:shd w:val="clear" w:color="auto" w:fill="auto"/>
            <w:hideMark/>
          </w:tcPr>
          <w:p w:rsidR="00D7306D" w:rsidRPr="00B0798C" w:rsidRDefault="00D7306D" w:rsidP="00D7306D">
            <w:pPr>
              <w:pStyle w:val="af0"/>
              <w:ind w:firstLine="0"/>
              <w:jc w:val="left"/>
              <w:rPr>
                <w:color w:val="auto"/>
                <w:sz w:val="24"/>
                <w:szCs w:val="24"/>
              </w:rPr>
            </w:pPr>
            <w:r>
              <w:rPr>
                <w:color w:val="auto"/>
                <w:sz w:val="24"/>
                <w:szCs w:val="24"/>
              </w:rPr>
              <w:t>Расчет показателя «Нераспределенные ЛБО</w:t>
            </w:r>
            <w:r w:rsidRPr="00BD5C4F">
              <w:rPr>
                <w:color w:val="auto"/>
                <w:sz w:val="24"/>
                <w:szCs w:val="24"/>
              </w:rPr>
              <w:t xml:space="preserve"> в срок</w:t>
            </w:r>
            <w:r>
              <w:rPr>
                <w:color w:val="auto"/>
                <w:sz w:val="24"/>
                <w:szCs w:val="24"/>
              </w:rPr>
              <w:t xml:space="preserve">» по контрольным этапа «Распределение лимитов» точкам типового графика описан в пункте </w:t>
            </w:r>
            <w:r>
              <w:rPr>
                <w:color w:val="auto"/>
                <w:sz w:val="24"/>
                <w:szCs w:val="24"/>
              </w:rPr>
              <w:fldChar w:fldCharType="begin"/>
            </w:r>
            <w:r>
              <w:rPr>
                <w:color w:val="auto"/>
                <w:sz w:val="24"/>
                <w:szCs w:val="24"/>
              </w:rPr>
              <w:instrText xml:space="preserve"> REF _Ref80300572 \n \h </w:instrText>
            </w:r>
            <w:r>
              <w:rPr>
                <w:color w:val="auto"/>
                <w:sz w:val="24"/>
                <w:szCs w:val="24"/>
              </w:rPr>
            </w:r>
            <w:r>
              <w:rPr>
                <w:color w:val="auto"/>
                <w:sz w:val="24"/>
                <w:szCs w:val="24"/>
              </w:rPr>
              <w:fldChar w:fldCharType="separate"/>
            </w:r>
            <w:r w:rsidR="00BF0BEE">
              <w:rPr>
                <w:color w:val="auto"/>
                <w:sz w:val="24"/>
                <w:szCs w:val="24"/>
              </w:rPr>
              <w:t>7.2.14.1</w:t>
            </w:r>
            <w:r>
              <w:rPr>
                <w:color w:val="auto"/>
                <w:sz w:val="24"/>
                <w:szCs w:val="24"/>
              </w:rPr>
              <w:fldChar w:fldCharType="end"/>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Принятые БО</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w:t>
            </w:r>
            <w:r>
              <w:rPr>
                <w:color w:val="auto"/>
                <w:sz w:val="24"/>
                <w:szCs w:val="24"/>
              </w:rPr>
              <w:t xml:space="preserve"> «</w:t>
            </w:r>
            <w:r w:rsidRPr="002748A9">
              <w:rPr>
                <w:color w:val="auto"/>
                <w:sz w:val="24"/>
                <w:szCs w:val="24"/>
              </w:rPr>
              <w:t>Принято бюджетных обязательств</w:t>
            </w:r>
            <w:r>
              <w:rPr>
                <w:color w:val="auto"/>
                <w:sz w:val="24"/>
                <w:szCs w:val="24"/>
              </w:rPr>
              <w:t>»</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Pr="003B5160"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w:t>
            </w:r>
            <w:r>
              <w:rPr>
                <w:color w:val="auto"/>
                <w:sz w:val="24"/>
                <w:szCs w:val="24"/>
              </w:rPr>
              <w:t>«</w:t>
            </w:r>
            <w:r w:rsidRPr="002748A9">
              <w:rPr>
                <w:color w:val="auto"/>
                <w:sz w:val="24"/>
                <w:szCs w:val="24"/>
              </w:rPr>
              <w:t>Принято бюджетных обязательств</w:t>
            </w:r>
            <w:r>
              <w:rPr>
                <w:color w:val="auto"/>
                <w:sz w:val="24"/>
                <w:szCs w:val="24"/>
              </w:rPr>
              <w:t>»</w:t>
            </w:r>
            <w:r w:rsidRPr="003B5160">
              <w:rPr>
                <w:color w:val="auto"/>
                <w:sz w:val="24"/>
                <w:szCs w:val="24"/>
              </w:rPr>
              <w:t>.</w:t>
            </w:r>
          </w:p>
          <w:p w:rsidR="00D7306D" w:rsidRDefault="00D7306D" w:rsidP="00D7306D">
            <w:pPr>
              <w:jc w:val="left"/>
              <w:rPr>
                <w:snapToGrid/>
                <w:szCs w:val="24"/>
              </w:rPr>
            </w:pPr>
            <w:r>
              <w:rPr>
                <w:snapToGrid/>
                <w:szCs w:val="24"/>
              </w:rPr>
              <w:t xml:space="preserve">МИНУС </w:t>
            </w:r>
          </w:p>
          <w:p w:rsidR="00D7306D" w:rsidRPr="00B0798C" w:rsidRDefault="00D7306D" w:rsidP="00D7306D">
            <w:pPr>
              <w:jc w:val="left"/>
              <w:rPr>
                <w:color w:val="auto"/>
                <w:szCs w:val="24"/>
              </w:rPr>
            </w:pPr>
            <w:r>
              <w:rPr>
                <w:color w:val="auto"/>
                <w:szCs w:val="24"/>
              </w:rPr>
              <w:t>АСФК, форма 0504072, раздел</w:t>
            </w:r>
            <w:r w:rsidRPr="003B5160">
              <w:rPr>
                <w:color w:val="auto"/>
                <w:szCs w:val="24"/>
              </w:rPr>
              <w:t xml:space="preserve"> «</w:t>
            </w:r>
            <w:r>
              <w:rPr>
                <w:color w:val="auto"/>
                <w:szCs w:val="24"/>
              </w:rPr>
              <w:t xml:space="preserve">Расходы </w:t>
            </w:r>
            <w:r w:rsidRPr="0032031B">
              <w:rPr>
                <w:color w:val="auto"/>
                <w:szCs w:val="24"/>
              </w:rPr>
              <w:t>бюджета</w:t>
            </w:r>
            <w:r>
              <w:rPr>
                <w:color w:val="auto"/>
                <w:szCs w:val="24"/>
              </w:rPr>
              <w:t>» (открытая часть)</w:t>
            </w:r>
            <w:r w:rsidRPr="003B5160">
              <w:rPr>
                <w:color w:val="auto"/>
                <w:szCs w:val="24"/>
              </w:rPr>
              <w:t>, показатель</w:t>
            </w:r>
            <w:r>
              <w:rPr>
                <w:color w:val="auto"/>
                <w:szCs w:val="24"/>
              </w:rPr>
              <w:t xml:space="preserve"> «</w:t>
            </w:r>
            <w:r w:rsidRPr="002748A9">
              <w:rPr>
                <w:color w:val="auto"/>
                <w:szCs w:val="24"/>
              </w:rPr>
              <w:t>Принято бюджетных обязательств</w:t>
            </w:r>
            <w:r>
              <w:rPr>
                <w:color w:val="auto"/>
                <w:szCs w:val="24"/>
              </w:rPr>
              <w:t>»</w:t>
            </w:r>
            <w:r w:rsidRPr="003B5160">
              <w:rPr>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к росписи (принятые БО)</w:t>
            </w:r>
          </w:p>
        </w:tc>
        <w:tc>
          <w:tcPr>
            <w:tcW w:w="3057" w:type="pct"/>
            <w:shd w:val="clear" w:color="auto" w:fill="auto"/>
            <w:hideMark/>
          </w:tcPr>
          <w:p w:rsidR="00D7306D" w:rsidRDefault="00D7306D" w:rsidP="00D7306D">
            <w:pPr>
              <w:jc w:val="left"/>
              <w:rPr>
                <w:snapToGrid/>
                <w:szCs w:val="24"/>
              </w:rPr>
            </w:pPr>
            <w:r>
              <w:rPr>
                <w:snapToGrid/>
                <w:szCs w:val="24"/>
              </w:rPr>
              <w:t xml:space="preserve">Формула: </w:t>
            </w:r>
          </w:p>
          <w:p w:rsidR="00D7306D" w:rsidRPr="00725571" w:rsidRDefault="00D7306D" w:rsidP="00D7306D">
            <w:pPr>
              <w:jc w:val="left"/>
              <w:rPr>
                <w:snapToGrid/>
                <w:szCs w:val="24"/>
              </w:rPr>
            </w:pPr>
            <w:r>
              <w:rPr>
                <w:snapToGrid/>
                <w:szCs w:val="24"/>
              </w:rPr>
              <w:t>«</w:t>
            </w:r>
            <w:r w:rsidRPr="00725571">
              <w:rPr>
                <w:snapToGrid/>
                <w:szCs w:val="24"/>
              </w:rPr>
              <w:t xml:space="preserve">Принятые </w:t>
            </w:r>
            <w:r>
              <w:rPr>
                <w:snapToGrid/>
                <w:szCs w:val="24"/>
              </w:rPr>
              <w:t>БО»</w:t>
            </w:r>
            <w:r w:rsidRPr="00725571">
              <w:rPr>
                <w:snapToGrid/>
                <w:szCs w:val="24"/>
              </w:rPr>
              <w:t xml:space="preserve"> / </w:t>
            </w:r>
            <w:r>
              <w:rPr>
                <w:snapToGrid/>
                <w:szCs w:val="24"/>
              </w:rPr>
              <w:t>«</w:t>
            </w:r>
            <w:r w:rsidRPr="00725571">
              <w:rPr>
                <w:snapToGrid/>
                <w:szCs w:val="24"/>
              </w:rPr>
              <w:t>Роспись</w:t>
            </w:r>
            <w:r>
              <w:rPr>
                <w:snapToGrid/>
                <w:szCs w:val="24"/>
              </w:rPr>
              <w:t>»</w:t>
            </w:r>
            <w:r w:rsidRPr="00725571">
              <w:rPr>
                <w:snapToGrid/>
                <w:szCs w:val="24"/>
              </w:rPr>
              <w:t xml:space="preserve"> * 100</w:t>
            </w:r>
            <w:r>
              <w:rPr>
                <w:snapToGrid/>
                <w:szCs w:val="24"/>
              </w:rPr>
              <w:t>%</w:t>
            </w:r>
          </w:p>
        </w:tc>
      </w:tr>
      <w:tr w:rsidR="00D7306D" w:rsidRPr="00725571" w:rsidTr="00D7306D">
        <w:trPr>
          <w:trHeight w:val="99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Контрольная точка</w:t>
            </w:r>
          </w:p>
        </w:tc>
        <w:tc>
          <w:tcPr>
            <w:tcW w:w="3057" w:type="pct"/>
            <w:shd w:val="clear" w:color="auto" w:fill="auto"/>
            <w:hideMark/>
          </w:tcPr>
          <w:p w:rsidR="00D7306D" w:rsidRDefault="00D7306D" w:rsidP="00D7306D">
            <w:pPr>
              <w:jc w:val="left"/>
              <w:rPr>
                <w:snapToGrid/>
                <w:szCs w:val="24"/>
              </w:rPr>
            </w:pPr>
            <w:r w:rsidRPr="00725571">
              <w:rPr>
                <w:snapToGrid/>
                <w:szCs w:val="24"/>
              </w:rPr>
              <w:t xml:space="preserve">Контрольная точка </w:t>
            </w:r>
            <w:r>
              <w:rPr>
                <w:snapToGrid/>
                <w:szCs w:val="24"/>
              </w:rPr>
              <w:t xml:space="preserve">этапа «Принятие обязательств (заключение контрактов и соглашений)» </w:t>
            </w:r>
            <w:r w:rsidRPr="00725571">
              <w:rPr>
                <w:snapToGrid/>
                <w:szCs w:val="24"/>
              </w:rPr>
              <w:t xml:space="preserve">в соответствии с типовым графиком в формате: </w:t>
            </w:r>
            <w:r>
              <w:rPr>
                <w:snapToGrid/>
                <w:szCs w:val="24"/>
              </w:rPr>
              <w:t>«</w:t>
            </w:r>
            <w:r w:rsidRPr="00725571">
              <w:rPr>
                <w:snapToGrid/>
                <w:szCs w:val="24"/>
              </w:rPr>
              <w:t>100% на 01.01.2021</w:t>
            </w:r>
            <w:r>
              <w:rPr>
                <w:snapToGrid/>
                <w:szCs w:val="24"/>
              </w:rPr>
              <w:t>»</w:t>
            </w:r>
          </w:p>
          <w:p w:rsidR="00D7306D" w:rsidRPr="001E50AD" w:rsidRDefault="00D7306D" w:rsidP="00D7306D">
            <w:pPr>
              <w:jc w:val="left"/>
              <w:rPr>
                <w:i/>
                <w:snapToGrid/>
                <w:szCs w:val="24"/>
              </w:rPr>
            </w:pPr>
            <w:r w:rsidRPr="001E50AD">
              <w:rPr>
                <w:i/>
                <w:color w:val="auto"/>
                <w:szCs w:val="24"/>
              </w:rPr>
              <w:t xml:space="preserve">Колонка схлопнута за колонкой </w:t>
            </w:r>
            <w:r>
              <w:rPr>
                <w:i/>
                <w:color w:val="auto"/>
                <w:szCs w:val="24"/>
              </w:rPr>
              <w:t>«</w:t>
            </w:r>
            <w:r w:rsidRPr="001E50AD">
              <w:rPr>
                <w:i/>
                <w:snapToGrid/>
                <w:szCs w:val="24"/>
              </w:rPr>
              <w:t>% к росписи (принятые БО)</w:t>
            </w:r>
            <w:r w:rsidRPr="001E50AD">
              <w:rPr>
                <w:i/>
                <w:color w:val="auto"/>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Не принятые БО (от росписи)</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Default="00D7306D" w:rsidP="00D7306D">
            <w:pPr>
              <w:jc w:val="left"/>
              <w:rPr>
                <w:snapToGrid/>
                <w:szCs w:val="24"/>
              </w:rPr>
            </w:pPr>
            <w:r>
              <w:rPr>
                <w:snapToGrid/>
                <w:szCs w:val="24"/>
              </w:rPr>
              <w:t>«</w:t>
            </w:r>
            <w:r w:rsidRPr="00725571">
              <w:rPr>
                <w:snapToGrid/>
                <w:szCs w:val="24"/>
              </w:rPr>
              <w:t>Роспись</w:t>
            </w:r>
            <w:r>
              <w:rPr>
                <w:snapToGrid/>
                <w:szCs w:val="24"/>
              </w:rPr>
              <w:t>»</w:t>
            </w:r>
            <w:r w:rsidRPr="00725571">
              <w:rPr>
                <w:snapToGrid/>
                <w:szCs w:val="24"/>
              </w:rPr>
              <w:t xml:space="preserve"> </w:t>
            </w:r>
            <w:r>
              <w:rPr>
                <w:snapToGrid/>
                <w:szCs w:val="24"/>
              </w:rPr>
              <w:t>МИНУС «</w:t>
            </w:r>
            <w:r w:rsidRPr="00725571">
              <w:rPr>
                <w:snapToGrid/>
                <w:szCs w:val="24"/>
              </w:rPr>
              <w:t>Принятые обязательства</w:t>
            </w:r>
            <w:r>
              <w:rPr>
                <w:snapToGrid/>
                <w:szCs w:val="24"/>
              </w:rPr>
              <w:t>».</w:t>
            </w:r>
          </w:p>
          <w:p w:rsidR="00D7306D" w:rsidRPr="00725571" w:rsidRDefault="00D7306D" w:rsidP="00D7306D">
            <w:pPr>
              <w:jc w:val="left"/>
              <w:rPr>
                <w:snapToGrid/>
                <w:szCs w:val="24"/>
              </w:rPr>
            </w:pPr>
            <w:r w:rsidRPr="001E50AD">
              <w:rPr>
                <w:i/>
                <w:color w:val="auto"/>
                <w:szCs w:val="24"/>
              </w:rPr>
              <w:t xml:space="preserve">Колонка схлопнута за колонкой </w:t>
            </w:r>
            <w:r>
              <w:rPr>
                <w:i/>
                <w:color w:val="auto"/>
                <w:szCs w:val="24"/>
              </w:rPr>
              <w:t>«</w:t>
            </w:r>
            <w:r w:rsidRPr="001E50AD">
              <w:rPr>
                <w:i/>
                <w:snapToGrid/>
                <w:szCs w:val="24"/>
              </w:rPr>
              <w:t>% к росписи (принятые БО)</w:t>
            </w:r>
            <w:r w:rsidRPr="001E50AD">
              <w:rPr>
                <w:i/>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 принятые БО (от распределено)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Распределено</w:t>
            </w:r>
            <w:r>
              <w:rPr>
                <w:snapToGrid/>
                <w:szCs w:val="24"/>
              </w:rPr>
              <w:t>»</w:t>
            </w:r>
            <w:r w:rsidRPr="00725571">
              <w:rPr>
                <w:snapToGrid/>
                <w:szCs w:val="24"/>
              </w:rPr>
              <w:t xml:space="preserve"> </w:t>
            </w:r>
            <w:r>
              <w:rPr>
                <w:snapToGrid/>
                <w:szCs w:val="24"/>
              </w:rPr>
              <w:t>МИНУС «</w:t>
            </w:r>
            <w:r w:rsidRPr="00725571">
              <w:rPr>
                <w:snapToGrid/>
                <w:szCs w:val="24"/>
              </w:rPr>
              <w:t>Принятые обязательства</w:t>
            </w:r>
            <w:r>
              <w:rPr>
                <w:snapToGrid/>
                <w:szCs w:val="24"/>
              </w:rPr>
              <w:t>».</w:t>
            </w:r>
          </w:p>
        </w:tc>
      </w:tr>
      <w:tr w:rsidR="00D7306D" w:rsidRPr="00725571" w:rsidTr="00D7306D">
        <w:trPr>
          <w:trHeight w:val="36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Действующие обязательства</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pStyle w:val="af0"/>
              <w:ind w:firstLine="0"/>
              <w:jc w:val="left"/>
              <w:rPr>
                <w:color w:val="auto"/>
                <w:sz w:val="24"/>
                <w:szCs w:val="24"/>
              </w:rPr>
            </w:pPr>
            <w:r>
              <w:rPr>
                <w:color w:val="auto"/>
                <w:sz w:val="24"/>
                <w:szCs w:val="24"/>
              </w:rPr>
              <w:t>Показатель «Не принятые БО (от распределено) по показателям:</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2748A9">
              <w:rPr>
                <w:color w:val="auto"/>
                <w:sz w:val="24"/>
                <w:szCs w:val="24"/>
              </w:rPr>
              <w:t>Выплаты персоналу</w:t>
            </w:r>
            <w:r>
              <w:rPr>
                <w:color w:val="auto"/>
                <w:sz w:val="24"/>
                <w:szCs w:val="24"/>
              </w:rPr>
              <w:t>» (вид расходов 100);</w:t>
            </w:r>
          </w:p>
          <w:p w:rsidR="00D7306D" w:rsidRDefault="00D7306D" w:rsidP="005C6E50">
            <w:pPr>
              <w:pStyle w:val="af0"/>
              <w:numPr>
                <w:ilvl w:val="0"/>
                <w:numId w:val="123"/>
              </w:numPr>
              <w:ind w:left="360"/>
              <w:jc w:val="left"/>
              <w:rPr>
                <w:color w:val="auto"/>
                <w:sz w:val="24"/>
                <w:szCs w:val="24"/>
              </w:rPr>
            </w:pPr>
            <w:r>
              <w:rPr>
                <w:color w:val="auto"/>
                <w:sz w:val="24"/>
                <w:szCs w:val="24"/>
              </w:rPr>
              <w:t xml:space="preserve">«Социальное </w:t>
            </w:r>
            <w:r w:rsidRPr="002748A9">
              <w:rPr>
                <w:color w:val="auto"/>
                <w:sz w:val="24"/>
                <w:szCs w:val="24"/>
              </w:rPr>
              <w:t>обеспечение</w:t>
            </w:r>
            <w:r>
              <w:rPr>
                <w:color w:val="auto"/>
                <w:sz w:val="24"/>
                <w:szCs w:val="24"/>
              </w:rPr>
              <w:t>» (виды расходов 300 кроме 323);</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2748A9">
              <w:rPr>
                <w:color w:val="auto"/>
                <w:sz w:val="24"/>
                <w:szCs w:val="24"/>
              </w:rPr>
              <w:t>Уплата налогов</w:t>
            </w:r>
            <w:r>
              <w:rPr>
                <w:color w:val="auto"/>
                <w:sz w:val="24"/>
                <w:szCs w:val="24"/>
              </w:rPr>
              <w:t xml:space="preserve">» (виды расходов </w:t>
            </w:r>
            <w:r w:rsidRPr="00DF0010">
              <w:rPr>
                <w:color w:val="auto"/>
                <w:sz w:val="24"/>
                <w:szCs w:val="24"/>
              </w:rPr>
              <w:t>831, 850, 88</w:t>
            </w:r>
            <w:r>
              <w:rPr>
                <w:color w:val="auto"/>
                <w:sz w:val="24"/>
                <w:szCs w:val="24"/>
              </w:rPr>
              <w:t>0);</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Международные обязательства</w:t>
            </w:r>
            <w:r>
              <w:rPr>
                <w:color w:val="auto"/>
                <w:sz w:val="24"/>
                <w:szCs w:val="24"/>
              </w:rPr>
              <w:t>» (виды расходов 832, 860);</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Долг и гарантии</w:t>
            </w:r>
            <w:r>
              <w:rPr>
                <w:color w:val="auto"/>
                <w:sz w:val="24"/>
                <w:szCs w:val="24"/>
              </w:rPr>
              <w:t>» (виды расходов 710, 841);</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МБТ ГВБФ</w:t>
            </w:r>
            <w:r>
              <w:rPr>
                <w:color w:val="auto"/>
                <w:sz w:val="24"/>
                <w:szCs w:val="24"/>
              </w:rPr>
              <w:t>» (виды расходов 550, 560, 570);</w:t>
            </w:r>
          </w:p>
          <w:p w:rsidR="00D7306D" w:rsidRDefault="00D7306D" w:rsidP="005C6E50">
            <w:pPr>
              <w:pStyle w:val="af0"/>
              <w:numPr>
                <w:ilvl w:val="0"/>
                <w:numId w:val="123"/>
              </w:numPr>
              <w:ind w:left="360"/>
              <w:jc w:val="left"/>
              <w:rPr>
                <w:color w:val="auto"/>
                <w:sz w:val="24"/>
                <w:szCs w:val="24"/>
              </w:rPr>
            </w:pPr>
            <w:r w:rsidRPr="00DF0010">
              <w:rPr>
                <w:color w:val="auto"/>
                <w:sz w:val="24"/>
                <w:szCs w:val="24"/>
              </w:rPr>
              <w:t>«</w:t>
            </w:r>
            <w:r>
              <w:rPr>
                <w:color w:val="auto"/>
                <w:sz w:val="24"/>
                <w:szCs w:val="24"/>
              </w:rPr>
              <w:t>МБТ субъектам (до</w:t>
            </w:r>
            <w:r w:rsidRPr="00DF0010">
              <w:rPr>
                <w:color w:val="auto"/>
                <w:sz w:val="24"/>
                <w:szCs w:val="24"/>
              </w:rPr>
              <w:t>тации)» (виды расходов 510)</w:t>
            </w:r>
            <w:r>
              <w:rPr>
                <w:color w:val="auto"/>
                <w:sz w:val="24"/>
                <w:szCs w:val="24"/>
              </w:rPr>
              <w:t>;</w:t>
            </w:r>
          </w:p>
          <w:p w:rsidR="00D7306D" w:rsidRDefault="00D7306D" w:rsidP="005C6E50">
            <w:pPr>
              <w:pStyle w:val="af0"/>
              <w:numPr>
                <w:ilvl w:val="0"/>
                <w:numId w:val="123"/>
              </w:numPr>
              <w:ind w:left="360"/>
              <w:jc w:val="left"/>
              <w:rPr>
                <w:color w:val="auto"/>
                <w:sz w:val="24"/>
                <w:szCs w:val="24"/>
              </w:rPr>
            </w:pPr>
            <w:r>
              <w:rPr>
                <w:color w:val="auto"/>
                <w:sz w:val="24"/>
                <w:szCs w:val="24"/>
              </w:rPr>
              <w:t>«</w:t>
            </w:r>
            <w:r w:rsidRPr="00DF0010">
              <w:rPr>
                <w:color w:val="auto"/>
                <w:sz w:val="24"/>
                <w:szCs w:val="24"/>
              </w:rPr>
              <w:t>Иные действующие обязательства</w:t>
            </w:r>
            <w:r>
              <w:rPr>
                <w:color w:val="auto"/>
                <w:sz w:val="24"/>
                <w:szCs w:val="24"/>
              </w:rPr>
              <w:t xml:space="preserve">» (по формуле: </w:t>
            </w:r>
          </w:p>
          <w:p w:rsidR="00D7306D" w:rsidRPr="00725571" w:rsidRDefault="00D7306D" w:rsidP="00D7306D">
            <w:pPr>
              <w:jc w:val="left"/>
              <w:rPr>
                <w:snapToGrid/>
                <w:szCs w:val="24"/>
              </w:rPr>
            </w:pPr>
            <w:r>
              <w:rPr>
                <w:color w:val="auto"/>
                <w:szCs w:val="24"/>
              </w:rPr>
              <w:t>«Распределено» МИНУС «Н</w:t>
            </w:r>
            <w:r w:rsidRPr="00DF0010">
              <w:rPr>
                <w:color w:val="auto"/>
                <w:szCs w:val="24"/>
              </w:rPr>
              <w:t>е приняты</w:t>
            </w:r>
            <w:r>
              <w:rPr>
                <w:color w:val="auto"/>
                <w:szCs w:val="24"/>
              </w:rPr>
              <w:t>е</w:t>
            </w:r>
            <w:r w:rsidRPr="00DF0010">
              <w:rPr>
                <w:color w:val="auto"/>
                <w:szCs w:val="24"/>
              </w:rPr>
              <w:t xml:space="preserve"> БО</w:t>
            </w:r>
            <w:r>
              <w:rPr>
                <w:color w:val="auto"/>
                <w:szCs w:val="24"/>
              </w:rPr>
              <w:t xml:space="preserve"> (по контрактам и соглашениям» МИНУС «Выплаты персоналу» МИНУС «</w:t>
            </w:r>
            <w:r w:rsidRPr="00DF0010">
              <w:rPr>
                <w:color w:val="auto"/>
                <w:szCs w:val="24"/>
              </w:rPr>
              <w:t>Соц</w:t>
            </w:r>
            <w:r>
              <w:rPr>
                <w:color w:val="auto"/>
                <w:szCs w:val="24"/>
              </w:rPr>
              <w:t>иальное</w:t>
            </w:r>
            <w:r w:rsidRPr="00DF0010">
              <w:rPr>
                <w:color w:val="auto"/>
                <w:szCs w:val="24"/>
              </w:rPr>
              <w:t xml:space="preserve"> обеспечение</w:t>
            </w:r>
            <w:r>
              <w:rPr>
                <w:color w:val="auto"/>
                <w:szCs w:val="24"/>
              </w:rPr>
              <w:t>» МИНУС «</w:t>
            </w:r>
            <w:r w:rsidRPr="00DF0010">
              <w:rPr>
                <w:color w:val="auto"/>
                <w:szCs w:val="24"/>
              </w:rPr>
              <w:t>Уплата налогов</w:t>
            </w:r>
            <w:r>
              <w:rPr>
                <w:color w:val="auto"/>
                <w:szCs w:val="24"/>
              </w:rPr>
              <w:t>» МИНУС «</w:t>
            </w:r>
            <w:r w:rsidRPr="00DF0010">
              <w:rPr>
                <w:color w:val="auto"/>
                <w:szCs w:val="24"/>
              </w:rPr>
              <w:t>Международные обязательства</w:t>
            </w:r>
            <w:r>
              <w:rPr>
                <w:color w:val="auto"/>
                <w:szCs w:val="24"/>
              </w:rPr>
              <w:t>» МИНУС «</w:t>
            </w:r>
            <w:r w:rsidRPr="00DF0010">
              <w:rPr>
                <w:color w:val="auto"/>
                <w:szCs w:val="24"/>
              </w:rPr>
              <w:t>Долг и гарантии</w:t>
            </w:r>
            <w:r>
              <w:rPr>
                <w:color w:val="auto"/>
                <w:szCs w:val="24"/>
              </w:rPr>
              <w:t>» МИНУС «</w:t>
            </w:r>
            <w:r w:rsidRPr="00DF0010">
              <w:rPr>
                <w:color w:val="auto"/>
                <w:szCs w:val="24"/>
              </w:rPr>
              <w:t>Нет МБТ ГВБФ</w:t>
            </w:r>
            <w:r>
              <w:rPr>
                <w:color w:val="auto"/>
                <w:szCs w:val="24"/>
              </w:rPr>
              <w:t>» МИНУС «М</w:t>
            </w:r>
            <w:r w:rsidRPr="00DF0010">
              <w:rPr>
                <w:color w:val="auto"/>
                <w:szCs w:val="24"/>
              </w:rPr>
              <w:t>БТ субъектам</w:t>
            </w:r>
            <w:r>
              <w:rPr>
                <w:color w:val="auto"/>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Выплаты персоналу</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sidRPr="00725571">
              <w:rPr>
                <w:snapToGrid/>
                <w:sz w:val="24"/>
                <w:szCs w:val="24"/>
              </w:rPr>
              <w:t>КВР 100</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Соц.обеспечение</w:t>
            </w:r>
          </w:p>
        </w:tc>
        <w:tc>
          <w:tcPr>
            <w:tcW w:w="3057" w:type="pct"/>
            <w:shd w:val="clear" w:color="auto" w:fill="auto"/>
            <w:hideMark/>
          </w:tcPr>
          <w:p w:rsidR="00D7306D" w:rsidRDefault="00D7306D" w:rsidP="00D7306D">
            <w:pPr>
              <w:pStyle w:val="af0"/>
              <w:ind w:firstLine="0"/>
              <w:jc w:val="left"/>
              <w:rPr>
                <w:color w:val="auto"/>
                <w:szCs w:val="24"/>
              </w:rPr>
            </w:pPr>
            <w:r>
              <w:rPr>
                <w:color w:val="auto"/>
                <w:sz w:val="24"/>
                <w:szCs w:val="24"/>
              </w:rPr>
              <w:t xml:space="preserve">Формула: Показатель «Не принятые БО (от распределено) по </w:t>
            </w:r>
            <w:r w:rsidRPr="00725571">
              <w:rPr>
                <w:snapToGrid/>
                <w:sz w:val="24"/>
                <w:szCs w:val="24"/>
              </w:rPr>
              <w:t>КВР 300</w:t>
            </w:r>
            <w:r>
              <w:rPr>
                <w:snapToGrid/>
                <w:szCs w:val="24"/>
              </w:rPr>
              <w:t xml:space="preserve"> </w:t>
            </w:r>
            <w:r>
              <w:rPr>
                <w:color w:val="auto"/>
                <w:sz w:val="24"/>
                <w:szCs w:val="24"/>
              </w:rPr>
              <w:t>кроме 323</w:t>
            </w:r>
            <w:r>
              <w:rPr>
                <w:color w:val="auto"/>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Уплата налогов</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sidRPr="00725571">
              <w:rPr>
                <w:snapToGrid/>
                <w:sz w:val="24"/>
                <w:szCs w:val="24"/>
              </w:rPr>
              <w:t>831,850, 880</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Международные обязательства</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sidRPr="00725571">
              <w:rPr>
                <w:snapToGrid/>
                <w:sz w:val="24"/>
                <w:szCs w:val="24"/>
              </w:rPr>
              <w:t>832, 860</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Долг и гарантии</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Pr>
                <w:color w:val="auto"/>
                <w:szCs w:val="24"/>
              </w:rPr>
              <w:t xml:space="preserve">КВР </w:t>
            </w:r>
            <w:r w:rsidRPr="00725571">
              <w:rPr>
                <w:snapToGrid/>
                <w:sz w:val="24"/>
                <w:szCs w:val="24"/>
              </w:rPr>
              <w:t>710, 841</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Нет МБТ ГВБФ</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sidRPr="00725571">
              <w:rPr>
                <w:snapToGrid/>
                <w:sz w:val="24"/>
                <w:szCs w:val="24"/>
              </w:rPr>
              <w:t>КВР 550, 560, 570</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33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Нет МБТ субъектам</w:t>
            </w:r>
          </w:p>
        </w:tc>
        <w:tc>
          <w:tcPr>
            <w:tcW w:w="3057" w:type="pct"/>
            <w:shd w:val="clear" w:color="auto" w:fill="auto"/>
            <w:hideMark/>
          </w:tcPr>
          <w:p w:rsidR="00D7306D" w:rsidRDefault="00D7306D" w:rsidP="00D7306D">
            <w:pPr>
              <w:pStyle w:val="af0"/>
              <w:ind w:firstLine="0"/>
              <w:jc w:val="left"/>
              <w:rPr>
                <w:snapToGrid/>
                <w:szCs w:val="24"/>
              </w:rPr>
            </w:pPr>
            <w:r>
              <w:rPr>
                <w:color w:val="auto"/>
                <w:sz w:val="24"/>
                <w:szCs w:val="24"/>
              </w:rPr>
              <w:t xml:space="preserve">Формула: Показатель «Не принятые БО (от распределено) по </w:t>
            </w:r>
            <w:r w:rsidRPr="00725571">
              <w:rPr>
                <w:snapToGrid/>
                <w:sz w:val="24"/>
                <w:szCs w:val="24"/>
              </w:rPr>
              <w:t>КВР 510</w:t>
            </w:r>
            <w:r>
              <w:rPr>
                <w:snapToGrid/>
                <w:szCs w:val="24"/>
              </w:rPr>
              <w:t>.</w:t>
            </w:r>
          </w:p>
          <w:p w:rsidR="00D7306D" w:rsidRPr="00725571" w:rsidRDefault="00D7306D" w:rsidP="00D7306D">
            <w:pPr>
              <w:pStyle w:val="af0"/>
              <w:ind w:firstLine="0"/>
              <w:jc w:val="left"/>
              <w:rPr>
                <w:snapToGrid/>
                <w:sz w:val="24"/>
                <w:szCs w:val="24"/>
              </w:rPr>
            </w:pPr>
            <w:r w:rsidRPr="001E50AD">
              <w:rPr>
                <w:i/>
                <w:color w:val="auto"/>
                <w:sz w:val="24"/>
                <w:szCs w:val="24"/>
              </w:rPr>
              <w:t>Колонка схлопн</w:t>
            </w:r>
            <w:r w:rsidRPr="007D0B14">
              <w:rPr>
                <w:i/>
                <w:color w:val="auto"/>
                <w:sz w:val="24"/>
                <w:szCs w:val="24"/>
              </w:rPr>
              <w:t>ута за колонкой «</w:t>
            </w:r>
            <w:r w:rsidRPr="007D0B14">
              <w:rPr>
                <w:i/>
                <w:snapToGrid/>
                <w:sz w:val="24"/>
                <w:szCs w:val="24"/>
              </w:rPr>
              <w:t>Действующие обязательства</w:t>
            </w:r>
            <w:r w:rsidRPr="007D0B14">
              <w:rPr>
                <w:i/>
                <w:color w:val="auto"/>
                <w:sz w:val="24"/>
                <w:szCs w:val="24"/>
              </w:rPr>
              <w:t>».</w:t>
            </w:r>
          </w:p>
        </w:tc>
      </w:tr>
      <w:tr w:rsidR="00D7306D" w:rsidRPr="00725571" w:rsidTr="00D7306D">
        <w:trPr>
          <w:trHeight w:val="1980"/>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Иное</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jc w:val="left"/>
              <w:rPr>
                <w:color w:val="auto"/>
                <w:szCs w:val="24"/>
              </w:rPr>
            </w:pPr>
            <w:r>
              <w:rPr>
                <w:color w:val="auto"/>
                <w:szCs w:val="24"/>
              </w:rPr>
              <w:t xml:space="preserve">«Распределено» МИНУС </w:t>
            </w:r>
          </w:p>
          <w:p w:rsidR="00D7306D" w:rsidRDefault="00D7306D" w:rsidP="00D7306D">
            <w:pPr>
              <w:jc w:val="left"/>
              <w:rPr>
                <w:color w:val="auto"/>
                <w:szCs w:val="24"/>
              </w:rPr>
            </w:pPr>
            <w:r>
              <w:rPr>
                <w:color w:val="auto"/>
                <w:szCs w:val="24"/>
              </w:rPr>
              <w:t>«Н</w:t>
            </w:r>
            <w:r w:rsidRPr="00DF0010">
              <w:rPr>
                <w:color w:val="auto"/>
                <w:szCs w:val="24"/>
              </w:rPr>
              <w:t>е приняты</w:t>
            </w:r>
            <w:r>
              <w:rPr>
                <w:color w:val="auto"/>
                <w:szCs w:val="24"/>
              </w:rPr>
              <w:t>е</w:t>
            </w:r>
            <w:r w:rsidRPr="00DF0010">
              <w:rPr>
                <w:color w:val="auto"/>
                <w:szCs w:val="24"/>
              </w:rPr>
              <w:t xml:space="preserve"> БО</w:t>
            </w:r>
            <w:r>
              <w:rPr>
                <w:color w:val="auto"/>
                <w:szCs w:val="24"/>
              </w:rPr>
              <w:t xml:space="preserve"> (по контрактам и соглашениям» МИНУС «Выплаты персоналу» МИНУС «</w:t>
            </w:r>
            <w:r w:rsidRPr="00DF0010">
              <w:rPr>
                <w:color w:val="auto"/>
                <w:szCs w:val="24"/>
              </w:rPr>
              <w:t>Соц</w:t>
            </w:r>
            <w:r>
              <w:rPr>
                <w:color w:val="auto"/>
                <w:szCs w:val="24"/>
              </w:rPr>
              <w:t>иальное</w:t>
            </w:r>
            <w:r w:rsidRPr="00DF0010">
              <w:rPr>
                <w:color w:val="auto"/>
                <w:szCs w:val="24"/>
              </w:rPr>
              <w:t xml:space="preserve"> обеспечение</w:t>
            </w:r>
            <w:r>
              <w:rPr>
                <w:color w:val="auto"/>
                <w:szCs w:val="24"/>
              </w:rPr>
              <w:t>» МИНУС «</w:t>
            </w:r>
            <w:r w:rsidRPr="00DF0010">
              <w:rPr>
                <w:color w:val="auto"/>
                <w:szCs w:val="24"/>
              </w:rPr>
              <w:t>Уплата налогов</w:t>
            </w:r>
            <w:r>
              <w:rPr>
                <w:color w:val="auto"/>
                <w:szCs w:val="24"/>
              </w:rPr>
              <w:t>» МИНУС «</w:t>
            </w:r>
            <w:r w:rsidRPr="00DF0010">
              <w:rPr>
                <w:color w:val="auto"/>
                <w:szCs w:val="24"/>
              </w:rPr>
              <w:t>Международные обязательства</w:t>
            </w:r>
            <w:r>
              <w:rPr>
                <w:color w:val="auto"/>
                <w:szCs w:val="24"/>
              </w:rPr>
              <w:t>» МИНУС «</w:t>
            </w:r>
            <w:r w:rsidRPr="00DF0010">
              <w:rPr>
                <w:color w:val="auto"/>
                <w:szCs w:val="24"/>
              </w:rPr>
              <w:t>Долг и гарантии</w:t>
            </w:r>
            <w:r>
              <w:rPr>
                <w:color w:val="auto"/>
                <w:szCs w:val="24"/>
              </w:rPr>
              <w:t>» МИНУС «</w:t>
            </w:r>
            <w:r w:rsidRPr="00DF0010">
              <w:rPr>
                <w:color w:val="auto"/>
                <w:szCs w:val="24"/>
              </w:rPr>
              <w:t>Нет МБТ ГВБФ</w:t>
            </w:r>
            <w:r>
              <w:rPr>
                <w:color w:val="auto"/>
                <w:szCs w:val="24"/>
              </w:rPr>
              <w:t>» МИНУС «М</w:t>
            </w:r>
            <w:r w:rsidRPr="00DF0010">
              <w:rPr>
                <w:color w:val="auto"/>
                <w:szCs w:val="24"/>
              </w:rPr>
              <w:t>БТ субъектам</w:t>
            </w:r>
            <w:r>
              <w:rPr>
                <w:color w:val="auto"/>
                <w:szCs w:val="24"/>
              </w:rPr>
              <w:t>».</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D0B14">
              <w:rPr>
                <w:i/>
                <w:snapToGrid/>
                <w:szCs w:val="24"/>
              </w:rPr>
              <w:t>Действующие обязательства</w:t>
            </w:r>
            <w:r w:rsidRPr="007D0B14">
              <w:rPr>
                <w:i/>
                <w:color w:val="auto"/>
                <w:szCs w:val="24"/>
              </w:rPr>
              <w:t>».</w:t>
            </w:r>
          </w:p>
        </w:tc>
      </w:tr>
      <w:tr w:rsidR="00D7306D" w:rsidRPr="00725571" w:rsidTr="00D7306D">
        <w:trPr>
          <w:trHeight w:val="132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 принятые БО (по контрактам и соглашениям)</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pStyle w:val="af0"/>
              <w:ind w:firstLine="0"/>
              <w:jc w:val="left"/>
              <w:rPr>
                <w:color w:val="auto"/>
                <w:sz w:val="24"/>
                <w:szCs w:val="24"/>
              </w:rPr>
            </w:pPr>
            <w:r>
              <w:rPr>
                <w:color w:val="auto"/>
                <w:sz w:val="24"/>
                <w:szCs w:val="24"/>
              </w:rPr>
              <w:t>«Не принятые БО (от распределено) по показателям:</w:t>
            </w:r>
          </w:p>
          <w:p w:rsidR="00D7306D" w:rsidRPr="00884D32" w:rsidRDefault="00D7306D" w:rsidP="005C6E50">
            <w:pPr>
              <w:pStyle w:val="af0"/>
              <w:numPr>
                <w:ilvl w:val="0"/>
                <w:numId w:val="123"/>
              </w:numPr>
              <w:ind w:left="360"/>
              <w:jc w:val="left"/>
              <w:rPr>
                <w:color w:val="auto"/>
                <w:sz w:val="24"/>
                <w:szCs w:val="24"/>
              </w:rPr>
            </w:pPr>
            <w:r>
              <w:rPr>
                <w:snapToGrid/>
                <w:sz w:val="24"/>
                <w:szCs w:val="24"/>
              </w:rPr>
              <w:t>«</w:t>
            </w:r>
            <w:r w:rsidRPr="00725571">
              <w:rPr>
                <w:snapToGrid/>
                <w:sz w:val="24"/>
                <w:szCs w:val="24"/>
              </w:rPr>
              <w:t>Не заключены контракты на поставку товаров (работ, услуг)</w:t>
            </w:r>
            <w:r>
              <w:rPr>
                <w:snapToGrid/>
                <w:sz w:val="24"/>
                <w:szCs w:val="24"/>
              </w:rPr>
              <w:t xml:space="preserve">» ПЛЮС </w:t>
            </w:r>
          </w:p>
          <w:p w:rsidR="00D7306D" w:rsidRPr="00884D32" w:rsidRDefault="00D7306D" w:rsidP="005C6E50">
            <w:pPr>
              <w:pStyle w:val="af0"/>
              <w:numPr>
                <w:ilvl w:val="0"/>
                <w:numId w:val="123"/>
              </w:numPr>
              <w:ind w:left="360"/>
              <w:jc w:val="left"/>
              <w:rPr>
                <w:color w:val="auto"/>
                <w:sz w:val="24"/>
                <w:szCs w:val="24"/>
              </w:rPr>
            </w:pPr>
            <w:r>
              <w:rPr>
                <w:snapToGrid/>
                <w:sz w:val="24"/>
                <w:szCs w:val="24"/>
              </w:rPr>
              <w:t>«</w:t>
            </w:r>
            <w:r w:rsidRPr="00725571">
              <w:rPr>
                <w:snapToGrid/>
                <w:sz w:val="24"/>
                <w:szCs w:val="24"/>
              </w:rPr>
              <w:t>Не заключены соглашения с субъектами РФ на МБТ</w:t>
            </w:r>
            <w:r>
              <w:rPr>
                <w:snapToGrid/>
                <w:sz w:val="24"/>
                <w:szCs w:val="24"/>
              </w:rPr>
              <w:t xml:space="preserve">» ПЛЮС </w:t>
            </w:r>
          </w:p>
          <w:p w:rsidR="00D7306D" w:rsidRPr="00884D32" w:rsidRDefault="00D7306D" w:rsidP="005C6E50">
            <w:pPr>
              <w:pStyle w:val="af0"/>
              <w:numPr>
                <w:ilvl w:val="0"/>
                <w:numId w:val="123"/>
              </w:numPr>
              <w:ind w:left="360"/>
              <w:jc w:val="left"/>
              <w:rPr>
                <w:color w:val="auto"/>
                <w:sz w:val="24"/>
                <w:szCs w:val="24"/>
              </w:rPr>
            </w:pPr>
            <w:r>
              <w:rPr>
                <w:sz w:val="24"/>
                <w:szCs w:val="24"/>
              </w:rPr>
              <w:t>«</w:t>
            </w:r>
            <w:r w:rsidRPr="00725571">
              <w:rPr>
                <w:snapToGrid/>
                <w:sz w:val="24"/>
                <w:szCs w:val="24"/>
              </w:rPr>
              <w:t>Не заключены соглашения с ЮЛ</w:t>
            </w:r>
            <w:r>
              <w:rPr>
                <w:sz w:val="24"/>
                <w:szCs w:val="24"/>
              </w:rPr>
              <w:t xml:space="preserve">» ПЛЮС </w:t>
            </w:r>
          </w:p>
          <w:p w:rsidR="00D7306D" w:rsidRPr="00884D32" w:rsidRDefault="00D7306D" w:rsidP="005C6E50">
            <w:pPr>
              <w:pStyle w:val="af0"/>
              <w:numPr>
                <w:ilvl w:val="0"/>
                <w:numId w:val="123"/>
              </w:numPr>
              <w:ind w:left="360"/>
              <w:jc w:val="left"/>
              <w:rPr>
                <w:color w:val="auto"/>
                <w:sz w:val="24"/>
                <w:szCs w:val="24"/>
              </w:rPr>
            </w:pPr>
            <w:r>
              <w:rPr>
                <w:color w:val="auto"/>
                <w:sz w:val="24"/>
                <w:szCs w:val="24"/>
              </w:rPr>
              <w:t>«</w:t>
            </w:r>
            <w:r w:rsidRPr="00725571">
              <w:rPr>
                <w:snapToGrid/>
                <w:sz w:val="24"/>
                <w:szCs w:val="24"/>
              </w:rPr>
              <w:t>Не заключены соглашения с БУ/АУ на гос.задания</w:t>
            </w:r>
            <w:r>
              <w:rPr>
                <w:snapToGrid/>
                <w:sz w:val="24"/>
                <w:szCs w:val="24"/>
              </w:rPr>
              <w:t>» ПЛЮС</w:t>
            </w:r>
          </w:p>
          <w:p w:rsidR="00D7306D" w:rsidRPr="00725571" w:rsidRDefault="00D7306D" w:rsidP="005C6E50">
            <w:pPr>
              <w:pStyle w:val="af0"/>
              <w:numPr>
                <w:ilvl w:val="0"/>
                <w:numId w:val="123"/>
              </w:numPr>
              <w:ind w:left="360"/>
              <w:jc w:val="left"/>
              <w:rPr>
                <w:snapToGrid/>
                <w:sz w:val="24"/>
                <w:szCs w:val="24"/>
              </w:rPr>
            </w:pPr>
            <w:r>
              <w:rPr>
                <w:color w:val="auto"/>
                <w:sz w:val="24"/>
                <w:szCs w:val="24"/>
              </w:rPr>
              <w:t>«</w:t>
            </w:r>
            <w:r w:rsidRPr="00725571">
              <w:rPr>
                <w:snapToGrid/>
                <w:sz w:val="24"/>
                <w:szCs w:val="24"/>
              </w:rPr>
              <w:t>Не заключены соглашения с БУ/АУ на иные цели</w:t>
            </w:r>
            <w:r>
              <w:rPr>
                <w:snapToGrid/>
                <w:sz w:val="24"/>
                <w:szCs w:val="24"/>
              </w:rPr>
              <w:t>»</w:t>
            </w:r>
            <w:r>
              <w:rPr>
                <w:color w:val="auto"/>
                <w:sz w:val="24"/>
                <w:szCs w:val="24"/>
              </w:rPr>
              <w:t>.</w:t>
            </w:r>
          </w:p>
        </w:tc>
      </w:tr>
      <w:tr w:rsidR="00D7306D" w:rsidRPr="00725571" w:rsidTr="00D7306D">
        <w:trPr>
          <w:trHeight w:val="630"/>
        </w:trPr>
        <w:tc>
          <w:tcPr>
            <w:tcW w:w="513" w:type="pct"/>
            <w:vMerge w:val="restart"/>
            <w:shd w:val="clear" w:color="auto" w:fill="auto"/>
            <w:hideMark/>
          </w:tcPr>
          <w:p w:rsidR="00D7306D" w:rsidRPr="00725571" w:rsidRDefault="00D7306D" w:rsidP="00D7306D">
            <w:pPr>
              <w:jc w:val="left"/>
              <w:rPr>
                <w:snapToGrid/>
                <w:szCs w:val="24"/>
              </w:rPr>
            </w:pPr>
            <w:r w:rsidRPr="00725571">
              <w:rPr>
                <w:snapToGrid/>
                <w:szCs w:val="24"/>
              </w:rPr>
              <w:t>из них:</w:t>
            </w: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заключены контракты на поставку товаров (работ, услуг)</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jc w:val="left"/>
              <w:rPr>
                <w:color w:val="auto"/>
                <w:szCs w:val="24"/>
              </w:rPr>
            </w:pPr>
            <w:r>
              <w:rPr>
                <w:color w:val="auto"/>
                <w:szCs w:val="24"/>
              </w:rPr>
              <w:t xml:space="preserve">Показатель «Не принятые БО (от распределено)» </w:t>
            </w:r>
            <w:r w:rsidRPr="00725571">
              <w:rPr>
                <w:snapToGrid/>
                <w:szCs w:val="24"/>
              </w:rPr>
              <w:t xml:space="preserve">по КВР 200, </w:t>
            </w:r>
            <w:r w:rsidRPr="007B5899">
              <w:rPr>
                <w:color w:val="auto"/>
                <w:szCs w:val="24"/>
              </w:rPr>
              <w:t>41</w:t>
            </w:r>
            <w:r>
              <w:rPr>
                <w:color w:val="auto"/>
                <w:szCs w:val="24"/>
              </w:rPr>
              <w:t>0</w:t>
            </w:r>
            <w:r w:rsidRPr="007B5899">
              <w:rPr>
                <w:color w:val="auto"/>
                <w:szCs w:val="24"/>
              </w:rPr>
              <w:t xml:space="preserve"> (КРОМЕ КВР 415), </w:t>
            </w:r>
            <w:r>
              <w:rPr>
                <w:color w:val="auto"/>
                <w:szCs w:val="24"/>
              </w:rPr>
              <w:t>323.</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D0B14">
              <w:rPr>
                <w:i/>
                <w:snapToGrid/>
                <w:szCs w:val="24"/>
              </w:rPr>
              <w:t>Действующие обязательства</w:t>
            </w:r>
            <w:r w:rsidRPr="007D0B1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заключены соглашения с субъектами РФ на МБТ</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jc w:val="left"/>
              <w:rPr>
                <w:snapToGrid/>
                <w:szCs w:val="24"/>
              </w:rPr>
            </w:pPr>
            <w:r>
              <w:rPr>
                <w:color w:val="auto"/>
                <w:szCs w:val="24"/>
              </w:rPr>
              <w:t xml:space="preserve">Показатель «Не принятые БО (от распределено)» </w:t>
            </w:r>
            <w:r w:rsidRPr="00725571">
              <w:rPr>
                <w:snapToGrid/>
                <w:szCs w:val="24"/>
              </w:rPr>
              <w:t>по КВР 520, 540, 530</w:t>
            </w:r>
            <w:r>
              <w:rPr>
                <w:snapToGrid/>
                <w:szCs w:val="24"/>
              </w:rPr>
              <w:t>.</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D0B14">
              <w:rPr>
                <w:i/>
                <w:snapToGrid/>
                <w:szCs w:val="24"/>
              </w:rPr>
              <w:t>Действующие обязательства</w:t>
            </w:r>
            <w:r w:rsidRPr="007D0B14">
              <w:rPr>
                <w:i/>
                <w:color w:val="auto"/>
                <w:szCs w:val="24"/>
              </w:rPr>
              <w:t>».</w:t>
            </w:r>
          </w:p>
        </w:tc>
      </w:tr>
      <w:tr w:rsidR="00D7306D" w:rsidRPr="00725571" w:rsidTr="00D7306D">
        <w:trPr>
          <w:trHeight w:val="3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заключены соглашения с ЮЛ</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jc w:val="left"/>
              <w:rPr>
                <w:snapToGrid/>
                <w:szCs w:val="24"/>
              </w:rPr>
            </w:pPr>
            <w:r>
              <w:rPr>
                <w:color w:val="auto"/>
                <w:szCs w:val="24"/>
              </w:rPr>
              <w:t xml:space="preserve">Показатель «Не принятые БО (от распределено)» </w:t>
            </w:r>
            <w:r w:rsidRPr="00725571">
              <w:rPr>
                <w:snapToGrid/>
                <w:szCs w:val="24"/>
              </w:rPr>
              <w:t>по КВР 450, 463, 466, 630, 810, 820</w:t>
            </w:r>
            <w:r>
              <w:rPr>
                <w:snapToGrid/>
                <w:szCs w:val="24"/>
              </w:rPr>
              <w:t>, 415.</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D0B14">
              <w:rPr>
                <w:i/>
                <w:snapToGrid/>
                <w:szCs w:val="24"/>
              </w:rPr>
              <w:t>Действующие обязательства</w:t>
            </w:r>
            <w:r w:rsidRPr="007D0B1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заключены соглашения с БУ/АУ на гос.задания</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Формула:</w:t>
            </w:r>
          </w:p>
          <w:p w:rsidR="00D7306D" w:rsidRDefault="00D7306D" w:rsidP="00D7306D">
            <w:pPr>
              <w:jc w:val="left"/>
              <w:rPr>
                <w:snapToGrid/>
                <w:szCs w:val="24"/>
              </w:rPr>
            </w:pPr>
            <w:r>
              <w:rPr>
                <w:color w:val="auto"/>
                <w:szCs w:val="24"/>
              </w:rPr>
              <w:t xml:space="preserve">Показатель «Не принятые БО (от распределено)» </w:t>
            </w:r>
            <w:r w:rsidRPr="00725571">
              <w:rPr>
                <w:snapToGrid/>
                <w:szCs w:val="24"/>
              </w:rPr>
              <w:t>по КВР 611, 621, 614, 624</w:t>
            </w:r>
            <w:r>
              <w:rPr>
                <w:snapToGrid/>
                <w:szCs w:val="24"/>
              </w:rPr>
              <w:t>.</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D0B14">
              <w:rPr>
                <w:i/>
                <w:snapToGrid/>
                <w:szCs w:val="24"/>
              </w:rPr>
              <w:t>Действующие обязательства</w:t>
            </w:r>
            <w:r w:rsidRPr="007D0B1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соглашения с БУ/АУ на иные цели</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w:t>
            </w:r>
          </w:p>
          <w:p w:rsidR="00D7306D" w:rsidRPr="00C23144" w:rsidRDefault="00D7306D" w:rsidP="00D7306D">
            <w:pPr>
              <w:jc w:val="left"/>
              <w:rPr>
                <w:snapToGrid/>
                <w:szCs w:val="24"/>
              </w:rPr>
            </w:pPr>
            <w:r w:rsidRPr="00C23144">
              <w:rPr>
                <w:color w:val="auto"/>
                <w:szCs w:val="24"/>
              </w:rPr>
              <w:t xml:space="preserve">Показатель «Не принятые БО (от распределено)» </w:t>
            </w:r>
            <w:r w:rsidRPr="00C23144">
              <w:rPr>
                <w:snapToGrid/>
                <w:szCs w:val="24"/>
              </w:rPr>
              <w:t>по КВР 461, 462, 464, 465, 612, 613, 622, 623.</w:t>
            </w:r>
          </w:p>
          <w:p w:rsidR="00D7306D" w:rsidRPr="00C23144"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1170"/>
        </w:trPr>
        <w:tc>
          <w:tcPr>
            <w:tcW w:w="1943" w:type="pct"/>
            <w:gridSpan w:val="3"/>
            <w:shd w:val="clear" w:color="auto" w:fill="F2F2F2" w:themeFill="background1" w:themeFillShade="F2"/>
            <w:hideMark/>
          </w:tcPr>
          <w:p w:rsidR="00D7306D" w:rsidRPr="00C23144" w:rsidRDefault="00D7306D" w:rsidP="00D7306D">
            <w:pPr>
              <w:jc w:val="left"/>
              <w:rPr>
                <w:snapToGrid/>
                <w:szCs w:val="24"/>
              </w:rPr>
            </w:pPr>
            <w:r w:rsidRPr="00C23144">
              <w:rPr>
                <w:snapToGrid/>
                <w:szCs w:val="24"/>
              </w:rPr>
              <w:t>Не принятые БО в срок</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 xml:space="preserve">Расчет показателя «Не принятые обязательства в срок» по контрольным точка этапа «Принятие обязательств (заключение контрактов и соглашений)» описан в пункте </w:t>
            </w:r>
            <w:r w:rsidRPr="00C23144">
              <w:rPr>
                <w:color w:val="auto"/>
                <w:sz w:val="24"/>
                <w:szCs w:val="24"/>
              </w:rPr>
              <w:fldChar w:fldCharType="begin"/>
            </w:r>
            <w:r w:rsidRPr="00C23144">
              <w:rPr>
                <w:color w:val="auto"/>
                <w:sz w:val="24"/>
                <w:szCs w:val="24"/>
              </w:rPr>
              <w:instrText xml:space="preserve"> REF _Ref80300572 \n \h  \* MERGEFORMAT </w:instrText>
            </w:r>
            <w:r w:rsidRPr="00C23144">
              <w:rPr>
                <w:color w:val="auto"/>
                <w:sz w:val="24"/>
                <w:szCs w:val="24"/>
              </w:rPr>
            </w:r>
            <w:r w:rsidRPr="00C23144">
              <w:rPr>
                <w:color w:val="auto"/>
                <w:sz w:val="24"/>
                <w:szCs w:val="24"/>
              </w:rPr>
              <w:fldChar w:fldCharType="separate"/>
            </w:r>
            <w:r w:rsidR="00BF0BEE">
              <w:rPr>
                <w:color w:val="auto"/>
                <w:sz w:val="24"/>
                <w:szCs w:val="24"/>
              </w:rPr>
              <w:t>7.2.14.1</w:t>
            </w:r>
            <w:r w:rsidRPr="00C23144">
              <w:rPr>
                <w:color w:val="auto"/>
                <w:sz w:val="24"/>
                <w:szCs w:val="24"/>
              </w:rPr>
              <w:fldChar w:fldCharType="end"/>
            </w:r>
            <w:r w:rsidRPr="00C23144">
              <w:rPr>
                <w:color w:val="auto"/>
                <w:sz w:val="24"/>
                <w:szCs w:val="24"/>
              </w:rPr>
              <w:t>.</w:t>
            </w:r>
          </w:p>
        </w:tc>
      </w:tr>
      <w:tr w:rsidR="00D7306D" w:rsidRPr="00725571" w:rsidTr="00D7306D">
        <w:trPr>
          <w:trHeight w:val="660"/>
        </w:trPr>
        <w:tc>
          <w:tcPr>
            <w:tcW w:w="513" w:type="pct"/>
            <w:vMerge w:val="restart"/>
            <w:shd w:val="clear" w:color="auto" w:fill="auto"/>
            <w:hideMark/>
          </w:tcPr>
          <w:p w:rsidR="00D7306D" w:rsidRPr="00725571" w:rsidRDefault="00D7306D" w:rsidP="00D7306D">
            <w:pPr>
              <w:jc w:val="left"/>
              <w:rPr>
                <w:snapToGrid/>
                <w:szCs w:val="24"/>
              </w:rPr>
            </w:pPr>
            <w:r w:rsidRPr="00725571">
              <w:rPr>
                <w:snapToGrid/>
                <w:szCs w:val="24"/>
              </w:rPr>
              <w:t>из них:</w:t>
            </w: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контракты на поставку товаров (работ, услуг)</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 xml:space="preserve">Формула: Показатель «Не принятые БО </w:t>
            </w:r>
            <w:r w:rsidRPr="00C23144">
              <w:rPr>
                <w:snapToGrid/>
                <w:sz w:val="24"/>
                <w:szCs w:val="24"/>
              </w:rPr>
              <w:t xml:space="preserve">в срок» по КВР 200, </w:t>
            </w:r>
            <w:r w:rsidRPr="00C23144">
              <w:rPr>
                <w:color w:val="auto"/>
                <w:sz w:val="24"/>
                <w:szCs w:val="24"/>
              </w:rPr>
              <w:t>410 (КРОМЕ КВР 415), 323.</w:t>
            </w:r>
          </w:p>
          <w:p w:rsidR="00D7306D" w:rsidRPr="00C23144" w:rsidRDefault="00D7306D" w:rsidP="00D7306D">
            <w:pPr>
              <w:pStyle w:val="af0"/>
              <w:ind w:firstLine="0"/>
              <w:jc w:val="left"/>
              <w:rPr>
                <w:snapToGrid/>
                <w:sz w:val="24"/>
                <w:szCs w:val="24"/>
              </w:rPr>
            </w:pPr>
            <w:r w:rsidRPr="00C23144">
              <w:rPr>
                <w:i/>
                <w:color w:val="auto"/>
                <w:sz w:val="24"/>
                <w:szCs w:val="24"/>
              </w:rPr>
              <w:t>Колонка схлопнута за колонкой «</w:t>
            </w:r>
            <w:r w:rsidRPr="00C23144">
              <w:rPr>
                <w:i/>
                <w:snapToGrid/>
                <w:sz w:val="24"/>
                <w:szCs w:val="24"/>
              </w:rPr>
              <w:t>Действующие обязательства</w:t>
            </w:r>
            <w:r w:rsidRPr="00C23144">
              <w:rPr>
                <w:i/>
                <w:color w:val="auto"/>
                <w:sz w:val="24"/>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соглашения с субъектами РФ на МБТ</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 xml:space="preserve">Формула: Показатель «Не принятые БО </w:t>
            </w:r>
            <w:r w:rsidRPr="00C23144">
              <w:rPr>
                <w:snapToGrid/>
                <w:sz w:val="24"/>
                <w:szCs w:val="24"/>
              </w:rPr>
              <w:t>в срок» по КВР 520, 540, 530</w:t>
            </w:r>
          </w:p>
          <w:p w:rsidR="00D7306D" w:rsidRPr="00C23144"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соглашения с ЮЛ</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 xml:space="preserve">Формула: Показатель «Не принятые БО </w:t>
            </w:r>
            <w:r w:rsidRPr="00C23144">
              <w:rPr>
                <w:snapToGrid/>
                <w:sz w:val="24"/>
                <w:szCs w:val="24"/>
              </w:rPr>
              <w:t>в срок» по КВР 450, 463, 466, 630, 810, 820, 415.</w:t>
            </w:r>
          </w:p>
          <w:p w:rsidR="00D7306D" w:rsidRPr="00C23144"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соглашения с БУ/АУ на гос.задания</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 xml:space="preserve">Формула: Показатель «Не принятые БО </w:t>
            </w:r>
            <w:r w:rsidRPr="00C23144">
              <w:rPr>
                <w:snapToGrid/>
                <w:sz w:val="24"/>
                <w:szCs w:val="24"/>
              </w:rPr>
              <w:t>в срок» по КВР 611, 621, 614, 624.</w:t>
            </w:r>
          </w:p>
          <w:p w:rsidR="00D7306D" w:rsidRPr="00C23144" w:rsidRDefault="00D7306D" w:rsidP="00D7306D">
            <w:pPr>
              <w:pStyle w:val="af0"/>
              <w:ind w:firstLine="0"/>
              <w:jc w:val="left"/>
              <w:rPr>
                <w:snapToGrid/>
                <w:sz w:val="24"/>
                <w:szCs w:val="24"/>
              </w:rPr>
            </w:pPr>
            <w:r w:rsidRPr="00C23144">
              <w:rPr>
                <w:i/>
                <w:color w:val="auto"/>
                <w:sz w:val="24"/>
                <w:szCs w:val="24"/>
              </w:rPr>
              <w:t>Колонка схлопнута за колонкой «</w:t>
            </w:r>
            <w:r w:rsidRPr="00C23144">
              <w:rPr>
                <w:i/>
                <w:snapToGrid/>
                <w:sz w:val="24"/>
                <w:szCs w:val="24"/>
              </w:rPr>
              <w:t>Действующие обязательства</w:t>
            </w:r>
            <w:r w:rsidRPr="00C23144">
              <w:rPr>
                <w:i/>
                <w:color w:val="auto"/>
                <w:sz w:val="24"/>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C23144" w:rsidRDefault="00D7306D" w:rsidP="00D7306D">
            <w:pPr>
              <w:jc w:val="left"/>
              <w:rPr>
                <w:snapToGrid/>
                <w:szCs w:val="24"/>
              </w:rPr>
            </w:pPr>
            <w:r w:rsidRPr="00C23144">
              <w:rPr>
                <w:snapToGrid/>
                <w:szCs w:val="24"/>
              </w:rPr>
              <w:t>Не заключены соглашения с БУ/АУ на иные цели</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w:t>
            </w:r>
          </w:p>
          <w:p w:rsidR="00D7306D" w:rsidRPr="00C23144" w:rsidRDefault="00D7306D" w:rsidP="00D7306D">
            <w:pPr>
              <w:jc w:val="left"/>
              <w:rPr>
                <w:snapToGrid/>
                <w:szCs w:val="24"/>
              </w:rPr>
            </w:pPr>
            <w:r w:rsidRPr="00C23144">
              <w:rPr>
                <w:color w:val="auto"/>
                <w:szCs w:val="24"/>
              </w:rPr>
              <w:t xml:space="preserve">Показатель «Не принятые БО </w:t>
            </w:r>
            <w:r w:rsidRPr="00C23144">
              <w:rPr>
                <w:snapToGrid/>
                <w:szCs w:val="24"/>
              </w:rPr>
              <w:t>в срок» по КВР 461, 462, 464, 465, 612, 613, 622, 623.</w:t>
            </w:r>
          </w:p>
          <w:p w:rsidR="00D7306D" w:rsidRPr="00C23144"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C23144" w:rsidRDefault="00D7306D" w:rsidP="00D7306D">
            <w:pPr>
              <w:jc w:val="left"/>
              <w:rPr>
                <w:snapToGrid/>
                <w:szCs w:val="24"/>
              </w:rPr>
            </w:pPr>
            <w:r w:rsidRPr="00C23144">
              <w:rPr>
                <w:snapToGrid/>
                <w:szCs w:val="24"/>
              </w:rPr>
              <w:t>Денежные</w:t>
            </w:r>
            <w:r w:rsidRPr="00C23144">
              <w:rPr>
                <w:snapToGrid/>
                <w:szCs w:val="24"/>
                <w:shd w:val="clear" w:color="auto" w:fill="F2F2F2" w:themeFill="background1" w:themeFillShade="F2"/>
              </w:rPr>
              <w:t xml:space="preserve"> </w:t>
            </w:r>
            <w:r w:rsidRPr="00C23144">
              <w:rPr>
                <w:snapToGrid/>
                <w:szCs w:val="24"/>
              </w:rPr>
              <w:t>обязательства</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Открытая часть:</w:t>
            </w:r>
          </w:p>
          <w:p w:rsidR="00D7306D" w:rsidRPr="00C23144" w:rsidRDefault="00D7306D" w:rsidP="00D7306D">
            <w:pPr>
              <w:pStyle w:val="af0"/>
              <w:ind w:firstLine="0"/>
              <w:jc w:val="left"/>
              <w:rPr>
                <w:color w:val="auto"/>
                <w:sz w:val="24"/>
                <w:szCs w:val="24"/>
              </w:rPr>
            </w:pPr>
            <w:r w:rsidRPr="00C23144">
              <w:rPr>
                <w:color w:val="auto"/>
                <w:sz w:val="24"/>
                <w:szCs w:val="24"/>
              </w:rPr>
              <w:t>АСФК, форма 0504072, раздел «Расходы бюджета» (открытая часть), показатель «Принято денежных обязательств».</w:t>
            </w:r>
          </w:p>
          <w:p w:rsidR="00D7306D" w:rsidRPr="00C23144" w:rsidRDefault="00D7306D" w:rsidP="00D7306D">
            <w:pPr>
              <w:pStyle w:val="af0"/>
              <w:ind w:firstLine="0"/>
              <w:jc w:val="left"/>
              <w:rPr>
                <w:color w:val="auto"/>
                <w:sz w:val="24"/>
                <w:szCs w:val="24"/>
              </w:rPr>
            </w:pPr>
          </w:p>
          <w:p w:rsidR="00D7306D" w:rsidRPr="00C23144" w:rsidRDefault="00D7306D" w:rsidP="00D7306D">
            <w:pPr>
              <w:jc w:val="left"/>
              <w:rPr>
                <w:szCs w:val="24"/>
              </w:rPr>
            </w:pPr>
            <w:r w:rsidRPr="00C23144">
              <w:rPr>
                <w:szCs w:val="24"/>
              </w:rPr>
              <w:t>Закрытая часть (по КВР 000, 100, 200, 300, 400, 500, 600, 700, 800):</w:t>
            </w:r>
          </w:p>
          <w:p w:rsidR="00D7306D" w:rsidRPr="00C23144" w:rsidRDefault="00D7306D" w:rsidP="00D7306D">
            <w:pPr>
              <w:jc w:val="left"/>
              <w:rPr>
                <w:szCs w:val="24"/>
              </w:rPr>
            </w:pPr>
            <w:r w:rsidRPr="00C23144">
              <w:rPr>
                <w:szCs w:val="24"/>
              </w:rPr>
              <w:t>Формула:</w:t>
            </w:r>
          </w:p>
          <w:p w:rsidR="00D7306D" w:rsidRPr="00C23144" w:rsidRDefault="00D7306D" w:rsidP="00D7306D">
            <w:pPr>
              <w:pStyle w:val="af0"/>
              <w:ind w:firstLine="0"/>
              <w:jc w:val="left"/>
              <w:rPr>
                <w:color w:val="auto"/>
                <w:sz w:val="24"/>
                <w:szCs w:val="24"/>
              </w:rPr>
            </w:pPr>
            <w:r w:rsidRPr="00C23144">
              <w:rPr>
                <w:color w:val="auto"/>
                <w:sz w:val="24"/>
                <w:szCs w:val="24"/>
              </w:rPr>
              <w:t>АСФК, форма 0504072, раздел «4 Расходы КВР» (с закрытой частью), показатель «Принято денежных обязательств».</w:t>
            </w:r>
          </w:p>
          <w:p w:rsidR="00D7306D" w:rsidRPr="00C23144" w:rsidRDefault="00D7306D" w:rsidP="00D7306D">
            <w:pPr>
              <w:jc w:val="left"/>
              <w:rPr>
                <w:snapToGrid/>
                <w:szCs w:val="24"/>
              </w:rPr>
            </w:pPr>
            <w:r w:rsidRPr="00C23144">
              <w:rPr>
                <w:snapToGrid/>
                <w:szCs w:val="24"/>
              </w:rPr>
              <w:t xml:space="preserve">МИНУС </w:t>
            </w:r>
          </w:p>
          <w:p w:rsidR="00D7306D" w:rsidRPr="00C23144" w:rsidRDefault="00D7306D" w:rsidP="00D7306D">
            <w:pPr>
              <w:jc w:val="left"/>
              <w:rPr>
                <w:snapToGrid/>
                <w:szCs w:val="24"/>
              </w:rPr>
            </w:pPr>
            <w:r w:rsidRPr="00C23144">
              <w:rPr>
                <w:color w:val="auto"/>
                <w:szCs w:val="24"/>
              </w:rPr>
              <w:t>АСФК, форма 0504072, раздел «Расходы бюджета» (открытая часть), показатель «Принято денежных обязательств».</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Факт</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Открытая часть:</w:t>
            </w:r>
          </w:p>
          <w:p w:rsidR="00D7306D"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w:t>
            </w:r>
            <w:r>
              <w:rPr>
                <w:color w:val="auto"/>
                <w:sz w:val="24"/>
                <w:szCs w:val="24"/>
              </w:rPr>
              <w:t xml:space="preserve">Расходы </w:t>
            </w:r>
            <w:r w:rsidRPr="0032031B">
              <w:rPr>
                <w:color w:val="auto"/>
                <w:sz w:val="24"/>
                <w:szCs w:val="24"/>
              </w:rPr>
              <w:t>бюджета</w:t>
            </w:r>
            <w:r>
              <w:rPr>
                <w:color w:val="auto"/>
                <w:sz w:val="24"/>
                <w:szCs w:val="24"/>
              </w:rPr>
              <w:t>» (открытая часть)</w:t>
            </w:r>
            <w:r w:rsidRPr="003B5160">
              <w:rPr>
                <w:color w:val="auto"/>
                <w:sz w:val="24"/>
                <w:szCs w:val="24"/>
              </w:rPr>
              <w:t>, показатель</w:t>
            </w:r>
            <w:r>
              <w:rPr>
                <w:color w:val="auto"/>
                <w:sz w:val="24"/>
                <w:szCs w:val="24"/>
              </w:rPr>
              <w:t xml:space="preserve"> «Кассовое исполнение»</w:t>
            </w:r>
            <w:r w:rsidRPr="003B5160">
              <w:rPr>
                <w:color w:val="auto"/>
                <w:sz w:val="24"/>
                <w:szCs w:val="24"/>
              </w:rPr>
              <w:t>.</w:t>
            </w:r>
          </w:p>
          <w:p w:rsidR="00D7306D" w:rsidRDefault="00D7306D" w:rsidP="00D7306D">
            <w:pPr>
              <w:pStyle w:val="af0"/>
              <w:ind w:firstLine="0"/>
              <w:jc w:val="left"/>
              <w:rPr>
                <w:color w:val="auto"/>
                <w:sz w:val="24"/>
                <w:szCs w:val="24"/>
              </w:rPr>
            </w:pPr>
          </w:p>
          <w:p w:rsidR="00D7306D" w:rsidRDefault="00D7306D" w:rsidP="00D7306D">
            <w:pPr>
              <w:jc w:val="left"/>
            </w:pPr>
            <w:r>
              <w:t>Закрытая часть (по КВР 000, 100, 200, 300, 400, 500, 600, 700, 800):</w:t>
            </w:r>
          </w:p>
          <w:p w:rsidR="00D7306D" w:rsidRDefault="00D7306D" w:rsidP="00D7306D">
            <w:pPr>
              <w:jc w:val="left"/>
            </w:pPr>
            <w:r>
              <w:t>Формула:</w:t>
            </w:r>
          </w:p>
          <w:p w:rsidR="00D7306D" w:rsidRPr="003B5160" w:rsidRDefault="00D7306D" w:rsidP="00D7306D">
            <w:pPr>
              <w:pStyle w:val="af0"/>
              <w:ind w:firstLine="0"/>
              <w:jc w:val="left"/>
              <w:rPr>
                <w:color w:val="auto"/>
                <w:sz w:val="24"/>
                <w:szCs w:val="24"/>
              </w:rPr>
            </w:pPr>
            <w:r>
              <w:rPr>
                <w:color w:val="auto"/>
                <w:sz w:val="24"/>
                <w:szCs w:val="24"/>
              </w:rPr>
              <w:t>АСФК, форма 0504072, раздел</w:t>
            </w:r>
            <w:r w:rsidRPr="003B5160">
              <w:rPr>
                <w:color w:val="auto"/>
                <w:sz w:val="24"/>
                <w:szCs w:val="24"/>
              </w:rPr>
              <w:t xml:space="preserve"> «4 Расходы КВР» (с закрытой частью), показатель </w:t>
            </w:r>
            <w:r>
              <w:rPr>
                <w:color w:val="auto"/>
                <w:sz w:val="24"/>
                <w:szCs w:val="24"/>
              </w:rPr>
              <w:t>«Кассовое исполнение»</w:t>
            </w:r>
            <w:r w:rsidRPr="003B5160">
              <w:rPr>
                <w:color w:val="auto"/>
                <w:sz w:val="24"/>
                <w:szCs w:val="24"/>
              </w:rPr>
              <w:t>.</w:t>
            </w:r>
          </w:p>
          <w:p w:rsidR="00D7306D" w:rsidRDefault="00D7306D" w:rsidP="00D7306D">
            <w:pPr>
              <w:jc w:val="left"/>
              <w:rPr>
                <w:snapToGrid/>
                <w:szCs w:val="24"/>
              </w:rPr>
            </w:pPr>
            <w:r>
              <w:rPr>
                <w:snapToGrid/>
                <w:szCs w:val="24"/>
              </w:rPr>
              <w:t xml:space="preserve">МИНУС </w:t>
            </w:r>
          </w:p>
          <w:p w:rsidR="00D7306D" w:rsidRPr="00725571" w:rsidRDefault="00D7306D" w:rsidP="00D7306D">
            <w:pPr>
              <w:jc w:val="left"/>
              <w:rPr>
                <w:snapToGrid/>
                <w:szCs w:val="24"/>
              </w:rPr>
            </w:pPr>
            <w:r>
              <w:rPr>
                <w:color w:val="auto"/>
                <w:szCs w:val="24"/>
              </w:rPr>
              <w:t>АСФК, форма 0504072, раздел</w:t>
            </w:r>
            <w:r w:rsidRPr="003B5160">
              <w:rPr>
                <w:color w:val="auto"/>
                <w:szCs w:val="24"/>
              </w:rPr>
              <w:t xml:space="preserve"> «</w:t>
            </w:r>
            <w:r>
              <w:rPr>
                <w:color w:val="auto"/>
                <w:szCs w:val="24"/>
              </w:rPr>
              <w:t xml:space="preserve">Расходы </w:t>
            </w:r>
            <w:r w:rsidRPr="0032031B">
              <w:rPr>
                <w:color w:val="auto"/>
                <w:szCs w:val="24"/>
              </w:rPr>
              <w:t>бюджета</w:t>
            </w:r>
            <w:r>
              <w:rPr>
                <w:color w:val="auto"/>
                <w:szCs w:val="24"/>
              </w:rPr>
              <w:t>» (открытая часть)</w:t>
            </w:r>
            <w:r w:rsidRPr="003B5160">
              <w:rPr>
                <w:color w:val="auto"/>
                <w:szCs w:val="24"/>
              </w:rPr>
              <w:t>, показатель</w:t>
            </w:r>
            <w:r>
              <w:rPr>
                <w:color w:val="auto"/>
                <w:szCs w:val="24"/>
              </w:rPr>
              <w:t xml:space="preserve"> «Кассовое исполнение»</w:t>
            </w:r>
            <w:r w:rsidRPr="003B5160">
              <w:rPr>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исполнения росписи</w:t>
            </w:r>
          </w:p>
        </w:tc>
        <w:tc>
          <w:tcPr>
            <w:tcW w:w="3057" w:type="pct"/>
            <w:shd w:val="clear" w:color="auto" w:fill="auto"/>
            <w:hideMark/>
          </w:tcPr>
          <w:p w:rsidR="00D7306D" w:rsidRPr="00725571" w:rsidRDefault="00D7306D" w:rsidP="00D7306D">
            <w:pPr>
              <w:jc w:val="left"/>
              <w:rPr>
                <w:snapToGrid/>
                <w:szCs w:val="24"/>
              </w:rPr>
            </w:pPr>
            <w:r>
              <w:rPr>
                <w:snapToGrid/>
                <w:szCs w:val="24"/>
              </w:rPr>
              <w:t>Формула: «</w:t>
            </w:r>
            <w:r w:rsidRPr="00725571">
              <w:rPr>
                <w:snapToGrid/>
                <w:szCs w:val="24"/>
              </w:rPr>
              <w:t>Факт</w:t>
            </w:r>
            <w:r>
              <w:rPr>
                <w:snapToGrid/>
                <w:szCs w:val="24"/>
              </w:rPr>
              <w:t>»</w:t>
            </w:r>
            <w:r w:rsidRPr="00725571">
              <w:rPr>
                <w:snapToGrid/>
                <w:szCs w:val="24"/>
              </w:rPr>
              <w:t xml:space="preserve"> / </w:t>
            </w:r>
            <w:r>
              <w:rPr>
                <w:snapToGrid/>
                <w:szCs w:val="24"/>
              </w:rPr>
              <w:t>«</w:t>
            </w:r>
            <w:r w:rsidRPr="00725571">
              <w:rPr>
                <w:snapToGrid/>
                <w:szCs w:val="24"/>
              </w:rPr>
              <w:t>Роспись</w:t>
            </w:r>
            <w:r>
              <w:rPr>
                <w:snapToGrid/>
                <w:szCs w:val="24"/>
              </w:rPr>
              <w:t>»</w:t>
            </w:r>
            <w:r w:rsidRPr="00725571">
              <w:rPr>
                <w:snapToGrid/>
                <w:szCs w:val="24"/>
              </w:rPr>
              <w:t xml:space="preserve"> * 100</w:t>
            </w:r>
            <w:r>
              <w:rPr>
                <w:snapToGrid/>
                <w:szCs w:val="24"/>
              </w:rPr>
              <w:t>%</w:t>
            </w:r>
          </w:p>
        </w:tc>
      </w:tr>
      <w:tr w:rsidR="00D7306D" w:rsidRPr="00725571" w:rsidTr="00D7306D">
        <w:trPr>
          <w:trHeight w:val="575"/>
        </w:trPr>
        <w:tc>
          <w:tcPr>
            <w:tcW w:w="1943" w:type="pct"/>
            <w:gridSpan w:val="3"/>
            <w:shd w:val="clear" w:color="auto" w:fill="auto"/>
            <w:hideMark/>
          </w:tcPr>
          <w:p w:rsidR="00D7306D" w:rsidRPr="00725571" w:rsidRDefault="00D7306D" w:rsidP="00D7306D">
            <w:pPr>
              <w:jc w:val="left"/>
              <w:rPr>
                <w:snapToGrid/>
                <w:szCs w:val="24"/>
              </w:rPr>
            </w:pPr>
            <w:r w:rsidRPr="00725571">
              <w:rPr>
                <w:snapToGrid/>
                <w:szCs w:val="24"/>
              </w:rPr>
              <w:t>Контрольная точка</w:t>
            </w:r>
          </w:p>
        </w:tc>
        <w:tc>
          <w:tcPr>
            <w:tcW w:w="3057" w:type="pct"/>
            <w:shd w:val="clear" w:color="auto" w:fill="auto"/>
            <w:hideMark/>
          </w:tcPr>
          <w:p w:rsidR="00D7306D" w:rsidRDefault="00D7306D" w:rsidP="00D7306D">
            <w:pPr>
              <w:jc w:val="left"/>
              <w:rPr>
                <w:snapToGrid/>
                <w:szCs w:val="24"/>
              </w:rPr>
            </w:pPr>
            <w:r w:rsidRPr="00725571">
              <w:rPr>
                <w:snapToGrid/>
                <w:szCs w:val="24"/>
              </w:rPr>
              <w:t xml:space="preserve">Контрольная точка </w:t>
            </w:r>
            <w:r>
              <w:rPr>
                <w:snapToGrid/>
                <w:szCs w:val="24"/>
              </w:rPr>
              <w:t xml:space="preserve">этапа «Исполнение» </w:t>
            </w:r>
            <w:r w:rsidRPr="00725571">
              <w:rPr>
                <w:snapToGrid/>
                <w:szCs w:val="24"/>
              </w:rPr>
              <w:t xml:space="preserve">в соответствии с типовым графиком в формате: </w:t>
            </w:r>
            <w:r>
              <w:rPr>
                <w:snapToGrid/>
                <w:szCs w:val="24"/>
              </w:rPr>
              <w:t>«</w:t>
            </w:r>
            <w:r w:rsidRPr="00725571">
              <w:rPr>
                <w:snapToGrid/>
                <w:szCs w:val="24"/>
              </w:rPr>
              <w:t>100% на 01.01.2021</w:t>
            </w:r>
            <w:r>
              <w:rPr>
                <w:snapToGrid/>
                <w:szCs w:val="24"/>
              </w:rPr>
              <w:t>»</w:t>
            </w:r>
          </w:p>
          <w:p w:rsidR="00D7306D" w:rsidRPr="00725571" w:rsidRDefault="00D7306D" w:rsidP="00D7306D">
            <w:pPr>
              <w:jc w:val="left"/>
              <w:rPr>
                <w:snapToGrid/>
                <w:szCs w:val="24"/>
              </w:rPr>
            </w:pPr>
            <w:r w:rsidRPr="001E50AD">
              <w:rPr>
                <w:i/>
                <w:color w:val="auto"/>
                <w:szCs w:val="24"/>
              </w:rPr>
              <w:t>Колонка схлопн</w:t>
            </w:r>
            <w:r w:rsidRPr="007D0B14">
              <w:rPr>
                <w:i/>
                <w:color w:val="auto"/>
                <w:szCs w:val="24"/>
              </w:rPr>
              <w:t>ута за колонкой «</w:t>
            </w:r>
            <w:r w:rsidRPr="00725571">
              <w:rPr>
                <w:snapToGrid/>
                <w:szCs w:val="24"/>
              </w:rPr>
              <w:t>% исполнения росписи</w:t>
            </w:r>
            <w:r w:rsidRPr="007D0B14">
              <w:rPr>
                <w:i/>
                <w:color w:val="auto"/>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Осталось исполнить (не исполнено)</w:t>
            </w:r>
          </w:p>
        </w:tc>
        <w:tc>
          <w:tcPr>
            <w:tcW w:w="3057" w:type="pct"/>
            <w:shd w:val="clear" w:color="auto" w:fill="auto"/>
            <w:hideMark/>
          </w:tcPr>
          <w:p w:rsidR="00D7306D" w:rsidRPr="00725571" w:rsidRDefault="00D7306D" w:rsidP="00D7306D">
            <w:pPr>
              <w:jc w:val="left"/>
              <w:rPr>
                <w:snapToGrid/>
                <w:szCs w:val="24"/>
              </w:rPr>
            </w:pPr>
            <w:r>
              <w:rPr>
                <w:snapToGrid/>
                <w:szCs w:val="24"/>
              </w:rPr>
              <w:t>Формула: «</w:t>
            </w:r>
            <w:r w:rsidRPr="00725571">
              <w:rPr>
                <w:snapToGrid/>
                <w:szCs w:val="24"/>
              </w:rPr>
              <w:t>Роспись</w:t>
            </w:r>
            <w:r>
              <w:rPr>
                <w:snapToGrid/>
                <w:szCs w:val="24"/>
              </w:rPr>
              <w:t>»</w:t>
            </w:r>
            <w:r w:rsidRPr="00725571">
              <w:rPr>
                <w:snapToGrid/>
                <w:szCs w:val="24"/>
              </w:rPr>
              <w:t xml:space="preserve"> </w:t>
            </w:r>
            <w:r>
              <w:rPr>
                <w:snapToGrid/>
                <w:szCs w:val="24"/>
              </w:rPr>
              <w:t>МИНУС «</w:t>
            </w:r>
            <w:r w:rsidRPr="00725571">
              <w:rPr>
                <w:snapToGrid/>
                <w:szCs w:val="24"/>
              </w:rPr>
              <w:t>Факт</w:t>
            </w:r>
            <w:r>
              <w:rPr>
                <w:snapToGrid/>
                <w:szCs w:val="24"/>
              </w:rPr>
              <w:t>»</w:t>
            </w:r>
          </w:p>
        </w:tc>
      </w:tr>
      <w:tr w:rsidR="00D7306D" w:rsidRPr="00725571" w:rsidTr="00D7306D">
        <w:trPr>
          <w:trHeight w:val="660"/>
        </w:trPr>
        <w:tc>
          <w:tcPr>
            <w:tcW w:w="513" w:type="pct"/>
            <w:vMerge w:val="restart"/>
            <w:shd w:val="clear" w:color="auto" w:fill="auto"/>
            <w:hideMark/>
          </w:tcPr>
          <w:p w:rsidR="00D7306D" w:rsidRPr="00725571" w:rsidRDefault="00D7306D" w:rsidP="00D7306D">
            <w:pPr>
              <w:jc w:val="left"/>
              <w:rPr>
                <w:snapToGrid/>
                <w:szCs w:val="24"/>
              </w:rPr>
            </w:pPr>
            <w:r w:rsidRPr="00725571">
              <w:rPr>
                <w:snapToGrid/>
                <w:szCs w:val="24"/>
              </w:rPr>
              <w:t>из них:</w:t>
            </w: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контракты на поставку товаров (работ, услуг)</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 Показатель «</w:t>
            </w:r>
            <w:r w:rsidRPr="00725571">
              <w:rPr>
                <w:snapToGrid/>
                <w:sz w:val="24"/>
                <w:szCs w:val="24"/>
              </w:rPr>
              <w:t>Осталось исполнить (не исполнено)</w:t>
            </w:r>
            <w:r w:rsidRPr="00C23144">
              <w:rPr>
                <w:snapToGrid/>
                <w:sz w:val="24"/>
                <w:szCs w:val="24"/>
              </w:rPr>
              <w:t xml:space="preserve">» по КВР 200, </w:t>
            </w:r>
            <w:r w:rsidRPr="00C23144">
              <w:rPr>
                <w:color w:val="auto"/>
                <w:sz w:val="24"/>
                <w:szCs w:val="24"/>
              </w:rPr>
              <w:t>410 (КРОМЕ КВР 415), 323.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субъектами РФ на МБТ</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Осталось исполнить (не исполнено)</w:t>
            </w:r>
            <w:r w:rsidRPr="00C23144">
              <w:rPr>
                <w:snapToGrid/>
                <w:sz w:val="24"/>
                <w:szCs w:val="24"/>
              </w:rPr>
              <w:t>» по КВР 520, 540, 530</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ЮЛ</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Осталось исполнить (не исполнено)</w:t>
            </w:r>
            <w:r w:rsidRPr="00C23144">
              <w:rPr>
                <w:snapToGrid/>
                <w:sz w:val="24"/>
                <w:szCs w:val="24"/>
              </w:rPr>
              <w:t>» по КВР 450, 463, 466, 630, 810, 820, 415.</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БУ/АУ на гос.задания</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Осталось исполнить (не исполнено)</w:t>
            </w:r>
            <w:r w:rsidRPr="00C23144">
              <w:rPr>
                <w:snapToGrid/>
                <w:sz w:val="24"/>
                <w:szCs w:val="24"/>
              </w:rPr>
              <w:t>» по КВР 611, 621, 614, 624.</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БУ/АУ на иные цели</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w:t>
            </w:r>
          </w:p>
          <w:p w:rsidR="00D7306D" w:rsidRPr="00C23144" w:rsidRDefault="00D7306D" w:rsidP="00D7306D">
            <w:pPr>
              <w:jc w:val="left"/>
              <w:rPr>
                <w:snapToGrid/>
                <w:szCs w:val="24"/>
              </w:rPr>
            </w:pPr>
            <w:r w:rsidRPr="00C23144">
              <w:rPr>
                <w:color w:val="auto"/>
                <w:szCs w:val="24"/>
              </w:rPr>
              <w:t>Показатель «</w:t>
            </w:r>
            <w:r w:rsidRPr="00725571">
              <w:rPr>
                <w:snapToGrid/>
                <w:szCs w:val="24"/>
              </w:rPr>
              <w:t>Осталось исполнить (не исполнено)</w:t>
            </w:r>
            <w:r w:rsidRPr="00C23144">
              <w:rPr>
                <w:snapToGrid/>
                <w:szCs w:val="24"/>
              </w:rPr>
              <w:t>» по КВР 461, 462, 464, 465, 612, 613, 622, 623.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330"/>
        </w:trPr>
        <w:tc>
          <w:tcPr>
            <w:tcW w:w="513" w:type="pct"/>
            <w:vMerge/>
            <w:shd w:val="clear" w:color="auto" w:fill="auto"/>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иное</w:t>
            </w:r>
          </w:p>
        </w:tc>
        <w:tc>
          <w:tcPr>
            <w:tcW w:w="3057" w:type="pct"/>
            <w:shd w:val="clear" w:color="auto" w:fill="auto"/>
            <w:hideMark/>
          </w:tcPr>
          <w:p w:rsidR="00D7306D" w:rsidRPr="00725571" w:rsidRDefault="00D7306D" w:rsidP="00D7306D">
            <w:pPr>
              <w:jc w:val="left"/>
              <w:rPr>
                <w:snapToGrid/>
                <w:szCs w:val="24"/>
              </w:rPr>
            </w:pPr>
            <w:r>
              <w:rPr>
                <w:snapToGrid/>
                <w:szCs w:val="24"/>
              </w:rPr>
              <w:t>Формула: «</w:t>
            </w:r>
            <w:r w:rsidRPr="00725571">
              <w:rPr>
                <w:snapToGrid/>
                <w:szCs w:val="24"/>
              </w:rPr>
              <w:t>Осталось исполнить (не исполнено)</w:t>
            </w:r>
            <w:r>
              <w:rPr>
                <w:snapToGrid/>
                <w:szCs w:val="24"/>
              </w:rPr>
              <w:t>» МИНУС «</w:t>
            </w:r>
            <w:r w:rsidRPr="00725571">
              <w:rPr>
                <w:snapToGrid/>
                <w:szCs w:val="24"/>
              </w:rPr>
              <w:t>Не исполнены контракты на поставку товаров (работ, услуг)</w:t>
            </w:r>
            <w:r>
              <w:rPr>
                <w:snapToGrid/>
                <w:szCs w:val="24"/>
              </w:rPr>
              <w:t>» МИНУС «</w:t>
            </w:r>
            <w:r w:rsidRPr="00725571">
              <w:rPr>
                <w:snapToGrid/>
                <w:szCs w:val="24"/>
              </w:rPr>
              <w:t>Не исполнены соглашения с субъектами РФ на МБТ</w:t>
            </w:r>
            <w:r>
              <w:rPr>
                <w:snapToGrid/>
                <w:szCs w:val="24"/>
              </w:rPr>
              <w:t>» МИНУС «</w:t>
            </w:r>
            <w:r w:rsidRPr="00725571">
              <w:rPr>
                <w:snapToGrid/>
                <w:szCs w:val="24"/>
              </w:rPr>
              <w:t>Не исполнены соглашения с ЮЛ</w:t>
            </w:r>
            <w:r>
              <w:rPr>
                <w:snapToGrid/>
                <w:szCs w:val="24"/>
              </w:rPr>
              <w:t>» МИНУС «</w:t>
            </w:r>
            <w:r w:rsidRPr="00725571">
              <w:rPr>
                <w:snapToGrid/>
                <w:szCs w:val="24"/>
              </w:rPr>
              <w:t>Не исполнены соглашения с БУ/АУ на гос.задания</w:t>
            </w:r>
            <w:r>
              <w:rPr>
                <w:snapToGrid/>
                <w:szCs w:val="24"/>
              </w:rPr>
              <w:t>» МИНУС «</w:t>
            </w:r>
            <w:r w:rsidRPr="00725571">
              <w:rPr>
                <w:snapToGrid/>
                <w:szCs w:val="24"/>
              </w:rPr>
              <w:t>Не исполнены соглашения с БУ/АУ на иные цели</w:t>
            </w:r>
            <w:r>
              <w:rPr>
                <w:snapToGrid/>
                <w:szCs w:val="24"/>
              </w:rPr>
              <w:t>»</w:t>
            </w:r>
          </w:p>
        </w:tc>
      </w:tr>
      <w:tr w:rsidR="00D7306D" w:rsidRPr="00725571" w:rsidTr="00D7306D">
        <w:trPr>
          <w:trHeight w:val="132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 исполнено в срок</w:t>
            </w:r>
          </w:p>
        </w:tc>
        <w:tc>
          <w:tcPr>
            <w:tcW w:w="3057" w:type="pct"/>
            <w:shd w:val="clear" w:color="auto" w:fill="auto"/>
            <w:hideMark/>
          </w:tcPr>
          <w:p w:rsidR="00D7306D" w:rsidRPr="00D60204" w:rsidRDefault="00D7306D" w:rsidP="00D7306D">
            <w:pPr>
              <w:jc w:val="left"/>
              <w:rPr>
                <w:color w:val="auto"/>
                <w:szCs w:val="24"/>
              </w:rPr>
            </w:pPr>
            <w:r w:rsidRPr="00C23144">
              <w:rPr>
                <w:color w:val="auto"/>
                <w:szCs w:val="24"/>
              </w:rPr>
              <w:t>Расчет показателя «</w:t>
            </w:r>
            <w:r w:rsidRPr="00725571">
              <w:rPr>
                <w:snapToGrid/>
                <w:szCs w:val="24"/>
              </w:rPr>
              <w:t>Не исполнено в срок</w:t>
            </w:r>
            <w:r w:rsidRPr="00C23144">
              <w:rPr>
                <w:color w:val="auto"/>
                <w:szCs w:val="24"/>
              </w:rPr>
              <w:t>» по контрольным точка этапа «</w:t>
            </w:r>
            <w:r>
              <w:rPr>
                <w:color w:val="auto"/>
                <w:szCs w:val="24"/>
              </w:rPr>
              <w:t>Исполнение</w:t>
            </w:r>
            <w:r w:rsidRPr="00C23144">
              <w:rPr>
                <w:color w:val="auto"/>
                <w:szCs w:val="24"/>
              </w:rPr>
              <w:t xml:space="preserve">» описан в пункте </w:t>
            </w:r>
            <w:r w:rsidRPr="00C23144">
              <w:rPr>
                <w:color w:val="auto"/>
                <w:szCs w:val="24"/>
              </w:rPr>
              <w:fldChar w:fldCharType="begin"/>
            </w:r>
            <w:r w:rsidRPr="00C23144">
              <w:rPr>
                <w:color w:val="auto"/>
                <w:szCs w:val="24"/>
              </w:rPr>
              <w:instrText xml:space="preserve"> REF _Ref80300572 \n \h  \* MERGEFORMAT </w:instrText>
            </w:r>
            <w:r w:rsidRPr="00C23144">
              <w:rPr>
                <w:color w:val="auto"/>
                <w:szCs w:val="24"/>
              </w:rPr>
            </w:r>
            <w:r w:rsidRPr="00C23144">
              <w:rPr>
                <w:color w:val="auto"/>
                <w:szCs w:val="24"/>
              </w:rPr>
              <w:fldChar w:fldCharType="separate"/>
            </w:r>
            <w:r w:rsidR="00BF0BEE">
              <w:rPr>
                <w:color w:val="auto"/>
                <w:szCs w:val="24"/>
              </w:rPr>
              <w:t>7.2.14.1</w:t>
            </w:r>
            <w:r w:rsidRPr="00C23144">
              <w:rPr>
                <w:color w:val="auto"/>
                <w:szCs w:val="24"/>
              </w:rPr>
              <w:fldChar w:fldCharType="end"/>
            </w:r>
            <w:r w:rsidRPr="00C23144">
              <w:rPr>
                <w:color w:val="auto"/>
                <w:szCs w:val="24"/>
              </w:rPr>
              <w:t>.</w:t>
            </w:r>
          </w:p>
        </w:tc>
      </w:tr>
      <w:tr w:rsidR="00D7306D" w:rsidRPr="00725571" w:rsidTr="00D7306D">
        <w:trPr>
          <w:trHeight w:val="990"/>
        </w:trPr>
        <w:tc>
          <w:tcPr>
            <w:tcW w:w="513" w:type="pct"/>
            <w:vMerge w:val="restart"/>
            <w:shd w:val="clear" w:color="auto" w:fill="auto"/>
            <w:hideMark/>
          </w:tcPr>
          <w:p w:rsidR="00D7306D" w:rsidRPr="00725571" w:rsidRDefault="00D7306D" w:rsidP="00D7306D">
            <w:pPr>
              <w:jc w:val="left"/>
              <w:rPr>
                <w:snapToGrid/>
                <w:szCs w:val="24"/>
              </w:rPr>
            </w:pPr>
            <w:r w:rsidRPr="00725571">
              <w:rPr>
                <w:snapToGrid/>
                <w:szCs w:val="24"/>
              </w:rPr>
              <w:t>из них:</w:t>
            </w: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контракты на поставку товаров (работ, услуг)</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 Показатель «</w:t>
            </w:r>
            <w:r w:rsidRPr="00725571">
              <w:rPr>
                <w:snapToGrid/>
                <w:sz w:val="24"/>
                <w:szCs w:val="24"/>
              </w:rPr>
              <w:t>Не исполнено в срок</w:t>
            </w:r>
            <w:r w:rsidRPr="00C23144">
              <w:rPr>
                <w:snapToGrid/>
                <w:sz w:val="24"/>
                <w:szCs w:val="24"/>
              </w:rPr>
              <w:t xml:space="preserve">» по КВР 200, </w:t>
            </w:r>
            <w:r w:rsidRPr="00C23144">
              <w:rPr>
                <w:color w:val="auto"/>
                <w:sz w:val="24"/>
                <w:szCs w:val="24"/>
              </w:rPr>
              <w:t>410 (КРОМЕ КВР 415), 323.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99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субъектами РФ на МБТ</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в срок</w:t>
            </w:r>
            <w:r w:rsidRPr="00C23144">
              <w:rPr>
                <w:snapToGrid/>
                <w:sz w:val="24"/>
                <w:szCs w:val="24"/>
              </w:rPr>
              <w:t>» по КВР 520, 540, 530</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99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ЮЛ</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в срок</w:t>
            </w:r>
            <w:r w:rsidRPr="00C23144">
              <w:rPr>
                <w:snapToGrid/>
                <w:sz w:val="24"/>
                <w:szCs w:val="24"/>
              </w:rPr>
              <w:t>» по КВР 450, 463, 466, 630, 810, 820, 415.</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99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БУ/АУ на гос.задания</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в срок</w:t>
            </w:r>
            <w:r w:rsidRPr="00C23144">
              <w:rPr>
                <w:snapToGrid/>
                <w:sz w:val="24"/>
                <w:szCs w:val="24"/>
              </w:rPr>
              <w:t>» по КВР 611, 621, 614, 624.</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99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Не исполнены соглашения с БУ/АУ на иные цели</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w:t>
            </w:r>
          </w:p>
          <w:p w:rsidR="00D7306D" w:rsidRPr="00C23144" w:rsidRDefault="00D7306D" w:rsidP="00D7306D">
            <w:pPr>
              <w:jc w:val="left"/>
              <w:rPr>
                <w:snapToGrid/>
                <w:szCs w:val="24"/>
              </w:rPr>
            </w:pPr>
            <w:r w:rsidRPr="00C23144">
              <w:rPr>
                <w:color w:val="auto"/>
                <w:szCs w:val="24"/>
              </w:rPr>
              <w:t>Показатель «</w:t>
            </w:r>
            <w:r w:rsidRPr="00725571">
              <w:rPr>
                <w:snapToGrid/>
                <w:szCs w:val="24"/>
              </w:rPr>
              <w:t>Не исполнено в срок</w:t>
            </w:r>
            <w:r w:rsidRPr="00C23144">
              <w:rPr>
                <w:snapToGrid/>
                <w:szCs w:val="24"/>
              </w:rPr>
              <w:t>» по КВР 461, 462, 464, 465, 612, 613, 622, 623.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1156"/>
        </w:trPr>
        <w:tc>
          <w:tcPr>
            <w:tcW w:w="1943" w:type="pct"/>
            <w:gridSpan w:val="3"/>
            <w:shd w:val="clear" w:color="auto" w:fill="F2F2F2" w:themeFill="background1" w:themeFillShade="F2"/>
            <w:hideMark/>
          </w:tcPr>
          <w:p w:rsidR="00D7306D" w:rsidRPr="00020940" w:rsidRDefault="00D7306D" w:rsidP="00D7306D">
            <w:pPr>
              <w:jc w:val="left"/>
              <w:rPr>
                <w:snapToGrid/>
                <w:color w:val="auto"/>
                <w:szCs w:val="24"/>
              </w:rPr>
            </w:pPr>
            <w:r w:rsidRPr="00020940">
              <w:rPr>
                <w:snapToGrid/>
                <w:color w:val="auto"/>
                <w:szCs w:val="24"/>
              </w:rPr>
              <w:t>Сумма факторов риска, ИТОГО</w:t>
            </w:r>
          </w:p>
        </w:tc>
        <w:tc>
          <w:tcPr>
            <w:tcW w:w="3057" w:type="pct"/>
            <w:shd w:val="clear" w:color="auto" w:fill="auto"/>
            <w:hideMark/>
          </w:tcPr>
          <w:p w:rsidR="00D7306D" w:rsidRPr="00020940" w:rsidRDefault="00D7306D" w:rsidP="00D7306D">
            <w:pPr>
              <w:jc w:val="left"/>
              <w:rPr>
                <w:snapToGrid/>
                <w:color w:val="auto"/>
                <w:szCs w:val="24"/>
              </w:rPr>
            </w:pPr>
            <w:r w:rsidRPr="00020940">
              <w:rPr>
                <w:snapToGrid/>
                <w:color w:val="auto"/>
                <w:szCs w:val="24"/>
              </w:rPr>
              <w:t>Формула:</w:t>
            </w:r>
          </w:p>
          <w:p w:rsidR="00D7306D" w:rsidRPr="00020940" w:rsidRDefault="00D7306D" w:rsidP="00D7306D">
            <w:pPr>
              <w:jc w:val="left"/>
              <w:rPr>
                <w:snapToGrid/>
                <w:color w:val="auto"/>
                <w:szCs w:val="24"/>
              </w:rPr>
            </w:pPr>
            <w:r w:rsidRPr="00020940">
              <w:rPr>
                <w:snapToGrid/>
                <w:color w:val="auto"/>
                <w:szCs w:val="24"/>
              </w:rPr>
              <w:t>«Заблокированные лимиты» ПЛЮС «Иное» ПЛЮС «Нераспределенные лимиты в срок» ПЛЮС «Не приняты БО в срок» ПЛЮС «Не исполнено в срок»</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 к росписи (сумма факторов риска, ИТОГО)</w:t>
            </w:r>
          </w:p>
        </w:tc>
        <w:tc>
          <w:tcPr>
            <w:tcW w:w="3057" w:type="pct"/>
            <w:shd w:val="clear" w:color="auto" w:fill="auto"/>
            <w:hideMark/>
          </w:tcPr>
          <w:p w:rsidR="00D7306D" w:rsidRDefault="00D7306D" w:rsidP="00D7306D">
            <w:pPr>
              <w:jc w:val="left"/>
              <w:rPr>
                <w:snapToGrid/>
                <w:szCs w:val="24"/>
              </w:rPr>
            </w:pPr>
            <w:r>
              <w:rPr>
                <w:snapToGrid/>
                <w:szCs w:val="24"/>
              </w:rPr>
              <w:t xml:space="preserve">Формула: </w:t>
            </w:r>
          </w:p>
          <w:p w:rsidR="00D7306D" w:rsidRPr="00725571" w:rsidRDefault="00D7306D" w:rsidP="00D7306D">
            <w:pPr>
              <w:jc w:val="left"/>
              <w:rPr>
                <w:snapToGrid/>
                <w:szCs w:val="24"/>
              </w:rPr>
            </w:pPr>
            <w:r>
              <w:rPr>
                <w:snapToGrid/>
                <w:szCs w:val="24"/>
              </w:rPr>
              <w:t>«</w:t>
            </w:r>
            <w:r w:rsidRPr="00725571">
              <w:rPr>
                <w:snapToGrid/>
                <w:szCs w:val="24"/>
              </w:rPr>
              <w:t>Сумма факторов риска, ИТОГО</w:t>
            </w:r>
            <w:r>
              <w:rPr>
                <w:snapToGrid/>
                <w:szCs w:val="24"/>
              </w:rPr>
              <w:t>»</w:t>
            </w:r>
            <w:r w:rsidRPr="00725571">
              <w:rPr>
                <w:snapToGrid/>
                <w:szCs w:val="24"/>
              </w:rPr>
              <w:t xml:space="preserve"> / </w:t>
            </w:r>
            <w:r>
              <w:rPr>
                <w:snapToGrid/>
                <w:szCs w:val="24"/>
              </w:rPr>
              <w:t>«</w:t>
            </w:r>
            <w:r w:rsidRPr="00725571">
              <w:rPr>
                <w:snapToGrid/>
                <w:szCs w:val="24"/>
              </w:rPr>
              <w:t>Роспись</w:t>
            </w:r>
            <w:r>
              <w:rPr>
                <w:snapToGrid/>
                <w:szCs w:val="24"/>
              </w:rPr>
              <w:t>»</w:t>
            </w:r>
            <w:r w:rsidRPr="00725571">
              <w:rPr>
                <w:snapToGrid/>
                <w:szCs w:val="24"/>
              </w:rPr>
              <w:t xml:space="preserve"> *100</w:t>
            </w:r>
            <w:r>
              <w:rPr>
                <w:snapToGrid/>
                <w:szCs w:val="24"/>
              </w:rPr>
              <w:t>%</w:t>
            </w:r>
          </w:p>
        </w:tc>
      </w:tr>
      <w:tr w:rsidR="00D7306D" w:rsidRPr="00725571" w:rsidTr="00D7306D">
        <w:trPr>
          <w:trHeight w:val="99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Не исполнено БО</w:t>
            </w:r>
          </w:p>
        </w:tc>
        <w:tc>
          <w:tcPr>
            <w:tcW w:w="3057" w:type="pct"/>
            <w:shd w:val="clear" w:color="auto" w:fill="auto"/>
            <w:hideMark/>
          </w:tcPr>
          <w:p w:rsidR="00D7306D" w:rsidRDefault="00D7306D" w:rsidP="00D7306D">
            <w:pPr>
              <w:jc w:val="left"/>
              <w:rPr>
                <w:snapToGrid/>
                <w:szCs w:val="24"/>
              </w:rPr>
            </w:pPr>
            <w:r>
              <w:rPr>
                <w:snapToGrid/>
                <w:szCs w:val="24"/>
              </w:rPr>
              <w:t>Формула:</w:t>
            </w:r>
          </w:p>
          <w:p w:rsidR="00D7306D" w:rsidRPr="00725571" w:rsidRDefault="00D7306D" w:rsidP="00D7306D">
            <w:pPr>
              <w:jc w:val="left"/>
              <w:rPr>
                <w:snapToGrid/>
                <w:szCs w:val="24"/>
              </w:rPr>
            </w:pPr>
            <w:r>
              <w:rPr>
                <w:snapToGrid/>
                <w:szCs w:val="24"/>
              </w:rPr>
              <w:t>«</w:t>
            </w:r>
            <w:r w:rsidRPr="00725571">
              <w:rPr>
                <w:snapToGrid/>
                <w:szCs w:val="24"/>
              </w:rPr>
              <w:t>Роспись</w:t>
            </w:r>
            <w:r>
              <w:rPr>
                <w:snapToGrid/>
                <w:szCs w:val="24"/>
              </w:rPr>
              <w:t>» МИНУС «</w:t>
            </w:r>
            <w:r w:rsidRPr="00725571">
              <w:rPr>
                <w:snapToGrid/>
                <w:szCs w:val="24"/>
              </w:rPr>
              <w:t>Факт</w:t>
            </w:r>
            <w:r>
              <w:rPr>
                <w:snapToGrid/>
                <w:szCs w:val="24"/>
              </w:rPr>
              <w:t>»</w:t>
            </w:r>
            <w:r w:rsidRPr="00725571">
              <w:rPr>
                <w:snapToGrid/>
                <w:szCs w:val="24"/>
              </w:rPr>
              <w:t xml:space="preserve"> </w:t>
            </w:r>
            <w:r>
              <w:rPr>
                <w:snapToGrid/>
                <w:szCs w:val="24"/>
              </w:rPr>
              <w:t>МИНУС «</w:t>
            </w:r>
            <w:r w:rsidRPr="00725571">
              <w:rPr>
                <w:snapToGrid/>
                <w:szCs w:val="24"/>
              </w:rPr>
              <w:t>В резерве</w:t>
            </w:r>
            <w:r>
              <w:rPr>
                <w:snapToGrid/>
                <w:szCs w:val="24"/>
              </w:rPr>
              <w:t>» МИНУС «</w:t>
            </w:r>
            <w:r w:rsidRPr="00725571">
              <w:rPr>
                <w:snapToGrid/>
                <w:szCs w:val="24"/>
              </w:rPr>
              <w:t>Заблокированные лимиты</w:t>
            </w:r>
            <w:r>
              <w:rPr>
                <w:snapToGrid/>
                <w:szCs w:val="24"/>
              </w:rPr>
              <w:t>» МИНУС «</w:t>
            </w:r>
            <w:r w:rsidRPr="00725571">
              <w:rPr>
                <w:snapToGrid/>
                <w:szCs w:val="24"/>
              </w:rPr>
              <w:t>Иное</w:t>
            </w:r>
            <w:r>
              <w:rPr>
                <w:snapToGrid/>
                <w:szCs w:val="24"/>
              </w:rPr>
              <w:t xml:space="preserve"> </w:t>
            </w:r>
            <w:r w:rsidRPr="00725571">
              <w:rPr>
                <w:snapToGrid/>
                <w:szCs w:val="24"/>
              </w:rPr>
              <w:t>(риск)</w:t>
            </w:r>
            <w:r>
              <w:rPr>
                <w:snapToGrid/>
                <w:szCs w:val="24"/>
              </w:rPr>
              <w:t>» МИНУС «</w:t>
            </w:r>
            <w:r w:rsidRPr="00725571">
              <w:rPr>
                <w:snapToGrid/>
                <w:szCs w:val="24"/>
              </w:rPr>
              <w:t>Нераспределенные лимиты в срок</w:t>
            </w:r>
            <w:r>
              <w:rPr>
                <w:snapToGrid/>
                <w:szCs w:val="24"/>
              </w:rPr>
              <w:t>» МИНУС «</w:t>
            </w:r>
            <w:r w:rsidRPr="00725571">
              <w:rPr>
                <w:snapToGrid/>
                <w:szCs w:val="24"/>
              </w:rPr>
              <w:t>Не принятые БО в срок</w:t>
            </w:r>
            <w:r>
              <w:rPr>
                <w:snapToGrid/>
                <w:szCs w:val="24"/>
              </w:rPr>
              <w:t>».</w:t>
            </w:r>
          </w:p>
        </w:tc>
      </w:tr>
      <w:tr w:rsidR="00D7306D" w:rsidRPr="00725571" w:rsidTr="00D7306D">
        <w:trPr>
          <w:trHeight w:val="630"/>
        </w:trPr>
        <w:tc>
          <w:tcPr>
            <w:tcW w:w="513" w:type="pct"/>
            <w:vMerge w:val="restart"/>
            <w:shd w:val="clear" w:color="auto" w:fill="auto"/>
            <w:hideMark/>
          </w:tcPr>
          <w:p w:rsidR="00D7306D" w:rsidRPr="00725571" w:rsidRDefault="00D7306D" w:rsidP="00D7306D">
            <w:pPr>
              <w:jc w:val="left"/>
              <w:rPr>
                <w:snapToGrid/>
                <w:szCs w:val="24"/>
              </w:rPr>
            </w:pPr>
            <w:r w:rsidRPr="00725571">
              <w:rPr>
                <w:snapToGrid/>
                <w:szCs w:val="24"/>
              </w:rPr>
              <w:t>из них:</w:t>
            </w: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по контрактам на поставку товаров (работ, услуг)</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 Показатель «</w:t>
            </w:r>
            <w:r w:rsidRPr="00725571">
              <w:rPr>
                <w:snapToGrid/>
                <w:sz w:val="24"/>
                <w:szCs w:val="24"/>
              </w:rPr>
              <w:t>Не исполнено БО</w:t>
            </w:r>
            <w:r w:rsidRPr="00C23144">
              <w:rPr>
                <w:snapToGrid/>
                <w:sz w:val="24"/>
                <w:szCs w:val="24"/>
              </w:rPr>
              <w:t xml:space="preserve">» по КВР 200, </w:t>
            </w:r>
            <w:r w:rsidRPr="00C23144">
              <w:rPr>
                <w:color w:val="auto"/>
                <w:sz w:val="24"/>
                <w:szCs w:val="24"/>
              </w:rPr>
              <w:t>410 (КРОМЕ КВР 415), 323.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по соглашениям с субъектами РФ на МБТ</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БО</w:t>
            </w:r>
            <w:r w:rsidRPr="00C23144">
              <w:rPr>
                <w:snapToGrid/>
                <w:sz w:val="24"/>
                <w:szCs w:val="24"/>
              </w:rPr>
              <w:t>» по КВР 520, 540, 530</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по соглашениям с юридическими лицами</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БО</w:t>
            </w:r>
            <w:r w:rsidRPr="00C23144">
              <w:rPr>
                <w:snapToGrid/>
                <w:sz w:val="24"/>
                <w:szCs w:val="24"/>
              </w:rPr>
              <w:t>» по КВР 450, 463, 466, 630, 810, 820, 415.</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33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по соглашениям с БУ/АУ на гос.задания</w:t>
            </w:r>
          </w:p>
        </w:tc>
        <w:tc>
          <w:tcPr>
            <w:tcW w:w="3057" w:type="pct"/>
            <w:shd w:val="clear" w:color="auto" w:fill="auto"/>
            <w:hideMark/>
          </w:tcPr>
          <w:p w:rsidR="00D7306D" w:rsidRPr="00C23144" w:rsidRDefault="00D7306D" w:rsidP="00D7306D">
            <w:pPr>
              <w:pStyle w:val="af0"/>
              <w:ind w:firstLine="0"/>
              <w:jc w:val="left"/>
              <w:rPr>
                <w:snapToGrid/>
                <w:sz w:val="24"/>
                <w:szCs w:val="24"/>
              </w:rPr>
            </w:pPr>
            <w:r w:rsidRPr="00C23144">
              <w:rPr>
                <w:color w:val="auto"/>
                <w:sz w:val="24"/>
                <w:szCs w:val="24"/>
              </w:rPr>
              <w:t>Формула: Показатель «</w:t>
            </w:r>
            <w:r w:rsidRPr="00725571">
              <w:rPr>
                <w:snapToGrid/>
                <w:sz w:val="24"/>
                <w:szCs w:val="24"/>
              </w:rPr>
              <w:t>Не исполнено БО</w:t>
            </w:r>
            <w:r w:rsidRPr="00C23144">
              <w:rPr>
                <w:snapToGrid/>
                <w:sz w:val="24"/>
                <w:szCs w:val="24"/>
              </w:rPr>
              <w:t>» по КВР 611, 621, 614, 624.</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66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по соглашениям с БУ/АУ на иные цели (в том числе на капвложения)</w:t>
            </w:r>
          </w:p>
        </w:tc>
        <w:tc>
          <w:tcPr>
            <w:tcW w:w="3057" w:type="pct"/>
            <w:shd w:val="clear" w:color="auto" w:fill="auto"/>
            <w:hideMark/>
          </w:tcPr>
          <w:p w:rsidR="00D7306D" w:rsidRPr="00C23144" w:rsidRDefault="00D7306D" w:rsidP="00D7306D">
            <w:pPr>
              <w:pStyle w:val="af0"/>
              <w:ind w:firstLine="0"/>
              <w:jc w:val="left"/>
              <w:rPr>
                <w:color w:val="auto"/>
                <w:sz w:val="24"/>
                <w:szCs w:val="24"/>
              </w:rPr>
            </w:pPr>
            <w:r w:rsidRPr="00C23144">
              <w:rPr>
                <w:color w:val="auto"/>
                <w:sz w:val="24"/>
                <w:szCs w:val="24"/>
              </w:rPr>
              <w:t>Формула:</w:t>
            </w:r>
          </w:p>
          <w:p w:rsidR="00D7306D" w:rsidRPr="00C23144" w:rsidRDefault="00D7306D" w:rsidP="00D7306D">
            <w:pPr>
              <w:jc w:val="left"/>
              <w:rPr>
                <w:snapToGrid/>
                <w:szCs w:val="24"/>
              </w:rPr>
            </w:pPr>
            <w:r w:rsidRPr="00C23144">
              <w:rPr>
                <w:color w:val="auto"/>
                <w:szCs w:val="24"/>
              </w:rPr>
              <w:t>Показатель «</w:t>
            </w:r>
            <w:r w:rsidRPr="00725571">
              <w:rPr>
                <w:snapToGrid/>
                <w:szCs w:val="24"/>
              </w:rPr>
              <w:t>Не исполнено БО</w:t>
            </w:r>
            <w:r w:rsidRPr="00C23144">
              <w:rPr>
                <w:snapToGrid/>
                <w:szCs w:val="24"/>
              </w:rPr>
              <w:t>» по КВР 461, 462, 464, 465, 612, 613, 622, 623.</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1320"/>
        </w:trPr>
        <w:tc>
          <w:tcPr>
            <w:tcW w:w="513" w:type="pct"/>
            <w:vMerge/>
            <w:shd w:val="clear" w:color="auto" w:fill="auto"/>
            <w:vAlign w:val="center"/>
            <w:hideMark/>
          </w:tcPr>
          <w:p w:rsidR="00D7306D" w:rsidRPr="00725571" w:rsidRDefault="00D7306D" w:rsidP="00D7306D">
            <w:pPr>
              <w:jc w:val="left"/>
              <w:rPr>
                <w:snapToGrid/>
                <w:szCs w:val="24"/>
              </w:rPr>
            </w:pPr>
          </w:p>
        </w:tc>
        <w:tc>
          <w:tcPr>
            <w:tcW w:w="1430" w:type="pct"/>
            <w:gridSpan w:val="2"/>
            <w:shd w:val="clear" w:color="auto" w:fill="auto"/>
            <w:hideMark/>
          </w:tcPr>
          <w:p w:rsidR="00D7306D" w:rsidRPr="00725571" w:rsidRDefault="00D7306D" w:rsidP="00D7306D">
            <w:pPr>
              <w:jc w:val="left"/>
              <w:rPr>
                <w:snapToGrid/>
                <w:szCs w:val="24"/>
              </w:rPr>
            </w:pPr>
            <w:r w:rsidRPr="00725571">
              <w:rPr>
                <w:snapToGrid/>
                <w:szCs w:val="24"/>
              </w:rPr>
              <w:t>иных обязательств</w:t>
            </w:r>
          </w:p>
        </w:tc>
        <w:tc>
          <w:tcPr>
            <w:tcW w:w="3057" w:type="pct"/>
            <w:shd w:val="clear" w:color="auto" w:fill="auto"/>
            <w:hideMark/>
          </w:tcPr>
          <w:p w:rsidR="00D7306D" w:rsidRDefault="00D7306D" w:rsidP="00D7306D">
            <w:pPr>
              <w:jc w:val="left"/>
              <w:rPr>
                <w:snapToGrid/>
                <w:szCs w:val="24"/>
              </w:rPr>
            </w:pPr>
            <w:r>
              <w:rPr>
                <w:snapToGrid/>
                <w:szCs w:val="24"/>
              </w:rPr>
              <w:t xml:space="preserve">Формула: </w:t>
            </w:r>
          </w:p>
          <w:p w:rsidR="00D7306D" w:rsidRDefault="00D7306D" w:rsidP="00D7306D">
            <w:pPr>
              <w:jc w:val="left"/>
              <w:rPr>
                <w:snapToGrid/>
                <w:szCs w:val="24"/>
              </w:rPr>
            </w:pPr>
            <w:r>
              <w:rPr>
                <w:snapToGrid/>
                <w:szCs w:val="24"/>
              </w:rPr>
              <w:t>«</w:t>
            </w:r>
            <w:r w:rsidRPr="00725571">
              <w:rPr>
                <w:snapToGrid/>
                <w:szCs w:val="24"/>
              </w:rPr>
              <w:t>Не исполнено БО</w:t>
            </w:r>
            <w:r>
              <w:rPr>
                <w:snapToGrid/>
                <w:szCs w:val="24"/>
              </w:rPr>
              <w:t>» МИНУС «</w:t>
            </w:r>
            <w:r w:rsidRPr="00725571">
              <w:rPr>
                <w:snapToGrid/>
                <w:szCs w:val="24"/>
              </w:rPr>
              <w:t>по контрактам на поставку товаров (работ, услуг)</w:t>
            </w:r>
            <w:r>
              <w:rPr>
                <w:snapToGrid/>
                <w:szCs w:val="24"/>
              </w:rPr>
              <w:t>» МИНУС «</w:t>
            </w:r>
            <w:r w:rsidRPr="00725571">
              <w:rPr>
                <w:snapToGrid/>
                <w:szCs w:val="24"/>
              </w:rPr>
              <w:t>Не исполнены соглашения с субъектами РФ на МБТ</w:t>
            </w:r>
            <w:r>
              <w:rPr>
                <w:snapToGrid/>
                <w:szCs w:val="24"/>
              </w:rPr>
              <w:t>» МИНУС «</w:t>
            </w:r>
            <w:r w:rsidRPr="00725571">
              <w:rPr>
                <w:snapToGrid/>
                <w:szCs w:val="24"/>
              </w:rPr>
              <w:t>Не исполнены соглашения с ЮЛ</w:t>
            </w:r>
            <w:r>
              <w:rPr>
                <w:snapToGrid/>
                <w:szCs w:val="24"/>
              </w:rPr>
              <w:t>» МИНУС «</w:t>
            </w:r>
            <w:r w:rsidRPr="00725571">
              <w:rPr>
                <w:snapToGrid/>
                <w:szCs w:val="24"/>
              </w:rPr>
              <w:t>Не исполнены соглашения с БУ/АУ на гос.задания</w:t>
            </w:r>
            <w:r>
              <w:rPr>
                <w:snapToGrid/>
                <w:szCs w:val="24"/>
              </w:rPr>
              <w:t>» МИНУС «</w:t>
            </w:r>
            <w:r w:rsidRPr="00725571">
              <w:rPr>
                <w:snapToGrid/>
                <w:szCs w:val="24"/>
              </w:rPr>
              <w:t>Не исполнены соглашения с БУ/АУ на иные цели</w:t>
            </w:r>
            <w:r>
              <w:rPr>
                <w:snapToGrid/>
                <w:szCs w:val="24"/>
              </w:rPr>
              <w:t>».</w:t>
            </w:r>
          </w:p>
          <w:p w:rsidR="00D7306D" w:rsidRPr="00725571" w:rsidRDefault="00D7306D" w:rsidP="00D7306D">
            <w:pPr>
              <w:jc w:val="left"/>
              <w:rPr>
                <w:snapToGrid/>
                <w:szCs w:val="24"/>
              </w:rPr>
            </w:pPr>
            <w:r w:rsidRPr="00C23144">
              <w:rPr>
                <w:i/>
                <w:color w:val="auto"/>
                <w:szCs w:val="24"/>
              </w:rPr>
              <w:t>Колонка схлопнута за колонкой «</w:t>
            </w:r>
            <w:r w:rsidRPr="00C23144">
              <w:rPr>
                <w:i/>
                <w:snapToGrid/>
                <w:szCs w:val="24"/>
              </w:rPr>
              <w:t>Действующие обязательства</w:t>
            </w:r>
            <w:r w:rsidRPr="00C23144">
              <w:rPr>
                <w:i/>
                <w:color w:val="auto"/>
                <w:szCs w:val="24"/>
              </w:rPr>
              <w:t>».</w:t>
            </w:r>
          </w:p>
        </w:tc>
      </w:tr>
      <w:tr w:rsidR="00D7306D" w:rsidRPr="00725571" w:rsidTr="00D7306D">
        <w:trPr>
          <w:trHeight w:val="1320"/>
        </w:trPr>
        <w:tc>
          <w:tcPr>
            <w:tcW w:w="1943" w:type="pct"/>
            <w:gridSpan w:val="3"/>
            <w:shd w:val="clear" w:color="auto" w:fill="F2F2F2" w:themeFill="background1" w:themeFillShade="F2"/>
          </w:tcPr>
          <w:p w:rsidR="00D7306D" w:rsidRPr="00725571" w:rsidRDefault="00D7306D" w:rsidP="00D7306D">
            <w:pPr>
              <w:jc w:val="left"/>
              <w:rPr>
                <w:snapToGrid/>
                <w:szCs w:val="24"/>
              </w:rPr>
            </w:pPr>
            <w:r>
              <w:rPr>
                <w:snapToGrid/>
                <w:szCs w:val="24"/>
              </w:rPr>
              <w:t>Количество субсидий</w:t>
            </w:r>
          </w:p>
        </w:tc>
        <w:tc>
          <w:tcPr>
            <w:tcW w:w="3057" w:type="pct"/>
            <w:shd w:val="clear" w:color="auto" w:fill="auto"/>
          </w:tcPr>
          <w:p w:rsidR="00D7306D" w:rsidRDefault="00D7306D" w:rsidP="00D7306D">
            <w:pPr>
              <w:pStyle w:val="af0"/>
              <w:ind w:firstLine="0"/>
              <w:jc w:val="left"/>
              <w:rPr>
                <w:color w:val="auto"/>
                <w:sz w:val="24"/>
                <w:szCs w:val="24"/>
              </w:rPr>
            </w:pPr>
            <w:r>
              <w:rPr>
                <w:color w:val="auto"/>
                <w:sz w:val="24"/>
                <w:szCs w:val="24"/>
              </w:rPr>
              <w:t>Колонка выводится в представлении по «ГРБС».</w:t>
            </w:r>
          </w:p>
          <w:p w:rsidR="00D7306D" w:rsidRDefault="00D7306D" w:rsidP="00D7306D">
            <w:pPr>
              <w:pStyle w:val="af0"/>
              <w:ind w:firstLine="0"/>
              <w:jc w:val="left"/>
              <w:rPr>
                <w:color w:val="auto"/>
                <w:sz w:val="24"/>
                <w:szCs w:val="24"/>
              </w:rPr>
            </w:pPr>
          </w:p>
          <w:p w:rsidR="00D7306D" w:rsidRPr="00B70294" w:rsidRDefault="00D7306D" w:rsidP="00D7306D">
            <w:pPr>
              <w:pStyle w:val="af0"/>
              <w:ind w:firstLine="0"/>
              <w:jc w:val="left"/>
              <w:rPr>
                <w:color w:val="auto"/>
                <w:sz w:val="24"/>
                <w:szCs w:val="24"/>
              </w:rPr>
            </w:pPr>
            <w:r w:rsidRPr="00B70294">
              <w:rPr>
                <w:color w:val="auto"/>
                <w:sz w:val="24"/>
                <w:szCs w:val="24"/>
              </w:rPr>
              <w:t>Считается уникальное количество КЦСР (10 знаков) по открытым цепочкам кодов бюджетной классификации, по которым есть значения по</w:t>
            </w:r>
            <w:r>
              <w:rPr>
                <w:color w:val="auto"/>
                <w:sz w:val="24"/>
                <w:szCs w:val="24"/>
              </w:rPr>
              <w:t xml:space="preserve"> </w:t>
            </w:r>
            <w:r w:rsidRPr="00B70294">
              <w:rPr>
                <w:color w:val="auto"/>
                <w:sz w:val="24"/>
                <w:szCs w:val="24"/>
              </w:rPr>
              <w:t>следующим показателям: «Роспись» или «Доведено» или «Распределено» или «Заблокированные лимиты» или «Факт» или «Бюджетные обязательства» или «Денежные обязательства».</w:t>
            </w:r>
          </w:p>
          <w:p w:rsidR="00D7306D" w:rsidRPr="00B70294" w:rsidRDefault="00D7306D" w:rsidP="00D7306D">
            <w:pPr>
              <w:pStyle w:val="af0"/>
              <w:ind w:firstLine="0"/>
              <w:jc w:val="left"/>
              <w:rPr>
                <w:color w:val="auto"/>
                <w:sz w:val="24"/>
                <w:szCs w:val="24"/>
              </w:rPr>
            </w:pPr>
          </w:p>
          <w:p w:rsidR="00D7306D" w:rsidRPr="00FE2685" w:rsidRDefault="00D7306D" w:rsidP="00D7306D">
            <w:pPr>
              <w:pStyle w:val="af0"/>
              <w:ind w:firstLine="0"/>
              <w:jc w:val="left"/>
              <w:rPr>
                <w:color w:val="auto"/>
                <w:sz w:val="24"/>
                <w:szCs w:val="24"/>
              </w:rPr>
            </w:pPr>
            <w:r w:rsidRPr="00B70294">
              <w:rPr>
                <w:color w:val="auto"/>
                <w:sz w:val="24"/>
                <w:szCs w:val="24"/>
              </w:rPr>
              <w:t>Один КЦСР может входить</w:t>
            </w:r>
            <w:r>
              <w:rPr>
                <w:color w:val="auto"/>
                <w:sz w:val="24"/>
                <w:szCs w:val="24"/>
              </w:rPr>
              <w:t xml:space="preserve"> КБК с различными кодами ГРБС, РзПр, КВР.</w:t>
            </w:r>
            <w:r w:rsidRPr="00B70294">
              <w:rPr>
                <w:color w:val="auto"/>
                <w:sz w:val="24"/>
                <w:szCs w:val="24"/>
              </w:rPr>
              <w:t xml:space="preserve"> в несколько типов субсидий</w:t>
            </w:r>
            <w:r>
              <w:rPr>
                <w:color w:val="auto"/>
                <w:sz w:val="24"/>
                <w:szCs w:val="24"/>
              </w:rPr>
              <w:t>!</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Количество соглашений</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Колонка выводится в представлении по «ГРБС», «По КЦСР», «По КБК».</w:t>
            </w:r>
          </w:p>
          <w:p w:rsidR="00D7306D" w:rsidRDefault="00D7306D" w:rsidP="00D7306D">
            <w:pPr>
              <w:jc w:val="left"/>
              <w:rPr>
                <w:snapToGrid/>
                <w:szCs w:val="24"/>
              </w:rPr>
            </w:pPr>
          </w:p>
          <w:p w:rsidR="00D7306D" w:rsidRDefault="00D7306D" w:rsidP="00D7306D">
            <w:pPr>
              <w:jc w:val="left"/>
              <w:rPr>
                <w:snapToGrid/>
                <w:szCs w:val="24"/>
              </w:rPr>
            </w:pPr>
            <w:r>
              <w:rPr>
                <w:snapToGrid/>
                <w:szCs w:val="24"/>
              </w:rPr>
              <w:t>Источник: ПУР, Реестр соглашений.</w:t>
            </w:r>
          </w:p>
          <w:p w:rsidR="00D7306D" w:rsidRPr="00725571" w:rsidRDefault="00D7306D" w:rsidP="00D7306D">
            <w:pPr>
              <w:jc w:val="left"/>
              <w:rPr>
                <w:snapToGrid/>
                <w:szCs w:val="24"/>
              </w:rPr>
            </w:pPr>
            <w:r w:rsidRPr="00DA042B">
              <w:rPr>
                <w:snapToGrid/>
                <w:szCs w:val="24"/>
              </w:rPr>
              <w:t>Количество уникальных соглашений, у которых в "Графике платежей" на выбранный год имеется ненулевая сумма, либо на этот же выбранный год имеется ненулевое значение суммы по платежным поручениям (ИПС).</w:t>
            </w:r>
          </w:p>
        </w:tc>
      </w:tr>
      <w:tr w:rsidR="00D7306D" w:rsidRPr="00725571" w:rsidTr="00D7306D">
        <w:trPr>
          <w:trHeight w:val="330"/>
        </w:trPr>
        <w:tc>
          <w:tcPr>
            <w:tcW w:w="1943" w:type="pct"/>
            <w:gridSpan w:val="3"/>
            <w:shd w:val="clear" w:color="auto" w:fill="F2F2F2" w:themeFill="background1" w:themeFillShade="F2"/>
            <w:hideMark/>
          </w:tcPr>
          <w:p w:rsidR="00D7306D" w:rsidRPr="00725571" w:rsidRDefault="00D7306D" w:rsidP="00D7306D">
            <w:pPr>
              <w:jc w:val="left"/>
              <w:rPr>
                <w:snapToGrid/>
                <w:szCs w:val="24"/>
              </w:rPr>
            </w:pPr>
            <w:r w:rsidRPr="00725571">
              <w:rPr>
                <w:snapToGrid/>
                <w:szCs w:val="24"/>
              </w:rPr>
              <w:t>Количество контрактов</w:t>
            </w:r>
          </w:p>
        </w:tc>
        <w:tc>
          <w:tcPr>
            <w:tcW w:w="3057" w:type="pct"/>
            <w:shd w:val="clear" w:color="auto" w:fill="auto"/>
            <w:hideMark/>
          </w:tcPr>
          <w:p w:rsidR="00D7306D" w:rsidRDefault="00D7306D" w:rsidP="00D7306D">
            <w:pPr>
              <w:pStyle w:val="af0"/>
              <w:ind w:firstLine="0"/>
              <w:jc w:val="left"/>
              <w:rPr>
                <w:color w:val="auto"/>
                <w:sz w:val="24"/>
                <w:szCs w:val="24"/>
              </w:rPr>
            </w:pPr>
            <w:r>
              <w:rPr>
                <w:color w:val="auto"/>
                <w:sz w:val="24"/>
                <w:szCs w:val="24"/>
              </w:rPr>
              <w:t>Колонка выводится в представлении по «ГРБС», По КЦСР», «По КБК».</w:t>
            </w:r>
          </w:p>
          <w:p w:rsidR="00D7306D" w:rsidRDefault="00D7306D" w:rsidP="00D7306D">
            <w:pPr>
              <w:pStyle w:val="af0"/>
              <w:ind w:firstLine="0"/>
              <w:jc w:val="left"/>
              <w:rPr>
                <w:color w:val="auto"/>
                <w:sz w:val="24"/>
                <w:szCs w:val="24"/>
              </w:rPr>
            </w:pPr>
          </w:p>
          <w:p w:rsidR="00D7306D" w:rsidRDefault="00D7306D" w:rsidP="00D7306D">
            <w:pPr>
              <w:pStyle w:val="af0"/>
              <w:ind w:firstLine="0"/>
              <w:jc w:val="left"/>
              <w:rPr>
                <w:color w:val="auto"/>
                <w:sz w:val="24"/>
                <w:szCs w:val="24"/>
              </w:rPr>
            </w:pPr>
            <w:r>
              <w:rPr>
                <w:color w:val="auto"/>
                <w:sz w:val="24"/>
                <w:szCs w:val="24"/>
              </w:rPr>
              <w:t>Источник: ЕИС, Реестр контрактов.</w:t>
            </w:r>
          </w:p>
          <w:p w:rsidR="00D7306D" w:rsidRPr="00092C96" w:rsidRDefault="00D7306D" w:rsidP="00D7306D">
            <w:pPr>
              <w:jc w:val="left"/>
              <w:rPr>
                <w:snapToGrid/>
                <w:szCs w:val="24"/>
              </w:rPr>
            </w:pPr>
            <w:r>
              <w:rPr>
                <w:snapToGrid/>
                <w:szCs w:val="24"/>
              </w:rPr>
              <w:t xml:space="preserve">Уникальное количество контрактов на исполнении, </w:t>
            </w:r>
            <w:r w:rsidRPr="00092C96">
              <w:rPr>
                <w:snapToGrid/>
                <w:szCs w:val="24"/>
              </w:rPr>
              <w:t>по</w:t>
            </w:r>
          </w:p>
          <w:p w:rsidR="00D7306D" w:rsidRPr="00092C96" w:rsidRDefault="00D7306D" w:rsidP="00D7306D">
            <w:pPr>
              <w:jc w:val="left"/>
              <w:rPr>
                <w:snapToGrid/>
                <w:szCs w:val="24"/>
              </w:rPr>
            </w:pPr>
            <w:r w:rsidRPr="00092C96">
              <w:rPr>
                <w:snapToGrid/>
                <w:szCs w:val="24"/>
              </w:rPr>
              <w:t>которым плановый период</w:t>
            </w:r>
            <w:r>
              <w:rPr>
                <w:snapToGrid/>
                <w:szCs w:val="24"/>
              </w:rPr>
              <w:t xml:space="preserve"> </w:t>
            </w:r>
            <w:r w:rsidRPr="00092C96">
              <w:rPr>
                <w:snapToGrid/>
                <w:szCs w:val="24"/>
              </w:rPr>
              <w:t>оплаты завершается в</w:t>
            </w:r>
          </w:p>
          <w:p w:rsidR="00D7306D" w:rsidRPr="00092C96" w:rsidRDefault="00D7306D" w:rsidP="00D7306D">
            <w:pPr>
              <w:jc w:val="left"/>
              <w:rPr>
                <w:snapToGrid/>
                <w:szCs w:val="24"/>
              </w:rPr>
            </w:pPr>
            <w:r w:rsidRPr="00092C96">
              <w:rPr>
                <w:snapToGrid/>
                <w:szCs w:val="24"/>
              </w:rPr>
              <w:t>текущем году</w:t>
            </w:r>
            <w:r>
              <w:rPr>
                <w:snapToGrid/>
                <w:szCs w:val="24"/>
              </w:rPr>
              <w:t>.</w:t>
            </w:r>
          </w:p>
        </w:tc>
      </w:tr>
    </w:tbl>
    <w:p w:rsidR="00D7306D" w:rsidRDefault="00D7306D" w:rsidP="00D7306D">
      <w:pPr>
        <w:pStyle w:val="af0"/>
        <w:rPr>
          <w:b/>
          <w:szCs w:val="28"/>
        </w:rPr>
      </w:pPr>
    </w:p>
    <w:p w:rsidR="00D7306D" w:rsidRPr="00943864" w:rsidRDefault="00D7306D" w:rsidP="00D7306D">
      <w:pPr>
        <w:pStyle w:val="af0"/>
        <w:rPr>
          <w:szCs w:val="28"/>
        </w:rPr>
      </w:pPr>
      <w:r w:rsidRPr="00943864">
        <w:rPr>
          <w:b/>
          <w:szCs w:val="28"/>
        </w:rPr>
        <w:t>Переходы из представления «По ГРБС»</w:t>
      </w:r>
      <w:r w:rsidRPr="00943864">
        <w:rPr>
          <w:szCs w:val="28"/>
        </w:rPr>
        <w:t>:</w:t>
      </w:r>
    </w:p>
    <w:p w:rsidR="00D7306D" w:rsidRPr="00943864" w:rsidRDefault="00D7306D" w:rsidP="00D7306D">
      <w:pPr>
        <w:pStyle w:val="af0"/>
        <w:rPr>
          <w:szCs w:val="28"/>
        </w:rPr>
      </w:pPr>
      <w:r w:rsidRPr="00943864">
        <w:rPr>
          <w:szCs w:val="28"/>
        </w:rPr>
        <w:t>Со строк колонки «</w:t>
      </w:r>
      <w:r w:rsidRPr="00943864">
        <w:rPr>
          <w:b/>
          <w:szCs w:val="28"/>
        </w:rPr>
        <w:t>Наименование показателей</w:t>
      </w:r>
      <w:r w:rsidRPr="00943864">
        <w:rPr>
          <w:szCs w:val="28"/>
        </w:rPr>
        <w:t>» переходы:</w:t>
      </w:r>
    </w:p>
    <w:p w:rsidR="00D7306D" w:rsidRPr="00943864" w:rsidRDefault="00D7306D" w:rsidP="00DE1661">
      <w:pPr>
        <w:pStyle w:val="13"/>
      </w:pPr>
      <w:r w:rsidRPr="00943864">
        <w:t>«</w:t>
      </w:r>
      <w:r w:rsidRPr="00943864">
        <w:rPr>
          <w:b/>
        </w:rPr>
        <w:t>По разделам расходов</w:t>
      </w:r>
      <w:r w:rsidRPr="00943864">
        <w:t>» в представление «По разделам расходов» отчета «Расходы федерального бюджета»;</w:t>
      </w:r>
    </w:p>
    <w:p w:rsidR="00D7306D" w:rsidRPr="00943864" w:rsidRDefault="00D7306D" w:rsidP="00DE1661">
      <w:pPr>
        <w:pStyle w:val="13"/>
      </w:pPr>
      <w:r w:rsidRPr="00943864">
        <w:t>«</w:t>
      </w:r>
      <w:r w:rsidRPr="00943864">
        <w:rPr>
          <w:b/>
        </w:rPr>
        <w:t>По видам расходов</w:t>
      </w:r>
      <w:r w:rsidRPr="00943864">
        <w:t>» в представление «По видам расходов» отчета «Расходы федерального бюджета»;</w:t>
      </w:r>
    </w:p>
    <w:p w:rsidR="00D7306D" w:rsidRPr="00943864" w:rsidRDefault="00D7306D" w:rsidP="00DE1661">
      <w:pPr>
        <w:pStyle w:val="13"/>
      </w:pPr>
      <w:r w:rsidRPr="00943864">
        <w:t>«</w:t>
      </w:r>
      <w:r w:rsidRPr="00943864">
        <w:rPr>
          <w:b/>
        </w:rPr>
        <w:t>По КЦСР</w:t>
      </w:r>
      <w:r w:rsidRPr="00943864">
        <w:t>» в представление «По КЦСР» отчета «Расходы федерального бюджета»;</w:t>
      </w:r>
    </w:p>
    <w:p w:rsidR="00D7306D" w:rsidRPr="00943864" w:rsidRDefault="00D7306D" w:rsidP="00DE1661">
      <w:pPr>
        <w:pStyle w:val="13"/>
      </w:pPr>
      <w:r w:rsidRPr="00943864">
        <w:t>«</w:t>
      </w:r>
      <w:r w:rsidRPr="00943864">
        <w:rPr>
          <w:b/>
        </w:rPr>
        <w:t>По КБК</w:t>
      </w:r>
      <w:r w:rsidRPr="00943864">
        <w:t>» в представление «По КБК» отчета «Расходы федерального бюджета»;</w:t>
      </w:r>
    </w:p>
    <w:p w:rsidR="00D7306D" w:rsidRPr="00943864" w:rsidRDefault="00D7306D" w:rsidP="00DE1661">
      <w:pPr>
        <w:pStyle w:val="13"/>
      </w:pPr>
      <w:r w:rsidRPr="00943864">
        <w:t>«</w:t>
      </w:r>
      <w:r w:rsidRPr="00943864">
        <w:rPr>
          <w:b/>
        </w:rPr>
        <w:t>По контрактам</w:t>
      </w:r>
      <w:r w:rsidRPr="00943864">
        <w:t>» в представление «По контрактам» отчета «Закупки из федерального бюджета».</w:t>
      </w:r>
    </w:p>
    <w:p w:rsidR="00D7306D" w:rsidRDefault="00D7306D" w:rsidP="00D7306D">
      <w:pPr>
        <w:pStyle w:val="af0"/>
        <w:rPr>
          <w:szCs w:val="28"/>
        </w:rPr>
      </w:pPr>
      <w:r w:rsidRPr="00943864">
        <w:rPr>
          <w:szCs w:val="28"/>
        </w:rPr>
        <w:t>Со строк колонки «</w:t>
      </w:r>
      <w:r w:rsidRPr="00943864">
        <w:rPr>
          <w:b/>
          <w:szCs w:val="28"/>
        </w:rPr>
        <w:t>Количество субсидий</w:t>
      </w:r>
      <w:r w:rsidRPr="00943864">
        <w:rPr>
          <w:szCs w:val="28"/>
        </w:rPr>
        <w:t>» переходы</w:t>
      </w:r>
      <w:r>
        <w:rPr>
          <w:szCs w:val="28"/>
        </w:rPr>
        <w:t xml:space="preserve"> «</w:t>
      </w:r>
      <w:r w:rsidRPr="00943864">
        <w:rPr>
          <w:b/>
          <w:szCs w:val="28"/>
        </w:rPr>
        <w:t>По КЦСР</w:t>
      </w:r>
      <w:r>
        <w:rPr>
          <w:szCs w:val="28"/>
        </w:rPr>
        <w:t xml:space="preserve">» </w:t>
      </w:r>
      <w:r w:rsidRPr="00943864">
        <w:rPr>
          <w:szCs w:val="28"/>
        </w:rPr>
        <w:t>в представление «По КЦСР» отчета «Расходы федерального бюджета»</w:t>
      </w:r>
      <w:r>
        <w:rPr>
          <w:szCs w:val="28"/>
        </w:rPr>
        <w:t>.</w:t>
      </w:r>
    </w:p>
    <w:p w:rsidR="00D7306D" w:rsidRDefault="00D7306D" w:rsidP="00D7306D">
      <w:pPr>
        <w:pStyle w:val="af0"/>
        <w:rPr>
          <w:szCs w:val="28"/>
        </w:rPr>
      </w:pPr>
      <w:r w:rsidRPr="00943864">
        <w:rPr>
          <w:szCs w:val="28"/>
        </w:rPr>
        <w:t>Со строк колонки «</w:t>
      </w:r>
      <w:r w:rsidRPr="00057323">
        <w:rPr>
          <w:b/>
          <w:szCs w:val="28"/>
        </w:rPr>
        <w:t>Количество соглашений</w:t>
      </w:r>
      <w:r w:rsidRPr="00943864">
        <w:rPr>
          <w:szCs w:val="28"/>
        </w:rPr>
        <w:t>» переходы</w:t>
      </w:r>
      <w:r>
        <w:rPr>
          <w:szCs w:val="28"/>
        </w:rPr>
        <w:t xml:space="preserve"> «По соглашениям» в представление «Федеральный бюджет» отчета «</w:t>
      </w:r>
      <w:r>
        <w:t>Реестр соглашений о предоставлении субсидий из федерального бюджета (бюджетов субъектов Российской Федерации, местных бюджетов)».</w:t>
      </w:r>
    </w:p>
    <w:p w:rsidR="00D7306D" w:rsidRDefault="00D7306D" w:rsidP="00D7306D">
      <w:pPr>
        <w:pStyle w:val="af0"/>
        <w:rPr>
          <w:szCs w:val="28"/>
        </w:rPr>
      </w:pPr>
      <w:r w:rsidRPr="00943864">
        <w:rPr>
          <w:szCs w:val="28"/>
        </w:rPr>
        <w:t>Со строк колонки «</w:t>
      </w:r>
      <w:r w:rsidRPr="00057323">
        <w:rPr>
          <w:b/>
          <w:szCs w:val="28"/>
        </w:rPr>
        <w:t>Количество контрактов</w:t>
      </w:r>
      <w:r w:rsidRPr="00943864">
        <w:rPr>
          <w:szCs w:val="28"/>
        </w:rPr>
        <w:t xml:space="preserve">» </w:t>
      </w:r>
      <w:r>
        <w:rPr>
          <w:szCs w:val="28"/>
        </w:rPr>
        <w:t>переход «По контрактам» в представление «По контрактам» в отчет «</w:t>
      </w:r>
      <w:r>
        <w:t>Закупки из федерального бюджета</w:t>
      </w:r>
      <w:r>
        <w:rPr>
          <w:szCs w:val="28"/>
        </w:rPr>
        <w:t>».</w:t>
      </w:r>
    </w:p>
    <w:p w:rsidR="00D7306D" w:rsidRPr="00943864" w:rsidRDefault="00D7306D" w:rsidP="00D7306D">
      <w:pPr>
        <w:pStyle w:val="af0"/>
        <w:rPr>
          <w:szCs w:val="28"/>
        </w:rPr>
      </w:pPr>
      <w:r w:rsidRPr="00943864">
        <w:rPr>
          <w:b/>
          <w:szCs w:val="28"/>
        </w:rPr>
        <w:t xml:space="preserve">Переходы из представления «По </w:t>
      </w:r>
      <w:r>
        <w:rPr>
          <w:b/>
          <w:szCs w:val="28"/>
        </w:rPr>
        <w:t>разделам расходов</w:t>
      </w:r>
      <w:r w:rsidRPr="00943864">
        <w:rPr>
          <w:b/>
          <w:szCs w:val="28"/>
        </w:rPr>
        <w:t>»</w:t>
      </w:r>
      <w:r w:rsidRPr="00943864">
        <w:rPr>
          <w:szCs w:val="28"/>
        </w:rPr>
        <w:t>:</w:t>
      </w:r>
    </w:p>
    <w:p w:rsidR="00D7306D" w:rsidRPr="00943864" w:rsidRDefault="00D7306D" w:rsidP="00D7306D">
      <w:pPr>
        <w:pStyle w:val="af0"/>
        <w:rPr>
          <w:szCs w:val="28"/>
        </w:rPr>
      </w:pPr>
      <w:r w:rsidRPr="00943864">
        <w:rPr>
          <w:szCs w:val="28"/>
        </w:rPr>
        <w:t>Со строк колонки «</w:t>
      </w:r>
      <w:r w:rsidRPr="00943864">
        <w:rPr>
          <w:b/>
          <w:szCs w:val="28"/>
        </w:rPr>
        <w:t>Наименование показателей</w:t>
      </w:r>
      <w:r w:rsidRPr="00943864">
        <w:rPr>
          <w:szCs w:val="28"/>
        </w:rPr>
        <w:t>» переходы:</w:t>
      </w:r>
    </w:p>
    <w:p w:rsidR="00D7306D" w:rsidRPr="00943864" w:rsidRDefault="00D7306D" w:rsidP="00DE1661">
      <w:pPr>
        <w:pStyle w:val="13"/>
      </w:pPr>
      <w:r w:rsidRPr="00943864">
        <w:t>«</w:t>
      </w:r>
      <w:r w:rsidRPr="00943864">
        <w:rPr>
          <w:b/>
        </w:rPr>
        <w:t xml:space="preserve">По </w:t>
      </w:r>
      <w:r>
        <w:rPr>
          <w:b/>
        </w:rPr>
        <w:t>ГРБС</w:t>
      </w:r>
      <w:r w:rsidRPr="00943864">
        <w:t xml:space="preserve">» в представление «По </w:t>
      </w:r>
      <w:r>
        <w:t>ГРБС</w:t>
      </w:r>
      <w:r w:rsidRPr="00943864">
        <w:t>» отчета «Расходы федерального бюджета»;</w:t>
      </w:r>
    </w:p>
    <w:p w:rsidR="00D7306D" w:rsidRPr="00943864" w:rsidRDefault="00D7306D" w:rsidP="00DE1661">
      <w:pPr>
        <w:pStyle w:val="13"/>
      </w:pPr>
      <w:r w:rsidRPr="00943864">
        <w:t>«</w:t>
      </w:r>
      <w:r w:rsidRPr="00943864">
        <w:rPr>
          <w:b/>
        </w:rPr>
        <w:t>По видам расходов</w:t>
      </w:r>
      <w:r w:rsidRPr="00943864">
        <w:t>» в представление «По видам расходов» отчета «Расходы федерального бюджета»;</w:t>
      </w:r>
    </w:p>
    <w:p w:rsidR="00D7306D" w:rsidRPr="00943864" w:rsidRDefault="00D7306D" w:rsidP="00DE1661">
      <w:pPr>
        <w:pStyle w:val="13"/>
      </w:pPr>
      <w:r w:rsidRPr="00943864">
        <w:t>«</w:t>
      </w:r>
      <w:r w:rsidRPr="00943864">
        <w:rPr>
          <w:b/>
        </w:rPr>
        <w:t>По КЦСР</w:t>
      </w:r>
      <w:r w:rsidRPr="00943864">
        <w:t>» в представление «По КЦСР» отчета «Расходы федерального бюджета»;</w:t>
      </w:r>
    </w:p>
    <w:p w:rsidR="00D7306D" w:rsidRPr="00943864" w:rsidRDefault="00D7306D" w:rsidP="00DE1661">
      <w:pPr>
        <w:pStyle w:val="13"/>
      </w:pPr>
      <w:r w:rsidRPr="00943864">
        <w:t>«</w:t>
      </w:r>
      <w:r w:rsidRPr="00943864">
        <w:rPr>
          <w:b/>
        </w:rPr>
        <w:t>По КБК</w:t>
      </w:r>
      <w:r w:rsidRPr="00943864">
        <w:t>» в представление «По КБК» отчета «Расходы федерального бюджета»</w:t>
      </w:r>
      <w:r>
        <w:t>.</w:t>
      </w:r>
    </w:p>
    <w:p w:rsidR="00D7306D" w:rsidRPr="00943864" w:rsidRDefault="00D7306D" w:rsidP="00D7306D">
      <w:pPr>
        <w:pStyle w:val="af0"/>
        <w:rPr>
          <w:szCs w:val="28"/>
        </w:rPr>
      </w:pPr>
      <w:r w:rsidRPr="00943864">
        <w:rPr>
          <w:b/>
          <w:szCs w:val="28"/>
        </w:rPr>
        <w:t xml:space="preserve">Переходы из представления «По </w:t>
      </w:r>
      <w:r>
        <w:rPr>
          <w:b/>
          <w:szCs w:val="28"/>
        </w:rPr>
        <w:t>видам расходов</w:t>
      </w:r>
      <w:r w:rsidRPr="00943864">
        <w:rPr>
          <w:b/>
          <w:szCs w:val="28"/>
        </w:rPr>
        <w:t>»</w:t>
      </w:r>
      <w:r w:rsidRPr="00943864">
        <w:rPr>
          <w:szCs w:val="28"/>
        </w:rPr>
        <w:t>:</w:t>
      </w:r>
    </w:p>
    <w:p w:rsidR="00D7306D" w:rsidRPr="00943864" w:rsidRDefault="00D7306D" w:rsidP="00D7306D">
      <w:pPr>
        <w:pStyle w:val="af0"/>
        <w:rPr>
          <w:szCs w:val="28"/>
        </w:rPr>
      </w:pPr>
      <w:r w:rsidRPr="00943864">
        <w:rPr>
          <w:szCs w:val="28"/>
        </w:rPr>
        <w:t>Со строк колонки «</w:t>
      </w:r>
      <w:r w:rsidRPr="00943864">
        <w:rPr>
          <w:b/>
          <w:szCs w:val="28"/>
        </w:rPr>
        <w:t>Наименование показателей</w:t>
      </w:r>
      <w:r w:rsidRPr="00943864">
        <w:rPr>
          <w:szCs w:val="28"/>
        </w:rPr>
        <w:t>» переходы:</w:t>
      </w:r>
    </w:p>
    <w:p w:rsidR="00D7306D" w:rsidRPr="00943864" w:rsidRDefault="00D7306D" w:rsidP="00DE1661">
      <w:pPr>
        <w:pStyle w:val="13"/>
      </w:pPr>
      <w:r w:rsidRPr="00943864">
        <w:t>«</w:t>
      </w:r>
      <w:r w:rsidRPr="00943864">
        <w:rPr>
          <w:b/>
        </w:rPr>
        <w:t xml:space="preserve">По </w:t>
      </w:r>
      <w:r>
        <w:rPr>
          <w:b/>
        </w:rPr>
        <w:t>ГРБС</w:t>
      </w:r>
      <w:r w:rsidRPr="00943864">
        <w:t xml:space="preserve">» в представление «По </w:t>
      </w:r>
      <w:r>
        <w:t>ГРБС</w:t>
      </w:r>
      <w:r w:rsidRPr="00943864">
        <w:t>» отчета «Расходы федерального бюджета»;</w:t>
      </w:r>
    </w:p>
    <w:p w:rsidR="00D7306D" w:rsidRPr="00943864" w:rsidRDefault="00D7306D" w:rsidP="00DE1661">
      <w:pPr>
        <w:pStyle w:val="13"/>
      </w:pPr>
      <w:r w:rsidRPr="00943864">
        <w:t>«</w:t>
      </w:r>
      <w:r w:rsidRPr="00943864">
        <w:rPr>
          <w:b/>
        </w:rPr>
        <w:t xml:space="preserve">По </w:t>
      </w:r>
      <w:r>
        <w:rPr>
          <w:b/>
        </w:rPr>
        <w:t>разделам</w:t>
      </w:r>
      <w:r w:rsidRPr="00943864">
        <w:rPr>
          <w:b/>
        </w:rPr>
        <w:t xml:space="preserve"> расходов</w:t>
      </w:r>
      <w:r w:rsidRPr="00943864">
        <w:t xml:space="preserve">» в представление «По </w:t>
      </w:r>
      <w:r>
        <w:t>разделам</w:t>
      </w:r>
      <w:r w:rsidRPr="00943864">
        <w:t xml:space="preserve"> расходов» отчета «Расходы федерального бюджета»;</w:t>
      </w:r>
    </w:p>
    <w:p w:rsidR="00D7306D" w:rsidRPr="00943864" w:rsidRDefault="00D7306D" w:rsidP="00DE1661">
      <w:pPr>
        <w:pStyle w:val="13"/>
      </w:pPr>
      <w:r w:rsidRPr="00943864">
        <w:t>«</w:t>
      </w:r>
      <w:r w:rsidRPr="00943864">
        <w:rPr>
          <w:b/>
        </w:rPr>
        <w:t>По КЦСР</w:t>
      </w:r>
      <w:r w:rsidRPr="00943864">
        <w:t>» в представление «По КЦСР» отчета «Расходы федерального бюджета»;</w:t>
      </w:r>
    </w:p>
    <w:p w:rsidR="00D7306D" w:rsidRPr="00943864" w:rsidRDefault="00D7306D" w:rsidP="00DE1661">
      <w:pPr>
        <w:pStyle w:val="13"/>
      </w:pPr>
      <w:r w:rsidRPr="00943864">
        <w:t>«</w:t>
      </w:r>
      <w:r w:rsidRPr="00943864">
        <w:rPr>
          <w:b/>
        </w:rPr>
        <w:t>По КБК</w:t>
      </w:r>
      <w:r w:rsidRPr="00943864">
        <w:t>» в представление «По КБК» отчета «Расходы федерального бюджета»</w:t>
      </w:r>
      <w:r>
        <w:t>.</w:t>
      </w:r>
    </w:p>
    <w:p w:rsidR="00D7306D" w:rsidRPr="00943864" w:rsidRDefault="00D7306D" w:rsidP="00D7306D">
      <w:pPr>
        <w:pStyle w:val="af0"/>
        <w:rPr>
          <w:szCs w:val="28"/>
        </w:rPr>
      </w:pPr>
      <w:r w:rsidRPr="00943864">
        <w:rPr>
          <w:b/>
          <w:szCs w:val="28"/>
        </w:rPr>
        <w:t xml:space="preserve">Переходы из представления «По </w:t>
      </w:r>
      <w:r>
        <w:rPr>
          <w:b/>
          <w:szCs w:val="28"/>
        </w:rPr>
        <w:t>КЦСР</w:t>
      </w:r>
      <w:r w:rsidRPr="00943864">
        <w:rPr>
          <w:b/>
          <w:szCs w:val="28"/>
        </w:rPr>
        <w:t>»</w:t>
      </w:r>
      <w:r w:rsidRPr="00943864">
        <w:rPr>
          <w:szCs w:val="28"/>
        </w:rPr>
        <w:t>:</w:t>
      </w:r>
    </w:p>
    <w:p w:rsidR="00D7306D" w:rsidRPr="00943864" w:rsidRDefault="00D7306D" w:rsidP="00D7306D">
      <w:pPr>
        <w:pStyle w:val="af0"/>
        <w:rPr>
          <w:szCs w:val="28"/>
        </w:rPr>
      </w:pPr>
      <w:r w:rsidRPr="00943864">
        <w:rPr>
          <w:szCs w:val="28"/>
        </w:rPr>
        <w:t>Со строк колонки «</w:t>
      </w:r>
      <w:r w:rsidRPr="00943864">
        <w:rPr>
          <w:b/>
          <w:szCs w:val="28"/>
        </w:rPr>
        <w:t>Наименование показателей</w:t>
      </w:r>
      <w:r w:rsidRPr="00943864">
        <w:rPr>
          <w:szCs w:val="28"/>
        </w:rPr>
        <w:t>» переходы:</w:t>
      </w:r>
    </w:p>
    <w:p w:rsidR="00D7306D" w:rsidRPr="00943864" w:rsidRDefault="00D7306D" w:rsidP="00DE1661">
      <w:pPr>
        <w:pStyle w:val="13"/>
      </w:pPr>
      <w:r w:rsidRPr="00943864">
        <w:t>«</w:t>
      </w:r>
      <w:r w:rsidRPr="00943864">
        <w:rPr>
          <w:b/>
        </w:rPr>
        <w:t xml:space="preserve">По </w:t>
      </w:r>
      <w:r>
        <w:rPr>
          <w:b/>
        </w:rPr>
        <w:t>ГРБС</w:t>
      </w:r>
      <w:r w:rsidRPr="00943864">
        <w:t xml:space="preserve">» в представление «По </w:t>
      </w:r>
      <w:r>
        <w:t>ГРБС</w:t>
      </w:r>
      <w:r w:rsidRPr="00943864">
        <w:t>» отчета «Расходы федерального бюджета»;</w:t>
      </w:r>
    </w:p>
    <w:p w:rsidR="00D7306D" w:rsidRPr="00943864" w:rsidRDefault="00D7306D" w:rsidP="00DE1661">
      <w:pPr>
        <w:pStyle w:val="13"/>
      </w:pPr>
      <w:r w:rsidRPr="00943864">
        <w:t>«</w:t>
      </w:r>
      <w:r w:rsidRPr="00943864">
        <w:rPr>
          <w:b/>
        </w:rPr>
        <w:t>По разделам расходов</w:t>
      </w:r>
      <w:r w:rsidRPr="00943864">
        <w:t>» в представление «По разделам расходов» отчета «Расходы федерального бюджета»;</w:t>
      </w:r>
    </w:p>
    <w:p w:rsidR="00D7306D" w:rsidRPr="00943864" w:rsidRDefault="00D7306D" w:rsidP="00DE1661">
      <w:pPr>
        <w:pStyle w:val="13"/>
      </w:pPr>
      <w:r w:rsidRPr="00943864">
        <w:t>«</w:t>
      </w:r>
      <w:r w:rsidRPr="00943864">
        <w:rPr>
          <w:b/>
        </w:rPr>
        <w:t>По видам расходов</w:t>
      </w:r>
      <w:r w:rsidRPr="00943864">
        <w:t>» в представление «По видам расходов» отчета «Расходы федерального бюджета»;</w:t>
      </w:r>
    </w:p>
    <w:p w:rsidR="00D7306D" w:rsidRDefault="00D7306D" w:rsidP="00DE1661">
      <w:pPr>
        <w:pStyle w:val="13"/>
      </w:pPr>
      <w:r w:rsidRPr="00EC70D0">
        <w:t>«</w:t>
      </w:r>
      <w:r w:rsidRPr="00EC70D0">
        <w:rPr>
          <w:b/>
        </w:rPr>
        <w:t>По КБК</w:t>
      </w:r>
      <w:r w:rsidRPr="00EC70D0">
        <w:t>» в представление «По КБК» отчета «Расходы федерального бюджета»;</w:t>
      </w:r>
    </w:p>
    <w:p w:rsidR="00D7306D" w:rsidRDefault="00D7306D" w:rsidP="00DE1661">
      <w:pPr>
        <w:pStyle w:val="13"/>
      </w:pPr>
      <w:r w:rsidRPr="00EC70D0">
        <w:t>«</w:t>
      </w:r>
      <w:r w:rsidRPr="00EC70D0">
        <w:rPr>
          <w:b/>
        </w:rPr>
        <w:t>Граф</w:t>
      </w:r>
      <w:r w:rsidRPr="00EC70D0">
        <w:t>»</w:t>
      </w:r>
      <w:r>
        <w:t xml:space="preserve"> в отчет «Граф по субсидии»;</w:t>
      </w:r>
    </w:p>
    <w:p w:rsidR="00D7306D" w:rsidRPr="00EC70D0" w:rsidRDefault="00D7306D" w:rsidP="00DE1661">
      <w:pPr>
        <w:pStyle w:val="13"/>
      </w:pPr>
      <w:r>
        <w:t>«</w:t>
      </w:r>
      <w:r w:rsidRPr="00EC70D0">
        <w:rPr>
          <w:b/>
        </w:rPr>
        <w:t>По соглашениям</w:t>
      </w:r>
      <w:r>
        <w:t>» в представление «Федеральный бюджет» отчета «Реестр соглашений о предоставлении субсидий из федерального бюджета (бюджетов субъектов Российской Федерации, местных бюджетов)».</w:t>
      </w:r>
    </w:p>
    <w:p w:rsidR="00D7306D" w:rsidRPr="00943864" w:rsidRDefault="00D7306D" w:rsidP="00DE1661">
      <w:pPr>
        <w:pStyle w:val="13"/>
      </w:pPr>
      <w:r w:rsidRPr="00943864">
        <w:t>«</w:t>
      </w:r>
      <w:r w:rsidRPr="00EC70D0">
        <w:rPr>
          <w:b/>
        </w:rPr>
        <w:t>По контрактам</w:t>
      </w:r>
      <w:r w:rsidRPr="00943864">
        <w:t>» в представление «По контрактам» отчета «Закупки из федерального бюджета».</w:t>
      </w:r>
    </w:p>
    <w:p w:rsidR="00D7306D" w:rsidRDefault="00D7306D" w:rsidP="00D7306D">
      <w:pPr>
        <w:pStyle w:val="af0"/>
        <w:rPr>
          <w:szCs w:val="28"/>
        </w:rPr>
      </w:pPr>
      <w:r w:rsidRPr="00943864">
        <w:rPr>
          <w:szCs w:val="28"/>
        </w:rPr>
        <w:t>Со строк колонки «</w:t>
      </w:r>
      <w:r w:rsidRPr="00057323">
        <w:rPr>
          <w:b/>
          <w:szCs w:val="28"/>
        </w:rPr>
        <w:t>Количество соглашений</w:t>
      </w:r>
      <w:r w:rsidRPr="00943864">
        <w:rPr>
          <w:szCs w:val="28"/>
        </w:rPr>
        <w:t>» переходы</w:t>
      </w:r>
      <w:r>
        <w:rPr>
          <w:szCs w:val="28"/>
        </w:rPr>
        <w:t xml:space="preserve"> «По соглашениям» в представление «Федеральный бюджет» отчета «</w:t>
      </w:r>
      <w:r>
        <w:t>Реестр соглашений о предоставлении субсидий из федерального бюджета (бюджетов субъектов Российской Федерации, местных бюджетов)».</w:t>
      </w:r>
    </w:p>
    <w:p w:rsidR="00D7306D" w:rsidRDefault="00D7306D" w:rsidP="00D7306D">
      <w:pPr>
        <w:pStyle w:val="af0"/>
        <w:rPr>
          <w:szCs w:val="28"/>
        </w:rPr>
      </w:pPr>
      <w:r w:rsidRPr="00943864">
        <w:rPr>
          <w:szCs w:val="28"/>
        </w:rPr>
        <w:t>Со строк колонки «</w:t>
      </w:r>
      <w:r w:rsidRPr="00057323">
        <w:rPr>
          <w:b/>
          <w:szCs w:val="28"/>
        </w:rPr>
        <w:t>Количество контрактов</w:t>
      </w:r>
      <w:r w:rsidRPr="00943864">
        <w:rPr>
          <w:szCs w:val="28"/>
        </w:rPr>
        <w:t xml:space="preserve">» </w:t>
      </w:r>
      <w:r>
        <w:rPr>
          <w:szCs w:val="28"/>
        </w:rPr>
        <w:t>переход «По контрактам» в представление «По контрактам» в отчет «</w:t>
      </w:r>
      <w:r>
        <w:t>Закупки из федерального бюджета</w:t>
      </w:r>
      <w:r>
        <w:rPr>
          <w:szCs w:val="28"/>
        </w:rPr>
        <w:t>».</w:t>
      </w:r>
    </w:p>
    <w:p w:rsidR="00D7306D" w:rsidRDefault="00D7306D" w:rsidP="00D7306D">
      <w:pPr>
        <w:pStyle w:val="af0"/>
        <w:rPr>
          <w:szCs w:val="28"/>
        </w:rPr>
      </w:pPr>
    </w:p>
    <w:p w:rsidR="00D7306D" w:rsidRPr="00943864" w:rsidRDefault="00D7306D" w:rsidP="00D7306D">
      <w:pPr>
        <w:pStyle w:val="af0"/>
        <w:rPr>
          <w:szCs w:val="28"/>
        </w:rPr>
      </w:pPr>
      <w:r w:rsidRPr="00943864">
        <w:rPr>
          <w:b/>
          <w:szCs w:val="28"/>
        </w:rPr>
        <w:t xml:space="preserve">Переходы из представления «По </w:t>
      </w:r>
      <w:r>
        <w:rPr>
          <w:b/>
          <w:szCs w:val="28"/>
        </w:rPr>
        <w:t>КБК</w:t>
      </w:r>
      <w:r w:rsidRPr="00943864">
        <w:rPr>
          <w:b/>
          <w:szCs w:val="28"/>
        </w:rPr>
        <w:t>»</w:t>
      </w:r>
      <w:r w:rsidRPr="00943864">
        <w:rPr>
          <w:szCs w:val="28"/>
        </w:rPr>
        <w:t>:</w:t>
      </w:r>
    </w:p>
    <w:p w:rsidR="00D7306D" w:rsidRPr="00943864" w:rsidRDefault="00D7306D" w:rsidP="00D7306D">
      <w:pPr>
        <w:pStyle w:val="af0"/>
        <w:rPr>
          <w:szCs w:val="28"/>
        </w:rPr>
      </w:pPr>
      <w:r w:rsidRPr="00943864">
        <w:rPr>
          <w:szCs w:val="28"/>
        </w:rPr>
        <w:t>Со строк колонки «</w:t>
      </w:r>
      <w:r>
        <w:rPr>
          <w:b/>
          <w:szCs w:val="28"/>
        </w:rPr>
        <w:t>ГРБС</w:t>
      </w:r>
      <w:r w:rsidRPr="00943864">
        <w:rPr>
          <w:szCs w:val="28"/>
        </w:rPr>
        <w:t>» переходы:</w:t>
      </w:r>
    </w:p>
    <w:p w:rsidR="00D7306D" w:rsidRPr="00EC70D0" w:rsidRDefault="00D7306D" w:rsidP="00DE1661">
      <w:pPr>
        <w:pStyle w:val="13"/>
        <w:rPr>
          <w:szCs w:val="28"/>
        </w:rPr>
      </w:pPr>
      <w:r w:rsidRPr="00EC70D0">
        <w:rPr>
          <w:szCs w:val="28"/>
        </w:rPr>
        <w:t>«</w:t>
      </w:r>
      <w:r w:rsidRPr="00EC70D0">
        <w:rPr>
          <w:b/>
          <w:szCs w:val="28"/>
        </w:rPr>
        <w:t>По соглашениям</w:t>
      </w:r>
      <w:r w:rsidRPr="00EC70D0">
        <w:rPr>
          <w:szCs w:val="28"/>
        </w:rPr>
        <w:t>» в представление «Федеральный бюджет» отчета «</w:t>
      </w:r>
      <w:r>
        <w:t>Реестр соглашений о предоставлении субсидий из федерального бюджета (бюджетов субъектов Российской Федерации, местных бюджетов)».</w:t>
      </w:r>
    </w:p>
    <w:p w:rsidR="00D7306D" w:rsidRPr="00943864" w:rsidRDefault="00D7306D" w:rsidP="00DE1661">
      <w:pPr>
        <w:pStyle w:val="13"/>
      </w:pPr>
      <w:r w:rsidRPr="00943864">
        <w:t>«</w:t>
      </w:r>
      <w:r w:rsidRPr="00EC70D0">
        <w:rPr>
          <w:b/>
        </w:rPr>
        <w:t>По контрактам</w:t>
      </w:r>
      <w:r w:rsidRPr="00943864">
        <w:t>» в представление «По контрактам» отчета «Закупки из федерального бюджета».</w:t>
      </w:r>
    </w:p>
    <w:p w:rsidR="00D7306D" w:rsidRDefault="00D7306D" w:rsidP="00DE1661">
      <w:pPr>
        <w:pStyle w:val="13"/>
      </w:pPr>
      <w:r w:rsidRPr="00943864">
        <w:t>Со строк колонки «</w:t>
      </w:r>
      <w:r w:rsidRPr="00057323">
        <w:rPr>
          <w:b/>
        </w:rPr>
        <w:t>Количество соглашений</w:t>
      </w:r>
      <w:r w:rsidRPr="00943864">
        <w:t>» переходы</w:t>
      </w:r>
      <w:r>
        <w:t xml:space="preserve"> «</w:t>
      </w:r>
    </w:p>
    <w:p w:rsidR="00D7306D" w:rsidRPr="00175153" w:rsidRDefault="00D7306D" w:rsidP="00DE1661">
      <w:pPr>
        <w:pStyle w:val="13"/>
        <w:rPr>
          <w:szCs w:val="28"/>
        </w:rPr>
      </w:pPr>
      <w:r w:rsidRPr="00175153">
        <w:rPr>
          <w:szCs w:val="28"/>
        </w:rPr>
        <w:t>«</w:t>
      </w:r>
      <w:r w:rsidRPr="00175153">
        <w:rPr>
          <w:b/>
          <w:szCs w:val="28"/>
        </w:rPr>
        <w:t>По соглашениям</w:t>
      </w:r>
      <w:r w:rsidRPr="00175153">
        <w:rPr>
          <w:szCs w:val="28"/>
        </w:rPr>
        <w:t>» в представление «Федеральный бюджет» отчета «</w:t>
      </w:r>
      <w:r w:rsidRPr="00175153">
        <w:t>Реестр соглашений о предоставлении субсидий из федерального бюджета (бюджетов субъектов Российской Федерации, местных бюджетов)»;</w:t>
      </w:r>
    </w:p>
    <w:p w:rsidR="00D7306D" w:rsidRPr="00175153" w:rsidRDefault="00D7306D" w:rsidP="00DE1661">
      <w:pPr>
        <w:pStyle w:val="13"/>
      </w:pPr>
      <w:r w:rsidRPr="00175153">
        <w:t>«</w:t>
      </w:r>
      <w:r w:rsidRPr="00175153">
        <w:rPr>
          <w:b/>
        </w:rPr>
        <w:t>Реестр соглашений о предоставлении субсидий ФБ (ЕПБС)</w:t>
      </w:r>
      <w:r w:rsidRPr="00175153">
        <w:t>» на страницу «Реестр соглашений о предоставлении субсидий из федерального бюджета (бюджетов субъектов Российской Федерации, местных бюджетов)» на портал http://</w:t>
      </w:r>
      <w:r w:rsidR="007D04BA">
        <w:t>eb.cert.roskazna.ru</w:t>
      </w:r>
      <w:r w:rsidR="007D04BA" w:rsidRPr="007D04BA">
        <w:t>/</w:t>
      </w:r>
      <w:r w:rsidRPr="00175153">
        <w:t>/.</w:t>
      </w:r>
    </w:p>
    <w:p w:rsidR="00D7306D" w:rsidRDefault="00D7306D" w:rsidP="00D7306D">
      <w:pPr>
        <w:pStyle w:val="af0"/>
        <w:rPr>
          <w:szCs w:val="28"/>
        </w:rPr>
      </w:pPr>
      <w:r w:rsidRPr="00943864">
        <w:rPr>
          <w:szCs w:val="28"/>
        </w:rPr>
        <w:t>Со строк колонки «</w:t>
      </w:r>
      <w:r w:rsidRPr="00057323">
        <w:rPr>
          <w:b/>
          <w:szCs w:val="28"/>
        </w:rPr>
        <w:t>Количество контрактов</w:t>
      </w:r>
      <w:r w:rsidRPr="00943864">
        <w:rPr>
          <w:szCs w:val="28"/>
        </w:rPr>
        <w:t xml:space="preserve">» </w:t>
      </w:r>
      <w:r>
        <w:rPr>
          <w:szCs w:val="28"/>
        </w:rPr>
        <w:t>переход «По контрактам» в представление «По контрактам» в отчет «</w:t>
      </w:r>
      <w:r>
        <w:t>Закупки из федерального бюджета</w:t>
      </w:r>
      <w:r>
        <w:rPr>
          <w:szCs w:val="28"/>
        </w:rPr>
        <w:t>».</w:t>
      </w:r>
    </w:p>
    <w:p w:rsidR="00D7306D" w:rsidRDefault="00D7306D" w:rsidP="00286AED">
      <w:pPr>
        <w:pStyle w:val="42"/>
        <w:keepNext/>
      </w:pPr>
      <w:bookmarkStart w:id="670" w:name="_Ref80300572"/>
      <w:bookmarkStart w:id="671" w:name="_Toc80789101"/>
      <w:r>
        <w:t>Расчет сумм риска неисполнения бюджета по контрольным точкам типового графика</w:t>
      </w:r>
      <w:bookmarkEnd w:id="670"/>
      <w:bookmarkEnd w:id="671"/>
    </w:p>
    <w:p w:rsidR="00D7306D" w:rsidRPr="00AF5DC1" w:rsidRDefault="00D7306D" w:rsidP="00D7306D">
      <w:pPr>
        <w:spacing w:before="120" w:after="60"/>
        <w:ind w:firstLine="567"/>
        <w:contextualSpacing/>
        <w:rPr>
          <w:sz w:val="28"/>
          <w:lang w:eastAsia="x-none"/>
        </w:rPr>
      </w:pPr>
      <w:r>
        <w:rPr>
          <w:sz w:val="28"/>
          <w:lang w:eastAsia="x-none"/>
        </w:rPr>
        <w:t>Описание расчета показателей «</w:t>
      </w:r>
      <w:r w:rsidRPr="00E233D7">
        <w:rPr>
          <w:sz w:val="28"/>
          <w:lang w:eastAsia="x-none"/>
        </w:rPr>
        <w:t>Не распределено в срок</w:t>
      </w:r>
      <w:r>
        <w:rPr>
          <w:sz w:val="28"/>
          <w:lang w:eastAsia="x-none"/>
        </w:rPr>
        <w:t>», «</w:t>
      </w:r>
      <w:r w:rsidRPr="00E233D7">
        <w:rPr>
          <w:sz w:val="28"/>
          <w:lang w:eastAsia="x-none"/>
        </w:rPr>
        <w:t>Не принятые БО в срок</w:t>
      </w:r>
      <w:r>
        <w:rPr>
          <w:sz w:val="28"/>
          <w:lang w:eastAsia="x-none"/>
        </w:rPr>
        <w:t>», «</w:t>
      </w:r>
      <w:r w:rsidRPr="00E233D7">
        <w:rPr>
          <w:sz w:val="28"/>
          <w:lang w:eastAsia="x-none"/>
        </w:rPr>
        <w:t>Не исполнено в срок</w:t>
      </w:r>
      <w:r>
        <w:rPr>
          <w:sz w:val="28"/>
          <w:lang w:eastAsia="x-none"/>
        </w:rPr>
        <w:t xml:space="preserve">» представлено в </w:t>
      </w:r>
      <w:r w:rsidRPr="00FB5719">
        <w:rPr>
          <w:sz w:val="28"/>
          <w:szCs w:val="28"/>
          <w:lang w:eastAsia="x-none"/>
        </w:rPr>
        <w:t xml:space="preserve">таблице </w:t>
      </w:r>
      <w:r w:rsidRPr="00FB5719">
        <w:rPr>
          <w:sz w:val="28"/>
          <w:szCs w:val="28"/>
          <w:lang w:eastAsia="x-none"/>
        </w:rPr>
        <w:fldChar w:fldCharType="begin"/>
      </w:r>
      <w:r w:rsidRPr="00FB5719">
        <w:rPr>
          <w:sz w:val="28"/>
          <w:szCs w:val="28"/>
          <w:lang w:eastAsia="x-none"/>
        </w:rPr>
        <w:instrText xml:space="preserve"> REF табл16 \h </w:instrText>
      </w:r>
      <w:r>
        <w:rPr>
          <w:sz w:val="28"/>
          <w:szCs w:val="28"/>
          <w:lang w:eastAsia="x-none"/>
        </w:rPr>
        <w:instrText xml:space="preserve"> \* MERGEFORMAT </w:instrText>
      </w:r>
      <w:r w:rsidRPr="00FB5719">
        <w:rPr>
          <w:sz w:val="28"/>
          <w:szCs w:val="28"/>
          <w:lang w:eastAsia="x-none"/>
        </w:rPr>
      </w:r>
      <w:r w:rsidRPr="00FB5719">
        <w:rPr>
          <w:sz w:val="28"/>
          <w:szCs w:val="28"/>
          <w:lang w:eastAsia="x-none"/>
        </w:rPr>
        <w:fldChar w:fldCharType="separate"/>
      </w:r>
      <w:r w:rsidR="00BF0BEE" w:rsidRPr="00BF0BEE">
        <w:rPr>
          <w:noProof/>
          <w:sz w:val="28"/>
          <w:szCs w:val="28"/>
        </w:rPr>
        <w:t>32</w:t>
      </w:r>
      <w:r w:rsidRPr="00FB5719">
        <w:rPr>
          <w:sz w:val="28"/>
          <w:szCs w:val="28"/>
          <w:lang w:eastAsia="x-none"/>
        </w:rPr>
        <w:fldChar w:fldCharType="end"/>
      </w:r>
      <w:r>
        <w:rPr>
          <w:sz w:val="28"/>
          <w:lang w:eastAsia="x-none"/>
        </w:rPr>
        <w:t xml:space="preserve">. </w:t>
      </w:r>
    </w:p>
    <w:p w:rsidR="00D7306D" w:rsidRPr="00FB5719" w:rsidRDefault="00D7306D" w:rsidP="00286AED">
      <w:pPr>
        <w:pStyle w:val="-"/>
      </w:pPr>
      <w:bookmarkStart w:id="672" w:name="_Toc80789119"/>
      <w:bookmarkStart w:id="673" w:name="_Toc119585173"/>
      <w:r>
        <w:t xml:space="preserve">Таблица </w:t>
      </w:r>
      <w:bookmarkStart w:id="674" w:name="табл16"/>
      <w:r>
        <w:fldChar w:fldCharType="begin"/>
      </w:r>
      <w:r>
        <w:instrText xml:space="preserve"> SEQ Таблица \* ARABIC </w:instrText>
      </w:r>
      <w:r>
        <w:fldChar w:fldCharType="separate"/>
      </w:r>
      <w:r w:rsidR="00BF0BEE">
        <w:rPr>
          <w:noProof/>
        </w:rPr>
        <w:t>32</w:t>
      </w:r>
      <w:r>
        <w:fldChar w:fldCharType="end"/>
      </w:r>
      <w:bookmarkEnd w:id="674"/>
      <w:r>
        <w:t xml:space="preserve"> – Показатели «</w:t>
      </w:r>
      <w:r w:rsidRPr="00E233D7">
        <w:t>Не распределено в срок</w:t>
      </w:r>
      <w:r>
        <w:t>», «</w:t>
      </w:r>
      <w:r w:rsidRPr="00E233D7">
        <w:t>Не принятые БО в срок</w:t>
      </w:r>
      <w:r>
        <w:t>», «</w:t>
      </w:r>
      <w:r w:rsidRPr="00E233D7">
        <w:t>Не исполнено в срок</w:t>
      </w:r>
      <w:r>
        <w:t>»</w:t>
      </w:r>
      <w:bookmarkEnd w:id="672"/>
      <w:bookmarkEnd w:id="673"/>
    </w:p>
    <w:tbl>
      <w:tblPr>
        <w:tblStyle w:val="affe"/>
        <w:tblW w:w="5000" w:type="pct"/>
        <w:tblLook w:val="04A0" w:firstRow="1" w:lastRow="0" w:firstColumn="1" w:lastColumn="0" w:noHBand="0" w:noVBand="1"/>
      </w:tblPr>
      <w:tblGrid>
        <w:gridCol w:w="1622"/>
        <w:gridCol w:w="5029"/>
        <w:gridCol w:w="3202"/>
      </w:tblGrid>
      <w:tr w:rsidR="00D7306D" w:rsidRPr="004B4067" w:rsidTr="00E2643D">
        <w:trPr>
          <w:tblHeader/>
        </w:trPr>
        <w:tc>
          <w:tcPr>
            <w:tcW w:w="823" w:type="pct"/>
            <w:shd w:val="clear" w:color="auto" w:fill="D9D9D9" w:themeFill="background1" w:themeFillShade="D9"/>
            <w:vAlign w:val="center"/>
          </w:tcPr>
          <w:p w:rsidR="00D7306D" w:rsidRPr="004B4067" w:rsidRDefault="00D7306D" w:rsidP="00286AED">
            <w:pPr>
              <w:ind w:firstLine="0"/>
              <w:jc w:val="center"/>
              <w:rPr>
                <w:b/>
                <w:szCs w:val="24"/>
              </w:rPr>
            </w:pPr>
            <w:r>
              <w:rPr>
                <w:b/>
                <w:szCs w:val="24"/>
              </w:rPr>
              <w:t>Этап</w:t>
            </w:r>
          </w:p>
        </w:tc>
        <w:tc>
          <w:tcPr>
            <w:tcW w:w="2552" w:type="pct"/>
            <w:shd w:val="clear" w:color="auto" w:fill="D9D9D9" w:themeFill="background1" w:themeFillShade="D9"/>
            <w:vAlign w:val="center"/>
          </w:tcPr>
          <w:p w:rsidR="00D7306D" w:rsidRPr="004B4067" w:rsidRDefault="00D7306D" w:rsidP="00286AED">
            <w:pPr>
              <w:ind w:firstLine="0"/>
              <w:jc w:val="center"/>
              <w:rPr>
                <w:b/>
                <w:szCs w:val="24"/>
              </w:rPr>
            </w:pPr>
            <w:r>
              <w:rPr>
                <w:b/>
                <w:szCs w:val="24"/>
              </w:rPr>
              <w:t>Формула расчета суммы р</w:t>
            </w:r>
            <w:r w:rsidRPr="004B4067">
              <w:rPr>
                <w:b/>
                <w:szCs w:val="24"/>
              </w:rPr>
              <w:t>иск по контрольной точке</w:t>
            </w:r>
          </w:p>
        </w:tc>
        <w:tc>
          <w:tcPr>
            <w:tcW w:w="1625" w:type="pct"/>
            <w:shd w:val="clear" w:color="auto" w:fill="D9D9D9" w:themeFill="background1" w:themeFillShade="D9"/>
            <w:vAlign w:val="center"/>
          </w:tcPr>
          <w:p w:rsidR="00D7306D" w:rsidRPr="004B4067" w:rsidRDefault="00D7306D" w:rsidP="00286AED">
            <w:pPr>
              <w:ind w:firstLine="0"/>
              <w:jc w:val="center"/>
              <w:rPr>
                <w:b/>
                <w:szCs w:val="24"/>
              </w:rPr>
            </w:pPr>
            <w:r>
              <w:rPr>
                <w:b/>
                <w:szCs w:val="24"/>
              </w:rPr>
              <w:t>Комментарии по показателям</w:t>
            </w:r>
          </w:p>
        </w:tc>
      </w:tr>
      <w:tr w:rsidR="00D7306D" w:rsidRPr="004B4067" w:rsidTr="00D7306D">
        <w:tc>
          <w:tcPr>
            <w:tcW w:w="823" w:type="pct"/>
          </w:tcPr>
          <w:p w:rsidR="00D7306D" w:rsidRPr="004B4067" w:rsidRDefault="00D7306D" w:rsidP="00D7306D">
            <w:pPr>
              <w:ind w:firstLine="0"/>
              <w:jc w:val="left"/>
              <w:rPr>
                <w:szCs w:val="24"/>
              </w:rPr>
            </w:pPr>
            <w:r w:rsidRPr="004B4067">
              <w:rPr>
                <w:szCs w:val="24"/>
              </w:rPr>
              <w:t>Роспись</w:t>
            </w:r>
          </w:p>
        </w:tc>
        <w:tc>
          <w:tcPr>
            <w:tcW w:w="2552" w:type="pct"/>
          </w:tcPr>
          <w:p w:rsidR="00D7306D" w:rsidRPr="004B4067" w:rsidRDefault="00D7306D" w:rsidP="00D7306D">
            <w:pPr>
              <w:ind w:firstLine="0"/>
              <w:jc w:val="left"/>
              <w:rPr>
                <w:szCs w:val="24"/>
              </w:rPr>
            </w:pPr>
          </w:p>
        </w:tc>
        <w:tc>
          <w:tcPr>
            <w:tcW w:w="1625" w:type="pct"/>
          </w:tcPr>
          <w:p w:rsidR="00D7306D" w:rsidRPr="004B4067" w:rsidRDefault="00D7306D" w:rsidP="00D7306D">
            <w:pPr>
              <w:ind w:firstLine="0"/>
              <w:jc w:val="left"/>
              <w:rPr>
                <w:szCs w:val="24"/>
              </w:rPr>
            </w:pPr>
          </w:p>
        </w:tc>
      </w:tr>
      <w:tr w:rsidR="00D7306D" w:rsidRPr="004B4067" w:rsidTr="00D7306D">
        <w:tc>
          <w:tcPr>
            <w:tcW w:w="823" w:type="pct"/>
          </w:tcPr>
          <w:p w:rsidR="00D7306D" w:rsidRPr="004B4067" w:rsidRDefault="00D7306D" w:rsidP="00D7306D">
            <w:pPr>
              <w:ind w:firstLine="0"/>
              <w:jc w:val="left"/>
              <w:rPr>
                <w:szCs w:val="24"/>
              </w:rPr>
            </w:pPr>
            <w:r w:rsidRPr="004B4067">
              <w:rPr>
                <w:szCs w:val="24"/>
              </w:rPr>
              <w:t>Доведено</w:t>
            </w:r>
          </w:p>
        </w:tc>
        <w:tc>
          <w:tcPr>
            <w:tcW w:w="2552" w:type="pct"/>
          </w:tcPr>
          <w:p w:rsidR="00D7306D" w:rsidRPr="004B4067" w:rsidRDefault="00D7306D" w:rsidP="00D7306D">
            <w:pPr>
              <w:ind w:firstLine="0"/>
              <w:jc w:val="left"/>
              <w:rPr>
                <w:szCs w:val="24"/>
              </w:rPr>
            </w:pPr>
            <w:r w:rsidRPr="004B4067">
              <w:rPr>
                <w:szCs w:val="24"/>
              </w:rPr>
              <w:t>Заблокированные ЛБО + Иное</w:t>
            </w:r>
          </w:p>
        </w:tc>
        <w:tc>
          <w:tcPr>
            <w:tcW w:w="1625" w:type="pct"/>
          </w:tcPr>
          <w:p w:rsidR="00D7306D" w:rsidRPr="004B4067" w:rsidRDefault="00D7306D" w:rsidP="00D7306D">
            <w:pPr>
              <w:ind w:firstLine="0"/>
              <w:jc w:val="left"/>
              <w:rPr>
                <w:szCs w:val="24"/>
              </w:rPr>
            </w:pPr>
            <w:r w:rsidRPr="004B4067">
              <w:rPr>
                <w:szCs w:val="24"/>
                <w:u w:val="single"/>
              </w:rPr>
              <w:t>Формула</w:t>
            </w:r>
            <w:r w:rsidRPr="004B4067">
              <w:rPr>
                <w:szCs w:val="24"/>
              </w:rPr>
              <w:t>:</w:t>
            </w:r>
          </w:p>
          <w:p w:rsidR="00D7306D" w:rsidRPr="004B4067" w:rsidRDefault="00D7306D" w:rsidP="00D7306D">
            <w:pPr>
              <w:ind w:firstLine="0"/>
              <w:jc w:val="left"/>
              <w:rPr>
                <w:szCs w:val="24"/>
              </w:rPr>
            </w:pPr>
            <w:r w:rsidRPr="004B4067">
              <w:rPr>
                <w:szCs w:val="24"/>
              </w:rPr>
              <w:t>«Иное» = «Роспись» - «Доведено» - «В резерве» - «Заблокированные лимиты»</w:t>
            </w:r>
          </w:p>
        </w:tc>
      </w:tr>
      <w:tr w:rsidR="00D7306D" w:rsidRPr="004B4067" w:rsidTr="00D7306D">
        <w:trPr>
          <w:trHeight w:val="1715"/>
        </w:trPr>
        <w:tc>
          <w:tcPr>
            <w:tcW w:w="823" w:type="pct"/>
          </w:tcPr>
          <w:p w:rsidR="00D7306D" w:rsidRPr="004B4067" w:rsidRDefault="00D7306D" w:rsidP="00D7306D">
            <w:pPr>
              <w:ind w:firstLine="0"/>
              <w:jc w:val="left"/>
              <w:rPr>
                <w:szCs w:val="24"/>
              </w:rPr>
            </w:pPr>
            <w:r w:rsidRPr="004B4067">
              <w:rPr>
                <w:szCs w:val="24"/>
              </w:rPr>
              <w:t>Распределено</w:t>
            </w:r>
          </w:p>
        </w:tc>
        <w:tc>
          <w:tcPr>
            <w:tcW w:w="2552" w:type="pct"/>
          </w:tcPr>
          <w:p w:rsidR="00D7306D" w:rsidRPr="004B4067" w:rsidRDefault="00D7306D" w:rsidP="00D7306D">
            <w:pPr>
              <w:ind w:firstLine="0"/>
              <w:jc w:val="left"/>
              <w:rPr>
                <w:szCs w:val="24"/>
              </w:rPr>
            </w:pPr>
            <w:r w:rsidRPr="004B4067">
              <w:rPr>
                <w:szCs w:val="24"/>
              </w:rPr>
              <w:t>Не распределено в срок</w:t>
            </w:r>
          </w:p>
          <w:p w:rsidR="00D7306D" w:rsidRPr="004B4067" w:rsidRDefault="00D7306D" w:rsidP="00D7306D">
            <w:pPr>
              <w:ind w:firstLine="0"/>
              <w:jc w:val="left"/>
              <w:rPr>
                <w:szCs w:val="24"/>
              </w:rPr>
            </w:pPr>
            <w:r w:rsidRPr="004B4067">
              <w:rPr>
                <w:szCs w:val="24"/>
                <w:u w:val="single"/>
              </w:rPr>
              <w:t>Формула</w:t>
            </w:r>
            <w:r w:rsidRPr="004B4067">
              <w:rPr>
                <w:szCs w:val="24"/>
              </w:rPr>
              <w:t>:</w:t>
            </w:r>
          </w:p>
          <w:p w:rsidR="00D7306D" w:rsidRPr="004B4067" w:rsidRDefault="00D7306D" w:rsidP="00D7306D">
            <w:pPr>
              <w:ind w:firstLine="0"/>
              <w:jc w:val="left"/>
              <w:rPr>
                <w:szCs w:val="24"/>
              </w:rPr>
            </w:pPr>
            <w:r w:rsidRPr="004B4067">
              <w:rPr>
                <w:szCs w:val="24"/>
              </w:rPr>
              <w:t>«% по КТ» * «Доведено» - «Распределено»</w:t>
            </w:r>
          </w:p>
          <w:p w:rsidR="00D7306D" w:rsidRPr="004B4067" w:rsidRDefault="00D7306D" w:rsidP="00D7306D">
            <w:pPr>
              <w:ind w:firstLine="0"/>
              <w:jc w:val="left"/>
              <w:rPr>
                <w:i/>
                <w:szCs w:val="24"/>
              </w:rPr>
            </w:pPr>
            <w:r w:rsidRPr="004B4067">
              <w:rPr>
                <w:i/>
                <w:szCs w:val="24"/>
              </w:rPr>
              <w:t>Если «результат» меньше нуля, то «Риск по контрольной точке» 0</w:t>
            </w:r>
          </w:p>
        </w:tc>
        <w:tc>
          <w:tcPr>
            <w:tcW w:w="1625" w:type="pct"/>
          </w:tcPr>
          <w:p w:rsidR="00D7306D" w:rsidRPr="004B4067" w:rsidRDefault="00D7306D" w:rsidP="005C6E50">
            <w:pPr>
              <w:pStyle w:val="afff6"/>
              <w:numPr>
                <w:ilvl w:val="0"/>
                <w:numId w:val="120"/>
              </w:numPr>
              <w:contextualSpacing/>
              <w:jc w:val="left"/>
              <w:rPr>
                <w:sz w:val="24"/>
                <w:szCs w:val="24"/>
              </w:rPr>
            </w:pPr>
            <w:r w:rsidRPr="004B4067">
              <w:rPr>
                <w:sz w:val="24"/>
                <w:szCs w:val="24"/>
              </w:rPr>
              <w:t>«% по КТ» - процент прошедшей контрольной точки по типовому графику.</w:t>
            </w:r>
          </w:p>
          <w:p w:rsidR="00D7306D" w:rsidRPr="004B4067" w:rsidRDefault="00D7306D" w:rsidP="005C6E50">
            <w:pPr>
              <w:pStyle w:val="afff6"/>
              <w:numPr>
                <w:ilvl w:val="0"/>
                <w:numId w:val="120"/>
              </w:numPr>
              <w:contextualSpacing/>
              <w:jc w:val="left"/>
              <w:rPr>
                <w:sz w:val="24"/>
                <w:szCs w:val="24"/>
              </w:rPr>
            </w:pPr>
            <w:r w:rsidRPr="004B4067">
              <w:rPr>
                <w:sz w:val="24"/>
                <w:szCs w:val="24"/>
              </w:rPr>
              <w:t>«Распределено» берем с текущей даты.</w:t>
            </w:r>
          </w:p>
          <w:p w:rsidR="00D7306D" w:rsidRPr="004B4067" w:rsidRDefault="00D7306D" w:rsidP="005C6E50">
            <w:pPr>
              <w:pStyle w:val="afff6"/>
              <w:numPr>
                <w:ilvl w:val="0"/>
                <w:numId w:val="120"/>
              </w:numPr>
              <w:contextualSpacing/>
              <w:jc w:val="left"/>
              <w:rPr>
                <w:sz w:val="24"/>
                <w:szCs w:val="24"/>
              </w:rPr>
            </w:pPr>
            <w:r w:rsidRPr="004B4067">
              <w:rPr>
                <w:sz w:val="24"/>
                <w:szCs w:val="24"/>
              </w:rPr>
              <w:t>«Доведено» - в зависимости от КВР берем с даты за минус 0/10/20 дней</w:t>
            </w:r>
            <w:r>
              <w:rPr>
                <w:sz w:val="24"/>
                <w:szCs w:val="24"/>
              </w:rPr>
              <w:t>.</w:t>
            </w:r>
          </w:p>
        </w:tc>
      </w:tr>
      <w:tr w:rsidR="00D7306D" w:rsidRPr="004B4067" w:rsidTr="00D7306D">
        <w:tc>
          <w:tcPr>
            <w:tcW w:w="823" w:type="pct"/>
          </w:tcPr>
          <w:p w:rsidR="00D7306D" w:rsidRPr="004B4067" w:rsidRDefault="00D7306D" w:rsidP="00D7306D">
            <w:pPr>
              <w:ind w:firstLine="0"/>
              <w:jc w:val="left"/>
              <w:rPr>
                <w:szCs w:val="24"/>
              </w:rPr>
            </w:pPr>
            <w:r w:rsidRPr="004B4067">
              <w:rPr>
                <w:szCs w:val="24"/>
              </w:rPr>
              <w:t>Принятые БО</w:t>
            </w:r>
          </w:p>
        </w:tc>
        <w:tc>
          <w:tcPr>
            <w:tcW w:w="2552" w:type="pct"/>
          </w:tcPr>
          <w:p w:rsidR="00D7306D" w:rsidRPr="004B4067" w:rsidRDefault="00D7306D" w:rsidP="00D7306D">
            <w:pPr>
              <w:ind w:firstLine="0"/>
              <w:jc w:val="left"/>
              <w:rPr>
                <w:szCs w:val="24"/>
              </w:rPr>
            </w:pPr>
            <w:r w:rsidRPr="004B4067">
              <w:rPr>
                <w:szCs w:val="24"/>
              </w:rPr>
              <w:t>Не принятые БО в срок</w:t>
            </w:r>
          </w:p>
          <w:p w:rsidR="00D7306D" w:rsidRPr="004B4067" w:rsidRDefault="00D7306D" w:rsidP="00D7306D">
            <w:pPr>
              <w:ind w:firstLine="0"/>
              <w:jc w:val="left"/>
              <w:rPr>
                <w:szCs w:val="24"/>
              </w:rPr>
            </w:pPr>
            <w:r w:rsidRPr="004B4067">
              <w:rPr>
                <w:szCs w:val="24"/>
                <w:u w:val="single"/>
              </w:rPr>
              <w:t>Формула</w:t>
            </w:r>
            <w:r w:rsidRPr="004B4067">
              <w:rPr>
                <w:szCs w:val="24"/>
              </w:rPr>
              <w:t>:</w:t>
            </w:r>
          </w:p>
          <w:p w:rsidR="00D7306D" w:rsidRPr="004B4067" w:rsidRDefault="00D7306D" w:rsidP="00D7306D">
            <w:pPr>
              <w:ind w:firstLine="0"/>
              <w:jc w:val="left"/>
              <w:rPr>
                <w:szCs w:val="24"/>
              </w:rPr>
            </w:pPr>
            <w:r w:rsidRPr="004B4067">
              <w:rPr>
                <w:szCs w:val="24"/>
              </w:rPr>
              <w:t>(«% по КТ» * «Доведено» - «Принятые БО»)  – («Не распределено в срок» / «Доведено» *100  - 100% - «% по КТ») * «Доведено»</w:t>
            </w:r>
          </w:p>
          <w:p w:rsidR="00D7306D" w:rsidRPr="004B4067" w:rsidRDefault="00D7306D" w:rsidP="00D7306D">
            <w:pPr>
              <w:ind w:firstLine="0"/>
              <w:jc w:val="left"/>
              <w:rPr>
                <w:szCs w:val="24"/>
              </w:rPr>
            </w:pPr>
          </w:p>
          <w:p w:rsidR="00D7306D" w:rsidRPr="004B4067" w:rsidRDefault="00D7306D" w:rsidP="00D7306D">
            <w:pPr>
              <w:ind w:firstLine="0"/>
              <w:jc w:val="left"/>
              <w:rPr>
                <w:szCs w:val="24"/>
              </w:rPr>
            </w:pPr>
            <w:r w:rsidRPr="004B4067">
              <w:rPr>
                <w:szCs w:val="24"/>
                <w:u w:val="single"/>
              </w:rPr>
              <w:t>Проверки</w:t>
            </w:r>
            <w:r w:rsidRPr="004B4067">
              <w:rPr>
                <w:szCs w:val="24"/>
              </w:rPr>
              <w:t xml:space="preserve">: </w:t>
            </w:r>
          </w:p>
          <w:p w:rsidR="00D7306D" w:rsidRPr="004B4067" w:rsidRDefault="00D7306D" w:rsidP="00D7306D">
            <w:pPr>
              <w:ind w:firstLine="0"/>
              <w:jc w:val="left"/>
              <w:rPr>
                <w:szCs w:val="24"/>
              </w:rPr>
            </w:pPr>
            <w:r w:rsidRPr="004B4067">
              <w:rPr>
                <w:szCs w:val="24"/>
              </w:rPr>
              <w:t>Если выражение «% по КТ» * «Дов</w:t>
            </w:r>
            <w:r>
              <w:rPr>
                <w:szCs w:val="24"/>
              </w:rPr>
              <w:t xml:space="preserve">едено» - «Принятые БО» &lt; 0, то </w:t>
            </w:r>
            <w:r w:rsidRPr="004B4067">
              <w:rPr>
                <w:szCs w:val="24"/>
              </w:rPr>
              <w:t>«Риск по контрольной точке» 0.</w:t>
            </w:r>
          </w:p>
          <w:p w:rsidR="00D7306D" w:rsidRPr="004B4067" w:rsidRDefault="00D7306D" w:rsidP="00D7306D">
            <w:pPr>
              <w:ind w:firstLine="0"/>
              <w:jc w:val="left"/>
              <w:rPr>
                <w:szCs w:val="24"/>
              </w:rPr>
            </w:pPr>
            <w:r w:rsidRPr="004B4067">
              <w:rPr>
                <w:szCs w:val="24"/>
              </w:rPr>
              <w:t>Если &gt; 0, то считаем по формуле выше.</w:t>
            </w:r>
          </w:p>
          <w:p w:rsidR="00D7306D" w:rsidRPr="004B4067" w:rsidRDefault="00D7306D" w:rsidP="00D7306D">
            <w:pPr>
              <w:ind w:firstLine="0"/>
              <w:jc w:val="left"/>
              <w:rPr>
                <w:szCs w:val="24"/>
              </w:rPr>
            </w:pPr>
          </w:p>
          <w:p w:rsidR="00D7306D" w:rsidRPr="004B4067" w:rsidRDefault="00D7306D" w:rsidP="00D7306D">
            <w:pPr>
              <w:ind w:firstLine="0"/>
              <w:jc w:val="left"/>
              <w:rPr>
                <w:szCs w:val="24"/>
              </w:rPr>
            </w:pPr>
            <w:r w:rsidRPr="004B4067">
              <w:rPr>
                <w:szCs w:val="24"/>
              </w:rPr>
              <w:t xml:space="preserve">Если выражение (100% - «% по КТ»)  &gt; («Не распределено в срок» / «Доведено»*100%), то это означает, что достаточно средств для исполнения КТ по этапу и  формулу </w:t>
            </w:r>
            <w:r w:rsidRPr="004B4067">
              <w:rPr>
                <w:i/>
                <w:szCs w:val="24"/>
              </w:rPr>
              <w:t>(«Не распределено в срок»/ «Доведено» - 100% - «% по КТ») * «Доведено»</w:t>
            </w:r>
            <w:r w:rsidRPr="004B4067">
              <w:rPr>
                <w:szCs w:val="24"/>
              </w:rPr>
              <w:t xml:space="preserve"> заменяем на 0.</w:t>
            </w:r>
          </w:p>
          <w:p w:rsidR="00D7306D" w:rsidRPr="004B4067" w:rsidRDefault="00D7306D" w:rsidP="00D7306D">
            <w:pPr>
              <w:ind w:firstLine="0"/>
              <w:jc w:val="left"/>
              <w:rPr>
                <w:szCs w:val="24"/>
              </w:rPr>
            </w:pPr>
          </w:p>
          <w:p w:rsidR="00D7306D" w:rsidRPr="004B4067" w:rsidRDefault="00D7306D" w:rsidP="00D7306D">
            <w:pPr>
              <w:ind w:firstLine="0"/>
              <w:jc w:val="left"/>
              <w:rPr>
                <w:szCs w:val="24"/>
              </w:rPr>
            </w:pPr>
            <w:r w:rsidRPr="004B4067">
              <w:rPr>
                <w:szCs w:val="24"/>
              </w:rPr>
              <w:t>Если выражение (100% - «% по КТ») &lt; («Не распределено в срок» / «Доведено»*100%), то применяем формулу:</w:t>
            </w:r>
          </w:p>
          <w:p w:rsidR="00D7306D" w:rsidRPr="004B4067" w:rsidRDefault="00D7306D" w:rsidP="00D7306D">
            <w:pPr>
              <w:ind w:firstLine="0"/>
              <w:jc w:val="left"/>
              <w:rPr>
                <w:i/>
                <w:szCs w:val="24"/>
              </w:rPr>
            </w:pPr>
            <w:r w:rsidRPr="004B4067">
              <w:rPr>
                <w:i/>
                <w:szCs w:val="24"/>
              </w:rPr>
              <w:t>(«Не распределено в срок» / «Доведено»*100%) - (100% - «% по КТ»).</w:t>
            </w:r>
          </w:p>
        </w:tc>
        <w:tc>
          <w:tcPr>
            <w:tcW w:w="1625" w:type="pct"/>
          </w:tcPr>
          <w:p w:rsidR="00D7306D" w:rsidRPr="004B4067" w:rsidRDefault="00D7306D" w:rsidP="005C6E50">
            <w:pPr>
              <w:pStyle w:val="afff6"/>
              <w:numPr>
                <w:ilvl w:val="0"/>
                <w:numId w:val="120"/>
              </w:numPr>
              <w:contextualSpacing/>
              <w:jc w:val="left"/>
              <w:rPr>
                <w:sz w:val="24"/>
                <w:szCs w:val="24"/>
              </w:rPr>
            </w:pPr>
            <w:r w:rsidRPr="004B4067">
              <w:rPr>
                <w:sz w:val="24"/>
                <w:szCs w:val="24"/>
              </w:rPr>
              <w:t>«100%» - константа</w:t>
            </w:r>
          </w:p>
          <w:p w:rsidR="00D7306D" w:rsidRPr="004B4067" w:rsidRDefault="00D7306D" w:rsidP="005C6E50">
            <w:pPr>
              <w:pStyle w:val="afff6"/>
              <w:numPr>
                <w:ilvl w:val="0"/>
                <w:numId w:val="120"/>
              </w:numPr>
              <w:contextualSpacing/>
              <w:jc w:val="left"/>
              <w:rPr>
                <w:sz w:val="24"/>
                <w:szCs w:val="24"/>
              </w:rPr>
            </w:pPr>
            <w:r w:rsidRPr="004B4067">
              <w:rPr>
                <w:sz w:val="24"/>
                <w:szCs w:val="24"/>
              </w:rPr>
              <w:t>«% по КТ» - процент прошедшей контрольной точки.</w:t>
            </w:r>
          </w:p>
          <w:p w:rsidR="00D7306D" w:rsidRPr="004B4067" w:rsidRDefault="00D7306D" w:rsidP="005C6E50">
            <w:pPr>
              <w:pStyle w:val="afff6"/>
              <w:numPr>
                <w:ilvl w:val="0"/>
                <w:numId w:val="120"/>
              </w:numPr>
              <w:contextualSpacing/>
              <w:jc w:val="left"/>
              <w:rPr>
                <w:sz w:val="24"/>
                <w:szCs w:val="24"/>
              </w:rPr>
            </w:pPr>
            <w:r w:rsidRPr="004B4067">
              <w:rPr>
                <w:sz w:val="24"/>
                <w:szCs w:val="24"/>
              </w:rPr>
              <w:t>«Принятые БО», «Не распределено в срок» берем с текущей даты.</w:t>
            </w:r>
          </w:p>
          <w:p w:rsidR="00D7306D" w:rsidRPr="004B4067" w:rsidRDefault="00D7306D" w:rsidP="005C6E50">
            <w:pPr>
              <w:pStyle w:val="afff6"/>
              <w:numPr>
                <w:ilvl w:val="0"/>
                <w:numId w:val="120"/>
              </w:numPr>
              <w:contextualSpacing/>
              <w:jc w:val="left"/>
              <w:rPr>
                <w:sz w:val="24"/>
                <w:szCs w:val="24"/>
              </w:rPr>
            </w:pPr>
            <w:r w:rsidRPr="004B4067">
              <w:rPr>
                <w:sz w:val="24"/>
                <w:szCs w:val="24"/>
              </w:rPr>
              <w:t>«Доведено» - в зависимости от КВР берем с даты за минус 0/30 дней</w:t>
            </w:r>
            <w:r>
              <w:rPr>
                <w:sz w:val="24"/>
                <w:szCs w:val="24"/>
              </w:rPr>
              <w:t>.</w:t>
            </w:r>
          </w:p>
        </w:tc>
      </w:tr>
      <w:tr w:rsidR="00D7306D" w:rsidRPr="004B4067" w:rsidTr="00D7306D">
        <w:tc>
          <w:tcPr>
            <w:tcW w:w="823" w:type="pct"/>
          </w:tcPr>
          <w:p w:rsidR="00D7306D" w:rsidRPr="004B4067" w:rsidRDefault="00D7306D" w:rsidP="00D7306D">
            <w:pPr>
              <w:ind w:firstLine="0"/>
              <w:jc w:val="left"/>
              <w:rPr>
                <w:szCs w:val="24"/>
              </w:rPr>
            </w:pPr>
            <w:r w:rsidRPr="004B4067">
              <w:rPr>
                <w:szCs w:val="24"/>
              </w:rPr>
              <w:t>Факт</w:t>
            </w:r>
          </w:p>
        </w:tc>
        <w:tc>
          <w:tcPr>
            <w:tcW w:w="2552" w:type="pct"/>
          </w:tcPr>
          <w:p w:rsidR="00D7306D" w:rsidRPr="004B4067" w:rsidRDefault="00D7306D" w:rsidP="00D7306D">
            <w:pPr>
              <w:ind w:firstLine="0"/>
              <w:jc w:val="left"/>
              <w:rPr>
                <w:szCs w:val="24"/>
              </w:rPr>
            </w:pPr>
            <w:r w:rsidRPr="004B4067">
              <w:rPr>
                <w:szCs w:val="24"/>
              </w:rPr>
              <w:t>Не исполнено в срок</w:t>
            </w:r>
          </w:p>
          <w:p w:rsidR="00D7306D" w:rsidRPr="004B4067" w:rsidRDefault="00D7306D" w:rsidP="00D7306D">
            <w:pPr>
              <w:ind w:firstLine="0"/>
              <w:jc w:val="left"/>
              <w:rPr>
                <w:szCs w:val="24"/>
              </w:rPr>
            </w:pPr>
            <w:r w:rsidRPr="004B4067">
              <w:rPr>
                <w:szCs w:val="24"/>
                <w:u w:val="single"/>
              </w:rPr>
              <w:t>Формула</w:t>
            </w:r>
            <w:r w:rsidRPr="004B4067">
              <w:rPr>
                <w:szCs w:val="24"/>
              </w:rPr>
              <w:t>:</w:t>
            </w:r>
          </w:p>
          <w:p w:rsidR="00D7306D" w:rsidRPr="004B4067" w:rsidRDefault="00D7306D" w:rsidP="00D7306D">
            <w:pPr>
              <w:ind w:firstLine="0"/>
              <w:jc w:val="left"/>
              <w:rPr>
                <w:szCs w:val="24"/>
              </w:rPr>
            </w:pPr>
            <w:r w:rsidRPr="004B4067">
              <w:rPr>
                <w:szCs w:val="24"/>
              </w:rPr>
              <w:t>(«% по КТ» * «Роспись» - «Факт») – ((«Заблокированные ЛБО»+ «Иное» + «Не распределено в срок» + «Не принятые БО в срок») / «Роспись»*100% - 100% - «% по КТ») * «Роспись»</w:t>
            </w:r>
          </w:p>
          <w:p w:rsidR="00D7306D" w:rsidRPr="004B4067" w:rsidRDefault="00D7306D" w:rsidP="00D7306D">
            <w:pPr>
              <w:ind w:firstLine="0"/>
              <w:jc w:val="left"/>
              <w:rPr>
                <w:szCs w:val="24"/>
              </w:rPr>
            </w:pPr>
          </w:p>
          <w:p w:rsidR="00D7306D" w:rsidRPr="004B4067" w:rsidRDefault="00D7306D" w:rsidP="00D7306D">
            <w:pPr>
              <w:ind w:firstLine="0"/>
              <w:jc w:val="left"/>
              <w:rPr>
                <w:szCs w:val="24"/>
              </w:rPr>
            </w:pPr>
            <w:r w:rsidRPr="004B4067">
              <w:rPr>
                <w:szCs w:val="24"/>
                <w:u w:val="single"/>
              </w:rPr>
              <w:t>Проверки</w:t>
            </w:r>
            <w:r w:rsidRPr="004B4067">
              <w:rPr>
                <w:szCs w:val="24"/>
              </w:rPr>
              <w:t>:</w:t>
            </w:r>
          </w:p>
          <w:p w:rsidR="00D7306D" w:rsidRPr="004B4067" w:rsidRDefault="00D7306D" w:rsidP="00D7306D">
            <w:pPr>
              <w:ind w:firstLine="0"/>
              <w:jc w:val="left"/>
              <w:rPr>
                <w:szCs w:val="24"/>
              </w:rPr>
            </w:pPr>
            <w:r w:rsidRPr="004B4067">
              <w:rPr>
                <w:szCs w:val="24"/>
              </w:rPr>
              <w:t>Если выражение «% по КТ» * «Роспись» - «Факт» &lt; 0, то  «Риск по контрольной точке» 0.</w:t>
            </w:r>
          </w:p>
          <w:p w:rsidR="00D7306D" w:rsidRPr="004B4067" w:rsidRDefault="00D7306D" w:rsidP="00D7306D">
            <w:pPr>
              <w:ind w:firstLine="0"/>
              <w:jc w:val="left"/>
              <w:rPr>
                <w:szCs w:val="24"/>
              </w:rPr>
            </w:pPr>
            <w:r w:rsidRPr="004B4067">
              <w:rPr>
                <w:szCs w:val="24"/>
              </w:rPr>
              <w:t>Если &gt; 0, то считаем по формуле выше.</w:t>
            </w:r>
          </w:p>
          <w:p w:rsidR="00D7306D" w:rsidRPr="004B4067" w:rsidRDefault="00D7306D" w:rsidP="00D7306D">
            <w:pPr>
              <w:ind w:firstLine="0"/>
              <w:jc w:val="left"/>
              <w:rPr>
                <w:szCs w:val="24"/>
              </w:rPr>
            </w:pPr>
            <w:r w:rsidRPr="004B4067">
              <w:rPr>
                <w:szCs w:val="24"/>
              </w:rPr>
              <w:t xml:space="preserve"> </w:t>
            </w:r>
          </w:p>
          <w:p w:rsidR="00D7306D" w:rsidRPr="004B4067" w:rsidRDefault="00D7306D" w:rsidP="00D7306D">
            <w:pPr>
              <w:ind w:firstLine="0"/>
              <w:jc w:val="left"/>
              <w:rPr>
                <w:szCs w:val="24"/>
              </w:rPr>
            </w:pPr>
            <w:r w:rsidRPr="004B4067">
              <w:rPr>
                <w:szCs w:val="24"/>
              </w:rPr>
              <w:t xml:space="preserve">Если выражение (100% - «% по КТ») &gt;  («Заблокированные ЛБО»+ «Иное» + «Не распределено в срок» + «Не принятые БО в срок») / «Роспись»), то это означает, что достаточно средств для исполнения КТ по этапу и  формулу </w:t>
            </w:r>
            <w:r w:rsidRPr="004B4067">
              <w:rPr>
                <w:i/>
                <w:szCs w:val="24"/>
              </w:rPr>
              <w:t>((«Заблокированные ЛБО»+ «Иное» + «Не распределено в срок» + «Не принятые БО в срок») / «Роспись» * 100%) – (100% - «% по КТ»)) * «Роспись»</w:t>
            </w:r>
            <w:r w:rsidRPr="004B4067">
              <w:rPr>
                <w:szCs w:val="24"/>
              </w:rPr>
              <w:t xml:space="preserve"> заменяем на 0.</w:t>
            </w:r>
          </w:p>
          <w:p w:rsidR="00D7306D" w:rsidRPr="004B4067" w:rsidRDefault="00D7306D" w:rsidP="00D7306D">
            <w:pPr>
              <w:ind w:firstLine="0"/>
              <w:jc w:val="left"/>
              <w:rPr>
                <w:szCs w:val="24"/>
              </w:rPr>
            </w:pPr>
          </w:p>
          <w:p w:rsidR="00D7306D" w:rsidRPr="004B4067" w:rsidRDefault="00D7306D" w:rsidP="00D7306D">
            <w:pPr>
              <w:ind w:firstLine="0"/>
              <w:jc w:val="left"/>
              <w:rPr>
                <w:szCs w:val="24"/>
              </w:rPr>
            </w:pPr>
            <w:r w:rsidRPr="004B4067">
              <w:rPr>
                <w:szCs w:val="24"/>
              </w:rPr>
              <w:t>Если выражение (100% - «% по КТ») &lt;  («Заблокированные ЛБО»+ «Иное» + «Не распределено в срок» + «Не принятые БО в срок») / «Роспись»), то применяем формулу:</w:t>
            </w:r>
          </w:p>
          <w:p w:rsidR="00D7306D" w:rsidRPr="004B4067" w:rsidRDefault="00D7306D" w:rsidP="00D7306D">
            <w:pPr>
              <w:ind w:firstLine="0"/>
              <w:jc w:val="left"/>
              <w:rPr>
                <w:i/>
                <w:szCs w:val="24"/>
              </w:rPr>
            </w:pPr>
            <w:r w:rsidRPr="004B4067">
              <w:rPr>
                <w:i/>
                <w:szCs w:val="24"/>
              </w:rPr>
              <w:t>((«Заблокированные ЛБО»+ «Иное» + «Не распределено в срок» + «Не принятые БО в срок») / «Роспись» * 100%) – (100% - «% по КТ»)) * «Роспись»</w:t>
            </w:r>
          </w:p>
        </w:tc>
        <w:tc>
          <w:tcPr>
            <w:tcW w:w="1625" w:type="pct"/>
          </w:tcPr>
          <w:p w:rsidR="00D7306D" w:rsidRPr="004B4067" w:rsidRDefault="00D7306D" w:rsidP="005C6E50">
            <w:pPr>
              <w:pStyle w:val="afff6"/>
              <w:numPr>
                <w:ilvl w:val="0"/>
                <w:numId w:val="120"/>
              </w:numPr>
              <w:contextualSpacing/>
              <w:jc w:val="left"/>
              <w:rPr>
                <w:sz w:val="24"/>
                <w:szCs w:val="24"/>
              </w:rPr>
            </w:pPr>
            <w:r w:rsidRPr="004B4067">
              <w:rPr>
                <w:sz w:val="24"/>
                <w:szCs w:val="24"/>
              </w:rPr>
              <w:t>«% по КТ» - процент прошедшей контрольной точки.</w:t>
            </w:r>
          </w:p>
          <w:p w:rsidR="00D7306D" w:rsidRPr="004B4067" w:rsidRDefault="00D7306D" w:rsidP="005C6E50">
            <w:pPr>
              <w:pStyle w:val="afff6"/>
              <w:numPr>
                <w:ilvl w:val="0"/>
                <w:numId w:val="120"/>
              </w:numPr>
              <w:contextualSpacing/>
              <w:jc w:val="left"/>
              <w:rPr>
                <w:sz w:val="24"/>
                <w:szCs w:val="24"/>
              </w:rPr>
            </w:pPr>
            <w:r w:rsidRPr="004B4067">
              <w:rPr>
                <w:sz w:val="24"/>
                <w:szCs w:val="24"/>
              </w:rPr>
              <w:t xml:space="preserve"> «Роспись», «Факт», «В резерве», «Заблокированные ЛБО», «Иное», «Не распределено в срок», «Не принятые БО в срок» с текущей даты</w:t>
            </w:r>
            <w:r>
              <w:rPr>
                <w:sz w:val="24"/>
                <w:szCs w:val="24"/>
              </w:rPr>
              <w:t>.</w:t>
            </w:r>
          </w:p>
        </w:tc>
      </w:tr>
    </w:tbl>
    <w:p w:rsidR="00D7306D" w:rsidRDefault="00D7306D" w:rsidP="00D7306D">
      <w:pPr>
        <w:pStyle w:val="af0"/>
        <w:rPr>
          <w:szCs w:val="28"/>
        </w:rPr>
      </w:pPr>
    </w:p>
    <w:p w:rsidR="00D7306D" w:rsidRDefault="00D7306D" w:rsidP="00D7306D">
      <w:pPr>
        <w:jc w:val="left"/>
        <w:rPr>
          <w:sz w:val="28"/>
          <w:szCs w:val="28"/>
        </w:rPr>
      </w:pPr>
      <w:r>
        <w:rPr>
          <w:szCs w:val="28"/>
        </w:rPr>
        <w:br w:type="page"/>
      </w:r>
    </w:p>
    <w:p w:rsidR="00D7306D" w:rsidRDefault="00D7306D" w:rsidP="00286AED">
      <w:pPr>
        <w:pStyle w:val="42"/>
      </w:pPr>
      <w:bookmarkStart w:id="675" w:name="_Ref80387481"/>
      <w:bookmarkStart w:id="676" w:name="_Toc80789102"/>
      <w:r>
        <w:t>Классификация субсидий по типам</w:t>
      </w:r>
      <w:bookmarkEnd w:id="675"/>
      <w:bookmarkEnd w:id="676"/>
    </w:p>
    <w:p w:rsidR="00D7306D" w:rsidRDefault="00D7306D" w:rsidP="00286AED">
      <w:pPr>
        <w:pStyle w:val="af0"/>
      </w:pPr>
      <w:r>
        <w:t xml:space="preserve">В отчетах используется группировка субсидий федерального бюджета по следующим типам (Таблица </w:t>
      </w:r>
      <w:r>
        <w:fldChar w:fldCharType="begin"/>
      </w:r>
      <w:r>
        <w:instrText xml:space="preserve"> REF табл17 \h </w:instrText>
      </w:r>
      <w:r w:rsidR="00286AED">
        <w:instrText xml:space="preserve"> \* MERGEFORMAT </w:instrText>
      </w:r>
      <w:r>
        <w:fldChar w:fldCharType="separate"/>
      </w:r>
      <w:r w:rsidR="00BF0BEE">
        <w:rPr>
          <w:noProof/>
        </w:rPr>
        <w:t>33</w:t>
      </w:r>
      <w:r>
        <w:fldChar w:fldCharType="end"/>
      </w:r>
      <w:r>
        <w:t>).</w:t>
      </w:r>
    </w:p>
    <w:p w:rsidR="00D7306D" w:rsidRPr="0035283D" w:rsidRDefault="00D7306D" w:rsidP="00D7306D">
      <w:pPr>
        <w:pStyle w:val="-"/>
      </w:pPr>
      <w:bookmarkStart w:id="677" w:name="_Toc80789120"/>
      <w:bookmarkStart w:id="678" w:name="_Toc119585174"/>
      <w:r>
        <w:t xml:space="preserve">Таблица </w:t>
      </w:r>
      <w:bookmarkStart w:id="679" w:name="табл17"/>
      <w:r>
        <w:fldChar w:fldCharType="begin"/>
      </w:r>
      <w:r>
        <w:instrText xml:space="preserve"> SEQ Таблица \* ARABIC </w:instrText>
      </w:r>
      <w:r>
        <w:fldChar w:fldCharType="separate"/>
      </w:r>
      <w:r w:rsidR="00BF0BEE">
        <w:rPr>
          <w:noProof/>
        </w:rPr>
        <w:t>33</w:t>
      </w:r>
      <w:r>
        <w:fldChar w:fldCharType="end"/>
      </w:r>
      <w:bookmarkEnd w:id="679"/>
      <w:r>
        <w:t xml:space="preserve"> – Группировка субсидий федерального бюджета</w:t>
      </w:r>
      <w:bookmarkEnd w:id="677"/>
      <w:bookmarkEnd w:id="678"/>
    </w:p>
    <w:tbl>
      <w:tblPr>
        <w:tblStyle w:val="affe"/>
        <w:tblW w:w="5000" w:type="pct"/>
        <w:tblLook w:val="04A0" w:firstRow="1" w:lastRow="0" w:firstColumn="1" w:lastColumn="0" w:noHBand="0" w:noVBand="1"/>
      </w:tblPr>
      <w:tblGrid>
        <w:gridCol w:w="960"/>
        <w:gridCol w:w="5431"/>
        <w:gridCol w:w="3462"/>
      </w:tblGrid>
      <w:tr w:rsidR="00D7306D" w:rsidRPr="000F3B19" w:rsidTr="00286AED">
        <w:trPr>
          <w:tblHeader/>
        </w:trPr>
        <w:tc>
          <w:tcPr>
            <w:tcW w:w="487" w:type="pct"/>
            <w:shd w:val="clear" w:color="auto" w:fill="BFBFBF" w:themeFill="background1" w:themeFillShade="BF"/>
            <w:vAlign w:val="center"/>
          </w:tcPr>
          <w:p w:rsidR="00D7306D" w:rsidRPr="00F25CE2" w:rsidRDefault="00D7306D" w:rsidP="00286AED">
            <w:pPr>
              <w:spacing w:before="120" w:after="60"/>
              <w:ind w:firstLine="0"/>
              <w:contextualSpacing/>
              <w:jc w:val="center"/>
              <w:rPr>
                <w:b/>
                <w:szCs w:val="24"/>
                <w:lang w:eastAsia="x-none"/>
              </w:rPr>
            </w:pPr>
            <w:r w:rsidRPr="00F25CE2">
              <w:rPr>
                <w:b/>
                <w:szCs w:val="24"/>
                <w:lang w:eastAsia="x-none"/>
              </w:rPr>
              <w:t>№ п/п</w:t>
            </w:r>
          </w:p>
        </w:tc>
        <w:tc>
          <w:tcPr>
            <w:tcW w:w="2756" w:type="pct"/>
            <w:shd w:val="clear" w:color="auto" w:fill="BFBFBF" w:themeFill="background1" w:themeFillShade="BF"/>
            <w:vAlign w:val="center"/>
          </w:tcPr>
          <w:p w:rsidR="00D7306D" w:rsidRPr="00F25CE2" w:rsidRDefault="00D7306D" w:rsidP="00286AED">
            <w:pPr>
              <w:spacing w:before="120" w:after="60"/>
              <w:ind w:firstLine="0"/>
              <w:contextualSpacing/>
              <w:jc w:val="center"/>
              <w:rPr>
                <w:b/>
                <w:szCs w:val="24"/>
                <w:lang w:eastAsia="x-none"/>
              </w:rPr>
            </w:pPr>
            <w:r w:rsidRPr="00F25CE2">
              <w:rPr>
                <w:b/>
                <w:szCs w:val="24"/>
                <w:lang w:eastAsia="x-none"/>
              </w:rPr>
              <w:t>Наименование типа субсидии</w:t>
            </w:r>
          </w:p>
        </w:tc>
        <w:tc>
          <w:tcPr>
            <w:tcW w:w="1757" w:type="pct"/>
            <w:shd w:val="clear" w:color="auto" w:fill="BFBFBF" w:themeFill="background1" w:themeFillShade="BF"/>
            <w:vAlign w:val="center"/>
          </w:tcPr>
          <w:p w:rsidR="00D7306D" w:rsidRPr="00F25CE2" w:rsidRDefault="00D7306D" w:rsidP="00286AED">
            <w:pPr>
              <w:spacing w:before="120" w:after="60"/>
              <w:ind w:firstLine="0"/>
              <w:contextualSpacing/>
              <w:jc w:val="center"/>
              <w:rPr>
                <w:b/>
                <w:szCs w:val="24"/>
                <w:lang w:eastAsia="x-none"/>
              </w:rPr>
            </w:pPr>
            <w:r w:rsidRPr="00F25CE2">
              <w:rPr>
                <w:b/>
                <w:szCs w:val="24"/>
                <w:lang w:eastAsia="x-none"/>
              </w:rPr>
              <w:t>Вид расхода</w:t>
            </w:r>
          </w:p>
        </w:tc>
      </w:tr>
      <w:tr w:rsidR="00D7306D" w:rsidRPr="000F3B19" w:rsidTr="00D7306D">
        <w:trPr>
          <w:tblHeader/>
        </w:trPr>
        <w:tc>
          <w:tcPr>
            <w:tcW w:w="487" w:type="pct"/>
            <w:shd w:val="clear" w:color="auto" w:fill="F2F2F2" w:themeFill="background1" w:themeFillShade="F2"/>
          </w:tcPr>
          <w:p w:rsidR="00D7306D" w:rsidRPr="000F3B19" w:rsidRDefault="00D7306D" w:rsidP="005C6E50">
            <w:pPr>
              <w:pStyle w:val="afff6"/>
              <w:numPr>
                <w:ilvl w:val="0"/>
                <w:numId w:val="124"/>
              </w:numPr>
              <w:spacing w:before="120" w:after="60"/>
              <w:ind w:left="426" w:hanging="426"/>
              <w:contextualSpacing/>
              <w:jc w:val="left"/>
              <w:rPr>
                <w:sz w:val="24"/>
                <w:szCs w:val="24"/>
                <w:lang w:eastAsia="x-none"/>
              </w:rPr>
            </w:pPr>
          </w:p>
        </w:tc>
        <w:tc>
          <w:tcPr>
            <w:tcW w:w="2756" w:type="pct"/>
            <w:shd w:val="clear" w:color="auto" w:fill="F2F2F2" w:themeFill="background1" w:themeFillShade="F2"/>
          </w:tcPr>
          <w:p w:rsidR="00D7306D" w:rsidRPr="005A2A37" w:rsidRDefault="00D7306D" w:rsidP="00D7306D">
            <w:pPr>
              <w:spacing w:before="120" w:after="60"/>
              <w:ind w:firstLine="0"/>
              <w:contextualSpacing/>
              <w:jc w:val="left"/>
              <w:rPr>
                <w:b/>
                <w:szCs w:val="24"/>
                <w:lang w:eastAsia="x-none"/>
              </w:rPr>
            </w:pPr>
            <w:r w:rsidRPr="005A2A37">
              <w:rPr>
                <w:b/>
                <w:szCs w:val="24"/>
                <w:lang w:eastAsia="x-none"/>
              </w:rPr>
              <w:t>Субсидии юридическим лицам</w:t>
            </w:r>
          </w:p>
        </w:tc>
        <w:tc>
          <w:tcPr>
            <w:tcW w:w="1757" w:type="pct"/>
            <w:shd w:val="clear" w:color="auto" w:fill="F2F2F2" w:themeFill="background1" w:themeFillShade="F2"/>
          </w:tcPr>
          <w:p w:rsidR="00D7306D" w:rsidRPr="000F3B19" w:rsidRDefault="00D7306D" w:rsidP="00D7306D">
            <w:pPr>
              <w:spacing w:before="120" w:after="60"/>
              <w:ind w:firstLine="0"/>
              <w:contextualSpacing/>
              <w:jc w:val="left"/>
              <w:rPr>
                <w:szCs w:val="24"/>
                <w:lang w:eastAsia="x-none"/>
              </w:rPr>
            </w:pPr>
          </w:p>
        </w:tc>
      </w:tr>
      <w:tr w:rsidR="00D7306D" w:rsidRPr="000F3B19" w:rsidTr="00D7306D">
        <w:trPr>
          <w:trHeight w:val="769"/>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Субсидии на производство (реализацию) продукции, возмещение недополученных доходов (фактически понесенных затрат)</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631, 632, 633, 811, 812, 813</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Субсидии на выполнение социального заказа</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635, 816</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Гранты в форме субсидий</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634, 814</w:t>
            </w:r>
          </w:p>
        </w:tc>
      </w:tr>
      <w:tr w:rsidR="00D7306D" w:rsidRPr="000F3B19" w:rsidTr="00D7306D">
        <w:trPr>
          <w:trHeight w:val="427"/>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Субсидии на осуществление капитальных вложений</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463, 466, 815, 821, 825, 450, 451, 452, 453, 454</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Субсидии госкорпорациям в виде имущественного взноса</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822</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Субсидии госкорпорациям на выполнение возложенных полномочий и на иные цели</w:t>
            </w:r>
          </w:p>
        </w:tc>
        <w:tc>
          <w:tcPr>
            <w:tcW w:w="1757" w:type="pct"/>
          </w:tcPr>
          <w:p w:rsidR="00D7306D" w:rsidRPr="000F3B19" w:rsidRDefault="00D7306D" w:rsidP="00D7306D">
            <w:pPr>
              <w:spacing w:before="120" w:after="60"/>
              <w:ind w:firstLine="0"/>
              <w:contextualSpacing/>
              <w:jc w:val="left"/>
              <w:rPr>
                <w:szCs w:val="24"/>
                <w:lang w:eastAsia="x-none"/>
              </w:rPr>
            </w:pPr>
            <w:r w:rsidRPr="000F3B19">
              <w:rPr>
                <w:szCs w:val="24"/>
                <w:lang w:eastAsia="x-none"/>
              </w:rPr>
              <w:t>823, 824</w:t>
            </w:r>
          </w:p>
        </w:tc>
      </w:tr>
      <w:tr w:rsidR="00D7306D" w:rsidRPr="000F3B19" w:rsidTr="00D7306D">
        <w:trPr>
          <w:tblHeader/>
        </w:trPr>
        <w:tc>
          <w:tcPr>
            <w:tcW w:w="487" w:type="pct"/>
            <w:shd w:val="clear" w:color="auto" w:fill="F2F2F2" w:themeFill="background1" w:themeFillShade="F2"/>
          </w:tcPr>
          <w:p w:rsidR="00D7306D" w:rsidRPr="000F3B19" w:rsidRDefault="00D7306D" w:rsidP="005C6E50">
            <w:pPr>
              <w:pStyle w:val="afff6"/>
              <w:numPr>
                <w:ilvl w:val="0"/>
                <w:numId w:val="124"/>
              </w:numPr>
              <w:spacing w:before="120" w:after="60"/>
              <w:ind w:left="426"/>
              <w:contextualSpacing/>
              <w:jc w:val="left"/>
              <w:rPr>
                <w:sz w:val="24"/>
                <w:szCs w:val="24"/>
                <w:lang w:eastAsia="x-none"/>
              </w:rPr>
            </w:pPr>
          </w:p>
        </w:tc>
        <w:tc>
          <w:tcPr>
            <w:tcW w:w="2756" w:type="pct"/>
            <w:shd w:val="clear" w:color="auto" w:fill="F2F2F2" w:themeFill="background1" w:themeFillShade="F2"/>
          </w:tcPr>
          <w:p w:rsidR="00D7306D" w:rsidRPr="005A2A37" w:rsidRDefault="00D7306D" w:rsidP="00D7306D">
            <w:pPr>
              <w:spacing w:before="120" w:after="60"/>
              <w:ind w:firstLine="0"/>
              <w:contextualSpacing/>
              <w:jc w:val="left"/>
              <w:rPr>
                <w:b/>
                <w:szCs w:val="24"/>
                <w:lang w:eastAsia="x-none"/>
              </w:rPr>
            </w:pPr>
            <w:r w:rsidRPr="005A2A37">
              <w:rPr>
                <w:b/>
                <w:szCs w:val="24"/>
                <w:lang w:eastAsia="x-none"/>
              </w:rPr>
              <w:t>Субсидии бюджетным (автономным) учреждениям</w:t>
            </w:r>
          </w:p>
        </w:tc>
        <w:tc>
          <w:tcPr>
            <w:tcW w:w="1757" w:type="pct"/>
            <w:shd w:val="clear" w:color="auto" w:fill="F2F2F2" w:themeFill="background1" w:themeFillShade="F2"/>
          </w:tcPr>
          <w:p w:rsidR="00D7306D" w:rsidRPr="000F3B19" w:rsidRDefault="00D7306D" w:rsidP="00D7306D">
            <w:pPr>
              <w:spacing w:before="120" w:after="60"/>
              <w:ind w:firstLine="0"/>
              <w:contextualSpacing/>
              <w:jc w:val="left"/>
              <w:rPr>
                <w:szCs w:val="24"/>
                <w:lang w:eastAsia="x-none"/>
              </w:rPr>
            </w:pP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Субсидии на выполнение государственного задания</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611, 621, 614, 624</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Субсидии на иные цели</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612, 622</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Гранты в форме субсидий</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613, 623</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Субсидии на осуществление капитальных вложений</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461, 462, 464, 465</w:t>
            </w:r>
          </w:p>
        </w:tc>
      </w:tr>
      <w:tr w:rsidR="00D7306D" w:rsidRPr="000F3B19" w:rsidTr="00D7306D">
        <w:trPr>
          <w:tblHeader/>
        </w:trPr>
        <w:tc>
          <w:tcPr>
            <w:tcW w:w="487" w:type="pct"/>
            <w:shd w:val="clear" w:color="auto" w:fill="F2F2F2" w:themeFill="background1" w:themeFillShade="F2"/>
          </w:tcPr>
          <w:p w:rsidR="00D7306D" w:rsidRPr="000F3B19" w:rsidRDefault="00D7306D" w:rsidP="005C6E50">
            <w:pPr>
              <w:pStyle w:val="afff6"/>
              <w:numPr>
                <w:ilvl w:val="0"/>
                <w:numId w:val="124"/>
              </w:numPr>
              <w:spacing w:before="120" w:after="60"/>
              <w:ind w:left="426"/>
              <w:contextualSpacing/>
              <w:jc w:val="left"/>
              <w:rPr>
                <w:sz w:val="24"/>
                <w:szCs w:val="24"/>
                <w:lang w:eastAsia="x-none"/>
              </w:rPr>
            </w:pPr>
          </w:p>
        </w:tc>
        <w:tc>
          <w:tcPr>
            <w:tcW w:w="2756" w:type="pct"/>
            <w:shd w:val="clear" w:color="auto" w:fill="F2F2F2" w:themeFill="background1" w:themeFillShade="F2"/>
          </w:tcPr>
          <w:p w:rsidR="00D7306D" w:rsidRPr="005A2A37" w:rsidRDefault="00D7306D" w:rsidP="00D7306D">
            <w:pPr>
              <w:spacing w:before="120" w:after="60"/>
              <w:ind w:firstLine="0"/>
              <w:contextualSpacing/>
              <w:jc w:val="left"/>
              <w:rPr>
                <w:b/>
                <w:szCs w:val="24"/>
                <w:lang w:eastAsia="x-none"/>
              </w:rPr>
            </w:pPr>
            <w:r w:rsidRPr="005A2A37">
              <w:rPr>
                <w:b/>
                <w:szCs w:val="24"/>
                <w:lang w:eastAsia="x-none"/>
              </w:rPr>
              <w:t>Межбюджетные трансферты субъектам РФ</w:t>
            </w:r>
          </w:p>
        </w:tc>
        <w:tc>
          <w:tcPr>
            <w:tcW w:w="1757" w:type="pct"/>
            <w:shd w:val="clear" w:color="auto" w:fill="F2F2F2" w:themeFill="background1" w:themeFillShade="F2"/>
          </w:tcPr>
          <w:p w:rsidR="00D7306D" w:rsidRPr="000F3B19" w:rsidRDefault="00D7306D" w:rsidP="00D7306D">
            <w:pPr>
              <w:spacing w:before="120" w:after="60"/>
              <w:ind w:firstLine="0"/>
              <w:contextualSpacing/>
              <w:jc w:val="left"/>
              <w:rPr>
                <w:szCs w:val="24"/>
                <w:lang w:eastAsia="x-none"/>
              </w:rPr>
            </w:pP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Субсидии бюджету субъекта Российской Федерации</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521, 522, 523</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Иной межбюджетный трансферт, имеющий целевое назначение</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540</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Иные дотации</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512</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Субвенции</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530</w:t>
            </w: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Дотации на выравнивание бюджетной обеспеченности</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511</w:t>
            </w:r>
          </w:p>
        </w:tc>
      </w:tr>
      <w:tr w:rsidR="00D7306D" w:rsidRPr="000F3B19" w:rsidTr="00D7306D">
        <w:trPr>
          <w:tblHeader/>
        </w:trPr>
        <w:tc>
          <w:tcPr>
            <w:tcW w:w="487" w:type="pct"/>
            <w:shd w:val="clear" w:color="auto" w:fill="F2F2F2" w:themeFill="background1" w:themeFillShade="F2"/>
          </w:tcPr>
          <w:p w:rsidR="00D7306D" w:rsidRPr="000F3B19" w:rsidRDefault="00D7306D" w:rsidP="005C6E50">
            <w:pPr>
              <w:pStyle w:val="afff6"/>
              <w:numPr>
                <w:ilvl w:val="0"/>
                <w:numId w:val="124"/>
              </w:numPr>
              <w:spacing w:before="120" w:after="60"/>
              <w:ind w:left="426"/>
              <w:contextualSpacing/>
              <w:jc w:val="left"/>
              <w:rPr>
                <w:sz w:val="24"/>
                <w:szCs w:val="24"/>
                <w:lang w:eastAsia="x-none"/>
              </w:rPr>
            </w:pPr>
          </w:p>
        </w:tc>
        <w:tc>
          <w:tcPr>
            <w:tcW w:w="2756" w:type="pct"/>
            <w:shd w:val="clear" w:color="auto" w:fill="F2F2F2" w:themeFill="background1" w:themeFillShade="F2"/>
          </w:tcPr>
          <w:p w:rsidR="00D7306D" w:rsidRPr="005A2A37" w:rsidRDefault="00D7306D" w:rsidP="00D7306D">
            <w:pPr>
              <w:spacing w:before="120" w:after="60"/>
              <w:ind w:firstLine="0"/>
              <w:contextualSpacing/>
              <w:jc w:val="left"/>
              <w:rPr>
                <w:b/>
                <w:szCs w:val="24"/>
                <w:lang w:eastAsia="x-none"/>
              </w:rPr>
            </w:pPr>
            <w:r w:rsidRPr="005A2A37">
              <w:rPr>
                <w:b/>
                <w:szCs w:val="24"/>
                <w:lang w:eastAsia="x-none"/>
              </w:rPr>
              <w:t>Межбюджетные трансферты внебюджетным фондам</w:t>
            </w:r>
          </w:p>
        </w:tc>
        <w:tc>
          <w:tcPr>
            <w:tcW w:w="1757" w:type="pct"/>
            <w:shd w:val="clear" w:color="auto" w:fill="F2F2F2" w:themeFill="background1" w:themeFillShade="F2"/>
          </w:tcPr>
          <w:p w:rsidR="00D7306D" w:rsidRPr="000F3B19" w:rsidRDefault="00D7306D" w:rsidP="00D7306D">
            <w:pPr>
              <w:spacing w:before="120" w:after="60"/>
              <w:ind w:firstLine="0"/>
              <w:contextualSpacing/>
              <w:jc w:val="left"/>
              <w:rPr>
                <w:szCs w:val="24"/>
                <w:lang w:eastAsia="x-none"/>
              </w:rPr>
            </w:pPr>
          </w:p>
        </w:tc>
      </w:tr>
      <w:tr w:rsidR="00D7306D" w:rsidRPr="000F3B19" w:rsidTr="00D7306D">
        <w:trPr>
          <w:tblHeader/>
        </w:trPr>
        <w:tc>
          <w:tcPr>
            <w:tcW w:w="487" w:type="pct"/>
          </w:tcPr>
          <w:p w:rsidR="00D7306D" w:rsidRPr="000F3B19" w:rsidRDefault="00D7306D" w:rsidP="005C6E50">
            <w:pPr>
              <w:pStyle w:val="afff6"/>
              <w:numPr>
                <w:ilvl w:val="1"/>
                <w:numId w:val="124"/>
              </w:numPr>
              <w:spacing w:before="120" w:after="60"/>
              <w:ind w:left="426"/>
              <w:contextualSpacing/>
              <w:jc w:val="left"/>
              <w:rPr>
                <w:sz w:val="24"/>
                <w:szCs w:val="24"/>
                <w:lang w:eastAsia="x-none"/>
              </w:rPr>
            </w:pPr>
          </w:p>
        </w:tc>
        <w:tc>
          <w:tcPr>
            <w:tcW w:w="2756" w:type="pct"/>
          </w:tcPr>
          <w:p w:rsidR="00D7306D" w:rsidRPr="005A2A37" w:rsidRDefault="00D7306D" w:rsidP="00D7306D">
            <w:pPr>
              <w:spacing w:before="120" w:after="60"/>
              <w:ind w:firstLine="0"/>
              <w:contextualSpacing/>
              <w:jc w:val="left"/>
              <w:rPr>
                <w:szCs w:val="24"/>
                <w:lang w:eastAsia="x-none"/>
              </w:rPr>
            </w:pPr>
            <w:r w:rsidRPr="005A2A37">
              <w:rPr>
                <w:szCs w:val="24"/>
                <w:lang w:eastAsia="x-none"/>
              </w:rPr>
              <w:t>Межбюджетные трансферты внебюджетным фондам</w:t>
            </w:r>
          </w:p>
        </w:tc>
        <w:tc>
          <w:tcPr>
            <w:tcW w:w="1757" w:type="pct"/>
          </w:tcPr>
          <w:p w:rsidR="00D7306D" w:rsidRPr="000F3B19" w:rsidRDefault="00D7306D" w:rsidP="00D7306D">
            <w:pPr>
              <w:spacing w:before="120" w:after="60"/>
              <w:ind w:firstLine="0"/>
              <w:contextualSpacing/>
              <w:jc w:val="left"/>
              <w:rPr>
                <w:szCs w:val="24"/>
                <w:lang w:eastAsia="x-none"/>
              </w:rPr>
            </w:pPr>
            <w:r w:rsidRPr="005A2A37">
              <w:rPr>
                <w:szCs w:val="24"/>
                <w:lang w:eastAsia="x-none"/>
              </w:rPr>
              <w:t>550, 560, 570, 580</w:t>
            </w:r>
          </w:p>
        </w:tc>
      </w:tr>
    </w:tbl>
    <w:p w:rsidR="00D7306D" w:rsidRDefault="00D7306D" w:rsidP="00286AED">
      <w:pPr>
        <w:pStyle w:val="42"/>
        <w:keepNext/>
      </w:pPr>
      <w:bookmarkStart w:id="680" w:name="_Toc61356788"/>
      <w:bookmarkStart w:id="681" w:name="_Ref80534617"/>
      <w:bookmarkStart w:id="682" w:name="_Toc80789103"/>
      <w:r>
        <w:t xml:space="preserve">Справочник </w:t>
      </w:r>
      <w:r w:rsidRPr="00286AED">
        <w:rPr>
          <w:rStyle w:val="47"/>
        </w:rPr>
        <w:t>«</w:t>
      </w:r>
      <w:r>
        <w:t>Мероприятий»</w:t>
      </w:r>
      <w:bookmarkEnd w:id="680"/>
      <w:bookmarkEnd w:id="681"/>
      <w:bookmarkEnd w:id="682"/>
    </w:p>
    <w:p w:rsidR="00D7306D" w:rsidRDefault="00D7306D" w:rsidP="00286AED">
      <w:pPr>
        <w:pStyle w:val="af0"/>
      </w:pPr>
      <w:r w:rsidRPr="00CB2D31">
        <w:t>Перечень социально-значимых мероприятий для ведения мониторинга Центром мониторинга национальных проектов</w:t>
      </w:r>
      <w:r>
        <w:t xml:space="preserve"> представлен в таблице </w:t>
      </w:r>
      <w:r>
        <w:fldChar w:fldCharType="begin"/>
      </w:r>
      <w:r>
        <w:instrText xml:space="preserve"> REF табл18 \h </w:instrText>
      </w:r>
      <w:r w:rsidR="00286AED">
        <w:instrText xml:space="preserve"> \* MERGEFORMAT </w:instrText>
      </w:r>
      <w:r>
        <w:fldChar w:fldCharType="separate"/>
      </w:r>
      <w:r w:rsidR="00BF0BEE">
        <w:rPr>
          <w:noProof/>
        </w:rPr>
        <w:t>34</w:t>
      </w:r>
      <w:r>
        <w:fldChar w:fldCharType="end"/>
      </w:r>
      <w:r w:rsidRPr="00CB2D31">
        <w:t>.</w:t>
      </w:r>
    </w:p>
    <w:p w:rsidR="00D7306D" w:rsidRPr="00E07EED" w:rsidRDefault="00D7306D" w:rsidP="00D7306D">
      <w:pPr>
        <w:pStyle w:val="-"/>
      </w:pPr>
      <w:bookmarkStart w:id="683" w:name="_Toc80789121"/>
      <w:bookmarkStart w:id="684" w:name="_Toc119585175"/>
      <w:r>
        <w:t xml:space="preserve">Таблица </w:t>
      </w:r>
      <w:bookmarkStart w:id="685" w:name="табл18"/>
      <w:r>
        <w:fldChar w:fldCharType="begin"/>
      </w:r>
      <w:r>
        <w:instrText xml:space="preserve"> SEQ Таблица \* ARABIC </w:instrText>
      </w:r>
      <w:r>
        <w:fldChar w:fldCharType="separate"/>
      </w:r>
      <w:r w:rsidR="00BF0BEE">
        <w:rPr>
          <w:noProof/>
        </w:rPr>
        <w:t>34</w:t>
      </w:r>
      <w:r>
        <w:fldChar w:fldCharType="end"/>
      </w:r>
      <w:bookmarkEnd w:id="685"/>
      <w:r>
        <w:t xml:space="preserve"> – </w:t>
      </w:r>
      <w:r w:rsidRPr="00CB2D31">
        <w:rPr>
          <w:lang w:eastAsia="x-none"/>
        </w:rPr>
        <w:t>Перечень социально-значимых мероприятий</w:t>
      </w:r>
      <w:bookmarkEnd w:id="683"/>
      <w:bookmarkEnd w:id="684"/>
    </w:p>
    <w:tbl>
      <w:tblPr>
        <w:tblStyle w:val="affe"/>
        <w:tblW w:w="5000" w:type="pct"/>
        <w:tblLook w:val="04A0" w:firstRow="1" w:lastRow="0" w:firstColumn="1" w:lastColumn="0" w:noHBand="0" w:noVBand="1"/>
      </w:tblPr>
      <w:tblGrid>
        <w:gridCol w:w="3734"/>
        <w:gridCol w:w="6119"/>
      </w:tblGrid>
      <w:tr w:rsidR="00D7306D" w:rsidRPr="00D7306D" w:rsidTr="00D7306D">
        <w:trPr>
          <w:trHeight w:val="687"/>
          <w:tblHeader/>
        </w:trPr>
        <w:tc>
          <w:tcPr>
            <w:tcW w:w="1895" w:type="pct"/>
            <w:shd w:val="clear" w:color="auto" w:fill="BFBFBF" w:themeFill="background1" w:themeFillShade="BF"/>
            <w:vAlign w:val="center"/>
          </w:tcPr>
          <w:p w:rsidR="00D7306D" w:rsidRPr="00D7306D" w:rsidRDefault="00D7306D" w:rsidP="00D7306D">
            <w:pPr>
              <w:pStyle w:val="affff2"/>
              <w:ind w:firstLine="0"/>
              <w:jc w:val="center"/>
              <w:rPr>
                <w:b/>
                <w:sz w:val="24"/>
              </w:rPr>
            </w:pPr>
            <w:r w:rsidRPr="00D7306D">
              <w:rPr>
                <w:b/>
                <w:sz w:val="24"/>
              </w:rPr>
              <w:t>Наименование мероприятия</w:t>
            </w:r>
          </w:p>
        </w:tc>
        <w:tc>
          <w:tcPr>
            <w:tcW w:w="3105" w:type="pct"/>
            <w:shd w:val="clear" w:color="auto" w:fill="BFBFBF" w:themeFill="background1" w:themeFillShade="BF"/>
            <w:vAlign w:val="center"/>
          </w:tcPr>
          <w:p w:rsidR="00D7306D" w:rsidRPr="00D7306D" w:rsidRDefault="00D7306D" w:rsidP="00D7306D">
            <w:pPr>
              <w:pStyle w:val="affff2"/>
              <w:ind w:firstLine="0"/>
              <w:jc w:val="center"/>
              <w:rPr>
                <w:b/>
                <w:sz w:val="24"/>
              </w:rPr>
            </w:pPr>
            <w:r w:rsidRPr="00D7306D">
              <w:rPr>
                <w:b/>
                <w:sz w:val="24"/>
              </w:rPr>
              <w:t>КЦСР</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и капитальный ремонт школ</w:t>
            </w:r>
          </w:p>
        </w:tc>
        <w:tc>
          <w:tcPr>
            <w:tcW w:w="3105" w:type="pct"/>
          </w:tcPr>
          <w:p w:rsidR="00D7306D" w:rsidRPr="00D7306D" w:rsidRDefault="00D7306D" w:rsidP="00D7306D">
            <w:pPr>
              <w:pStyle w:val="affff2"/>
              <w:ind w:firstLine="0"/>
              <w:rPr>
                <w:sz w:val="24"/>
              </w:rPr>
            </w:pPr>
            <w:r w:rsidRPr="00D7306D">
              <w:rPr>
                <w:sz w:val="24"/>
              </w:rPr>
              <w:t>022E152300 - Создание новых мест в общеобразовательных организациях, расположенных в сельской местности и поселках городского типа</w:t>
            </w:r>
          </w:p>
          <w:p w:rsidR="00D7306D" w:rsidRPr="00D7306D" w:rsidRDefault="00D7306D" w:rsidP="00D7306D">
            <w:pPr>
              <w:pStyle w:val="affff2"/>
              <w:ind w:firstLine="0"/>
              <w:rPr>
                <w:sz w:val="24"/>
              </w:rPr>
            </w:pPr>
            <w:r w:rsidRPr="00D7306D">
              <w:rPr>
                <w:sz w:val="24"/>
              </w:rPr>
              <w:t>022E152390 - Модернизация инфраструктуры общего образования в отдельных субъектах Российской Федерации</w:t>
            </w:r>
          </w:p>
          <w:p w:rsidR="00D7306D" w:rsidRPr="00D7306D" w:rsidRDefault="00D7306D" w:rsidP="00D7306D">
            <w:pPr>
              <w:pStyle w:val="affff2"/>
              <w:ind w:firstLine="0"/>
              <w:rPr>
                <w:sz w:val="24"/>
              </w:rPr>
            </w:pPr>
            <w:r w:rsidRPr="00D7306D">
              <w:rPr>
                <w:sz w:val="24"/>
              </w:rPr>
              <w:t>022E154900 -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p w:rsidR="00D7306D" w:rsidRPr="00D7306D" w:rsidRDefault="00D7306D" w:rsidP="00D7306D">
            <w:pPr>
              <w:pStyle w:val="affff2"/>
              <w:ind w:firstLine="0"/>
              <w:rPr>
                <w:sz w:val="24"/>
              </w:rPr>
            </w:pPr>
            <w:r w:rsidRPr="00D7306D">
              <w:rPr>
                <w:sz w:val="24"/>
              </w:rPr>
              <w:t>022E155200 - Создание новых мест в общеобразовательных организациях</w:t>
            </w:r>
          </w:p>
          <w:p w:rsidR="00D7306D" w:rsidRPr="00D7306D" w:rsidRDefault="00D7306D" w:rsidP="00D7306D">
            <w:pPr>
              <w:pStyle w:val="affff2"/>
              <w:ind w:firstLine="0"/>
              <w:rPr>
                <w:sz w:val="24"/>
              </w:rPr>
            </w:pPr>
            <w:r w:rsidRPr="00D7306D">
              <w:rPr>
                <w:sz w:val="24"/>
              </w:rPr>
              <w:t>022E15520F - Создание новых мест в общеобразовательных организациях за счет средств резервного фонда Правительства Российской Федерации</w:t>
            </w:r>
          </w:p>
          <w:p w:rsidR="00D7306D" w:rsidRPr="00D7306D" w:rsidRDefault="00D7306D" w:rsidP="00D7306D">
            <w:pPr>
              <w:pStyle w:val="affff2"/>
              <w:ind w:firstLine="0"/>
              <w:rPr>
                <w:sz w:val="24"/>
              </w:rPr>
            </w:pPr>
            <w:r w:rsidRPr="00D7306D">
              <w:rPr>
                <w:sz w:val="24"/>
              </w:rPr>
              <w:t>359E155230 - Реализация мероприятий по социально-экономическому развитию субъектов Российской Федерации, входящих в состав Северо-Кавказского федерального округа</w:t>
            </w:r>
          </w:p>
          <w:p w:rsidR="00D7306D" w:rsidRPr="00D7306D" w:rsidRDefault="00D7306D" w:rsidP="00D7306D">
            <w:pPr>
              <w:pStyle w:val="affff2"/>
              <w:ind w:firstLine="0"/>
              <w:rPr>
                <w:sz w:val="24"/>
              </w:rPr>
            </w:pPr>
            <w:r w:rsidRPr="00D7306D">
              <w:rPr>
                <w:sz w:val="24"/>
              </w:rPr>
              <w:t>022E155670 - Обеспечение устойчивого развития сельских территорий</w:t>
            </w:r>
          </w:p>
          <w:p w:rsidR="00D7306D" w:rsidRPr="00D7306D" w:rsidRDefault="00D7306D" w:rsidP="00D7306D">
            <w:pPr>
              <w:pStyle w:val="affff2"/>
              <w:ind w:firstLine="0"/>
              <w:rPr>
                <w:sz w:val="24"/>
              </w:rPr>
            </w:pPr>
            <w:r w:rsidRPr="00D7306D">
              <w:rPr>
                <w:sz w:val="24"/>
              </w:rPr>
              <w:t>0220256800 - Иные межбюджетные трансферты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w:t>
            </w:r>
          </w:p>
          <w:p w:rsidR="00D7306D" w:rsidRPr="00D7306D" w:rsidRDefault="00D7306D" w:rsidP="00D7306D">
            <w:pPr>
              <w:pStyle w:val="affff2"/>
              <w:ind w:firstLine="0"/>
              <w:rPr>
                <w:sz w:val="24"/>
              </w:rPr>
            </w:pPr>
            <w:r w:rsidRPr="00D7306D">
              <w:rPr>
                <w:sz w:val="24"/>
              </w:rPr>
              <w:t>022E152390 - Модернизация инфраструктуры общего образования в отдельных субъектах Российской Федерации</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и капитальный ремонт дошкольных образовательных организаций</w:t>
            </w:r>
          </w:p>
        </w:tc>
        <w:tc>
          <w:tcPr>
            <w:tcW w:w="3105" w:type="pct"/>
          </w:tcPr>
          <w:p w:rsidR="00D7306D" w:rsidRPr="00D7306D" w:rsidRDefault="00D7306D" w:rsidP="00D7306D">
            <w:pPr>
              <w:pStyle w:val="affff2"/>
              <w:ind w:firstLine="0"/>
              <w:rPr>
                <w:sz w:val="24"/>
              </w:rPr>
            </w:pPr>
            <w:r w:rsidRPr="00D7306D">
              <w:rPr>
                <w:sz w:val="24"/>
              </w:rPr>
              <w:t>022P252320 -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D7306D" w:rsidRPr="00D7306D" w:rsidRDefault="00D7306D" w:rsidP="00D7306D">
            <w:pPr>
              <w:pStyle w:val="affff2"/>
              <w:ind w:firstLine="0"/>
              <w:rPr>
                <w:sz w:val="24"/>
              </w:rPr>
            </w:pPr>
            <w:r w:rsidRPr="00D7306D">
              <w:rPr>
                <w:sz w:val="24"/>
              </w:rPr>
              <w:t>051P252320 -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D7306D" w:rsidRPr="00D7306D" w:rsidRDefault="00D7306D" w:rsidP="00D7306D">
            <w:pPr>
              <w:pStyle w:val="affff2"/>
              <w:ind w:firstLine="0"/>
              <w:rPr>
                <w:sz w:val="24"/>
              </w:rPr>
            </w:pPr>
            <w:r w:rsidRPr="00D7306D">
              <w:rPr>
                <w:sz w:val="24"/>
              </w:rPr>
              <w:t>22P251590 -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D7306D" w:rsidRPr="00D7306D" w:rsidRDefault="00D7306D" w:rsidP="00D7306D">
            <w:pPr>
              <w:pStyle w:val="affff2"/>
              <w:ind w:firstLine="0"/>
              <w:rPr>
                <w:sz w:val="24"/>
              </w:rPr>
            </w:pPr>
            <w:r w:rsidRPr="00D7306D">
              <w:rPr>
                <w:sz w:val="24"/>
              </w:rPr>
              <w:t>021P252326 -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D7306D" w:rsidRPr="00D7306D" w:rsidRDefault="00D7306D" w:rsidP="00D7306D">
            <w:pPr>
              <w:pStyle w:val="affff2"/>
              <w:ind w:firstLine="0"/>
              <w:rPr>
                <w:sz w:val="24"/>
              </w:rPr>
            </w:pPr>
            <w:r w:rsidRPr="00D7306D">
              <w:rPr>
                <w:sz w:val="24"/>
              </w:rPr>
              <w:t>22P25159F -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и капитальный ремонт учреждений здравоохранения (поликлиник, амбулаторий, фельдшерско-акушерских пунктов, центральных и районных больниц)</w:t>
            </w:r>
          </w:p>
        </w:tc>
        <w:tc>
          <w:tcPr>
            <w:tcW w:w="3105" w:type="pct"/>
          </w:tcPr>
          <w:p w:rsidR="00D7306D" w:rsidRPr="00D7306D" w:rsidRDefault="00D7306D" w:rsidP="00D7306D">
            <w:pPr>
              <w:pStyle w:val="affff2"/>
              <w:ind w:firstLine="0"/>
              <w:rPr>
                <w:sz w:val="24"/>
              </w:rPr>
            </w:pPr>
            <w:r w:rsidRPr="00D7306D">
              <w:rPr>
                <w:sz w:val="24"/>
              </w:rPr>
              <w:t>01КN452460 Новое строительство или реконструкция детских больниц (корпусов)</w:t>
            </w:r>
          </w:p>
          <w:p w:rsidR="00D7306D" w:rsidRPr="00D7306D" w:rsidRDefault="00D7306D" w:rsidP="00D7306D">
            <w:pPr>
              <w:pStyle w:val="affff2"/>
              <w:ind w:firstLine="0"/>
              <w:rPr>
                <w:sz w:val="24"/>
              </w:rPr>
            </w:pPr>
            <w:r w:rsidRPr="00D7306D">
              <w:rPr>
                <w:sz w:val="24"/>
              </w:rPr>
              <w:t>01КN155670 - Обеспечение устойчивого развития сельских территорий</w:t>
            </w:r>
          </w:p>
          <w:p w:rsidR="00D7306D" w:rsidRPr="00D7306D" w:rsidRDefault="00D7306D" w:rsidP="00D7306D">
            <w:pPr>
              <w:pStyle w:val="affff2"/>
              <w:ind w:firstLine="0"/>
              <w:rPr>
                <w:sz w:val="24"/>
              </w:rPr>
            </w:pPr>
            <w:r w:rsidRPr="00D7306D">
              <w:rPr>
                <w:sz w:val="24"/>
              </w:rPr>
              <w:t>01КN352270 - Новое строительство и реконструкция</w:t>
            </w:r>
          </w:p>
          <w:p w:rsidR="00D7306D" w:rsidRPr="00D7306D" w:rsidRDefault="00D7306D" w:rsidP="00D7306D">
            <w:pPr>
              <w:pStyle w:val="affff2"/>
              <w:ind w:firstLine="0"/>
              <w:rPr>
                <w:sz w:val="24"/>
              </w:rPr>
            </w:pPr>
            <w:r w:rsidRPr="00D7306D">
              <w:rPr>
                <w:sz w:val="24"/>
              </w:rPr>
              <w:t>01КN151960 -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D7306D" w:rsidRPr="00D7306D" w:rsidRDefault="00D7306D" w:rsidP="00D7306D">
            <w:pPr>
              <w:pStyle w:val="affff2"/>
              <w:ind w:firstLine="0"/>
              <w:rPr>
                <w:sz w:val="24"/>
              </w:rPr>
            </w:pPr>
            <w:r w:rsidRPr="00D7306D">
              <w:rPr>
                <w:sz w:val="24"/>
              </w:rPr>
              <w:t>01К0756100 - Иной межбюджетный трансферт на капитальный ремонт зданий медицинских организаций за счет средств резервного фонда Правительства Российской Федерации</w:t>
            </w:r>
          </w:p>
          <w:p w:rsidR="00D7306D" w:rsidRPr="00D7306D" w:rsidRDefault="00D7306D" w:rsidP="00D7306D">
            <w:pPr>
              <w:pStyle w:val="affff2"/>
              <w:ind w:firstLine="0"/>
              <w:rPr>
                <w:sz w:val="24"/>
              </w:rPr>
            </w:pPr>
            <w:r w:rsidRPr="00D7306D">
              <w:rPr>
                <w:sz w:val="24"/>
              </w:rPr>
              <w:t>01КN451110 - Субсидии на софинансирование капитальных вложений в объекты государственной собственности субъектов Российской Федерации</w:t>
            </w:r>
          </w:p>
          <w:p w:rsidR="00D7306D" w:rsidRPr="00D7306D" w:rsidRDefault="00D7306D" w:rsidP="00D7306D">
            <w:pPr>
              <w:pStyle w:val="affff2"/>
              <w:ind w:firstLine="0"/>
              <w:rPr>
                <w:sz w:val="24"/>
              </w:rPr>
            </w:pPr>
            <w:r w:rsidRPr="00D7306D">
              <w:rPr>
                <w:sz w:val="24"/>
              </w:rPr>
              <w:t>01КN151960 -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бассейнов при ВУЗах</w:t>
            </w:r>
          </w:p>
        </w:tc>
        <w:tc>
          <w:tcPr>
            <w:tcW w:w="3105" w:type="pct"/>
          </w:tcPr>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Создание объектов дополнительного образования детей (детских, в том числе мобильных, технопарков «Кванториум», центров «Точка роста», центров цифрового образования детей «IT-куб»)</w:t>
            </w:r>
          </w:p>
        </w:tc>
        <w:tc>
          <w:tcPr>
            <w:tcW w:w="3105" w:type="pct"/>
          </w:tcPr>
          <w:p w:rsidR="00D7306D" w:rsidRPr="00D7306D" w:rsidRDefault="00D7306D" w:rsidP="00D7306D">
            <w:pPr>
              <w:pStyle w:val="affff2"/>
              <w:ind w:firstLine="0"/>
              <w:rPr>
                <w:sz w:val="24"/>
              </w:rPr>
            </w:pPr>
            <w:r w:rsidRPr="00D7306D">
              <w:rPr>
                <w:sz w:val="24"/>
              </w:rPr>
              <w:t>024E251730 - Создание детских технопарков "Кванториум"</w:t>
            </w:r>
          </w:p>
          <w:p w:rsidR="00D7306D" w:rsidRPr="00D7306D" w:rsidRDefault="00D7306D" w:rsidP="00D7306D">
            <w:pPr>
              <w:pStyle w:val="affff2"/>
              <w:ind w:firstLine="0"/>
              <w:rPr>
                <w:sz w:val="24"/>
              </w:rPr>
            </w:pPr>
            <w:r w:rsidRPr="00D7306D">
              <w:rPr>
                <w:sz w:val="24"/>
              </w:rPr>
              <w:t>024E252470 - Создание мобильных технопарков "Кванториум"</w:t>
            </w:r>
          </w:p>
          <w:p w:rsidR="00D7306D" w:rsidRPr="00D7306D" w:rsidRDefault="00D7306D" w:rsidP="00D7306D">
            <w:pPr>
              <w:pStyle w:val="affff2"/>
              <w:ind w:firstLine="0"/>
              <w:rPr>
                <w:sz w:val="24"/>
              </w:rPr>
            </w:pPr>
            <w:r w:rsidRPr="00D7306D">
              <w:rPr>
                <w:sz w:val="24"/>
              </w:rPr>
              <w:t>024Е251750 - Создание ключевых центров развития детей</w:t>
            </w:r>
          </w:p>
          <w:p w:rsidR="00D7306D" w:rsidRPr="00D7306D" w:rsidRDefault="00D7306D" w:rsidP="00D7306D">
            <w:pPr>
              <w:pStyle w:val="affff2"/>
              <w:ind w:firstLine="0"/>
              <w:rPr>
                <w:sz w:val="24"/>
              </w:rPr>
            </w:pPr>
            <w:r w:rsidRPr="00D7306D">
              <w:rPr>
                <w:sz w:val="24"/>
              </w:rPr>
              <w:t>024Е452190 Создание центров цифрового образования детей</w:t>
            </w:r>
          </w:p>
          <w:p w:rsidR="00D7306D" w:rsidRPr="00D7306D" w:rsidRDefault="00D7306D" w:rsidP="00D7306D">
            <w:pPr>
              <w:pStyle w:val="affff2"/>
              <w:ind w:firstLine="0"/>
              <w:rPr>
                <w:sz w:val="24"/>
              </w:rPr>
            </w:pPr>
            <w:r w:rsidRPr="00D7306D">
              <w:rPr>
                <w:sz w:val="24"/>
              </w:rPr>
              <w:t>024Е451750 Создание ключевых центров развития детей</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Обновление подвижного состава наземного общественного пассажирского транспорта в городских агломерациях</w:t>
            </w:r>
          </w:p>
        </w:tc>
        <w:tc>
          <w:tcPr>
            <w:tcW w:w="3105" w:type="pct"/>
          </w:tcPr>
          <w:p w:rsidR="00D7306D" w:rsidRPr="00D7306D" w:rsidRDefault="00D7306D" w:rsidP="00D7306D">
            <w:pPr>
              <w:pStyle w:val="affff2"/>
              <w:ind w:firstLine="0"/>
              <w:rPr>
                <w:sz w:val="24"/>
              </w:rPr>
            </w:pPr>
            <w:r w:rsidRPr="00D7306D">
              <w:rPr>
                <w:sz w:val="24"/>
              </w:rPr>
              <w:t>248R260580 - Государственная поддержка обновления подвижного состава наземного общественного пассажирского транспорта (и при необходимости соответствующей  инфраструктуры)</w:t>
            </w:r>
          </w:p>
          <w:p w:rsidR="00D7306D" w:rsidRPr="00D7306D" w:rsidRDefault="00D7306D" w:rsidP="00D7306D">
            <w:pPr>
              <w:pStyle w:val="affff2"/>
              <w:ind w:firstLine="0"/>
              <w:rPr>
                <w:sz w:val="24"/>
              </w:rPr>
            </w:pPr>
            <w:r w:rsidRPr="00D7306D">
              <w:rPr>
                <w:sz w:val="24"/>
              </w:rPr>
              <w:t>248R204100 Обновление подвижного состава наземного общественного пассажирского транспорта в 20 крупнейших городских агломерациях (за исключением Московской и Санкт-Петербургской)</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Благоустройство дворовых и общественных пространств</w:t>
            </w:r>
          </w:p>
        </w:tc>
        <w:tc>
          <w:tcPr>
            <w:tcW w:w="3105" w:type="pct"/>
          </w:tcPr>
          <w:p w:rsidR="00D7306D" w:rsidRPr="00D7306D" w:rsidRDefault="00D7306D" w:rsidP="00D7306D">
            <w:pPr>
              <w:pStyle w:val="affff2"/>
              <w:ind w:firstLine="0"/>
              <w:rPr>
                <w:sz w:val="24"/>
              </w:rPr>
            </w:pPr>
            <w:r w:rsidRPr="00D7306D">
              <w:rPr>
                <w:sz w:val="24"/>
              </w:rPr>
              <w:t>052F255550 - Реализация программ формирования современной городской среды</w:t>
            </w:r>
          </w:p>
          <w:p w:rsidR="00D7306D" w:rsidRPr="00D7306D" w:rsidRDefault="00D7306D" w:rsidP="00D7306D">
            <w:pPr>
              <w:pStyle w:val="affff2"/>
              <w:ind w:firstLine="0"/>
              <w:rPr>
                <w:sz w:val="24"/>
              </w:rPr>
            </w:pPr>
            <w:r w:rsidRPr="00D7306D">
              <w:rPr>
                <w:sz w:val="24"/>
              </w:rPr>
              <w:t>243В164371 - Субсидия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в Солнечногорском районе Московской области</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D7306D" w:rsidRPr="00D7306D" w:rsidRDefault="00D7306D" w:rsidP="005C6E50">
            <w:pPr>
              <w:pStyle w:val="affff2"/>
              <w:numPr>
                <w:ilvl w:val="0"/>
                <w:numId w:val="126"/>
              </w:numPr>
              <w:rPr>
                <w:sz w:val="24"/>
              </w:rPr>
            </w:pPr>
            <w:r w:rsidRPr="00D7306D">
              <w:rPr>
                <w:sz w:val="24"/>
              </w:rPr>
              <w:t>(ремонт спортивных залов в школах)</w:t>
            </w:r>
          </w:p>
        </w:tc>
        <w:tc>
          <w:tcPr>
            <w:tcW w:w="3105" w:type="pct"/>
          </w:tcPr>
          <w:p w:rsidR="00D7306D" w:rsidRPr="00D7306D" w:rsidRDefault="00D7306D" w:rsidP="00D7306D">
            <w:pPr>
              <w:pStyle w:val="affff2"/>
              <w:ind w:firstLine="0"/>
              <w:rPr>
                <w:sz w:val="24"/>
              </w:rPr>
            </w:pPr>
            <w:r w:rsidRPr="00D7306D">
              <w:rPr>
                <w:sz w:val="24"/>
              </w:rPr>
              <w:t>022E250970 -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 xml:space="preserve">Строительство физкультурно-оздоровительных комплексов </w:t>
            </w:r>
          </w:p>
        </w:tc>
        <w:tc>
          <w:tcPr>
            <w:tcW w:w="3105" w:type="pct"/>
          </w:tcPr>
          <w:p w:rsidR="00D7306D" w:rsidRPr="00D7306D" w:rsidRDefault="00D7306D" w:rsidP="00D7306D">
            <w:pPr>
              <w:pStyle w:val="affff2"/>
              <w:ind w:firstLine="0"/>
              <w:rPr>
                <w:sz w:val="24"/>
              </w:rPr>
            </w:pPr>
            <w:r w:rsidRPr="00D7306D">
              <w:rPr>
                <w:sz w:val="24"/>
              </w:rPr>
              <w:t>131Р555670 - Обеспечение устойчивого развития сельских территорий</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физкультурно-оздоровительных комплексов открытого типа</w:t>
            </w:r>
          </w:p>
        </w:tc>
        <w:tc>
          <w:tcPr>
            <w:tcW w:w="3105" w:type="pct"/>
          </w:tcPr>
          <w:p w:rsidR="00D7306D" w:rsidRPr="00D7306D" w:rsidRDefault="00D7306D" w:rsidP="00D7306D">
            <w:pPr>
              <w:pStyle w:val="affff2"/>
              <w:ind w:firstLine="0"/>
              <w:rPr>
                <w:sz w:val="24"/>
              </w:rPr>
            </w:pPr>
            <w:r w:rsidRPr="00D7306D">
              <w:rPr>
                <w:sz w:val="24"/>
              </w:rPr>
              <w:t>136P554950 - Реализация федеральной целевой программы "Развитие физической культуры и спорта в Российской Федерации на 2016 - 2020 годы"</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крытых футбольных манежей</w:t>
            </w:r>
          </w:p>
        </w:tc>
        <w:tc>
          <w:tcPr>
            <w:tcW w:w="3105" w:type="pct"/>
          </w:tcPr>
          <w:p w:rsidR="00D7306D" w:rsidRPr="00D7306D" w:rsidRDefault="00D7306D" w:rsidP="00D7306D">
            <w:pPr>
              <w:pStyle w:val="affff2"/>
              <w:ind w:firstLine="0"/>
              <w:rPr>
                <w:sz w:val="24"/>
              </w:rPr>
            </w:pPr>
            <w:r w:rsidRPr="00D7306D">
              <w:rPr>
                <w:sz w:val="24"/>
              </w:rPr>
              <w:t>131P551390 -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p w:rsidR="00D7306D" w:rsidRPr="00D7306D" w:rsidRDefault="00D7306D" w:rsidP="00D7306D">
            <w:pPr>
              <w:pStyle w:val="affff2"/>
              <w:ind w:firstLine="0"/>
              <w:rPr>
                <w:sz w:val="24"/>
              </w:rPr>
            </w:pPr>
            <w:r w:rsidRPr="00D7306D">
              <w:rPr>
                <w:sz w:val="24"/>
              </w:rPr>
              <w:t>138P551390 -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крытых катков с искусственным льдом</w:t>
            </w:r>
          </w:p>
        </w:tc>
        <w:tc>
          <w:tcPr>
            <w:tcW w:w="3105" w:type="pct"/>
          </w:tcPr>
          <w:p w:rsidR="00D7306D" w:rsidRPr="00D7306D" w:rsidRDefault="00D7306D" w:rsidP="00D7306D">
            <w:pPr>
              <w:pStyle w:val="affff2"/>
              <w:ind w:firstLine="0"/>
              <w:rPr>
                <w:sz w:val="24"/>
              </w:rPr>
            </w:pPr>
            <w:r w:rsidRPr="00D7306D">
              <w:rPr>
                <w:sz w:val="24"/>
              </w:rPr>
              <w:t>137P551390 -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p w:rsidR="00D7306D" w:rsidRPr="00D7306D" w:rsidRDefault="00D7306D" w:rsidP="00D7306D">
            <w:pPr>
              <w:pStyle w:val="affff2"/>
              <w:ind w:firstLine="0"/>
              <w:rPr>
                <w:sz w:val="24"/>
              </w:rPr>
            </w:pPr>
            <w:r w:rsidRPr="00D7306D">
              <w:rPr>
                <w:sz w:val="24"/>
              </w:rPr>
              <w:t>138P551390 - 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p>
          <w:p w:rsidR="00D7306D" w:rsidRPr="00D7306D" w:rsidRDefault="00D7306D" w:rsidP="00D7306D">
            <w:pPr>
              <w:pStyle w:val="affff2"/>
              <w:ind w:firstLine="0"/>
              <w:rPr>
                <w:sz w:val="24"/>
              </w:rPr>
            </w:pPr>
            <w:r w:rsidRPr="00D7306D">
              <w:rPr>
                <w:sz w:val="24"/>
              </w:rPr>
              <w:t>136P554950 - Реализация федеральной целевой программы "Развитие физической культуры и спорта в Российской Федерации на 2016 - 2020 годы"</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Строительство региональных хоккейных центров</w:t>
            </w:r>
          </w:p>
        </w:tc>
        <w:tc>
          <w:tcPr>
            <w:tcW w:w="3105" w:type="pct"/>
          </w:tcPr>
          <w:p w:rsidR="00D7306D" w:rsidRPr="00D7306D" w:rsidRDefault="00D7306D" w:rsidP="00D7306D">
            <w:pPr>
              <w:pStyle w:val="affff2"/>
              <w:ind w:firstLine="0"/>
              <w:rPr>
                <w:sz w:val="24"/>
              </w:rPr>
            </w:pPr>
            <w:r w:rsidRPr="00D7306D">
              <w:rPr>
                <w:sz w:val="24"/>
              </w:rPr>
              <w:t>137P551390 - субсидия на софинансирование расходных обязательств субъектов Российской Федерации, возникающих при осуществлении создания и модернизации объектов спортивной инфраструктуры государственной собственности субъектов Российской Федерации (муниципальной собственности) для занятий физической культурой и спортом</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3105" w:type="pct"/>
          </w:tcPr>
          <w:p w:rsidR="00D7306D" w:rsidRPr="00D7306D" w:rsidRDefault="00D7306D" w:rsidP="00D7306D">
            <w:pPr>
              <w:pStyle w:val="affff2"/>
              <w:ind w:firstLine="0"/>
              <w:rPr>
                <w:sz w:val="24"/>
              </w:rPr>
            </w:pPr>
            <w:r w:rsidRPr="00D7306D">
              <w:rPr>
                <w:sz w:val="24"/>
              </w:rPr>
              <w:t>01КN151910 -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 xml:space="preserve">Укрепление материально-технической базы домов культуры в населенных пунктах с числом жителей до 50 тысяч человек </w:t>
            </w:r>
          </w:p>
        </w:tc>
        <w:tc>
          <w:tcPr>
            <w:tcW w:w="3105" w:type="pct"/>
          </w:tcPr>
          <w:p w:rsidR="00D7306D" w:rsidRPr="00D7306D" w:rsidRDefault="00D7306D" w:rsidP="00D7306D">
            <w:pPr>
              <w:pStyle w:val="affff2"/>
              <w:ind w:firstLine="0"/>
              <w:rPr>
                <w:sz w:val="24"/>
              </w:rPr>
            </w:pPr>
            <w:r w:rsidRPr="00D7306D">
              <w:rPr>
                <w:sz w:val="24"/>
              </w:rPr>
              <w:t>1140354670 -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Создание (реконструкция) и капитальный ремонт культурно-досуговых учреждений в сельской местности</w:t>
            </w:r>
          </w:p>
          <w:p w:rsidR="00D7306D" w:rsidRPr="00D7306D" w:rsidRDefault="00D7306D" w:rsidP="005C6E50">
            <w:pPr>
              <w:pStyle w:val="affff2"/>
              <w:numPr>
                <w:ilvl w:val="0"/>
                <w:numId w:val="126"/>
              </w:numPr>
              <w:rPr>
                <w:sz w:val="24"/>
              </w:rPr>
            </w:pPr>
            <w:r w:rsidRPr="00D7306D">
              <w:rPr>
                <w:sz w:val="24"/>
              </w:rPr>
              <w:t>(строительство домов культуры)</w:t>
            </w:r>
          </w:p>
        </w:tc>
        <w:tc>
          <w:tcPr>
            <w:tcW w:w="3105" w:type="pct"/>
          </w:tcPr>
          <w:p w:rsidR="00D7306D" w:rsidRPr="00D7306D" w:rsidRDefault="00D7306D" w:rsidP="00D7306D">
            <w:pPr>
              <w:pStyle w:val="affff2"/>
              <w:ind w:firstLine="0"/>
              <w:rPr>
                <w:sz w:val="24"/>
              </w:rPr>
            </w:pPr>
            <w:r w:rsidRPr="00D7306D">
              <w:rPr>
                <w:sz w:val="24"/>
              </w:rPr>
              <w:t>114A155190 Государственная поддержка отрасли культуры</w:t>
            </w:r>
          </w:p>
          <w:p w:rsidR="00D7306D" w:rsidRPr="00D7306D" w:rsidRDefault="00D7306D" w:rsidP="00D7306D">
            <w:pPr>
              <w:pStyle w:val="affff2"/>
              <w:ind w:firstLine="0"/>
              <w:rPr>
                <w:sz w:val="24"/>
              </w:rPr>
            </w:pPr>
            <w:r w:rsidRPr="00D7306D">
              <w:rPr>
                <w:sz w:val="24"/>
              </w:rPr>
              <w:t>114А155670 Обеспечение устойчивого развития сельских территорий</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Реконструкция и капитальный ремонт детских школ искусств</w:t>
            </w:r>
          </w:p>
        </w:tc>
        <w:tc>
          <w:tcPr>
            <w:tcW w:w="3105" w:type="pct"/>
          </w:tcPr>
          <w:p w:rsidR="00D7306D" w:rsidRPr="00D7306D" w:rsidRDefault="00D7306D" w:rsidP="00D7306D">
            <w:pPr>
              <w:pStyle w:val="affff2"/>
              <w:ind w:firstLine="0"/>
              <w:rPr>
                <w:sz w:val="24"/>
              </w:rPr>
            </w:pPr>
            <w:r w:rsidRPr="00D7306D">
              <w:rPr>
                <w:sz w:val="24"/>
              </w:rPr>
              <w:t>0240153060 -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 xml:space="preserve">Поддержка творческой деятельности и укрепление материально-технической базы театров в малых городах </w:t>
            </w:r>
          </w:p>
        </w:tc>
        <w:tc>
          <w:tcPr>
            <w:tcW w:w="3105" w:type="pct"/>
          </w:tcPr>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Поддержка творческой деятельности и укрепление материально-технической базы театров юного зрителя и театров кукол</w:t>
            </w:r>
          </w:p>
        </w:tc>
        <w:tc>
          <w:tcPr>
            <w:tcW w:w="3105" w:type="pct"/>
          </w:tcPr>
          <w:p w:rsidR="00D7306D" w:rsidRPr="00D7306D" w:rsidRDefault="00D7306D" w:rsidP="00D7306D">
            <w:pPr>
              <w:pStyle w:val="affff2"/>
              <w:ind w:firstLine="0"/>
              <w:rPr>
                <w:sz w:val="24"/>
              </w:rPr>
            </w:pPr>
            <w:r w:rsidRPr="00D7306D">
              <w:rPr>
                <w:sz w:val="24"/>
              </w:rPr>
              <w:t>114А154560 - Модернизация театров юного зрителя и театров кукол</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Приобретение передвижных многофункциональных культурных центров (автоклубов) для обслуживания сельского населения субъектов РФ</w:t>
            </w:r>
          </w:p>
        </w:tc>
        <w:tc>
          <w:tcPr>
            <w:tcW w:w="3105" w:type="pct"/>
          </w:tcPr>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Создание модельных муниципальных библиотек</w:t>
            </w:r>
          </w:p>
        </w:tc>
        <w:tc>
          <w:tcPr>
            <w:tcW w:w="3105" w:type="pct"/>
          </w:tcPr>
          <w:p w:rsidR="00D7306D" w:rsidRPr="00D7306D" w:rsidRDefault="00D7306D" w:rsidP="00D7306D">
            <w:pPr>
              <w:pStyle w:val="affff2"/>
              <w:ind w:firstLine="0"/>
              <w:rPr>
                <w:sz w:val="24"/>
              </w:rPr>
            </w:pPr>
            <w:r w:rsidRPr="00D7306D">
              <w:rPr>
                <w:sz w:val="24"/>
              </w:rPr>
              <w:t>111А154540 - Создание модельных муниципальных библиотек</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Текущий ремонт и оснащение оборудованием детских школ искусств (оборудование, музыкальные инструменты, учебные материалы)</w:t>
            </w:r>
          </w:p>
        </w:tc>
        <w:tc>
          <w:tcPr>
            <w:tcW w:w="3105" w:type="pct"/>
          </w:tcPr>
          <w:p w:rsidR="00D7306D" w:rsidRPr="00D7306D" w:rsidRDefault="00D7306D" w:rsidP="00D7306D">
            <w:pPr>
              <w:pStyle w:val="affff2"/>
              <w:ind w:firstLine="0"/>
              <w:rPr>
                <w:sz w:val="24"/>
              </w:rPr>
            </w:pPr>
            <w:r w:rsidRPr="00D7306D">
              <w:rPr>
                <w:sz w:val="24"/>
              </w:rPr>
              <w:t xml:space="preserve">Отдельного КБК нет, передается в рамках консолидированных субсидий </w:t>
            </w: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Ежемесячные выплаты учителям за классное руководство (по 5 тысяч рублей)</w:t>
            </w:r>
          </w:p>
        </w:tc>
        <w:tc>
          <w:tcPr>
            <w:tcW w:w="3105" w:type="pct"/>
          </w:tcPr>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Единовременные компенсационные выплаты учителям, врачам, медицинским работникам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(программы «Земский учитель», «Земский доктор», «Земский фельдшер»)</w:t>
            </w:r>
          </w:p>
        </w:tc>
        <w:tc>
          <w:tcPr>
            <w:tcW w:w="3105" w:type="pct"/>
          </w:tcPr>
          <w:p w:rsidR="00D7306D" w:rsidRPr="00D7306D" w:rsidRDefault="00D7306D" w:rsidP="00D7306D">
            <w:pPr>
              <w:pStyle w:val="affff2"/>
              <w:ind w:firstLine="0"/>
              <w:rPr>
                <w:sz w:val="24"/>
              </w:rPr>
            </w:pPr>
          </w:p>
        </w:tc>
      </w:tr>
      <w:tr w:rsidR="00D7306D" w:rsidRPr="00D7306D" w:rsidTr="00D7306D">
        <w:trPr>
          <w:trHeight w:val="859"/>
        </w:trPr>
        <w:tc>
          <w:tcPr>
            <w:tcW w:w="1895" w:type="pct"/>
          </w:tcPr>
          <w:p w:rsidR="00D7306D" w:rsidRPr="00D7306D" w:rsidRDefault="00D7306D" w:rsidP="005C6E50">
            <w:pPr>
              <w:pStyle w:val="affff2"/>
              <w:numPr>
                <w:ilvl w:val="0"/>
                <w:numId w:val="126"/>
              </w:numPr>
              <w:rPr>
                <w:sz w:val="24"/>
              </w:rPr>
            </w:pPr>
            <w:r w:rsidRPr="00D7306D">
              <w:rPr>
                <w:sz w:val="24"/>
              </w:rPr>
              <w:t>Обеспечение инвалидов техническими средствами реабилитации, включая</w:t>
            </w:r>
          </w:p>
          <w:p w:rsidR="00D7306D" w:rsidRPr="00D7306D" w:rsidRDefault="00D7306D" w:rsidP="005C6E50">
            <w:pPr>
              <w:pStyle w:val="affff2"/>
              <w:numPr>
                <w:ilvl w:val="0"/>
                <w:numId w:val="126"/>
              </w:numPr>
              <w:rPr>
                <w:sz w:val="24"/>
              </w:rPr>
            </w:pPr>
            <w:r w:rsidRPr="00D7306D">
              <w:rPr>
                <w:sz w:val="24"/>
              </w:rPr>
              <w:t>изготовление и ремонт протезно-ортопедических изделий</w:t>
            </w:r>
          </w:p>
          <w:p w:rsidR="00D7306D" w:rsidRPr="00D7306D" w:rsidRDefault="00D7306D" w:rsidP="005C6E50">
            <w:pPr>
              <w:pStyle w:val="affff2"/>
              <w:numPr>
                <w:ilvl w:val="0"/>
                <w:numId w:val="126"/>
              </w:numPr>
              <w:rPr>
                <w:sz w:val="24"/>
              </w:rPr>
            </w:pPr>
          </w:p>
        </w:tc>
        <w:tc>
          <w:tcPr>
            <w:tcW w:w="3105" w:type="pct"/>
          </w:tcPr>
          <w:p w:rsidR="00D7306D" w:rsidRPr="00D7306D" w:rsidRDefault="00D7306D" w:rsidP="00D7306D">
            <w:pPr>
              <w:pStyle w:val="affff2"/>
              <w:ind w:firstLine="0"/>
              <w:rPr>
                <w:sz w:val="24"/>
              </w:rPr>
            </w:pPr>
            <w:r w:rsidRPr="00D7306D">
              <w:rPr>
                <w:sz w:val="24"/>
              </w:rPr>
              <w:t>0420239570 - Обеспечение инвалидов техническими средствами реабилитации, включая изготовление и ремонт протезно-ортопедических изделий</w:t>
            </w:r>
          </w:p>
          <w:p w:rsidR="00D7306D" w:rsidRPr="00D7306D" w:rsidRDefault="00D7306D" w:rsidP="00D7306D">
            <w:pPr>
              <w:pStyle w:val="affff2"/>
              <w:ind w:firstLine="0"/>
              <w:rPr>
                <w:sz w:val="24"/>
              </w:rPr>
            </w:pPr>
            <w:r w:rsidRPr="00D7306D">
              <w:rPr>
                <w:sz w:val="24"/>
              </w:rPr>
              <w:t>0420251300 - Субвенции на обеспечение инвалидов техническими средствами реабилитации, включая изготовление и ремонт протезно-ортопедических изделий</w:t>
            </w:r>
          </w:p>
        </w:tc>
      </w:tr>
      <w:tr w:rsidR="00D7306D" w:rsidRPr="00D7306D" w:rsidTr="00D7306D">
        <w:trPr>
          <w:trHeight w:val="2040"/>
        </w:trPr>
        <w:tc>
          <w:tcPr>
            <w:tcW w:w="1895" w:type="pct"/>
          </w:tcPr>
          <w:p w:rsidR="00D7306D" w:rsidRPr="00D7306D" w:rsidRDefault="00D7306D" w:rsidP="005C6E50">
            <w:pPr>
              <w:pStyle w:val="affff2"/>
              <w:numPr>
                <w:ilvl w:val="0"/>
                <w:numId w:val="126"/>
              </w:numPr>
              <w:rPr>
                <w:sz w:val="24"/>
              </w:rPr>
            </w:pPr>
            <w:r w:rsidRPr="00D7306D">
              <w:rPr>
                <w:sz w:val="24"/>
              </w:rPr>
              <w:t>Предоставление благоустроенных жилых помещений детям-сиротам и детям, оставшимся без попечения родителей, лицам из числа детей-сирот и детей, оставшихся без попечения родителей, по достижении ими 18 лет</w:t>
            </w:r>
          </w:p>
        </w:tc>
        <w:tc>
          <w:tcPr>
            <w:tcW w:w="3105" w:type="pct"/>
          </w:tcPr>
          <w:p w:rsidR="00D7306D" w:rsidRPr="00D7306D" w:rsidRDefault="00D7306D" w:rsidP="00D7306D">
            <w:pPr>
              <w:pStyle w:val="affff2"/>
              <w:ind w:firstLine="0"/>
              <w:rPr>
                <w:sz w:val="24"/>
              </w:rPr>
            </w:pPr>
            <w:r w:rsidRPr="00D7306D">
              <w:rPr>
                <w:sz w:val="24"/>
              </w:rPr>
              <w:t>0330750820 - Субсидии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D7306D" w:rsidRPr="00D7306D" w:rsidRDefault="00D7306D" w:rsidP="00D7306D">
            <w:pPr>
              <w:pStyle w:val="affff2"/>
              <w:ind w:firstLine="0"/>
              <w:rPr>
                <w:sz w:val="24"/>
              </w:rPr>
            </w:pPr>
          </w:p>
        </w:tc>
      </w:tr>
    </w:tbl>
    <w:p w:rsidR="007C02AB" w:rsidRPr="00206C4C" w:rsidRDefault="007C02AB" w:rsidP="007C02AB">
      <w:pPr>
        <w:pStyle w:val="26"/>
      </w:pPr>
      <w:bookmarkStart w:id="686" w:name="_Toc119585087"/>
      <w:r w:rsidRPr="00206C4C">
        <w:t>Витрина «</w:t>
      </w:r>
      <w:r>
        <w:t>Национальные (федеральные) проекты и государственные программы</w:t>
      </w:r>
      <w:r w:rsidRPr="00206C4C">
        <w:t>»</w:t>
      </w:r>
      <w:bookmarkEnd w:id="686"/>
    </w:p>
    <w:p w:rsidR="007C02AB" w:rsidRPr="00206C4C" w:rsidRDefault="007C02AB" w:rsidP="007C02AB">
      <w:pPr>
        <w:pStyle w:val="af0"/>
        <w:rPr>
          <w:rFonts w:eastAsia="Calibri"/>
        </w:rPr>
      </w:pPr>
      <w:r w:rsidRPr="00206C4C">
        <w:rPr>
          <w:rFonts w:eastAsia="Calibri"/>
        </w:rPr>
        <w:t xml:space="preserve">Витрина содержит общие сведения </w:t>
      </w:r>
      <w:r>
        <w:rPr>
          <w:rFonts w:eastAsia="Calibri"/>
        </w:rPr>
        <w:t>о национальных (федеральных) проектах и государственных программах</w:t>
      </w:r>
      <w:r w:rsidRPr="00206C4C">
        <w:rPr>
          <w:rFonts w:eastAsia="Calibri"/>
        </w:rPr>
        <w:t>.</w:t>
      </w:r>
    </w:p>
    <w:p w:rsidR="007C02AB" w:rsidRPr="00C63CD0" w:rsidRDefault="007C02AB" w:rsidP="007C02AB">
      <w:pPr>
        <w:pStyle w:val="-"/>
      </w:pPr>
      <w:bookmarkStart w:id="687" w:name="_Toc69290212"/>
      <w:bookmarkStart w:id="688" w:name="_Toc119585176"/>
      <w:r w:rsidRPr="00206C4C">
        <w:t xml:space="preserve">Таблица </w:t>
      </w:r>
      <w:fldSimple w:instr=" SEQ Таблица \* ARABIC ">
        <w:r w:rsidR="00BF0BEE">
          <w:rPr>
            <w:noProof/>
          </w:rPr>
          <w:t>35</w:t>
        </w:r>
      </w:fldSimple>
      <w:r w:rsidRPr="00206C4C">
        <w:t xml:space="preserve"> </w:t>
      </w:r>
      <w:r>
        <w:t>–</w:t>
      </w:r>
      <w:r w:rsidRPr="00C63CD0">
        <w:t xml:space="preserve"> </w:t>
      </w:r>
      <w:r w:rsidRPr="00206C4C">
        <w:t>Перечень аналитических отчетов витрины «</w:t>
      </w:r>
      <w:r>
        <w:t>Национальные (федеральные) проекты и государственные программы</w:t>
      </w:r>
      <w:r w:rsidRPr="00206C4C">
        <w:t>» и соответствующих таблиц БД</w:t>
      </w:r>
      <w:bookmarkEnd w:id="687"/>
      <w:bookmarkEnd w:id="688"/>
    </w:p>
    <w:tbl>
      <w:tblPr>
        <w:tblStyle w:val="affe"/>
        <w:tblW w:w="9853" w:type="dxa"/>
        <w:tblLayout w:type="fixed"/>
        <w:tblLook w:val="04A0" w:firstRow="1" w:lastRow="0" w:firstColumn="1" w:lastColumn="0" w:noHBand="0" w:noVBand="1"/>
      </w:tblPr>
      <w:tblGrid>
        <w:gridCol w:w="4361"/>
        <w:gridCol w:w="2551"/>
        <w:gridCol w:w="2941"/>
      </w:tblGrid>
      <w:tr w:rsidR="007C02AB" w:rsidRPr="00206C4C" w:rsidTr="00356708">
        <w:trPr>
          <w:cantSplit/>
          <w:tblHeader/>
        </w:trPr>
        <w:tc>
          <w:tcPr>
            <w:tcW w:w="4361" w:type="dxa"/>
            <w:shd w:val="clear" w:color="auto" w:fill="D9D9D9" w:themeFill="background1" w:themeFillShade="D9"/>
            <w:vAlign w:val="center"/>
          </w:tcPr>
          <w:p w:rsidR="007C02AB" w:rsidRPr="00206C4C" w:rsidRDefault="007C02AB" w:rsidP="00E9324B">
            <w:pPr>
              <w:ind w:firstLine="0"/>
              <w:jc w:val="center"/>
              <w:rPr>
                <w:b/>
              </w:rPr>
            </w:pPr>
            <w:r w:rsidRPr="00206C4C">
              <w:rPr>
                <w:b/>
              </w:rPr>
              <w:t>Наименование аналитического отчета</w:t>
            </w:r>
          </w:p>
        </w:tc>
        <w:tc>
          <w:tcPr>
            <w:tcW w:w="2551" w:type="dxa"/>
            <w:shd w:val="clear" w:color="auto" w:fill="D9D9D9" w:themeFill="background1" w:themeFillShade="D9"/>
            <w:vAlign w:val="center"/>
          </w:tcPr>
          <w:p w:rsidR="007C02AB" w:rsidRPr="00206C4C" w:rsidRDefault="007C02AB" w:rsidP="00E9324B">
            <w:pPr>
              <w:ind w:firstLine="0"/>
              <w:jc w:val="center"/>
              <w:rPr>
                <w:b/>
              </w:rPr>
            </w:pPr>
            <w:r w:rsidRPr="00206C4C">
              <w:rPr>
                <w:b/>
              </w:rPr>
              <w:t>Код отчета</w:t>
            </w:r>
          </w:p>
        </w:tc>
        <w:tc>
          <w:tcPr>
            <w:tcW w:w="2941" w:type="dxa"/>
            <w:shd w:val="clear" w:color="auto" w:fill="D9D9D9" w:themeFill="background1" w:themeFillShade="D9"/>
            <w:vAlign w:val="center"/>
          </w:tcPr>
          <w:p w:rsidR="007C02AB" w:rsidRPr="00206C4C" w:rsidRDefault="007C02AB" w:rsidP="00E9324B">
            <w:pPr>
              <w:ind w:firstLine="0"/>
              <w:jc w:val="center"/>
              <w:rPr>
                <w:b/>
              </w:rPr>
            </w:pPr>
            <w:r w:rsidRPr="00206C4C">
              <w:rPr>
                <w:b/>
              </w:rPr>
              <w:t>Название таблицы БД</w:t>
            </w:r>
          </w:p>
        </w:tc>
      </w:tr>
      <w:tr w:rsidR="007C02AB" w:rsidRPr="00206C4C" w:rsidTr="00E9324B">
        <w:tc>
          <w:tcPr>
            <w:tcW w:w="9853" w:type="dxa"/>
            <w:gridSpan w:val="3"/>
            <w:vAlign w:val="center"/>
          </w:tcPr>
          <w:p w:rsidR="007C02AB" w:rsidRPr="002E3333" w:rsidRDefault="007C02AB" w:rsidP="00E9324B">
            <w:pPr>
              <w:ind w:firstLine="0"/>
              <w:jc w:val="left"/>
              <w:rPr>
                <w:b/>
              </w:rPr>
            </w:pPr>
            <w:r>
              <w:rPr>
                <w:b/>
              </w:rPr>
              <w:t>Оперативная информация</w:t>
            </w:r>
          </w:p>
        </w:tc>
      </w:tr>
      <w:tr w:rsidR="007C02AB" w:rsidRPr="00206C4C" w:rsidTr="00E9324B">
        <w:tc>
          <w:tcPr>
            <w:tcW w:w="4361" w:type="dxa"/>
            <w:vMerge w:val="restart"/>
            <w:vAlign w:val="center"/>
          </w:tcPr>
          <w:p w:rsidR="007C02AB" w:rsidRPr="00206C4C" w:rsidRDefault="007C02AB" w:rsidP="00E9324B">
            <w:pPr>
              <w:ind w:firstLine="0"/>
              <w:jc w:val="left"/>
            </w:pPr>
            <w:r w:rsidRPr="00777E65">
              <w:rPr>
                <w:snapToGrid/>
                <w:color w:val="auto"/>
                <w:szCs w:val="24"/>
              </w:rPr>
              <w:t>Информация об исполнении бюджетов бюджетной системы Российской Федерации по национальным (федеральным) проектам</w:t>
            </w:r>
          </w:p>
        </w:tc>
        <w:tc>
          <w:tcPr>
            <w:tcW w:w="2551" w:type="dxa"/>
            <w:vMerge w:val="restart"/>
            <w:vAlign w:val="center"/>
          </w:tcPr>
          <w:p w:rsidR="007C02AB" w:rsidRPr="00206C4C" w:rsidRDefault="007C02AB" w:rsidP="00E9324B">
            <w:pPr>
              <w:ind w:firstLine="0"/>
              <w:jc w:val="left"/>
              <w:rPr>
                <w:snapToGrid/>
                <w:color w:val="auto"/>
                <w:szCs w:val="24"/>
              </w:rPr>
            </w:pPr>
            <w:r>
              <w:t>PIAO_160_001_report</w:t>
            </w:r>
          </w:p>
        </w:tc>
        <w:tc>
          <w:tcPr>
            <w:tcW w:w="2941" w:type="dxa"/>
            <w:vAlign w:val="center"/>
          </w:tcPr>
          <w:p w:rsidR="007C02AB" w:rsidRPr="00206C4C" w:rsidRDefault="007C02AB" w:rsidP="00E9324B">
            <w:pPr>
              <w:ind w:firstLine="0"/>
            </w:pPr>
            <w:r w:rsidRPr="00B33CCE">
              <w:t>F_ASFK_EXNP</w:t>
            </w:r>
          </w:p>
        </w:tc>
      </w:tr>
      <w:tr w:rsidR="007C02AB" w:rsidRPr="00B67434" w:rsidTr="00E9324B">
        <w:tc>
          <w:tcPr>
            <w:tcW w:w="4361" w:type="dxa"/>
            <w:vMerge/>
            <w:vAlign w:val="center"/>
          </w:tcPr>
          <w:p w:rsidR="007C02AB" w:rsidRPr="00206C4C" w:rsidRDefault="007C02AB" w:rsidP="00E9324B">
            <w:pPr>
              <w:ind w:firstLine="0"/>
            </w:pPr>
          </w:p>
        </w:tc>
        <w:tc>
          <w:tcPr>
            <w:tcW w:w="2551" w:type="dxa"/>
            <w:vMerge/>
            <w:vAlign w:val="center"/>
          </w:tcPr>
          <w:p w:rsidR="007C02AB" w:rsidRPr="00206C4C" w:rsidRDefault="007C02AB" w:rsidP="00E9324B">
            <w:pPr>
              <w:ind w:firstLine="0"/>
              <w:jc w:val="left"/>
              <w:rPr>
                <w:snapToGrid/>
                <w:color w:val="auto"/>
                <w:szCs w:val="24"/>
              </w:rPr>
            </w:pPr>
          </w:p>
        </w:tc>
        <w:tc>
          <w:tcPr>
            <w:tcW w:w="2941" w:type="dxa"/>
            <w:vAlign w:val="center"/>
          </w:tcPr>
          <w:p w:rsidR="007C02AB" w:rsidRPr="00206C4C" w:rsidRDefault="007C02AB" w:rsidP="00E9324B">
            <w:pPr>
              <w:ind w:firstLine="0"/>
              <w:rPr>
                <w:lang w:val="en-US"/>
              </w:rPr>
            </w:pPr>
            <w:r w:rsidRPr="00B33CCE">
              <w:rPr>
                <w:lang w:val="en-US"/>
              </w:rPr>
              <w:t>F_ASFK_EXKVRNP</w:t>
            </w:r>
          </w:p>
        </w:tc>
      </w:tr>
      <w:tr w:rsidR="007C02AB" w:rsidRPr="00206C4C" w:rsidTr="00E9324B">
        <w:tc>
          <w:tcPr>
            <w:tcW w:w="4361" w:type="dxa"/>
            <w:vMerge/>
            <w:vAlign w:val="center"/>
          </w:tcPr>
          <w:p w:rsidR="007C02AB" w:rsidRPr="00206C4C" w:rsidRDefault="007C02AB" w:rsidP="00E9324B">
            <w:pPr>
              <w:ind w:firstLine="0"/>
              <w:rPr>
                <w:lang w:val="en-US"/>
              </w:rPr>
            </w:pPr>
          </w:p>
        </w:tc>
        <w:tc>
          <w:tcPr>
            <w:tcW w:w="2551" w:type="dxa"/>
            <w:vMerge/>
            <w:vAlign w:val="center"/>
          </w:tcPr>
          <w:p w:rsidR="007C02AB" w:rsidRPr="00206C4C" w:rsidRDefault="007C02AB" w:rsidP="00E9324B">
            <w:pPr>
              <w:ind w:firstLine="0"/>
              <w:jc w:val="left"/>
              <w:rPr>
                <w:snapToGrid/>
                <w:color w:val="auto"/>
                <w:szCs w:val="24"/>
                <w:lang w:val="en-US"/>
              </w:rPr>
            </w:pPr>
          </w:p>
        </w:tc>
        <w:tc>
          <w:tcPr>
            <w:tcW w:w="2941" w:type="dxa"/>
            <w:vAlign w:val="center"/>
          </w:tcPr>
          <w:p w:rsidR="007C02AB" w:rsidRPr="00206C4C" w:rsidRDefault="007C02AB" w:rsidP="00E9324B">
            <w:pPr>
              <w:ind w:firstLine="0"/>
            </w:pPr>
            <w:r w:rsidRPr="00B33CCE">
              <w:t>F_ASFK_EXKVRFULLNP</w:t>
            </w:r>
          </w:p>
        </w:tc>
      </w:tr>
      <w:tr w:rsidR="007C02AB" w:rsidRPr="00206C4C" w:rsidTr="00E9324B">
        <w:tc>
          <w:tcPr>
            <w:tcW w:w="4361" w:type="dxa"/>
            <w:vMerge/>
            <w:vAlign w:val="center"/>
          </w:tcPr>
          <w:p w:rsidR="007C02AB" w:rsidRPr="00206C4C" w:rsidRDefault="007C02AB" w:rsidP="00E9324B">
            <w:pPr>
              <w:ind w:firstLine="0"/>
            </w:pPr>
          </w:p>
        </w:tc>
        <w:tc>
          <w:tcPr>
            <w:tcW w:w="2551" w:type="dxa"/>
            <w:vMerge/>
            <w:vAlign w:val="center"/>
          </w:tcPr>
          <w:p w:rsidR="007C02AB" w:rsidRPr="00206C4C" w:rsidRDefault="007C02AB" w:rsidP="00E9324B">
            <w:pPr>
              <w:ind w:firstLine="0"/>
              <w:jc w:val="left"/>
              <w:rPr>
                <w:snapToGrid/>
                <w:color w:val="auto"/>
                <w:szCs w:val="24"/>
              </w:rPr>
            </w:pPr>
          </w:p>
        </w:tc>
        <w:tc>
          <w:tcPr>
            <w:tcW w:w="2941" w:type="dxa"/>
            <w:vAlign w:val="center"/>
          </w:tcPr>
          <w:p w:rsidR="007C02AB" w:rsidRPr="00206C4C" w:rsidRDefault="007C02AB" w:rsidP="00E9324B">
            <w:pPr>
              <w:ind w:firstLine="0"/>
            </w:pPr>
            <w:r w:rsidRPr="00B33CCE">
              <w:t>FX_VS_NATIONPROJEC</w:t>
            </w:r>
          </w:p>
        </w:tc>
      </w:tr>
      <w:tr w:rsidR="007C02AB" w:rsidRPr="00206C4C" w:rsidTr="00E9324B">
        <w:tc>
          <w:tcPr>
            <w:tcW w:w="4361" w:type="dxa"/>
            <w:vMerge/>
            <w:vAlign w:val="center"/>
          </w:tcPr>
          <w:p w:rsidR="007C02AB" w:rsidRPr="00206C4C" w:rsidRDefault="007C02AB" w:rsidP="00E9324B">
            <w:pPr>
              <w:ind w:firstLine="0"/>
            </w:pPr>
          </w:p>
        </w:tc>
        <w:tc>
          <w:tcPr>
            <w:tcW w:w="2551" w:type="dxa"/>
            <w:vMerge/>
            <w:vAlign w:val="center"/>
          </w:tcPr>
          <w:p w:rsidR="007C02AB" w:rsidRPr="00206C4C" w:rsidRDefault="007C02AB" w:rsidP="00E9324B">
            <w:pPr>
              <w:ind w:firstLine="0"/>
              <w:jc w:val="left"/>
              <w:rPr>
                <w:snapToGrid/>
                <w:color w:val="auto"/>
                <w:szCs w:val="24"/>
              </w:rPr>
            </w:pPr>
          </w:p>
        </w:tc>
        <w:tc>
          <w:tcPr>
            <w:tcW w:w="2941" w:type="dxa"/>
            <w:vAlign w:val="center"/>
          </w:tcPr>
          <w:p w:rsidR="007C02AB" w:rsidRPr="00206C4C" w:rsidRDefault="007C02AB" w:rsidP="00E9324B">
            <w:pPr>
              <w:ind w:firstLine="0"/>
            </w:pPr>
            <w:r w:rsidRPr="00B33CCE">
              <w:t>D_VS_FEDERALPROJECT</w:t>
            </w:r>
          </w:p>
        </w:tc>
      </w:tr>
      <w:tr w:rsidR="007C02AB" w:rsidRPr="00206C4C" w:rsidTr="00E9324B">
        <w:tc>
          <w:tcPr>
            <w:tcW w:w="4361" w:type="dxa"/>
            <w:vMerge/>
            <w:vAlign w:val="center"/>
          </w:tcPr>
          <w:p w:rsidR="007C02AB" w:rsidRPr="00206C4C" w:rsidRDefault="007C02AB" w:rsidP="00E9324B">
            <w:pPr>
              <w:ind w:firstLine="0"/>
            </w:pPr>
          </w:p>
        </w:tc>
        <w:tc>
          <w:tcPr>
            <w:tcW w:w="2551" w:type="dxa"/>
            <w:vMerge/>
            <w:vAlign w:val="center"/>
          </w:tcPr>
          <w:p w:rsidR="007C02AB" w:rsidRPr="00206C4C" w:rsidRDefault="007C02AB" w:rsidP="00E9324B">
            <w:pPr>
              <w:ind w:firstLine="0"/>
              <w:jc w:val="left"/>
              <w:rPr>
                <w:snapToGrid/>
                <w:color w:val="auto"/>
                <w:szCs w:val="24"/>
              </w:rPr>
            </w:pPr>
          </w:p>
        </w:tc>
        <w:tc>
          <w:tcPr>
            <w:tcW w:w="2941" w:type="dxa"/>
            <w:vAlign w:val="center"/>
          </w:tcPr>
          <w:p w:rsidR="007C02AB" w:rsidRPr="00206C4C" w:rsidRDefault="007C02AB" w:rsidP="00E9324B">
            <w:pPr>
              <w:ind w:firstLine="0"/>
            </w:pPr>
            <w:r w:rsidRPr="00B33CCE">
              <w:t>D_ASFK_EXPENSTYPES</w:t>
            </w:r>
          </w:p>
        </w:tc>
      </w:tr>
      <w:tr w:rsidR="007C02AB" w:rsidRPr="00206C4C" w:rsidTr="00E9324B">
        <w:tc>
          <w:tcPr>
            <w:tcW w:w="4361" w:type="dxa"/>
            <w:vMerge w:val="restart"/>
            <w:vAlign w:val="center"/>
          </w:tcPr>
          <w:p w:rsidR="007C02AB" w:rsidRPr="00206C4C" w:rsidRDefault="007C02AB" w:rsidP="00E9324B">
            <w:pPr>
              <w:ind w:firstLine="0"/>
            </w:pPr>
            <w:r w:rsidRPr="00777E65">
              <w:t>Информация об использовании межбюджетных трансфертов, предоставленных из федерального бюджета, в целях реализации национальных (федеральных) проектов</w:t>
            </w:r>
          </w:p>
        </w:tc>
        <w:tc>
          <w:tcPr>
            <w:tcW w:w="2551" w:type="dxa"/>
            <w:vMerge w:val="restart"/>
            <w:vAlign w:val="center"/>
          </w:tcPr>
          <w:p w:rsidR="007C02AB" w:rsidRPr="00206C4C" w:rsidRDefault="007C02AB" w:rsidP="00E9324B">
            <w:pPr>
              <w:ind w:firstLine="0"/>
              <w:jc w:val="left"/>
              <w:rPr>
                <w:snapToGrid/>
                <w:color w:val="auto"/>
                <w:szCs w:val="24"/>
              </w:rPr>
            </w:pPr>
            <w:r>
              <w:t>PIAO_159_001_report</w:t>
            </w:r>
          </w:p>
        </w:tc>
        <w:tc>
          <w:tcPr>
            <w:tcW w:w="2941" w:type="dxa"/>
            <w:vAlign w:val="center"/>
          </w:tcPr>
          <w:p w:rsidR="007C02AB" w:rsidRPr="00206C4C" w:rsidRDefault="007C02AB" w:rsidP="00E9324B">
            <w:pPr>
              <w:ind w:firstLine="0"/>
            </w:pPr>
            <w:r w:rsidRPr="00B17F4C">
              <w:t>F_ASFK_MBTCBS</w:t>
            </w:r>
          </w:p>
        </w:tc>
      </w:tr>
      <w:tr w:rsidR="007C02AB" w:rsidRPr="00777E65" w:rsidTr="00E9324B">
        <w:tc>
          <w:tcPr>
            <w:tcW w:w="4361" w:type="dxa"/>
            <w:vMerge/>
            <w:vAlign w:val="center"/>
          </w:tcPr>
          <w:p w:rsidR="007C02AB" w:rsidRPr="00206C4C" w:rsidRDefault="007C02AB" w:rsidP="00E9324B">
            <w:pPr>
              <w:ind w:firstLine="0"/>
            </w:pPr>
          </w:p>
        </w:tc>
        <w:tc>
          <w:tcPr>
            <w:tcW w:w="2551" w:type="dxa"/>
            <w:vMerge/>
            <w:vAlign w:val="center"/>
          </w:tcPr>
          <w:p w:rsidR="007C02AB" w:rsidRPr="00206C4C" w:rsidRDefault="007C02AB" w:rsidP="00E9324B">
            <w:pPr>
              <w:ind w:firstLine="0"/>
              <w:jc w:val="left"/>
              <w:rPr>
                <w:snapToGrid/>
                <w:color w:val="auto"/>
                <w:szCs w:val="24"/>
              </w:rPr>
            </w:pPr>
          </w:p>
        </w:tc>
        <w:tc>
          <w:tcPr>
            <w:tcW w:w="2941" w:type="dxa"/>
            <w:vAlign w:val="center"/>
          </w:tcPr>
          <w:p w:rsidR="007C02AB" w:rsidRPr="00777E65" w:rsidRDefault="007C02AB" w:rsidP="00E9324B">
            <w:pPr>
              <w:ind w:firstLine="0"/>
            </w:pPr>
            <w:r w:rsidRPr="00B17F4C">
              <w:t>D_ASFK_GOALCODE_KBK</w:t>
            </w:r>
          </w:p>
        </w:tc>
      </w:tr>
      <w:tr w:rsidR="007C02AB" w:rsidRPr="00777E65" w:rsidTr="00E9324B">
        <w:tc>
          <w:tcPr>
            <w:tcW w:w="4361" w:type="dxa"/>
            <w:vMerge/>
            <w:vAlign w:val="center"/>
          </w:tcPr>
          <w:p w:rsidR="007C02AB" w:rsidRPr="00206C4C" w:rsidRDefault="007C02AB" w:rsidP="00E9324B"/>
        </w:tc>
        <w:tc>
          <w:tcPr>
            <w:tcW w:w="2551" w:type="dxa"/>
            <w:vMerge/>
            <w:vAlign w:val="center"/>
          </w:tcPr>
          <w:p w:rsidR="007C02AB" w:rsidRPr="00206C4C" w:rsidRDefault="007C02AB" w:rsidP="00E9324B">
            <w:pPr>
              <w:jc w:val="left"/>
              <w:rPr>
                <w:snapToGrid/>
                <w:color w:val="auto"/>
                <w:szCs w:val="24"/>
              </w:rPr>
            </w:pPr>
          </w:p>
        </w:tc>
        <w:tc>
          <w:tcPr>
            <w:tcW w:w="2941" w:type="dxa"/>
            <w:vAlign w:val="center"/>
          </w:tcPr>
          <w:p w:rsidR="007C02AB" w:rsidRPr="00B17F4C" w:rsidRDefault="007C02AB" w:rsidP="00E9324B">
            <w:pPr>
              <w:ind w:firstLine="0"/>
            </w:pPr>
            <w:r w:rsidRPr="00B17F4C">
              <w:t>FX_VS_NATIONPROJECT</w:t>
            </w:r>
          </w:p>
        </w:tc>
      </w:tr>
      <w:tr w:rsidR="007C02AB" w:rsidRPr="00777E65" w:rsidTr="00E9324B">
        <w:tc>
          <w:tcPr>
            <w:tcW w:w="4361" w:type="dxa"/>
            <w:vMerge/>
            <w:vAlign w:val="center"/>
          </w:tcPr>
          <w:p w:rsidR="007C02AB" w:rsidRPr="00206C4C" w:rsidRDefault="007C02AB" w:rsidP="00E9324B"/>
        </w:tc>
        <w:tc>
          <w:tcPr>
            <w:tcW w:w="2551" w:type="dxa"/>
            <w:vMerge/>
            <w:vAlign w:val="center"/>
          </w:tcPr>
          <w:p w:rsidR="007C02AB" w:rsidRPr="00206C4C" w:rsidRDefault="007C02AB" w:rsidP="00E9324B">
            <w:pPr>
              <w:jc w:val="left"/>
              <w:rPr>
                <w:snapToGrid/>
                <w:color w:val="auto"/>
                <w:szCs w:val="24"/>
              </w:rPr>
            </w:pPr>
          </w:p>
        </w:tc>
        <w:tc>
          <w:tcPr>
            <w:tcW w:w="2941" w:type="dxa"/>
            <w:vAlign w:val="center"/>
          </w:tcPr>
          <w:p w:rsidR="007C02AB" w:rsidRPr="00B17F4C" w:rsidRDefault="007C02AB" w:rsidP="00E9324B">
            <w:pPr>
              <w:ind w:firstLine="0"/>
            </w:pPr>
            <w:r w:rsidRPr="00B17F4C">
              <w:t>D_VS_FEDERALPROJECT</w:t>
            </w:r>
          </w:p>
        </w:tc>
      </w:tr>
      <w:tr w:rsidR="005755CD" w:rsidRPr="00777E65" w:rsidTr="00DE7AE6">
        <w:trPr>
          <w:trHeight w:val="104"/>
        </w:trPr>
        <w:tc>
          <w:tcPr>
            <w:tcW w:w="4361" w:type="dxa"/>
            <w:vMerge w:val="restart"/>
            <w:vAlign w:val="center"/>
          </w:tcPr>
          <w:p w:rsidR="005755CD" w:rsidRPr="00206C4C" w:rsidRDefault="005755CD" w:rsidP="003E2E8D">
            <w:pPr>
              <w:ind w:firstLine="0"/>
            </w:pPr>
            <w:r w:rsidRPr="003E2E8D">
              <w:t>Информация об исполнении бюджетов субъектов РФ и местных бюджетов по национальным (федеральным) проектам</w:t>
            </w:r>
          </w:p>
        </w:tc>
        <w:tc>
          <w:tcPr>
            <w:tcW w:w="2551" w:type="dxa"/>
            <w:vMerge w:val="restart"/>
            <w:vAlign w:val="center"/>
          </w:tcPr>
          <w:p w:rsidR="005755CD" w:rsidRPr="00206C4C" w:rsidRDefault="005755CD" w:rsidP="00DE7AE6">
            <w:pPr>
              <w:ind w:firstLine="0"/>
              <w:jc w:val="left"/>
              <w:rPr>
                <w:snapToGrid/>
                <w:color w:val="auto"/>
                <w:szCs w:val="24"/>
              </w:rPr>
            </w:pPr>
            <w:r>
              <w:t>PIAO_160_002_report</w:t>
            </w:r>
          </w:p>
        </w:tc>
        <w:tc>
          <w:tcPr>
            <w:tcW w:w="2941" w:type="dxa"/>
          </w:tcPr>
          <w:p w:rsidR="005755CD" w:rsidRPr="007B2687" w:rsidRDefault="005755CD" w:rsidP="005755CD">
            <w:pPr>
              <w:ind w:firstLine="0"/>
            </w:pPr>
            <w:r w:rsidRPr="007B2687">
              <w:t xml:space="preserve">F_NPFP_KBK_MONTHLY </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D_NPFP_YEARDAYUNV</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FX_VS_NATIONPROJECT</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D_FK_UFK</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FX_ASFK_BUDGETLEVELS</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D_KSPL_KVR</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Pr="007B2687" w:rsidRDefault="005755CD" w:rsidP="005755CD">
            <w:pPr>
              <w:ind w:firstLine="0"/>
            </w:pPr>
            <w:r w:rsidRPr="007B2687">
              <w:t>D_KSPL_RZPR</w:t>
            </w:r>
          </w:p>
        </w:tc>
      </w:tr>
      <w:tr w:rsidR="005755CD" w:rsidRPr="00777E65" w:rsidTr="00DE7AE6">
        <w:trPr>
          <w:trHeight w:val="103"/>
        </w:trPr>
        <w:tc>
          <w:tcPr>
            <w:tcW w:w="4361" w:type="dxa"/>
            <w:vMerge/>
            <w:vAlign w:val="center"/>
          </w:tcPr>
          <w:p w:rsidR="005755CD" w:rsidRPr="003E2E8D" w:rsidRDefault="005755CD" w:rsidP="003E2E8D"/>
        </w:tc>
        <w:tc>
          <w:tcPr>
            <w:tcW w:w="2551" w:type="dxa"/>
            <w:vMerge/>
            <w:vAlign w:val="center"/>
          </w:tcPr>
          <w:p w:rsidR="005755CD" w:rsidRDefault="005755CD" w:rsidP="00DE7AE6">
            <w:pPr>
              <w:jc w:val="left"/>
            </w:pPr>
          </w:p>
        </w:tc>
        <w:tc>
          <w:tcPr>
            <w:tcW w:w="2941" w:type="dxa"/>
          </w:tcPr>
          <w:p w:rsidR="005755CD" w:rsidRDefault="005755CD" w:rsidP="005755CD">
            <w:pPr>
              <w:ind w:firstLine="0"/>
            </w:pPr>
            <w:r w:rsidRPr="007B2687">
              <w:t>D_NPFP_KCSR</w:t>
            </w:r>
          </w:p>
        </w:tc>
      </w:tr>
      <w:tr w:rsidR="003E2E8D" w:rsidRPr="00777E65" w:rsidTr="00E9324B">
        <w:tc>
          <w:tcPr>
            <w:tcW w:w="4361" w:type="dxa"/>
            <w:vAlign w:val="center"/>
          </w:tcPr>
          <w:p w:rsidR="003E2E8D" w:rsidRPr="003E2E8D" w:rsidRDefault="003E2E8D" w:rsidP="003E2E8D">
            <w:pPr>
              <w:ind w:firstLine="0"/>
            </w:pPr>
            <w:r w:rsidRPr="003E2E8D">
              <w:t>Исполнение федерального бюджета в разрезе результатов федеральных проектов</w:t>
            </w:r>
          </w:p>
        </w:tc>
        <w:tc>
          <w:tcPr>
            <w:tcW w:w="2551" w:type="dxa"/>
            <w:vAlign w:val="center"/>
          </w:tcPr>
          <w:p w:rsidR="003E2E8D" w:rsidRPr="00206C4C" w:rsidRDefault="003E2E8D" w:rsidP="00DE7AE6">
            <w:pPr>
              <w:ind w:firstLine="0"/>
              <w:jc w:val="left"/>
              <w:rPr>
                <w:snapToGrid/>
                <w:color w:val="auto"/>
                <w:szCs w:val="24"/>
              </w:rPr>
            </w:pPr>
            <w:r>
              <w:t>PIAO_189_001_report</w:t>
            </w:r>
          </w:p>
        </w:tc>
        <w:tc>
          <w:tcPr>
            <w:tcW w:w="2941" w:type="dxa"/>
            <w:vAlign w:val="center"/>
          </w:tcPr>
          <w:p w:rsidR="003E2E8D" w:rsidRPr="00B17F4C" w:rsidRDefault="009E01D3" w:rsidP="009E01D3">
            <w:pPr>
              <w:ind w:firstLine="34"/>
            </w:pPr>
            <w:r w:rsidRPr="009E01D3">
              <w:t>F_GRAF_KBKSVOD</w:t>
            </w:r>
          </w:p>
        </w:tc>
      </w:tr>
      <w:tr w:rsidR="003E2E8D" w:rsidRPr="00206C4C" w:rsidTr="00E9324B">
        <w:tc>
          <w:tcPr>
            <w:tcW w:w="9853" w:type="dxa"/>
            <w:gridSpan w:val="3"/>
            <w:vAlign w:val="center"/>
          </w:tcPr>
          <w:p w:rsidR="003E2E8D" w:rsidRPr="00B17F4C" w:rsidRDefault="003E2E8D" w:rsidP="00E9324B">
            <w:pPr>
              <w:ind w:firstLine="0"/>
              <w:rPr>
                <w:b/>
              </w:rPr>
            </w:pPr>
            <w:r w:rsidRPr="00B17F4C">
              <w:rPr>
                <w:b/>
              </w:rPr>
              <w:t>Информация на основе регламентированной отчетности</w:t>
            </w:r>
          </w:p>
        </w:tc>
      </w:tr>
      <w:tr w:rsidR="003E2E8D" w:rsidRPr="00206C4C" w:rsidTr="00E9324B">
        <w:tc>
          <w:tcPr>
            <w:tcW w:w="4361" w:type="dxa"/>
            <w:vMerge w:val="restart"/>
            <w:vAlign w:val="center"/>
          </w:tcPr>
          <w:p w:rsidR="003E2E8D" w:rsidRPr="00206C4C" w:rsidRDefault="003E2E8D" w:rsidP="00E9324B">
            <w:pPr>
              <w:ind w:firstLine="0"/>
            </w:pPr>
            <w:r>
              <w:t>Информация об исполнении национальных (федеральных) проектов в разрезе бюджетов бюджетной системы Российской Федерации</w:t>
            </w:r>
          </w:p>
        </w:tc>
        <w:tc>
          <w:tcPr>
            <w:tcW w:w="2551" w:type="dxa"/>
            <w:vMerge w:val="restart"/>
            <w:vAlign w:val="center"/>
          </w:tcPr>
          <w:p w:rsidR="003E2E8D" w:rsidRPr="00B17F4C" w:rsidRDefault="003E2E8D" w:rsidP="00E9324B">
            <w:pPr>
              <w:ind w:firstLine="0"/>
            </w:pPr>
            <w:r>
              <w:t>PIAO_158_BO_natprojects_report</w:t>
            </w:r>
          </w:p>
        </w:tc>
        <w:tc>
          <w:tcPr>
            <w:tcW w:w="2941" w:type="dxa"/>
            <w:vAlign w:val="center"/>
          </w:tcPr>
          <w:p w:rsidR="003E2E8D" w:rsidRPr="00206C4C" w:rsidRDefault="003E2E8D" w:rsidP="00E9324B">
            <w:pPr>
              <w:ind w:firstLine="0"/>
            </w:pPr>
            <w:r w:rsidRPr="00D264EC">
              <w:t>D_BO_SUBBO</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FX_BO_TYPEREPORT</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FX_BO_TYPEREORG</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D_BO_MRKOBLIGATION</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D_BO_KVR</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FX_BO_FORMSECTIONS</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FX_BO_AUTHORITY</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D264EC" w:rsidRDefault="003E2E8D" w:rsidP="00E9324B">
            <w:pPr>
              <w:ind w:firstLine="0"/>
            </w:pPr>
            <w:r w:rsidRPr="00D264EC">
              <w:t>D_EB_TERRITORY</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D_BO_ANALYTICALFEATURE</w:t>
            </w:r>
          </w:p>
        </w:tc>
      </w:tr>
      <w:tr w:rsidR="003E2E8D" w:rsidRPr="00206C4C" w:rsidTr="00E9324B">
        <w:tc>
          <w:tcPr>
            <w:tcW w:w="4361" w:type="dxa"/>
            <w:vMerge w:val="restart"/>
            <w:vAlign w:val="center"/>
          </w:tcPr>
          <w:p w:rsidR="003E2E8D" w:rsidRPr="00206C4C" w:rsidRDefault="003E2E8D" w:rsidP="00E9324B">
            <w:pPr>
              <w:ind w:firstLine="0"/>
            </w:pPr>
            <w:r>
              <w:t>Исполнение национальных (федеральных) проектов БУ и АУ (ф. 0503738-НП)</w:t>
            </w:r>
          </w:p>
        </w:tc>
        <w:tc>
          <w:tcPr>
            <w:tcW w:w="2551" w:type="dxa"/>
            <w:vMerge w:val="restart"/>
            <w:vAlign w:val="center"/>
          </w:tcPr>
          <w:p w:rsidR="003E2E8D" w:rsidRPr="00206C4C" w:rsidRDefault="003E2E8D" w:rsidP="00E9324B">
            <w:pPr>
              <w:ind w:firstLine="0"/>
              <w:jc w:val="left"/>
              <w:rPr>
                <w:snapToGrid/>
                <w:color w:val="auto"/>
                <w:szCs w:val="24"/>
              </w:rPr>
            </w:pPr>
            <w:r>
              <w:t>PIAO_167_001_report</w:t>
            </w:r>
          </w:p>
        </w:tc>
        <w:tc>
          <w:tcPr>
            <w:tcW w:w="2941" w:type="dxa"/>
            <w:vAlign w:val="center"/>
          </w:tcPr>
          <w:p w:rsidR="003E2E8D" w:rsidRPr="00206C4C" w:rsidRDefault="003E2E8D" w:rsidP="00E9324B">
            <w:pPr>
              <w:ind w:firstLine="0"/>
            </w:pPr>
            <w:r w:rsidRPr="00D264EC">
              <w:t>D_BO_SUBBO</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FX_BO_TYPEREPOR</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FX_BO_TYPEREORG</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D_BO_MRKOBLIGATION</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D_BO_KVR</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FX_BO_FORMSECTIONS</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FX_BO_AUTHORITY</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D_EB_TERRITORY</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206C4C" w:rsidRDefault="003E2E8D" w:rsidP="00E9324B">
            <w:pPr>
              <w:ind w:firstLine="0"/>
            </w:pPr>
            <w:r w:rsidRPr="00D264EC">
              <w:t>D_BO_ANALYTICALFEATURE</w:t>
            </w:r>
          </w:p>
        </w:tc>
      </w:tr>
      <w:tr w:rsidR="003E2E8D" w:rsidRPr="00206C4C" w:rsidTr="00E9324B">
        <w:tc>
          <w:tcPr>
            <w:tcW w:w="4361" w:type="dxa"/>
            <w:vMerge/>
            <w:vAlign w:val="center"/>
          </w:tcPr>
          <w:p w:rsidR="003E2E8D" w:rsidRDefault="003E2E8D" w:rsidP="00E9324B"/>
        </w:tc>
        <w:tc>
          <w:tcPr>
            <w:tcW w:w="2551" w:type="dxa"/>
            <w:vMerge/>
            <w:vAlign w:val="center"/>
          </w:tcPr>
          <w:p w:rsidR="003E2E8D" w:rsidRDefault="003E2E8D" w:rsidP="00E9324B">
            <w:pPr>
              <w:jc w:val="left"/>
            </w:pPr>
          </w:p>
        </w:tc>
        <w:tc>
          <w:tcPr>
            <w:tcW w:w="2941" w:type="dxa"/>
            <w:vAlign w:val="center"/>
          </w:tcPr>
          <w:p w:rsidR="003E2E8D" w:rsidRPr="00D264EC" w:rsidRDefault="003E2E8D" w:rsidP="00E9324B">
            <w:pPr>
              <w:ind w:firstLine="0"/>
            </w:pPr>
            <w:r w:rsidRPr="00D264EC">
              <w:t>FX_BO_ACTIONKIND</w:t>
            </w:r>
          </w:p>
        </w:tc>
      </w:tr>
    </w:tbl>
    <w:p w:rsidR="007C02AB" w:rsidRDefault="007C02AB" w:rsidP="00D23DED">
      <w:pPr>
        <w:pStyle w:val="35"/>
      </w:pPr>
      <w:bookmarkStart w:id="689" w:name="_Toc69290133"/>
      <w:bookmarkStart w:id="690" w:name="_Toc119585088"/>
      <w:r>
        <w:t>Отчет «Информация об исполнении национальных (федеральных) проектов в разрезе бюджетов бюджетной системы Российской Федерации»</w:t>
      </w:r>
      <w:bookmarkEnd w:id="689"/>
      <w:r w:rsidR="00D23DED">
        <w:t xml:space="preserve"> (</w:t>
      </w:r>
      <w:r w:rsidR="00D23DED" w:rsidRPr="00D23DED">
        <w:t>PIAO_158_BO_natprojects_report</w:t>
      </w:r>
      <w:r w:rsidR="00D23DED">
        <w:t>)</w:t>
      </w:r>
      <w:bookmarkEnd w:id="690"/>
    </w:p>
    <w:p w:rsidR="007C02AB" w:rsidRDefault="007C02AB" w:rsidP="007C02AB">
      <w:pPr>
        <w:pStyle w:val="af0"/>
        <w:rPr>
          <w:rStyle w:val="af1"/>
        </w:rPr>
      </w:pPr>
      <w:r w:rsidRPr="00DE408F">
        <w:rPr>
          <w:rStyle w:val="af1"/>
        </w:rPr>
        <w:t>Для перехода к отчету «</w:t>
      </w:r>
      <w:r>
        <w:t>Информация об исполнении национальных (федеральных) проектов в разрезе бюджетов бюджетной системы Российской Федерации</w:t>
      </w:r>
      <w:r w:rsidRPr="00DE408F">
        <w:rPr>
          <w:rStyle w:val="af1"/>
        </w:rPr>
        <w:t>» необходимо перейти к витрине «Национальные (федеральные) проект</w:t>
      </w:r>
      <w:r>
        <w:rPr>
          <w:rStyle w:val="af1"/>
        </w:rPr>
        <w:t>ы и государственные программы»,</w:t>
      </w:r>
      <w:r w:rsidRPr="00DE408F">
        <w:rPr>
          <w:rStyle w:val="af1"/>
        </w:rPr>
        <w:t xml:space="preserve"> раскрыть каталог «Информация на основе </w:t>
      </w:r>
      <w:r>
        <w:rPr>
          <w:rStyle w:val="af1"/>
        </w:rPr>
        <w:t xml:space="preserve">регламентированной отчетности» и кликнуть мышью по соответствующей плашке (Рисунок </w:t>
      </w:r>
      <w:r>
        <w:rPr>
          <w:rStyle w:val="af1"/>
        </w:rPr>
        <w:fldChar w:fldCharType="begin"/>
      </w:r>
      <w:r>
        <w:rPr>
          <w:rStyle w:val="af1"/>
        </w:rPr>
        <w:instrText xml:space="preserve"> REF _Ref69137294 \h </w:instrText>
      </w:r>
      <w:r>
        <w:rPr>
          <w:rStyle w:val="af1"/>
        </w:rPr>
      </w:r>
      <w:r>
        <w:rPr>
          <w:rStyle w:val="af1"/>
        </w:rPr>
        <w:fldChar w:fldCharType="separate"/>
      </w:r>
      <w:r w:rsidR="00BF0BEE">
        <w:rPr>
          <w:rStyle w:val="af1"/>
          <w:noProof/>
        </w:rPr>
        <w:t>155</w:t>
      </w:r>
      <w:r>
        <w:rPr>
          <w:rStyle w:val="af1"/>
        </w:rPr>
        <w:fldChar w:fldCharType="end"/>
      </w:r>
      <w:r>
        <w:rPr>
          <w:rStyle w:val="af1"/>
        </w:rPr>
        <w:t>).</w:t>
      </w:r>
    </w:p>
    <w:p w:rsidR="007C02AB" w:rsidRDefault="007C02AB" w:rsidP="007C02AB">
      <w:pPr>
        <w:pStyle w:val="-0"/>
      </w:pPr>
      <w:r>
        <w:rPr>
          <w:noProof/>
          <w:snapToGrid/>
        </w:rPr>
        <w:drawing>
          <wp:inline distT="0" distB="0" distL="0" distR="0" wp14:anchorId="2FE2DF23" wp14:editId="2D970CCB">
            <wp:extent cx="6120130" cy="1639783"/>
            <wp:effectExtent l="0" t="0" r="0" b="0"/>
            <wp:docPr id="6428" name="Рисунок 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6120130" cy="1639783"/>
                    </a:xfrm>
                    <a:prstGeom prst="rect">
                      <a:avLst/>
                    </a:prstGeom>
                  </pic:spPr>
                </pic:pic>
              </a:graphicData>
            </a:graphic>
          </wp:inline>
        </w:drawing>
      </w:r>
    </w:p>
    <w:p w:rsidR="007C02AB" w:rsidRPr="00395E19" w:rsidRDefault="007C02AB" w:rsidP="007C02AB">
      <w:pPr>
        <w:pStyle w:val="-0"/>
        <w:rPr>
          <w:snapToGrid/>
        </w:rPr>
      </w:pPr>
      <w:bookmarkStart w:id="691" w:name="_Toc69290394"/>
      <w:bookmarkStart w:id="692" w:name="_Toc119584342"/>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bookmarkStart w:id="693" w:name="_Ref69137294"/>
      <w:r w:rsidR="001860A9">
        <w:rPr>
          <w:rStyle w:val="af1"/>
          <w:noProof/>
        </w:rPr>
        <w:t>155</w:t>
      </w:r>
      <w:bookmarkEnd w:id="693"/>
      <w:r>
        <w:rPr>
          <w:rStyle w:val="af1"/>
        </w:rPr>
        <w:fldChar w:fldCharType="end"/>
      </w:r>
      <w:r>
        <w:rPr>
          <w:rStyle w:val="af1"/>
        </w:rPr>
        <w:t xml:space="preserve"> – Плашка для перехода к отчету «</w:t>
      </w:r>
      <w:r>
        <w:t>Информация об исполнении национальных (федеральных) проектов в разрезе бюджетов бюджетной системы Российской Федерации</w:t>
      </w:r>
      <w:r>
        <w:rPr>
          <w:rStyle w:val="af1"/>
        </w:rPr>
        <w:t>»</w:t>
      </w:r>
      <w:bookmarkEnd w:id="691"/>
      <w:bookmarkEnd w:id="692"/>
    </w:p>
    <w:p w:rsidR="007C02AB" w:rsidRDefault="007C02AB" w:rsidP="007C02AB">
      <w:pPr>
        <w:pStyle w:val="af0"/>
      </w:pPr>
      <w:r>
        <w:t>Отчет отображает сведения об исполнении национальных (федеральных) проектов в разрезе бюджетов бюджетной системы Российской Федерации, анализ показателей исполнения бюджета, включая объем утвержденных в бюджетах бюджетной системы плановых назначений на реализацию национальных проектов, объем принятых обязательств и их исполнение, в разрезе ГРБС (ПБС) федерального уровня, субъектов Российской Федерации, муниципальных образований, ГВБФ и территориальных фондов.</w:t>
      </w:r>
    </w:p>
    <w:p w:rsidR="00616125" w:rsidRDefault="00616125" w:rsidP="00616125">
      <w:pPr>
        <w:pStyle w:val="42"/>
        <w:keepNext/>
      </w:pPr>
      <w:bookmarkStart w:id="694" w:name="_Toc22041730"/>
      <w:bookmarkStart w:id="695" w:name="_Toc80798568"/>
      <w:r>
        <w:t>Отчет «</w:t>
      </w:r>
      <w:bookmarkEnd w:id="694"/>
      <w:r>
        <w:t>ФБ – Общая информация»</w:t>
      </w:r>
      <w:bookmarkEnd w:id="695"/>
    </w:p>
    <w:p w:rsidR="00616125" w:rsidRDefault="00616125" w:rsidP="00616125">
      <w:pPr>
        <w:pStyle w:val="af0"/>
        <w:rPr>
          <w:szCs w:val="28"/>
        </w:rPr>
      </w:pPr>
      <w:r>
        <w:rPr>
          <w:szCs w:val="28"/>
        </w:rPr>
        <w:t>Отчет «</w:t>
      </w:r>
      <w:r>
        <w:t>ФБ – Общая информация</w:t>
      </w:r>
      <w:r>
        <w:rPr>
          <w:szCs w:val="28"/>
        </w:rPr>
        <w:t>» группы отчетов «</w:t>
      </w:r>
      <w:r>
        <w:t>Информация об исполнении национальных (федеральных) проектов в разрезе бюджетов бюджетной системы Российской Федерации» должен</w:t>
      </w:r>
      <w:r>
        <w:rPr>
          <w:szCs w:val="28"/>
        </w:rPr>
        <w:t xml:space="preserve"> обеспечивать расчет следующих показателей по </w:t>
      </w:r>
      <w:r>
        <w:t>ГРБС (ПБС) федерального уровня</w:t>
      </w:r>
      <w:r>
        <w:rPr>
          <w:szCs w:val="28"/>
        </w:rPr>
        <w:t xml:space="preserve"> в разрезе национальных (федеральных) проектов и КВР:</w:t>
      </w:r>
    </w:p>
    <w:p w:rsidR="00616125" w:rsidRDefault="00616125" w:rsidP="00DE1661">
      <w:pPr>
        <w:pStyle w:val="13"/>
      </w:pPr>
      <w:r>
        <w:t>Утверждено (доведено) бюджетных ассигнований;</w:t>
      </w:r>
    </w:p>
    <w:p w:rsidR="00616125" w:rsidRDefault="00616125" w:rsidP="00DE1661">
      <w:pPr>
        <w:pStyle w:val="13"/>
      </w:pPr>
      <w:r>
        <w:t>Утверждено (доведено) лимитов бюджетных обязательств;</w:t>
      </w:r>
    </w:p>
    <w:p w:rsidR="00616125" w:rsidRDefault="00616125" w:rsidP="00DE1661">
      <w:pPr>
        <w:pStyle w:val="13"/>
      </w:pPr>
      <w:r>
        <w:t>Принимаемые обязательства;</w:t>
      </w:r>
    </w:p>
    <w:p w:rsidR="00616125" w:rsidRDefault="00616125" w:rsidP="00DE1661">
      <w:pPr>
        <w:pStyle w:val="13"/>
      </w:pPr>
      <w:r>
        <w:t>Принятые бюджетные обязательства всего;</w:t>
      </w:r>
    </w:p>
    <w:p w:rsidR="00616125" w:rsidRDefault="00616125" w:rsidP="00DE1661">
      <w:pPr>
        <w:pStyle w:val="13"/>
      </w:pPr>
      <w:r>
        <w:t>% принятых БО к ЛБО;</w:t>
      </w:r>
    </w:p>
    <w:p w:rsidR="00616125" w:rsidRDefault="00616125" w:rsidP="00DE1661">
      <w:pPr>
        <w:pStyle w:val="13"/>
      </w:pPr>
      <w:r>
        <w:t>Из них с применением конкурентных способов;</w:t>
      </w:r>
    </w:p>
    <w:p w:rsidR="00616125" w:rsidRDefault="00616125" w:rsidP="00DE1661">
      <w:pPr>
        <w:pStyle w:val="13"/>
      </w:pPr>
      <w:r>
        <w:t>Денежные обязательства;</w:t>
      </w:r>
    </w:p>
    <w:p w:rsidR="00616125" w:rsidRDefault="00616125" w:rsidP="00DE1661">
      <w:pPr>
        <w:pStyle w:val="13"/>
      </w:pPr>
      <w:r>
        <w:t>Исполнено денежных обязательств;</w:t>
      </w:r>
    </w:p>
    <w:p w:rsidR="00616125" w:rsidRDefault="00616125" w:rsidP="00DE1661">
      <w:pPr>
        <w:pStyle w:val="13"/>
      </w:pPr>
      <w:r>
        <w:t>Не исполнено принятых бюджетных обязательств;</w:t>
      </w:r>
    </w:p>
    <w:p w:rsidR="00616125" w:rsidRDefault="00616125" w:rsidP="00DE1661">
      <w:pPr>
        <w:pStyle w:val="13"/>
      </w:pPr>
      <w:r>
        <w:t>Не исполнено принятых денежных обязательств;</w:t>
      </w:r>
    </w:p>
    <w:p w:rsidR="00616125" w:rsidRDefault="00616125" w:rsidP="00DE1661">
      <w:pPr>
        <w:pStyle w:val="13"/>
      </w:pPr>
      <w:r>
        <w:t>% исполнения от БА;</w:t>
      </w:r>
    </w:p>
    <w:p w:rsidR="00616125" w:rsidRDefault="00616125" w:rsidP="00DE1661">
      <w:pPr>
        <w:pStyle w:val="13"/>
      </w:pPr>
      <w:r>
        <w:t>% исполнения от ЛБО;</w:t>
      </w:r>
    </w:p>
    <w:p w:rsidR="00616125" w:rsidRDefault="00616125" w:rsidP="00DE1661">
      <w:pPr>
        <w:pStyle w:val="13"/>
      </w:pPr>
      <w:r>
        <w:t>% исполнения от принятых бюджетных обязательств.</w:t>
      </w:r>
    </w:p>
    <w:p w:rsidR="00616125" w:rsidRDefault="00616125" w:rsidP="00616125">
      <w:pPr>
        <w:pStyle w:val="af0"/>
        <w:rPr>
          <w:szCs w:val="28"/>
        </w:rPr>
      </w:pPr>
      <w:r>
        <w:rPr>
          <w:szCs w:val="28"/>
        </w:rPr>
        <w:t>Источники данных для отчета:</w:t>
      </w:r>
    </w:p>
    <w:p w:rsidR="00616125" w:rsidRDefault="00616125" w:rsidP="00DE1661">
      <w:pPr>
        <w:pStyle w:val="13"/>
      </w:pPr>
      <w:r>
        <w:t>Данные на основе таблицы Факт БО Сведения об обязательствах по нац. проектам (F_BO_OBLIGATIONNP).</w:t>
      </w:r>
    </w:p>
    <w:p w:rsidR="00616125" w:rsidRDefault="00616125" w:rsidP="00616125">
      <w:pPr>
        <w:pStyle w:val="af0"/>
        <w:rPr>
          <w:szCs w:val="28"/>
        </w:rPr>
      </w:pPr>
      <w:r>
        <w:rPr>
          <w:szCs w:val="28"/>
        </w:rPr>
        <w:t>Параметры отчета:</w:t>
      </w:r>
    </w:p>
    <w:p w:rsidR="00616125" w:rsidRDefault="00616125" w:rsidP="00DE1661">
      <w:pPr>
        <w:pStyle w:val="13"/>
      </w:pPr>
      <w:r>
        <w:t>Отчетная дата. Выпадающий список с выбором дат, за которые были предоставлены исходные данные;</w:t>
      </w:r>
    </w:p>
    <w:p w:rsidR="00616125" w:rsidRDefault="00616125" w:rsidP="00DE1661">
      <w:pPr>
        <w:pStyle w:val="13"/>
      </w:pPr>
      <w:r>
        <w:t>Финансовый период. Выпадающий список с выбором финансового периода, возможен выбор значения «Все»;</w:t>
      </w:r>
    </w:p>
    <w:p w:rsidR="00616125" w:rsidRDefault="00616125"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616125" w:rsidRDefault="00616125"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616125" w:rsidRDefault="00616125" w:rsidP="00DE1661">
      <w:pPr>
        <w:pStyle w:val="13"/>
      </w:pPr>
      <w:r>
        <w:t>КВР. Выпадающий список с выбором КВР. Формируется на основании справочника D_KSPL_KVR, возможен выбор значения «Все»;</w:t>
      </w:r>
    </w:p>
    <w:p w:rsidR="00616125" w:rsidRDefault="00616125" w:rsidP="00DE1661">
      <w:pPr>
        <w:pStyle w:val="13"/>
      </w:pPr>
      <w:r>
        <w:t>РЗПР. Выпадающий список с выбором РЗПР. Формируется на основании справочника D_KSPL_RZPR, возможен выбор значения «Все»;</w:t>
      </w:r>
    </w:p>
    <w:p w:rsidR="00616125" w:rsidRDefault="00616125" w:rsidP="00DE1661">
      <w:pPr>
        <w:pStyle w:val="13"/>
      </w:pPr>
      <w:r>
        <w:t>КЦСР. Параметр с возможностью задания значения по маске (XXXXXXXXXX), по умолчанию параметр не задан;</w:t>
      </w:r>
    </w:p>
    <w:p w:rsidR="00616125" w:rsidRDefault="00616125" w:rsidP="00DE1661">
      <w:pPr>
        <w:pStyle w:val="13"/>
      </w:pPr>
      <w:r>
        <w:t>Направление расходов. Параметр с возможностью задания значения по маске (XXXXX), по умолчанию параметр не задан;</w:t>
      </w:r>
    </w:p>
    <w:p w:rsidR="00616125" w:rsidRDefault="00616125" w:rsidP="00DE1661">
      <w:pPr>
        <w:pStyle w:val="13"/>
      </w:pPr>
      <w:r>
        <w:t>Единицы измерения. Плоский список с элементами: руб., тыс. руб., млн. руб., млрд. руб.</w:t>
      </w:r>
    </w:p>
    <w:p w:rsidR="00616125" w:rsidRDefault="00616125" w:rsidP="00616125">
      <w:pPr>
        <w:pStyle w:val="af0"/>
        <w:rPr>
          <w:szCs w:val="28"/>
        </w:rPr>
      </w:pPr>
      <w:r>
        <w:rPr>
          <w:szCs w:val="28"/>
        </w:rPr>
        <w:t>Из отчета должны быть обеспечены следующие переходы:</w:t>
      </w:r>
    </w:p>
    <w:p w:rsidR="00616125" w:rsidRDefault="00616125" w:rsidP="00616125">
      <w:pPr>
        <w:pStyle w:val="af0"/>
        <w:rPr>
          <w:szCs w:val="28"/>
        </w:rPr>
      </w:pPr>
      <w:r>
        <w:rPr>
          <w:szCs w:val="28"/>
        </w:rPr>
        <w:t>Детализация по ГРБС/ПС;</w:t>
      </w:r>
    </w:p>
    <w:p w:rsidR="00616125" w:rsidRDefault="00616125" w:rsidP="00616125">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616125" w:rsidRDefault="00616125" w:rsidP="00616125">
      <w:pPr>
        <w:pStyle w:val="-0"/>
        <w:keepNext/>
      </w:pPr>
      <w:r>
        <w:rPr>
          <w:noProof/>
          <w:snapToGrid/>
        </w:rPr>
        <w:drawing>
          <wp:inline distT="0" distB="0" distL="0" distR="0" wp14:anchorId="16D2A1BD" wp14:editId="299388E8">
            <wp:extent cx="6119495" cy="3092507"/>
            <wp:effectExtent l="0" t="0" r="0" b="0"/>
            <wp:docPr id="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6119495" cy="3092507"/>
                    </a:xfrm>
                    <a:prstGeom prst="rect">
                      <a:avLst/>
                    </a:prstGeom>
                    <a:noFill/>
                    <a:ln>
                      <a:noFill/>
                    </a:ln>
                  </pic:spPr>
                </pic:pic>
              </a:graphicData>
            </a:graphic>
          </wp:inline>
        </w:drawing>
      </w:r>
    </w:p>
    <w:p w:rsidR="00616125" w:rsidRDefault="00616125" w:rsidP="00616125">
      <w:pPr>
        <w:pStyle w:val="afff8"/>
        <w:jc w:val="center"/>
        <w:rPr>
          <w:rStyle w:val="af1"/>
        </w:rPr>
      </w:pPr>
      <w:bookmarkStart w:id="696" w:name="_Toc119584343"/>
      <w:r>
        <w:t xml:space="preserve">Рисунок </w:t>
      </w:r>
      <w:fldSimple w:instr=" SEQ Рисунок \* ARABIC ">
        <w:r w:rsidR="001860A9">
          <w:rPr>
            <w:noProof/>
          </w:rPr>
          <w:t>156</w:t>
        </w:r>
      </w:fldSimple>
      <w:r>
        <w:rPr>
          <w:szCs w:val="28"/>
        </w:rPr>
        <w:t xml:space="preserve"> – </w:t>
      </w:r>
      <w:r>
        <w:rPr>
          <w:rStyle w:val="af1"/>
        </w:rPr>
        <w:t>Макет отчета «</w:t>
      </w:r>
      <w:r>
        <w:t xml:space="preserve">ФБ – </w:t>
      </w:r>
      <w:r w:rsidRPr="005C6D6E">
        <w:t>Общая</w:t>
      </w:r>
      <w:r>
        <w:t xml:space="preserve"> информация</w:t>
      </w:r>
      <w:r>
        <w:rPr>
          <w:rStyle w:val="af1"/>
        </w:rPr>
        <w:t>»</w:t>
      </w:r>
      <w:bookmarkEnd w:id="696"/>
    </w:p>
    <w:p w:rsidR="00616125" w:rsidRDefault="00616125" w:rsidP="00616125">
      <w:pPr>
        <w:pStyle w:val="42"/>
      </w:pPr>
      <w:bookmarkStart w:id="697" w:name="_Toc80798569"/>
      <w:r>
        <w:t>Отчет «ФБ – Детализация»</w:t>
      </w:r>
      <w:bookmarkEnd w:id="697"/>
    </w:p>
    <w:p w:rsidR="00616125" w:rsidRDefault="00616125" w:rsidP="00616125">
      <w:pPr>
        <w:pStyle w:val="af0"/>
        <w:rPr>
          <w:szCs w:val="28"/>
        </w:rPr>
      </w:pPr>
      <w:r>
        <w:rPr>
          <w:szCs w:val="28"/>
        </w:rPr>
        <w:t>Отчет «</w:t>
      </w:r>
      <w:r>
        <w:t>ФБ – Детализация</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расчет следующих показателей в разрезе ГРБС/ПБС:</w:t>
      </w:r>
    </w:p>
    <w:p w:rsidR="00616125" w:rsidRDefault="00616125" w:rsidP="00DE1661">
      <w:pPr>
        <w:pStyle w:val="13"/>
      </w:pPr>
      <w:r>
        <w:t>Утверждено (доведено) бюджетных ассигнований;</w:t>
      </w:r>
    </w:p>
    <w:p w:rsidR="00616125" w:rsidRDefault="00616125" w:rsidP="00DE1661">
      <w:pPr>
        <w:pStyle w:val="13"/>
      </w:pPr>
      <w:r>
        <w:t>Утверждено (доведено) лимитов бюджетных обязательств;</w:t>
      </w:r>
    </w:p>
    <w:p w:rsidR="00616125" w:rsidRDefault="00616125" w:rsidP="00DE1661">
      <w:pPr>
        <w:pStyle w:val="13"/>
      </w:pPr>
      <w:r>
        <w:t>Принимаемые обязательства;</w:t>
      </w:r>
    </w:p>
    <w:p w:rsidR="00616125" w:rsidRDefault="00616125" w:rsidP="00DE1661">
      <w:pPr>
        <w:pStyle w:val="13"/>
      </w:pPr>
      <w:r>
        <w:t>Принятые бюджетные обязательства всего;</w:t>
      </w:r>
    </w:p>
    <w:p w:rsidR="00616125" w:rsidRDefault="00616125" w:rsidP="00DE1661">
      <w:pPr>
        <w:pStyle w:val="13"/>
      </w:pPr>
      <w:r>
        <w:t>% принятых БО к ЛБО;</w:t>
      </w:r>
    </w:p>
    <w:p w:rsidR="00616125" w:rsidRDefault="00616125" w:rsidP="00DE1661">
      <w:pPr>
        <w:pStyle w:val="13"/>
      </w:pPr>
      <w:r>
        <w:t>Из них с применением конкурентных способов;</w:t>
      </w:r>
    </w:p>
    <w:p w:rsidR="00616125" w:rsidRDefault="00616125" w:rsidP="00DE1661">
      <w:pPr>
        <w:pStyle w:val="13"/>
      </w:pPr>
      <w:r>
        <w:t>Денежные обязательства;</w:t>
      </w:r>
    </w:p>
    <w:p w:rsidR="00616125" w:rsidRDefault="00616125" w:rsidP="00DE1661">
      <w:pPr>
        <w:pStyle w:val="13"/>
      </w:pPr>
      <w:r>
        <w:t>Исполнено денежных обязательств;</w:t>
      </w:r>
    </w:p>
    <w:p w:rsidR="00616125" w:rsidRDefault="00616125" w:rsidP="00DE1661">
      <w:pPr>
        <w:pStyle w:val="13"/>
      </w:pPr>
      <w:r>
        <w:t>Не исполнено принятых бюджетных обязательств;</w:t>
      </w:r>
    </w:p>
    <w:p w:rsidR="00616125" w:rsidRDefault="00616125" w:rsidP="00DE1661">
      <w:pPr>
        <w:pStyle w:val="13"/>
      </w:pPr>
      <w:r>
        <w:t>Не исполнено принятых денежных обязательств;</w:t>
      </w:r>
    </w:p>
    <w:p w:rsidR="00616125" w:rsidRDefault="00616125" w:rsidP="00DE1661">
      <w:pPr>
        <w:pStyle w:val="13"/>
      </w:pPr>
      <w:r>
        <w:t>% исполнения от БА;</w:t>
      </w:r>
    </w:p>
    <w:p w:rsidR="00616125" w:rsidRDefault="00616125" w:rsidP="00DE1661">
      <w:pPr>
        <w:pStyle w:val="13"/>
      </w:pPr>
      <w:r>
        <w:t>% исполнения от ЛБО;</w:t>
      </w:r>
    </w:p>
    <w:p w:rsidR="00616125" w:rsidRDefault="00616125" w:rsidP="00DE1661">
      <w:pPr>
        <w:pStyle w:val="13"/>
      </w:pPr>
      <w:r>
        <w:t>% исполнения от принятых бюджетных обязательств.</w:t>
      </w:r>
    </w:p>
    <w:p w:rsidR="00616125" w:rsidRDefault="00616125" w:rsidP="00616125">
      <w:pPr>
        <w:pStyle w:val="af0"/>
        <w:rPr>
          <w:szCs w:val="28"/>
        </w:rPr>
      </w:pPr>
      <w:r>
        <w:rPr>
          <w:szCs w:val="28"/>
        </w:rPr>
        <w:t>Источники данных для отчета:</w:t>
      </w:r>
    </w:p>
    <w:p w:rsidR="00616125" w:rsidRDefault="00616125" w:rsidP="00DE1661">
      <w:pPr>
        <w:pStyle w:val="13"/>
      </w:pPr>
      <w:r>
        <w:t>Данные на основе таблицы Факт БО Сведения об обязательствах по нац. проектам (F_BO_OBLIGATIONNP).</w:t>
      </w:r>
    </w:p>
    <w:p w:rsidR="00616125" w:rsidRDefault="00616125" w:rsidP="00616125">
      <w:pPr>
        <w:pStyle w:val="af0"/>
        <w:rPr>
          <w:szCs w:val="28"/>
        </w:rPr>
      </w:pPr>
      <w:r>
        <w:rPr>
          <w:szCs w:val="28"/>
        </w:rPr>
        <w:t>Параметры отчета:</w:t>
      </w:r>
    </w:p>
    <w:p w:rsidR="00616125" w:rsidRDefault="00616125" w:rsidP="00DE1661">
      <w:pPr>
        <w:pStyle w:val="13"/>
      </w:pPr>
      <w:r>
        <w:t>Отчетная дата. Выпадающий список с выбором дат, за которые были предоставлены исходные данные;</w:t>
      </w:r>
    </w:p>
    <w:p w:rsidR="00616125" w:rsidRDefault="00616125" w:rsidP="00DE1661">
      <w:pPr>
        <w:pStyle w:val="13"/>
      </w:pPr>
      <w:r>
        <w:t>Финансовый период. Выпадающий список с выбором финансового периода, возможен выбор значения «Все»;</w:t>
      </w:r>
    </w:p>
    <w:p w:rsidR="00616125" w:rsidRDefault="00616125" w:rsidP="00DE1661">
      <w:pPr>
        <w:pStyle w:val="13"/>
      </w:pPr>
      <w:r>
        <w:t>ГРБС. Выпадающий список с выбором главного распорядителя бюджетных средств. Формируется на основании справочника D_BO_SUBBO, возможен выбор значения «Все»;</w:t>
      </w:r>
    </w:p>
    <w:p w:rsidR="00616125" w:rsidRDefault="00616125" w:rsidP="00DE1661">
      <w:pPr>
        <w:pStyle w:val="13"/>
      </w:pPr>
      <w:r>
        <w:t>ПБС. Выпадающий список с выбором получателя бюджетных средств. Формируется на основании справочника D_BO_SUBBO, возможен выбор значения «Все»;</w:t>
      </w:r>
    </w:p>
    <w:p w:rsidR="00616125" w:rsidRDefault="00616125"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616125" w:rsidRDefault="00616125"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616125" w:rsidRDefault="00616125" w:rsidP="00DE1661">
      <w:pPr>
        <w:pStyle w:val="13"/>
      </w:pPr>
      <w:r>
        <w:t>КВР. Выпадающий список с выбором КВР. Формируется на основании справочника D_KSPL_KVR, возможен выбор значения «Все»;</w:t>
      </w:r>
    </w:p>
    <w:p w:rsidR="00616125" w:rsidRDefault="00616125" w:rsidP="00DE1661">
      <w:pPr>
        <w:pStyle w:val="13"/>
      </w:pPr>
      <w:r>
        <w:t>РЗПР. Выпадающий список с выбором РЗПР. Формируется на основании справочника D_KSPL_RZPR, возможен выбор значения «Все»;</w:t>
      </w:r>
    </w:p>
    <w:p w:rsidR="00616125" w:rsidRDefault="00616125" w:rsidP="00DE1661">
      <w:pPr>
        <w:pStyle w:val="13"/>
      </w:pPr>
      <w:r>
        <w:t>КЦСР. Параметр с возможностью задания значения по маске (XXXXXXXXXX), по умолчанию параметр не задан;</w:t>
      </w:r>
    </w:p>
    <w:p w:rsidR="00616125" w:rsidRDefault="00616125" w:rsidP="00DE1661">
      <w:pPr>
        <w:pStyle w:val="13"/>
      </w:pPr>
      <w:r>
        <w:t>Направление расходов. Параметр с возможностью задания значения по маске (XXXXX), по умолчанию параметр не задан;</w:t>
      </w:r>
    </w:p>
    <w:p w:rsidR="00616125" w:rsidRDefault="00616125" w:rsidP="00DE1661">
      <w:pPr>
        <w:pStyle w:val="13"/>
      </w:pPr>
      <w:r>
        <w:t>Единицы измерения. Плоский список с элементами: руб., тыс. руб., млн. руб., млрд. руб.</w:t>
      </w:r>
    </w:p>
    <w:p w:rsidR="00616125" w:rsidRDefault="00616125" w:rsidP="00616125">
      <w:pPr>
        <w:pStyle w:val="af0"/>
        <w:rPr>
          <w:szCs w:val="28"/>
        </w:rPr>
      </w:pPr>
      <w:r>
        <w:rPr>
          <w:szCs w:val="28"/>
        </w:rPr>
        <w:t>Из отчета должны быть обеспечены следующие переходы:</w:t>
      </w:r>
    </w:p>
    <w:p w:rsidR="00616125" w:rsidRDefault="00616125" w:rsidP="00616125">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616125" w:rsidRDefault="00616125" w:rsidP="00616125">
      <w:pPr>
        <w:pStyle w:val="-0"/>
      </w:pPr>
      <w:r>
        <w:rPr>
          <w:noProof/>
          <w:snapToGrid/>
        </w:rPr>
        <w:drawing>
          <wp:inline distT="0" distB="0" distL="0" distR="0" wp14:anchorId="1BF7FD6E" wp14:editId="13C233F0">
            <wp:extent cx="6119495" cy="3122057"/>
            <wp:effectExtent l="0" t="0" r="0" b="2540"/>
            <wp:docPr id="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6119495" cy="3122057"/>
                    </a:xfrm>
                    <a:prstGeom prst="rect">
                      <a:avLst/>
                    </a:prstGeom>
                    <a:noFill/>
                    <a:ln>
                      <a:noFill/>
                    </a:ln>
                  </pic:spPr>
                </pic:pic>
              </a:graphicData>
            </a:graphic>
          </wp:inline>
        </w:drawing>
      </w:r>
    </w:p>
    <w:p w:rsidR="00616125" w:rsidRDefault="00616125" w:rsidP="00616125">
      <w:pPr>
        <w:pStyle w:val="-0"/>
        <w:rPr>
          <w:rStyle w:val="af1"/>
        </w:rPr>
      </w:pPr>
      <w:bookmarkStart w:id="698" w:name="_Toc119584344"/>
      <w:r>
        <w:t xml:space="preserve">Рисунок </w:t>
      </w:r>
      <w:fldSimple w:instr=" SEQ Рисунок \* ARABIC ">
        <w:r w:rsidR="001860A9">
          <w:rPr>
            <w:noProof/>
          </w:rPr>
          <w:t>157</w:t>
        </w:r>
      </w:fldSimple>
      <w:r>
        <w:rPr>
          <w:szCs w:val="28"/>
        </w:rPr>
        <w:t xml:space="preserve"> – </w:t>
      </w:r>
      <w:r>
        <w:rPr>
          <w:rStyle w:val="af1"/>
        </w:rPr>
        <w:t>Макет отчета «</w:t>
      </w:r>
      <w:r>
        <w:t xml:space="preserve">ФБ – </w:t>
      </w:r>
      <w:r w:rsidRPr="005C6D6E">
        <w:t>Детализация</w:t>
      </w:r>
      <w:r>
        <w:rPr>
          <w:rStyle w:val="af1"/>
        </w:rPr>
        <w:t>»</w:t>
      </w:r>
      <w:bookmarkEnd w:id="698"/>
    </w:p>
    <w:p w:rsidR="00616125" w:rsidRDefault="00616125" w:rsidP="00B304F3">
      <w:pPr>
        <w:pStyle w:val="42"/>
        <w:keepNext/>
      </w:pPr>
      <w:bookmarkStart w:id="699" w:name="_Toc80798570"/>
      <w:r>
        <w:t>Отчет «Субъект РФ – Общая информация»</w:t>
      </w:r>
      <w:bookmarkEnd w:id="699"/>
    </w:p>
    <w:p w:rsidR="00616125" w:rsidRDefault="00616125" w:rsidP="00616125">
      <w:pPr>
        <w:pStyle w:val="af0"/>
        <w:rPr>
          <w:szCs w:val="28"/>
        </w:rPr>
      </w:pPr>
      <w:r>
        <w:rPr>
          <w:szCs w:val="28"/>
        </w:rPr>
        <w:t>Отчет «</w:t>
      </w:r>
      <w:r>
        <w:t>Субъект РФ – Общая информация</w:t>
      </w:r>
      <w:r>
        <w:rPr>
          <w:szCs w:val="28"/>
        </w:rPr>
        <w:t>» группы отчетов «</w:t>
      </w:r>
      <w:r>
        <w:t>Информация об исполнении национальных (федеральных) проектов в разрезе бюджетов бюджетной системы Российской Федерации» должен</w:t>
      </w:r>
      <w:r>
        <w:rPr>
          <w:szCs w:val="28"/>
        </w:rPr>
        <w:t xml:space="preserve"> обеспечивать расчет следующих показателей по </w:t>
      </w:r>
      <w:r>
        <w:t>субъектам РФ</w:t>
      </w:r>
      <w:r>
        <w:rPr>
          <w:szCs w:val="28"/>
        </w:rPr>
        <w:t xml:space="preserve"> в разрезе национальных (федеральных) проектов и КВР:</w:t>
      </w:r>
    </w:p>
    <w:p w:rsidR="00616125" w:rsidRDefault="00616125" w:rsidP="00DE1661">
      <w:pPr>
        <w:pStyle w:val="13"/>
      </w:pPr>
      <w:r>
        <w:t>Утверждено (доведено) бюджетных ассигнований;</w:t>
      </w:r>
    </w:p>
    <w:p w:rsidR="00616125" w:rsidRDefault="00616125" w:rsidP="00DE1661">
      <w:pPr>
        <w:pStyle w:val="13"/>
      </w:pPr>
      <w:r>
        <w:t>Утверждено (доведено) лимитов бюджетных обязательств;</w:t>
      </w:r>
    </w:p>
    <w:p w:rsidR="00616125" w:rsidRDefault="00616125" w:rsidP="00DE1661">
      <w:pPr>
        <w:pStyle w:val="13"/>
      </w:pPr>
      <w:r>
        <w:t>Принимаемые обязательства;</w:t>
      </w:r>
    </w:p>
    <w:p w:rsidR="00616125" w:rsidRDefault="00616125" w:rsidP="00DE1661">
      <w:pPr>
        <w:pStyle w:val="13"/>
      </w:pPr>
      <w:r>
        <w:t>Принятые бюджетные обязательства всего;</w:t>
      </w:r>
    </w:p>
    <w:p w:rsidR="00616125" w:rsidRDefault="00616125" w:rsidP="00DE1661">
      <w:pPr>
        <w:pStyle w:val="13"/>
      </w:pPr>
      <w:r>
        <w:t>% принятых БО к ЛБО;</w:t>
      </w:r>
    </w:p>
    <w:p w:rsidR="00616125" w:rsidRDefault="00616125" w:rsidP="00DE1661">
      <w:pPr>
        <w:pStyle w:val="13"/>
      </w:pPr>
      <w:r>
        <w:t>Из них с применением конкурентных способов;</w:t>
      </w:r>
    </w:p>
    <w:p w:rsidR="00616125" w:rsidRDefault="00616125" w:rsidP="00DE1661">
      <w:pPr>
        <w:pStyle w:val="13"/>
      </w:pPr>
      <w:r>
        <w:t>Денежные обязательства;</w:t>
      </w:r>
    </w:p>
    <w:p w:rsidR="00616125" w:rsidRDefault="00616125" w:rsidP="00DE1661">
      <w:pPr>
        <w:pStyle w:val="13"/>
      </w:pPr>
      <w:r>
        <w:t>Исполнено денежных обязательств;</w:t>
      </w:r>
    </w:p>
    <w:p w:rsidR="00616125" w:rsidRDefault="00616125" w:rsidP="00DE1661">
      <w:pPr>
        <w:pStyle w:val="13"/>
      </w:pPr>
      <w:r>
        <w:t>Не исполнено принятых бюджетных обязательств;</w:t>
      </w:r>
    </w:p>
    <w:p w:rsidR="00616125" w:rsidRDefault="00616125" w:rsidP="00DE1661">
      <w:pPr>
        <w:pStyle w:val="13"/>
      </w:pPr>
      <w:r>
        <w:t>Не исполнено принятых денежных обязательств;</w:t>
      </w:r>
    </w:p>
    <w:p w:rsidR="00616125" w:rsidRDefault="00616125" w:rsidP="00DE1661">
      <w:pPr>
        <w:pStyle w:val="13"/>
      </w:pPr>
      <w:r>
        <w:t>% исполнения от БА;</w:t>
      </w:r>
    </w:p>
    <w:p w:rsidR="00616125" w:rsidRDefault="00616125" w:rsidP="00DE1661">
      <w:pPr>
        <w:pStyle w:val="13"/>
      </w:pPr>
      <w:r>
        <w:t>% исполнения от ЛБО;</w:t>
      </w:r>
    </w:p>
    <w:p w:rsidR="00616125" w:rsidRDefault="00616125" w:rsidP="00DE1661">
      <w:pPr>
        <w:pStyle w:val="13"/>
      </w:pPr>
      <w:r>
        <w:t>% исполнения от принятых бюджетных обязательств.</w:t>
      </w:r>
    </w:p>
    <w:p w:rsidR="00616125" w:rsidRDefault="00616125" w:rsidP="00616125">
      <w:pPr>
        <w:pStyle w:val="af0"/>
        <w:rPr>
          <w:szCs w:val="28"/>
        </w:rPr>
      </w:pPr>
      <w:r>
        <w:rPr>
          <w:szCs w:val="28"/>
        </w:rPr>
        <w:t>Источники данных для отчета:</w:t>
      </w:r>
    </w:p>
    <w:p w:rsidR="00616125" w:rsidRDefault="00616125" w:rsidP="00DE1661">
      <w:pPr>
        <w:pStyle w:val="13"/>
      </w:pPr>
      <w:r>
        <w:t>Данные на основе таблицы Факт БО Сведения об обязательствах по нац. проектам (F_BO_OBLIGATIONNP).</w:t>
      </w:r>
    </w:p>
    <w:p w:rsidR="00616125" w:rsidRDefault="00616125" w:rsidP="00616125">
      <w:pPr>
        <w:pStyle w:val="af0"/>
        <w:rPr>
          <w:szCs w:val="28"/>
        </w:rPr>
      </w:pPr>
      <w:r>
        <w:rPr>
          <w:szCs w:val="28"/>
        </w:rPr>
        <w:t>Параметры отчета:</w:t>
      </w:r>
    </w:p>
    <w:p w:rsidR="00616125" w:rsidRDefault="00616125" w:rsidP="00DE1661">
      <w:pPr>
        <w:pStyle w:val="13"/>
      </w:pPr>
      <w:r>
        <w:t>Отчетная дата. Выпадающий список с выбором дат, за которые были предоставлены исходные данные;</w:t>
      </w:r>
    </w:p>
    <w:p w:rsidR="00616125" w:rsidRDefault="00616125" w:rsidP="00DE1661">
      <w:pPr>
        <w:pStyle w:val="13"/>
      </w:pPr>
      <w:r>
        <w:t>Финансовый период. Выпадающий список с выбором финансового периода, возможен выбор значения «Все»;</w:t>
      </w:r>
    </w:p>
    <w:p w:rsidR="00616125" w:rsidRDefault="00616125"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616125" w:rsidRDefault="00616125"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616125" w:rsidRDefault="00616125" w:rsidP="00DE1661">
      <w:pPr>
        <w:pStyle w:val="13"/>
      </w:pPr>
      <w:r>
        <w:t>КВР. Выпадающий список с выбором КВР. Формируется на основании справочника D_KSPL_KVR, возможен выбор значения «Все»;</w:t>
      </w:r>
    </w:p>
    <w:p w:rsidR="00616125" w:rsidRDefault="00616125" w:rsidP="00DE1661">
      <w:pPr>
        <w:pStyle w:val="13"/>
      </w:pPr>
      <w:r>
        <w:t>РЗПР. Выпадающий список с выбором РЗПР. Формируется на основании справочника D_KSPL_RZPR, возможен выбор значения «Все»;</w:t>
      </w:r>
    </w:p>
    <w:p w:rsidR="00616125" w:rsidRDefault="00616125" w:rsidP="00DE1661">
      <w:pPr>
        <w:pStyle w:val="13"/>
      </w:pPr>
      <w:r>
        <w:t>КЦСР. Параметр с возможностью задания значения по маске (XXXXXXXXXX), по умолчанию параметр не задан;</w:t>
      </w:r>
    </w:p>
    <w:p w:rsidR="00616125" w:rsidRDefault="00616125" w:rsidP="00DE1661">
      <w:pPr>
        <w:pStyle w:val="13"/>
      </w:pPr>
      <w:r>
        <w:t>Направление расходов. Параметр с возможностью задания значения по маске (XXXXX), по умолчанию параметр не задан;</w:t>
      </w:r>
    </w:p>
    <w:p w:rsidR="00616125" w:rsidRDefault="00616125" w:rsidP="00DE1661">
      <w:pPr>
        <w:pStyle w:val="13"/>
      </w:pPr>
      <w:r>
        <w:t>Единицы измерения. Плоский список с элементами: руб., тыс. руб., млн. руб., млрд. руб.</w:t>
      </w:r>
    </w:p>
    <w:p w:rsidR="00616125" w:rsidRDefault="00616125" w:rsidP="00616125">
      <w:pPr>
        <w:pStyle w:val="af0"/>
        <w:rPr>
          <w:szCs w:val="28"/>
        </w:rPr>
      </w:pPr>
      <w:r>
        <w:rPr>
          <w:szCs w:val="28"/>
        </w:rPr>
        <w:t>Из отчета должны быть обеспечены следующие переходы:</w:t>
      </w:r>
    </w:p>
    <w:p w:rsidR="00616125" w:rsidRDefault="00616125" w:rsidP="00616125">
      <w:pPr>
        <w:pStyle w:val="af0"/>
        <w:rPr>
          <w:szCs w:val="28"/>
        </w:rPr>
      </w:pPr>
      <w:r>
        <w:rPr>
          <w:szCs w:val="28"/>
        </w:rPr>
        <w:t>Детализация по субъектам РФ;</w:t>
      </w:r>
    </w:p>
    <w:p w:rsidR="00616125" w:rsidRDefault="00616125" w:rsidP="00616125">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B304F3" w:rsidRDefault="00B304F3" w:rsidP="00B304F3">
      <w:pPr>
        <w:pStyle w:val="-0"/>
        <w:keepNext/>
      </w:pPr>
      <w:r>
        <w:rPr>
          <w:noProof/>
          <w:snapToGrid/>
        </w:rPr>
        <w:drawing>
          <wp:inline distT="0" distB="0" distL="0" distR="0" wp14:anchorId="1C4F42E6" wp14:editId="27C63AB0">
            <wp:extent cx="6119495" cy="3099059"/>
            <wp:effectExtent l="0" t="0" r="0" b="6350"/>
            <wp:docPr id="8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6119495" cy="3099059"/>
                    </a:xfrm>
                    <a:prstGeom prst="rect">
                      <a:avLst/>
                    </a:prstGeom>
                    <a:noFill/>
                    <a:ln>
                      <a:noFill/>
                    </a:ln>
                  </pic:spPr>
                </pic:pic>
              </a:graphicData>
            </a:graphic>
          </wp:inline>
        </w:drawing>
      </w:r>
    </w:p>
    <w:p w:rsidR="00B304F3" w:rsidRDefault="00B304F3" w:rsidP="00B304F3">
      <w:pPr>
        <w:pStyle w:val="-0"/>
        <w:rPr>
          <w:rStyle w:val="af1"/>
        </w:rPr>
      </w:pPr>
      <w:bookmarkStart w:id="700" w:name="_Toc119584345"/>
      <w:r>
        <w:t xml:space="preserve">Рисунок </w:t>
      </w:r>
      <w:fldSimple w:instr=" SEQ Рисунок \* ARABIC ">
        <w:r w:rsidR="001860A9">
          <w:rPr>
            <w:noProof/>
          </w:rPr>
          <w:t>158</w:t>
        </w:r>
      </w:fldSimple>
      <w:r>
        <w:rPr>
          <w:szCs w:val="28"/>
        </w:rPr>
        <w:t xml:space="preserve"> – </w:t>
      </w:r>
      <w:r>
        <w:rPr>
          <w:rStyle w:val="af1"/>
        </w:rPr>
        <w:t>Макет отчета «</w:t>
      </w:r>
      <w:r>
        <w:t>Субъект РФ – Общая информация</w:t>
      </w:r>
      <w:r>
        <w:rPr>
          <w:rStyle w:val="af1"/>
        </w:rPr>
        <w:t>»</w:t>
      </w:r>
      <w:bookmarkEnd w:id="700"/>
    </w:p>
    <w:p w:rsidR="00B304F3" w:rsidRDefault="00B304F3" w:rsidP="000A19A3">
      <w:pPr>
        <w:pStyle w:val="42"/>
        <w:keepNext/>
      </w:pPr>
      <w:bookmarkStart w:id="701" w:name="_Toc80798571"/>
      <w:r>
        <w:t>Отчет «Субъект РФ – Детализация»</w:t>
      </w:r>
      <w:bookmarkEnd w:id="701"/>
    </w:p>
    <w:p w:rsidR="00B304F3" w:rsidRDefault="00B304F3" w:rsidP="00B304F3">
      <w:pPr>
        <w:pStyle w:val="af0"/>
        <w:rPr>
          <w:szCs w:val="28"/>
        </w:rPr>
      </w:pPr>
      <w:r>
        <w:rPr>
          <w:szCs w:val="28"/>
        </w:rPr>
        <w:t>Отчет «</w:t>
      </w:r>
      <w:r>
        <w:t>Субъект РФ – Детализация</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расчет следующих показателей в разрезе субъектов РФ:</w:t>
      </w:r>
    </w:p>
    <w:p w:rsidR="00B304F3" w:rsidRDefault="00B304F3" w:rsidP="00DE1661">
      <w:pPr>
        <w:pStyle w:val="13"/>
      </w:pPr>
      <w:r>
        <w:t>Утверждено (доведено) бюджетных ассигнований;</w:t>
      </w:r>
    </w:p>
    <w:p w:rsidR="00B304F3" w:rsidRDefault="00B304F3" w:rsidP="00DE1661">
      <w:pPr>
        <w:pStyle w:val="13"/>
      </w:pPr>
      <w:r>
        <w:t>Утверждено (доведено) лимитов бюджетных обязательств;</w:t>
      </w:r>
    </w:p>
    <w:p w:rsidR="00B304F3" w:rsidRDefault="00B304F3" w:rsidP="00DE1661">
      <w:pPr>
        <w:pStyle w:val="13"/>
      </w:pPr>
      <w:r>
        <w:t>Принимаемые обязательства;</w:t>
      </w:r>
    </w:p>
    <w:p w:rsidR="00B304F3" w:rsidRDefault="00B304F3" w:rsidP="00DE1661">
      <w:pPr>
        <w:pStyle w:val="13"/>
      </w:pPr>
      <w:r>
        <w:t>Принятые бюджетные обязательства всего;</w:t>
      </w:r>
    </w:p>
    <w:p w:rsidR="00B304F3" w:rsidRDefault="00B304F3" w:rsidP="00DE1661">
      <w:pPr>
        <w:pStyle w:val="13"/>
      </w:pPr>
      <w:r>
        <w:t>% принятых БО к ЛБО;</w:t>
      </w:r>
    </w:p>
    <w:p w:rsidR="00B304F3" w:rsidRDefault="00B304F3" w:rsidP="00DE1661">
      <w:pPr>
        <w:pStyle w:val="13"/>
      </w:pPr>
      <w:r>
        <w:t>Из них с применением конкурентных способов;</w:t>
      </w:r>
    </w:p>
    <w:p w:rsidR="00B304F3" w:rsidRDefault="00B304F3" w:rsidP="00DE1661">
      <w:pPr>
        <w:pStyle w:val="13"/>
      </w:pPr>
      <w:r>
        <w:t>Денежные обязательства;</w:t>
      </w:r>
    </w:p>
    <w:p w:rsidR="00B304F3" w:rsidRDefault="00B304F3" w:rsidP="00DE1661">
      <w:pPr>
        <w:pStyle w:val="13"/>
      </w:pPr>
      <w:r>
        <w:t>Исполнено денежных обязательств;</w:t>
      </w:r>
    </w:p>
    <w:p w:rsidR="00B304F3" w:rsidRDefault="00B304F3" w:rsidP="00DE1661">
      <w:pPr>
        <w:pStyle w:val="13"/>
      </w:pPr>
      <w:r>
        <w:t>Не исполнено принятых бюджетных обязательств;</w:t>
      </w:r>
    </w:p>
    <w:p w:rsidR="00B304F3" w:rsidRDefault="00B304F3" w:rsidP="00DE1661">
      <w:pPr>
        <w:pStyle w:val="13"/>
      </w:pPr>
      <w:r>
        <w:t>Не исполнено принятых денежных обязательств;</w:t>
      </w:r>
    </w:p>
    <w:p w:rsidR="00B304F3" w:rsidRDefault="00B304F3" w:rsidP="00DE1661">
      <w:pPr>
        <w:pStyle w:val="13"/>
      </w:pPr>
      <w:r>
        <w:t>% исполнения от БА;</w:t>
      </w:r>
    </w:p>
    <w:p w:rsidR="00B304F3" w:rsidRDefault="00B304F3" w:rsidP="00DE1661">
      <w:pPr>
        <w:pStyle w:val="13"/>
      </w:pPr>
      <w:r>
        <w:t>% исполнения от ЛБО;</w:t>
      </w:r>
    </w:p>
    <w:p w:rsidR="00B304F3" w:rsidRDefault="00B304F3" w:rsidP="00DE1661">
      <w:pPr>
        <w:pStyle w:val="13"/>
      </w:pPr>
      <w:r>
        <w:t>% исполнения от принятых бюджетных обязательств.</w:t>
      </w:r>
    </w:p>
    <w:p w:rsidR="00B304F3" w:rsidRDefault="00B304F3" w:rsidP="00B304F3">
      <w:pPr>
        <w:pStyle w:val="af0"/>
        <w:rPr>
          <w:szCs w:val="28"/>
        </w:rPr>
      </w:pPr>
      <w:r>
        <w:rPr>
          <w:szCs w:val="28"/>
        </w:rPr>
        <w:t>Источники данных для отчета:</w:t>
      </w:r>
    </w:p>
    <w:p w:rsidR="00B304F3" w:rsidRDefault="00B304F3" w:rsidP="00DE1661">
      <w:pPr>
        <w:pStyle w:val="13"/>
      </w:pPr>
      <w:r>
        <w:t>Данные на основе таблицы Факт БО Сведения об обязательствах по нац. проектам (F_BO_OBLIGATIONNP).</w:t>
      </w:r>
    </w:p>
    <w:p w:rsidR="00B304F3" w:rsidRDefault="00B304F3" w:rsidP="00B304F3">
      <w:pPr>
        <w:pStyle w:val="af0"/>
        <w:rPr>
          <w:szCs w:val="28"/>
        </w:rPr>
      </w:pPr>
      <w:r>
        <w:rPr>
          <w:szCs w:val="28"/>
        </w:rPr>
        <w:t>Параметры отчета:</w:t>
      </w:r>
    </w:p>
    <w:p w:rsidR="00B304F3" w:rsidRDefault="00B304F3" w:rsidP="00DE1661">
      <w:pPr>
        <w:pStyle w:val="13"/>
      </w:pPr>
      <w:r>
        <w:t>Отчетная дата. Выпадающий список с выбором дат, за которые были предоставлены исходные данные;</w:t>
      </w:r>
    </w:p>
    <w:p w:rsidR="00B304F3" w:rsidRDefault="00B304F3" w:rsidP="00DE1661">
      <w:pPr>
        <w:pStyle w:val="13"/>
      </w:pPr>
      <w:r>
        <w:t>Финансовый период. Выпадающий список с выбором финансового периода, возможен выбор значения «Все»;</w:t>
      </w:r>
    </w:p>
    <w:p w:rsidR="00B304F3" w:rsidRDefault="00B304F3" w:rsidP="00DE1661">
      <w:pPr>
        <w:pStyle w:val="13"/>
      </w:pPr>
      <w:r>
        <w:t>Субъект РФ. Выпадающий список с выбором субъекта РФ. Формируется на основании справочника D_EB_TERRITORY, возможен выбор значения «Все»;</w:t>
      </w:r>
    </w:p>
    <w:p w:rsidR="00B304F3" w:rsidRDefault="00B304F3" w:rsidP="00DE1661">
      <w:pPr>
        <w:pStyle w:val="13"/>
      </w:pPr>
      <w:r>
        <w:t>По федеральным округам. Параметр, обеспечивающий возможность выбора отображения представления по федеральным округам (группировка) или общим перечнем. По умолчанию выводятся записи с группировкой по федеральным округам.</w:t>
      </w:r>
    </w:p>
    <w:p w:rsidR="00B304F3" w:rsidRDefault="00B304F3"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B304F3" w:rsidRDefault="00B304F3"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B304F3" w:rsidRDefault="00B304F3" w:rsidP="00DE1661">
      <w:pPr>
        <w:pStyle w:val="13"/>
      </w:pPr>
      <w:r>
        <w:t>КВР. Выпадающий список с выбором КВР. Формируется на основании справочника D_KSPL_KVR, возможен выбор значения «Все»;</w:t>
      </w:r>
    </w:p>
    <w:p w:rsidR="00B304F3" w:rsidRDefault="00B304F3" w:rsidP="00DE1661">
      <w:pPr>
        <w:pStyle w:val="13"/>
      </w:pPr>
      <w:r>
        <w:t>РЗПР. Выпадающий список с выбором РЗПР. Формируется на основании справочника D_KSPL_RZPR, возможен выбор значения «Все»;</w:t>
      </w:r>
    </w:p>
    <w:p w:rsidR="00B304F3" w:rsidRDefault="00B304F3" w:rsidP="00DE1661">
      <w:pPr>
        <w:pStyle w:val="13"/>
      </w:pPr>
      <w:r>
        <w:t>КЦСР. Параметр с возможностью задания значения по маске (XXXXXXXXXX), по умолчанию параметр не задан;</w:t>
      </w:r>
    </w:p>
    <w:p w:rsidR="00B304F3" w:rsidRDefault="00B304F3" w:rsidP="00DE1661">
      <w:pPr>
        <w:pStyle w:val="13"/>
      </w:pPr>
      <w:r>
        <w:t>Направление расходов. Параметр с возможностью задания значения по маске (XXXXX), по умолчанию параметр не задан;</w:t>
      </w:r>
    </w:p>
    <w:p w:rsidR="00B304F3" w:rsidRDefault="00B304F3" w:rsidP="00DE1661">
      <w:pPr>
        <w:pStyle w:val="13"/>
      </w:pPr>
      <w:r>
        <w:t>Единицы измерения. Плоский список с элементами: руб., тыс. руб., млн. руб., млрд. руб.</w:t>
      </w:r>
    </w:p>
    <w:p w:rsidR="00B304F3" w:rsidRDefault="00B304F3" w:rsidP="00B304F3">
      <w:pPr>
        <w:pStyle w:val="af0"/>
        <w:rPr>
          <w:szCs w:val="28"/>
        </w:rPr>
      </w:pPr>
      <w:r>
        <w:rPr>
          <w:szCs w:val="28"/>
        </w:rPr>
        <w:t>Из отчета должны быть обеспечены следующие переходы:</w:t>
      </w:r>
    </w:p>
    <w:p w:rsidR="00B304F3" w:rsidRDefault="00B304F3" w:rsidP="00B304F3">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B304F3" w:rsidRDefault="00B304F3" w:rsidP="00B304F3">
      <w:pPr>
        <w:pStyle w:val="-0"/>
      </w:pPr>
      <w:r>
        <w:rPr>
          <w:noProof/>
          <w:snapToGrid/>
        </w:rPr>
        <w:drawing>
          <wp:inline distT="0" distB="0" distL="0" distR="0" wp14:anchorId="7AC63033" wp14:editId="2034128F">
            <wp:extent cx="6119495" cy="3095822"/>
            <wp:effectExtent l="0" t="0" r="0" b="9525"/>
            <wp:docPr id="8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6119495" cy="3095822"/>
                    </a:xfrm>
                    <a:prstGeom prst="rect">
                      <a:avLst/>
                    </a:prstGeom>
                    <a:noFill/>
                    <a:ln>
                      <a:noFill/>
                    </a:ln>
                  </pic:spPr>
                </pic:pic>
              </a:graphicData>
            </a:graphic>
          </wp:inline>
        </w:drawing>
      </w:r>
    </w:p>
    <w:p w:rsidR="00B304F3" w:rsidRDefault="00B304F3" w:rsidP="00B304F3">
      <w:pPr>
        <w:pStyle w:val="-0"/>
        <w:rPr>
          <w:rStyle w:val="af1"/>
        </w:rPr>
      </w:pPr>
      <w:bookmarkStart w:id="702" w:name="_Toc119584346"/>
      <w:r>
        <w:t xml:space="preserve">Рисунок </w:t>
      </w:r>
      <w:fldSimple w:instr=" SEQ Рисунок \* ARABIC ">
        <w:r w:rsidR="001860A9">
          <w:rPr>
            <w:noProof/>
          </w:rPr>
          <w:t>159</w:t>
        </w:r>
      </w:fldSimple>
      <w:r>
        <w:rPr>
          <w:szCs w:val="28"/>
        </w:rPr>
        <w:t xml:space="preserve"> – </w:t>
      </w:r>
      <w:r>
        <w:rPr>
          <w:rStyle w:val="af1"/>
        </w:rPr>
        <w:t>Макет отчета «</w:t>
      </w:r>
      <w:r>
        <w:t xml:space="preserve">Субъект РФ – </w:t>
      </w:r>
      <w:r w:rsidRPr="00557BCC">
        <w:t>Детализация</w:t>
      </w:r>
      <w:r>
        <w:rPr>
          <w:rStyle w:val="af1"/>
        </w:rPr>
        <w:t>»</w:t>
      </w:r>
      <w:bookmarkEnd w:id="702"/>
    </w:p>
    <w:p w:rsidR="00B304F3" w:rsidRDefault="00B304F3" w:rsidP="000A19A3">
      <w:pPr>
        <w:pStyle w:val="42"/>
        <w:keepNext/>
      </w:pPr>
      <w:bookmarkStart w:id="703" w:name="_Toc54346799"/>
      <w:bookmarkStart w:id="704" w:name="_Toc80798572"/>
      <w:r>
        <w:t>Отчет «Субъект РФ – Инфографика»</w:t>
      </w:r>
      <w:bookmarkEnd w:id="703"/>
      <w:bookmarkEnd w:id="704"/>
    </w:p>
    <w:p w:rsidR="00B304F3" w:rsidRDefault="00B304F3" w:rsidP="00B304F3">
      <w:pPr>
        <w:pStyle w:val="af0"/>
        <w:rPr>
          <w:szCs w:val="28"/>
        </w:rPr>
      </w:pPr>
      <w:r>
        <w:rPr>
          <w:szCs w:val="28"/>
        </w:rPr>
        <w:t>Отчет «</w:t>
      </w:r>
      <w:r>
        <w:t>Субъект РФ – Инфографика</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отображение на карте следующих показателей по субъектам РФ, федеральным округам:</w:t>
      </w:r>
    </w:p>
    <w:p w:rsidR="00B304F3" w:rsidRDefault="00B304F3" w:rsidP="00DE1661">
      <w:pPr>
        <w:pStyle w:val="13"/>
      </w:pPr>
      <w:r>
        <w:t>Утвержденные БА;</w:t>
      </w:r>
    </w:p>
    <w:p w:rsidR="00B304F3" w:rsidRDefault="00B304F3" w:rsidP="00DE1661">
      <w:pPr>
        <w:pStyle w:val="13"/>
      </w:pPr>
      <w:r>
        <w:t>Утвержденные ЛБО;</w:t>
      </w:r>
    </w:p>
    <w:p w:rsidR="00B304F3" w:rsidRDefault="00B304F3" w:rsidP="00DE1661">
      <w:pPr>
        <w:pStyle w:val="13"/>
      </w:pPr>
      <w:r>
        <w:t>Исполнено;</w:t>
      </w:r>
    </w:p>
    <w:p w:rsidR="00B304F3" w:rsidRDefault="00B304F3" w:rsidP="00DE1661">
      <w:pPr>
        <w:pStyle w:val="13"/>
      </w:pPr>
      <w:r>
        <w:t>Процент исполнения от БА;</w:t>
      </w:r>
    </w:p>
    <w:p w:rsidR="00B304F3" w:rsidRDefault="00B304F3" w:rsidP="00DE1661">
      <w:pPr>
        <w:pStyle w:val="13"/>
      </w:pPr>
      <w:r>
        <w:t>Процент исполнения от ЛБО.</w:t>
      </w:r>
    </w:p>
    <w:p w:rsidR="00B304F3" w:rsidRDefault="00B304F3" w:rsidP="00B304F3">
      <w:pPr>
        <w:pStyle w:val="af0"/>
        <w:rPr>
          <w:szCs w:val="28"/>
        </w:rPr>
      </w:pPr>
      <w:r>
        <w:rPr>
          <w:szCs w:val="28"/>
        </w:rPr>
        <w:t>Источники данных для отчета:</w:t>
      </w:r>
    </w:p>
    <w:p w:rsidR="00B304F3" w:rsidRDefault="00B304F3" w:rsidP="00DE1661">
      <w:pPr>
        <w:pStyle w:val="13"/>
      </w:pPr>
      <w:r>
        <w:t>Данные на основе таблицы Факт БО Сведения об обязательствах по нац. проектам (F_BO_OBLIGATIONNP).</w:t>
      </w:r>
    </w:p>
    <w:p w:rsidR="00B304F3" w:rsidRDefault="00B304F3" w:rsidP="00B304F3">
      <w:pPr>
        <w:pStyle w:val="af0"/>
        <w:rPr>
          <w:szCs w:val="28"/>
        </w:rPr>
      </w:pPr>
      <w:r>
        <w:rPr>
          <w:szCs w:val="28"/>
        </w:rPr>
        <w:t>Параметры отчета:</w:t>
      </w:r>
    </w:p>
    <w:p w:rsidR="00B304F3" w:rsidRDefault="00B304F3" w:rsidP="00DE1661">
      <w:pPr>
        <w:pStyle w:val="13"/>
      </w:pPr>
      <w:r>
        <w:t>Отчетная дата. Выпадающий список с выбором дат, за которые были предоставлены исходные данные;</w:t>
      </w:r>
    </w:p>
    <w:p w:rsidR="00B304F3" w:rsidRDefault="00B304F3" w:rsidP="00DE1661">
      <w:pPr>
        <w:pStyle w:val="13"/>
      </w:pPr>
      <w:r>
        <w:t>Финансовый период. Выпадающий список с выбором финансового периода, возможен выбор значения «Все»;</w:t>
      </w:r>
    </w:p>
    <w:p w:rsidR="00B304F3" w:rsidRDefault="00B304F3"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B304F3" w:rsidRDefault="00B304F3"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B304F3" w:rsidRDefault="00B304F3" w:rsidP="00DE1661">
      <w:pPr>
        <w:pStyle w:val="13"/>
      </w:pPr>
      <w:r>
        <w:t>КВР. Выпадающий список с выбором КВР. Формируется на основании справочника D_KSPL_KVR, возможен выбор значения «Все»;</w:t>
      </w:r>
    </w:p>
    <w:p w:rsidR="00B304F3" w:rsidRDefault="00B304F3" w:rsidP="00DE1661">
      <w:pPr>
        <w:pStyle w:val="13"/>
      </w:pPr>
      <w:r>
        <w:t>РЗПР. Выпадающий список с выбором РЗПР. Формируется на основании справочника D_KSPL_RZPR, возможен выбор значения «Все»;</w:t>
      </w:r>
    </w:p>
    <w:p w:rsidR="00B304F3" w:rsidRDefault="00B304F3" w:rsidP="00DE1661">
      <w:pPr>
        <w:pStyle w:val="13"/>
      </w:pPr>
      <w:r>
        <w:t>КЦСР. Параметр с возможностью задания значения по маске (XXXXXXXXXX), по умолчанию параметр не задан;</w:t>
      </w:r>
    </w:p>
    <w:p w:rsidR="00B304F3" w:rsidRDefault="00B304F3" w:rsidP="00DE1661">
      <w:pPr>
        <w:pStyle w:val="13"/>
      </w:pPr>
      <w:r>
        <w:t>Направление расходов. Параметр с возможностью задания значения по маске (XXXXX), по умолчанию параметр не задан;</w:t>
      </w:r>
    </w:p>
    <w:p w:rsidR="00B304F3" w:rsidRDefault="00B304F3" w:rsidP="00DE1661">
      <w:pPr>
        <w:pStyle w:val="13"/>
      </w:pPr>
      <w:r>
        <w:t>Показатель. Выпадающий список с выбором показателя по которому будет строится инфографика;</w:t>
      </w:r>
    </w:p>
    <w:p w:rsidR="00B304F3" w:rsidRDefault="00B304F3" w:rsidP="00DE1661">
      <w:pPr>
        <w:pStyle w:val="13"/>
      </w:pPr>
      <w:r>
        <w:t>Параметр по отображению карты. Параметр, обеспечивающий возможность выбора отображения представления по федеральным округам, по субъектам и конкретным федеральным округам.</w:t>
      </w:r>
    </w:p>
    <w:p w:rsidR="00B304F3" w:rsidRDefault="00B304F3" w:rsidP="00B304F3">
      <w:pPr>
        <w:pStyle w:val="af0"/>
        <w:rPr>
          <w:color w:val="auto"/>
        </w:rPr>
      </w:pPr>
      <w:r>
        <w:rPr>
          <w:color w:val="auto"/>
        </w:rPr>
        <w:t>Единицы измерения. Плоский список с элементами: руб., тыс. руб., млн. руб., млрд. руб.</w:t>
      </w:r>
    </w:p>
    <w:p w:rsidR="00B64C67" w:rsidRDefault="00B64C67" w:rsidP="00B64C67">
      <w:pPr>
        <w:pStyle w:val="-0"/>
        <w:keepNext/>
      </w:pPr>
      <w:r>
        <w:rPr>
          <w:noProof/>
          <w:snapToGrid/>
        </w:rPr>
        <w:drawing>
          <wp:inline distT="0" distB="0" distL="0" distR="0" wp14:anchorId="08B8BF82" wp14:editId="3297A39C">
            <wp:extent cx="6119495" cy="3102381"/>
            <wp:effectExtent l="0" t="0" r="0" b="3175"/>
            <wp:docPr id="8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6119495" cy="3102381"/>
                    </a:xfrm>
                    <a:prstGeom prst="rect">
                      <a:avLst/>
                    </a:prstGeom>
                    <a:noFill/>
                    <a:ln>
                      <a:noFill/>
                    </a:ln>
                  </pic:spPr>
                </pic:pic>
              </a:graphicData>
            </a:graphic>
          </wp:inline>
        </w:drawing>
      </w:r>
    </w:p>
    <w:p w:rsidR="00B64C67" w:rsidRDefault="00B64C67" w:rsidP="00B64C67">
      <w:pPr>
        <w:pStyle w:val="-0"/>
        <w:rPr>
          <w:rStyle w:val="af1"/>
        </w:rPr>
      </w:pPr>
      <w:bookmarkStart w:id="705" w:name="_Toc119584347"/>
      <w:r>
        <w:t xml:space="preserve">Рисунок </w:t>
      </w:r>
      <w:fldSimple w:instr=" SEQ Рисунок \* ARABIC ">
        <w:r w:rsidR="001860A9">
          <w:rPr>
            <w:noProof/>
          </w:rPr>
          <w:t>160</w:t>
        </w:r>
      </w:fldSimple>
      <w:r>
        <w:rPr>
          <w:szCs w:val="28"/>
        </w:rPr>
        <w:t xml:space="preserve"> –</w:t>
      </w:r>
      <w:r>
        <w:rPr>
          <w:rStyle w:val="af1"/>
        </w:rPr>
        <w:t xml:space="preserve"> Макет отчета «</w:t>
      </w:r>
      <w:r w:rsidRPr="00557BCC">
        <w:t>Субъект</w:t>
      </w:r>
      <w:r>
        <w:t xml:space="preserve"> РФ – Инфографика</w:t>
      </w:r>
      <w:r>
        <w:rPr>
          <w:rStyle w:val="af1"/>
        </w:rPr>
        <w:t>»</w:t>
      </w:r>
      <w:bookmarkEnd w:id="705"/>
    </w:p>
    <w:p w:rsidR="00B64C67" w:rsidRDefault="00B64C67" w:rsidP="000A19A3">
      <w:pPr>
        <w:pStyle w:val="42"/>
        <w:keepNext/>
      </w:pPr>
      <w:bookmarkStart w:id="706" w:name="_Toc80798573"/>
      <w:r>
        <w:t>Отчет «МО – Общая информация»</w:t>
      </w:r>
      <w:bookmarkEnd w:id="706"/>
    </w:p>
    <w:p w:rsidR="00B64C67" w:rsidRDefault="00B64C67" w:rsidP="00B64C67">
      <w:pPr>
        <w:pStyle w:val="af0"/>
        <w:rPr>
          <w:szCs w:val="28"/>
        </w:rPr>
      </w:pPr>
      <w:r>
        <w:rPr>
          <w:szCs w:val="28"/>
        </w:rPr>
        <w:t>Отчет «</w:t>
      </w:r>
      <w:r>
        <w:t>МО – Общая информация</w:t>
      </w:r>
      <w:r>
        <w:rPr>
          <w:szCs w:val="28"/>
        </w:rPr>
        <w:t>» группы отчетов «</w:t>
      </w:r>
      <w:r>
        <w:t>Информация об исполнении национальных (федеральных) проектов в разрезе бюджетов бюджетной системы Российской Федерации» должен</w:t>
      </w:r>
      <w:r>
        <w:rPr>
          <w:szCs w:val="28"/>
        </w:rPr>
        <w:t xml:space="preserve"> обеспечивать расчет следующих показателей по </w:t>
      </w:r>
      <w:r>
        <w:t>муниципальным образованиям</w:t>
      </w:r>
      <w:r>
        <w:rPr>
          <w:szCs w:val="28"/>
        </w:rPr>
        <w:t xml:space="preserve"> в разрезе национальных (федеральных) проектов и КВР:</w:t>
      </w:r>
    </w:p>
    <w:p w:rsidR="00B64C67" w:rsidRDefault="00B64C67" w:rsidP="00DE1661">
      <w:pPr>
        <w:pStyle w:val="13"/>
      </w:pPr>
      <w:r>
        <w:t>Утверждено (доведено) бюджетных ассигнований;</w:t>
      </w:r>
    </w:p>
    <w:p w:rsidR="00B64C67" w:rsidRDefault="00B64C67" w:rsidP="00DE1661">
      <w:pPr>
        <w:pStyle w:val="13"/>
      </w:pPr>
      <w:r>
        <w:t>Утверждено (доведено) лимитов бюджетных обязательств;</w:t>
      </w:r>
    </w:p>
    <w:p w:rsidR="00B64C67" w:rsidRDefault="00B64C67" w:rsidP="00DE1661">
      <w:pPr>
        <w:pStyle w:val="13"/>
      </w:pPr>
      <w:r>
        <w:t>Принимаемые обязательства;</w:t>
      </w:r>
    </w:p>
    <w:p w:rsidR="00B64C67" w:rsidRDefault="00B64C67" w:rsidP="00DE1661">
      <w:pPr>
        <w:pStyle w:val="13"/>
      </w:pPr>
      <w:r>
        <w:t>Принятые бюджетные обязательства всего;</w:t>
      </w:r>
    </w:p>
    <w:p w:rsidR="00B64C67" w:rsidRDefault="00B64C67" w:rsidP="00DE1661">
      <w:pPr>
        <w:pStyle w:val="13"/>
      </w:pPr>
      <w:r>
        <w:t>% принятых БО к ЛБО;</w:t>
      </w:r>
    </w:p>
    <w:p w:rsidR="00B64C67" w:rsidRDefault="00B64C67" w:rsidP="00DE1661">
      <w:pPr>
        <w:pStyle w:val="13"/>
      </w:pPr>
      <w:r>
        <w:t>Из них с применением конкурентных способов;</w:t>
      </w:r>
    </w:p>
    <w:p w:rsidR="00B64C67" w:rsidRDefault="00B64C67" w:rsidP="00DE1661">
      <w:pPr>
        <w:pStyle w:val="13"/>
      </w:pPr>
      <w:r>
        <w:t>Денежные обязательства;</w:t>
      </w:r>
    </w:p>
    <w:p w:rsidR="00B64C67" w:rsidRDefault="00B64C67" w:rsidP="00DE1661">
      <w:pPr>
        <w:pStyle w:val="13"/>
      </w:pPr>
      <w:r>
        <w:t>Исполнено денежных обязательств;</w:t>
      </w:r>
    </w:p>
    <w:p w:rsidR="00B64C67" w:rsidRDefault="00B64C67" w:rsidP="00DE1661">
      <w:pPr>
        <w:pStyle w:val="13"/>
      </w:pPr>
      <w:r>
        <w:t>Не исполнено принятых бюджетных обязательств;</w:t>
      </w:r>
    </w:p>
    <w:p w:rsidR="00B64C67" w:rsidRDefault="00B64C67" w:rsidP="00DE1661">
      <w:pPr>
        <w:pStyle w:val="13"/>
      </w:pPr>
      <w:r>
        <w:t>Не исполнено принятых денежных обязательств;</w:t>
      </w:r>
    </w:p>
    <w:p w:rsidR="00B64C67" w:rsidRDefault="00B64C67" w:rsidP="00DE1661">
      <w:pPr>
        <w:pStyle w:val="13"/>
      </w:pPr>
      <w:r>
        <w:t>% исполнения от БА;</w:t>
      </w:r>
    </w:p>
    <w:p w:rsidR="00B64C67" w:rsidRDefault="00B64C67" w:rsidP="00DE1661">
      <w:pPr>
        <w:pStyle w:val="13"/>
      </w:pPr>
      <w:r>
        <w:t>% исполнения от ЛБО;</w:t>
      </w:r>
    </w:p>
    <w:p w:rsidR="00B64C67" w:rsidRDefault="00B64C67" w:rsidP="00DE1661">
      <w:pPr>
        <w:pStyle w:val="13"/>
      </w:pPr>
      <w:r>
        <w:t>% исполнения от принятых бюджетных обязательств.</w:t>
      </w:r>
    </w:p>
    <w:p w:rsidR="00B64C67" w:rsidRDefault="00B64C67" w:rsidP="00B64C67">
      <w:pPr>
        <w:pStyle w:val="af0"/>
        <w:rPr>
          <w:szCs w:val="28"/>
        </w:rPr>
      </w:pPr>
      <w:r>
        <w:rPr>
          <w:szCs w:val="28"/>
        </w:rPr>
        <w:t>Источники данных для отчета:</w:t>
      </w:r>
    </w:p>
    <w:p w:rsidR="00B64C67" w:rsidRDefault="00B64C67" w:rsidP="00DE1661">
      <w:pPr>
        <w:pStyle w:val="13"/>
      </w:pPr>
      <w:r>
        <w:t>Данные на основе таблицы Факт БО Сведения об обязательствах по нац. проектам (F_BO_OBLIGATIONNP).</w:t>
      </w:r>
    </w:p>
    <w:p w:rsidR="00B64C67" w:rsidRDefault="00B64C67" w:rsidP="00B64C67">
      <w:pPr>
        <w:pStyle w:val="af0"/>
        <w:rPr>
          <w:szCs w:val="28"/>
        </w:rPr>
      </w:pPr>
      <w:r>
        <w:rPr>
          <w:szCs w:val="28"/>
        </w:rPr>
        <w:t>Параметры отчета:</w:t>
      </w:r>
    </w:p>
    <w:p w:rsidR="00B64C67" w:rsidRDefault="00B64C67" w:rsidP="00DE1661">
      <w:pPr>
        <w:pStyle w:val="13"/>
      </w:pPr>
      <w:r>
        <w:t>Отчетная дата. Выпадающий список с выбором дат, за которые были предоставлены исходные данные;</w:t>
      </w:r>
    </w:p>
    <w:p w:rsidR="00B64C67" w:rsidRDefault="00B64C67" w:rsidP="00DE1661">
      <w:pPr>
        <w:pStyle w:val="13"/>
      </w:pPr>
      <w:r>
        <w:t>Финансовый период. Выпадающий список с выбором финансового периода, возможен выбор значения «Все»;</w:t>
      </w:r>
    </w:p>
    <w:p w:rsidR="00B64C67" w:rsidRDefault="00B64C67"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B64C67" w:rsidRDefault="00B64C67"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B64C67" w:rsidRDefault="00B64C67" w:rsidP="00DE1661">
      <w:pPr>
        <w:pStyle w:val="13"/>
      </w:pPr>
      <w:r>
        <w:t>КВР. Выпадающий список с выбором КВР. Формируется на основании справочника D_KSPL_KVR, возможен выбор значения «Все»;</w:t>
      </w:r>
    </w:p>
    <w:p w:rsidR="00B64C67" w:rsidRDefault="00B64C67" w:rsidP="00DE1661">
      <w:pPr>
        <w:pStyle w:val="13"/>
      </w:pPr>
      <w:r>
        <w:t>РЗПР. Выпадающий список с выбором РЗПР. Формируется на основании справочника D_KSPL_RZPR, возможен выбор значения «Все»;</w:t>
      </w:r>
    </w:p>
    <w:p w:rsidR="00B64C67" w:rsidRDefault="00B64C67" w:rsidP="00DE1661">
      <w:pPr>
        <w:pStyle w:val="13"/>
      </w:pPr>
      <w:r>
        <w:t>КЦСР. Параметр с возможностью задания значения по маске (XXXXXXXXXX), по умолчанию параметр не задан;</w:t>
      </w:r>
    </w:p>
    <w:p w:rsidR="00B64C67" w:rsidRDefault="00B64C67" w:rsidP="00DE1661">
      <w:pPr>
        <w:pStyle w:val="13"/>
      </w:pPr>
      <w:r>
        <w:t>Направление расходов. Параметр с возможностью задания значения по маске (XXXXX), по умолчанию параметр не задан;</w:t>
      </w:r>
    </w:p>
    <w:p w:rsidR="00B64C67" w:rsidRDefault="00B64C67" w:rsidP="00DE1661">
      <w:pPr>
        <w:pStyle w:val="13"/>
      </w:pPr>
      <w:r>
        <w:t>Единицы измерения. Плоский список с элементами: руб, тыс. руб, млн руб, млрд руб.</w:t>
      </w:r>
    </w:p>
    <w:p w:rsidR="00B64C67" w:rsidRDefault="00B64C67" w:rsidP="00B64C67">
      <w:pPr>
        <w:pStyle w:val="af0"/>
        <w:rPr>
          <w:szCs w:val="28"/>
        </w:rPr>
      </w:pPr>
      <w:r>
        <w:rPr>
          <w:szCs w:val="28"/>
        </w:rPr>
        <w:t>Из отчета должны быть обеспечены следующие переходы:</w:t>
      </w:r>
    </w:p>
    <w:p w:rsidR="00B64C67" w:rsidRDefault="00B64C67" w:rsidP="00B64C67">
      <w:pPr>
        <w:pStyle w:val="af0"/>
        <w:rPr>
          <w:szCs w:val="28"/>
        </w:rPr>
      </w:pPr>
      <w:r>
        <w:rPr>
          <w:szCs w:val="28"/>
        </w:rPr>
        <w:t>Детализация по муниципальным образованиям;</w:t>
      </w:r>
    </w:p>
    <w:p w:rsidR="00B64C67" w:rsidRDefault="00B64C67" w:rsidP="00B64C67">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B64C67" w:rsidRDefault="00B64C67" w:rsidP="00B64C67">
      <w:pPr>
        <w:pStyle w:val="-0"/>
        <w:keepNext/>
      </w:pPr>
      <w:r>
        <w:rPr>
          <w:noProof/>
          <w:snapToGrid/>
        </w:rPr>
        <w:drawing>
          <wp:inline distT="0" distB="0" distL="0" distR="0" wp14:anchorId="7E6C7926" wp14:editId="2270B313">
            <wp:extent cx="6119495" cy="3099059"/>
            <wp:effectExtent l="0" t="0" r="0" b="6350"/>
            <wp:docPr id="8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6119495" cy="3099059"/>
                    </a:xfrm>
                    <a:prstGeom prst="rect">
                      <a:avLst/>
                    </a:prstGeom>
                    <a:noFill/>
                    <a:ln>
                      <a:noFill/>
                    </a:ln>
                  </pic:spPr>
                </pic:pic>
              </a:graphicData>
            </a:graphic>
          </wp:inline>
        </w:drawing>
      </w:r>
    </w:p>
    <w:p w:rsidR="00B64C67" w:rsidRDefault="00B64C67" w:rsidP="00B64C67">
      <w:pPr>
        <w:pStyle w:val="-0"/>
        <w:rPr>
          <w:rStyle w:val="af1"/>
        </w:rPr>
      </w:pPr>
      <w:bookmarkStart w:id="707" w:name="_Toc119584348"/>
      <w:r>
        <w:t xml:space="preserve">Рисунок </w:t>
      </w:r>
      <w:fldSimple w:instr=" SEQ Рисунок \* ARABIC ">
        <w:r w:rsidR="001860A9">
          <w:rPr>
            <w:noProof/>
          </w:rPr>
          <w:t>161</w:t>
        </w:r>
      </w:fldSimple>
      <w:r>
        <w:rPr>
          <w:szCs w:val="28"/>
        </w:rPr>
        <w:t xml:space="preserve"> – </w:t>
      </w:r>
      <w:r w:rsidRPr="00B64C67">
        <w:rPr>
          <w:rStyle w:val="af1"/>
          <w:snapToGrid w:val="0"/>
        </w:rPr>
        <w:t>Макет</w:t>
      </w:r>
      <w:r>
        <w:rPr>
          <w:rStyle w:val="af1"/>
        </w:rPr>
        <w:t xml:space="preserve"> отчета «</w:t>
      </w:r>
      <w:r>
        <w:t xml:space="preserve">МО – </w:t>
      </w:r>
      <w:r w:rsidRPr="00557BCC">
        <w:t>Общая</w:t>
      </w:r>
      <w:r>
        <w:t xml:space="preserve"> информация</w:t>
      </w:r>
      <w:r>
        <w:rPr>
          <w:rStyle w:val="af1"/>
        </w:rPr>
        <w:t>»</w:t>
      </w:r>
      <w:bookmarkEnd w:id="707"/>
    </w:p>
    <w:p w:rsidR="00B64C67" w:rsidRDefault="00B64C67" w:rsidP="000A19A3">
      <w:pPr>
        <w:pStyle w:val="42"/>
        <w:keepNext/>
      </w:pPr>
      <w:bookmarkStart w:id="708" w:name="_Toc80798574"/>
      <w:r>
        <w:t>Отчет «МО – Детализация»</w:t>
      </w:r>
      <w:bookmarkEnd w:id="708"/>
    </w:p>
    <w:p w:rsidR="00B64C67" w:rsidRDefault="00B64C67" w:rsidP="00B64C67">
      <w:pPr>
        <w:pStyle w:val="af0"/>
        <w:rPr>
          <w:szCs w:val="28"/>
        </w:rPr>
      </w:pPr>
      <w:r>
        <w:rPr>
          <w:szCs w:val="28"/>
        </w:rPr>
        <w:t>Отчет «</w:t>
      </w:r>
      <w:r>
        <w:t>МО – Детализация</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расчет следующих показателей в разрезе муниципальных образований:</w:t>
      </w:r>
    </w:p>
    <w:p w:rsidR="00B64C67" w:rsidRDefault="00B64C67" w:rsidP="00DE1661">
      <w:pPr>
        <w:pStyle w:val="13"/>
      </w:pPr>
      <w:r>
        <w:t>Утверждено (доведено) бюджетных ассигнований;</w:t>
      </w:r>
    </w:p>
    <w:p w:rsidR="00B64C67" w:rsidRDefault="00B64C67" w:rsidP="00DE1661">
      <w:pPr>
        <w:pStyle w:val="13"/>
      </w:pPr>
      <w:r>
        <w:t>Утверждено (доведено) лимитов бюджетных обязательств;</w:t>
      </w:r>
    </w:p>
    <w:p w:rsidR="00B64C67" w:rsidRDefault="00B64C67" w:rsidP="00DE1661">
      <w:pPr>
        <w:pStyle w:val="13"/>
      </w:pPr>
      <w:r>
        <w:t>Принимаемые обязательства;</w:t>
      </w:r>
    </w:p>
    <w:p w:rsidR="00B64C67" w:rsidRDefault="00B64C67" w:rsidP="00DE1661">
      <w:pPr>
        <w:pStyle w:val="13"/>
      </w:pPr>
      <w:r>
        <w:t>Принятые бюджетные обязательства всего;</w:t>
      </w:r>
    </w:p>
    <w:p w:rsidR="00B64C67" w:rsidRDefault="00B64C67" w:rsidP="00DE1661">
      <w:pPr>
        <w:pStyle w:val="13"/>
      </w:pPr>
      <w:r>
        <w:t>% принятых БО к ЛБО;</w:t>
      </w:r>
    </w:p>
    <w:p w:rsidR="00B64C67" w:rsidRDefault="00B64C67" w:rsidP="00DE1661">
      <w:pPr>
        <w:pStyle w:val="13"/>
      </w:pPr>
      <w:r>
        <w:t>Из них с применением конкурентных способов;</w:t>
      </w:r>
    </w:p>
    <w:p w:rsidR="00B64C67" w:rsidRDefault="00B64C67" w:rsidP="00DE1661">
      <w:pPr>
        <w:pStyle w:val="13"/>
      </w:pPr>
      <w:r>
        <w:t>Денежные обязательства;</w:t>
      </w:r>
    </w:p>
    <w:p w:rsidR="00B64C67" w:rsidRDefault="00B64C67" w:rsidP="00DE1661">
      <w:pPr>
        <w:pStyle w:val="13"/>
      </w:pPr>
      <w:r>
        <w:t>Исполнено денежных обязательств;</w:t>
      </w:r>
    </w:p>
    <w:p w:rsidR="00B64C67" w:rsidRDefault="00B64C67" w:rsidP="00DE1661">
      <w:pPr>
        <w:pStyle w:val="13"/>
      </w:pPr>
      <w:r>
        <w:t>Не исполнено принятых бюджетных обязательств;</w:t>
      </w:r>
    </w:p>
    <w:p w:rsidR="00B64C67" w:rsidRDefault="00B64C67" w:rsidP="00DE1661">
      <w:pPr>
        <w:pStyle w:val="13"/>
      </w:pPr>
      <w:r>
        <w:t>Не исполнено принятых денежных обязательств;</w:t>
      </w:r>
    </w:p>
    <w:p w:rsidR="00B64C67" w:rsidRDefault="00B64C67" w:rsidP="00DE1661">
      <w:pPr>
        <w:pStyle w:val="13"/>
      </w:pPr>
      <w:r>
        <w:t>% исполнения от БА;</w:t>
      </w:r>
    </w:p>
    <w:p w:rsidR="00B64C67" w:rsidRDefault="00B64C67" w:rsidP="00DE1661">
      <w:pPr>
        <w:pStyle w:val="13"/>
      </w:pPr>
      <w:r>
        <w:t>% исполнения от ЛБО;</w:t>
      </w:r>
    </w:p>
    <w:p w:rsidR="00B64C67" w:rsidRDefault="00B64C67" w:rsidP="00DE1661">
      <w:pPr>
        <w:pStyle w:val="13"/>
      </w:pPr>
      <w:r>
        <w:t>% исполнения от принятых бюджетных обязательств.</w:t>
      </w:r>
    </w:p>
    <w:p w:rsidR="00B64C67" w:rsidRDefault="00B64C67" w:rsidP="00B64C67">
      <w:pPr>
        <w:pStyle w:val="af0"/>
        <w:rPr>
          <w:szCs w:val="28"/>
        </w:rPr>
      </w:pPr>
      <w:r>
        <w:rPr>
          <w:szCs w:val="28"/>
        </w:rPr>
        <w:t>Источники данных для отчета:</w:t>
      </w:r>
    </w:p>
    <w:p w:rsidR="00B64C67" w:rsidRDefault="00B64C67" w:rsidP="00DE1661">
      <w:pPr>
        <w:pStyle w:val="13"/>
      </w:pPr>
      <w:r>
        <w:t>Данные на основе таблицы Факт БО Сведения об обязательствах по нац. проектам (F_BO_OBLIGATIONNP).</w:t>
      </w:r>
    </w:p>
    <w:p w:rsidR="00B64C67" w:rsidRDefault="00B64C67" w:rsidP="00B64C67">
      <w:pPr>
        <w:pStyle w:val="af0"/>
        <w:rPr>
          <w:szCs w:val="28"/>
        </w:rPr>
      </w:pPr>
      <w:r>
        <w:rPr>
          <w:szCs w:val="28"/>
        </w:rPr>
        <w:t>Параметры отчета:</w:t>
      </w:r>
    </w:p>
    <w:p w:rsidR="00B64C67" w:rsidRDefault="00B64C67" w:rsidP="00DE1661">
      <w:pPr>
        <w:pStyle w:val="13"/>
      </w:pPr>
      <w:r>
        <w:t>Отчетная дата. Выпадающий список с выбором дат, за которые были предоставлены исходные данные;</w:t>
      </w:r>
    </w:p>
    <w:p w:rsidR="00B64C67" w:rsidRDefault="00B64C67" w:rsidP="00DE1661">
      <w:pPr>
        <w:pStyle w:val="13"/>
      </w:pPr>
      <w:r>
        <w:t>Финансовый период. Выпадающий список с выбором финансового периода, возможен выбор значения «Все»;</w:t>
      </w:r>
    </w:p>
    <w:p w:rsidR="00B64C67" w:rsidRDefault="00B64C67" w:rsidP="00DE1661">
      <w:pPr>
        <w:pStyle w:val="13"/>
      </w:pPr>
      <w:r>
        <w:t>Субъект РФ. Выпадающий список с выбором субъекта РФ. Формируется на основании справочника D_EB_TERRITORY, возможен выбор значения «Все»;</w:t>
      </w:r>
    </w:p>
    <w:p w:rsidR="00B64C67" w:rsidRDefault="00B64C67" w:rsidP="00DE1661">
      <w:pPr>
        <w:pStyle w:val="13"/>
      </w:pPr>
      <w:r>
        <w:t>МО. Выпадающий список с выбором муниципального образования. Формируется на основании справочника D_EB_TERRITORY, возможен выбор значения «Все»;</w:t>
      </w:r>
    </w:p>
    <w:p w:rsidR="00B64C67" w:rsidRDefault="00B64C67"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B64C67" w:rsidRDefault="00B64C67"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B64C67" w:rsidRDefault="00B64C67" w:rsidP="00DE1661">
      <w:pPr>
        <w:pStyle w:val="13"/>
      </w:pPr>
      <w:r>
        <w:t>КВР. Выпадающий список с выбором КВР. Формируется на основании справочника D_KSPL_KVR, возможен выбор значения «Все»;</w:t>
      </w:r>
    </w:p>
    <w:p w:rsidR="00B64C67" w:rsidRDefault="00B64C67" w:rsidP="00DE1661">
      <w:pPr>
        <w:pStyle w:val="13"/>
      </w:pPr>
      <w:r>
        <w:t>РЗПР. Выпадающий список с выбором РЗПР. Формируется на основании справочника D_KSPL_RZPR, возможен выбор значения «Все»;</w:t>
      </w:r>
    </w:p>
    <w:p w:rsidR="00B64C67" w:rsidRDefault="00B64C67" w:rsidP="00DE1661">
      <w:pPr>
        <w:pStyle w:val="13"/>
      </w:pPr>
      <w:r>
        <w:t>КЦСР. Параметр с возможностью задания значения по маске (XXXXXXXXXX), по умолчанию параметр не задан;</w:t>
      </w:r>
    </w:p>
    <w:p w:rsidR="00B64C67" w:rsidRDefault="00B64C67" w:rsidP="00DE1661">
      <w:pPr>
        <w:pStyle w:val="13"/>
      </w:pPr>
      <w:r>
        <w:t>Направление расходов. Параметр с возможностью задания значения по маске (XXXXX), по умолчанию параметр не задан;</w:t>
      </w:r>
    </w:p>
    <w:p w:rsidR="00B64C67" w:rsidRDefault="00B64C67" w:rsidP="00DE1661">
      <w:pPr>
        <w:pStyle w:val="13"/>
      </w:pPr>
      <w:r>
        <w:t>Единицы измерения. Плоский список с элементами: руб, тыс руб, млн руб, млрд руб.</w:t>
      </w:r>
    </w:p>
    <w:p w:rsidR="00B64C67" w:rsidRDefault="00B64C67" w:rsidP="00B64C67">
      <w:pPr>
        <w:pStyle w:val="af0"/>
        <w:rPr>
          <w:szCs w:val="28"/>
        </w:rPr>
      </w:pPr>
      <w:r>
        <w:rPr>
          <w:szCs w:val="28"/>
        </w:rPr>
        <w:t>Из отчета должны быть обеспечены следующие переходы:</w:t>
      </w:r>
    </w:p>
    <w:p w:rsidR="00B64C67" w:rsidRDefault="00B64C67" w:rsidP="00B64C67">
      <w:pPr>
        <w:pStyle w:val="af0"/>
        <w:rPr>
          <w:szCs w:val="28"/>
        </w:rPr>
      </w:pPr>
      <w:r>
        <w:rPr>
          <w:szCs w:val="28"/>
        </w:rPr>
        <w:t>Переход к отчету с информацией реестра соглашений о предоставлении субсидий из федерального бюджета (бюджетов субъектов Российской Федерации, местных бюджетов).</w:t>
      </w:r>
    </w:p>
    <w:p w:rsidR="00B64C67" w:rsidRDefault="00B64C67" w:rsidP="00B64C67">
      <w:pPr>
        <w:pStyle w:val="-0"/>
        <w:keepNext/>
      </w:pPr>
      <w:r>
        <w:rPr>
          <w:noProof/>
          <w:snapToGrid/>
        </w:rPr>
        <w:drawing>
          <wp:inline distT="0" distB="0" distL="0" distR="0" wp14:anchorId="58929493" wp14:editId="0A5ABFD8">
            <wp:extent cx="6119495" cy="3105611"/>
            <wp:effectExtent l="0" t="0" r="0" b="0"/>
            <wp:docPr id="8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119495" cy="3105611"/>
                    </a:xfrm>
                    <a:prstGeom prst="rect">
                      <a:avLst/>
                    </a:prstGeom>
                    <a:noFill/>
                    <a:ln>
                      <a:noFill/>
                    </a:ln>
                  </pic:spPr>
                </pic:pic>
              </a:graphicData>
            </a:graphic>
          </wp:inline>
        </w:drawing>
      </w:r>
    </w:p>
    <w:p w:rsidR="00B64C67" w:rsidRDefault="00B64C67" w:rsidP="00B64C67">
      <w:pPr>
        <w:pStyle w:val="-0"/>
      </w:pPr>
      <w:bookmarkStart w:id="709" w:name="_Toc119584349"/>
      <w:r>
        <w:t xml:space="preserve">Рисунок </w:t>
      </w:r>
      <w:fldSimple w:instr=" SEQ Рисунок \* ARABIC ">
        <w:r w:rsidR="001860A9">
          <w:rPr>
            <w:noProof/>
          </w:rPr>
          <w:t>162</w:t>
        </w:r>
      </w:fldSimple>
      <w:r>
        <w:t xml:space="preserve"> – </w:t>
      </w:r>
      <w:r>
        <w:rPr>
          <w:rStyle w:val="af1"/>
        </w:rPr>
        <w:t>Макет отчета «</w:t>
      </w:r>
      <w:r>
        <w:t>МО – Детализация</w:t>
      </w:r>
      <w:r>
        <w:rPr>
          <w:rStyle w:val="af1"/>
        </w:rPr>
        <w:t>»</w:t>
      </w:r>
      <w:bookmarkEnd w:id="709"/>
    </w:p>
    <w:p w:rsidR="00B64C67" w:rsidRDefault="00B64C67" w:rsidP="000A19A3">
      <w:pPr>
        <w:pStyle w:val="42"/>
        <w:keepNext/>
      </w:pPr>
      <w:bookmarkStart w:id="710" w:name="_Toc80798575"/>
      <w:r>
        <w:t>Отчет «МО – Инфографика»</w:t>
      </w:r>
      <w:bookmarkEnd w:id="710"/>
    </w:p>
    <w:p w:rsidR="00B64C67" w:rsidRDefault="00B64C67" w:rsidP="00B64C67">
      <w:pPr>
        <w:pStyle w:val="af0"/>
        <w:rPr>
          <w:szCs w:val="28"/>
        </w:rPr>
      </w:pPr>
      <w:r>
        <w:rPr>
          <w:szCs w:val="28"/>
        </w:rPr>
        <w:t>Отчет «</w:t>
      </w:r>
      <w:r>
        <w:t>МО – Инфографика</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отображение на карте следующих показателей по субъектам РФ, федеральным округам:</w:t>
      </w:r>
    </w:p>
    <w:p w:rsidR="00B64C67" w:rsidRDefault="00B64C67" w:rsidP="00DE1661">
      <w:pPr>
        <w:pStyle w:val="13"/>
      </w:pPr>
      <w:r>
        <w:t>Утвержденные БА;</w:t>
      </w:r>
    </w:p>
    <w:p w:rsidR="00B64C67" w:rsidRDefault="00B64C67" w:rsidP="00DE1661">
      <w:pPr>
        <w:pStyle w:val="13"/>
      </w:pPr>
      <w:r>
        <w:t>Утвержденные ЛБО;</w:t>
      </w:r>
    </w:p>
    <w:p w:rsidR="00B64C67" w:rsidRDefault="00B64C67" w:rsidP="00DE1661">
      <w:pPr>
        <w:pStyle w:val="13"/>
      </w:pPr>
      <w:r>
        <w:t>Исполнено;</w:t>
      </w:r>
    </w:p>
    <w:p w:rsidR="00B64C67" w:rsidRDefault="00B64C67" w:rsidP="00DE1661">
      <w:pPr>
        <w:pStyle w:val="13"/>
      </w:pPr>
      <w:r>
        <w:t>Процент исполнения от БА;</w:t>
      </w:r>
    </w:p>
    <w:p w:rsidR="00B64C67" w:rsidRDefault="00B64C67" w:rsidP="00DE1661">
      <w:pPr>
        <w:pStyle w:val="13"/>
      </w:pPr>
      <w:r>
        <w:t>Процент исполнения от ЛБО.</w:t>
      </w:r>
    </w:p>
    <w:p w:rsidR="00B64C67" w:rsidRDefault="00B64C67" w:rsidP="00B64C67">
      <w:pPr>
        <w:pStyle w:val="af0"/>
        <w:rPr>
          <w:szCs w:val="28"/>
        </w:rPr>
      </w:pPr>
      <w:r>
        <w:rPr>
          <w:szCs w:val="28"/>
        </w:rPr>
        <w:t>Источники данных для отчета:</w:t>
      </w:r>
    </w:p>
    <w:p w:rsidR="00B64C67" w:rsidRDefault="00B64C67" w:rsidP="00DE1661">
      <w:pPr>
        <w:pStyle w:val="13"/>
      </w:pPr>
      <w:r>
        <w:t>Данные на основе таблицы Факт БО Сведения об обязательствах по нац. проектам (F_BO_OBLIGATIONNP).</w:t>
      </w:r>
    </w:p>
    <w:p w:rsidR="00B64C67" w:rsidRDefault="00B64C67" w:rsidP="00B64C67">
      <w:pPr>
        <w:pStyle w:val="af0"/>
        <w:rPr>
          <w:szCs w:val="28"/>
        </w:rPr>
      </w:pPr>
      <w:r>
        <w:rPr>
          <w:szCs w:val="28"/>
        </w:rPr>
        <w:t>Параметры отчета:</w:t>
      </w:r>
    </w:p>
    <w:p w:rsidR="00B64C67" w:rsidRDefault="00B64C67" w:rsidP="00DE1661">
      <w:pPr>
        <w:pStyle w:val="13"/>
      </w:pPr>
      <w:r>
        <w:t>Отчетная дата. Выпадающий список с выбором дат, за которые были предоставлены исходные данные;</w:t>
      </w:r>
    </w:p>
    <w:p w:rsidR="00B64C67" w:rsidRDefault="00B64C67" w:rsidP="00DE1661">
      <w:pPr>
        <w:pStyle w:val="13"/>
      </w:pPr>
      <w:r>
        <w:t>Финансовый период. Выпадающий список с выбором финансового периода, возможен выбор значения «Все»;</w:t>
      </w:r>
    </w:p>
    <w:p w:rsidR="00B64C67" w:rsidRDefault="00B64C67"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B64C67" w:rsidRDefault="00B64C67"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B64C67" w:rsidRDefault="00B64C67" w:rsidP="00DE1661">
      <w:pPr>
        <w:pStyle w:val="13"/>
      </w:pPr>
      <w:r>
        <w:t>КВР. Выпадающий список с выбором КВР. Формируется на основании справочника D_KSPL_KVR, возможен выбор значения «Все»;</w:t>
      </w:r>
    </w:p>
    <w:p w:rsidR="00B64C67" w:rsidRDefault="00B64C67" w:rsidP="00DE1661">
      <w:pPr>
        <w:pStyle w:val="13"/>
      </w:pPr>
      <w:r>
        <w:t>РЗПР. Выпадающий список с выбором РЗПР. Формируется на основании справочника D_KSPL_RZPR, возможен выбор значения «Все»;</w:t>
      </w:r>
    </w:p>
    <w:p w:rsidR="00B64C67" w:rsidRDefault="00B64C67" w:rsidP="00DE1661">
      <w:pPr>
        <w:pStyle w:val="13"/>
      </w:pPr>
      <w:r>
        <w:t>КЦСР. Параметр с возможностью задания значения по маске (XXXXXXXXXX), по умолчанию параметр не задан;</w:t>
      </w:r>
    </w:p>
    <w:p w:rsidR="00B64C67" w:rsidRDefault="00B64C67" w:rsidP="00DE1661">
      <w:pPr>
        <w:pStyle w:val="13"/>
      </w:pPr>
      <w:r>
        <w:t>Направление расходов. Параметр с возможностью задания значения по маске (XXXXX), по умолчанию параметр не задан;</w:t>
      </w:r>
    </w:p>
    <w:p w:rsidR="00B64C67" w:rsidRDefault="00B64C67" w:rsidP="00DE1661">
      <w:pPr>
        <w:pStyle w:val="13"/>
      </w:pPr>
      <w:r>
        <w:t>Показатель. Выпадающий список с выбором показателя по которому будет строится инфографика;</w:t>
      </w:r>
    </w:p>
    <w:p w:rsidR="00B64C67" w:rsidRDefault="00B64C67" w:rsidP="00DE1661">
      <w:pPr>
        <w:pStyle w:val="13"/>
      </w:pPr>
      <w:r>
        <w:t>Параметр по отображению карты. Параметр, обеспечивающий возможность выбора отображения представления по федеральным округам, по субъектам и конкретным федеральным округам;</w:t>
      </w:r>
    </w:p>
    <w:p w:rsidR="00B64C67" w:rsidRDefault="00B64C67" w:rsidP="00DE1661">
      <w:pPr>
        <w:pStyle w:val="13"/>
      </w:pPr>
      <w:r>
        <w:t xml:space="preserve">Единицы измерения. Плоский список с элементами: руб, </w:t>
      </w:r>
      <w:r w:rsidR="000A19A3">
        <w:t>тыс руб, млн руб, млрд руб.</w:t>
      </w:r>
    </w:p>
    <w:p w:rsidR="000A19A3" w:rsidRDefault="000A19A3" w:rsidP="000A19A3">
      <w:pPr>
        <w:pStyle w:val="-0"/>
      </w:pPr>
      <w:r>
        <w:rPr>
          <w:noProof/>
          <w:snapToGrid/>
        </w:rPr>
        <w:drawing>
          <wp:inline distT="0" distB="0" distL="0" distR="0" wp14:anchorId="567E7F49" wp14:editId="4DE5E7BD">
            <wp:extent cx="6119495" cy="3099059"/>
            <wp:effectExtent l="0" t="0" r="0" b="6350"/>
            <wp:docPr id="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119495" cy="3099059"/>
                    </a:xfrm>
                    <a:prstGeom prst="rect">
                      <a:avLst/>
                    </a:prstGeom>
                    <a:noFill/>
                    <a:ln>
                      <a:noFill/>
                    </a:ln>
                  </pic:spPr>
                </pic:pic>
              </a:graphicData>
            </a:graphic>
          </wp:inline>
        </w:drawing>
      </w:r>
    </w:p>
    <w:p w:rsidR="000A19A3" w:rsidRDefault="000A19A3" w:rsidP="000A19A3">
      <w:pPr>
        <w:pStyle w:val="-0"/>
        <w:rPr>
          <w:rStyle w:val="af1"/>
        </w:rPr>
      </w:pPr>
      <w:bookmarkStart w:id="711" w:name="_Toc119584350"/>
      <w:r>
        <w:t xml:space="preserve">Рисунок </w:t>
      </w:r>
      <w:fldSimple w:instr=" SEQ Рисунок \* ARABIC ">
        <w:r w:rsidR="001860A9">
          <w:rPr>
            <w:noProof/>
          </w:rPr>
          <w:t>163</w:t>
        </w:r>
      </w:fldSimple>
      <w:r>
        <w:rPr>
          <w:szCs w:val="28"/>
        </w:rPr>
        <w:t xml:space="preserve"> –</w:t>
      </w:r>
      <w:r>
        <w:rPr>
          <w:rStyle w:val="af1"/>
        </w:rPr>
        <w:t xml:space="preserve"> Макет отчета «</w:t>
      </w:r>
      <w:r>
        <w:t xml:space="preserve">МО – </w:t>
      </w:r>
      <w:r w:rsidRPr="008A72C6">
        <w:t>Инфографика</w:t>
      </w:r>
      <w:r>
        <w:rPr>
          <w:rStyle w:val="af1"/>
        </w:rPr>
        <w:t>»</w:t>
      </w:r>
      <w:bookmarkEnd w:id="711"/>
    </w:p>
    <w:p w:rsidR="000A19A3" w:rsidRDefault="000A19A3" w:rsidP="006E11C5">
      <w:pPr>
        <w:pStyle w:val="42"/>
        <w:keepNext/>
      </w:pPr>
      <w:bookmarkStart w:id="712" w:name="_Toc80798576"/>
      <w:r>
        <w:t>Отчет «ГВБФ – Общая информация»</w:t>
      </w:r>
      <w:bookmarkEnd w:id="712"/>
    </w:p>
    <w:p w:rsidR="000A19A3" w:rsidRDefault="000A19A3" w:rsidP="000A19A3">
      <w:pPr>
        <w:pStyle w:val="af0"/>
        <w:rPr>
          <w:szCs w:val="28"/>
        </w:rPr>
      </w:pPr>
      <w:r>
        <w:rPr>
          <w:szCs w:val="28"/>
        </w:rPr>
        <w:t>Отчет «</w:t>
      </w:r>
      <w:r>
        <w:t>ГВБФ – Общая информация</w:t>
      </w:r>
      <w:r>
        <w:rPr>
          <w:szCs w:val="28"/>
        </w:rPr>
        <w:t>» группы отчетов «</w:t>
      </w:r>
      <w:r>
        <w:t>Информация об исполнении национальных (федеральных) проектов в разрезе бюджетов бюджетной системы Российской Федерации» должен</w:t>
      </w:r>
      <w:r>
        <w:rPr>
          <w:szCs w:val="28"/>
        </w:rPr>
        <w:t xml:space="preserve"> обеспечивать расчет следующих показателей по </w:t>
      </w:r>
      <w:r>
        <w:t>ГВБФ</w:t>
      </w:r>
      <w:r>
        <w:rPr>
          <w:szCs w:val="28"/>
        </w:rPr>
        <w:t xml:space="preserve"> в разрезе национальных (федеральных) проектов и КВР:</w:t>
      </w:r>
    </w:p>
    <w:p w:rsidR="000A19A3" w:rsidRDefault="000A19A3" w:rsidP="00DE1661">
      <w:pPr>
        <w:pStyle w:val="13"/>
      </w:pPr>
      <w:r>
        <w:t>Утверждено (доведено) бюджетных ассигнований;</w:t>
      </w:r>
    </w:p>
    <w:p w:rsidR="000A19A3" w:rsidRDefault="000A19A3" w:rsidP="00DE1661">
      <w:pPr>
        <w:pStyle w:val="13"/>
      </w:pPr>
      <w:r>
        <w:t>Утверждено (доведено) лимитов бюджетных обязательств;</w:t>
      </w:r>
    </w:p>
    <w:p w:rsidR="000A19A3" w:rsidRDefault="000A19A3" w:rsidP="00DE1661">
      <w:pPr>
        <w:pStyle w:val="13"/>
      </w:pPr>
      <w:r>
        <w:t>Принимаемые обязательства;</w:t>
      </w:r>
    </w:p>
    <w:p w:rsidR="000A19A3" w:rsidRDefault="000A19A3" w:rsidP="00DE1661">
      <w:pPr>
        <w:pStyle w:val="13"/>
      </w:pPr>
      <w:r>
        <w:t>Принятые бюджетные обязательства всего;</w:t>
      </w:r>
    </w:p>
    <w:p w:rsidR="000A19A3" w:rsidRDefault="000A19A3" w:rsidP="00DE1661">
      <w:pPr>
        <w:pStyle w:val="13"/>
      </w:pPr>
      <w:r>
        <w:t>% принятых БО к ЛБО;</w:t>
      </w:r>
    </w:p>
    <w:p w:rsidR="000A19A3" w:rsidRDefault="000A19A3" w:rsidP="00DE1661">
      <w:pPr>
        <w:pStyle w:val="13"/>
      </w:pPr>
      <w:r>
        <w:t>Из них с применением конкурентных способов;</w:t>
      </w:r>
    </w:p>
    <w:p w:rsidR="000A19A3" w:rsidRDefault="000A19A3" w:rsidP="00DE1661">
      <w:pPr>
        <w:pStyle w:val="13"/>
      </w:pPr>
      <w:r>
        <w:t>Денежные обязательства;</w:t>
      </w:r>
    </w:p>
    <w:p w:rsidR="000A19A3" w:rsidRDefault="000A19A3" w:rsidP="00DE1661">
      <w:pPr>
        <w:pStyle w:val="13"/>
      </w:pPr>
      <w:r>
        <w:t>Исполнено денежных обязательств;</w:t>
      </w:r>
    </w:p>
    <w:p w:rsidR="000A19A3" w:rsidRDefault="000A19A3" w:rsidP="00DE1661">
      <w:pPr>
        <w:pStyle w:val="13"/>
      </w:pPr>
      <w:r>
        <w:t>Не исполнено принятых бюджетных обязательств;</w:t>
      </w:r>
    </w:p>
    <w:p w:rsidR="000A19A3" w:rsidRDefault="000A19A3" w:rsidP="00DE1661">
      <w:pPr>
        <w:pStyle w:val="13"/>
      </w:pPr>
      <w:r>
        <w:t>Не исполнено принятых денежных обязательств;</w:t>
      </w:r>
    </w:p>
    <w:p w:rsidR="000A19A3" w:rsidRDefault="000A19A3" w:rsidP="00DE1661">
      <w:pPr>
        <w:pStyle w:val="13"/>
      </w:pPr>
      <w:r>
        <w:t>% исполнения от БА;</w:t>
      </w:r>
    </w:p>
    <w:p w:rsidR="000A19A3" w:rsidRDefault="000A19A3" w:rsidP="00DE1661">
      <w:pPr>
        <w:pStyle w:val="13"/>
      </w:pPr>
      <w:r>
        <w:t>% исполнения от ЛБО;</w:t>
      </w:r>
    </w:p>
    <w:p w:rsidR="000A19A3" w:rsidRDefault="000A19A3" w:rsidP="00DE1661">
      <w:pPr>
        <w:pStyle w:val="13"/>
      </w:pPr>
      <w:r>
        <w:t>% исполнения от принятых бюджетных обязательств.</w:t>
      </w:r>
    </w:p>
    <w:p w:rsidR="000A19A3" w:rsidRDefault="000A19A3" w:rsidP="000A19A3">
      <w:pPr>
        <w:pStyle w:val="af0"/>
        <w:ind w:left="1276"/>
        <w:rPr>
          <w:szCs w:val="28"/>
        </w:rPr>
      </w:pPr>
    </w:p>
    <w:p w:rsidR="000A19A3" w:rsidRDefault="000A19A3" w:rsidP="000A19A3">
      <w:pPr>
        <w:pStyle w:val="af0"/>
        <w:rPr>
          <w:szCs w:val="28"/>
        </w:rPr>
      </w:pPr>
      <w:r>
        <w:rPr>
          <w:szCs w:val="28"/>
        </w:rPr>
        <w:t>Источники данных для отчета:</w:t>
      </w:r>
    </w:p>
    <w:p w:rsidR="000A19A3" w:rsidRDefault="000A19A3" w:rsidP="00DE1661">
      <w:pPr>
        <w:pStyle w:val="13"/>
      </w:pPr>
      <w:r>
        <w:t>Данные на основе таблицы Факт БО Сведения об обязательствах по нац. проектам (F_BO_OBLIGATIONNP).</w:t>
      </w:r>
    </w:p>
    <w:p w:rsidR="000A19A3" w:rsidRDefault="000A19A3" w:rsidP="000A19A3">
      <w:pPr>
        <w:pStyle w:val="af0"/>
        <w:rPr>
          <w:szCs w:val="28"/>
        </w:rPr>
      </w:pPr>
      <w:r>
        <w:rPr>
          <w:szCs w:val="28"/>
        </w:rPr>
        <w:t>Параметры отчета:</w:t>
      </w:r>
    </w:p>
    <w:p w:rsidR="000A19A3" w:rsidRDefault="000A19A3" w:rsidP="00DE1661">
      <w:pPr>
        <w:pStyle w:val="13"/>
      </w:pPr>
      <w:r>
        <w:t>Отчетная дата. Выпадающий список с выбором дат, за которые были предоставлены исходные данные;</w:t>
      </w:r>
    </w:p>
    <w:p w:rsidR="000A19A3" w:rsidRDefault="000A19A3" w:rsidP="00DE1661">
      <w:pPr>
        <w:pStyle w:val="13"/>
      </w:pPr>
      <w:r>
        <w:t>Финансовый период. Выпадающий список с выбором финансового периода, возможен выбор значения «Все»;</w:t>
      </w:r>
    </w:p>
    <w:p w:rsidR="000A19A3" w:rsidRDefault="000A19A3"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0A19A3" w:rsidRDefault="000A19A3"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0A19A3" w:rsidRDefault="000A19A3" w:rsidP="00DE1661">
      <w:pPr>
        <w:pStyle w:val="13"/>
      </w:pPr>
      <w:r>
        <w:t>КВР. Выпадающий список с выбором КВР. Формируется на основании справочника D_KSPL_KVR, возможен выбор значения «Все»;</w:t>
      </w:r>
    </w:p>
    <w:p w:rsidR="000A19A3" w:rsidRDefault="000A19A3" w:rsidP="00DE1661">
      <w:pPr>
        <w:pStyle w:val="13"/>
      </w:pPr>
      <w:r>
        <w:t>РЗПР. Выпадающий список с выбором РЗПР. Формируется на основании справочника D_KSPL_RZPR, возможен выбор значения «Все»;</w:t>
      </w:r>
    </w:p>
    <w:p w:rsidR="000A19A3" w:rsidRDefault="000A19A3" w:rsidP="00DE1661">
      <w:pPr>
        <w:pStyle w:val="13"/>
      </w:pPr>
      <w:r>
        <w:t>КЦСР. Параметр с возможностью задания значения по маске (XXXXXXXXXX), по умолчанию параметр не задан;</w:t>
      </w:r>
    </w:p>
    <w:p w:rsidR="000A19A3" w:rsidRDefault="000A19A3" w:rsidP="00DE1661">
      <w:pPr>
        <w:pStyle w:val="13"/>
      </w:pPr>
      <w:r>
        <w:t>Направление расходов. Параметр с возможностью задания значения по маске (XXXXX), по умолчанию параметр не задан;</w:t>
      </w:r>
    </w:p>
    <w:p w:rsidR="000A19A3" w:rsidRDefault="000A19A3" w:rsidP="00DE1661">
      <w:pPr>
        <w:pStyle w:val="13"/>
      </w:pPr>
      <w:r>
        <w:t>Единицы измерения. Плоский список с элементами: руб., тыс. руб., млн. руб., млрд. руб.</w:t>
      </w:r>
    </w:p>
    <w:p w:rsidR="000A19A3" w:rsidRDefault="000A19A3" w:rsidP="000A19A3">
      <w:pPr>
        <w:pStyle w:val="af0"/>
      </w:pPr>
      <w:r>
        <w:t xml:space="preserve">Из отчета должны быть обеспечены </w:t>
      </w:r>
      <w:r w:rsidRPr="000A19A3">
        <w:t>следующие</w:t>
      </w:r>
      <w:r>
        <w:t xml:space="preserve"> переходы:</w:t>
      </w:r>
    </w:p>
    <w:p w:rsidR="000A19A3" w:rsidRDefault="000A19A3" w:rsidP="000A19A3">
      <w:pPr>
        <w:pStyle w:val="af0"/>
        <w:rPr>
          <w:szCs w:val="28"/>
        </w:rPr>
      </w:pPr>
      <w:r>
        <w:rPr>
          <w:szCs w:val="28"/>
        </w:rPr>
        <w:t>Детализация по ГВБФ.</w:t>
      </w:r>
    </w:p>
    <w:p w:rsidR="000A19A3" w:rsidRDefault="000A19A3" w:rsidP="000A19A3">
      <w:pPr>
        <w:pStyle w:val="-0"/>
        <w:keepNext/>
      </w:pPr>
      <w:r>
        <w:rPr>
          <w:noProof/>
          <w:snapToGrid/>
        </w:rPr>
        <w:drawing>
          <wp:inline distT="0" distB="0" distL="0" distR="0" wp14:anchorId="07F81DCC" wp14:editId="549BD04F">
            <wp:extent cx="6119495" cy="3112163"/>
            <wp:effectExtent l="0" t="0" r="0" b="0"/>
            <wp:docPr id="8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119495" cy="3112163"/>
                    </a:xfrm>
                    <a:prstGeom prst="rect">
                      <a:avLst/>
                    </a:prstGeom>
                    <a:noFill/>
                    <a:ln>
                      <a:noFill/>
                    </a:ln>
                  </pic:spPr>
                </pic:pic>
              </a:graphicData>
            </a:graphic>
          </wp:inline>
        </w:drawing>
      </w:r>
    </w:p>
    <w:p w:rsidR="000A19A3" w:rsidRDefault="000A19A3" w:rsidP="000A19A3">
      <w:pPr>
        <w:pStyle w:val="-0"/>
        <w:rPr>
          <w:rStyle w:val="af1"/>
        </w:rPr>
      </w:pPr>
      <w:bookmarkStart w:id="713" w:name="_Toc119584351"/>
      <w:r>
        <w:t xml:space="preserve">Рисунок </w:t>
      </w:r>
      <w:fldSimple w:instr=" SEQ Рисунок \* ARABIC ">
        <w:r w:rsidR="001860A9">
          <w:rPr>
            <w:noProof/>
          </w:rPr>
          <w:t>164</w:t>
        </w:r>
      </w:fldSimple>
      <w:r>
        <w:rPr>
          <w:rStyle w:val="af1"/>
        </w:rPr>
        <w:t xml:space="preserve"> – Макет отчета «</w:t>
      </w:r>
      <w:r>
        <w:t xml:space="preserve">ГВБФ – Общая </w:t>
      </w:r>
      <w:r w:rsidRPr="008A72C6">
        <w:t>информация</w:t>
      </w:r>
      <w:r>
        <w:rPr>
          <w:rStyle w:val="af1"/>
        </w:rPr>
        <w:t>»</w:t>
      </w:r>
      <w:bookmarkEnd w:id="713"/>
    </w:p>
    <w:p w:rsidR="000A19A3" w:rsidRDefault="000A19A3" w:rsidP="006E11C5">
      <w:pPr>
        <w:pStyle w:val="42"/>
        <w:keepNext/>
      </w:pPr>
      <w:bookmarkStart w:id="714" w:name="_Toc80798577"/>
      <w:r>
        <w:t>Отчет «ГВБФ – Детализация»</w:t>
      </w:r>
      <w:bookmarkEnd w:id="714"/>
    </w:p>
    <w:p w:rsidR="000A19A3" w:rsidRDefault="000A19A3" w:rsidP="000A19A3">
      <w:pPr>
        <w:pStyle w:val="af0"/>
        <w:rPr>
          <w:szCs w:val="28"/>
        </w:rPr>
      </w:pPr>
      <w:r>
        <w:rPr>
          <w:szCs w:val="28"/>
        </w:rPr>
        <w:t>Отчет «</w:t>
      </w:r>
      <w:r>
        <w:t>ГВБФ – Детализация</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расчет следующих показателей в разрезе ГВБФ:</w:t>
      </w:r>
    </w:p>
    <w:p w:rsidR="000A19A3" w:rsidRDefault="000A19A3" w:rsidP="00DE1661">
      <w:pPr>
        <w:pStyle w:val="13"/>
      </w:pPr>
      <w:r>
        <w:t>Утверждено (доведено) бюджетных ассигнований;</w:t>
      </w:r>
    </w:p>
    <w:p w:rsidR="000A19A3" w:rsidRDefault="000A19A3" w:rsidP="00DE1661">
      <w:pPr>
        <w:pStyle w:val="13"/>
      </w:pPr>
      <w:r>
        <w:t>Утверждено (доведено) лимитов бюджетных обязательств;</w:t>
      </w:r>
    </w:p>
    <w:p w:rsidR="000A19A3" w:rsidRDefault="000A19A3" w:rsidP="00DE1661">
      <w:pPr>
        <w:pStyle w:val="13"/>
      </w:pPr>
      <w:r>
        <w:t>Принимаемые обязательства;</w:t>
      </w:r>
    </w:p>
    <w:p w:rsidR="000A19A3" w:rsidRDefault="000A19A3" w:rsidP="00DE1661">
      <w:pPr>
        <w:pStyle w:val="13"/>
      </w:pPr>
      <w:r>
        <w:t>Принятые бюджетные обязательства всего;</w:t>
      </w:r>
    </w:p>
    <w:p w:rsidR="000A19A3" w:rsidRDefault="000A19A3" w:rsidP="00DE1661">
      <w:pPr>
        <w:pStyle w:val="13"/>
      </w:pPr>
      <w:r>
        <w:t>% принятых БО к ЛБО;</w:t>
      </w:r>
    </w:p>
    <w:p w:rsidR="000A19A3" w:rsidRDefault="000A19A3" w:rsidP="00DE1661">
      <w:pPr>
        <w:pStyle w:val="13"/>
      </w:pPr>
      <w:r>
        <w:t>Из них с применением конкурентных способов;</w:t>
      </w:r>
    </w:p>
    <w:p w:rsidR="000A19A3" w:rsidRDefault="000A19A3" w:rsidP="00DE1661">
      <w:pPr>
        <w:pStyle w:val="13"/>
      </w:pPr>
      <w:r>
        <w:t>Денежные обязательства;</w:t>
      </w:r>
    </w:p>
    <w:p w:rsidR="000A19A3" w:rsidRDefault="000A19A3" w:rsidP="00DE1661">
      <w:pPr>
        <w:pStyle w:val="13"/>
      </w:pPr>
      <w:r>
        <w:t>Исполнено денежных обязательств;</w:t>
      </w:r>
    </w:p>
    <w:p w:rsidR="000A19A3" w:rsidRDefault="000A19A3" w:rsidP="00DE1661">
      <w:pPr>
        <w:pStyle w:val="13"/>
      </w:pPr>
      <w:r>
        <w:t>Не исполнено принятых бюджетных обязательств;</w:t>
      </w:r>
    </w:p>
    <w:p w:rsidR="000A19A3" w:rsidRDefault="000A19A3" w:rsidP="00DE1661">
      <w:pPr>
        <w:pStyle w:val="13"/>
      </w:pPr>
      <w:r>
        <w:t>Не исполнено принятых денежных обязательств;</w:t>
      </w:r>
    </w:p>
    <w:p w:rsidR="000A19A3" w:rsidRDefault="000A19A3" w:rsidP="00DE1661">
      <w:pPr>
        <w:pStyle w:val="13"/>
      </w:pPr>
      <w:r>
        <w:t>% исполнения от БА;</w:t>
      </w:r>
    </w:p>
    <w:p w:rsidR="000A19A3" w:rsidRDefault="000A19A3" w:rsidP="00DE1661">
      <w:pPr>
        <w:pStyle w:val="13"/>
      </w:pPr>
      <w:r>
        <w:t>% исполнения от ЛБО;</w:t>
      </w:r>
    </w:p>
    <w:p w:rsidR="000A19A3" w:rsidRDefault="000A19A3" w:rsidP="00DE1661">
      <w:pPr>
        <w:pStyle w:val="13"/>
      </w:pPr>
      <w:r>
        <w:t>% исполнения от принятых бюджетных обязательств.</w:t>
      </w:r>
    </w:p>
    <w:p w:rsidR="000A19A3" w:rsidRDefault="000A19A3" w:rsidP="000A19A3">
      <w:pPr>
        <w:pStyle w:val="af0"/>
        <w:rPr>
          <w:szCs w:val="28"/>
        </w:rPr>
      </w:pPr>
      <w:r>
        <w:rPr>
          <w:szCs w:val="28"/>
        </w:rPr>
        <w:t>Источники данных для отчета:</w:t>
      </w:r>
    </w:p>
    <w:p w:rsidR="000A19A3" w:rsidRDefault="000A19A3" w:rsidP="00DE1661">
      <w:pPr>
        <w:pStyle w:val="13"/>
      </w:pPr>
      <w:r>
        <w:t>Данные на основе таблицы Факт БО Сведения об обязательствах по нац. проектам (F_BO_OBLIGATIONNP).</w:t>
      </w:r>
    </w:p>
    <w:p w:rsidR="000A19A3" w:rsidRDefault="000A19A3" w:rsidP="000A19A3">
      <w:pPr>
        <w:pStyle w:val="af0"/>
        <w:rPr>
          <w:szCs w:val="28"/>
        </w:rPr>
      </w:pPr>
      <w:r>
        <w:rPr>
          <w:szCs w:val="28"/>
        </w:rPr>
        <w:t>Параметры отчета:</w:t>
      </w:r>
    </w:p>
    <w:p w:rsidR="000A19A3" w:rsidRDefault="000A19A3" w:rsidP="00DE1661">
      <w:pPr>
        <w:pStyle w:val="13"/>
      </w:pPr>
      <w:r>
        <w:t>Отчетная дата. Выпадающий список с выбором дат, за которые были предоставлены исходные данные;</w:t>
      </w:r>
    </w:p>
    <w:p w:rsidR="000A19A3" w:rsidRDefault="000A19A3" w:rsidP="00DE1661">
      <w:pPr>
        <w:pStyle w:val="13"/>
      </w:pPr>
      <w:r>
        <w:t>Финансовый период. Выпадающий список с выбором финансового периода, возможен выбор значения «Все»;</w:t>
      </w:r>
    </w:p>
    <w:p w:rsidR="000A19A3" w:rsidRDefault="000A19A3" w:rsidP="00DE1661">
      <w:pPr>
        <w:pStyle w:val="13"/>
      </w:pPr>
      <w:r>
        <w:t>ГВБФ. Выпадающий список с выбором ГВБФ. Формируется на основании справочника D_BO_SUBBO, возможен выбор значения «Все»;</w:t>
      </w:r>
    </w:p>
    <w:p w:rsidR="000A19A3" w:rsidRDefault="000A19A3"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0A19A3" w:rsidRDefault="000A19A3"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0A19A3" w:rsidRDefault="000A19A3" w:rsidP="00DE1661">
      <w:pPr>
        <w:pStyle w:val="13"/>
      </w:pPr>
      <w:r>
        <w:t>КВР. Выпадающий список с выбором КВР. Формируется на основании справочника D_KSPL_KVR, возможен выбор значения «Все»;</w:t>
      </w:r>
    </w:p>
    <w:p w:rsidR="000A19A3" w:rsidRDefault="000A19A3" w:rsidP="00DE1661">
      <w:pPr>
        <w:pStyle w:val="13"/>
      </w:pPr>
      <w:r>
        <w:t>РЗПР. Выпадающий список с выбором РЗПР. Формируется на основании справочника D_KSPL_RZPR, возможен выбор значения «Все»;</w:t>
      </w:r>
    </w:p>
    <w:p w:rsidR="000A19A3" w:rsidRDefault="000A19A3" w:rsidP="00DE1661">
      <w:pPr>
        <w:pStyle w:val="13"/>
      </w:pPr>
      <w:r>
        <w:t>КЦСР. Параметр с возможностью задания значения по маске (XXXXXXXXXX), по умолчанию параметр не задан;</w:t>
      </w:r>
    </w:p>
    <w:p w:rsidR="000A19A3" w:rsidRDefault="000A19A3" w:rsidP="00DE1661">
      <w:pPr>
        <w:pStyle w:val="13"/>
      </w:pPr>
      <w:r>
        <w:t>Направление расходов. Параметр с возможностью задания значения по маске (XXXXX), по умолчанию параметр не задан;</w:t>
      </w:r>
    </w:p>
    <w:p w:rsidR="000A19A3" w:rsidRDefault="000A19A3" w:rsidP="00DE1661">
      <w:pPr>
        <w:pStyle w:val="13"/>
      </w:pPr>
      <w:r>
        <w:t>Единицы измерения. Плоский список с элементами: р</w:t>
      </w:r>
      <w:r w:rsidR="00D030C7">
        <w:t>уб, тыс руб, млн руб, млрд</w:t>
      </w:r>
      <w:r>
        <w:t xml:space="preserve"> руб.</w:t>
      </w:r>
    </w:p>
    <w:p w:rsidR="00D030C7" w:rsidRDefault="00D030C7" w:rsidP="00D030C7">
      <w:pPr>
        <w:pStyle w:val="-0"/>
      </w:pPr>
      <w:r>
        <w:rPr>
          <w:noProof/>
          <w:snapToGrid/>
        </w:rPr>
        <w:drawing>
          <wp:inline distT="0" distB="0" distL="0" distR="0" wp14:anchorId="78933F30" wp14:editId="43EC0222">
            <wp:extent cx="6119495" cy="3095822"/>
            <wp:effectExtent l="0" t="0" r="0" b="9525"/>
            <wp:docPr id="8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6119495" cy="3095822"/>
                    </a:xfrm>
                    <a:prstGeom prst="rect">
                      <a:avLst/>
                    </a:prstGeom>
                    <a:noFill/>
                    <a:ln>
                      <a:noFill/>
                    </a:ln>
                  </pic:spPr>
                </pic:pic>
              </a:graphicData>
            </a:graphic>
          </wp:inline>
        </w:drawing>
      </w:r>
    </w:p>
    <w:p w:rsidR="00D030C7" w:rsidRDefault="00D030C7" w:rsidP="00D030C7">
      <w:pPr>
        <w:pStyle w:val="-0"/>
        <w:rPr>
          <w:rStyle w:val="af1"/>
        </w:rPr>
      </w:pPr>
      <w:bookmarkStart w:id="715" w:name="_Toc119584352"/>
      <w:r>
        <w:t xml:space="preserve">Рисунок </w:t>
      </w:r>
      <w:fldSimple w:instr=" SEQ Рисунок \* ARABIC ">
        <w:r w:rsidR="001860A9">
          <w:rPr>
            <w:noProof/>
          </w:rPr>
          <w:t>165</w:t>
        </w:r>
      </w:fldSimple>
      <w:r>
        <w:rPr>
          <w:szCs w:val="28"/>
        </w:rPr>
        <w:t xml:space="preserve"> – </w:t>
      </w:r>
      <w:r>
        <w:rPr>
          <w:rStyle w:val="af1"/>
        </w:rPr>
        <w:t>Макет отчета «</w:t>
      </w:r>
      <w:r>
        <w:t xml:space="preserve">ГВБФ – </w:t>
      </w:r>
      <w:r w:rsidRPr="008A72C6">
        <w:t>Детализация</w:t>
      </w:r>
      <w:r>
        <w:rPr>
          <w:rStyle w:val="af1"/>
        </w:rPr>
        <w:t>»</w:t>
      </w:r>
      <w:bookmarkEnd w:id="715"/>
    </w:p>
    <w:p w:rsidR="00D030C7" w:rsidRDefault="00D030C7" w:rsidP="006E11C5">
      <w:pPr>
        <w:pStyle w:val="42"/>
        <w:keepNext/>
      </w:pPr>
      <w:bookmarkStart w:id="716" w:name="_Toc80798578"/>
      <w:r>
        <w:t>Отчет «Тер. фонды – Общая информация»</w:t>
      </w:r>
      <w:bookmarkEnd w:id="716"/>
    </w:p>
    <w:p w:rsidR="00D030C7" w:rsidRDefault="00D030C7" w:rsidP="00D030C7">
      <w:pPr>
        <w:pStyle w:val="af0"/>
        <w:rPr>
          <w:szCs w:val="28"/>
        </w:rPr>
      </w:pPr>
      <w:r>
        <w:rPr>
          <w:szCs w:val="28"/>
        </w:rPr>
        <w:t>Отчет «</w:t>
      </w:r>
      <w:r>
        <w:t>Тер. фонды – Общая информация</w:t>
      </w:r>
      <w:r>
        <w:rPr>
          <w:szCs w:val="28"/>
        </w:rPr>
        <w:t>» группы отчетов «</w:t>
      </w:r>
      <w:r>
        <w:t>Информация об исполнении национальных (федеральных) проектов в разрезе бюджетов бюджетной системы Российской Федерации» должен</w:t>
      </w:r>
      <w:r>
        <w:rPr>
          <w:szCs w:val="28"/>
        </w:rPr>
        <w:t xml:space="preserve"> обеспечивать расчет следующих показателей по </w:t>
      </w:r>
      <w:r>
        <w:t>территориальным фондам</w:t>
      </w:r>
      <w:r>
        <w:rPr>
          <w:szCs w:val="28"/>
        </w:rPr>
        <w:t xml:space="preserve"> в разрезе национальных (федеральных) проектов и КВР:</w:t>
      </w:r>
    </w:p>
    <w:p w:rsidR="00D030C7" w:rsidRDefault="00D030C7" w:rsidP="00DE1661">
      <w:pPr>
        <w:pStyle w:val="13"/>
      </w:pPr>
      <w:r>
        <w:t>Утверждено (доведено) бюджетных ассигнований;</w:t>
      </w:r>
    </w:p>
    <w:p w:rsidR="00D030C7" w:rsidRDefault="00D030C7" w:rsidP="00DE1661">
      <w:pPr>
        <w:pStyle w:val="13"/>
      </w:pPr>
      <w:r>
        <w:t>Утверждено (доведено) лимитов бюджетных обязательств;</w:t>
      </w:r>
    </w:p>
    <w:p w:rsidR="00D030C7" w:rsidRDefault="00D030C7" w:rsidP="00DE1661">
      <w:pPr>
        <w:pStyle w:val="13"/>
      </w:pPr>
      <w:r>
        <w:t>Принимаемые обязательства;</w:t>
      </w:r>
    </w:p>
    <w:p w:rsidR="00D030C7" w:rsidRDefault="00D030C7" w:rsidP="00DE1661">
      <w:pPr>
        <w:pStyle w:val="13"/>
      </w:pPr>
      <w:r>
        <w:t>Принятые бюджетные обязательства всего;</w:t>
      </w:r>
    </w:p>
    <w:p w:rsidR="00D030C7" w:rsidRDefault="00D030C7" w:rsidP="00DE1661">
      <w:pPr>
        <w:pStyle w:val="13"/>
      </w:pPr>
      <w:r>
        <w:t>% принятых БО к ЛБО;</w:t>
      </w:r>
    </w:p>
    <w:p w:rsidR="00D030C7" w:rsidRDefault="00D030C7" w:rsidP="00DE1661">
      <w:pPr>
        <w:pStyle w:val="13"/>
      </w:pPr>
      <w:r>
        <w:t>Из них с применением конкурентных способов;</w:t>
      </w:r>
    </w:p>
    <w:p w:rsidR="00D030C7" w:rsidRDefault="00D030C7" w:rsidP="00DE1661">
      <w:pPr>
        <w:pStyle w:val="13"/>
      </w:pPr>
      <w:r>
        <w:t>Денежные обязательства;</w:t>
      </w:r>
    </w:p>
    <w:p w:rsidR="00D030C7" w:rsidRDefault="00D030C7" w:rsidP="00DE1661">
      <w:pPr>
        <w:pStyle w:val="13"/>
      </w:pPr>
      <w:r>
        <w:t>Исполнено денежных обязательств;</w:t>
      </w:r>
    </w:p>
    <w:p w:rsidR="00D030C7" w:rsidRDefault="00D030C7" w:rsidP="00DE1661">
      <w:pPr>
        <w:pStyle w:val="13"/>
      </w:pPr>
      <w:r>
        <w:t>Не исполнено принятых бюджетных обязательств;</w:t>
      </w:r>
    </w:p>
    <w:p w:rsidR="00D030C7" w:rsidRDefault="00D030C7" w:rsidP="00DE1661">
      <w:pPr>
        <w:pStyle w:val="13"/>
      </w:pPr>
      <w:r>
        <w:t>Не исполнено принятых денежных обязательств;</w:t>
      </w:r>
    </w:p>
    <w:p w:rsidR="00D030C7" w:rsidRDefault="00D030C7" w:rsidP="00DE1661">
      <w:pPr>
        <w:pStyle w:val="13"/>
      </w:pPr>
      <w:r>
        <w:t>% исполнения от БА;</w:t>
      </w:r>
    </w:p>
    <w:p w:rsidR="00D030C7" w:rsidRDefault="00D030C7" w:rsidP="00DE1661">
      <w:pPr>
        <w:pStyle w:val="13"/>
      </w:pPr>
      <w:r>
        <w:t>% исполнения от ЛБО;</w:t>
      </w:r>
    </w:p>
    <w:p w:rsidR="00D030C7" w:rsidRDefault="00D030C7" w:rsidP="00DE1661">
      <w:pPr>
        <w:pStyle w:val="13"/>
      </w:pPr>
      <w:r>
        <w:t>% исполнения от принятых бюджетных обязательств.</w:t>
      </w:r>
    </w:p>
    <w:p w:rsidR="00D030C7" w:rsidRDefault="00D030C7" w:rsidP="00D030C7">
      <w:pPr>
        <w:pStyle w:val="af0"/>
        <w:rPr>
          <w:szCs w:val="28"/>
        </w:rPr>
      </w:pPr>
      <w:r>
        <w:rPr>
          <w:szCs w:val="28"/>
        </w:rPr>
        <w:t>Источники данных для отчета:</w:t>
      </w:r>
    </w:p>
    <w:p w:rsidR="00D030C7" w:rsidRDefault="00D030C7" w:rsidP="00DE1661">
      <w:pPr>
        <w:pStyle w:val="13"/>
      </w:pPr>
      <w:r>
        <w:t>Данные на основе таблицы Факт БО Сведения об обязательствах по нац. проектам (F_BO_OBLIGATIONNP).</w:t>
      </w:r>
    </w:p>
    <w:p w:rsidR="00D030C7" w:rsidRDefault="00D030C7" w:rsidP="00D030C7">
      <w:pPr>
        <w:pStyle w:val="af0"/>
        <w:rPr>
          <w:szCs w:val="28"/>
        </w:rPr>
      </w:pPr>
      <w:r>
        <w:rPr>
          <w:szCs w:val="28"/>
        </w:rPr>
        <w:t>Параметры отчета:</w:t>
      </w:r>
    </w:p>
    <w:p w:rsidR="00D030C7" w:rsidRDefault="00D030C7" w:rsidP="00DE1661">
      <w:pPr>
        <w:pStyle w:val="13"/>
      </w:pPr>
      <w:r>
        <w:t>Отчетная дата. Выпадающий список с выбором дат, за которые были предоставлены исходные данные;</w:t>
      </w:r>
    </w:p>
    <w:p w:rsidR="00D030C7" w:rsidRDefault="00D030C7" w:rsidP="00DE1661">
      <w:pPr>
        <w:pStyle w:val="13"/>
      </w:pPr>
      <w:r>
        <w:t>Финансовый период. Выпадающий список с выбором финансового периода, возможен выбор значения «Все»;</w:t>
      </w:r>
    </w:p>
    <w:p w:rsidR="00D030C7" w:rsidRDefault="00D030C7"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D030C7" w:rsidRDefault="00D030C7"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D030C7" w:rsidRDefault="00D030C7" w:rsidP="00DE1661">
      <w:pPr>
        <w:pStyle w:val="13"/>
      </w:pPr>
      <w:r>
        <w:t>КВР. Выпадающий список с выбором КВР. Формируется на основании справочника D_KSPL_KVR, возможен выбор значения «Все»;</w:t>
      </w:r>
    </w:p>
    <w:p w:rsidR="00D030C7" w:rsidRDefault="00D030C7" w:rsidP="00DE1661">
      <w:pPr>
        <w:pStyle w:val="13"/>
      </w:pPr>
      <w:r>
        <w:t>РЗПР. Выпадающий список с выбором РЗПР. Формируется на основании справочника D_KSPL_RZPR, возможен выбор значения «Все»;</w:t>
      </w:r>
    </w:p>
    <w:p w:rsidR="00D030C7" w:rsidRDefault="00D030C7" w:rsidP="00DE1661">
      <w:pPr>
        <w:pStyle w:val="13"/>
      </w:pPr>
      <w:r>
        <w:t>КЦСР. Параметр с возможностью задания значения по маске (XXXXXXXXXX), по умолчанию параметр не задан;</w:t>
      </w:r>
    </w:p>
    <w:p w:rsidR="00D030C7" w:rsidRDefault="00D030C7" w:rsidP="00DE1661">
      <w:pPr>
        <w:pStyle w:val="13"/>
      </w:pPr>
      <w:r>
        <w:t>Направление расходов. Параметр с возможностью задания значения по маске (XXXXX), по умолчанию параметр не задан;</w:t>
      </w:r>
    </w:p>
    <w:p w:rsidR="00D030C7" w:rsidRDefault="00D030C7" w:rsidP="00DE1661">
      <w:pPr>
        <w:pStyle w:val="13"/>
      </w:pPr>
      <w:r>
        <w:t>Единицы измерения. Плоский список с элементами: руб, тыс руб, млн руб, млрд руб.</w:t>
      </w:r>
    </w:p>
    <w:p w:rsidR="00D030C7" w:rsidRDefault="00D030C7" w:rsidP="00D030C7">
      <w:pPr>
        <w:pStyle w:val="af0"/>
        <w:rPr>
          <w:szCs w:val="28"/>
        </w:rPr>
      </w:pPr>
      <w:r>
        <w:rPr>
          <w:szCs w:val="28"/>
        </w:rPr>
        <w:t>Из отчета должны быть обеспечены следующие переходы:</w:t>
      </w:r>
    </w:p>
    <w:p w:rsidR="00D030C7" w:rsidRDefault="00D030C7" w:rsidP="00D030C7">
      <w:pPr>
        <w:pStyle w:val="af0"/>
        <w:rPr>
          <w:szCs w:val="28"/>
        </w:rPr>
      </w:pPr>
      <w:r>
        <w:rPr>
          <w:szCs w:val="28"/>
        </w:rPr>
        <w:t>Детализация по территориальным фондам.</w:t>
      </w:r>
    </w:p>
    <w:p w:rsidR="006E11C5" w:rsidRDefault="006E11C5" w:rsidP="006E11C5">
      <w:pPr>
        <w:pStyle w:val="-0"/>
        <w:keepNext/>
      </w:pPr>
      <w:r>
        <w:rPr>
          <w:noProof/>
          <w:snapToGrid/>
        </w:rPr>
        <w:drawing>
          <wp:inline distT="0" distB="0" distL="0" distR="0" wp14:anchorId="501AA931" wp14:editId="29D9AAA6">
            <wp:extent cx="6119495" cy="3095822"/>
            <wp:effectExtent l="0" t="0" r="0" b="9525"/>
            <wp:docPr id="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119495" cy="3095822"/>
                    </a:xfrm>
                    <a:prstGeom prst="rect">
                      <a:avLst/>
                    </a:prstGeom>
                    <a:noFill/>
                    <a:ln>
                      <a:noFill/>
                    </a:ln>
                  </pic:spPr>
                </pic:pic>
              </a:graphicData>
            </a:graphic>
          </wp:inline>
        </w:drawing>
      </w:r>
    </w:p>
    <w:p w:rsidR="00D030C7" w:rsidRDefault="006E11C5" w:rsidP="006E11C5">
      <w:pPr>
        <w:pStyle w:val="-0"/>
        <w:rPr>
          <w:rStyle w:val="af1"/>
        </w:rPr>
      </w:pPr>
      <w:bookmarkStart w:id="717" w:name="_Toc119584353"/>
      <w:r>
        <w:t xml:space="preserve">Рисунок </w:t>
      </w:r>
      <w:fldSimple w:instr=" SEQ Рисунок \* ARABIC ">
        <w:r w:rsidR="001860A9">
          <w:rPr>
            <w:noProof/>
          </w:rPr>
          <w:t>166</w:t>
        </w:r>
      </w:fldSimple>
      <w:r>
        <w:rPr>
          <w:szCs w:val="28"/>
        </w:rPr>
        <w:t xml:space="preserve"> – </w:t>
      </w:r>
      <w:r>
        <w:rPr>
          <w:rStyle w:val="af1"/>
        </w:rPr>
        <w:t>Макет отчета «</w:t>
      </w:r>
      <w:r>
        <w:t xml:space="preserve">Тер. фонды – </w:t>
      </w:r>
      <w:r w:rsidRPr="008A72C6">
        <w:t>Общая</w:t>
      </w:r>
      <w:r>
        <w:t xml:space="preserve"> информация</w:t>
      </w:r>
      <w:r>
        <w:rPr>
          <w:rStyle w:val="af1"/>
        </w:rPr>
        <w:t>»</w:t>
      </w:r>
      <w:bookmarkEnd w:id="717"/>
    </w:p>
    <w:p w:rsidR="006E11C5" w:rsidRDefault="006E11C5" w:rsidP="006E11C5">
      <w:pPr>
        <w:pStyle w:val="42"/>
        <w:keepNext/>
      </w:pPr>
      <w:bookmarkStart w:id="718" w:name="_Toc80798579"/>
      <w:r>
        <w:t>Отчет «Тер. фонды – Детализация»</w:t>
      </w:r>
      <w:bookmarkEnd w:id="718"/>
    </w:p>
    <w:p w:rsidR="006E11C5" w:rsidRDefault="006E11C5" w:rsidP="006E11C5">
      <w:pPr>
        <w:pStyle w:val="af0"/>
        <w:rPr>
          <w:szCs w:val="28"/>
        </w:rPr>
      </w:pPr>
      <w:r>
        <w:rPr>
          <w:szCs w:val="28"/>
        </w:rPr>
        <w:t>Отчет «</w:t>
      </w:r>
      <w:r>
        <w:t>Тер. фонды – Детализация</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расчет следующих показателей в разрезе территориальных фондов:</w:t>
      </w:r>
    </w:p>
    <w:p w:rsidR="006E11C5" w:rsidRDefault="006E11C5" w:rsidP="00DE1661">
      <w:pPr>
        <w:pStyle w:val="13"/>
      </w:pPr>
      <w:r>
        <w:t>Утверждено (доведено) бюджетных ассигнований;</w:t>
      </w:r>
    </w:p>
    <w:p w:rsidR="006E11C5" w:rsidRDefault="006E11C5" w:rsidP="00DE1661">
      <w:pPr>
        <w:pStyle w:val="13"/>
      </w:pPr>
      <w:r>
        <w:t>Утверждено (доведено) лимитов бюджетных обязательств;</w:t>
      </w:r>
    </w:p>
    <w:p w:rsidR="006E11C5" w:rsidRDefault="006E11C5" w:rsidP="00DE1661">
      <w:pPr>
        <w:pStyle w:val="13"/>
      </w:pPr>
      <w:r>
        <w:t>Принимаемые обязательства;</w:t>
      </w:r>
    </w:p>
    <w:p w:rsidR="006E11C5" w:rsidRDefault="006E11C5" w:rsidP="00DE1661">
      <w:pPr>
        <w:pStyle w:val="13"/>
      </w:pPr>
      <w:r>
        <w:t>Принятые бюджетные обязательства всего;</w:t>
      </w:r>
    </w:p>
    <w:p w:rsidR="006E11C5" w:rsidRDefault="006E11C5" w:rsidP="00DE1661">
      <w:pPr>
        <w:pStyle w:val="13"/>
      </w:pPr>
      <w:r>
        <w:t>% принятых БО к ЛБО;</w:t>
      </w:r>
    </w:p>
    <w:p w:rsidR="006E11C5" w:rsidRDefault="006E11C5" w:rsidP="00DE1661">
      <w:pPr>
        <w:pStyle w:val="13"/>
      </w:pPr>
      <w:r>
        <w:t>Из них с применением конкурентных способов;</w:t>
      </w:r>
    </w:p>
    <w:p w:rsidR="006E11C5" w:rsidRDefault="006E11C5" w:rsidP="00DE1661">
      <w:pPr>
        <w:pStyle w:val="13"/>
      </w:pPr>
      <w:r>
        <w:t>Денежные обязательства;</w:t>
      </w:r>
    </w:p>
    <w:p w:rsidR="006E11C5" w:rsidRDefault="006E11C5" w:rsidP="00DE1661">
      <w:pPr>
        <w:pStyle w:val="13"/>
      </w:pPr>
      <w:r>
        <w:t>Исполнено денежных обязательств;</w:t>
      </w:r>
    </w:p>
    <w:p w:rsidR="006E11C5" w:rsidRDefault="006E11C5" w:rsidP="00DE1661">
      <w:pPr>
        <w:pStyle w:val="13"/>
      </w:pPr>
      <w:r>
        <w:t>Не исполнено принятых бюджетных обязательств;</w:t>
      </w:r>
    </w:p>
    <w:p w:rsidR="006E11C5" w:rsidRDefault="006E11C5" w:rsidP="00DE1661">
      <w:pPr>
        <w:pStyle w:val="13"/>
      </w:pPr>
      <w:r>
        <w:t>Не исполнено принятых денежных обязательств;</w:t>
      </w:r>
    </w:p>
    <w:p w:rsidR="006E11C5" w:rsidRDefault="006E11C5" w:rsidP="00DE1661">
      <w:pPr>
        <w:pStyle w:val="13"/>
      </w:pPr>
      <w:r>
        <w:t>% исполнения от БА;</w:t>
      </w:r>
    </w:p>
    <w:p w:rsidR="006E11C5" w:rsidRDefault="006E11C5" w:rsidP="00DE1661">
      <w:pPr>
        <w:pStyle w:val="13"/>
      </w:pPr>
      <w:r>
        <w:t>% исполнения от ЛБО;</w:t>
      </w:r>
    </w:p>
    <w:p w:rsidR="006E11C5" w:rsidRDefault="006E11C5" w:rsidP="00DE1661">
      <w:pPr>
        <w:pStyle w:val="13"/>
      </w:pPr>
      <w:r>
        <w:t>% исполнения от принятых бюджетных обязательств.</w:t>
      </w:r>
    </w:p>
    <w:p w:rsidR="006E11C5" w:rsidRDefault="006E11C5" w:rsidP="006E11C5">
      <w:pPr>
        <w:pStyle w:val="af0"/>
        <w:rPr>
          <w:szCs w:val="28"/>
        </w:rPr>
      </w:pPr>
      <w:r>
        <w:rPr>
          <w:szCs w:val="28"/>
        </w:rPr>
        <w:t>Источники данных для отчета:</w:t>
      </w:r>
    </w:p>
    <w:p w:rsidR="006E11C5" w:rsidRDefault="006E11C5" w:rsidP="00DE1661">
      <w:pPr>
        <w:pStyle w:val="13"/>
      </w:pPr>
      <w:r>
        <w:t>Данные на основе таблицы Факт БО Сведения об обязательствах по нац. проектам (F_BO_OBLIGATIONNP).</w:t>
      </w:r>
    </w:p>
    <w:p w:rsidR="006E11C5" w:rsidRDefault="006E11C5" w:rsidP="006E11C5">
      <w:pPr>
        <w:pStyle w:val="af0"/>
        <w:rPr>
          <w:szCs w:val="28"/>
        </w:rPr>
      </w:pPr>
      <w:r>
        <w:rPr>
          <w:szCs w:val="28"/>
        </w:rPr>
        <w:t>Параметры отчета:</w:t>
      </w:r>
    </w:p>
    <w:p w:rsidR="006E11C5" w:rsidRDefault="006E11C5" w:rsidP="00DE1661">
      <w:pPr>
        <w:pStyle w:val="13"/>
      </w:pPr>
      <w:r>
        <w:t>Отчетная дата. Выпадающий список с выбором дат, за которые были предоставлены исходные данные;</w:t>
      </w:r>
    </w:p>
    <w:p w:rsidR="006E11C5" w:rsidRDefault="006E11C5" w:rsidP="00DE1661">
      <w:pPr>
        <w:pStyle w:val="13"/>
      </w:pPr>
      <w:r>
        <w:t>Финансовый период. Выпадающий список с выбором финансового периода, возможен выбор значения «Все»;</w:t>
      </w:r>
    </w:p>
    <w:p w:rsidR="006E11C5" w:rsidRDefault="006E11C5" w:rsidP="00DE1661">
      <w:pPr>
        <w:pStyle w:val="13"/>
      </w:pPr>
      <w:r>
        <w:t>Тер.фонд. Выпадающий список с выбором территориального фонда. Формируется на основании справочника D_BO_OKTMO, возможен выбор значения «Все»;</w:t>
      </w:r>
    </w:p>
    <w:p w:rsidR="006E11C5" w:rsidRDefault="006E11C5"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6E11C5" w:rsidRDefault="006E11C5"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6E11C5" w:rsidRDefault="006E11C5" w:rsidP="00DE1661">
      <w:pPr>
        <w:pStyle w:val="13"/>
      </w:pPr>
      <w:r>
        <w:t>КВР. Выпадающий список с выбором КВР. Формируется на основании справочника D_KSPL_KVR, возможен выбор значения «Все»;</w:t>
      </w:r>
    </w:p>
    <w:p w:rsidR="006E11C5" w:rsidRDefault="006E11C5" w:rsidP="00DE1661">
      <w:pPr>
        <w:pStyle w:val="13"/>
      </w:pPr>
      <w:r>
        <w:t>РЗПР. Выпадающий список с выбором РЗПР. Формируется на основании справочника D_KSPL_RZPR, возможен выбор значения «Все»;</w:t>
      </w:r>
    </w:p>
    <w:p w:rsidR="006E11C5" w:rsidRDefault="006E11C5" w:rsidP="00DE1661">
      <w:pPr>
        <w:pStyle w:val="13"/>
      </w:pPr>
      <w:r>
        <w:t>КЦСР. Параметр с возможностью задания значения по маске (XXXXXXXXXX), по умолчанию параметр не задан;</w:t>
      </w:r>
    </w:p>
    <w:p w:rsidR="006E11C5" w:rsidRDefault="006E11C5" w:rsidP="00DE1661">
      <w:pPr>
        <w:pStyle w:val="13"/>
      </w:pPr>
      <w:r>
        <w:t>Направление расходов. Параметр с возможностью задания значения по маске (XXXXX), по умолчанию параметр не задан;</w:t>
      </w:r>
    </w:p>
    <w:p w:rsidR="006E11C5" w:rsidRDefault="006E11C5" w:rsidP="00DE1661">
      <w:pPr>
        <w:pStyle w:val="13"/>
      </w:pPr>
      <w:r>
        <w:t>Единицы измерения. Плоский список с элементами: руб, тыс руб, млн руб, млрд руб.</w:t>
      </w:r>
    </w:p>
    <w:p w:rsidR="006E11C5" w:rsidRDefault="006E11C5" w:rsidP="006E11C5">
      <w:pPr>
        <w:pStyle w:val="-0"/>
      </w:pPr>
      <w:r>
        <w:rPr>
          <w:noProof/>
          <w:snapToGrid/>
        </w:rPr>
        <w:drawing>
          <wp:inline distT="0" distB="0" distL="0" distR="0" wp14:anchorId="1E7460B9" wp14:editId="71AF5872">
            <wp:extent cx="6119495" cy="3122057"/>
            <wp:effectExtent l="0" t="0" r="0" b="2540"/>
            <wp:docPr id="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119495" cy="3122057"/>
                    </a:xfrm>
                    <a:prstGeom prst="rect">
                      <a:avLst/>
                    </a:prstGeom>
                    <a:noFill/>
                    <a:ln>
                      <a:noFill/>
                    </a:ln>
                  </pic:spPr>
                </pic:pic>
              </a:graphicData>
            </a:graphic>
          </wp:inline>
        </w:drawing>
      </w:r>
    </w:p>
    <w:p w:rsidR="006E11C5" w:rsidRDefault="006E11C5" w:rsidP="006E11C5">
      <w:pPr>
        <w:pStyle w:val="-0"/>
        <w:rPr>
          <w:rStyle w:val="af1"/>
        </w:rPr>
      </w:pPr>
      <w:bookmarkStart w:id="719" w:name="_Toc119584354"/>
      <w:r>
        <w:t xml:space="preserve">Рисунок </w:t>
      </w:r>
      <w:fldSimple w:instr=" SEQ Рисунок \* ARABIC ">
        <w:r w:rsidR="001860A9">
          <w:rPr>
            <w:noProof/>
          </w:rPr>
          <w:t>167</w:t>
        </w:r>
      </w:fldSimple>
      <w:r>
        <w:rPr>
          <w:szCs w:val="28"/>
        </w:rPr>
        <w:t xml:space="preserve"> – </w:t>
      </w:r>
      <w:r>
        <w:rPr>
          <w:rStyle w:val="af1"/>
        </w:rPr>
        <w:t>Макет отчета «</w:t>
      </w:r>
      <w:r>
        <w:t>Тер.</w:t>
      </w:r>
      <w:r w:rsidRPr="008A72C6">
        <w:t>фонды</w:t>
      </w:r>
      <w:r>
        <w:t xml:space="preserve"> – Детализация</w:t>
      </w:r>
      <w:r>
        <w:rPr>
          <w:rStyle w:val="af1"/>
        </w:rPr>
        <w:t>»</w:t>
      </w:r>
      <w:bookmarkEnd w:id="719"/>
    </w:p>
    <w:p w:rsidR="006E11C5" w:rsidRDefault="006E11C5" w:rsidP="00673997">
      <w:pPr>
        <w:pStyle w:val="42"/>
        <w:keepNext/>
      </w:pPr>
      <w:bookmarkStart w:id="720" w:name="_Toc80798580"/>
      <w:r>
        <w:t>Отчет «Тер. фонды – Инфографика»</w:t>
      </w:r>
      <w:bookmarkEnd w:id="720"/>
    </w:p>
    <w:p w:rsidR="006E11C5" w:rsidRDefault="006E11C5" w:rsidP="006E11C5">
      <w:pPr>
        <w:pStyle w:val="af0"/>
        <w:rPr>
          <w:szCs w:val="28"/>
        </w:rPr>
      </w:pPr>
      <w:r>
        <w:rPr>
          <w:szCs w:val="28"/>
        </w:rPr>
        <w:t>Отчет «</w:t>
      </w:r>
      <w:r>
        <w:t>Тер. фонды – Инфографика</w:t>
      </w:r>
      <w:r>
        <w:rPr>
          <w:szCs w:val="28"/>
        </w:rPr>
        <w:t>» группы отчетов «</w:t>
      </w:r>
      <w:r>
        <w:t xml:space="preserve">Информация об исполнении национальных (федеральных) проектов в разрезе бюджетов бюджетной системы Российской Федерации» должен </w:t>
      </w:r>
      <w:r>
        <w:rPr>
          <w:szCs w:val="28"/>
        </w:rPr>
        <w:t>обеспечивать отображение на карте следующих показателей по субъектам РФ, федеральным округам:</w:t>
      </w:r>
    </w:p>
    <w:p w:rsidR="006E11C5" w:rsidRDefault="006E11C5" w:rsidP="00DE1661">
      <w:pPr>
        <w:pStyle w:val="13"/>
      </w:pPr>
      <w:r>
        <w:t>Утвержденные БА;</w:t>
      </w:r>
    </w:p>
    <w:p w:rsidR="006E11C5" w:rsidRDefault="006E11C5" w:rsidP="00DE1661">
      <w:pPr>
        <w:pStyle w:val="13"/>
      </w:pPr>
      <w:r>
        <w:t>Утвержденные ЛБО;</w:t>
      </w:r>
    </w:p>
    <w:p w:rsidR="006E11C5" w:rsidRDefault="006E11C5" w:rsidP="00DE1661">
      <w:pPr>
        <w:pStyle w:val="13"/>
      </w:pPr>
      <w:r>
        <w:t>Исполнено;</w:t>
      </w:r>
    </w:p>
    <w:p w:rsidR="006E11C5" w:rsidRDefault="006E11C5" w:rsidP="00DE1661">
      <w:pPr>
        <w:pStyle w:val="13"/>
      </w:pPr>
      <w:r>
        <w:t>Процент исполнения от БА;</w:t>
      </w:r>
    </w:p>
    <w:p w:rsidR="006E11C5" w:rsidRDefault="006E11C5" w:rsidP="00DE1661">
      <w:pPr>
        <w:pStyle w:val="13"/>
      </w:pPr>
      <w:r>
        <w:t>Процент исполнения от ЛБО.</w:t>
      </w:r>
    </w:p>
    <w:p w:rsidR="006E11C5" w:rsidRDefault="006E11C5" w:rsidP="006E11C5">
      <w:pPr>
        <w:pStyle w:val="af0"/>
        <w:rPr>
          <w:szCs w:val="28"/>
        </w:rPr>
      </w:pPr>
      <w:r>
        <w:rPr>
          <w:szCs w:val="28"/>
        </w:rPr>
        <w:t>Источники данных для отчета:</w:t>
      </w:r>
    </w:p>
    <w:p w:rsidR="006E11C5" w:rsidRDefault="006E11C5" w:rsidP="00DE1661">
      <w:pPr>
        <w:pStyle w:val="13"/>
      </w:pPr>
      <w:r>
        <w:t>Данные на основе таблицы Факт БО Сведения об обязательствах по нац. проектам (F_BO_OBLIGATIONNP).</w:t>
      </w:r>
    </w:p>
    <w:p w:rsidR="006E11C5" w:rsidRDefault="006E11C5" w:rsidP="006E11C5">
      <w:pPr>
        <w:pStyle w:val="af0"/>
        <w:rPr>
          <w:szCs w:val="28"/>
        </w:rPr>
      </w:pPr>
      <w:r>
        <w:rPr>
          <w:szCs w:val="28"/>
        </w:rPr>
        <w:t>Параметры отчета:</w:t>
      </w:r>
    </w:p>
    <w:p w:rsidR="006E11C5" w:rsidRDefault="006E11C5" w:rsidP="00DE1661">
      <w:pPr>
        <w:pStyle w:val="13"/>
      </w:pPr>
      <w:r>
        <w:t>Отчетная дата. Выпадающий список с выбором дат, за которые были предоставлены исходные данные;</w:t>
      </w:r>
    </w:p>
    <w:p w:rsidR="006E11C5" w:rsidRDefault="006E11C5" w:rsidP="00DE1661">
      <w:pPr>
        <w:pStyle w:val="13"/>
      </w:pPr>
      <w:r>
        <w:t>Финансовый период. Выпадающий список с выбором финансового периода, возможен выбор значения «Все»;</w:t>
      </w:r>
    </w:p>
    <w:p w:rsidR="006E11C5" w:rsidRDefault="006E11C5"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6E11C5" w:rsidRDefault="006E11C5"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6E11C5" w:rsidRDefault="006E11C5" w:rsidP="00DE1661">
      <w:pPr>
        <w:pStyle w:val="13"/>
      </w:pPr>
      <w:r>
        <w:t>КВР. Выпадающий список с выбором КВР. Формируется на основании справочника D_KSPL_KVR, возможен выбор значения «Все»;</w:t>
      </w:r>
    </w:p>
    <w:p w:rsidR="006E11C5" w:rsidRDefault="006E11C5" w:rsidP="00DE1661">
      <w:pPr>
        <w:pStyle w:val="13"/>
      </w:pPr>
      <w:r>
        <w:t>РЗПР. Выпадающий список с выбором РЗПР. Формируется на основании справочника D_KSPL_RZPR, возможен выбор значения «Все»;</w:t>
      </w:r>
    </w:p>
    <w:p w:rsidR="006E11C5" w:rsidRDefault="006E11C5" w:rsidP="00DE1661">
      <w:pPr>
        <w:pStyle w:val="13"/>
      </w:pPr>
      <w:r>
        <w:t>КЦСР. Параметр с возможностью задания значения по маске (XXXXXXXXXX), по умолчанию параметр не задан;</w:t>
      </w:r>
    </w:p>
    <w:p w:rsidR="006E11C5" w:rsidRDefault="006E11C5" w:rsidP="00DE1661">
      <w:pPr>
        <w:pStyle w:val="13"/>
      </w:pPr>
      <w:r>
        <w:t>Направление расходов. Параметр с возможностью задания значения по маске (XXXXX), по умолчанию параметр не задан;</w:t>
      </w:r>
    </w:p>
    <w:p w:rsidR="006E11C5" w:rsidRDefault="006E11C5" w:rsidP="00DE1661">
      <w:pPr>
        <w:pStyle w:val="13"/>
      </w:pPr>
      <w:r>
        <w:t>Показатель. Выпадающий список с выбором показателя по которому будет строится инфографика;</w:t>
      </w:r>
    </w:p>
    <w:p w:rsidR="006E11C5" w:rsidRDefault="006E11C5" w:rsidP="00DE1661">
      <w:pPr>
        <w:pStyle w:val="13"/>
      </w:pPr>
      <w:r>
        <w:t>Параметр по отображению карты. Параметр, обеспечивающий возможность выбора отображения представления по федеральным округам, по субъектам и конкретным федеральным округам;</w:t>
      </w:r>
    </w:p>
    <w:p w:rsidR="006E11C5" w:rsidRDefault="006E11C5" w:rsidP="00DE1661">
      <w:pPr>
        <w:pStyle w:val="13"/>
      </w:pPr>
      <w:r>
        <w:t>Единицы измерения. Плоский список с элементами: руб, тыс руб, млн руб, млрд руб.</w:t>
      </w:r>
    </w:p>
    <w:p w:rsidR="00673997" w:rsidRDefault="00673997" w:rsidP="00673997">
      <w:pPr>
        <w:pStyle w:val="-0"/>
        <w:keepNext/>
      </w:pPr>
      <w:r>
        <w:rPr>
          <w:noProof/>
          <w:snapToGrid/>
        </w:rPr>
        <w:drawing>
          <wp:inline distT="0" distB="0" distL="0" distR="0" wp14:anchorId="6EE0F2F0" wp14:editId="46D4E62F">
            <wp:extent cx="6119495" cy="3089263"/>
            <wp:effectExtent l="0" t="0" r="0" b="0"/>
            <wp:docPr id="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6119495" cy="3089263"/>
                    </a:xfrm>
                    <a:prstGeom prst="rect">
                      <a:avLst/>
                    </a:prstGeom>
                    <a:noFill/>
                    <a:ln>
                      <a:noFill/>
                    </a:ln>
                  </pic:spPr>
                </pic:pic>
              </a:graphicData>
            </a:graphic>
          </wp:inline>
        </w:drawing>
      </w:r>
    </w:p>
    <w:p w:rsidR="00673997" w:rsidRPr="00616125" w:rsidRDefault="00673997" w:rsidP="00673997">
      <w:pPr>
        <w:pStyle w:val="-0"/>
      </w:pPr>
      <w:bookmarkStart w:id="721" w:name="_Toc119584355"/>
      <w:r>
        <w:t xml:space="preserve">Рисунок </w:t>
      </w:r>
      <w:fldSimple w:instr=" SEQ Рисунок \* ARABIC ">
        <w:r w:rsidR="001860A9">
          <w:rPr>
            <w:noProof/>
          </w:rPr>
          <w:t>168</w:t>
        </w:r>
      </w:fldSimple>
      <w:r>
        <w:rPr>
          <w:szCs w:val="28"/>
        </w:rPr>
        <w:t xml:space="preserve"> –</w:t>
      </w:r>
      <w:r>
        <w:rPr>
          <w:rStyle w:val="af1"/>
        </w:rPr>
        <w:t xml:space="preserve"> Макет отчета «</w:t>
      </w:r>
      <w:r>
        <w:t xml:space="preserve">Тер. </w:t>
      </w:r>
      <w:r w:rsidRPr="008A72C6">
        <w:t>фонды</w:t>
      </w:r>
      <w:r>
        <w:t xml:space="preserve"> – Инфографика</w:t>
      </w:r>
      <w:r>
        <w:rPr>
          <w:rStyle w:val="af1"/>
        </w:rPr>
        <w:t>»</w:t>
      </w:r>
      <w:bookmarkEnd w:id="721"/>
    </w:p>
    <w:p w:rsidR="007C02AB" w:rsidRPr="00DE408F" w:rsidRDefault="007C02AB" w:rsidP="00FE026B">
      <w:pPr>
        <w:pStyle w:val="35"/>
      </w:pPr>
      <w:bookmarkStart w:id="722" w:name="_Toc69290134"/>
      <w:bookmarkStart w:id="723" w:name="_Toc119585089"/>
      <w:r w:rsidRPr="00DE408F">
        <w:t>Отчет «Исполнение национальных (федеральных) проектов БУ и АУ (ф. 0503738-НП)»</w:t>
      </w:r>
      <w:bookmarkEnd w:id="722"/>
      <w:r w:rsidR="00FE026B">
        <w:t xml:space="preserve"> (</w:t>
      </w:r>
      <w:r w:rsidR="00FE026B" w:rsidRPr="00FE026B">
        <w:t>PIAO_167_001_report</w:t>
      </w:r>
      <w:r w:rsidR="00FE026B">
        <w:t>)</w:t>
      </w:r>
      <w:bookmarkEnd w:id="723"/>
    </w:p>
    <w:p w:rsidR="007C02AB" w:rsidRPr="003C3E41" w:rsidRDefault="007C02AB" w:rsidP="007C02AB">
      <w:pPr>
        <w:pStyle w:val="af0"/>
        <w:rPr>
          <w:rStyle w:val="af1"/>
        </w:rPr>
      </w:pPr>
      <w:r w:rsidRPr="00DE408F">
        <w:rPr>
          <w:rStyle w:val="af1"/>
        </w:rPr>
        <w:t>Для перехода к отчету «</w:t>
      </w:r>
      <w:r w:rsidRPr="00DE408F">
        <w:t>Исполнение национальных (федеральных) проектов БУ и АУ (ф. 0503738-НП)</w:t>
      </w:r>
      <w:r w:rsidRPr="00DE408F">
        <w:rPr>
          <w:rStyle w:val="af1"/>
        </w:rPr>
        <w:t>» необходимо перейти к витрине «Национальные (федеральные) проекты и государственные программы» и раскрыть каталог «Информация на основе</w:t>
      </w:r>
      <w:r>
        <w:rPr>
          <w:rStyle w:val="af1"/>
        </w:rPr>
        <w:t xml:space="preserve"> регламентированной отчетности» и кликнуть мышью по соответствующей плашке</w:t>
      </w:r>
      <w:r w:rsidRPr="003C3E41">
        <w:rPr>
          <w:rStyle w:val="af1"/>
        </w:rPr>
        <w:t xml:space="preserve"> (</w:t>
      </w:r>
      <w:r>
        <w:rPr>
          <w:rStyle w:val="af1"/>
        </w:rPr>
        <w:fldChar w:fldCharType="begin"/>
      </w:r>
      <w:r>
        <w:rPr>
          <w:rStyle w:val="af1"/>
        </w:rPr>
        <w:instrText xml:space="preserve"> REF _Ref69140536 \h </w:instrText>
      </w:r>
      <w:r>
        <w:rPr>
          <w:rStyle w:val="af1"/>
        </w:rPr>
      </w:r>
      <w:r>
        <w:rPr>
          <w:rStyle w:val="af1"/>
        </w:rPr>
        <w:fldChar w:fldCharType="separate"/>
      </w:r>
      <w:r w:rsidR="00BF0BEE" w:rsidRPr="003C3E41">
        <w:rPr>
          <w:rStyle w:val="af1"/>
          <w:rFonts w:eastAsia="Calibri"/>
        </w:rPr>
        <w:t xml:space="preserve">Рисунок </w:t>
      </w:r>
      <w:r w:rsidR="00BF0BEE">
        <w:rPr>
          <w:rStyle w:val="af1"/>
          <w:rFonts w:eastAsia="Calibri"/>
          <w:noProof/>
        </w:rPr>
        <w:t>169</w:t>
      </w:r>
      <w:r>
        <w:rPr>
          <w:rStyle w:val="af1"/>
        </w:rPr>
        <w:fldChar w:fldCharType="end"/>
      </w:r>
      <w:r w:rsidRPr="003C3E41">
        <w:rPr>
          <w:rStyle w:val="af1"/>
        </w:rPr>
        <w:t>).</w:t>
      </w:r>
    </w:p>
    <w:p w:rsidR="007C02AB" w:rsidRPr="003C3E41" w:rsidRDefault="007C02AB" w:rsidP="007C02AB">
      <w:pPr>
        <w:pStyle w:val="afffff7"/>
        <w:keepNext/>
      </w:pPr>
      <w:r w:rsidRPr="003C3E41">
        <w:rPr>
          <w:noProof/>
          <w:lang w:eastAsia="ru-RU"/>
        </w:rPr>
        <w:drawing>
          <wp:inline distT="0" distB="0" distL="0" distR="0" wp14:anchorId="708F82CC" wp14:editId="4C99B143">
            <wp:extent cx="5939790" cy="1674838"/>
            <wp:effectExtent l="0" t="0" r="3810" b="190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5939790" cy="1674838"/>
                    </a:xfrm>
                    <a:prstGeom prst="rect">
                      <a:avLst/>
                    </a:prstGeom>
                  </pic:spPr>
                </pic:pic>
              </a:graphicData>
            </a:graphic>
          </wp:inline>
        </w:drawing>
      </w:r>
    </w:p>
    <w:p w:rsidR="007C02AB" w:rsidRPr="003C3E41" w:rsidRDefault="007C02AB" w:rsidP="007C02AB">
      <w:pPr>
        <w:pStyle w:val="-0"/>
        <w:rPr>
          <w:rFonts w:eastAsia="Calibri"/>
          <w:snapToGrid/>
        </w:rPr>
      </w:pPr>
      <w:bookmarkStart w:id="724" w:name="_Ref69140536"/>
      <w:bookmarkStart w:id="725" w:name="_Toc69290405"/>
      <w:bookmarkStart w:id="726" w:name="_Toc119584356"/>
      <w:r w:rsidRPr="003C3E41">
        <w:rPr>
          <w:rStyle w:val="af1"/>
          <w:rFonts w:eastAsia="Calibri"/>
        </w:rPr>
        <w:t xml:space="preserve">Рисунок </w:t>
      </w:r>
      <w:r w:rsidRPr="003C3E41">
        <w:rPr>
          <w:rStyle w:val="af1"/>
          <w:rFonts w:eastAsia="Calibri"/>
        </w:rPr>
        <w:fldChar w:fldCharType="begin"/>
      </w:r>
      <w:r w:rsidRPr="003C3E41">
        <w:rPr>
          <w:rStyle w:val="af1"/>
          <w:rFonts w:eastAsia="Calibri"/>
        </w:rPr>
        <w:instrText xml:space="preserve"> SEQ Рисунок \* ARABIC </w:instrText>
      </w:r>
      <w:r w:rsidRPr="003C3E41">
        <w:rPr>
          <w:rStyle w:val="af1"/>
          <w:rFonts w:eastAsia="Calibri"/>
        </w:rPr>
        <w:fldChar w:fldCharType="separate"/>
      </w:r>
      <w:r w:rsidR="001860A9">
        <w:rPr>
          <w:rStyle w:val="af1"/>
          <w:rFonts w:eastAsia="Calibri"/>
          <w:noProof/>
        </w:rPr>
        <w:t>169</w:t>
      </w:r>
      <w:r w:rsidRPr="003C3E41">
        <w:rPr>
          <w:rStyle w:val="af1"/>
          <w:rFonts w:eastAsia="Calibri"/>
        </w:rPr>
        <w:fldChar w:fldCharType="end"/>
      </w:r>
      <w:bookmarkEnd w:id="724"/>
      <w:r w:rsidRPr="003C3E41">
        <w:rPr>
          <w:rStyle w:val="af1"/>
          <w:rFonts w:eastAsia="Calibri"/>
        </w:rPr>
        <w:t xml:space="preserve"> – </w:t>
      </w:r>
      <w:r w:rsidRPr="003C3E41">
        <w:t xml:space="preserve">Плашка для перехода к отчету </w:t>
      </w:r>
      <w:r w:rsidRPr="003C3E41">
        <w:rPr>
          <w:rStyle w:val="af1"/>
          <w:snapToGrid w:val="0"/>
        </w:rPr>
        <w:t>«</w:t>
      </w:r>
      <w:r w:rsidRPr="003C3E41">
        <w:t>Исполнение национальных (федеральных) проектов БУ и АУ (ф. 0503738-НП)</w:t>
      </w:r>
      <w:r w:rsidRPr="003C3E41">
        <w:rPr>
          <w:rStyle w:val="af1"/>
          <w:snapToGrid w:val="0"/>
        </w:rPr>
        <w:t>»</w:t>
      </w:r>
      <w:bookmarkEnd w:id="725"/>
      <w:bookmarkEnd w:id="726"/>
    </w:p>
    <w:p w:rsidR="007C02AB" w:rsidRDefault="007C02AB" w:rsidP="007C02AB">
      <w:pPr>
        <w:pStyle w:val="af0"/>
        <w:rPr>
          <w:lang w:eastAsia="x-none"/>
        </w:rPr>
      </w:pPr>
      <w:r>
        <w:t xml:space="preserve">Отчет содержит сведения об исполнении бюджетов бюджетной системы РФ по национальным (федеральным) проектам на основании отчетности по форме 0503738-НП, анализ показателей исполнения бюджета, включая объем утвержденных плановых назначений на реализацию национальных проектов, </w:t>
      </w:r>
      <w:r>
        <w:rPr>
          <w:lang w:eastAsia="x-none"/>
        </w:rPr>
        <w:t>объем принятых денежных обязательств и их исполнение, в разрезе ГРБС и АУБУ федерального уровня, субъектов Российской Федерации, муниципальных образований.</w:t>
      </w:r>
    </w:p>
    <w:p w:rsidR="00616125" w:rsidRDefault="00616125" w:rsidP="007C02AB">
      <w:pPr>
        <w:pStyle w:val="af0"/>
        <w:rPr>
          <w:lang w:eastAsia="x-none"/>
        </w:rPr>
      </w:pPr>
    </w:p>
    <w:p w:rsidR="000970EF" w:rsidRDefault="000970EF" w:rsidP="000970EF">
      <w:pPr>
        <w:pStyle w:val="42"/>
      </w:pPr>
      <w:bookmarkStart w:id="727" w:name="_Toc80346593"/>
      <w:r>
        <w:t>Отчет «ФБ – Общая информация»</w:t>
      </w:r>
      <w:bookmarkEnd w:id="727"/>
    </w:p>
    <w:p w:rsidR="000970EF" w:rsidRDefault="000970EF" w:rsidP="000970EF">
      <w:pPr>
        <w:pStyle w:val="af0"/>
        <w:rPr>
          <w:szCs w:val="28"/>
        </w:rPr>
      </w:pPr>
      <w:r>
        <w:rPr>
          <w:szCs w:val="28"/>
        </w:rPr>
        <w:t>Отчет «</w:t>
      </w:r>
      <w:r>
        <w:t>ФБ – Общая информация</w:t>
      </w:r>
      <w:r>
        <w:rPr>
          <w:szCs w:val="28"/>
        </w:rPr>
        <w:t>» группы отчетов «</w:t>
      </w:r>
      <w:r>
        <w:t>Исполнение национальных (федеральных) проектов БУ и АУ (ф. 0503738-НП)» должен</w:t>
      </w:r>
      <w:r>
        <w:rPr>
          <w:szCs w:val="28"/>
        </w:rPr>
        <w:t xml:space="preserve"> обеспечивать расчет следующих показателей по </w:t>
      </w:r>
      <w:r>
        <w:t>ГРБС (АУБУ) федерального уровня</w:t>
      </w:r>
      <w:r>
        <w:rPr>
          <w:szCs w:val="28"/>
        </w:rPr>
        <w:t xml:space="preserve"> в разрезе национальных (федеральных) проектов и КВР:</w:t>
      </w:r>
    </w:p>
    <w:p w:rsidR="000970EF" w:rsidRDefault="000970EF" w:rsidP="00DE1661">
      <w:pPr>
        <w:pStyle w:val="13"/>
      </w:pPr>
      <w:r>
        <w:t>Утверждено плановых назначений;</w:t>
      </w:r>
    </w:p>
    <w:p w:rsidR="000970EF" w:rsidRDefault="000970EF" w:rsidP="00DE1661">
      <w:pPr>
        <w:pStyle w:val="13"/>
      </w:pPr>
      <w:r>
        <w:t>Принимаемые обязательства;</w:t>
      </w:r>
    </w:p>
    <w:p w:rsidR="000970EF" w:rsidRDefault="000970EF" w:rsidP="00DE1661">
      <w:pPr>
        <w:pStyle w:val="13"/>
      </w:pPr>
      <w:r>
        <w:t>Принятые обязательства, всего;</w:t>
      </w:r>
    </w:p>
    <w:p w:rsidR="000970EF" w:rsidRDefault="000970EF" w:rsidP="00DE1661">
      <w:pPr>
        <w:pStyle w:val="13"/>
      </w:pPr>
      <w:r>
        <w:t>Принятые обязательства, из них с применением конкурентных способов;</w:t>
      </w:r>
    </w:p>
    <w:p w:rsidR="000970EF" w:rsidRDefault="000970EF" w:rsidP="00DE1661">
      <w:pPr>
        <w:pStyle w:val="13"/>
      </w:pPr>
      <w:r>
        <w:t>Денежные обязательства;</w:t>
      </w:r>
    </w:p>
    <w:p w:rsidR="000970EF" w:rsidRDefault="000970EF" w:rsidP="00DE1661">
      <w:pPr>
        <w:pStyle w:val="13"/>
      </w:pPr>
      <w:r>
        <w:t>Исполнено денежных обязательств;</w:t>
      </w:r>
    </w:p>
    <w:p w:rsidR="000970EF" w:rsidRDefault="000970EF" w:rsidP="00DE1661">
      <w:pPr>
        <w:pStyle w:val="13"/>
      </w:pPr>
      <w:r>
        <w:t>Не исполнено принятых обязательств;</w:t>
      </w:r>
    </w:p>
    <w:p w:rsidR="000970EF" w:rsidRDefault="000970EF" w:rsidP="00DE1661">
      <w:pPr>
        <w:pStyle w:val="13"/>
      </w:pPr>
      <w:r>
        <w:t>Не исполнено принятых денежных обязательств;</w:t>
      </w:r>
    </w:p>
    <w:p w:rsidR="000970EF" w:rsidRDefault="000970EF" w:rsidP="00DE1661">
      <w:pPr>
        <w:pStyle w:val="13"/>
      </w:pPr>
      <w:r>
        <w:t>% исполнения от утвержденных плановых назначений;</w:t>
      </w:r>
    </w:p>
    <w:p w:rsidR="000970EF" w:rsidRDefault="000970EF" w:rsidP="00DE1661">
      <w:pPr>
        <w:pStyle w:val="13"/>
      </w:pPr>
      <w:r>
        <w:t>% исполнения от принятых обязательств;</w:t>
      </w:r>
    </w:p>
    <w:p w:rsidR="000970EF" w:rsidRDefault="000970EF" w:rsidP="00DE1661">
      <w:pPr>
        <w:pStyle w:val="13"/>
      </w:pPr>
      <w:r>
        <w:t>% принятых обязательств от утвержденных плановых назначений;</w:t>
      </w:r>
    </w:p>
    <w:p w:rsidR="000970EF" w:rsidRDefault="000970EF" w:rsidP="00DE1661">
      <w:pPr>
        <w:pStyle w:val="13"/>
      </w:pPr>
      <w:r>
        <w:t>% принимаемых обязательств от утвержденных плановых назначений.</w:t>
      </w:r>
    </w:p>
    <w:p w:rsidR="000970EF" w:rsidRDefault="000970EF" w:rsidP="000970EF">
      <w:pPr>
        <w:pStyle w:val="af0"/>
        <w:rPr>
          <w:szCs w:val="28"/>
        </w:rPr>
      </w:pPr>
      <w:r>
        <w:rPr>
          <w:szCs w:val="28"/>
        </w:rPr>
        <w:t>Источники данных для отчета:</w:t>
      </w:r>
    </w:p>
    <w:p w:rsidR="000970EF" w:rsidRDefault="000970EF"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0970EF" w:rsidRDefault="000970EF" w:rsidP="000970EF">
      <w:pPr>
        <w:pStyle w:val="af0"/>
        <w:rPr>
          <w:szCs w:val="28"/>
        </w:rPr>
      </w:pPr>
      <w:r>
        <w:rPr>
          <w:szCs w:val="28"/>
        </w:rPr>
        <w:t>Параметры отчета:</w:t>
      </w:r>
    </w:p>
    <w:p w:rsidR="000970EF" w:rsidRDefault="000970EF" w:rsidP="00DE1661">
      <w:pPr>
        <w:pStyle w:val="13"/>
      </w:pPr>
      <w:r>
        <w:t>Отчетная дата. Выпадающий список с выбором дат, за которые были предоставлены исходные данные;</w:t>
      </w:r>
    </w:p>
    <w:p w:rsidR="000970EF" w:rsidRDefault="000970EF" w:rsidP="00DE1661">
      <w:pPr>
        <w:pStyle w:val="13"/>
      </w:pPr>
      <w:r>
        <w:t>Финансовый период. Выпадающий список с выбором финансового периода, возможен выбор значения «Все»;</w:t>
      </w:r>
    </w:p>
    <w:p w:rsidR="000970EF" w:rsidRDefault="000970EF"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0970EF" w:rsidRDefault="000970EF"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0970EF" w:rsidRDefault="000970EF" w:rsidP="00DE1661">
      <w:pPr>
        <w:pStyle w:val="13"/>
      </w:pPr>
      <w:r>
        <w:t>КВР. Выпадающий список с выбором КВР. Формируется на основании справочника D_KSPL_KVR, возможен выбор значения «Все»;</w:t>
      </w:r>
    </w:p>
    <w:p w:rsidR="000970EF" w:rsidRDefault="000970EF" w:rsidP="00DE1661">
      <w:pPr>
        <w:pStyle w:val="13"/>
      </w:pPr>
      <w:r>
        <w:t>РЗПР. Выпадающий список с выбором РЗПР. Формируется на основании справочника D_KSPL_RZPR, возможен выбор значения «Все»;</w:t>
      </w:r>
    </w:p>
    <w:p w:rsidR="000970EF" w:rsidRDefault="000970EF" w:rsidP="00DE1661">
      <w:pPr>
        <w:pStyle w:val="13"/>
      </w:pPr>
      <w:r>
        <w:t>КЦСР. Параметр с возможностью задания значения по маске (XXXXXXXXXX), по умолчанию параметр не задан;</w:t>
      </w:r>
    </w:p>
    <w:p w:rsidR="000970EF" w:rsidRDefault="000970EF" w:rsidP="00DE1661">
      <w:pPr>
        <w:pStyle w:val="13"/>
      </w:pPr>
      <w:r>
        <w:t>Направление расходов. Параметр с возможностью задания значения по маске (XXXXX), по умолчанию параметр не задан;</w:t>
      </w:r>
    </w:p>
    <w:p w:rsidR="000970EF" w:rsidRDefault="000970EF"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0970EF" w:rsidRDefault="000970EF" w:rsidP="00DE1661">
      <w:pPr>
        <w:pStyle w:val="13"/>
      </w:pPr>
      <w:r>
        <w:t>Единицы измерения. Плоский список с элементами: руб., тыс. руб., млн. руб., млрд. руб.</w:t>
      </w:r>
    </w:p>
    <w:p w:rsidR="000970EF" w:rsidRDefault="000970EF" w:rsidP="000970EF">
      <w:pPr>
        <w:pStyle w:val="af0"/>
        <w:rPr>
          <w:szCs w:val="28"/>
        </w:rPr>
      </w:pPr>
      <w:r>
        <w:rPr>
          <w:szCs w:val="28"/>
        </w:rPr>
        <w:t>Из отчета должны быть обеспечены переходы в следующие виды детализации:</w:t>
      </w:r>
    </w:p>
    <w:p w:rsidR="000970EF" w:rsidRDefault="000970EF" w:rsidP="000970EF">
      <w:pPr>
        <w:pStyle w:val="af0"/>
        <w:rPr>
          <w:szCs w:val="28"/>
        </w:rPr>
      </w:pPr>
      <w:r>
        <w:rPr>
          <w:szCs w:val="28"/>
        </w:rPr>
        <w:t>Детализация по ГРБС/АУБУ.</w:t>
      </w:r>
    </w:p>
    <w:p w:rsidR="000970EF" w:rsidRDefault="000970EF" w:rsidP="000970EF">
      <w:pPr>
        <w:pStyle w:val="-0"/>
        <w:keepNext/>
      </w:pPr>
      <w:r>
        <w:rPr>
          <w:noProof/>
          <w:snapToGrid/>
        </w:rPr>
        <w:drawing>
          <wp:inline distT="0" distB="0" distL="0" distR="0" wp14:anchorId="3F323992" wp14:editId="04D774E7">
            <wp:extent cx="6119495" cy="3101482"/>
            <wp:effectExtent l="0" t="0" r="0" b="381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6119495" cy="3101482"/>
                    </a:xfrm>
                    <a:prstGeom prst="rect">
                      <a:avLst/>
                    </a:prstGeom>
                  </pic:spPr>
                </pic:pic>
              </a:graphicData>
            </a:graphic>
          </wp:inline>
        </w:drawing>
      </w:r>
    </w:p>
    <w:p w:rsidR="000970EF" w:rsidRDefault="000970EF" w:rsidP="000970EF">
      <w:pPr>
        <w:pStyle w:val="-0"/>
        <w:rPr>
          <w:rStyle w:val="af1"/>
        </w:rPr>
      </w:pPr>
      <w:bookmarkStart w:id="728" w:name="_Toc119584357"/>
      <w:r>
        <w:t xml:space="preserve">Рисунок </w:t>
      </w:r>
      <w:fldSimple w:instr=" SEQ Рисунок \* ARABIC ">
        <w:r w:rsidR="001860A9">
          <w:rPr>
            <w:noProof/>
          </w:rPr>
          <w:t>170</w:t>
        </w:r>
      </w:fldSimple>
      <w:r>
        <w:t xml:space="preserve"> –</w:t>
      </w:r>
      <w:r>
        <w:rPr>
          <w:rStyle w:val="af1"/>
        </w:rPr>
        <w:t xml:space="preserve"> Макет отчета «</w:t>
      </w:r>
      <w:r w:rsidRPr="00052D8E">
        <w:t>ФБ</w:t>
      </w:r>
      <w:r>
        <w:t xml:space="preserve"> – Общая информация</w:t>
      </w:r>
      <w:r>
        <w:rPr>
          <w:rStyle w:val="af1"/>
        </w:rPr>
        <w:t>»</w:t>
      </w:r>
      <w:bookmarkEnd w:id="728"/>
    </w:p>
    <w:p w:rsidR="000970EF" w:rsidRDefault="000970EF" w:rsidP="00E265CD">
      <w:pPr>
        <w:pStyle w:val="42"/>
        <w:keepNext/>
      </w:pPr>
      <w:bookmarkStart w:id="729" w:name="_Toc80346594"/>
      <w:bookmarkStart w:id="730" w:name="_Toc22041731"/>
      <w:r>
        <w:t>Отчет «ФБ – Детализация»</w:t>
      </w:r>
      <w:bookmarkEnd w:id="729"/>
    </w:p>
    <w:p w:rsidR="000970EF" w:rsidRDefault="000970EF" w:rsidP="000970EF">
      <w:pPr>
        <w:pStyle w:val="af0"/>
        <w:rPr>
          <w:szCs w:val="28"/>
        </w:rPr>
      </w:pPr>
      <w:r>
        <w:rPr>
          <w:szCs w:val="28"/>
        </w:rPr>
        <w:t>Отчет «</w:t>
      </w:r>
      <w:r>
        <w:t>ФБ – Детализация</w:t>
      </w:r>
      <w:r>
        <w:rPr>
          <w:szCs w:val="28"/>
        </w:rPr>
        <w:t>» группы отчетов «</w:t>
      </w:r>
      <w:r>
        <w:t xml:space="preserve">Исполнение национальных (федеральных) проектов БУ и АУ (ф. 0503738-НП)» должен </w:t>
      </w:r>
      <w:r>
        <w:rPr>
          <w:szCs w:val="28"/>
        </w:rPr>
        <w:t>обеспечивать расчет следующих показателей в разрезе ГРБС (АУБУ) федерального уровня:</w:t>
      </w:r>
    </w:p>
    <w:p w:rsidR="000970EF" w:rsidRDefault="000970EF" w:rsidP="00DE1661">
      <w:pPr>
        <w:pStyle w:val="13"/>
      </w:pPr>
      <w:r>
        <w:t>Утверждено плановых назначений;</w:t>
      </w:r>
    </w:p>
    <w:p w:rsidR="000970EF" w:rsidRDefault="000970EF" w:rsidP="00DE1661">
      <w:pPr>
        <w:pStyle w:val="13"/>
      </w:pPr>
      <w:r>
        <w:t>Принимаемые обязательства;</w:t>
      </w:r>
    </w:p>
    <w:p w:rsidR="000970EF" w:rsidRDefault="000970EF" w:rsidP="00DE1661">
      <w:pPr>
        <w:pStyle w:val="13"/>
      </w:pPr>
      <w:r>
        <w:t>Принятые обязательства, всего;</w:t>
      </w:r>
    </w:p>
    <w:p w:rsidR="000970EF" w:rsidRDefault="000970EF" w:rsidP="00DE1661">
      <w:pPr>
        <w:pStyle w:val="13"/>
      </w:pPr>
      <w:r>
        <w:t>Принятые обязательства, из них с применением конкурентных способов;</w:t>
      </w:r>
    </w:p>
    <w:p w:rsidR="000970EF" w:rsidRDefault="000970EF" w:rsidP="00DE1661">
      <w:pPr>
        <w:pStyle w:val="13"/>
      </w:pPr>
      <w:r>
        <w:t>Денежные обязательства;</w:t>
      </w:r>
    </w:p>
    <w:p w:rsidR="000970EF" w:rsidRDefault="000970EF" w:rsidP="00DE1661">
      <w:pPr>
        <w:pStyle w:val="13"/>
      </w:pPr>
      <w:r>
        <w:t>Исполнено денежных обязательств;</w:t>
      </w:r>
    </w:p>
    <w:p w:rsidR="000970EF" w:rsidRDefault="000970EF" w:rsidP="00DE1661">
      <w:pPr>
        <w:pStyle w:val="13"/>
      </w:pPr>
      <w:r>
        <w:t>Не исполнено принятых обязательств;</w:t>
      </w:r>
    </w:p>
    <w:p w:rsidR="000970EF" w:rsidRDefault="000970EF" w:rsidP="00DE1661">
      <w:pPr>
        <w:pStyle w:val="13"/>
      </w:pPr>
      <w:r>
        <w:t>Не исполнено принятых денежных обязательств;</w:t>
      </w:r>
    </w:p>
    <w:p w:rsidR="000970EF" w:rsidRDefault="000970EF" w:rsidP="00DE1661">
      <w:pPr>
        <w:pStyle w:val="13"/>
      </w:pPr>
      <w:r>
        <w:t>% исполнения от утвержденных плановых назначений;</w:t>
      </w:r>
    </w:p>
    <w:p w:rsidR="000970EF" w:rsidRDefault="000970EF" w:rsidP="00DE1661">
      <w:pPr>
        <w:pStyle w:val="13"/>
      </w:pPr>
      <w:r>
        <w:t>% исполнения от принятых обязательств;</w:t>
      </w:r>
    </w:p>
    <w:p w:rsidR="000970EF" w:rsidRDefault="000970EF" w:rsidP="00DE1661">
      <w:pPr>
        <w:pStyle w:val="13"/>
      </w:pPr>
      <w:r>
        <w:t>% принятых обязательств от утвержденных плановых назначений;</w:t>
      </w:r>
    </w:p>
    <w:p w:rsidR="000970EF" w:rsidRDefault="000970EF" w:rsidP="00DE1661">
      <w:pPr>
        <w:pStyle w:val="13"/>
      </w:pPr>
      <w:r>
        <w:t>% принимаемых обязательств от утвержденных плановых назначений.</w:t>
      </w:r>
    </w:p>
    <w:p w:rsidR="000970EF" w:rsidRDefault="000970EF" w:rsidP="000970EF">
      <w:pPr>
        <w:pStyle w:val="af0"/>
        <w:rPr>
          <w:szCs w:val="28"/>
        </w:rPr>
      </w:pPr>
      <w:r>
        <w:rPr>
          <w:szCs w:val="28"/>
        </w:rPr>
        <w:t>Источники данных для отчета:</w:t>
      </w:r>
    </w:p>
    <w:p w:rsidR="000970EF" w:rsidRDefault="000970EF"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0970EF" w:rsidRDefault="000970EF" w:rsidP="000970EF">
      <w:pPr>
        <w:pStyle w:val="af0"/>
        <w:rPr>
          <w:szCs w:val="28"/>
        </w:rPr>
      </w:pPr>
      <w:r>
        <w:rPr>
          <w:szCs w:val="28"/>
        </w:rPr>
        <w:t>Параметры отчета:</w:t>
      </w:r>
    </w:p>
    <w:p w:rsidR="000970EF" w:rsidRDefault="000970EF" w:rsidP="00DE1661">
      <w:pPr>
        <w:pStyle w:val="13"/>
      </w:pPr>
      <w:r>
        <w:t>Отчетная дата. Выпадающий список с выбором дат, за которые были предоставлены исходные данные;</w:t>
      </w:r>
    </w:p>
    <w:p w:rsidR="000970EF" w:rsidRDefault="000970EF" w:rsidP="00DE1661">
      <w:pPr>
        <w:pStyle w:val="13"/>
      </w:pPr>
      <w:r>
        <w:t>Финансовый период. Выпадающий список с выбором финансового периода, возможен выбор значения «Все»;</w:t>
      </w:r>
    </w:p>
    <w:p w:rsidR="000970EF" w:rsidRDefault="000970EF" w:rsidP="00DE1661">
      <w:pPr>
        <w:pStyle w:val="13"/>
      </w:pPr>
      <w:r>
        <w:t>ГРБС. Выпадающий список с выбором главного распорядителя бюджетных средств. Формируется на основании справочника D_BO_SUBBO, возможен выбор значения «Все»;</w:t>
      </w:r>
    </w:p>
    <w:p w:rsidR="000970EF" w:rsidRDefault="000970EF" w:rsidP="00DE1661">
      <w:pPr>
        <w:pStyle w:val="13"/>
      </w:pPr>
      <w:r>
        <w:t>АУБУ. Выпадающий список с выбором автономного/бюджетного учреждения. Формируется на основании справочника D_BO_SUBBO, возможен выбор значения «Все»;</w:t>
      </w:r>
    </w:p>
    <w:p w:rsidR="000970EF" w:rsidRDefault="000970EF"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0970EF" w:rsidRDefault="000970EF"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0970EF" w:rsidRDefault="000970EF" w:rsidP="00DE1661">
      <w:pPr>
        <w:pStyle w:val="13"/>
      </w:pPr>
      <w:r>
        <w:t>КВР. Выпадающий список с выбором КВР. Формируется на основании справочника D_KSPL_KVR, возможен выбор значения «Все»;</w:t>
      </w:r>
    </w:p>
    <w:p w:rsidR="000970EF" w:rsidRDefault="000970EF" w:rsidP="00DE1661">
      <w:pPr>
        <w:pStyle w:val="13"/>
      </w:pPr>
      <w:r>
        <w:t>РЗПР. Выпадающий список с выбором РЗПР. Формируется на основании справочника D_KSPL_RZPR, возможен выбор значения «Все»;</w:t>
      </w:r>
    </w:p>
    <w:p w:rsidR="000970EF" w:rsidRDefault="000970EF" w:rsidP="00DE1661">
      <w:pPr>
        <w:pStyle w:val="13"/>
      </w:pPr>
      <w:r>
        <w:t>КЦСР. Параметр с возможностью задания значения по маске (XXXXXXXXXX), по умолчанию параметр не задан;</w:t>
      </w:r>
    </w:p>
    <w:p w:rsidR="000970EF" w:rsidRDefault="000970EF" w:rsidP="00DE1661">
      <w:pPr>
        <w:pStyle w:val="13"/>
      </w:pPr>
      <w:r>
        <w:t>Направление расходов. Параметр с возможностью задания значения по маске (XXXXX), по умолчанию параметр не задан;</w:t>
      </w:r>
    </w:p>
    <w:p w:rsidR="000970EF" w:rsidRDefault="000970EF"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0970EF" w:rsidRDefault="000970EF" w:rsidP="00DE1661">
      <w:pPr>
        <w:pStyle w:val="13"/>
      </w:pPr>
      <w:r>
        <w:t>Единицы измерения. Плоский список с элементами: руб., тыс. руб., млн. руб., млрд. руб.</w:t>
      </w:r>
    </w:p>
    <w:bookmarkEnd w:id="730"/>
    <w:p w:rsidR="00E265CD" w:rsidRDefault="00E265CD" w:rsidP="00E265CD">
      <w:pPr>
        <w:pStyle w:val="-0"/>
        <w:keepNext/>
      </w:pPr>
      <w:r>
        <w:rPr>
          <w:noProof/>
          <w:snapToGrid/>
        </w:rPr>
        <w:drawing>
          <wp:inline distT="0" distB="0" distL="0" distR="0" wp14:anchorId="58AC73BE" wp14:editId="6AE13835">
            <wp:extent cx="6119495" cy="3090120"/>
            <wp:effectExtent l="0" t="0" r="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6119495" cy="3090120"/>
                    </a:xfrm>
                    <a:prstGeom prst="rect">
                      <a:avLst/>
                    </a:prstGeom>
                  </pic:spPr>
                </pic:pic>
              </a:graphicData>
            </a:graphic>
          </wp:inline>
        </w:drawing>
      </w:r>
    </w:p>
    <w:p w:rsidR="000970EF" w:rsidRDefault="00E265CD" w:rsidP="00E265CD">
      <w:pPr>
        <w:pStyle w:val="-0"/>
        <w:rPr>
          <w:rStyle w:val="af1"/>
        </w:rPr>
      </w:pPr>
      <w:bookmarkStart w:id="731" w:name="_Toc119584358"/>
      <w:r>
        <w:t xml:space="preserve">Рисунок </w:t>
      </w:r>
      <w:fldSimple w:instr=" SEQ Рисунок \* ARABIC ">
        <w:r w:rsidR="001860A9">
          <w:rPr>
            <w:noProof/>
          </w:rPr>
          <w:t>171</w:t>
        </w:r>
      </w:fldSimple>
      <w:r>
        <w:rPr>
          <w:szCs w:val="28"/>
        </w:rPr>
        <w:t xml:space="preserve"> –</w:t>
      </w:r>
      <w:r>
        <w:rPr>
          <w:rStyle w:val="af1"/>
        </w:rPr>
        <w:t xml:space="preserve"> Макет </w:t>
      </w:r>
      <w:r w:rsidRPr="00052D8E">
        <w:rPr>
          <w:rStyle w:val="af1"/>
        </w:rPr>
        <w:t>отчета</w:t>
      </w:r>
      <w:r>
        <w:rPr>
          <w:rStyle w:val="af1"/>
        </w:rPr>
        <w:t xml:space="preserve"> «</w:t>
      </w:r>
      <w:r>
        <w:t>ФБ – Детализация</w:t>
      </w:r>
      <w:r>
        <w:rPr>
          <w:rStyle w:val="af1"/>
        </w:rPr>
        <w:t>»</w:t>
      </w:r>
      <w:bookmarkEnd w:id="731"/>
    </w:p>
    <w:p w:rsidR="003C7C9E" w:rsidRDefault="003C7C9E" w:rsidP="003C7C9E">
      <w:pPr>
        <w:pStyle w:val="42"/>
        <w:keepNext/>
      </w:pPr>
      <w:bookmarkStart w:id="732" w:name="_Toc80346595"/>
      <w:r>
        <w:t>Отчет «Субъект РФ – Общая информация»</w:t>
      </w:r>
      <w:bookmarkEnd w:id="732"/>
    </w:p>
    <w:p w:rsidR="003C7C9E" w:rsidRDefault="003C7C9E" w:rsidP="003C7C9E">
      <w:pPr>
        <w:pStyle w:val="af0"/>
        <w:rPr>
          <w:szCs w:val="28"/>
        </w:rPr>
      </w:pPr>
      <w:r>
        <w:rPr>
          <w:szCs w:val="28"/>
        </w:rPr>
        <w:t>Отчет «</w:t>
      </w:r>
      <w:r>
        <w:t>Субъект РФ – Общая информация</w:t>
      </w:r>
      <w:r>
        <w:rPr>
          <w:szCs w:val="28"/>
        </w:rPr>
        <w:t>» группы отчетов «</w:t>
      </w:r>
      <w:r>
        <w:t>Исполнение национальных (федеральных) проектов БУ и АУ (ф. 0503738-НП)» должен</w:t>
      </w:r>
      <w:r>
        <w:rPr>
          <w:szCs w:val="28"/>
        </w:rPr>
        <w:t xml:space="preserve"> обеспечивать расчет следующих показателей по </w:t>
      </w:r>
      <w:r>
        <w:t>субъектам РФ</w:t>
      </w:r>
      <w:r>
        <w:rPr>
          <w:szCs w:val="28"/>
        </w:rPr>
        <w:t xml:space="preserve"> в разрезе национальных (федеральных) проектов и КВР:</w:t>
      </w:r>
    </w:p>
    <w:p w:rsidR="003C7C9E" w:rsidRDefault="003C7C9E" w:rsidP="00DE1661">
      <w:pPr>
        <w:pStyle w:val="13"/>
      </w:pPr>
      <w:r>
        <w:t>Утверждено плановых назначений;</w:t>
      </w:r>
    </w:p>
    <w:p w:rsidR="003C7C9E" w:rsidRDefault="003C7C9E" w:rsidP="00DE1661">
      <w:pPr>
        <w:pStyle w:val="13"/>
      </w:pPr>
      <w:r>
        <w:t>Принимаемые обязательства;</w:t>
      </w:r>
    </w:p>
    <w:p w:rsidR="003C7C9E" w:rsidRDefault="003C7C9E" w:rsidP="00DE1661">
      <w:pPr>
        <w:pStyle w:val="13"/>
      </w:pPr>
      <w:r>
        <w:t>Принятые обязательства, всего;</w:t>
      </w:r>
    </w:p>
    <w:p w:rsidR="003C7C9E" w:rsidRDefault="003C7C9E" w:rsidP="00DE1661">
      <w:pPr>
        <w:pStyle w:val="13"/>
      </w:pPr>
      <w:r>
        <w:t>Принятые обязательства, из них с применением конкурентных способов;</w:t>
      </w:r>
    </w:p>
    <w:p w:rsidR="003C7C9E" w:rsidRDefault="003C7C9E" w:rsidP="00DE1661">
      <w:pPr>
        <w:pStyle w:val="13"/>
      </w:pPr>
      <w:r>
        <w:t>Денежные обязательства;</w:t>
      </w:r>
    </w:p>
    <w:p w:rsidR="003C7C9E" w:rsidRDefault="003C7C9E" w:rsidP="00DE1661">
      <w:pPr>
        <w:pStyle w:val="13"/>
      </w:pPr>
      <w:r>
        <w:t>Исполнено денежных обязательств;</w:t>
      </w:r>
    </w:p>
    <w:p w:rsidR="003C7C9E" w:rsidRDefault="003C7C9E" w:rsidP="00DE1661">
      <w:pPr>
        <w:pStyle w:val="13"/>
      </w:pPr>
      <w:r>
        <w:t>Не исполнено принятых обязательств;</w:t>
      </w:r>
    </w:p>
    <w:p w:rsidR="003C7C9E" w:rsidRDefault="003C7C9E" w:rsidP="00DE1661">
      <w:pPr>
        <w:pStyle w:val="13"/>
      </w:pPr>
      <w:r>
        <w:t>Не исполнено принятых денежных обязательств;</w:t>
      </w:r>
    </w:p>
    <w:p w:rsidR="003C7C9E" w:rsidRDefault="003C7C9E" w:rsidP="00DE1661">
      <w:pPr>
        <w:pStyle w:val="13"/>
      </w:pPr>
      <w:r>
        <w:t>% исполнения от утвержденных плановых назначений;</w:t>
      </w:r>
    </w:p>
    <w:p w:rsidR="003C7C9E" w:rsidRDefault="003C7C9E" w:rsidP="00DE1661">
      <w:pPr>
        <w:pStyle w:val="13"/>
      </w:pPr>
      <w:r>
        <w:t>% исполнения от принятых обязательств;</w:t>
      </w:r>
    </w:p>
    <w:p w:rsidR="003C7C9E" w:rsidRDefault="003C7C9E" w:rsidP="00DE1661">
      <w:pPr>
        <w:pStyle w:val="13"/>
      </w:pPr>
      <w:r>
        <w:t>% принятых обязательств от утвержденных плановых назначений;</w:t>
      </w:r>
    </w:p>
    <w:p w:rsidR="003C7C9E" w:rsidRDefault="003C7C9E" w:rsidP="00DE1661">
      <w:pPr>
        <w:pStyle w:val="13"/>
      </w:pPr>
      <w:r>
        <w:t>% принимаемых обязательств от утвержденных плановых назначений.</w:t>
      </w:r>
    </w:p>
    <w:p w:rsidR="003C7C9E" w:rsidRDefault="003C7C9E" w:rsidP="003C7C9E">
      <w:pPr>
        <w:pStyle w:val="af0"/>
        <w:rPr>
          <w:szCs w:val="28"/>
        </w:rPr>
      </w:pPr>
      <w:r>
        <w:rPr>
          <w:szCs w:val="28"/>
        </w:rPr>
        <w:t>Источники данных для отчета:</w:t>
      </w:r>
    </w:p>
    <w:p w:rsidR="003C7C9E" w:rsidRDefault="003C7C9E"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3C7C9E" w:rsidRDefault="003C7C9E" w:rsidP="003C7C9E">
      <w:pPr>
        <w:pStyle w:val="af0"/>
        <w:rPr>
          <w:szCs w:val="28"/>
        </w:rPr>
      </w:pPr>
      <w:r>
        <w:rPr>
          <w:szCs w:val="28"/>
        </w:rPr>
        <w:t>Параметры отчета:</w:t>
      </w:r>
    </w:p>
    <w:p w:rsidR="003C7C9E" w:rsidRDefault="003C7C9E" w:rsidP="00DE1661">
      <w:pPr>
        <w:pStyle w:val="13"/>
      </w:pPr>
      <w:r>
        <w:t>Отчетная дата. Выпадающий список с выбором дат, за которые были предоставлены исходные данные;</w:t>
      </w:r>
    </w:p>
    <w:p w:rsidR="003C7C9E" w:rsidRDefault="003C7C9E" w:rsidP="00DE1661">
      <w:pPr>
        <w:pStyle w:val="13"/>
      </w:pPr>
      <w:r>
        <w:t>Финансовый период. Выпадающий список с выбором финансового периода, возможен выбор значения «Все»;</w:t>
      </w:r>
    </w:p>
    <w:p w:rsidR="003C7C9E" w:rsidRDefault="003C7C9E"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3C7C9E" w:rsidRDefault="003C7C9E"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3C7C9E" w:rsidRDefault="003C7C9E" w:rsidP="00DE1661">
      <w:pPr>
        <w:pStyle w:val="13"/>
      </w:pPr>
      <w:r>
        <w:t>КВР. Выпадающий список с выбором КВР. Формируется на основании справочника D_KSPL_KVR, возможен выбор значения «Все»;</w:t>
      </w:r>
    </w:p>
    <w:p w:rsidR="003C7C9E" w:rsidRDefault="003C7C9E" w:rsidP="00DE1661">
      <w:pPr>
        <w:pStyle w:val="13"/>
      </w:pPr>
      <w:r>
        <w:t>РЗПР. Выпадающий список с выбором РЗПР. Формируется на основании справочника D_KSPL_RZPR, возможен выбор значения «Все»;</w:t>
      </w:r>
    </w:p>
    <w:p w:rsidR="003C7C9E" w:rsidRDefault="003C7C9E" w:rsidP="00DE1661">
      <w:pPr>
        <w:pStyle w:val="13"/>
      </w:pPr>
      <w:r>
        <w:t>КЦСР. Параметр с возможностью задания значения по маске (XXXXXXXXXX), по умолчанию параметр не задан;</w:t>
      </w:r>
    </w:p>
    <w:p w:rsidR="003C7C9E" w:rsidRDefault="003C7C9E" w:rsidP="00DE1661">
      <w:pPr>
        <w:pStyle w:val="13"/>
      </w:pPr>
      <w:r>
        <w:t>Направление расходов. Параметр с возможностью задания значения по маске (XXXXX), по умолчанию параметр не задан;</w:t>
      </w:r>
    </w:p>
    <w:p w:rsidR="003C7C9E" w:rsidRDefault="003C7C9E"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3C7C9E" w:rsidRDefault="003C7C9E" w:rsidP="00DE1661">
      <w:pPr>
        <w:pStyle w:val="13"/>
      </w:pPr>
      <w:r>
        <w:t>Единицы измерения. Плоский список с элементами: руб, тыс руб, млн руб, млрд руб.</w:t>
      </w:r>
    </w:p>
    <w:p w:rsidR="003C7C9E" w:rsidRDefault="003C7C9E" w:rsidP="003C7C9E">
      <w:pPr>
        <w:pStyle w:val="af0"/>
        <w:rPr>
          <w:szCs w:val="28"/>
        </w:rPr>
      </w:pPr>
      <w:r>
        <w:rPr>
          <w:szCs w:val="28"/>
        </w:rPr>
        <w:t>Из отчета должны быть обеспечены переходы в следующие виды детализации:</w:t>
      </w:r>
    </w:p>
    <w:p w:rsidR="003C7C9E" w:rsidRDefault="003C7C9E" w:rsidP="003C7C9E">
      <w:pPr>
        <w:pStyle w:val="af0"/>
        <w:rPr>
          <w:szCs w:val="28"/>
        </w:rPr>
      </w:pPr>
      <w:r>
        <w:rPr>
          <w:szCs w:val="28"/>
        </w:rPr>
        <w:t>Детализация по субъектам РФ.</w:t>
      </w:r>
    </w:p>
    <w:p w:rsidR="003C7C9E" w:rsidRDefault="003C7C9E" w:rsidP="003C7C9E">
      <w:pPr>
        <w:pStyle w:val="-0"/>
        <w:keepNext/>
      </w:pPr>
      <w:r>
        <w:rPr>
          <w:noProof/>
          <w:snapToGrid/>
        </w:rPr>
        <w:drawing>
          <wp:inline distT="0" distB="0" distL="0" distR="0" wp14:anchorId="5D363094" wp14:editId="02F28A31">
            <wp:extent cx="6119495" cy="3101482"/>
            <wp:effectExtent l="0" t="0" r="0" b="381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6119495" cy="3101482"/>
                    </a:xfrm>
                    <a:prstGeom prst="rect">
                      <a:avLst/>
                    </a:prstGeom>
                  </pic:spPr>
                </pic:pic>
              </a:graphicData>
            </a:graphic>
          </wp:inline>
        </w:drawing>
      </w:r>
    </w:p>
    <w:p w:rsidR="003C7C9E" w:rsidRDefault="003C7C9E" w:rsidP="003C7C9E">
      <w:pPr>
        <w:pStyle w:val="-0"/>
        <w:rPr>
          <w:rStyle w:val="af1"/>
        </w:rPr>
      </w:pPr>
      <w:bookmarkStart w:id="733" w:name="_Toc119584359"/>
      <w:r>
        <w:t xml:space="preserve">Рисунок </w:t>
      </w:r>
      <w:fldSimple w:instr=" SEQ Рисунок \* ARABIC ">
        <w:r w:rsidR="001860A9">
          <w:rPr>
            <w:noProof/>
          </w:rPr>
          <w:t>172</w:t>
        </w:r>
      </w:fldSimple>
      <w:r>
        <w:rPr>
          <w:szCs w:val="28"/>
        </w:rPr>
        <w:t xml:space="preserve"> –</w:t>
      </w:r>
      <w:r>
        <w:rPr>
          <w:rStyle w:val="af1"/>
        </w:rPr>
        <w:t xml:space="preserve"> Макет отчета «</w:t>
      </w:r>
      <w:r>
        <w:t>Субъект РФ – Общая информация</w:t>
      </w:r>
      <w:r>
        <w:rPr>
          <w:rStyle w:val="af1"/>
        </w:rPr>
        <w:t>»</w:t>
      </w:r>
      <w:bookmarkEnd w:id="733"/>
    </w:p>
    <w:p w:rsidR="003C7C9E" w:rsidRDefault="003C7C9E" w:rsidP="003C7C9E">
      <w:pPr>
        <w:pStyle w:val="42"/>
        <w:keepNext/>
      </w:pPr>
      <w:bookmarkStart w:id="734" w:name="_Toc80346596"/>
      <w:r>
        <w:t>Отчет «Субъект РФ – Детализация»</w:t>
      </w:r>
      <w:bookmarkEnd w:id="734"/>
    </w:p>
    <w:p w:rsidR="003C7C9E" w:rsidRDefault="003C7C9E" w:rsidP="003C7C9E">
      <w:pPr>
        <w:pStyle w:val="af0"/>
        <w:rPr>
          <w:szCs w:val="28"/>
        </w:rPr>
      </w:pPr>
      <w:r>
        <w:rPr>
          <w:szCs w:val="28"/>
        </w:rPr>
        <w:t>Отчет «</w:t>
      </w:r>
      <w:r>
        <w:t>Субъект РФ – Детализация</w:t>
      </w:r>
      <w:r>
        <w:rPr>
          <w:szCs w:val="28"/>
        </w:rPr>
        <w:t>» группы отчетов «</w:t>
      </w:r>
      <w:r>
        <w:t xml:space="preserve">Исполнение национальных (федеральных) проектов БУ и АУ (ф. 0503738-НП)» должен </w:t>
      </w:r>
      <w:r>
        <w:rPr>
          <w:szCs w:val="28"/>
        </w:rPr>
        <w:t>обеспечивать расчет следующих показателей в разрезе субъектов РФ:</w:t>
      </w:r>
    </w:p>
    <w:p w:rsidR="003C7C9E" w:rsidRDefault="003C7C9E" w:rsidP="00DE1661">
      <w:pPr>
        <w:pStyle w:val="13"/>
      </w:pPr>
      <w:r>
        <w:t>Утверждено плановых назначений;</w:t>
      </w:r>
    </w:p>
    <w:p w:rsidR="003C7C9E" w:rsidRDefault="003C7C9E" w:rsidP="00DE1661">
      <w:pPr>
        <w:pStyle w:val="13"/>
      </w:pPr>
      <w:r>
        <w:t>Принимаемые обязательства;</w:t>
      </w:r>
    </w:p>
    <w:p w:rsidR="003C7C9E" w:rsidRDefault="003C7C9E" w:rsidP="00DE1661">
      <w:pPr>
        <w:pStyle w:val="13"/>
      </w:pPr>
      <w:r>
        <w:t>Принятые обязательства, всего;</w:t>
      </w:r>
    </w:p>
    <w:p w:rsidR="003C7C9E" w:rsidRDefault="003C7C9E" w:rsidP="00DE1661">
      <w:pPr>
        <w:pStyle w:val="13"/>
      </w:pPr>
      <w:r>
        <w:t>Принятые обязательства, из них с применением конкурентных способов;</w:t>
      </w:r>
    </w:p>
    <w:p w:rsidR="003C7C9E" w:rsidRDefault="003C7C9E" w:rsidP="00DE1661">
      <w:pPr>
        <w:pStyle w:val="13"/>
      </w:pPr>
      <w:r>
        <w:t>Денежные обязательства;</w:t>
      </w:r>
    </w:p>
    <w:p w:rsidR="003C7C9E" w:rsidRDefault="003C7C9E" w:rsidP="00DE1661">
      <w:pPr>
        <w:pStyle w:val="13"/>
      </w:pPr>
      <w:r>
        <w:t>Исполнено денежных обязательств;</w:t>
      </w:r>
    </w:p>
    <w:p w:rsidR="003C7C9E" w:rsidRDefault="003C7C9E" w:rsidP="00DE1661">
      <w:pPr>
        <w:pStyle w:val="13"/>
      </w:pPr>
      <w:r>
        <w:t>Не исполнено принятых обязательств;</w:t>
      </w:r>
    </w:p>
    <w:p w:rsidR="003C7C9E" w:rsidRDefault="003C7C9E" w:rsidP="00DE1661">
      <w:pPr>
        <w:pStyle w:val="13"/>
      </w:pPr>
      <w:r>
        <w:t>Не исполнено принятых денежных обязательств;</w:t>
      </w:r>
    </w:p>
    <w:p w:rsidR="003C7C9E" w:rsidRDefault="003C7C9E" w:rsidP="00DE1661">
      <w:pPr>
        <w:pStyle w:val="13"/>
      </w:pPr>
      <w:r>
        <w:t>% исполнения от утвержденных плановых назначений;</w:t>
      </w:r>
    </w:p>
    <w:p w:rsidR="003C7C9E" w:rsidRDefault="003C7C9E" w:rsidP="00DE1661">
      <w:pPr>
        <w:pStyle w:val="13"/>
      </w:pPr>
      <w:r>
        <w:t>% исполнения от принятых обязательств;</w:t>
      </w:r>
    </w:p>
    <w:p w:rsidR="003C7C9E" w:rsidRDefault="003C7C9E" w:rsidP="00DE1661">
      <w:pPr>
        <w:pStyle w:val="13"/>
      </w:pPr>
      <w:r>
        <w:t>% принятых обязательств от утвержденных плановых назначений;</w:t>
      </w:r>
    </w:p>
    <w:p w:rsidR="003C7C9E" w:rsidRDefault="003C7C9E" w:rsidP="00DE1661">
      <w:pPr>
        <w:pStyle w:val="13"/>
      </w:pPr>
      <w:r>
        <w:t>% принимаемых обязательств от утвержденных плановых назначений.</w:t>
      </w:r>
    </w:p>
    <w:p w:rsidR="003C7C9E" w:rsidRDefault="003C7C9E" w:rsidP="003C7C9E">
      <w:pPr>
        <w:pStyle w:val="af0"/>
        <w:rPr>
          <w:szCs w:val="28"/>
        </w:rPr>
      </w:pPr>
      <w:r>
        <w:rPr>
          <w:szCs w:val="28"/>
        </w:rPr>
        <w:t>Источники данных для отчета:</w:t>
      </w:r>
    </w:p>
    <w:p w:rsidR="003C7C9E" w:rsidRDefault="003C7C9E"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3C7C9E" w:rsidRDefault="003C7C9E" w:rsidP="003C7C9E">
      <w:pPr>
        <w:pStyle w:val="af0"/>
        <w:rPr>
          <w:szCs w:val="28"/>
        </w:rPr>
      </w:pPr>
      <w:r>
        <w:rPr>
          <w:szCs w:val="28"/>
        </w:rPr>
        <w:t>Параметры отчета:</w:t>
      </w:r>
    </w:p>
    <w:p w:rsidR="003C7C9E" w:rsidRDefault="003C7C9E" w:rsidP="00DE1661">
      <w:pPr>
        <w:pStyle w:val="13"/>
      </w:pPr>
      <w:r>
        <w:t>Отчетная дата. Выпадающий список с выбором дат, за которые были предоставлены исходные данные;</w:t>
      </w:r>
    </w:p>
    <w:p w:rsidR="003C7C9E" w:rsidRDefault="003C7C9E" w:rsidP="00DE1661">
      <w:pPr>
        <w:pStyle w:val="13"/>
      </w:pPr>
      <w:r>
        <w:t>Финансовый период. Выпадающий список с выбором финансового периода, возможен выбор значения «Все»;</w:t>
      </w:r>
    </w:p>
    <w:p w:rsidR="003C7C9E" w:rsidRDefault="003C7C9E" w:rsidP="00DE1661">
      <w:pPr>
        <w:pStyle w:val="13"/>
      </w:pPr>
      <w:r>
        <w:t>Субъект РФ. Выпадающий список с выбором субъекта РФ. Формируется на основании справочника D_EB_TERRITORY, возможен выбор значения «Все»;</w:t>
      </w:r>
    </w:p>
    <w:p w:rsidR="003C7C9E" w:rsidRDefault="003C7C9E" w:rsidP="00DE1661">
      <w:pPr>
        <w:pStyle w:val="13"/>
      </w:pPr>
      <w:r>
        <w:t>По федеральным округам. Параметр, обеспечивающий возможность выбора отображения представления по федеральным округам (группировка) или общим перечнем. По умолчанию выводятся записи с группировкой по федеральным округам.</w:t>
      </w:r>
    </w:p>
    <w:p w:rsidR="003C7C9E" w:rsidRDefault="003C7C9E"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3C7C9E" w:rsidRDefault="003C7C9E"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3C7C9E" w:rsidRDefault="003C7C9E" w:rsidP="00DE1661">
      <w:pPr>
        <w:pStyle w:val="13"/>
      </w:pPr>
      <w:r>
        <w:t>КВР. Выпадающий список с выбором КВР. Формируется на основании справочника D_KSPL_KVR, возможен выбор значения «Все»;</w:t>
      </w:r>
    </w:p>
    <w:p w:rsidR="003C7C9E" w:rsidRDefault="003C7C9E" w:rsidP="00DE1661">
      <w:pPr>
        <w:pStyle w:val="13"/>
      </w:pPr>
      <w:r>
        <w:t>РЗПР. Выпадающий список с выбором РЗПР. Формируется на основании справочника D_KSPL_RZPR, возможен выбор значения «Все»;</w:t>
      </w:r>
    </w:p>
    <w:p w:rsidR="003C7C9E" w:rsidRDefault="003C7C9E" w:rsidP="00DE1661">
      <w:pPr>
        <w:pStyle w:val="13"/>
      </w:pPr>
      <w:r>
        <w:t>КЦСР. Параметр с возможностью задания значения по маске (XXXXXXXXXX), по умолчанию параметр не задан;</w:t>
      </w:r>
    </w:p>
    <w:p w:rsidR="003C7C9E" w:rsidRDefault="003C7C9E" w:rsidP="00DE1661">
      <w:pPr>
        <w:pStyle w:val="13"/>
      </w:pPr>
      <w:r>
        <w:t>Направление расходов. Параметр с возможностью задания значения по маске (XXXXX), по умолчанию параметр не задан;</w:t>
      </w:r>
    </w:p>
    <w:p w:rsidR="003C7C9E" w:rsidRDefault="003C7C9E"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3C7C9E" w:rsidRDefault="003C7C9E" w:rsidP="003C7C9E">
      <w:pPr>
        <w:pStyle w:val="af0"/>
        <w:rPr>
          <w:color w:val="auto"/>
        </w:rPr>
      </w:pPr>
      <w:r>
        <w:rPr>
          <w:color w:val="auto"/>
        </w:rPr>
        <w:t>Единицы измерения. Плоский список с элементами: руб., тыс. руб., млн. руб., млрд. руб.</w:t>
      </w:r>
    </w:p>
    <w:p w:rsidR="003C7C9E" w:rsidRDefault="003C7C9E" w:rsidP="00E0668E">
      <w:pPr>
        <w:pStyle w:val="-0"/>
      </w:pPr>
      <w:r>
        <w:rPr>
          <w:noProof/>
          <w:snapToGrid/>
        </w:rPr>
        <w:drawing>
          <wp:inline distT="0" distB="0" distL="0" distR="0" wp14:anchorId="2DAC26E9" wp14:editId="405D7976">
            <wp:extent cx="6119495" cy="3109786"/>
            <wp:effectExtent l="0" t="0" r="0"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6119495" cy="3109786"/>
                    </a:xfrm>
                    <a:prstGeom prst="rect">
                      <a:avLst/>
                    </a:prstGeom>
                  </pic:spPr>
                </pic:pic>
              </a:graphicData>
            </a:graphic>
          </wp:inline>
        </w:drawing>
      </w:r>
    </w:p>
    <w:p w:rsidR="003C7C9E" w:rsidRDefault="00E0668E" w:rsidP="00E0668E">
      <w:pPr>
        <w:pStyle w:val="-0"/>
        <w:rPr>
          <w:rStyle w:val="af1"/>
        </w:rPr>
      </w:pPr>
      <w:bookmarkStart w:id="735" w:name="_Toc119584360"/>
      <w:r>
        <w:t xml:space="preserve">Рисунок </w:t>
      </w:r>
      <w:fldSimple w:instr=" SEQ Рисунок \* ARABIC ">
        <w:r w:rsidR="001860A9">
          <w:rPr>
            <w:noProof/>
          </w:rPr>
          <w:t>173</w:t>
        </w:r>
      </w:fldSimple>
      <w:r>
        <w:rPr>
          <w:szCs w:val="28"/>
        </w:rPr>
        <w:t xml:space="preserve"> –</w:t>
      </w:r>
      <w:r>
        <w:rPr>
          <w:rStyle w:val="af1"/>
        </w:rPr>
        <w:t xml:space="preserve"> Макет отчета «</w:t>
      </w:r>
      <w:r>
        <w:t xml:space="preserve">Субъект </w:t>
      </w:r>
      <w:r w:rsidRPr="00052D8E">
        <w:t>РФ</w:t>
      </w:r>
      <w:r>
        <w:t xml:space="preserve"> – Детализация</w:t>
      </w:r>
      <w:r>
        <w:rPr>
          <w:rStyle w:val="af1"/>
        </w:rPr>
        <w:t>»</w:t>
      </w:r>
      <w:bookmarkEnd w:id="735"/>
    </w:p>
    <w:p w:rsidR="00E0668E" w:rsidRDefault="00E0668E" w:rsidP="00E0668E">
      <w:pPr>
        <w:pStyle w:val="42"/>
        <w:keepNext/>
      </w:pPr>
      <w:bookmarkStart w:id="736" w:name="_Toc80346597"/>
      <w:r>
        <w:t>Отчет «Субъект РФ – Инфографика»</w:t>
      </w:r>
      <w:bookmarkEnd w:id="736"/>
    </w:p>
    <w:p w:rsidR="00E0668E" w:rsidRDefault="00E0668E" w:rsidP="00E0668E">
      <w:pPr>
        <w:pStyle w:val="af0"/>
        <w:rPr>
          <w:szCs w:val="28"/>
        </w:rPr>
      </w:pPr>
      <w:r>
        <w:rPr>
          <w:szCs w:val="28"/>
        </w:rPr>
        <w:t>Отчет «</w:t>
      </w:r>
      <w:r>
        <w:t>Субъект РФ – Инфографика</w:t>
      </w:r>
      <w:r>
        <w:rPr>
          <w:szCs w:val="28"/>
        </w:rPr>
        <w:t>» группы отчетов «</w:t>
      </w:r>
      <w:r>
        <w:t xml:space="preserve">Исполнение национальных (федеральных) проектов БУ и АУ (ф. 0503738-НП)» должен </w:t>
      </w:r>
      <w:r>
        <w:rPr>
          <w:szCs w:val="28"/>
        </w:rPr>
        <w:t>обеспечивать отображение на карте следующих показателей по субъектам РФ:</w:t>
      </w:r>
    </w:p>
    <w:p w:rsidR="00E0668E" w:rsidRDefault="00E0668E" w:rsidP="00DE1661">
      <w:pPr>
        <w:pStyle w:val="13"/>
      </w:pPr>
      <w:r>
        <w:t>Утверждено плановых назначений;</w:t>
      </w:r>
    </w:p>
    <w:p w:rsidR="00E0668E" w:rsidRDefault="00E0668E" w:rsidP="00DE1661">
      <w:pPr>
        <w:pStyle w:val="13"/>
      </w:pPr>
      <w:r>
        <w:t>Исполнено денежных обязательств;</w:t>
      </w:r>
    </w:p>
    <w:p w:rsidR="00E0668E" w:rsidRDefault="00E0668E" w:rsidP="00DE1661">
      <w:pPr>
        <w:pStyle w:val="13"/>
      </w:pPr>
      <w:r>
        <w:t>% исполнения от утвержденных плановых назначений.</w:t>
      </w:r>
    </w:p>
    <w:p w:rsidR="00E0668E" w:rsidRDefault="00E0668E" w:rsidP="00E0668E">
      <w:pPr>
        <w:pStyle w:val="af0"/>
        <w:rPr>
          <w:szCs w:val="28"/>
        </w:rPr>
      </w:pPr>
      <w:r>
        <w:rPr>
          <w:szCs w:val="28"/>
        </w:rPr>
        <w:t>Источники данных для отчета:</w:t>
      </w:r>
    </w:p>
    <w:p w:rsidR="00E0668E" w:rsidRDefault="00E0668E"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E0668E" w:rsidRDefault="00E0668E" w:rsidP="00E0668E">
      <w:pPr>
        <w:pStyle w:val="af0"/>
        <w:rPr>
          <w:szCs w:val="28"/>
        </w:rPr>
      </w:pPr>
      <w:r>
        <w:rPr>
          <w:szCs w:val="28"/>
        </w:rPr>
        <w:t>Параметры отчета:</w:t>
      </w:r>
    </w:p>
    <w:p w:rsidR="00E0668E" w:rsidRDefault="00E0668E" w:rsidP="00DE1661">
      <w:pPr>
        <w:pStyle w:val="13"/>
      </w:pPr>
      <w:r>
        <w:t>Отчетная дата. Выпадающий список с выбором дат, за которые были предоставлены исходные данные;</w:t>
      </w:r>
    </w:p>
    <w:p w:rsidR="00E0668E" w:rsidRDefault="00E0668E" w:rsidP="00DE1661">
      <w:pPr>
        <w:pStyle w:val="13"/>
      </w:pPr>
      <w:r>
        <w:t>Финансовый период. Выпадающий список с выбором финансового периода, возможен выбор значения «Все»;</w:t>
      </w:r>
    </w:p>
    <w:p w:rsidR="00E0668E" w:rsidRDefault="00E0668E"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E0668E" w:rsidRDefault="00E0668E"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E0668E" w:rsidRDefault="00E0668E" w:rsidP="00DE1661">
      <w:pPr>
        <w:pStyle w:val="13"/>
      </w:pPr>
      <w:r>
        <w:t>КВР. Выпадающий список с выбором КВР. Формируется на основании справочника D_KSPL_KVR, возможен выбор значения «Все»;</w:t>
      </w:r>
    </w:p>
    <w:p w:rsidR="00E0668E" w:rsidRDefault="00E0668E" w:rsidP="00DE1661">
      <w:pPr>
        <w:pStyle w:val="13"/>
      </w:pPr>
      <w:r>
        <w:t>РЗПР. Выпадающий список с выбором РЗПР. Формируется на основании справочника D_KSPL_RZPR, возможен выбор значения «Все»;</w:t>
      </w:r>
    </w:p>
    <w:p w:rsidR="00E0668E" w:rsidRDefault="00E0668E" w:rsidP="00DE1661">
      <w:pPr>
        <w:pStyle w:val="13"/>
      </w:pPr>
      <w:r>
        <w:t>КЦСР. Параметр с возможностью задания значения по маске (XXXXXXXXXX), по умолчанию параметр не задан;</w:t>
      </w:r>
    </w:p>
    <w:p w:rsidR="00E0668E" w:rsidRDefault="00E0668E" w:rsidP="00DE1661">
      <w:pPr>
        <w:pStyle w:val="13"/>
      </w:pPr>
      <w:r>
        <w:t>Направление расходов. Параметр с возможностью задания значения по маске (XXXXX), по умолчанию параметр не задан;</w:t>
      </w:r>
    </w:p>
    <w:p w:rsidR="00E0668E" w:rsidRDefault="00E0668E" w:rsidP="00DE1661">
      <w:pPr>
        <w:pStyle w:val="13"/>
      </w:pPr>
      <w:r>
        <w:t>Показатель. Выпадающий список с выбором показателя по которому будет строится инфографика.</w:t>
      </w:r>
    </w:p>
    <w:p w:rsidR="00E0668E" w:rsidRDefault="00E0668E"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E0668E" w:rsidRDefault="00E0668E" w:rsidP="00DE1661">
      <w:pPr>
        <w:pStyle w:val="13"/>
      </w:pPr>
      <w:r>
        <w:t>Параметр по отображению карты. Параметр, обеспечивающий возможность выбора отображения представления по федеральным округам, по субъектам и конкретным федеральным округам.</w:t>
      </w:r>
    </w:p>
    <w:p w:rsidR="00E0668E" w:rsidRDefault="00E0668E" w:rsidP="00DE1661">
      <w:pPr>
        <w:pStyle w:val="13"/>
      </w:pPr>
      <w:r>
        <w:t>Единицы измерения. Плоский список с элементами: руб., тыс. руб., млн. руб., млрд. руб.</w:t>
      </w:r>
    </w:p>
    <w:p w:rsidR="00E0668E" w:rsidRDefault="00E0668E" w:rsidP="00E0668E">
      <w:pPr>
        <w:pStyle w:val="-0"/>
        <w:keepNext/>
      </w:pPr>
      <w:r>
        <w:rPr>
          <w:noProof/>
          <w:snapToGrid/>
        </w:rPr>
        <w:drawing>
          <wp:inline distT="0" distB="0" distL="0" distR="0" wp14:anchorId="5D0972EA" wp14:editId="4E8A6D0C">
            <wp:extent cx="6119495" cy="3103230"/>
            <wp:effectExtent l="0" t="0" r="0" b="254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6119495" cy="3103230"/>
                    </a:xfrm>
                    <a:prstGeom prst="rect">
                      <a:avLst/>
                    </a:prstGeom>
                  </pic:spPr>
                </pic:pic>
              </a:graphicData>
            </a:graphic>
          </wp:inline>
        </w:drawing>
      </w:r>
    </w:p>
    <w:p w:rsidR="00E0668E" w:rsidRDefault="00E0668E" w:rsidP="00E0668E">
      <w:pPr>
        <w:pStyle w:val="-0"/>
        <w:rPr>
          <w:rStyle w:val="af1"/>
        </w:rPr>
      </w:pPr>
      <w:bookmarkStart w:id="737" w:name="_Toc119584361"/>
      <w:r>
        <w:t xml:space="preserve">Рисунок </w:t>
      </w:r>
      <w:fldSimple w:instr=" SEQ Рисунок \* ARABIC ">
        <w:r w:rsidR="001860A9">
          <w:rPr>
            <w:noProof/>
          </w:rPr>
          <w:t>174</w:t>
        </w:r>
      </w:fldSimple>
      <w:r>
        <w:rPr>
          <w:szCs w:val="28"/>
        </w:rPr>
        <w:t xml:space="preserve"> –</w:t>
      </w:r>
      <w:r>
        <w:rPr>
          <w:rStyle w:val="af1"/>
        </w:rPr>
        <w:t xml:space="preserve"> Макет отчета «</w:t>
      </w:r>
      <w:r>
        <w:t>Субъект РФ – Инфографика</w:t>
      </w:r>
      <w:r>
        <w:rPr>
          <w:rStyle w:val="af1"/>
        </w:rPr>
        <w:t>»</w:t>
      </w:r>
      <w:bookmarkEnd w:id="737"/>
    </w:p>
    <w:p w:rsidR="00E0668E" w:rsidRDefault="00E0668E" w:rsidP="0017284A">
      <w:pPr>
        <w:pStyle w:val="42"/>
        <w:keepNext/>
      </w:pPr>
      <w:bookmarkStart w:id="738" w:name="_Toc80346598"/>
      <w:r>
        <w:t>Отчет «МО – Общая информация»</w:t>
      </w:r>
      <w:bookmarkEnd w:id="738"/>
    </w:p>
    <w:p w:rsidR="00E0668E" w:rsidRDefault="00E0668E" w:rsidP="00E0668E">
      <w:pPr>
        <w:pStyle w:val="af0"/>
        <w:rPr>
          <w:szCs w:val="28"/>
        </w:rPr>
      </w:pPr>
      <w:r>
        <w:rPr>
          <w:szCs w:val="28"/>
        </w:rPr>
        <w:t>Отчет «</w:t>
      </w:r>
      <w:r>
        <w:t>МО – Общая информация</w:t>
      </w:r>
      <w:r>
        <w:rPr>
          <w:szCs w:val="28"/>
        </w:rPr>
        <w:t>» группы отчетов «</w:t>
      </w:r>
      <w:r>
        <w:t>Исполнение национальных (федеральных) проектов БУ и АУ (ф. 0503738-НП)» должен</w:t>
      </w:r>
      <w:r>
        <w:rPr>
          <w:szCs w:val="28"/>
        </w:rPr>
        <w:t xml:space="preserve"> обеспечивать расчет следующих показателей по </w:t>
      </w:r>
      <w:r>
        <w:t>муниципальным образованиям</w:t>
      </w:r>
      <w:r>
        <w:rPr>
          <w:szCs w:val="28"/>
        </w:rPr>
        <w:t xml:space="preserve"> в разрезе национальных (федеральных) проектов и КВР:</w:t>
      </w:r>
    </w:p>
    <w:p w:rsidR="00E0668E" w:rsidRDefault="00E0668E" w:rsidP="00DE1661">
      <w:pPr>
        <w:pStyle w:val="13"/>
      </w:pPr>
      <w:r>
        <w:t>Утверждено плановых назначений;</w:t>
      </w:r>
    </w:p>
    <w:p w:rsidR="00E0668E" w:rsidRDefault="00E0668E" w:rsidP="00DE1661">
      <w:pPr>
        <w:pStyle w:val="13"/>
      </w:pPr>
      <w:r>
        <w:t>Принимаемые обязательства;</w:t>
      </w:r>
    </w:p>
    <w:p w:rsidR="00E0668E" w:rsidRDefault="00E0668E" w:rsidP="00DE1661">
      <w:pPr>
        <w:pStyle w:val="13"/>
      </w:pPr>
      <w:r>
        <w:t>Принятые обязательства, всего;</w:t>
      </w:r>
    </w:p>
    <w:p w:rsidR="00E0668E" w:rsidRDefault="00E0668E" w:rsidP="00DE1661">
      <w:pPr>
        <w:pStyle w:val="13"/>
      </w:pPr>
      <w:r>
        <w:t>Принятые обязательства, из них с применением конкурентных способов;</w:t>
      </w:r>
    </w:p>
    <w:p w:rsidR="00E0668E" w:rsidRDefault="00E0668E" w:rsidP="00DE1661">
      <w:pPr>
        <w:pStyle w:val="13"/>
      </w:pPr>
      <w:r>
        <w:t>Денежные обязательства;</w:t>
      </w:r>
    </w:p>
    <w:p w:rsidR="00E0668E" w:rsidRDefault="00E0668E" w:rsidP="00DE1661">
      <w:pPr>
        <w:pStyle w:val="13"/>
      </w:pPr>
      <w:r>
        <w:t>Исполнено денежных обязательств;</w:t>
      </w:r>
    </w:p>
    <w:p w:rsidR="00E0668E" w:rsidRDefault="00E0668E" w:rsidP="00DE1661">
      <w:pPr>
        <w:pStyle w:val="13"/>
      </w:pPr>
      <w:r>
        <w:t>Не исполнено принятых обязательств;</w:t>
      </w:r>
    </w:p>
    <w:p w:rsidR="00E0668E" w:rsidRDefault="00E0668E" w:rsidP="00DE1661">
      <w:pPr>
        <w:pStyle w:val="13"/>
      </w:pPr>
      <w:r>
        <w:t>Не исполнено принятых денежных обязательств;</w:t>
      </w:r>
    </w:p>
    <w:p w:rsidR="00E0668E" w:rsidRDefault="00E0668E" w:rsidP="00DE1661">
      <w:pPr>
        <w:pStyle w:val="13"/>
      </w:pPr>
      <w:r>
        <w:t>% исполнения от утвержденных плановых назначений;</w:t>
      </w:r>
    </w:p>
    <w:p w:rsidR="00E0668E" w:rsidRDefault="00E0668E" w:rsidP="00DE1661">
      <w:pPr>
        <w:pStyle w:val="13"/>
      </w:pPr>
      <w:r>
        <w:t>% исполнения от принятых обязательств;</w:t>
      </w:r>
    </w:p>
    <w:p w:rsidR="00E0668E" w:rsidRDefault="00E0668E" w:rsidP="00DE1661">
      <w:pPr>
        <w:pStyle w:val="13"/>
      </w:pPr>
      <w:r>
        <w:t>% принятых обязательств от утвержденных плановых назначений;</w:t>
      </w:r>
    </w:p>
    <w:p w:rsidR="00E0668E" w:rsidRDefault="00E0668E" w:rsidP="00DE1661">
      <w:pPr>
        <w:pStyle w:val="13"/>
      </w:pPr>
      <w:r>
        <w:t>% принимаемых обязательств от утвержденных плановых назначений.</w:t>
      </w:r>
    </w:p>
    <w:p w:rsidR="00E0668E" w:rsidRDefault="00E0668E" w:rsidP="00E0668E">
      <w:pPr>
        <w:pStyle w:val="af0"/>
        <w:rPr>
          <w:szCs w:val="28"/>
        </w:rPr>
      </w:pPr>
      <w:r>
        <w:rPr>
          <w:szCs w:val="28"/>
        </w:rPr>
        <w:t>Источники данных для отчета:</w:t>
      </w:r>
    </w:p>
    <w:p w:rsidR="00E0668E" w:rsidRDefault="00E0668E" w:rsidP="00DE1661">
      <w:pPr>
        <w:pStyle w:val="13"/>
      </w:pPr>
      <w:r>
        <w:t>Данные на основе таблицы Факт БО Сведения об обязательствах по нац. проектам (F_BO_OBLIGATIONNP).</w:t>
      </w:r>
    </w:p>
    <w:p w:rsidR="00E0668E" w:rsidRDefault="00E0668E" w:rsidP="00E0668E">
      <w:pPr>
        <w:pStyle w:val="af0"/>
        <w:rPr>
          <w:szCs w:val="28"/>
        </w:rPr>
      </w:pPr>
      <w:r>
        <w:rPr>
          <w:szCs w:val="28"/>
        </w:rPr>
        <w:t>Параметры отчета:</w:t>
      </w:r>
    </w:p>
    <w:p w:rsidR="00E0668E" w:rsidRDefault="00E0668E" w:rsidP="00DE1661">
      <w:pPr>
        <w:pStyle w:val="13"/>
      </w:pPr>
      <w:r>
        <w:t>Отчетная дата. Выпадающий список с выбором дат, за которые были предоставлены исходные данные;</w:t>
      </w:r>
    </w:p>
    <w:p w:rsidR="00E0668E" w:rsidRDefault="00E0668E" w:rsidP="00DE1661">
      <w:pPr>
        <w:pStyle w:val="13"/>
      </w:pPr>
      <w:r>
        <w:t>Финансовый период. Выпадающий список с выбором финансового периода, возможен выбор значения «Все»;</w:t>
      </w:r>
    </w:p>
    <w:p w:rsidR="00E0668E" w:rsidRDefault="00E0668E"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E0668E" w:rsidRDefault="00E0668E"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E0668E" w:rsidRDefault="00E0668E" w:rsidP="00DE1661">
      <w:pPr>
        <w:pStyle w:val="13"/>
      </w:pPr>
      <w:r>
        <w:t>КВР. Выпадающий список с выбором КВР. Формируется на основании справочника D_KSPL_KVR, возможен выбор значения «Все»;</w:t>
      </w:r>
    </w:p>
    <w:p w:rsidR="00E0668E" w:rsidRDefault="00E0668E" w:rsidP="00DE1661">
      <w:pPr>
        <w:pStyle w:val="13"/>
      </w:pPr>
      <w:r>
        <w:t>РЗПР. Выпадающий список с выбором РЗПР. Формируется на основании справочника D_KSPL_RZPR, возможен выбор значения «Все»;</w:t>
      </w:r>
    </w:p>
    <w:p w:rsidR="00E0668E" w:rsidRDefault="00E0668E" w:rsidP="00DE1661">
      <w:pPr>
        <w:pStyle w:val="13"/>
      </w:pPr>
      <w:r>
        <w:t>КЦСР. Параметр с возможностью задания значения по маске (XXXXXXXXXX), по умолчанию параметр не задан;</w:t>
      </w:r>
    </w:p>
    <w:p w:rsidR="00E0668E" w:rsidRDefault="00E0668E" w:rsidP="00DE1661">
      <w:pPr>
        <w:pStyle w:val="13"/>
      </w:pPr>
      <w:r>
        <w:t>Направление расходов. Параметр с возможностью задания значения по маске (XXXXX), по умолчанию параметр не задан;</w:t>
      </w:r>
    </w:p>
    <w:p w:rsidR="00E0668E" w:rsidRDefault="00E0668E"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E0668E" w:rsidRDefault="00E0668E" w:rsidP="00DE1661">
      <w:pPr>
        <w:pStyle w:val="13"/>
      </w:pPr>
      <w:r>
        <w:t>Единицы измерения. Плоский список с элементами: руб., тыс. руб., млн. руб., млрд. руб.</w:t>
      </w:r>
    </w:p>
    <w:p w:rsidR="00E0668E" w:rsidRDefault="00E0668E" w:rsidP="00E0668E">
      <w:pPr>
        <w:pStyle w:val="af0"/>
        <w:rPr>
          <w:szCs w:val="28"/>
        </w:rPr>
      </w:pPr>
      <w:r>
        <w:rPr>
          <w:szCs w:val="28"/>
        </w:rPr>
        <w:t>Из отчета должны быть обеспечены переходы в следующие виды детализации:</w:t>
      </w:r>
    </w:p>
    <w:p w:rsidR="00E0668E" w:rsidRDefault="00E0668E" w:rsidP="00E0668E">
      <w:pPr>
        <w:pStyle w:val="af0"/>
        <w:rPr>
          <w:szCs w:val="28"/>
        </w:rPr>
      </w:pPr>
      <w:r>
        <w:rPr>
          <w:szCs w:val="28"/>
        </w:rPr>
        <w:t>Детализация по муниципальным образованиям.</w:t>
      </w:r>
    </w:p>
    <w:p w:rsidR="00E0668E" w:rsidRDefault="00E0668E" w:rsidP="00E0668E">
      <w:pPr>
        <w:pStyle w:val="-0"/>
        <w:keepNext/>
      </w:pPr>
      <w:r>
        <w:rPr>
          <w:noProof/>
          <w:snapToGrid/>
        </w:rPr>
        <w:drawing>
          <wp:inline distT="0" distB="0" distL="0" distR="0" wp14:anchorId="2F8650BC" wp14:editId="4ED3FAF0">
            <wp:extent cx="6119495" cy="3103230"/>
            <wp:effectExtent l="0" t="0" r="0" b="254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6119495" cy="3103230"/>
                    </a:xfrm>
                    <a:prstGeom prst="rect">
                      <a:avLst/>
                    </a:prstGeom>
                  </pic:spPr>
                </pic:pic>
              </a:graphicData>
            </a:graphic>
          </wp:inline>
        </w:drawing>
      </w:r>
    </w:p>
    <w:p w:rsidR="00E0668E" w:rsidRDefault="00E0668E" w:rsidP="00E0668E">
      <w:pPr>
        <w:pStyle w:val="-0"/>
        <w:rPr>
          <w:rStyle w:val="af1"/>
        </w:rPr>
      </w:pPr>
      <w:bookmarkStart w:id="739" w:name="_Toc119584362"/>
      <w:r>
        <w:rPr>
          <w:rStyle w:val="af1"/>
        </w:rPr>
        <w:t xml:space="preserve">Рисунок </w:t>
      </w:r>
      <w:fldSimple w:instr=" SEQ Рисунок \* ARABIC ">
        <w:r w:rsidR="001860A9">
          <w:rPr>
            <w:noProof/>
          </w:rPr>
          <w:t>175</w:t>
        </w:r>
      </w:fldSimple>
      <w:r>
        <w:rPr>
          <w:szCs w:val="28"/>
        </w:rPr>
        <w:t xml:space="preserve"> –</w:t>
      </w:r>
      <w:r>
        <w:rPr>
          <w:rStyle w:val="af1"/>
        </w:rPr>
        <w:t xml:space="preserve"> Макет отчета «</w:t>
      </w:r>
      <w:r>
        <w:t xml:space="preserve">МО – </w:t>
      </w:r>
      <w:r w:rsidRPr="00052D8E">
        <w:t>Общая</w:t>
      </w:r>
      <w:r>
        <w:t xml:space="preserve"> информация</w:t>
      </w:r>
      <w:r>
        <w:rPr>
          <w:rStyle w:val="af1"/>
        </w:rPr>
        <w:t>»</w:t>
      </w:r>
      <w:bookmarkEnd w:id="739"/>
    </w:p>
    <w:p w:rsidR="0017284A" w:rsidRDefault="0017284A" w:rsidP="0017284A">
      <w:pPr>
        <w:pStyle w:val="42"/>
        <w:keepNext/>
      </w:pPr>
      <w:bookmarkStart w:id="740" w:name="_Toc80346599"/>
      <w:r>
        <w:t>Отчет «МО – Детализация»</w:t>
      </w:r>
      <w:bookmarkEnd w:id="740"/>
    </w:p>
    <w:p w:rsidR="0017284A" w:rsidRDefault="0017284A" w:rsidP="0017284A">
      <w:pPr>
        <w:pStyle w:val="af0"/>
        <w:rPr>
          <w:szCs w:val="28"/>
        </w:rPr>
      </w:pPr>
      <w:r>
        <w:rPr>
          <w:szCs w:val="28"/>
        </w:rPr>
        <w:t>Отчет «</w:t>
      </w:r>
      <w:r>
        <w:t>МО – Детализация</w:t>
      </w:r>
      <w:r>
        <w:rPr>
          <w:szCs w:val="28"/>
        </w:rPr>
        <w:t>» группы отчетов «</w:t>
      </w:r>
      <w:r>
        <w:t xml:space="preserve">Исполнение национальных (федеральных) проектов БУ и АУ (ф. 0503738-НП)» должен </w:t>
      </w:r>
      <w:r>
        <w:rPr>
          <w:szCs w:val="28"/>
        </w:rPr>
        <w:t>обеспечивать расчет следующих показателей в разрезе муниципальных образований:</w:t>
      </w:r>
    </w:p>
    <w:p w:rsidR="0017284A" w:rsidRDefault="0017284A" w:rsidP="00DE1661">
      <w:pPr>
        <w:pStyle w:val="13"/>
      </w:pPr>
      <w:r>
        <w:t>Утверждено плановых назначений;</w:t>
      </w:r>
    </w:p>
    <w:p w:rsidR="0017284A" w:rsidRDefault="0017284A" w:rsidP="00DE1661">
      <w:pPr>
        <w:pStyle w:val="13"/>
      </w:pPr>
      <w:r>
        <w:t>Принимаемые обязательства;</w:t>
      </w:r>
    </w:p>
    <w:p w:rsidR="0017284A" w:rsidRDefault="0017284A" w:rsidP="00DE1661">
      <w:pPr>
        <w:pStyle w:val="13"/>
      </w:pPr>
      <w:r>
        <w:t>Принятые обязательства, всего;</w:t>
      </w:r>
    </w:p>
    <w:p w:rsidR="0017284A" w:rsidRDefault="0017284A" w:rsidP="00DE1661">
      <w:pPr>
        <w:pStyle w:val="13"/>
      </w:pPr>
      <w:r>
        <w:t>Принятые обязательства, из них с применением конкурентных способов;</w:t>
      </w:r>
    </w:p>
    <w:p w:rsidR="0017284A" w:rsidRDefault="0017284A" w:rsidP="00DE1661">
      <w:pPr>
        <w:pStyle w:val="13"/>
      </w:pPr>
      <w:r>
        <w:t>Денежные обязательства;</w:t>
      </w:r>
    </w:p>
    <w:p w:rsidR="0017284A" w:rsidRDefault="0017284A" w:rsidP="00DE1661">
      <w:pPr>
        <w:pStyle w:val="13"/>
      </w:pPr>
      <w:r>
        <w:t>Исполнено денежных обязательств;</w:t>
      </w:r>
    </w:p>
    <w:p w:rsidR="0017284A" w:rsidRDefault="0017284A" w:rsidP="00DE1661">
      <w:pPr>
        <w:pStyle w:val="13"/>
      </w:pPr>
      <w:r>
        <w:t>Не исполнено принятых обязательств;</w:t>
      </w:r>
    </w:p>
    <w:p w:rsidR="0017284A" w:rsidRDefault="0017284A" w:rsidP="00DE1661">
      <w:pPr>
        <w:pStyle w:val="13"/>
      </w:pPr>
      <w:r>
        <w:t>Не исполнено принятых денежных обязательств;</w:t>
      </w:r>
    </w:p>
    <w:p w:rsidR="0017284A" w:rsidRDefault="0017284A" w:rsidP="00DE1661">
      <w:pPr>
        <w:pStyle w:val="13"/>
      </w:pPr>
      <w:r>
        <w:t>% исполнения от утвержденных плановых назначений;</w:t>
      </w:r>
    </w:p>
    <w:p w:rsidR="0017284A" w:rsidRDefault="0017284A" w:rsidP="00DE1661">
      <w:pPr>
        <w:pStyle w:val="13"/>
      </w:pPr>
      <w:r>
        <w:t>% исполнения от принятых обязательств;</w:t>
      </w:r>
    </w:p>
    <w:p w:rsidR="0017284A" w:rsidRDefault="0017284A" w:rsidP="00DE1661">
      <w:pPr>
        <w:pStyle w:val="13"/>
      </w:pPr>
      <w:r>
        <w:t>% принятых обязательств от утвержденных плановых назначений;</w:t>
      </w:r>
    </w:p>
    <w:p w:rsidR="0017284A" w:rsidRDefault="0017284A" w:rsidP="00DE1661">
      <w:pPr>
        <w:pStyle w:val="13"/>
      </w:pPr>
      <w:r>
        <w:t>% принимаемых обязательств от утвержденных плановых назначений.</w:t>
      </w:r>
    </w:p>
    <w:p w:rsidR="0017284A" w:rsidRDefault="0017284A" w:rsidP="0017284A">
      <w:pPr>
        <w:pStyle w:val="af0"/>
        <w:rPr>
          <w:szCs w:val="28"/>
        </w:rPr>
      </w:pPr>
      <w:r>
        <w:rPr>
          <w:szCs w:val="28"/>
        </w:rPr>
        <w:t>Источники данных для отчета:</w:t>
      </w:r>
    </w:p>
    <w:p w:rsidR="0017284A" w:rsidRDefault="0017284A"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17284A" w:rsidRDefault="0017284A" w:rsidP="0017284A">
      <w:pPr>
        <w:pStyle w:val="af0"/>
        <w:rPr>
          <w:szCs w:val="28"/>
        </w:rPr>
      </w:pPr>
      <w:r>
        <w:rPr>
          <w:szCs w:val="28"/>
        </w:rPr>
        <w:t>Параметры отчета:</w:t>
      </w:r>
    </w:p>
    <w:p w:rsidR="0017284A" w:rsidRDefault="0017284A" w:rsidP="00DE1661">
      <w:pPr>
        <w:pStyle w:val="13"/>
      </w:pPr>
      <w:r>
        <w:t>Отчетная дата. Выпадающий список с выбором дат, за которые были предоставлены исходные данные;</w:t>
      </w:r>
    </w:p>
    <w:p w:rsidR="0017284A" w:rsidRDefault="0017284A" w:rsidP="00DE1661">
      <w:pPr>
        <w:pStyle w:val="13"/>
      </w:pPr>
      <w:r>
        <w:t>Финансовый период. Выпадающий список с выбором финансового периода, возможен выбор значения «Все»;</w:t>
      </w:r>
    </w:p>
    <w:p w:rsidR="0017284A" w:rsidRDefault="0017284A" w:rsidP="00DE1661">
      <w:pPr>
        <w:pStyle w:val="13"/>
      </w:pPr>
      <w:r>
        <w:t>Субъект РФ. Выпадающий список с выбором субъекта РФ. Формируется на основании справочника D_EB_TERRITORY, возможен выбор значения «Все»;</w:t>
      </w:r>
    </w:p>
    <w:p w:rsidR="0017284A" w:rsidRDefault="0017284A" w:rsidP="00DE1661">
      <w:pPr>
        <w:pStyle w:val="13"/>
      </w:pPr>
      <w:r>
        <w:t>МО. Выпадающий список с выбором муниципального образования. Формируется на основании справочника D_EB_TERRITORY, возможен выбор значения «Все»;</w:t>
      </w:r>
    </w:p>
    <w:p w:rsidR="0017284A" w:rsidRDefault="0017284A"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17284A" w:rsidRDefault="0017284A"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17284A" w:rsidRDefault="0017284A" w:rsidP="00DE1661">
      <w:pPr>
        <w:pStyle w:val="13"/>
      </w:pPr>
      <w:r>
        <w:t>КВР. Выпадающий список с выбором КВР. Формируется на основании справочника D_KSPL_KVR, возможен выбор значения «Все»;</w:t>
      </w:r>
    </w:p>
    <w:p w:rsidR="0017284A" w:rsidRDefault="0017284A" w:rsidP="00DE1661">
      <w:pPr>
        <w:pStyle w:val="13"/>
      </w:pPr>
      <w:r>
        <w:t>РЗПР. Выпадающий список с выбором РЗПР. Формируется на основании справочника D_KSPL_RZPR, возможен выбор значения «Все»;</w:t>
      </w:r>
    </w:p>
    <w:p w:rsidR="0017284A" w:rsidRDefault="0017284A" w:rsidP="00DE1661">
      <w:pPr>
        <w:pStyle w:val="13"/>
      </w:pPr>
      <w:r>
        <w:t>КЦСР. Параметр с возможностью задания значения по маске (XXXXXXXXXX), по умолчанию параметр не задан;</w:t>
      </w:r>
    </w:p>
    <w:p w:rsidR="0017284A" w:rsidRDefault="0017284A" w:rsidP="00DE1661">
      <w:pPr>
        <w:pStyle w:val="13"/>
      </w:pPr>
      <w:r>
        <w:t>Направление расходов. Параметр с возможностью задания значения по маске (XXXXX), по умолчанию параметр не задан;</w:t>
      </w:r>
    </w:p>
    <w:p w:rsidR="0017284A" w:rsidRDefault="0017284A"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E0668E" w:rsidRDefault="0017284A" w:rsidP="0017284A">
      <w:pPr>
        <w:pStyle w:val="af0"/>
        <w:rPr>
          <w:color w:val="auto"/>
        </w:rPr>
      </w:pPr>
      <w:r>
        <w:rPr>
          <w:color w:val="auto"/>
        </w:rPr>
        <w:t>Единицы измерения. Плоский список с элементами: руб., тыс. руб., млн. руб., млрд. руб.</w:t>
      </w:r>
    </w:p>
    <w:p w:rsidR="0017284A" w:rsidRDefault="0017284A" w:rsidP="0017284A">
      <w:pPr>
        <w:pStyle w:val="-0"/>
        <w:keepNext/>
      </w:pPr>
      <w:r w:rsidRPr="00052D8E">
        <w:rPr>
          <w:noProof/>
        </w:rPr>
        <w:drawing>
          <wp:inline distT="0" distB="0" distL="0" distR="0" wp14:anchorId="354E9D55" wp14:editId="23F69F0C">
            <wp:extent cx="6119495" cy="3094927"/>
            <wp:effectExtent l="0" t="0" r="0" b="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6119495" cy="3094927"/>
                    </a:xfrm>
                    <a:prstGeom prst="rect">
                      <a:avLst/>
                    </a:prstGeom>
                  </pic:spPr>
                </pic:pic>
              </a:graphicData>
            </a:graphic>
          </wp:inline>
        </w:drawing>
      </w:r>
    </w:p>
    <w:p w:rsidR="0017284A" w:rsidRDefault="0017284A" w:rsidP="0017284A">
      <w:pPr>
        <w:pStyle w:val="-0"/>
        <w:rPr>
          <w:rStyle w:val="af1"/>
          <w:bCs w:val="0"/>
        </w:rPr>
      </w:pPr>
      <w:bookmarkStart w:id="741" w:name="_Toc119584363"/>
      <w:r>
        <w:t xml:space="preserve">Рисунок </w:t>
      </w:r>
      <w:fldSimple w:instr=" SEQ Рисунок \* ARABIC ">
        <w:r w:rsidR="001860A9">
          <w:rPr>
            <w:noProof/>
          </w:rPr>
          <w:t>176</w:t>
        </w:r>
      </w:fldSimple>
      <w:r w:rsidRPr="00052D8E">
        <w:rPr>
          <w:szCs w:val="28"/>
        </w:rPr>
        <w:t xml:space="preserve"> –</w:t>
      </w:r>
      <w:r w:rsidRPr="00052D8E">
        <w:rPr>
          <w:rStyle w:val="af1"/>
          <w:bCs w:val="0"/>
        </w:rPr>
        <w:t xml:space="preserve"> Макет отчета «</w:t>
      </w:r>
      <w:r w:rsidRPr="00052D8E">
        <w:t>МО – Детализация</w:t>
      </w:r>
      <w:r w:rsidRPr="00052D8E">
        <w:rPr>
          <w:rStyle w:val="af1"/>
          <w:bCs w:val="0"/>
        </w:rPr>
        <w:t>»</w:t>
      </w:r>
      <w:bookmarkEnd w:id="741"/>
    </w:p>
    <w:p w:rsidR="0017284A" w:rsidRDefault="0017284A" w:rsidP="0017284A">
      <w:pPr>
        <w:pStyle w:val="42"/>
      </w:pPr>
      <w:bookmarkStart w:id="742" w:name="_Toc80346600"/>
      <w:r>
        <w:t>Отчет «МО – Инфографика»</w:t>
      </w:r>
      <w:bookmarkEnd w:id="742"/>
    </w:p>
    <w:p w:rsidR="0017284A" w:rsidRDefault="0017284A" w:rsidP="0017284A">
      <w:pPr>
        <w:pStyle w:val="af0"/>
        <w:rPr>
          <w:szCs w:val="28"/>
        </w:rPr>
      </w:pPr>
      <w:r>
        <w:rPr>
          <w:szCs w:val="28"/>
        </w:rPr>
        <w:t>Отчет «</w:t>
      </w:r>
      <w:r>
        <w:t>МО – Инфографика</w:t>
      </w:r>
      <w:r>
        <w:rPr>
          <w:szCs w:val="28"/>
        </w:rPr>
        <w:t>» группы отчетов «</w:t>
      </w:r>
      <w:r>
        <w:t xml:space="preserve">Исполнение национальных (федеральных) проектов БУ и АУ (ф. 0503738-НП)» должен </w:t>
      </w:r>
      <w:r>
        <w:rPr>
          <w:szCs w:val="28"/>
        </w:rPr>
        <w:t>обеспечивать отображение на карте следующих показателей по МО:</w:t>
      </w:r>
    </w:p>
    <w:p w:rsidR="0017284A" w:rsidRDefault="0017284A" w:rsidP="00DE1661">
      <w:pPr>
        <w:pStyle w:val="13"/>
      </w:pPr>
      <w:r>
        <w:t>Утверждено плановых назначений;</w:t>
      </w:r>
    </w:p>
    <w:p w:rsidR="0017284A" w:rsidRDefault="0017284A" w:rsidP="00DE1661">
      <w:pPr>
        <w:pStyle w:val="13"/>
      </w:pPr>
      <w:r>
        <w:t>Исполнено денежных обязательств;</w:t>
      </w:r>
    </w:p>
    <w:p w:rsidR="0017284A" w:rsidRDefault="0017284A" w:rsidP="00DE1661">
      <w:pPr>
        <w:pStyle w:val="13"/>
      </w:pPr>
      <w:r>
        <w:t>% исполнения от утвержденных плановых назначений.</w:t>
      </w:r>
    </w:p>
    <w:p w:rsidR="0017284A" w:rsidRDefault="0017284A" w:rsidP="0017284A">
      <w:pPr>
        <w:pStyle w:val="af0"/>
        <w:rPr>
          <w:szCs w:val="28"/>
        </w:rPr>
      </w:pPr>
      <w:r>
        <w:rPr>
          <w:szCs w:val="28"/>
        </w:rPr>
        <w:t>Источники данных для отчета:</w:t>
      </w:r>
    </w:p>
    <w:p w:rsidR="0017284A" w:rsidRDefault="0017284A" w:rsidP="00DE1661">
      <w:pPr>
        <w:pStyle w:val="13"/>
      </w:pPr>
      <w:r>
        <w:t>Данные на основе таблицы Факт БО Сведения об обязательствах по нац. проектам АУБУ (F_BO_OBLIGATIONNP</w:t>
      </w:r>
      <w:r>
        <w:rPr>
          <w:lang w:val="en-US"/>
        </w:rPr>
        <w:t>AUBU</w:t>
      </w:r>
      <w:r>
        <w:t>).</w:t>
      </w:r>
    </w:p>
    <w:p w:rsidR="0017284A" w:rsidRDefault="0017284A" w:rsidP="0017284A">
      <w:pPr>
        <w:pStyle w:val="af0"/>
        <w:rPr>
          <w:szCs w:val="28"/>
        </w:rPr>
      </w:pPr>
      <w:r>
        <w:rPr>
          <w:szCs w:val="28"/>
        </w:rPr>
        <w:t>Параметры отчета:</w:t>
      </w:r>
    </w:p>
    <w:p w:rsidR="0017284A" w:rsidRDefault="0017284A" w:rsidP="00DE1661">
      <w:pPr>
        <w:pStyle w:val="13"/>
      </w:pPr>
      <w:r>
        <w:t>Отчетная дата. Выпадающий список с выбором дат, за которые были предоставлены исходные данные;</w:t>
      </w:r>
    </w:p>
    <w:p w:rsidR="0017284A" w:rsidRDefault="0017284A" w:rsidP="00DE1661">
      <w:pPr>
        <w:pStyle w:val="13"/>
      </w:pPr>
      <w:r>
        <w:t>Финансовый период. Выпадающий список с выбором финансового периода, возможен выбор значения «Все»;</w:t>
      </w:r>
    </w:p>
    <w:p w:rsidR="0017284A" w:rsidRDefault="0017284A" w:rsidP="00DE1661">
      <w:pPr>
        <w:pStyle w:val="13"/>
      </w:pPr>
      <w:r>
        <w:t>Нац. проект. Выпадающий список с выбором национальных проектов. Формируется на основании справочника D_DIG_NATIONALPROJECT, возможен выбор значения «Все»;</w:t>
      </w:r>
    </w:p>
    <w:p w:rsidR="0017284A" w:rsidRDefault="0017284A" w:rsidP="00DE1661">
      <w:pPr>
        <w:pStyle w:val="13"/>
      </w:pPr>
      <w:r>
        <w:t>Фед. проект. Выпадающий список с выбором федеральных проектов. Формируется на основании справочника D_DIG_NATIONALPROJECT, возможен выбор значения «Все»;</w:t>
      </w:r>
    </w:p>
    <w:p w:rsidR="0017284A" w:rsidRDefault="0017284A" w:rsidP="00DE1661">
      <w:pPr>
        <w:pStyle w:val="13"/>
      </w:pPr>
      <w:r>
        <w:t>КВР. Выпадающий список с выбором КВР. Формируется на основании справочника D_KSPL_KVR, возможен выбор значения «Все»;</w:t>
      </w:r>
    </w:p>
    <w:p w:rsidR="0017284A" w:rsidRDefault="0017284A" w:rsidP="00DE1661">
      <w:pPr>
        <w:pStyle w:val="13"/>
      </w:pPr>
      <w:r>
        <w:t>РЗПР. Выпадающий список с выбором РЗПР. Формируется на основании справочника D_KSPL_RZPR, возможен выбор значения «Все»;</w:t>
      </w:r>
    </w:p>
    <w:p w:rsidR="0017284A" w:rsidRDefault="0017284A" w:rsidP="00DE1661">
      <w:pPr>
        <w:pStyle w:val="13"/>
      </w:pPr>
      <w:r>
        <w:t>КЦСР. Параметр с возможностью задания значения по маске (XXXXXXXXXX), по умолчанию параметр не задан;</w:t>
      </w:r>
    </w:p>
    <w:p w:rsidR="0017284A" w:rsidRDefault="0017284A" w:rsidP="00DE1661">
      <w:pPr>
        <w:pStyle w:val="13"/>
      </w:pPr>
      <w:r>
        <w:t>Направление расходов. Параметр с возможностью задания значения по маске (XXXXX), по умолчанию параметр не задан;</w:t>
      </w:r>
    </w:p>
    <w:p w:rsidR="0017284A" w:rsidRDefault="0017284A" w:rsidP="00DE1661">
      <w:pPr>
        <w:pStyle w:val="13"/>
      </w:pPr>
      <w:r>
        <w:t>Показатель. Выпадающий список с выбором показателя по которому будет строится инфографика.</w:t>
      </w:r>
    </w:p>
    <w:p w:rsidR="0017284A" w:rsidRDefault="0017284A" w:rsidP="00DE1661">
      <w:pPr>
        <w:pStyle w:val="13"/>
      </w:pPr>
      <w:r>
        <w:t>Вид деятельности. Выпадающий список с выбором вида финансового обеспечения деятельности. Формируется на основании справочника FX_BO_ACTIONKIND, возможен выбор значения «Все»;</w:t>
      </w:r>
    </w:p>
    <w:p w:rsidR="0017284A" w:rsidRDefault="0017284A" w:rsidP="00DE1661">
      <w:pPr>
        <w:pStyle w:val="13"/>
      </w:pPr>
      <w:r>
        <w:t>Параметр по отображению карты. Параметр, обеспечивающий возможность выбора отображения представления по федеральным округам, по субъектам и конкретным федеральным округам.</w:t>
      </w:r>
    </w:p>
    <w:p w:rsidR="0017284A" w:rsidRDefault="0017284A" w:rsidP="00DE1661">
      <w:pPr>
        <w:pStyle w:val="13"/>
      </w:pPr>
      <w:r>
        <w:t>Единицы измерения. Плоский список с элементами: руб, тыс руб, млн руб, млрд руб.</w:t>
      </w:r>
    </w:p>
    <w:p w:rsidR="0017284A" w:rsidRDefault="0017284A" w:rsidP="0017284A">
      <w:pPr>
        <w:pStyle w:val="-0"/>
        <w:keepNext/>
      </w:pPr>
      <w:r>
        <w:rPr>
          <w:noProof/>
          <w:snapToGrid/>
        </w:rPr>
        <w:drawing>
          <wp:inline distT="0" distB="0" distL="0" distR="0" wp14:anchorId="474048AE" wp14:editId="08311355">
            <wp:extent cx="6119495" cy="3085313"/>
            <wp:effectExtent l="0" t="0" r="0" b="127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6119495" cy="3085313"/>
                    </a:xfrm>
                    <a:prstGeom prst="rect">
                      <a:avLst/>
                    </a:prstGeom>
                  </pic:spPr>
                </pic:pic>
              </a:graphicData>
            </a:graphic>
          </wp:inline>
        </w:drawing>
      </w:r>
    </w:p>
    <w:p w:rsidR="0017284A" w:rsidRDefault="0017284A" w:rsidP="0017284A">
      <w:pPr>
        <w:pStyle w:val="-0"/>
        <w:rPr>
          <w:rStyle w:val="af1"/>
        </w:rPr>
      </w:pPr>
      <w:bookmarkStart w:id="743" w:name="_Toc119584364"/>
      <w:r>
        <w:t xml:space="preserve">Рисунок </w:t>
      </w:r>
      <w:fldSimple w:instr=" SEQ Рисунок \* ARABIC ">
        <w:r w:rsidR="001860A9">
          <w:rPr>
            <w:noProof/>
          </w:rPr>
          <w:t>177</w:t>
        </w:r>
      </w:fldSimple>
      <w:r>
        <w:rPr>
          <w:szCs w:val="28"/>
        </w:rPr>
        <w:t xml:space="preserve"> –</w:t>
      </w:r>
      <w:r>
        <w:rPr>
          <w:rStyle w:val="af1"/>
        </w:rPr>
        <w:t xml:space="preserve"> Макет отчета «</w:t>
      </w:r>
      <w:r>
        <w:t xml:space="preserve">МО – </w:t>
      </w:r>
      <w:r w:rsidRPr="00052D8E">
        <w:t>Инфографика</w:t>
      </w:r>
      <w:r>
        <w:rPr>
          <w:rStyle w:val="af1"/>
        </w:rPr>
        <w:t>»</w:t>
      </w:r>
      <w:bookmarkEnd w:id="743"/>
    </w:p>
    <w:p w:rsidR="00642BDF" w:rsidRDefault="008F2BAC" w:rsidP="006D5A13">
      <w:pPr>
        <w:pStyle w:val="35"/>
        <w:rPr>
          <w:snapToGrid/>
        </w:rPr>
      </w:pPr>
      <w:bookmarkStart w:id="744" w:name="_Toc119585090"/>
      <w:r>
        <w:rPr>
          <w:snapToGrid/>
        </w:rPr>
        <w:t>О</w:t>
      </w:r>
      <w:r w:rsidR="00642BDF" w:rsidRPr="00446F95">
        <w:rPr>
          <w:snapToGrid/>
        </w:rPr>
        <w:t>тчет «Информация об исполнении бюджетов бюджетной системы Российской Федерации по национальным (федеральным) проектам»</w:t>
      </w:r>
      <w:r w:rsidR="006D5A13">
        <w:rPr>
          <w:snapToGrid/>
        </w:rPr>
        <w:t xml:space="preserve"> (</w:t>
      </w:r>
      <w:r w:rsidR="006D5A13" w:rsidRPr="006D5A13">
        <w:rPr>
          <w:snapToGrid/>
        </w:rPr>
        <w:t>PIAO_160_001_report</w:t>
      </w:r>
      <w:r w:rsidR="006D5A13">
        <w:rPr>
          <w:snapToGrid/>
        </w:rPr>
        <w:t>)</w:t>
      </w:r>
      <w:bookmarkEnd w:id="744"/>
    </w:p>
    <w:p w:rsidR="00642BDF" w:rsidRPr="000B4C41" w:rsidRDefault="00642BDF" w:rsidP="00642BDF">
      <w:pPr>
        <w:pStyle w:val="42"/>
        <w:rPr>
          <w:snapToGrid/>
        </w:rPr>
      </w:pPr>
      <w:r w:rsidRPr="000B4C41">
        <w:rPr>
          <w:snapToGrid/>
        </w:rPr>
        <w:t>Представление «НП по уровням бюджета»</w:t>
      </w:r>
    </w:p>
    <w:p w:rsidR="00642BDF" w:rsidRDefault="00642BDF" w:rsidP="00642BDF">
      <w:pPr>
        <w:pStyle w:val="af0"/>
      </w:pPr>
      <w:r w:rsidRPr="000B4C41">
        <w:t>Представление «НП по уровням бюджета» аналитического отчета «Информация об исполнении расходов всех уровней на реализацию национальных (федеральных) проектов» отобража</w:t>
      </w:r>
      <w:r w:rsidR="0010720D">
        <w:t>е</w:t>
      </w:r>
      <w:r w:rsidRPr="000B4C41">
        <w:t>т информацию в форме таблицы</w:t>
      </w:r>
      <w:r>
        <w:t xml:space="preserve"> и диаграммы</w:t>
      </w:r>
      <w:r w:rsidRPr="000B4C41">
        <w:t>.</w:t>
      </w:r>
    </w:p>
    <w:p w:rsidR="00642BDF" w:rsidRPr="000B4C41" w:rsidRDefault="00642BDF" w:rsidP="00642BDF">
      <w:pPr>
        <w:pStyle w:val="53"/>
      </w:pPr>
      <w:r w:rsidRPr="000B4C41">
        <w:t>Представление «НП по уровням бюджета»</w:t>
      </w:r>
      <w:r>
        <w:t xml:space="preserve"> - «Таблица»</w:t>
      </w:r>
    </w:p>
    <w:p w:rsidR="00642BDF" w:rsidRPr="000B4C41" w:rsidRDefault="00642BDF" w:rsidP="00642BDF">
      <w:pPr>
        <w:pStyle w:val="af0"/>
      </w:pPr>
      <w:r w:rsidRPr="000B4C41">
        <w:t>Параметры:</w:t>
      </w:r>
    </w:p>
    <w:p w:rsidR="00642BDF" w:rsidRPr="00874311" w:rsidRDefault="00642BDF" w:rsidP="00DE1661">
      <w:pPr>
        <w:pStyle w:val="13"/>
        <w:rPr>
          <w:snapToGrid/>
        </w:rPr>
      </w:pPr>
      <w:r w:rsidRPr="00874311">
        <w:rPr>
          <w:snapToGrid/>
        </w:rPr>
        <w:t>По состоянию на: Календарь с выбором даты отображаемых данных. По умолчанию отображается п</w:t>
      </w:r>
      <w:r>
        <w:rPr>
          <w:snapToGrid/>
        </w:rPr>
        <w:t>оследняя дата обновления данных.</w:t>
      </w:r>
    </w:p>
    <w:p w:rsidR="00642BDF" w:rsidRPr="00874311" w:rsidRDefault="00642BDF" w:rsidP="00DE1661">
      <w:pPr>
        <w:pStyle w:val="13"/>
        <w:rPr>
          <w:snapToGrid/>
        </w:rPr>
      </w:pPr>
      <w:r w:rsidRPr="00874311">
        <w:rPr>
          <w:snapToGrid/>
        </w:rPr>
        <w:t>Национальный (федеральный) проект: Выпадающий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w:t>
      </w:r>
      <w:r>
        <w:rPr>
          <w:snapToGrid/>
        </w:rPr>
        <w:t>нального (федерального) проекта.</w:t>
      </w:r>
    </w:p>
    <w:p w:rsidR="00642BDF" w:rsidRPr="00874311" w:rsidRDefault="00642BDF" w:rsidP="00DE1661">
      <w:pPr>
        <w:pStyle w:val="13"/>
        <w:rPr>
          <w:snapToGrid/>
        </w:rPr>
      </w:pPr>
      <w:r w:rsidRPr="00874311">
        <w:rPr>
          <w:snapToGrid/>
        </w:rPr>
        <w:t>Субъект РФ: Выпадающий список с множественным выбором. По умолчанию выводится значение «Все». В параметр выводим наименование территории. Возможность контекстного по</w:t>
      </w:r>
      <w:r>
        <w:rPr>
          <w:snapToGrid/>
        </w:rPr>
        <w:t>иска по наименованию территории.</w:t>
      </w:r>
    </w:p>
    <w:p w:rsidR="00642BDF" w:rsidRPr="00874311" w:rsidRDefault="00642BDF" w:rsidP="00DE1661">
      <w:pPr>
        <w:pStyle w:val="13"/>
        <w:rPr>
          <w:snapToGrid/>
        </w:rPr>
      </w:pPr>
      <w:r w:rsidRPr="00874311">
        <w:rPr>
          <w:snapToGrid/>
        </w:rPr>
        <w:t>КВР: Выпадающий иерархический список с множественным выбором. Выводятся код и наименование КВР. Возможность контекстного поиска по коду и наименованию КВР.</w:t>
      </w:r>
    </w:p>
    <w:p w:rsidR="00642BDF" w:rsidRPr="00874311" w:rsidRDefault="00642BDF" w:rsidP="00DE1661">
      <w:pPr>
        <w:pStyle w:val="13"/>
        <w:rPr>
          <w:snapToGrid/>
        </w:rPr>
      </w:pPr>
      <w:r w:rsidRPr="00874311">
        <w:rPr>
          <w:snapToGrid/>
        </w:rPr>
        <w:t>РЗПР: Выпадающий иерархический список с множественным выбором. Выводятся код и наименование РЗПР. Возможность контекстного поиска по коду и наименованию РЗПР.</w:t>
      </w:r>
    </w:p>
    <w:p w:rsidR="00642BDF" w:rsidRPr="00874311" w:rsidRDefault="00642BDF" w:rsidP="00DE1661">
      <w:pPr>
        <w:pStyle w:val="13"/>
        <w:rPr>
          <w:snapToGrid/>
        </w:rPr>
      </w:pPr>
      <w:r w:rsidRPr="00874311">
        <w:rPr>
          <w:snapToGrid/>
        </w:rPr>
        <w:t>КБК: Параметр с возможностью задания значения по маске, 20 знаков</w:t>
      </w:r>
      <w:r>
        <w:rPr>
          <w:snapToGrid/>
        </w:rPr>
        <w:t>.</w:t>
      </w:r>
    </w:p>
    <w:p w:rsidR="00642BDF" w:rsidRPr="00874311" w:rsidRDefault="00642BDF" w:rsidP="00DE1661">
      <w:pPr>
        <w:pStyle w:val="13"/>
        <w:rPr>
          <w:snapToGrid/>
        </w:rPr>
      </w:pPr>
      <w:r w:rsidRPr="00874311">
        <w:rPr>
          <w:snapToGrid/>
        </w:rPr>
        <w:t>Единицы измерения: Выпадающий список с выбором единиц измерения. Состоит из элементов: руб, тыс руб, млн руб, млрд руб.</w:t>
      </w:r>
    </w:p>
    <w:p w:rsidR="00642BDF" w:rsidRPr="00055D9E" w:rsidRDefault="00642BDF" w:rsidP="00642BDF">
      <w:pPr>
        <w:pStyle w:val="af0"/>
      </w:pPr>
      <w:r w:rsidRPr="00055D9E">
        <w:t>Наименования колонок:</w:t>
      </w:r>
    </w:p>
    <w:p w:rsidR="00642BDF" w:rsidRPr="00055D9E" w:rsidRDefault="00642BDF" w:rsidP="00DE1661">
      <w:pPr>
        <w:pStyle w:val="13"/>
        <w:rPr>
          <w:snapToGrid/>
        </w:rPr>
      </w:pPr>
      <w:r w:rsidRPr="00055D9E">
        <w:rPr>
          <w:snapToGrid/>
        </w:rPr>
        <w:t>Код;</w:t>
      </w:r>
    </w:p>
    <w:p w:rsidR="00642BDF" w:rsidRPr="00055D9E" w:rsidRDefault="00642BDF" w:rsidP="00DE1661">
      <w:pPr>
        <w:pStyle w:val="13"/>
        <w:rPr>
          <w:snapToGrid/>
        </w:rPr>
      </w:pPr>
      <w:r w:rsidRPr="00055D9E">
        <w:rPr>
          <w:snapToGrid/>
        </w:rPr>
        <w:t>Национальный (федеральный) проект;</w:t>
      </w:r>
    </w:p>
    <w:p w:rsidR="00642BDF" w:rsidRPr="00055D9E" w:rsidRDefault="00642BDF" w:rsidP="00DE1661">
      <w:pPr>
        <w:pStyle w:val="13"/>
        <w:rPr>
          <w:snapToGrid/>
        </w:rPr>
      </w:pPr>
      <w:r w:rsidRPr="00055D9E">
        <w:rPr>
          <w:snapToGrid/>
        </w:rPr>
        <w:t>Федеральный бюджет:</w:t>
      </w:r>
    </w:p>
    <w:p w:rsidR="00642BDF" w:rsidRPr="009C3300" w:rsidRDefault="00642BDF" w:rsidP="00642BDF">
      <w:pPr>
        <w:pStyle w:val="29"/>
      </w:pPr>
      <w:r w:rsidRPr="009C3300">
        <w:t>Роспись;</w:t>
      </w:r>
    </w:p>
    <w:p w:rsidR="00642BDF" w:rsidRPr="009C3300" w:rsidRDefault="00642BDF" w:rsidP="00642BDF">
      <w:pPr>
        <w:pStyle w:val="29"/>
      </w:pPr>
      <w:r w:rsidRPr="009C3300">
        <w:t>Доля проекта в общем объеме;</w:t>
      </w:r>
    </w:p>
    <w:p w:rsidR="00642BDF" w:rsidRPr="009C3300" w:rsidRDefault="00642BDF" w:rsidP="00642BDF">
      <w:pPr>
        <w:pStyle w:val="29"/>
      </w:pPr>
      <w:r w:rsidRPr="009C3300">
        <w:t>Доведенные ЛБО, Всего;</w:t>
      </w:r>
    </w:p>
    <w:p w:rsidR="00642BDF" w:rsidRPr="009C3300" w:rsidRDefault="00642BDF" w:rsidP="00642BDF">
      <w:pPr>
        <w:pStyle w:val="29"/>
      </w:pPr>
      <w:r w:rsidRPr="009C3300">
        <w:t>Доведенные ЛБО, из них контрактуемые;</w:t>
      </w:r>
    </w:p>
    <w:p w:rsidR="00642BDF" w:rsidRPr="009C3300" w:rsidRDefault="00642BDF" w:rsidP="00642BDF">
      <w:pPr>
        <w:pStyle w:val="29"/>
      </w:pPr>
      <w:r w:rsidRPr="009C3300">
        <w:t>% доведенных ЛБО от росписи;</w:t>
      </w:r>
    </w:p>
    <w:p w:rsidR="00642BDF" w:rsidRPr="009C3300" w:rsidRDefault="00642BDF" w:rsidP="00642BDF">
      <w:pPr>
        <w:pStyle w:val="29"/>
      </w:pPr>
      <w:r w:rsidRPr="009C3300">
        <w:t>Обязательства, Принятые БО;</w:t>
      </w:r>
    </w:p>
    <w:p w:rsidR="00642BDF" w:rsidRPr="009C3300" w:rsidRDefault="00642BDF" w:rsidP="00642BDF">
      <w:pPr>
        <w:pStyle w:val="29"/>
      </w:pPr>
      <w:r w:rsidRPr="009C3300">
        <w:t>Обязательства, Денежные обязательства;</w:t>
      </w:r>
    </w:p>
    <w:p w:rsidR="00642BDF" w:rsidRPr="009C3300" w:rsidRDefault="00642BDF" w:rsidP="00642BDF">
      <w:pPr>
        <w:pStyle w:val="29"/>
      </w:pPr>
      <w:r w:rsidRPr="009C3300">
        <w:t>Исполнение, Всего;</w:t>
      </w:r>
    </w:p>
    <w:p w:rsidR="00642BDF" w:rsidRPr="009C3300" w:rsidRDefault="00642BDF" w:rsidP="00642BDF">
      <w:pPr>
        <w:pStyle w:val="29"/>
      </w:pPr>
      <w:r w:rsidRPr="009C3300">
        <w:t>Исполнение, из них контрактуемые;</w:t>
      </w:r>
    </w:p>
    <w:p w:rsidR="00642BDF" w:rsidRPr="009C3300" w:rsidRDefault="00642BDF" w:rsidP="00642BDF">
      <w:pPr>
        <w:pStyle w:val="29"/>
      </w:pPr>
      <w:r w:rsidRPr="009C3300">
        <w:t>Исполнение, из них межбюджетные трансферты;</w:t>
      </w:r>
    </w:p>
    <w:p w:rsidR="00642BDF" w:rsidRPr="009C3300" w:rsidRDefault="00642BDF" w:rsidP="00642BDF">
      <w:pPr>
        <w:pStyle w:val="29"/>
      </w:pPr>
      <w:r w:rsidRPr="009C3300">
        <w:t>% исполнения росписи;</w:t>
      </w:r>
    </w:p>
    <w:p w:rsidR="00642BDF" w:rsidRPr="009C3300" w:rsidRDefault="00642BDF" w:rsidP="00642BDF">
      <w:pPr>
        <w:pStyle w:val="29"/>
      </w:pPr>
      <w:r w:rsidRPr="009C3300">
        <w:t>% исполнения доведенных ЛБО;</w:t>
      </w:r>
    </w:p>
    <w:p w:rsidR="00642BDF" w:rsidRPr="009C3300" w:rsidRDefault="00642BDF" w:rsidP="00642BDF">
      <w:pPr>
        <w:pStyle w:val="29"/>
      </w:pPr>
      <w:r w:rsidRPr="009C3300">
        <w:t>% исполнения контрактуемых ЛБО;</w:t>
      </w:r>
    </w:p>
    <w:p w:rsidR="00642BDF" w:rsidRPr="009C3300" w:rsidRDefault="00642BDF" w:rsidP="00642BDF">
      <w:pPr>
        <w:pStyle w:val="29"/>
      </w:pPr>
      <w:r w:rsidRPr="009C3300">
        <w:t>% контрактации;</w:t>
      </w:r>
    </w:p>
    <w:p w:rsidR="00642BDF" w:rsidRPr="009C3300" w:rsidRDefault="00642BDF" w:rsidP="00DE1661">
      <w:pPr>
        <w:pStyle w:val="13"/>
        <w:rPr>
          <w:snapToGrid/>
          <w:shd w:val="clear" w:color="auto" w:fill="FFFFFF"/>
        </w:rPr>
      </w:pPr>
      <w:r w:rsidRPr="009C3300">
        <w:rPr>
          <w:snapToGrid/>
          <w:shd w:val="clear" w:color="auto" w:fill="FFFFFF"/>
        </w:rPr>
        <w:t>Бюджеты субъектов РФ:</w:t>
      </w:r>
    </w:p>
    <w:p w:rsidR="00642BDF" w:rsidRPr="0084350E" w:rsidRDefault="00642BDF" w:rsidP="00642BDF">
      <w:pPr>
        <w:pStyle w:val="29"/>
        <w:rPr>
          <w:snapToGrid/>
        </w:rPr>
      </w:pPr>
      <w:r w:rsidRPr="0084350E">
        <w:rPr>
          <w:snapToGrid/>
        </w:rPr>
        <w:t>Роспись;</w:t>
      </w:r>
    </w:p>
    <w:p w:rsidR="00642BDF" w:rsidRPr="0084350E" w:rsidRDefault="00642BDF" w:rsidP="00642BDF">
      <w:pPr>
        <w:pStyle w:val="29"/>
        <w:rPr>
          <w:snapToGrid/>
        </w:rPr>
      </w:pPr>
      <w:r w:rsidRPr="0084350E">
        <w:rPr>
          <w:snapToGrid/>
        </w:rPr>
        <w:t>Исполнено, Всего;</w:t>
      </w:r>
    </w:p>
    <w:p w:rsidR="00642BDF" w:rsidRPr="0084350E" w:rsidRDefault="00642BDF" w:rsidP="00642BDF">
      <w:pPr>
        <w:pStyle w:val="29"/>
        <w:rPr>
          <w:snapToGrid/>
        </w:rPr>
      </w:pPr>
      <w:r w:rsidRPr="0084350E">
        <w:rPr>
          <w:snapToGrid/>
        </w:rPr>
        <w:t>Исполнено, из них контрактуемые;</w:t>
      </w:r>
    </w:p>
    <w:p w:rsidR="00642BDF" w:rsidRPr="0084350E" w:rsidRDefault="00642BDF" w:rsidP="00642BDF">
      <w:pPr>
        <w:pStyle w:val="29"/>
        <w:rPr>
          <w:snapToGrid/>
        </w:rPr>
      </w:pPr>
      <w:r w:rsidRPr="0084350E">
        <w:rPr>
          <w:snapToGrid/>
        </w:rPr>
        <w:t>Исполнено, из них межбюджетные трансферты;</w:t>
      </w:r>
    </w:p>
    <w:p w:rsidR="00642BDF" w:rsidRPr="0084350E" w:rsidRDefault="00642BDF" w:rsidP="00642BDF">
      <w:pPr>
        <w:pStyle w:val="29"/>
        <w:rPr>
          <w:snapToGrid/>
        </w:rPr>
      </w:pPr>
      <w:r w:rsidRPr="0084350E">
        <w:rPr>
          <w:snapToGrid/>
        </w:rPr>
        <w:t>% исполнения росписи;</w:t>
      </w:r>
    </w:p>
    <w:p w:rsidR="00642BDF" w:rsidRPr="009C3300" w:rsidRDefault="00642BDF" w:rsidP="00DE1661">
      <w:pPr>
        <w:pStyle w:val="13"/>
        <w:rPr>
          <w:snapToGrid/>
          <w:shd w:val="clear" w:color="auto" w:fill="FFFFFF"/>
        </w:rPr>
      </w:pPr>
      <w:r w:rsidRPr="009C3300">
        <w:rPr>
          <w:snapToGrid/>
          <w:shd w:val="clear" w:color="auto" w:fill="FFFFFF"/>
        </w:rPr>
        <w:t>Местные бюджеты:</w:t>
      </w:r>
    </w:p>
    <w:p w:rsidR="00642BDF" w:rsidRPr="00314CFB" w:rsidRDefault="00642BDF" w:rsidP="00642BDF">
      <w:pPr>
        <w:pStyle w:val="29"/>
        <w:rPr>
          <w:snapToGrid/>
        </w:rPr>
      </w:pPr>
      <w:r w:rsidRPr="00314CFB">
        <w:rPr>
          <w:snapToGrid/>
        </w:rPr>
        <w:t>Роспись;</w:t>
      </w:r>
    </w:p>
    <w:p w:rsidR="00642BDF" w:rsidRPr="00314CFB" w:rsidRDefault="00642BDF" w:rsidP="00642BDF">
      <w:pPr>
        <w:pStyle w:val="29"/>
        <w:rPr>
          <w:snapToGrid/>
        </w:rPr>
      </w:pPr>
      <w:r w:rsidRPr="00314CFB">
        <w:rPr>
          <w:snapToGrid/>
        </w:rPr>
        <w:t>Исполнено, Всего;</w:t>
      </w:r>
    </w:p>
    <w:p w:rsidR="00642BDF" w:rsidRPr="00314CFB" w:rsidRDefault="00642BDF" w:rsidP="00642BDF">
      <w:pPr>
        <w:pStyle w:val="29"/>
        <w:rPr>
          <w:snapToGrid/>
        </w:rPr>
      </w:pPr>
      <w:r w:rsidRPr="00314CFB">
        <w:rPr>
          <w:snapToGrid/>
        </w:rPr>
        <w:t>Исполнено, из них контрактуемые;</w:t>
      </w:r>
    </w:p>
    <w:p w:rsidR="00642BDF" w:rsidRPr="00314CFB" w:rsidRDefault="00642BDF" w:rsidP="00642BDF">
      <w:pPr>
        <w:pStyle w:val="29"/>
        <w:rPr>
          <w:snapToGrid/>
        </w:rPr>
      </w:pPr>
      <w:r w:rsidRPr="00314CFB">
        <w:rPr>
          <w:snapToGrid/>
        </w:rPr>
        <w:t>% исполнения росписи;</w:t>
      </w:r>
    </w:p>
    <w:p w:rsidR="00642BDF" w:rsidRDefault="00642BDF" w:rsidP="00DE1661">
      <w:pPr>
        <w:pStyle w:val="13"/>
      </w:pPr>
      <w:r>
        <w:t>ПФР:</w:t>
      </w:r>
    </w:p>
    <w:p w:rsidR="00642BDF" w:rsidRPr="009C3300" w:rsidRDefault="00642BDF" w:rsidP="00642BDF">
      <w:pPr>
        <w:pStyle w:val="29"/>
      </w:pPr>
      <w:r w:rsidRPr="009C3300">
        <w:t>Роспись;</w:t>
      </w:r>
    </w:p>
    <w:p w:rsidR="00642BDF" w:rsidRPr="009C3300" w:rsidRDefault="00642BDF" w:rsidP="00642BDF">
      <w:pPr>
        <w:pStyle w:val="29"/>
      </w:pPr>
      <w:r w:rsidRPr="009C3300">
        <w:t>Исполнено, Всего;</w:t>
      </w:r>
    </w:p>
    <w:p w:rsidR="00642BDF" w:rsidRPr="009C3300" w:rsidRDefault="00642BDF" w:rsidP="00642BDF">
      <w:pPr>
        <w:pStyle w:val="29"/>
      </w:pPr>
      <w:r w:rsidRPr="009C3300">
        <w:t>Исполнено, из них контрактуемые;</w:t>
      </w:r>
    </w:p>
    <w:p w:rsidR="00642BDF" w:rsidRPr="009C3300" w:rsidRDefault="00642BDF" w:rsidP="00642BDF">
      <w:pPr>
        <w:pStyle w:val="29"/>
      </w:pPr>
      <w:r w:rsidRPr="009C3300">
        <w:t>% исполнения росписи;</w:t>
      </w:r>
    </w:p>
    <w:p w:rsidR="00642BDF" w:rsidRPr="009C3300" w:rsidRDefault="00642BDF" w:rsidP="00DE1661">
      <w:pPr>
        <w:pStyle w:val="13"/>
        <w:rPr>
          <w:shd w:val="clear" w:color="auto" w:fill="FFFFFF"/>
        </w:rPr>
      </w:pPr>
      <w:r w:rsidRPr="009C3300">
        <w:rPr>
          <w:shd w:val="clear" w:color="auto" w:fill="FFFFFF"/>
        </w:rPr>
        <w:t>ФСС:</w:t>
      </w:r>
    </w:p>
    <w:p w:rsidR="00642BDF" w:rsidRPr="009C3300" w:rsidRDefault="00642BDF" w:rsidP="00642BDF">
      <w:pPr>
        <w:pStyle w:val="29"/>
      </w:pPr>
      <w:r w:rsidRPr="009C3300">
        <w:t>Роспись;</w:t>
      </w:r>
    </w:p>
    <w:p w:rsidR="00642BDF" w:rsidRPr="009C3300" w:rsidRDefault="00642BDF" w:rsidP="00642BDF">
      <w:pPr>
        <w:pStyle w:val="29"/>
      </w:pPr>
      <w:r w:rsidRPr="009C3300">
        <w:t>Исполнено, Всего;</w:t>
      </w:r>
    </w:p>
    <w:p w:rsidR="00642BDF" w:rsidRPr="009C3300" w:rsidRDefault="00642BDF" w:rsidP="00642BDF">
      <w:pPr>
        <w:pStyle w:val="29"/>
      </w:pPr>
      <w:r w:rsidRPr="009C3300">
        <w:t>Исполнено, из них контрактуемые;</w:t>
      </w:r>
    </w:p>
    <w:p w:rsidR="00642BDF" w:rsidRPr="009C3300" w:rsidRDefault="00642BDF" w:rsidP="00642BDF">
      <w:pPr>
        <w:pStyle w:val="29"/>
      </w:pPr>
      <w:r w:rsidRPr="009C3300">
        <w:t>% исполнения росписи;</w:t>
      </w:r>
    </w:p>
    <w:p w:rsidR="00642BDF" w:rsidRPr="009C3300" w:rsidRDefault="00642BDF" w:rsidP="00DE1661">
      <w:pPr>
        <w:pStyle w:val="13"/>
        <w:rPr>
          <w:shd w:val="clear" w:color="auto" w:fill="FFFFFF"/>
        </w:rPr>
      </w:pPr>
      <w:r w:rsidRPr="009C3300">
        <w:rPr>
          <w:shd w:val="clear" w:color="auto" w:fill="FFFFFF"/>
        </w:rPr>
        <w:t>ФОМС:</w:t>
      </w:r>
    </w:p>
    <w:p w:rsidR="00642BDF" w:rsidRPr="009C3300" w:rsidRDefault="00642BDF" w:rsidP="00642BDF">
      <w:pPr>
        <w:pStyle w:val="29"/>
      </w:pPr>
      <w:r w:rsidRPr="009C3300">
        <w:t>Роспись;</w:t>
      </w:r>
    </w:p>
    <w:p w:rsidR="00642BDF" w:rsidRPr="009C3300" w:rsidRDefault="00642BDF" w:rsidP="00642BDF">
      <w:pPr>
        <w:pStyle w:val="29"/>
      </w:pPr>
      <w:r w:rsidRPr="009C3300">
        <w:t>Исполнено, Всего;</w:t>
      </w:r>
    </w:p>
    <w:p w:rsidR="00642BDF" w:rsidRPr="009C3300" w:rsidRDefault="00642BDF" w:rsidP="00642BDF">
      <w:pPr>
        <w:pStyle w:val="29"/>
      </w:pPr>
      <w:r w:rsidRPr="009C3300">
        <w:t>Исполнено, из них контрактуемые;</w:t>
      </w:r>
    </w:p>
    <w:p w:rsidR="00642BDF" w:rsidRPr="009C3300" w:rsidRDefault="00642BDF" w:rsidP="00642BDF">
      <w:pPr>
        <w:pStyle w:val="29"/>
      </w:pPr>
      <w:r w:rsidRPr="009C3300">
        <w:t>Исполнено, из них межбюджетные трансферты;</w:t>
      </w:r>
    </w:p>
    <w:p w:rsidR="00642BDF" w:rsidRPr="009C3300" w:rsidRDefault="00642BDF" w:rsidP="00642BDF">
      <w:pPr>
        <w:pStyle w:val="29"/>
      </w:pPr>
      <w:r w:rsidRPr="009C3300">
        <w:t>% исполнения росписи;</w:t>
      </w:r>
    </w:p>
    <w:p w:rsidR="00642BDF" w:rsidRPr="009C3300" w:rsidRDefault="00642BDF" w:rsidP="00DE1661">
      <w:pPr>
        <w:pStyle w:val="13"/>
        <w:rPr>
          <w:shd w:val="clear" w:color="auto" w:fill="FFFFFF"/>
        </w:rPr>
      </w:pPr>
      <w:r w:rsidRPr="009C3300">
        <w:rPr>
          <w:shd w:val="clear" w:color="auto" w:fill="FFFFFF"/>
        </w:rPr>
        <w:t>ТФОМС:</w:t>
      </w:r>
    </w:p>
    <w:p w:rsidR="00642BDF" w:rsidRPr="009C3300" w:rsidRDefault="00642BDF" w:rsidP="00642BDF">
      <w:pPr>
        <w:pStyle w:val="29"/>
      </w:pPr>
      <w:r w:rsidRPr="009C3300">
        <w:t>Роспись;</w:t>
      </w:r>
    </w:p>
    <w:p w:rsidR="00642BDF" w:rsidRPr="009C3300" w:rsidRDefault="00642BDF" w:rsidP="00642BDF">
      <w:pPr>
        <w:pStyle w:val="29"/>
      </w:pPr>
      <w:r w:rsidRPr="009C3300">
        <w:t>Исполнение, Всего;</w:t>
      </w:r>
    </w:p>
    <w:p w:rsidR="00642BDF" w:rsidRPr="009C3300" w:rsidRDefault="00642BDF" w:rsidP="00642BDF">
      <w:pPr>
        <w:pStyle w:val="29"/>
      </w:pPr>
      <w:r w:rsidRPr="009C3300">
        <w:t>Исполнение, из них контрактуемые.</w:t>
      </w:r>
    </w:p>
    <w:p w:rsidR="00642BDF" w:rsidRPr="009C3300" w:rsidRDefault="00642BDF" w:rsidP="00642BDF">
      <w:pPr>
        <w:pStyle w:val="29"/>
      </w:pPr>
      <w:r w:rsidRPr="009C3300">
        <w:t>% исполнения росписи.</w:t>
      </w:r>
    </w:p>
    <w:p w:rsidR="00642BDF" w:rsidRDefault="00642BDF" w:rsidP="00642BDF">
      <w:pPr>
        <w:pStyle w:val="29"/>
        <w:numPr>
          <w:ilvl w:val="0"/>
          <w:numId w:val="0"/>
        </w:numPr>
        <w:spacing w:before="0" w:after="0"/>
        <w:ind w:left="1792"/>
        <w:rPr>
          <w:snapToGrid/>
          <w:szCs w:val="28"/>
        </w:rPr>
      </w:pPr>
    </w:p>
    <w:p w:rsidR="00642BDF" w:rsidRPr="00DE449F" w:rsidRDefault="00642BDF" w:rsidP="00642BDF">
      <w:pPr>
        <w:pStyle w:val="-0"/>
      </w:pPr>
      <w:r>
        <w:rPr>
          <w:noProof/>
          <w:snapToGrid/>
        </w:rPr>
        <w:drawing>
          <wp:inline distT="0" distB="0" distL="0" distR="0" wp14:anchorId="5DBF485E" wp14:editId="0E482999">
            <wp:extent cx="6019800" cy="2314575"/>
            <wp:effectExtent l="0" t="0" r="0" b="9525"/>
            <wp:docPr id="167" name="Рисунок 2"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аблица"/>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6019800" cy="2314575"/>
                    </a:xfrm>
                    <a:prstGeom prst="rect">
                      <a:avLst/>
                    </a:prstGeom>
                    <a:noFill/>
                    <a:ln>
                      <a:noFill/>
                    </a:ln>
                  </pic:spPr>
                </pic:pic>
              </a:graphicData>
            </a:graphic>
          </wp:inline>
        </w:drawing>
      </w:r>
    </w:p>
    <w:p w:rsidR="00642BDF" w:rsidRDefault="00642BDF" w:rsidP="00642BDF">
      <w:pPr>
        <w:pStyle w:val="-0"/>
      </w:pPr>
      <w:bookmarkStart w:id="745" w:name="_Toc80802746"/>
      <w:bookmarkStart w:id="746" w:name="_Toc119584365"/>
      <w:r>
        <w:t xml:space="preserve">Рисунок </w:t>
      </w:r>
      <w:fldSimple w:instr=" SEQ Рисунок \* ARABIC ">
        <w:r w:rsidR="001860A9">
          <w:rPr>
            <w:noProof/>
          </w:rPr>
          <w:t>178</w:t>
        </w:r>
      </w:fldSimple>
      <w:r w:rsidRPr="00DE449F">
        <w:t xml:space="preserve"> </w:t>
      </w:r>
      <w:r>
        <w:t xml:space="preserve">– </w:t>
      </w:r>
      <w:r w:rsidRPr="00DE449F">
        <w:t>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«НП по уровням бюджета»</w:t>
      </w:r>
      <w:bookmarkEnd w:id="745"/>
      <w:bookmarkEnd w:id="746"/>
    </w:p>
    <w:p w:rsidR="00642BDF" w:rsidRDefault="00642BDF" w:rsidP="00642BDF">
      <w:pPr>
        <w:pStyle w:val="53"/>
      </w:pPr>
      <w:r w:rsidRPr="000B4C41">
        <w:t>Представление «НП по уровням бюджета»</w:t>
      </w:r>
      <w:r>
        <w:t xml:space="preserve"> - «Диаграмма»</w:t>
      </w:r>
    </w:p>
    <w:p w:rsidR="00642BDF" w:rsidRPr="00992A34" w:rsidRDefault="00642BDF" w:rsidP="00642BDF">
      <w:pPr>
        <w:pStyle w:val="af0"/>
      </w:pPr>
      <w:r w:rsidRPr="00992A34">
        <w:t>Представление «</w:t>
      </w:r>
      <w:r w:rsidRPr="000B4C41">
        <w:rPr>
          <w:bCs/>
          <w:snapToGrid/>
          <w:sz w:val="30"/>
        </w:rPr>
        <w:t>НП по уровням бюджета</w:t>
      </w:r>
      <w:r w:rsidRPr="00992A34">
        <w:t xml:space="preserve">» - «Диаграмма» реализовано в виде гистограммы, отображающая суммы по </w:t>
      </w:r>
      <w:r>
        <w:t>национальным и федеральным проектам</w:t>
      </w:r>
      <w:r w:rsidRPr="00992A34">
        <w:t xml:space="preserve"> и по выбранному показателю в параметре «Показатель».</w:t>
      </w:r>
    </w:p>
    <w:p w:rsidR="00642BDF" w:rsidRDefault="00642BDF" w:rsidP="00642BDF">
      <w:pPr>
        <w:pStyle w:val="af0"/>
        <w:rPr>
          <w:szCs w:val="24"/>
        </w:rPr>
      </w:pPr>
      <w:r w:rsidRPr="00FC4E2D">
        <w:t>Параметры (визуальные фильтры):</w:t>
      </w:r>
    </w:p>
    <w:p w:rsidR="00642BDF" w:rsidRPr="00D7695D" w:rsidRDefault="00642BDF" w:rsidP="00DE1661">
      <w:pPr>
        <w:pStyle w:val="13"/>
        <w:rPr>
          <w:snapToGrid/>
        </w:rPr>
      </w:pPr>
      <w:r w:rsidRPr="00D7695D">
        <w:rPr>
          <w:snapToGrid/>
        </w:rPr>
        <w:t>По состоянию на;</w:t>
      </w:r>
    </w:p>
    <w:p w:rsidR="00642BDF" w:rsidRPr="00D7695D" w:rsidRDefault="00642BDF" w:rsidP="00DE1661">
      <w:pPr>
        <w:pStyle w:val="13"/>
        <w:rPr>
          <w:snapToGrid/>
        </w:rPr>
      </w:pPr>
      <w:r w:rsidRPr="00D7695D">
        <w:rPr>
          <w:snapToGrid/>
        </w:rPr>
        <w:t>Национальный (федеральный) проект;</w:t>
      </w:r>
    </w:p>
    <w:p w:rsidR="00642BDF" w:rsidRPr="00D7695D" w:rsidRDefault="00642BDF" w:rsidP="00DE1661">
      <w:pPr>
        <w:pStyle w:val="13"/>
        <w:rPr>
          <w:snapToGrid/>
        </w:rPr>
      </w:pPr>
      <w:r w:rsidRPr="00D7695D">
        <w:rPr>
          <w:snapToGrid/>
        </w:rPr>
        <w:t>Субъект РФ;</w:t>
      </w:r>
    </w:p>
    <w:p w:rsidR="00642BDF" w:rsidRPr="00F76FEC" w:rsidRDefault="00642BDF" w:rsidP="00DE1661">
      <w:pPr>
        <w:pStyle w:val="13"/>
        <w:rPr>
          <w:snapToGrid/>
        </w:rPr>
      </w:pPr>
      <w:r w:rsidRPr="00F76FEC">
        <w:rPr>
          <w:snapToGrid/>
        </w:rPr>
        <w:t xml:space="preserve">КВР; </w:t>
      </w:r>
    </w:p>
    <w:p w:rsidR="00642BDF" w:rsidRPr="00F76FEC" w:rsidRDefault="00642BDF" w:rsidP="00DE1661">
      <w:pPr>
        <w:pStyle w:val="13"/>
        <w:rPr>
          <w:snapToGrid/>
        </w:rPr>
      </w:pPr>
      <w:r w:rsidRPr="00F76FEC">
        <w:rPr>
          <w:snapToGrid/>
        </w:rPr>
        <w:t>РЗПР;</w:t>
      </w:r>
    </w:p>
    <w:p w:rsidR="00642BDF" w:rsidRPr="00F76FEC" w:rsidRDefault="00642BDF" w:rsidP="00DE1661">
      <w:pPr>
        <w:pStyle w:val="13"/>
        <w:rPr>
          <w:snapToGrid/>
        </w:rPr>
      </w:pPr>
      <w:r w:rsidRPr="00F76FEC">
        <w:rPr>
          <w:snapToGrid/>
        </w:rPr>
        <w:t>КБК;</w:t>
      </w:r>
    </w:p>
    <w:p w:rsidR="00642BDF" w:rsidRPr="00F76FEC" w:rsidRDefault="00642BDF" w:rsidP="00DE1661">
      <w:pPr>
        <w:pStyle w:val="13"/>
        <w:rPr>
          <w:snapToGrid/>
        </w:rPr>
      </w:pPr>
      <w:r w:rsidRPr="00F76FEC">
        <w:rPr>
          <w:snapToGrid/>
        </w:rPr>
        <w:t>Показатель:</w:t>
      </w:r>
      <w:r>
        <w:rPr>
          <w:snapToGrid/>
        </w:rPr>
        <w:t xml:space="preserve"> </w:t>
      </w:r>
      <w:r w:rsidRPr="00F76FEC">
        <w:rPr>
          <w:snapToGrid/>
        </w:rPr>
        <w:t xml:space="preserve">Параметр со значениями, аналогичными значениям в представлении </w:t>
      </w:r>
      <w:r w:rsidRPr="00F76FEC">
        <w:rPr>
          <w:lang w:eastAsia="x-none"/>
        </w:rPr>
        <w:t>«</w:t>
      </w:r>
      <w:r w:rsidRPr="00F76FEC">
        <w:rPr>
          <w:bCs/>
          <w:snapToGrid/>
          <w:sz w:val="30"/>
        </w:rPr>
        <w:t>НП по уровням бюджета</w:t>
      </w:r>
      <w:r w:rsidRPr="00F76FEC">
        <w:rPr>
          <w:lang w:eastAsia="x-none"/>
        </w:rPr>
        <w:t>» - «Таблица»</w:t>
      </w:r>
    </w:p>
    <w:p w:rsidR="00642BDF" w:rsidRPr="00F76FEC" w:rsidRDefault="00642BDF" w:rsidP="00DE1661">
      <w:pPr>
        <w:pStyle w:val="13"/>
        <w:rPr>
          <w:snapToGrid/>
        </w:rPr>
      </w:pPr>
      <w:r>
        <w:rPr>
          <w:snapToGrid/>
        </w:rPr>
        <w:t>Единицы измерения;</w:t>
      </w:r>
    </w:p>
    <w:p w:rsidR="00642BDF" w:rsidRPr="00D7695D" w:rsidRDefault="00642BDF" w:rsidP="00DE1661">
      <w:pPr>
        <w:pStyle w:val="13"/>
        <w:rPr>
          <w:snapToGrid/>
        </w:rPr>
      </w:pPr>
      <w:r>
        <w:rPr>
          <w:snapToGrid/>
        </w:rPr>
        <w:t>Сортировка:</w:t>
      </w:r>
    </w:p>
    <w:p w:rsidR="00642BDF" w:rsidRPr="00957BA2" w:rsidRDefault="00642BDF" w:rsidP="00642BDF">
      <w:pPr>
        <w:pStyle w:val="29"/>
        <w:rPr>
          <w:snapToGrid/>
          <w:sz w:val="30"/>
        </w:rPr>
      </w:pPr>
      <w:r w:rsidRPr="00957BA2">
        <w:rPr>
          <w:snapToGrid/>
          <w:sz w:val="30"/>
        </w:rPr>
        <w:t>По значению (Значение по умолчанию) / По коду национального (федерального) проекта. / По наименованию национального (федерального) проекта;</w:t>
      </w:r>
    </w:p>
    <w:p w:rsidR="00642BDF" w:rsidRPr="00957BA2" w:rsidRDefault="00642BDF" w:rsidP="00642BDF">
      <w:pPr>
        <w:pStyle w:val="29"/>
        <w:rPr>
          <w:sz w:val="30"/>
          <w:lang w:eastAsia="x-none"/>
        </w:rPr>
      </w:pPr>
      <w:r w:rsidRPr="00957BA2">
        <w:rPr>
          <w:snapToGrid/>
          <w:sz w:val="30"/>
        </w:rPr>
        <w:t>По убыванию (значение по умолчанию) / По возрастанию.</w:t>
      </w:r>
    </w:p>
    <w:p w:rsidR="00642BDF" w:rsidRPr="00957BA2" w:rsidRDefault="00642BDF" w:rsidP="00DE1661">
      <w:pPr>
        <w:pStyle w:val="13"/>
        <w:rPr>
          <w:snapToGrid/>
          <w:szCs w:val="28"/>
          <w:shd w:val="clear" w:color="auto" w:fill="FFFFFF"/>
        </w:rPr>
      </w:pPr>
      <w:r w:rsidRPr="00957BA2">
        <w:rPr>
          <w:shd w:val="clear" w:color="auto" w:fill="FFFFFF"/>
        </w:rPr>
        <w:t>Показать на диаграмме</w:t>
      </w:r>
      <w:r w:rsidRPr="00957BA2">
        <w:rPr>
          <w:snapToGrid/>
          <w:szCs w:val="28"/>
          <w:shd w:val="clear" w:color="auto" w:fill="FFFFFF"/>
        </w:rPr>
        <w:t>:</w:t>
      </w:r>
    </w:p>
    <w:p w:rsidR="00642BDF" w:rsidRPr="00957BA2" w:rsidRDefault="00642BDF" w:rsidP="00642BDF">
      <w:pPr>
        <w:pStyle w:val="29"/>
        <w:rPr>
          <w:sz w:val="30"/>
          <w:lang w:eastAsia="x-none"/>
        </w:rPr>
      </w:pPr>
      <w:r w:rsidRPr="00957BA2">
        <w:rPr>
          <w:sz w:val="30"/>
          <w:lang w:val="en-US" w:eastAsia="x-none"/>
        </w:rPr>
        <w:t>CHECKBOX</w:t>
      </w:r>
      <w:r w:rsidRPr="00957BA2">
        <w:rPr>
          <w:sz w:val="30"/>
          <w:lang w:eastAsia="x-none"/>
        </w:rPr>
        <w:t xml:space="preserve"> «Только по национальным проектам», </w:t>
      </w:r>
      <w:r w:rsidRPr="00957BA2">
        <w:rPr>
          <w:sz w:val="30"/>
        </w:rPr>
        <w:t>при выборе которого отображаются данные только по национальным проектам.</w:t>
      </w:r>
      <w:r w:rsidRPr="00957BA2">
        <w:rPr>
          <w:sz w:val="30"/>
          <w:lang w:eastAsia="x-none"/>
        </w:rPr>
        <w:t xml:space="preserve"> </w:t>
      </w:r>
      <w:r w:rsidRPr="00957BA2">
        <w:rPr>
          <w:sz w:val="30"/>
        </w:rPr>
        <w:t>Если параметр не задан, выводятся данные по национальным и федеральным проектам.</w:t>
      </w:r>
    </w:p>
    <w:p w:rsidR="00642BDF" w:rsidRPr="00C601D1" w:rsidRDefault="00642BDF" w:rsidP="00642BDF">
      <w:pPr>
        <w:pStyle w:val="af0"/>
      </w:pPr>
      <w:r w:rsidRPr="00C601D1">
        <w:t>Разработано два представления с информацией по национальным и федеральным проектам «Топ 10» и «Все».</w:t>
      </w:r>
    </w:p>
    <w:p w:rsidR="00642BDF" w:rsidRPr="00C601D1" w:rsidRDefault="00642BDF" w:rsidP="00642BDF">
      <w:pPr>
        <w:pStyle w:val="af0"/>
      </w:pPr>
      <w:r w:rsidRPr="00C601D1">
        <w:t>По умолчанию открывается диаграмма «ТОП 10» с десятью национальными и федеральными проектами с максимальными или минимальными значениями по показателю, выбранному в параметре «Показатель».</w:t>
      </w:r>
    </w:p>
    <w:p w:rsidR="00642BDF" w:rsidRDefault="00642BDF" w:rsidP="00642BDF">
      <w:pPr>
        <w:pStyle w:val="af0"/>
      </w:pPr>
      <w:r w:rsidRPr="00C601D1">
        <w:t>Представление «</w:t>
      </w:r>
      <w:r w:rsidRPr="000B4C41">
        <w:rPr>
          <w:bCs/>
          <w:snapToGrid/>
          <w:sz w:val="30"/>
        </w:rPr>
        <w:t>НП по уровням бюджета</w:t>
      </w:r>
      <w:r w:rsidRPr="00C601D1">
        <w:t>» - «Диаграмма» - «Все» реализовано в виде гистограммы, отображающая суммы по всем национальным / федеральным проектам и по выбранному показателю в параметре «Показатель».</w:t>
      </w:r>
    </w:p>
    <w:p w:rsidR="00642BDF" w:rsidRPr="00D7695D" w:rsidRDefault="00642BDF" w:rsidP="00642BDF">
      <w:pPr>
        <w:pStyle w:val="-0"/>
      </w:pPr>
      <w:r>
        <w:rPr>
          <w:noProof/>
          <w:snapToGrid/>
        </w:rPr>
        <w:drawing>
          <wp:inline distT="0" distB="0" distL="0" distR="0" wp14:anchorId="01709832" wp14:editId="578B5FD3">
            <wp:extent cx="6029325" cy="2209800"/>
            <wp:effectExtent l="0" t="0" r="9525" b="0"/>
            <wp:docPr id="166" name="Рисунок 3" descr="диаграм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аграмма"/>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6029325" cy="2209800"/>
                    </a:xfrm>
                    <a:prstGeom prst="rect">
                      <a:avLst/>
                    </a:prstGeom>
                    <a:noFill/>
                    <a:ln>
                      <a:noFill/>
                    </a:ln>
                  </pic:spPr>
                </pic:pic>
              </a:graphicData>
            </a:graphic>
          </wp:inline>
        </w:drawing>
      </w:r>
    </w:p>
    <w:p w:rsidR="00642BDF" w:rsidRPr="00D7695D" w:rsidRDefault="00642BDF" w:rsidP="00642BDF">
      <w:pPr>
        <w:pStyle w:val="-0"/>
      </w:pPr>
      <w:bookmarkStart w:id="747" w:name="_Toc80802747"/>
      <w:bookmarkStart w:id="748" w:name="_Toc119584366"/>
      <w:r>
        <w:t xml:space="preserve">Рисунок </w:t>
      </w:r>
      <w:fldSimple w:instr=" SEQ Рисунок \* ARABIC ">
        <w:r w:rsidR="001860A9">
          <w:rPr>
            <w:noProof/>
          </w:rPr>
          <w:t>179</w:t>
        </w:r>
      </w:fldSimple>
      <w:r>
        <w:t xml:space="preserve"> –</w:t>
      </w:r>
      <w:r w:rsidRPr="00D7695D">
        <w:t xml:space="preserve"> Макет аналитического отчета «</w:t>
      </w:r>
      <w:r w:rsidRPr="00DE449F">
        <w:t>Информация об исполнении бюджетов бюджетной системы Российской Федерации по национальным (федеральным) проектам</w:t>
      </w:r>
      <w:r w:rsidRPr="00D7695D">
        <w:t>». Представление «</w:t>
      </w:r>
      <w:r w:rsidRPr="000B4C41">
        <w:rPr>
          <w:snapToGrid/>
          <w:sz w:val="30"/>
        </w:rPr>
        <w:t>НП по уровням бюджета</w:t>
      </w:r>
      <w:r w:rsidRPr="00D7695D">
        <w:t>» - «Диаграмма»</w:t>
      </w:r>
      <w:bookmarkEnd w:id="747"/>
      <w:bookmarkEnd w:id="748"/>
    </w:p>
    <w:p w:rsidR="00642BDF" w:rsidRPr="000B4C41" w:rsidRDefault="00642BDF" w:rsidP="00642BDF">
      <w:pPr>
        <w:pStyle w:val="42"/>
        <w:rPr>
          <w:snapToGrid/>
        </w:rPr>
      </w:pPr>
      <w:r w:rsidRPr="000B4C41">
        <w:rPr>
          <w:snapToGrid/>
        </w:rPr>
        <w:t>Представление «По</w:t>
      </w:r>
      <w:r>
        <w:rPr>
          <w:snapToGrid/>
        </w:rPr>
        <w:t xml:space="preserve"> НП и</w:t>
      </w:r>
      <w:r w:rsidRPr="000B4C41">
        <w:rPr>
          <w:snapToGrid/>
        </w:rPr>
        <w:t xml:space="preserve"> видам расходов»</w:t>
      </w:r>
    </w:p>
    <w:p w:rsidR="00642BDF" w:rsidRPr="00C601D1" w:rsidRDefault="00642BDF" w:rsidP="00642BDF">
      <w:pPr>
        <w:pStyle w:val="af0"/>
      </w:pPr>
      <w:r w:rsidRPr="000B4C41">
        <w:t>Представление «По</w:t>
      </w:r>
      <w:r>
        <w:t xml:space="preserve"> НП и</w:t>
      </w:r>
      <w:r w:rsidRPr="000B4C41">
        <w:t xml:space="preserve"> видам расходов» аналитического отчета «Информация об исполнении расходов всех уровней на реализацию национальных (федеральных) проектов» отобража</w:t>
      </w:r>
      <w:r w:rsidR="0010720D">
        <w:t>е</w:t>
      </w:r>
      <w:r w:rsidRPr="000B4C41">
        <w:t>т информацию в форме таблицы</w:t>
      </w:r>
      <w:r>
        <w:t xml:space="preserve"> и диаграммы.</w:t>
      </w:r>
    </w:p>
    <w:p w:rsidR="00642BDF" w:rsidRPr="00E12560" w:rsidRDefault="00642BDF" w:rsidP="00642BDF">
      <w:pPr>
        <w:pStyle w:val="53"/>
      </w:pPr>
      <w:r w:rsidRPr="00E12560">
        <w:t>Представление «По НП и видам расходов» - «Таблица»</w:t>
      </w:r>
    </w:p>
    <w:p w:rsidR="00642BDF" w:rsidRPr="000B4C41" w:rsidRDefault="00642BDF" w:rsidP="00642BDF">
      <w:pPr>
        <w:pStyle w:val="af0"/>
      </w:pPr>
      <w:r w:rsidRPr="000B4C41">
        <w:t>Параметры представления:</w:t>
      </w:r>
    </w:p>
    <w:p w:rsidR="00642BDF" w:rsidRPr="00984AA7" w:rsidRDefault="00642BDF" w:rsidP="00DE1661">
      <w:pPr>
        <w:pStyle w:val="13"/>
        <w:rPr>
          <w:snapToGrid/>
        </w:rPr>
      </w:pPr>
      <w:r w:rsidRPr="00984AA7">
        <w:rPr>
          <w:snapToGrid/>
        </w:rPr>
        <w:t>По состоянию на: Календарь с выбором даты отображаемых данных.</w:t>
      </w:r>
      <w:r>
        <w:rPr>
          <w:snapToGrid/>
        </w:rPr>
        <w:t xml:space="preserve"> </w:t>
      </w:r>
      <w:r w:rsidRPr="00984AA7">
        <w:rPr>
          <w:snapToGrid/>
        </w:rPr>
        <w:t>По умолчанию отображается последняя дата обновления данных</w:t>
      </w:r>
      <w:r>
        <w:rPr>
          <w:snapToGrid/>
        </w:rPr>
        <w:t>.</w:t>
      </w:r>
    </w:p>
    <w:p w:rsidR="00642BDF" w:rsidRPr="00984AA7" w:rsidRDefault="00642BDF" w:rsidP="00DE1661">
      <w:pPr>
        <w:pStyle w:val="13"/>
        <w:rPr>
          <w:snapToGrid/>
        </w:rPr>
      </w:pPr>
      <w:r w:rsidRPr="00984AA7">
        <w:rPr>
          <w:snapToGrid/>
        </w:rPr>
        <w:t>Национальный (федеральный) проект: Выпадающий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r>
        <w:rPr>
          <w:snapToGrid/>
        </w:rPr>
        <w:t>.</w:t>
      </w:r>
    </w:p>
    <w:p w:rsidR="00642BDF" w:rsidRPr="00984AA7" w:rsidRDefault="00642BDF" w:rsidP="00DE1661">
      <w:pPr>
        <w:pStyle w:val="13"/>
        <w:rPr>
          <w:snapToGrid/>
        </w:rPr>
      </w:pPr>
      <w:r w:rsidRPr="00984AA7">
        <w:rPr>
          <w:snapToGrid/>
        </w:rPr>
        <w:t>Субъект РФ: Выпадающий список с множественным выбором. По умолчанию выводится значение «Все». В параметр выводим наименование территории. Возможность контекстного по</w:t>
      </w:r>
      <w:r>
        <w:rPr>
          <w:snapToGrid/>
        </w:rPr>
        <w:t>иска по наименованию территории.</w:t>
      </w:r>
    </w:p>
    <w:p w:rsidR="00642BDF" w:rsidRPr="00984AA7" w:rsidRDefault="00642BDF" w:rsidP="00DE1661">
      <w:pPr>
        <w:pStyle w:val="13"/>
        <w:rPr>
          <w:snapToGrid/>
        </w:rPr>
      </w:pPr>
      <w:r w:rsidRPr="00984AA7">
        <w:rPr>
          <w:snapToGrid/>
        </w:rPr>
        <w:t>КВР: Выпадающий иерархический список с множественным выбором. Выводятся код и наименование КВР. Возможность контекстного поиска по коду и наименованию КВР.</w:t>
      </w:r>
    </w:p>
    <w:p w:rsidR="00642BDF" w:rsidRPr="00454610" w:rsidRDefault="00642BDF" w:rsidP="00DE1661">
      <w:pPr>
        <w:pStyle w:val="13"/>
        <w:rPr>
          <w:snapToGrid/>
        </w:rPr>
      </w:pPr>
      <w:r w:rsidRPr="00454610">
        <w:rPr>
          <w:snapToGrid/>
        </w:rPr>
        <w:t>РЗПР: Выпадающий иерархический список с множественным выбором. Выводятся код и наименование РЗПР. Возможность контекстного поиска по коду и наименованию РЗПР.</w:t>
      </w:r>
    </w:p>
    <w:p w:rsidR="00642BDF" w:rsidRPr="00454610" w:rsidRDefault="00642BDF" w:rsidP="00DE1661">
      <w:pPr>
        <w:pStyle w:val="13"/>
        <w:rPr>
          <w:snapToGrid/>
        </w:rPr>
      </w:pPr>
      <w:r w:rsidRPr="00454610">
        <w:rPr>
          <w:snapToGrid/>
        </w:rPr>
        <w:t>КБК: Параметр с возможностью задания значения по маске, 20 знаков</w:t>
      </w:r>
      <w:r>
        <w:rPr>
          <w:snapToGrid/>
        </w:rPr>
        <w:t>.</w:t>
      </w:r>
    </w:p>
    <w:p w:rsidR="00642BDF" w:rsidRPr="007C13B7" w:rsidRDefault="00642BDF" w:rsidP="00DE1661">
      <w:pPr>
        <w:pStyle w:val="13"/>
        <w:rPr>
          <w:snapToGrid/>
        </w:rPr>
      </w:pPr>
      <w:r w:rsidRPr="007C13B7">
        <w:rPr>
          <w:snapToGrid/>
        </w:rPr>
        <w:t>Единицы измерения: Выпадающий список с выбором единиц измерения. Состоит из элементов: руб, тыс руб, млн руб, млрд руб.</w:t>
      </w:r>
    </w:p>
    <w:p w:rsidR="00642BDF" w:rsidRPr="00055D9E" w:rsidRDefault="00642BDF" w:rsidP="00642BDF">
      <w:pPr>
        <w:pStyle w:val="af0"/>
      </w:pPr>
      <w:r w:rsidRPr="00055D9E">
        <w:t>Наименования колонок:</w:t>
      </w:r>
    </w:p>
    <w:p w:rsidR="00642BDF" w:rsidRPr="003B609B" w:rsidRDefault="00642BDF" w:rsidP="00DE1661">
      <w:pPr>
        <w:pStyle w:val="13"/>
        <w:rPr>
          <w:snapToGrid/>
        </w:rPr>
      </w:pPr>
      <w:r w:rsidRPr="003B609B">
        <w:rPr>
          <w:snapToGrid/>
        </w:rPr>
        <w:t>КВР;</w:t>
      </w:r>
    </w:p>
    <w:p w:rsidR="00642BDF" w:rsidRPr="003B609B" w:rsidRDefault="00642BDF" w:rsidP="00DE1661">
      <w:pPr>
        <w:pStyle w:val="13"/>
        <w:rPr>
          <w:snapToGrid/>
        </w:rPr>
      </w:pPr>
      <w:r>
        <w:rPr>
          <w:snapToGrid/>
        </w:rPr>
        <w:t>Наименование показателя</w:t>
      </w:r>
      <w:r w:rsidRPr="003B609B">
        <w:rPr>
          <w:snapToGrid/>
        </w:rPr>
        <w:t>;</w:t>
      </w:r>
    </w:p>
    <w:p w:rsidR="00642BDF" w:rsidRPr="003B609B" w:rsidRDefault="00642BDF" w:rsidP="00DE1661">
      <w:pPr>
        <w:pStyle w:val="13"/>
        <w:rPr>
          <w:snapToGrid/>
        </w:rPr>
      </w:pPr>
      <w:r w:rsidRPr="003B609B">
        <w:rPr>
          <w:snapToGrid/>
        </w:rPr>
        <w:t>Федеральный бюджет:</w:t>
      </w:r>
    </w:p>
    <w:p w:rsidR="00642BDF" w:rsidRPr="0067662D" w:rsidRDefault="00642BDF" w:rsidP="00642BDF">
      <w:pPr>
        <w:pStyle w:val="29"/>
      </w:pPr>
      <w:r w:rsidRPr="0067662D">
        <w:t>Роспись;</w:t>
      </w:r>
    </w:p>
    <w:p w:rsidR="00642BDF" w:rsidRPr="0067662D" w:rsidRDefault="00642BDF" w:rsidP="00642BDF">
      <w:pPr>
        <w:pStyle w:val="29"/>
      </w:pPr>
      <w:r w:rsidRPr="0067662D">
        <w:t>Доведенные ЛБО;</w:t>
      </w:r>
    </w:p>
    <w:p w:rsidR="00642BDF" w:rsidRPr="0067662D" w:rsidRDefault="00642BDF" w:rsidP="00642BDF">
      <w:pPr>
        <w:pStyle w:val="29"/>
      </w:pPr>
      <w:r w:rsidRPr="0067662D">
        <w:t>Принятые БО;</w:t>
      </w:r>
    </w:p>
    <w:p w:rsidR="00642BDF" w:rsidRPr="0067662D" w:rsidRDefault="00642BDF" w:rsidP="00642BDF">
      <w:pPr>
        <w:pStyle w:val="29"/>
      </w:pPr>
      <w:r w:rsidRPr="0067662D">
        <w:t>Денежные обязательства;</w:t>
      </w:r>
    </w:p>
    <w:p w:rsidR="00642BDF" w:rsidRPr="0067662D" w:rsidRDefault="00642BDF" w:rsidP="00642BDF">
      <w:pPr>
        <w:pStyle w:val="29"/>
      </w:pPr>
      <w:r w:rsidRPr="0067662D">
        <w:t>Исполнено;</w:t>
      </w:r>
    </w:p>
    <w:p w:rsidR="00642BDF" w:rsidRPr="0067662D" w:rsidRDefault="00642BDF" w:rsidP="00642BDF">
      <w:pPr>
        <w:pStyle w:val="29"/>
      </w:pPr>
      <w:r w:rsidRPr="0067662D">
        <w:t>% исполнения к доведенным ЛБО;</w:t>
      </w:r>
    </w:p>
    <w:p w:rsidR="00642BDF" w:rsidRPr="00441715" w:rsidRDefault="00642BDF" w:rsidP="00DE1661">
      <w:pPr>
        <w:pStyle w:val="13"/>
        <w:rPr>
          <w:snapToGrid/>
        </w:rPr>
      </w:pPr>
      <w:r w:rsidRPr="00441715">
        <w:rPr>
          <w:snapToGrid/>
        </w:rPr>
        <w:t>Бюджеты субъектов РФ:</w:t>
      </w:r>
    </w:p>
    <w:p w:rsidR="00642BDF" w:rsidRPr="00441715" w:rsidRDefault="00642BDF" w:rsidP="00642BDF">
      <w:pPr>
        <w:pStyle w:val="29"/>
        <w:rPr>
          <w:snapToGrid/>
        </w:rPr>
      </w:pPr>
      <w:r w:rsidRPr="00441715">
        <w:rPr>
          <w:snapToGrid/>
        </w:rPr>
        <w:t>Роспись;</w:t>
      </w:r>
    </w:p>
    <w:p w:rsidR="00642BDF" w:rsidRPr="00441715" w:rsidRDefault="00642BDF" w:rsidP="00642BDF">
      <w:pPr>
        <w:pStyle w:val="29"/>
        <w:rPr>
          <w:snapToGrid/>
        </w:rPr>
      </w:pPr>
      <w:r w:rsidRPr="00441715">
        <w:rPr>
          <w:snapToGrid/>
        </w:rPr>
        <w:t>Исполнено;</w:t>
      </w:r>
    </w:p>
    <w:p w:rsidR="00642BDF" w:rsidRPr="00441715" w:rsidRDefault="00642BDF" w:rsidP="00642BDF">
      <w:pPr>
        <w:pStyle w:val="29"/>
        <w:rPr>
          <w:snapToGrid/>
        </w:rPr>
      </w:pPr>
      <w:r w:rsidRPr="00441715">
        <w:rPr>
          <w:snapToGrid/>
        </w:rPr>
        <w:t>% исполнения росписи;</w:t>
      </w:r>
    </w:p>
    <w:p w:rsidR="00642BDF" w:rsidRPr="00441715" w:rsidRDefault="00642BDF" w:rsidP="00DE1661">
      <w:pPr>
        <w:pStyle w:val="13"/>
        <w:rPr>
          <w:snapToGrid/>
        </w:rPr>
      </w:pPr>
      <w:r w:rsidRPr="00441715">
        <w:rPr>
          <w:snapToGrid/>
        </w:rPr>
        <w:t>Местные бюджеты:</w:t>
      </w:r>
    </w:p>
    <w:p w:rsidR="00642BDF" w:rsidRPr="00441715" w:rsidRDefault="00642BDF" w:rsidP="00642BDF">
      <w:pPr>
        <w:pStyle w:val="29"/>
        <w:rPr>
          <w:snapToGrid/>
        </w:rPr>
      </w:pPr>
      <w:r w:rsidRPr="00441715">
        <w:rPr>
          <w:snapToGrid/>
        </w:rPr>
        <w:t>Роспись;</w:t>
      </w:r>
    </w:p>
    <w:p w:rsidR="00642BDF" w:rsidRPr="00441715" w:rsidRDefault="00642BDF" w:rsidP="00642BDF">
      <w:pPr>
        <w:pStyle w:val="29"/>
        <w:rPr>
          <w:snapToGrid/>
        </w:rPr>
      </w:pPr>
      <w:r w:rsidRPr="00441715">
        <w:rPr>
          <w:snapToGrid/>
        </w:rPr>
        <w:t>Исполнено;</w:t>
      </w:r>
    </w:p>
    <w:p w:rsidR="00642BDF" w:rsidRPr="00441715" w:rsidRDefault="00642BDF" w:rsidP="00642BDF">
      <w:pPr>
        <w:pStyle w:val="29"/>
        <w:rPr>
          <w:snapToGrid/>
        </w:rPr>
      </w:pPr>
      <w:r w:rsidRPr="00441715">
        <w:rPr>
          <w:snapToGrid/>
        </w:rPr>
        <w:t>% исполнения росписи;</w:t>
      </w:r>
    </w:p>
    <w:p w:rsidR="00642BDF" w:rsidRPr="00441715" w:rsidRDefault="00642BDF" w:rsidP="00DE1661">
      <w:pPr>
        <w:pStyle w:val="13"/>
        <w:rPr>
          <w:snapToGrid/>
        </w:rPr>
      </w:pPr>
      <w:r w:rsidRPr="00441715">
        <w:rPr>
          <w:snapToGrid/>
        </w:rPr>
        <w:t>ПФР:</w:t>
      </w:r>
    </w:p>
    <w:p w:rsidR="00642BDF" w:rsidRPr="00441715" w:rsidRDefault="00642BDF" w:rsidP="00642BDF">
      <w:pPr>
        <w:pStyle w:val="29"/>
        <w:rPr>
          <w:snapToGrid/>
        </w:rPr>
      </w:pPr>
      <w:r w:rsidRPr="00441715">
        <w:rPr>
          <w:snapToGrid/>
        </w:rPr>
        <w:t>Роспись;</w:t>
      </w:r>
    </w:p>
    <w:p w:rsidR="00642BDF" w:rsidRPr="00441715" w:rsidRDefault="00642BDF" w:rsidP="00642BDF">
      <w:pPr>
        <w:pStyle w:val="29"/>
        <w:rPr>
          <w:snapToGrid/>
        </w:rPr>
      </w:pPr>
      <w:r w:rsidRPr="00441715">
        <w:rPr>
          <w:snapToGrid/>
        </w:rPr>
        <w:t>Исполнено;</w:t>
      </w:r>
    </w:p>
    <w:p w:rsidR="00642BDF" w:rsidRPr="00441715" w:rsidRDefault="00642BDF" w:rsidP="00642BDF">
      <w:pPr>
        <w:pStyle w:val="29"/>
        <w:rPr>
          <w:snapToGrid/>
        </w:rPr>
      </w:pPr>
      <w:r w:rsidRPr="00441715">
        <w:rPr>
          <w:snapToGrid/>
        </w:rPr>
        <w:t>% исполнения росписи;</w:t>
      </w:r>
    </w:p>
    <w:p w:rsidR="00642BDF" w:rsidRPr="00B47727" w:rsidRDefault="00642BDF" w:rsidP="00DE1661">
      <w:pPr>
        <w:pStyle w:val="13"/>
        <w:rPr>
          <w:snapToGrid/>
        </w:rPr>
      </w:pPr>
      <w:r w:rsidRPr="00B47727">
        <w:rPr>
          <w:snapToGrid/>
        </w:rPr>
        <w:t>ФСС:</w:t>
      </w:r>
    </w:p>
    <w:p w:rsidR="00642BDF" w:rsidRPr="00B47727" w:rsidRDefault="00642BDF" w:rsidP="00642BDF">
      <w:pPr>
        <w:pStyle w:val="29"/>
        <w:rPr>
          <w:snapToGrid/>
        </w:rPr>
      </w:pPr>
      <w:r w:rsidRPr="00B47727">
        <w:rPr>
          <w:snapToGrid/>
        </w:rPr>
        <w:t>Роспись;</w:t>
      </w:r>
    </w:p>
    <w:p w:rsidR="00642BDF" w:rsidRPr="00B47727" w:rsidRDefault="00642BDF" w:rsidP="00642BDF">
      <w:pPr>
        <w:pStyle w:val="29"/>
        <w:rPr>
          <w:snapToGrid/>
        </w:rPr>
      </w:pPr>
      <w:r w:rsidRPr="00B47727">
        <w:rPr>
          <w:snapToGrid/>
        </w:rPr>
        <w:t>Исполнено;</w:t>
      </w:r>
    </w:p>
    <w:p w:rsidR="00642BDF" w:rsidRPr="00B47727" w:rsidRDefault="00642BDF" w:rsidP="00642BDF">
      <w:pPr>
        <w:pStyle w:val="29"/>
        <w:rPr>
          <w:snapToGrid/>
        </w:rPr>
      </w:pPr>
      <w:r w:rsidRPr="00B47727">
        <w:rPr>
          <w:snapToGrid/>
        </w:rPr>
        <w:t>% исполнения росписи;</w:t>
      </w:r>
    </w:p>
    <w:p w:rsidR="00642BDF" w:rsidRPr="00B47727" w:rsidRDefault="00642BDF" w:rsidP="00DE1661">
      <w:pPr>
        <w:pStyle w:val="13"/>
        <w:rPr>
          <w:snapToGrid/>
        </w:rPr>
      </w:pPr>
      <w:r w:rsidRPr="00B47727">
        <w:rPr>
          <w:snapToGrid/>
        </w:rPr>
        <w:t>ФОМС:</w:t>
      </w:r>
    </w:p>
    <w:p w:rsidR="00642BDF" w:rsidRPr="00B47727" w:rsidRDefault="00642BDF" w:rsidP="00642BDF">
      <w:pPr>
        <w:pStyle w:val="29"/>
        <w:rPr>
          <w:snapToGrid/>
        </w:rPr>
      </w:pPr>
      <w:r w:rsidRPr="00B47727">
        <w:rPr>
          <w:snapToGrid/>
        </w:rPr>
        <w:t>Роспись;</w:t>
      </w:r>
    </w:p>
    <w:p w:rsidR="00642BDF" w:rsidRPr="00B47727" w:rsidRDefault="00642BDF" w:rsidP="00642BDF">
      <w:pPr>
        <w:pStyle w:val="29"/>
        <w:rPr>
          <w:snapToGrid/>
        </w:rPr>
      </w:pPr>
      <w:r w:rsidRPr="00B47727">
        <w:rPr>
          <w:snapToGrid/>
        </w:rPr>
        <w:t>Исполнено;</w:t>
      </w:r>
    </w:p>
    <w:p w:rsidR="00642BDF" w:rsidRPr="00B47727" w:rsidRDefault="00642BDF" w:rsidP="00642BDF">
      <w:pPr>
        <w:pStyle w:val="29"/>
        <w:rPr>
          <w:snapToGrid/>
        </w:rPr>
      </w:pPr>
      <w:r w:rsidRPr="00B47727">
        <w:rPr>
          <w:snapToGrid/>
        </w:rPr>
        <w:t>% исполнения росписи;</w:t>
      </w:r>
    </w:p>
    <w:p w:rsidR="00642BDF" w:rsidRPr="00B47727" w:rsidRDefault="00642BDF" w:rsidP="00DE1661">
      <w:pPr>
        <w:pStyle w:val="13"/>
        <w:rPr>
          <w:snapToGrid/>
        </w:rPr>
      </w:pPr>
      <w:r w:rsidRPr="00B47727">
        <w:rPr>
          <w:snapToGrid/>
        </w:rPr>
        <w:t>ТФОМС:</w:t>
      </w:r>
    </w:p>
    <w:p w:rsidR="00642BDF" w:rsidRPr="00B47727" w:rsidRDefault="00642BDF" w:rsidP="00642BDF">
      <w:pPr>
        <w:pStyle w:val="29"/>
        <w:rPr>
          <w:snapToGrid/>
        </w:rPr>
      </w:pPr>
      <w:r w:rsidRPr="00B47727">
        <w:rPr>
          <w:snapToGrid/>
        </w:rPr>
        <w:t>Роспись;</w:t>
      </w:r>
    </w:p>
    <w:p w:rsidR="00642BDF" w:rsidRPr="00B47727" w:rsidRDefault="00642BDF" w:rsidP="00642BDF">
      <w:pPr>
        <w:pStyle w:val="29"/>
        <w:rPr>
          <w:snapToGrid/>
        </w:rPr>
      </w:pPr>
      <w:r w:rsidRPr="00B47727">
        <w:rPr>
          <w:snapToGrid/>
        </w:rPr>
        <w:t>Исполнено;</w:t>
      </w:r>
    </w:p>
    <w:p w:rsidR="00642BDF" w:rsidRPr="00B47727" w:rsidRDefault="00642BDF" w:rsidP="00642BDF">
      <w:pPr>
        <w:pStyle w:val="29"/>
        <w:rPr>
          <w:snapToGrid/>
        </w:rPr>
      </w:pPr>
      <w:r>
        <w:rPr>
          <w:snapToGrid/>
        </w:rPr>
        <w:t>% исполнения росписи.</w:t>
      </w:r>
    </w:p>
    <w:p w:rsidR="00642BDF" w:rsidRDefault="00642BDF" w:rsidP="00642BDF">
      <w:pPr>
        <w:pStyle w:val="-0"/>
        <w:rPr>
          <w:snapToGrid/>
          <w:szCs w:val="28"/>
        </w:rPr>
      </w:pPr>
      <w:r>
        <w:rPr>
          <w:noProof/>
          <w:snapToGrid/>
        </w:rPr>
        <w:drawing>
          <wp:inline distT="0" distB="0" distL="0" distR="0" wp14:anchorId="18E7FB32" wp14:editId="169C6E6E">
            <wp:extent cx="6019800" cy="1952625"/>
            <wp:effectExtent l="0" t="0" r="0" b="9525"/>
            <wp:docPr id="165" name="Рисунок 4"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блица"/>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6019800" cy="1952625"/>
                    </a:xfrm>
                    <a:prstGeom prst="rect">
                      <a:avLst/>
                    </a:prstGeom>
                    <a:noFill/>
                    <a:ln>
                      <a:noFill/>
                    </a:ln>
                  </pic:spPr>
                </pic:pic>
              </a:graphicData>
            </a:graphic>
          </wp:inline>
        </w:drawing>
      </w:r>
    </w:p>
    <w:p w:rsidR="00642BDF" w:rsidRPr="003E013F" w:rsidRDefault="00642BDF" w:rsidP="00642BDF">
      <w:pPr>
        <w:pStyle w:val="-0"/>
      </w:pPr>
      <w:bookmarkStart w:id="749" w:name="_Toc80802748"/>
      <w:bookmarkStart w:id="750" w:name="_Toc119584367"/>
      <w:r>
        <w:t xml:space="preserve">Рисунок </w:t>
      </w:r>
      <w:fldSimple w:instr=" SEQ Рисунок \* ARABIC ">
        <w:r w:rsidR="001860A9">
          <w:rPr>
            <w:noProof/>
          </w:rPr>
          <w:t>180</w:t>
        </w:r>
      </w:fldSimple>
      <w:r>
        <w:t xml:space="preserve"> – </w:t>
      </w:r>
      <w:r w:rsidRPr="00B62ECE">
        <w:t xml:space="preserve">Макет аналитического </w:t>
      </w:r>
      <w:r w:rsidRPr="003E013F">
        <w:t>отчета</w:t>
      </w:r>
      <w:r w:rsidRPr="00B62ECE">
        <w:t xml:space="preserve"> «</w:t>
      </w:r>
      <w:r w:rsidRPr="00055D9E">
        <w:t>Информация об исполнении бюджетов бюджетной системы Российской Федерации по национальным (федеральным) проектам</w:t>
      </w:r>
      <w:r w:rsidRPr="00B62ECE">
        <w:t>». Представление «</w:t>
      </w:r>
      <w:r>
        <w:t>По НП и видам расходов</w:t>
      </w:r>
      <w:r w:rsidRPr="00B62ECE">
        <w:t>»</w:t>
      </w:r>
      <w:bookmarkEnd w:id="749"/>
      <w:bookmarkEnd w:id="750"/>
    </w:p>
    <w:p w:rsidR="00642BDF" w:rsidRPr="004D26FB" w:rsidRDefault="00642BDF" w:rsidP="00642BDF">
      <w:pPr>
        <w:pStyle w:val="53"/>
      </w:pPr>
      <w:r w:rsidRPr="004D26FB">
        <w:t>Представление «По НП и видам расходов» - «Диаграмма»</w:t>
      </w:r>
    </w:p>
    <w:p w:rsidR="00642BDF" w:rsidRPr="004D26FB" w:rsidRDefault="00642BDF" w:rsidP="00642BDF">
      <w:pPr>
        <w:spacing w:before="120" w:after="60"/>
        <w:ind w:firstLine="567"/>
        <w:contextualSpacing/>
        <w:rPr>
          <w:sz w:val="28"/>
          <w:lang w:eastAsia="x-none"/>
        </w:rPr>
      </w:pPr>
      <w:r w:rsidRPr="004D26FB">
        <w:rPr>
          <w:sz w:val="28"/>
          <w:lang w:eastAsia="x-none"/>
        </w:rPr>
        <w:t>Представление «</w:t>
      </w:r>
      <w:r w:rsidRPr="004D26FB">
        <w:rPr>
          <w:bCs/>
          <w:snapToGrid/>
          <w:sz w:val="30"/>
        </w:rPr>
        <w:t>По НП и видам расходов</w:t>
      </w:r>
      <w:r w:rsidRPr="004D26FB">
        <w:rPr>
          <w:sz w:val="28"/>
          <w:lang w:eastAsia="x-none"/>
        </w:rPr>
        <w:t>» - «Диаграмма» реализовано в виде гистограммы, отображающая суммы по национальным и федеральным проектам и по выбранному показателю в параметре «Показатель».</w:t>
      </w:r>
    </w:p>
    <w:p w:rsidR="00642BDF" w:rsidRPr="004D26FB" w:rsidRDefault="00642BDF" w:rsidP="00642BDF">
      <w:pPr>
        <w:spacing w:before="120" w:after="60"/>
        <w:ind w:firstLine="567"/>
        <w:contextualSpacing/>
        <w:rPr>
          <w:szCs w:val="24"/>
        </w:rPr>
      </w:pPr>
      <w:r w:rsidRPr="004D26FB">
        <w:rPr>
          <w:sz w:val="28"/>
          <w:lang w:eastAsia="x-none"/>
        </w:rPr>
        <w:t>Параметры (визуальные фильтры):</w:t>
      </w:r>
    </w:p>
    <w:p w:rsidR="00642BDF" w:rsidRPr="003E013F" w:rsidRDefault="00642BDF" w:rsidP="00DE1661">
      <w:pPr>
        <w:pStyle w:val="13"/>
        <w:rPr>
          <w:snapToGrid/>
          <w:shd w:val="clear" w:color="auto" w:fill="FFFFFF"/>
        </w:rPr>
      </w:pPr>
      <w:r w:rsidRPr="003E013F">
        <w:rPr>
          <w:snapToGrid/>
          <w:shd w:val="clear" w:color="auto" w:fill="FFFFFF"/>
        </w:rPr>
        <w:t>По состоянию на;</w:t>
      </w:r>
    </w:p>
    <w:p w:rsidR="00642BDF" w:rsidRPr="003E013F" w:rsidRDefault="00642BDF" w:rsidP="00DE1661">
      <w:pPr>
        <w:pStyle w:val="13"/>
        <w:rPr>
          <w:snapToGrid/>
          <w:shd w:val="clear" w:color="auto" w:fill="FFFFFF"/>
        </w:rPr>
      </w:pPr>
      <w:r w:rsidRPr="003E013F">
        <w:rPr>
          <w:snapToGrid/>
          <w:shd w:val="clear" w:color="auto" w:fill="FFFFFF"/>
        </w:rPr>
        <w:t>Национальный (федеральный) проект;</w:t>
      </w:r>
    </w:p>
    <w:p w:rsidR="00642BDF" w:rsidRPr="003E013F" w:rsidRDefault="00642BDF" w:rsidP="00DE1661">
      <w:pPr>
        <w:pStyle w:val="13"/>
        <w:rPr>
          <w:snapToGrid/>
          <w:shd w:val="clear" w:color="auto" w:fill="FFFFFF"/>
        </w:rPr>
      </w:pPr>
      <w:r w:rsidRPr="003E013F">
        <w:rPr>
          <w:snapToGrid/>
          <w:shd w:val="clear" w:color="auto" w:fill="FFFFFF"/>
        </w:rPr>
        <w:t>Субъект РФ;</w:t>
      </w:r>
    </w:p>
    <w:p w:rsidR="00642BDF" w:rsidRPr="003E013F" w:rsidRDefault="00642BDF" w:rsidP="00DE1661">
      <w:pPr>
        <w:pStyle w:val="13"/>
        <w:rPr>
          <w:snapToGrid/>
          <w:shd w:val="clear" w:color="auto" w:fill="FFFFFF"/>
        </w:rPr>
      </w:pPr>
      <w:r w:rsidRPr="003E013F">
        <w:rPr>
          <w:snapToGrid/>
          <w:shd w:val="clear" w:color="auto" w:fill="FFFFFF"/>
        </w:rPr>
        <w:t>КВР;</w:t>
      </w:r>
    </w:p>
    <w:p w:rsidR="00642BDF" w:rsidRPr="003E013F" w:rsidRDefault="00642BDF" w:rsidP="00DE1661">
      <w:pPr>
        <w:pStyle w:val="13"/>
        <w:rPr>
          <w:snapToGrid/>
          <w:shd w:val="clear" w:color="auto" w:fill="FFFFFF"/>
        </w:rPr>
      </w:pPr>
      <w:r w:rsidRPr="003E013F">
        <w:rPr>
          <w:snapToGrid/>
          <w:shd w:val="clear" w:color="auto" w:fill="FFFFFF"/>
        </w:rPr>
        <w:t>РЗПР;</w:t>
      </w:r>
    </w:p>
    <w:p w:rsidR="00642BDF" w:rsidRPr="003E013F" w:rsidRDefault="00642BDF" w:rsidP="00DE1661">
      <w:pPr>
        <w:pStyle w:val="13"/>
        <w:rPr>
          <w:snapToGrid/>
          <w:shd w:val="clear" w:color="auto" w:fill="FFFFFF"/>
        </w:rPr>
      </w:pPr>
      <w:r w:rsidRPr="003E013F">
        <w:rPr>
          <w:snapToGrid/>
          <w:shd w:val="clear" w:color="auto" w:fill="FFFFFF"/>
        </w:rPr>
        <w:t>КБК;</w:t>
      </w:r>
    </w:p>
    <w:p w:rsidR="00642BDF" w:rsidRPr="007C13B7" w:rsidRDefault="00642BDF" w:rsidP="00DE1661">
      <w:pPr>
        <w:pStyle w:val="13"/>
        <w:rPr>
          <w:snapToGrid/>
        </w:rPr>
      </w:pPr>
      <w:r w:rsidRPr="007C13B7">
        <w:rPr>
          <w:snapToGrid/>
          <w:shd w:val="clear" w:color="auto" w:fill="FFFFFF"/>
        </w:rPr>
        <w:t xml:space="preserve">Показатель: </w:t>
      </w:r>
      <w:r w:rsidRPr="007C13B7">
        <w:rPr>
          <w:snapToGrid/>
        </w:rPr>
        <w:t xml:space="preserve">Параметр со значениями, аналогичными значениям в представлении </w:t>
      </w:r>
      <w:r w:rsidRPr="004D26FB">
        <w:rPr>
          <w:lang w:eastAsia="x-none"/>
        </w:rPr>
        <w:t xml:space="preserve">«По </w:t>
      </w:r>
      <w:r w:rsidRPr="007C13B7">
        <w:rPr>
          <w:bCs/>
          <w:snapToGrid/>
          <w:sz w:val="30"/>
        </w:rPr>
        <w:t>НП и видам расходов</w:t>
      </w:r>
      <w:r w:rsidRPr="004D26FB">
        <w:rPr>
          <w:lang w:eastAsia="x-none"/>
        </w:rPr>
        <w:t>» - «Таблица»</w:t>
      </w:r>
    </w:p>
    <w:p w:rsidR="00642BDF" w:rsidRPr="004D26FB" w:rsidRDefault="00642BDF" w:rsidP="00DE1661">
      <w:pPr>
        <w:pStyle w:val="13"/>
        <w:rPr>
          <w:snapToGrid/>
        </w:rPr>
      </w:pPr>
      <w:r w:rsidRPr="004D26FB">
        <w:rPr>
          <w:snapToGrid/>
        </w:rPr>
        <w:t>Единицы измерения:</w:t>
      </w:r>
    </w:p>
    <w:p w:rsidR="00642BDF" w:rsidRPr="004D26FB" w:rsidRDefault="00642BDF" w:rsidP="00DE1661">
      <w:pPr>
        <w:pStyle w:val="13"/>
        <w:rPr>
          <w:snapToGrid/>
        </w:rPr>
      </w:pPr>
      <w:r w:rsidRPr="004D26FB">
        <w:rPr>
          <w:snapToGrid/>
        </w:rPr>
        <w:t>Сортировка:</w:t>
      </w:r>
    </w:p>
    <w:p w:rsidR="00642BDF" w:rsidRPr="003E013F" w:rsidRDefault="00642BDF" w:rsidP="00642BDF">
      <w:pPr>
        <w:pStyle w:val="29"/>
      </w:pPr>
      <w:r w:rsidRPr="003E013F">
        <w:t>По значению (значение по умолчанию) / По коду вида расходов / по наименованию вида расходов</w:t>
      </w:r>
    </w:p>
    <w:p w:rsidR="00642BDF" w:rsidRPr="00850E0F" w:rsidRDefault="00642BDF" w:rsidP="00642BDF">
      <w:pPr>
        <w:pStyle w:val="29"/>
        <w:rPr>
          <w:snapToGrid/>
        </w:rPr>
      </w:pPr>
      <w:r w:rsidRPr="003E013F">
        <w:t>По убыванию (значение</w:t>
      </w:r>
      <w:r w:rsidRPr="00850E0F">
        <w:rPr>
          <w:snapToGrid/>
        </w:rPr>
        <w:t xml:space="preserve"> по умолчанию) / По возрастанию</w:t>
      </w:r>
    </w:p>
    <w:p w:rsidR="00642BDF" w:rsidRPr="00A17B83" w:rsidRDefault="00642BDF" w:rsidP="00DE1661">
      <w:pPr>
        <w:pStyle w:val="13"/>
      </w:pPr>
      <w:r w:rsidRPr="00A17B83">
        <w:t>Показать на диаграмме:</w:t>
      </w:r>
    </w:p>
    <w:p w:rsidR="00642BDF" w:rsidRPr="003E013F" w:rsidRDefault="00642BDF" w:rsidP="00642BDF">
      <w:pPr>
        <w:pStyle w:val="29"/>
      </w:pPr>
      <w:r w:rsidRPr="003E013F">
        <w:t>CHECKBOX «Группу вида расходов» (значение по умолчанию);</w:t>
      </w:r>
    </w:p>
    <w:p w:rsidR="00642BDF" w:rsidRPr="003E013F" w:rsidRDefault="00642BDF" w:rsidP="00642BDF">
      <w:pPr>
        <w:pStyle w:val="29"/>
      </w:pPr>
      <w:r w:rsidRPr="003E013F">
        <w:t>CHECKBOX «Подгруппу вида расходов»;</w:t>
      </w:r>
    </w:p>
    <w:p w:rsidR="00642BDF" w:rsidRPr="003E013F" w:rsidRDefault="00642BDF" w:rsidP="00642BDF">
      <w:pPr>
        <w:pStyle w:val="29"/>
      </w:pPr>
      <w:r w:rsidRPr="003E013F">
        <w:t>CHECKBOX «Элемент вида расходов».</w:t>
      </w:r>
    </w:p>
    <w:p w:rsidR="00642BDF" w:rsidRPr="00A96140" w:rsidRDefault="00642BDF" w:rsidP="00642BDF">
      <w:pPr>
        <w:pStyle w:val="af0"/>
      </w:pPr>
      <w:r w:rsidRPr="00A96140">
        <w:t>Разработано два представления с информацией по национальным и федеральным проектам «Топ 10» и «Все».</w:t>
      </w:r>
    </w:p>
    <w:p w:rsidR="00642BDF" w:rsidRPr="00A96140" w:rsidRDefault="00642BDF" w:rsidP="00642BDF">
      <w:pPr>
        <w:pStyle w:val="af0"/>
      </w:pPr>
      <w:r w:rsidRPr="00A96140">
        <w:t>По умолчанию открывается диаграмма «ТОП 10» с десятью национальными и федеральными проектами с максимальными или минимальными значениями по показателю, выбранному в параметре «Показатель».</w:t>
      </w:r>
    </w:p>
    <w:p w:rsidR="00642BDF" w:rsidRPr="00A96140" w:rsidRDefault="00642BDF" w:rsidP="00642BDF">
      <w:pPr>
        <w:pStyle w:val="af0"/>
      </w:pPr>
      <w:r w:rsidRPr="00A96140">
        <w:t xml:space="preserve">Представление «По </w:t>
      </w:r>
      <w:r w:rsidRPr="00A96140">
        <w:rPr>
          <w:bCs/>
          <w:snapToGrid/>
          <w:sz w:val="30"/>
        </w:rPr>
        <w:t>НП и по видам расходов</w:t>
      </w:r>
      <w:r w:rsidRPr="00A96140">
        <w:t>» - «Диаграмма» - «Все» реализовано в виде гистограммы, отображающая суммы по всем национальным / федеральным проектам и по выбранному показателю в параметре «Показатель».</w:t>
      </w:r>
    </w:p>
    <w:p w:rsidR="00642BDF" w:rsidRPr="004E4D2D" w:rsidRDefault="00642BDF" w:rsidP="00642BDF">
      <w:pPr>
        <w:pStyle w:val="-0"/>
        <w:rPr>
          <w:highlight w:val="yellow"/>
        </w:rPr>
      </w:pPr>
      <w:r>
        <w:rPr>
          <w:noProof/>
          <w:snapToGrid/>
        </w:rPr>
        <w:drawing>
          <wp:inline distT="0" distB="0" distL="0" distR="0" wp14:anchorId="0A452D75" wp14:editId="1AED9D86">
            <wp:extent cx="6019800" cy="1533525"/>
            <wp:effectExtent l="0" t="0" r="0" b="9525"/>
            <wp:docPr id="164" name="Рисунок 5" descr="диаграм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аграмма"/>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019800" cy="1533525"/>
                    </a:xfrm>
                    <a:prstGeom prst="rect">
                      <a:avLst/>
                    </a:prstGeom>
                    <a:noFill/>
                    <a:ln>
                      <a:noFill/>
                    </a:ln>
                  </pic:spPr>
                </pic:pic>
              </a:graphicData>
            </a:graphic>
          </wp:inline>
        </w:drawing>
      </w:r>
    </w:p>
    <w:p w:rsidR="00642BDF" w:rsidRDefault="00642BDF" w:rsidP="00642BDF">
      <w:pPr>
        <w:pStyle w:val="-0"/>
      </w:pPr>
      <w:bookmarkStart w:id="751" w:name="_Toc80802749"/>
      <w:bookmarkStart w:id="752" w:name="_Toc119584368"/>
      <w:r w:rsidRPr="00A96140">
        <w:t xml:space="preserve">Рисунок </w:t>
      </w:r>
      <w:fldSimple w:instr=" SEQ Рисунок \* ARABIC ">
        <w:r w:rsidR="001860A9">
          <w:rPr>
            <w:noProof/>
          </w:rPr>
          <w:t>181</w:t>
        </w:r>
      </w:fldSimple>
      <w:r w:rsidRPr="00A96140">
        <w:t xml:space="preserve"> </w:t>
      </w:r>
      <w:r>
        <w:t xml:space="preserve">– </w:t>
      </w:r>
      <w:r w:rsidRPr="00A96140">
        <w:t xml:space="preserve">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w:t>
      </w:r>
      <w:r w:rsidRPr="00A96140">
        <w:rPr>
          <w:snapToGrid/>
          <w:sz w:val="30"/>
        </w:rPr>
        <w:t>НП и видам расходов</w:t>
      </w:r>
      <w:r w:rsidRPr="00A96140">
        <w:t>» - «Диаграмма»</w:t>
      </w:r>
      <w:bookmarkEnd w:id="751"/>
      <w:bookmarkEnd w:id="752"/>
    </w:p>
    <w:p w:rsidR="00642BDF" w:rsidRPr="000B4C41" w:rsidRDefault="00642BDF" w:rsidP="00642BDF">
      <w:pPr>
        <w:pStyle w:val="42"/>
        <w:rPr>
          <w:snapToGrid/>
        </w:rPr>
      </w:pPr>
      <w:r w:rsidRPr="000B4C41">
        <w:rPr>
          <w:snapToGrid/>
        </w:rPr>
        <w:t xml:space="preserve">Представление «По </w:t>
      </w:r>
      <w:r>
        <w:rPr>
          <w:snapToGrid/>
        </w:rPr>
        <w:t xml:space="preserve">НП, </w:t>
      </w:r>
      <w:r w:rsidRPr="000B4C41">
        <w:rPr>
          <w:snapToGrid/>
        </w:rPr>
        <w:t>субъектам и видам расходов»</w:t>
      </w:r>
    </w:p>
    <w:p w:rsidR="00642BDF" w:rsidRDefault="00642BDF" w:rsidP="00642BDF">
      <w:pPr>
        <w:pStyle w:val="af0"/>
      </w:pPr>
      <w:r w:rsidRPr="000B4C41">
        <w:t>Представление «По субъектам и видам расходов» аналитического отчета «Информация об исполнении расходов всех уровней на реализацию национальных (федеральных) проектов» отобража</w:t>
      </w:r>
      <w:r w:rsidR="0010720D">
        <w:t>е</w:t>
      </w:r>
      <w:r w:rsidRPr="000B4C41">
        <w:t xml:space="preserve">т </w:t>
      </w:r>
      <w:r>
        <w:t>информацию</w:t>
      </w:r>
      <w:r w:rsidRPr="000B4C41">
        <w:t xml:space="preserve"> в форме таблицы</w:t>
      </w:r>
      <w:r>
        <w:t>, диаграммы и карты</w:t>
      </w:r>
      <w:r w:rsidRPr="000B4C41">
        <w:t>.</w:t>
      </w:r>
    </w:p>
    <w:p w:rsidR="00642BDF" w:rsidRPr="000B4C41" w:rsidRDefault="00642BDF" w:rsidP="00642BDF">
      <w:pPr>
        <w:pStyle w:val="53"/>
      </w:pPr>
      <w:bookmarkStart w:id="753" w:name="_Toc25584660"/>
      <w:r w:rsidRPr="000B4C41">
        <w:t xml:space="preserve">Представление «По </w:t>
      </w:r>
      <w:r>
        <w:t xml:space="preserve">НП, </w:t>
      </w:r>
      <w:r w:rsidRPr="000B4C41">
        <w:t>субъектам и видам расходов»</w:t>
      </w:r>
      <w:r>
        <w:t xml:space="preserve"> - «Таблица»</w:t>
      </w:r>
      <w:bookmarkEnd w:id="753"/>
    </w:p>
    <w:p w:rsidR="00642BDF" w:rsidRPr="007011F7" w:rsidRDefault="00642BDF" w:rsidP="00642BDF">
      <w:pPr>
        <w:pStyle w:val="af0"/>
        <w:rPr>
          <w:szCs w:val="28"/>
        </w:rPr>
      </w:pPr>
      <w:r w:rsidRPr="007011F7">
        <w:rPr>
          <w:szCs w:val="28"/>
        </w:rPr>
        <w:t>Параметры представления:</w:t>
      </w:r>
    </w:p>
    <w:p w:rsidR="00642BDF" w:rsidRPr="007C13B7" w:rsidRDefault="00642BDF" w:rsidP="00DE1661">
      <w:pPr>
        <w:pStyle w:val="13"/>
        <w:rPr>
          <w:snapToGrid/>
        </w:rPr>
      </w:pPr>
      <w:r w:rsidRPr="007C13B7">
        <w:rPr>
          <w:snapToGrid/>
        </w:rPr>
        <w:t>По состоянию на: Календарь с выбором даты отображаемых данных.</w:t>
      </w:r>
      <w:r>
        <w:rPr>
          <w:snapToGrid/>
        </w:rPr>
        <w:t xml:space="preserve"> </w:t>
      </w:r>
      <w:r w:rsidRPr="007C13B7">
        <w:rPr>
          <w:snapToGrid/>
        </w:rPr>
        <w:t>По умолчанию отображается последняя дата обновления данных.</w:t>
      </w:r>
    </w:p>
    <w:p w:rsidR="00642BDF" w:rsidRPr="007C13B7" w:rsidRDefault="00642BDF" w:rsidP="00DE1661">
      <w:pPr>
        <w:pStyle w:val="13"/>
        <w:rPr>
          <w:snapToGrid/>
        </w:rPr>
      </w:pPr>
      <w:r w:rsidRPr="007C13B7">
        <w:rPr>
          <w:snapToGrid/>
        </w:rPr>
        <w:t>Национальный (федеральный) проект: Выпадающий иерархический список с выбором кода и наименования национального и федерального проекта.</w:t>
      </w:r>
      <w:r>
        <w:rPr>
          <w:snapToGrid/>
        </w:rPr>
        <w:t xml:space="preserve"> </w:t>
      </w:r>
      <w:r w:rsidRPr="007C13B7">
        <w:rPr>
          <w:snapToGrid/>
        </w:rPr>
        <w:t>Возможность контекстного поиска кода и наименования национального (федерального) проекта.</w:t>
      </w:r>
    </w:p>
    <w:p w:rsidR="00642BDF" w:rsidRPr="007C13B7" w:rsidRDefault="00642BDF" w:rsidP="00DE1661">
      <w:pPr>
        <w:pStyle w:val="13"/>
        <w:rPr>
          <w:snapToGrid/>
        </w:rPr>
      </w:pPr>
      <w:r w:rsidRPr="007C13B7">
        <w:rPr>
          <w:snapToGrid/>
        </w:rPr>
        <w:t>Субъект РФ: Выпадающий список с множественным выбором. По умолчанию выводится значение «Все». В параметр выводим наименование территории.</w:t>
      </w:r>
      <w:r>
        <w:rPr>
          <w:snapToGrid/>
        </w:rPr>
        <w:t xml:space="preserve"> </w:t>
      </w:r>
      <w:r w:rsidRPr="007C13B7">
        <w:rPr>
          <w:snapToGrid/>
        </w:rPr>
        <w:t>Возможность контекстного поиска по наименованию территории.</w:t>
      </w:r>
    </w:p>
    <w:p w:rsidR="00642BDF" w:rsidRPr="007C13B7" w:rsidRDefault="00642BDF" w:rsidP="00DE1661">
      <w:pPr>
        <w:pStyle w:val="13"/>
        <w:rPr>
          <w:snapToGrid/>
        </w:rPr>
      </w:pPr>
      <w:r w:rsidRPr="007C13B7">
        <w:rPr>
          <w:snapToGrid/>
        </w:rPr>
        <w:t>Уровни бюджета: Выпадающий список с множественным выбором (Федеральный бюджет, Региональный бюджет, Местные бюджеты, ГВФ, ТФОМС).</w:t>
      </w:r>
    </w:p>
    <w:p w:rsidR="00642BDF" w:rsidRDefault="00642BDF" w:rsidP="00DE1661">
      <w:pPr>
        <w:pStyle w:val="13"/>
        <w:rPr>
          <w:snapToGrid/>
          <w:szCs w:val="28"/>
        </w:rPr>
      </w:pPr>
      <w:r w:rsidRPr="007C13B7">
        <w:rPr>
          <w:snapToGrid/>
        </w:rPr>
        <w:t xml:space="preserve">Единицы измерения: Выпадающий список с выбором единиц измерения. </w:t>
      </w:r>
      <w:r w:rsidRPr="007C13B7">
        <w:rPr>
          <w:snapToGrid/>
          <w:szCs w:val="28"/>
        </w:rPr>
        <w:t>Состоит из элементов: руб, тыс руб, млн руб, млрд руб.</w:t>
      </w:r>
    </w:p>
    <w:p w:rsidR="00642BDF" w:rsidRDefault="00642BDF" w:rsidP="00642BDF">
      <w:pPr>
        <w:pStyle w:val="af0"/>
        <w:rPr>
          <w:szCs w:val="28"/>
        </w:rPr>
      </w:pPr>
      <w:r w:rsidRPr="007011F7">
        <w:rPr>
          <w:szCs w:val="28"/>
        </w:rPr>
        <w:t>Наименования колонок:</w:t>
      </w:r>
    </w:p>
    <w:p w:rsidR="00642BDF" w:rsidRPr="003F58E7" w:rsidRDefault="00642BDF" w:rsidP="00DE1661">
      <w:pPr>
        <w:pStyle w:val="13"/>
      </w:pPr>
      <w:r w:rsidRPr="003F58E7">
        <w:t>Наименование;</w:t>
      </w:r>
    </w:p>
    <w:p w:rsidR="00642BDF" w:rsidRPr="003F58E7" w:rsidRDefault="00642BDF" w:rsidP="00DE1661">
      <w:pPr>
        <w:pStyle w:val="13"/>
        <w:rPr>
          <w:snapToGrid/>
        </w:rPr>
      </w:pPr>
      <w:r w:rsidRPr="003F58E7">
        <w:rPr>
          <w:snapToGrid/>
        </w:rPr>
        <w:t>Всего, Роспись;</w:t>
      </w:r>
    </w:p>
    <w:p w:rsidR="00642BDF" w:rsidRPr="003F58E7" w:rsidRDefault="00642BDF" w:rsidP="00DE1661">
      <w:pPr>
        <w:pStyle w:val="13"/>
        <w:rPr>
          <w:snapToGrid/>
        </w:rPr>
      </w:pPr>
      <w:r w:rsidRPr="003F58E7">
        <w:rPr>
          <w:snapToGrid/>
        </w:rPr>
        <w:t>Всего, Исполнение;</w:t>
      </w:r>
    </w:p>
    <w:p w:rsidR="00642BDF" w:rsidRPr="003F58E7" w:rsidRDefault="00642BDF" w:rsidP="00DE1661">
      <w:pPr>
        <w:pStyle w:val="13"/>
        <w:rPr>
          <w:snapToGrid/>
        </w:rPr>
      </w:pPr>
      <w:r w:rsidRPr="003F58E7">
        <w:rPr>
          <w:snapToGrid/>
        </w:rPr>
        <w:t>% исполнения росписи</w:t>
      </w:r>
    </w:p>
    <w:p w:rsidR="00642BDF" w:rsidRDefault="00642BDF" w:rsidP="00DE1661">
      <w:pPr>
        <w:pStyle w:val="13"/>
        <w:rPr>
          <w:snapToGrid/>
        </w:rPr>
      </w:pPr>
      <w:r w:rsidRPr="007011F7">
        <w:rPr>
          <w:snapToGrid/>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w:t>
      </w:r>
      <w:r>
        <w:rPr>
          <w:snapToGrid/>
        </w:rPr>
        <w:t>авления государственными фондами:</w:t>
      </w:r>
    </w:p>
    <w:p w:rsidR="00642BDF" w:rsidRPr="0029564A" w:rsidRDefault="00642BDF" w:rsidP="00642BDF">
      <w:pPr>
        <w:pStyle w:val="29"/>
        <w:rPr>
          <w:snapToGrid/>
        </w:rPr>
      </w:pPr>
      <w:r w:rsidRPr="0029564A">
        <w:rPr>
          <w:snapToGrid/>
        </w:rPr>
        <w:t>Роспись;</w:t>
      </w:r>
    </w:p>
    <w:p w:rsidR="00642BDF" w:rsidRPr="0029564A" w:rsidRDefault="00642BDF" w:rsidP="00642BDF">
      <w:pPr>
        <w:pStyle w:val="29"/>
        <w:rPr>
          <w:snapToGrid/>
        </w:rPr>
      </w:pPr>
      <w:r w:rsidRPr="0029564A">
        <w:rPr>
          <w:snapToGrid/>
        </w:rPr>
        <w:t>Исполнение;</w:t>
      </w:r>
    </w:p>
    <w:p w:rsidR="00642BDF" w:rsidRPr="0029564A" w:rsidRDefault="00642BDF" w:rsidP="00642BDF">
      <w:pPr>
        <w:pStyle w:val="29"/>
        <w:rPr>
          <w:snapToGrid/>
        </w:rPr>
      </w:pPr>
      <w:r w:rsidRPr="0029564A">
        <w:rPr>
          <w:snapToGrid/>
        </w:rPr>
        <w:t>% исполнения росписи;</w:t>
      </w:r>
    </w:p>
    <w:p w:rsidR="00642BDF" w:rsidRDefault="00642BDF" w:rsidP="00DE1661">
      <w:pPr>
        <w:pStyle w:val="13"/>
        <w:rPr>
          <w:snapToGrid/>
        </w:rPr>
      </w:pPr>
      <w:r w:rsidRPr="007011F7">
        <w:rPr>
          <w:snapToGrid/>
        </w:rPr>
        <w:t>Закупка товаров работ и услуг для госуда</w:t>
      </w:r>
      <w:r>
        <w:rPr>
          <w:snapToGrid/>
        </w:rPr>
        <w:t>рственных (муниципальных) нужд:</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sidRPr="007011F7">
        <w:rPr>
          <w:snapToGrid/>
        </w:rPr>
        <w:t>Социальное обеспечение и иные</w:t>
      </w:r>
      <w:r>
        <w:rPr>
          <w:snapToGrid/>
        </w:rPr>
        <w:t xml:space="preserve"> выплаты населению:</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sidRPr="007011F7">
        <w:rPr>
          <w:snapToGrid/>
        </w:rPr>
        <w:t>Капитальные вложения в объекты недвижимого имущества государственно</w:t>
      </w:r>
      <w:r>
        <w:rPr>
          <w:snapToGrid/>
        </w:rPr>
        <w:t>й (муниципальной) собственности:</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Pr>
          <w:snapToGrid/>
        </w:rPr>
        <w:t>Из них бюджетные инвестиции:</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Pr>
          <w:snapToGrid/>
        </w:rPr>
        <w:t>Межбюджетные трансферты:</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sidRPr="007011F7">
        <w:rPr>
          <w:snapToGrid/>
        </w:rPr>
        <w:t>Предоставление субсидий бюджетным автономным учреждениями иным некоммерческим орг</w:t>
      </w:r>
      <w:r>
        <w:rPr>
          <w:snapToGrid/>
        </w:rPr>
        <w:t>анизациям:</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Pr="00917D6D" w:rsidRDefault="00642BDF" w:rsidP="00DE1661">
      <w:pPr>
        <w:pStyle w:val="13"/>
        <w:rPr>
          <w:snapToGrid/>
        </w:rPr>
      </w:pPr>
      <w:r w:rsidRPr="00917D6D">
        <w:rPr>
          <w:snapToGrid/>
        </w:rPr>
        <w:t>Иные бюджетные ассигнования:</w:t>
      </w:r>
    </w:p>
    <w:p w:rsidR="00642BDF" w:rsidRPr="00917D6D" w:rsidRDefault="00642BDF" w:rsidP="00642BDF">
      <w:pPr>
        <w:pStyle w:val="29"/>
        <w:rPr>
          <w:snapToGrid/>
        </w:rPr>
      </w:pPr>
      <w:r w:rsidRPr="00917D6D">
        <w:rPr>
          <w:snapToGrid/>
        </w:rPr>
        <w:t>Роспись;</w:t>
      </w:r>
    </w:p>
    <w:p w:rsidR="00642BDF" w:rsidRPr="00917D6D" w:rsidRDefault="00642BDF" w:rsidP="00642BDF">
      <w:pPr>
        <w:pStyle w:val="29"/>
        <w:rPr>
          <w:snapToGrid/>
        </w:rPr>
      </w:pPr>
      <w:r w:rsidRPr="00917D6D">
        <w:rPr>
          <w:snapToGrid/>
        </w:rPr>
        <w:t>Исполнение;</w:t>
      </w:r>
    </w:p>
    <w:p w:rsidR="00642BDF" w:rsidRPr="00917D6D" w:rsidRDefault="00642BDF" w:rsidP="00642BDF">
      <w:pPr>
        <w:pStyle w:val="29"/>
        <w:rPr>
          <w:snapToGrid/>
        </w:rPr>
      </w:pPr>
      <w:r w:rsidRPr="00917D6D">
        <w:rPr>
          <w:snapToGrid/>
        </w:rPr>
        <w:t>% исполнения росписи;</w:t>
      </w:r>
    </w:p>
    <w:p w:rsidR="00642BDF" w:rsidRDefault="00642BDF" w:rsidP="00DE1661">
      <w:pPr>
        <w:pStyle w:val="13"/>
        <w:rPr>
          <w:snapToGrid/>
        </w:rPr>
      </w:pPr>
      <w:r>
        <w:rPr>
          <w:snapToGrid/>
        </w:rPr>
        <w:t>Справочно:</w:t>
      </w:r>
      <w:r w:rsidRPr="007011F7">
        <w:rPr>
          <w:snapToGrid/>
        </w:rPr>
        <w:t xml:space="preserve"> Межбюджетны</w:t>
      </w:r>
      <w:r>
        <w:rPr>
          <w:snapToGrid/>
        </w:rPr>
        <w:t>е трансферты из других бюджетов.</w:t>
      </w:r>
    </w:p>
    <w:p w:rsidR="00642BDF" w:rsidRPr="007011F7" w:rsidRDefault="00642BDF" w:rsidP="00642BDF">
      <w:pPr>
        <w:pStyle w:val="29"/>
        <w:rPr>
          <w:snapToGrid/>
        </w:rPr>
      </w:pPr>
      <w:r>
        <w:rPr>
          <w:snapToGrid/>
        </w:rPr>
        <w:t>И</w:t>
      </w:r>
      <w:r w:rsidRPr="00917D6D">
        <w:rPr>
          <w:snapToGrid/>
        </w:rPr>
        <w:t>сполнение</w:t>
      </w:r>
    </w:p>
    <w:p w:rsidR="00642BDF" w:rsidRPr="007011F7" w:rsidRDefault="00642BDF" w:rsidP="00642BDF">
      <w:pPr>
        <w:pStyle w:val="-0"/>
      </w:pPr>
      <w:r>
        <w:rPr>
          <w:noProof/>
          <w:snapToGrid/>
        </w:rPr>
        <w:drawing>
          <wp:inline distT="0" distB="0" distL="0" distR="0" wp14:anchorId="28C0E41D" wp14:editId="0AFBFC7D">
            <wp:extent cx="6019800" cy="1971675"/>
            <wp:effectExtent l="0" t="0" r="0" b="9525"/>
            <wp:docPr id="163" name="Рисунок 6" descr="таб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табл"/>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019800" cy="1971675"/>
                    </a:xfrm>
                    <a:prstGeom prst="rect">
                      <a:avLst/>
                    </a:prstGeom>
                    <a:noFill/>
                    <a:ln>
                      <a:noFill/>
                    </a:ln>
                  </pic:spPr>
                </pic:pic>
              </a:graphicData>
            </a:graphic>
          </wp:inline>
        </w:drawing>
      </w:r>
    </w:p>
    <w:p w:rsidR="00642BDF" w:rsidRDefault="00642BDF" w:rsidP="00642BDF">
      <w:pPr>
        <w:pStyle w:val="-0"/>
      </w:pPr>
      <w:bookmarkStart w:id="754" w:name="_Toc80802750"/>
      <w:bookmarkStart w:id="755" w:name="_Toc119584369"/>
      <w:r w:rsidRPr="007011F7">
        <w:t xml:space="preserve">Рисунок </w:t>
      </w:r>
      <w:fldSimple w:instr=" SEQ Рисунок \* ARABIC ">
        <w:r w:rsidR="001860A9">
          <w:rPr>
            <w:noProof/>
          </w:rPr>
          <w:t>182</w:t>
        </w:r>
      </w:fldSimple>
      <w:r w:rsidRPr="007011F7">
        <w:t xml:space="preserve"> </w:t>
      </w:r>
      <w:r>
        <w:t xml:space="preserve">– </w:t>
      </w:r>
      <w:r w:rsidRPr="007011F7">
        <w:t>Макет аналитического отчета «Информация об исполнении бюджетов бюджетной системы Российской Федерации по национальным (федеральным) проектам». Представление «По НП, субъектам и видам расходов» - «Таблица»</w:t>
      </w:r>
      <w:bookmarkEnd w:id="754"/>
      <w:bookmarkEnd w:id="755"/>
    </w:p>
    <w:p w:rsidR="00642BDF" w:rsidRPr="00F426E0" w:rsidRDefault="00642BDF" w:rsidP="00642BDF">
      <w:pPr>
        <w:pStyle w:val="53"/>
      </w:pPr>
      <w:bookmarkStart w:id="756" w:name="_Toc25584662"/>
      <w:r>
        <w:t>П</w:t>
      </w:r>
      <w:r w:rsidRPr="00F426E0">
        <w:t>редставлени</w:t>
      </w:r>
      <w:r>
        <w:t>е</w:t>
      </w:r>
      <w:r w:rsidRPr="00F426E0">
        <w:t xml:space="preserve"> «</w:t>
      </w:r>
      <w:r w:rsidRPr="000B4C41">
        <w:t xml:space="preserve">По </w:t>
      </w:r>
      <w:r>
        <w:t xml:space="preserve">НП, </w:t>
      </w:r>
      <w:r w:rsidRPr="000B4C41">
        <w:t>субъектам и видам расходов</w:t>
      </w:r>
      <w:r w:rsidRPr="00F426E0">
        <w:t>»</w:t>
      </w:r>
      <w:r>
        <w:t xml:space="preserve"> - «Диаграмма»</w:t>
      </w:r>
      <w:bookmarkEnd w:id="756"/>
    </w:p>
    <w:p w:rsidR="00642BDF" w:rsidRPr="007011F7" w:rsidRDefault="00642BDF" w:rsidP="00642BDF">
      <w:pPr>
        <w:ind w:firstLine="567"/>
        <w:rPr>
          <w:snapToGrid/>
          <w:color w:val="auto"/>
          <w:sz w:val="28"/>
          <w:szCs w:val="28"/>
        </w:rPr>
      </w:pPr>
      <w:r w:rsidRPr="007011F7">
        <w:rPr>
          <w:snapToGrid/>
          <w:color w:val="auto"/>
          <w:sz w:val="28"/>
          <w:szCs w:val="28"/>
        </w:rPr>
        <w:t>Представление «</w:t>
      </w:r>
      <w:r w:rsidRPr="007011F7">
        <w:rPr>
          <w:bCs/>
          <w:snapToGrid/>
          <w:sz w:val="28"/>
          <w:szCs w:val="28"/>
        </w:rPr>
        <w:t>По НП, субъектам и видам расходов</w:t>
      </w:r>
      <w:r w:rsidRPr="007011F7">
        <w:rPr>
          <w:snapToGrid/>
          <w:color w:val="auto"/>
          <w:sz w:val="28"/>
          <w:szCs w:val="28"/>
        </w:rPr>
        <w:t>» - «Диаграмма» реализовано в виде гистограммы, отображающая суммы по территориям Российской Федерации и по выбранному показателю в параметре «Показатель».</w:t>
      </w:r>
    </w:p>
    <w:p w:rsidR="00642BDF" w:rsidRPr="007011F7" w:rsidRDefault="00642BDF" w:rsidP="00642BDF">
      <w:pPr>
        <w:ind w:firstLine="567"/>
        <w:rPr>
          <w:snapToGrid/>
          <w:color w:val="auto"/>
          <w:sz w:val="28"/>
          <w:szCs w:val="28"/>
        </w:rPr>
      </w:pPr>
      <w:r w:rsidRPr="007011F7">
        <w:rPr>
          <w:snapToGrid/>
          <w:color w:val="auto"/>
          <w:sz w:val="28"/>
          <w:szCs w:val="28"/>
        </w:rPr>
        <w:t>Параметры (визуальные фильтры):</w:t>
      </w:r>
    </w:p>
    <w:p w:rsidR="00642BDF" w:rsidRPr="007011F7" w:rsidRDefault="00642BDF" w:rsidP="00DE1661">
      <w:pPr>
        <w:pStyle w:val="13"/>
        <w:rPr>
          <w:snapToGrid/>
        </w:rPr>
      </w:pPr>
      <w:r w:rsidRPr="007011F7">
        <w:rPr>
          <w:snapToGrid/>
        </w:rPr>
        <w:t>По состоянию на;</w:t>
      </w:r>
    </w:p>
    <w:p w:rsidR="00642BDF" w:rsidRPr="00766D70" w:rsidRDefault="00642BDF" w:rsidP="00DE1661">
      <w:pPr>
        <w:pStyle w:val="13"/>
        <w:rPr>
          <w:snapToGrid/>
        </w:rPr>
      </w:pPr>
      <w:r w:rsidRPr="00766D70">
        <w:rPr>
          <w:snapToGrid/>
        </w:rPr>
        <w:t>Национальный (федеральный) проект;</w:t>
      </w:r>
    </w:p>
    <w:p w:rsidR="00642BDF" w:rsidRPr="00766D70" w:rsidRDefault="00642BDF" w:rsidP="00DE1661">
      <w:pPr>
        <w:pStyle w:val="13"/>
        <w:rPr>
          <w:snapToGrid/>
        </w:rPr>
      </w:pPr>
      <w:r w:rsidRPr="00766D70">
        <w:rPr>
          <w:snapToGrid/>
        </w:rPr>
        <w:t>Субъект РФ;</w:t>
      </w:r>
    </w:p>
    <w:p w:rsidR="00642BDF" w:rsidRPr="00766D70" w:rsidRDefault="00642BDF" w:rsidP="00DE1661">
      <w:pPr>
        <w:pStyle w:val="13"/>
        <w:rPr>
          <w:snapToGrid/>
        </w:rPr>
      </w:pPr>
      <w:r w:rsidRPr="00766D70">
        <w:rPr>
          <w:snapToGrid/>
        </w:rPr>
        <w:t>Показатель:</w:t>
      </w:r>
    </w:p>
    <w:p w:rsidR="00642BDF" w:rsidRPr="00766D70" w:rsidRDefault="00642BDF" w:rsidP="00DE1661">
      <w:pPr>
        <w:pStyle w:val="13"/>
        <w:rPr>
          <w:snapToGrid/>
        </w:rPr>
      </w:pPr>
      <w:r w:rsidRPr="00766D70">
        <w:rPr>
          <w:snapToGrid/>
        </w:rPr>
        <w:t xml:space="preserve"> Параметр со значениями, аналогичными значениям в представлении </w:t>
      </w:r>
      <w:r w:rsidRPr="00766D70">
        <w:rPr>
          <w:lang w:eastAsia="x-none"/>
        </w:rPr>
        <w:t xml:space="preserve">«По </w:t>
      </w:r>
      <w:r w:rsidRPr="00766D70">
        <w:rPr>
          <w:bCs/>
          <w:snapToGrid/>
          <w:sz w:val="30"/>
        </w:rPr>
        <w:t>НП, субъектам и видам расходов</w:t>
      </w:r>
      <w:r w:rsidRPr="00766D70">
        <w:rPr>
          <w:lang w:eastAsia="x-none"/>
        </w:rPr>
        <w:t>» - «Таблица».</w:t>
      </w:r>
    </w:p>
    <w:p w:rsidR="00642BDF" w:rsidRPr="00E12560" w:rsidRDefault="00642BDF" w:rsidP="00DE1661">
      <w:pPr>
        <w:pStyle w:val="13"/>
        <w:rPr>
          <w:snapToGrid/>
        </w:rPr>
      </w:pPr>
      <w:r w:rsidRPr="00E12560">
        <w:rPr>
          <w:snapToGrid/>
        </w:rPr>
        <w:t>Единицы измерения:</w:t>
      </w:r>
    </w:p>
    <w:p w:rsidR="00642BDF" w:rsidRPr="00EE602B" w:rsidRDefault="00642BDF" w:rsidP="00DE1661">
      <w:pPr>
        <w:pStyle w:val="13"/>
        <w:rPr>
          <w:snapToGrid/>
        </w:rPr>
      </w:pPr>
      <w:r w:rsidRPr="00EE602B">
        <w:rPr>
          <w:snapToGrid/>
        </w:rPr>
        <w:t xml:space="preserve">Сортировка: </w:t>
      </w:r>
    </w:p>
    <w:p w:rsidR="00642BDF" w:rsidRPr="003E013F" w:rsidRDefault="00642BDF" w:rsidP="00642BDF">
      <w:pPr>
        <w:pStyle w:val="29"/>
        <w:rPr>
          <w:snapToGrid/>
          <w:shd w:val="clear" w:color="auto" w:fill="FFFFFF"/>
        </w:rPr>
      </w:pPr>
      <w:r w:rsidRPr="003E013F">
        <w:rPr>
          <w:snapToGrid/>
          <w:shd w:val="clear" w:color="auto" w:fill="FFFFFF"/>
        </w:rPr>
        <w:t>По значению (значение по умолчанию) / по коду региона / по наименованию региона</w:t>
      </w:r>
    </w:p>
    <w:p w:rsidR="00642BDF" w:rsidRPr="003E013F" w:rsidRDefault="00642BDF" w:rsidP="00642BDF">
      <w:pPr>
        <w:pStyle w:val="29"/>
        <w:rPr>
          <w:snapToGrid/>
          <w:shd w:val="clear" w:color="auto" w:fill="FFFFFF"/>
        </w:rPr>
      </w:pPr>
      <w:r w:rsidRPr="003E013F">
        <w:rPr>
          <w:snapToGrid/>
          <w:shd w:val="clear" w:color="auto" w:fill="FFFFFF"/>
        </w:rPr>
        <w:t>По убыванию (значение по умолчанию) / По возрастанию</w:t>
      </w:r>
    </w:p>
    <w:p w:rsidR="00642BDF" w:rsidRPr="00EE602B" w:rsidRDefault="00642BDF" w:rsidP="00DE1661">
      <w:pPr>
        <w:pStyle w:val="13"/>
        <w:rPr>
          <w:snapToGrid/>
        </w:rPr>
      </w:pPr>
      <w:r w:rsidRPr="00EE602B">
        <w:rPr>
          <w:snapToGrid/>
        </w:rPr>
        <w:t>Уровни бюджета;</w:t>
      </w:r>
    </w:p>
    <w:p w:rsidR="00642BDF" w:rsidRPr="007011F7" w:rsidRDefault="00642BDF" w:rsidP="00642BDF">
      <w:pPr>
        <w:pStyle w:val="af0"/>
        <w:rPr>
          <w:snapToGrid/>
        </w:rPr>
      </w:pPr>
      <w:r w:rsidRPr="007011F7">
        <w:rPr>
          <w:snapToGrid/>
        </w:rPr>
        <w:t>Разработано два представления с информацией по территориям Российской Федерации «Топ 10» и «Все».</w:t>
      </w:r>
    </w:p>
    <w:p w:rsidR="00642BDF" w:rsidRPr="007011F7" w:rsidRDefault="00642BDF" w:rsidP="00642BDF">
      <w:pPr>
        <w:pStyle w:val="af0"/>
        <w:rPr>
          <w:snapToGrid/>
        </w:rPr>
      </w:pPr>
      <w:r w:rsidRPr="007011F7">
        <w:rPr>
          <w:snapToGrid/>
        </w:rPr>
        <w:t>По умолчанию открывается диаграмма «ТОП 10» с десятью территориями с максимальными или минимальными значениями по показателю, выбранному в па</w:t>
      </w:r>
      <w:r w:rsidRPr="007011F7">
        <w:rPr>
          <w:b/>
          <w:snapToGrid/>
        </w:rPr>
        <w:t>р</w:t>
      </w:r>
      <w:r w:rsidRPr="007011F7">
        <w:rPr>
          <w:snapToGrid/>
        </w:rPr>
        <w:t>аметре «Показатель».</w:t>
      </w:r>
    </w:p>
    <w:p w:rsidR="00642BDF" w:rsidRPr="007011F7" w:rsidRDefault="00642BDF" w:rsidP="00642BDF">
      <w:pPr>
        <w:pStyle w:val="af0"/>
        <w:rPr>
          <w:snapToGrid/>
        </w:rPr>
      </w:pPr>
      <w:r w:rsidRPr="007011F7">
        <w:rPr>
          <w:snapToGrid/>
        </w:rPr>
        <w:t>Представление «</w:t>
      </w:r>
      <w:r w:rsidRPr="007011F7">
        <w:rPr>
          <w:bCs/>
          <w:snapToGrid/>
        </w:rPr>
        <w:t>По НП, субъектам и видам расходов</w:t>
      </w:r>
      <w:r w:rsidRPr="007011F7">
        <w:rPr>
          <w:snapToGrid/>
        </w:rPr>
        <w:t>» - «Диаграмма» - «Все» реализовано в виде гистограммы, отображающая суммы по всем территориям Российской Федерации и по выбранному показателю в параметре «Показатель».</w:t>
      </w:r>
    </w:p>
    <w:p w:rsidR="00642BDF" w:rsidRPr="007011F7" w:rsidRDefault="00642BDF" w:rsidP="00642BDF">
      <w:pPr>
        <w:pStyle w:val="-0"/>
        <w:rPr>
          <w:snapToGrid/>
        </w:rPr>
      </w:pPr>
      <w:r>
        <w:rPr>
          <w:noProof/>
          <w:snapToGrid/>
        </w:rPr>
        <w:drawing>
          <wp:inline distT="0" distB="0" distL="0" distR="0" wp14:anchorId="0011F39F" wp14:editId="4BBBD4AE">
            <wp:extent cx="6019800" cy="2047875"/>
            <wp:effectExtent l="0" t="0" r="0" b="9525"/>
            <wp:docPr id="162" name="Рисунок 7" descr="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6019800" cy="2047875"/>
                    </a:xfrm>
                    <a:prstGeom prst="rect">
                      <a:avLst/>
                    </a:prstGeom>
                    <a:noFill/>
                    <a:ln>
                      <a:noFill/>
                    </a:ln>
                  </pic:spPr>
                </pic:pic>
              </a:graphicData>
            </a:graphic>
          </wp:inline>
        </w:drawing>
      </w:r>
    </w:p>
    <w:p w:rsidR="00642BDF" w:rsidRPr="003E013F" w:rsidRDefault="00642BDF" w:rsidP="00642BDF">
      <w:pPr>
        <w:pStyle w:val="-0"/>
        <w:rPr>
          <w:snapToGrid/>
          <w:color w:val="auto"/>
        </w:rPr>
      </w:pPr>
      <w:bookmarkStart w:id="757" w:name="_Toc80802751"/>
      <w:bookmarkStart w:id="758" w:name="_Toc119584370"/>
      <w:r w:rsidRPr="007011F7">
        <w:rPr>
          <w:snapToGrid/>
          <w:color w:val="auto"/>
        </w:rPr>
        <w:t xml:space="preserve">Рисунок </w:t>
      </w:r>
      <w:r w:rsidRPr="007011F7">
        <w:rPr>
          <w:snapToGrid/>
          <w:color w:val="auto"/>
        </w:rPr>
        <w:fldChar w:fldCharType="begin"/>
      </w:r>
      <w:r w:rsidRPr="007011F7">
        <w:rPr>
          <w:snapToGrid/>
          <w:color w:val="auto"/>
        </w:rPr>
        <w:instrText xml:space="preserve"> SEQ Рисунок \* ARABIC </w:instrText>
      </w:r>
      <w:r w:rsidRPr="007011F7">
        <w:rPr>
          <w:snapToGrid/>
          <w:color w:val="auto"/>
        </w:rPr>
        <w:fldChar w:fldCharType="separate"/>
      </w:r>
      <w:r w:rsidR="001860A9">
        <w:rPr>
          <w:noProof/>
          <w:snapToGrid/>
          <w:color w:val="auto"/>
        </w:rPr>
        <w:t>183</w:t>
      </w:r>
      <w:r w:rsidRPr="007011F7">
        <w:rPr>
          <w:snapToGrid/>
          <w:color w:val="auto"/>
        </w:rPr>
        <w:fldChar w:fldCharType="end"/>
      </w:r>
      <w:r w:rsidRPr="007011F7">
        <w:rPr>
          <w:snapToGrid/>
          <w:color w:val="auto"/>
        </w:rPr>
        <w:t xml:space="preserve"> </w:t>
      </w:r>
      <w:r>
        <w:rPr>
          <w:snapToGrid/>
          <w:color w:val="auto"/>
        </w:rPr>
        <w:t xml:space="preserve">– </w:t>
      </w:r>
      <w:r w:rsidRPr="007011F7">
        <w:rPr>
          <w:snapToGrid/>
          <w:color w:val="auto"/>
        </w:rPr>
        <w:t>Макет аналитического отчета «</w:t>
      </w:r>
      <w:r w:rsidRPr="0097085E">
        <w:t>Информация об исполнении бюджетов бюджетной системы Российской Федерации по национальным (федеральным) проектам</w:t>
      </w:r>
      <w:r w:rsidRPr="007011F7">
        <w:rPr>
          <w:snapToGrid/>
          <w:color w:val="auto"/>
        </w:rPr>
        <w:t>». Представление «</w:t>
      </w:r>
      <w:r w:rsidRPr="007011F7">
        <w:rPr>
          <w:snapToGrid/>
        </w:rPr>
        <w:t>По НП, субъектам и видам расходов</w:t>
      </w:r>
      <w:r w:rsidRPr="007011F7">
        <w:rPr>
          <w:snapToGrid/>
          <w:color w:val="auto"/>
        </w:rPr>
        <w:t>» - «Диаграмма»</w:t>
      </w:r>
      <w:bookmarkEnd w:id="757"/>
      <w:bookmarkEnd w:id="758"/>
    </w:p>
    <w:p w:rsidR="00642BDF" w:rsidRPr="00F426E0" w:rsidRDefault="00642BDF" w:rsidP="0010720D">
      <w:pPr>
        <w:pStyle w:val="53"/>
      </w:pPr>
      <w:bookmarkStart w:id="759" w:name="_Toc25584661"/>
      <w:r>
        <w:t>П</w:t>
      </w:r>
      <w:r w:rsidRPr="00F426E0">
        <w:t>редставлени</w:t>
      </w:r>
      <w:r>
        <w:t>е</w:t>
      </w:r>
      <w:r w:rsidRPr="00F426E0">
        <w:t xml:space="preserve"> «</w:t>
      </w:r>
      <w:r w:rsidRPr="00DF2B68">
        <w:t xml:space="preserve"> </w:t>
      </w:r>
      <w:r w:rsidRPr="000B4C41">
        <w:t xml:space="preserve">По </w:t>
      </w:r>
      <w:r>
        <w:t xml:space="preserve">НП, </w:t>
      </w:r>
      <w:r w:rsidRPr="000B4C41">
        <w:t>субъектам и видам расходов</w:t>
      </w:r>
      <w:r w:rsidRPr="00F426E0">
        <w:t>»</w:t>
      </w:r>
      <w:r>
        <w:t xml:space="preserve"> - «</w:t>
      </w:r>
      <w:r w:rsidRPr="00084CDE">
        <w:t>Карта</w:t>
      </w:r>
      <w:r>
        <w:t>»</w:t>
      </w:r>
      <w:bookmarkEnd w:id="759"/>
    </w:p>
    <w:p w:rsidR="00642BDF" w:rsidRPr="007011F7" w:rsidRDefault="00642BDF" w:rsidP="00642BDF">
      <w:pPr>
        <w:spacing w:before="120" w:after="60"/>
        <w:ind w:firstLine="567"/>
        <w:contextualSpacing/>
        <w:rPr>
          <w:snapToGrid/>
          <w:color w:val="auto"/>
          <w:sz w:val="28"/>
          <w:szCs w:val="28"/>
        </w:rPr>
      </w:pPr>
      <w:r w:rsidRPr="007011F7">
        <w:rPr>
          <w:snapToGrid/>
          <w:color w:val="auto"/>
          <w:sz w:val="28"/>
          <w:szCs w:val="28"/>
        </w:rPr>
        <w:t>Представление «</w:t>
      </w:r>
      <w:r w:rsidRPr="007011F7">
        <w:rPr>
          <w:bCs/>
          <w:snapToGrid/>
          <w:sz w:val="28"/>
          <w:szCs w:val="28"/>
        </w:rPr>
        <w:t>По НП, субъектам и видам расходов</w:t>
      </w:r>
      <w:r w:rsidRPr="007011F7">
        <w:rPr>
          <w:snapToGrid/>
          <w:color w:val="auto"/>
          <w:sz w:val="28"/>
          <w:szCs w:val="28"/>
        </w:rPr>
        <w:t>» - «К</w:t>
      </w:r>
      <w:r>
        <w:rPr>
          <w:snapToGrid/>
          <w:color w:val="auto"/>
          <w:sz w:val="28"/>
          <w:szCs w:val="28"/>
        </w:rPr>
        <w:t>арта» реализовано в виде карты:</w:t>
      </w:r>
    </w:p>
    <w:p w:rsidR="00642BDF" w:rsidRPr="007011F7" w:rsidRDefault="00642BDF" w:rsidP="00DE1661">
      <w:pPr>
        <w:pStyle w:val="13"/>
        <w:rPr>
          <w:snapToGrid/>
        </w:rPr>
      </w:pPr>
      <w:r>
        <w:rPr>
          <w:snapToGrid/>
        </w:rPr>
        <w:t>п</w:t>
      </w:r>
      <w:r w:rsidRPr="007011F7">
        <w:rPr>
          <w:snapToGrid/>
        </w:rPr>
        <w:t>о ФО;</w:t>
      </w:r>
    </w:p>
    <w:p w:rsidR="00642BDF" w:rsidRPr="007011F7" w:rsidRDefault="00642BDF" w:rsidP="00DE1661">
      <w:pPr>
        <w:pStyle w:val="13"/>
        <w:rPr>
          <w:snapToGrid/>
        </w:rPr>
      </w:pPr>
      <w:r>
        <w:rPr>
          <w:snapToGrid/>
        </w:rPr>
        <w:t>п</w:t>
      </w:r>
      <w:r w:rsidRPr="007011F7">
        <w:rPr>
          <w:snapToGrid/>
        </w:rPr>
        <w:t>о субъектам;</w:t>
      </w:r>
    </w:p>
    <w:p w:rsidR="00642BDF" w:rsidRPr="007011F7" w:rsidRDefault="00642BDF" w:rsidP="00DE1661">
      <w:pPr>
        <w:pStyle w:val="13"/>
        <w:rPr>
          <w:snapToGrid/>
        </w:rPr>
      </w:pPr>
      <w:r w:rsidRPr="007011F7">
        <w:rPr>
          <w:snapToGrid/>
        </w:rPr>
        <w:t>ЦФО;</w:t>
      </w:r>
    </w:p>
    <w:p w:rsidR="00642BDF" w:rsidRPr="007011F7" w:rsidRDefault="00642BDF" w:rsidP="00DE1661">
      <w:pPr>
        <w:pStyle w:val="13"/>
        <w:rPr>
          <w:snapToGrid/>
        </w:rPr>
      </w:pPr>
      <w:r w:rsidRPr="007011F7">
        <w:rPr>
          <w:snapToGrid/>
        </w:rPr>
        <w:t>ЮФО;</w:t>
      </w:r>
    </w:p>
    <w:p w:rsidR="00642BDF" w:rsidRPr="007011F7" w:rsidRDefault="00642BDF" w:rsidP="00DE1661">
      <w:pPr>
        <w:pStyle w:val="13"/>
        <w:rPr>
          <w:snapToGrid/>
        </w:rPr>
      </w:pPr>
      <w:r w:rsidRPr="007011F7">
        <w:rPr>
          <w:snapToGrid/>
        </w:rPr>
        <w:t>С-ЗФО;</w:t>
      </w:r>
    </w:p>
    <w:p w:rsidR="00642BDF" w:rsidRPr="007011F7" w:rsidRDefault="00642BDF" w:rsidP="00DE1661">
      <w:pPr>
        <w:pStyle w:val="13"/>
        <w:rPr>
          <w:snapToGrid/>
        </w:rPr>
      </w:pPr>
      <w:r w:rsidRPr="007011F7">
        <w:rPr>
          <w:snapToGrid/>
        </w:rPr>
        <w:t>ДФО;</w:t>
      </w:r>
    </w:p>
    <w:p w:rsidR="00642BDF" w:rsidRPr="007011F7" w:rsidRDefault="00642BDF" w:rsidP="00DE1661">
      <w:pPr>
        <w:pStyle w:val="13"/>
        <w:rPr>
          <w:snapToGrid/>
        </w:rPr>
      </w:pPr>
      <w:r w:rsidRPr="007011F7">
        <w:rPr>
          <w:snapToGrid/>
        </w:rPr>
        <w:t>СФО;</w:t>
      </w:r>
    </w:p>
    <w:p w:rsidR="00642BDF" w:rsidRPr="007011F7" w:rsidRDefault="00642BDF" w:rsidP="00DE1661">
      <w:pPr>
        <w:pStyle w:val="13"/>
        <w:rPr>
          <w:snapToGrid/>
        </w:rPr>
      </w:pPr>
      <w:r w:rsidRPr="007011F7">
        <w:rPr>
          <w:snapToGrid/>
        </w:rPr>
        <w:t>УФО;</w:t>
      </w:r>
    </w:p>
    <w:p w:rsidR="00642BDF" w:rsidRPr="007011F7" w:rsidRDefault="00642BDF" w:rsidP="00DE1661">
      <w:pPr>
        <w:pStyle w:val="13"/>
        <w:rPr>
          <w:snapToGrid/>
        </w:rPr>
      </w:pPr>
      <w:r w:rsidRPr="007011F7">
        <w:rPr>
          <w:snapToGrid/>
        </w:rPr>
        <w:t>ПФО;</w:t>
      </w:r>
    </w:p>
    <w:p w:rsidR="00642BDF" w:rsidRPr="007011F7" w:rsidRDefault="00642BDF" w:rsidP="00DE1661">
      <w:pPr>
        <w:pStyle w:val="13"/>
        <w:rPr>
          <w:snapToGrid/>
        </w:rPr>
      </w:pPr>
      <w:r w:rsidRPr="007011F7">
        <w:rPr>
          <w:snapToGrid/>
        </w:rPr>
        <w:t>С-КФО.</w:t>
      </w:r>
    </w:p>
    <w:p w:rsidR="00642BDF" w:rsidRPr="007011F7" w:rsidRDefault="00642BDF" w:rsidP="00642BDF">
      <w:pPr>
        <w:keepNext/>
        <w:spacing w:before="120" w:after="60"/>
        <w:ind w:firstLine="567"/>
        <w:contextualSpacing/>
        <w:rPr>
          <w:snapToGrid/>
          <w:color w:val="auto"/>
          <w:sz w:val="28"/>
          <w:szCs w:val="28"/>
        </w:rPr>
      </w:pPr>
      <w:r w:rsidRPr="007011F7">
        <w:rPr>
          <w:snapToGrid/>
          <w:color w:val="auto"/>
          <w:sz w:val="28"/>
          <w:szCs w:val="28"/>
        </w:rPr>
        <w:t>Параметры (визуальные фильтры):</w:t>
      </w:r>
    </w:p>
    <w:p w:rsidR="00642BDF" w:rsidRPr="007011F7" w:rsidRDefault="00642BDF" w:rsidP="00DE1661">
      <w:pPr>
        <w:pStyle w:val="13"/>
        <w:rPr>
          <w:snapToGrid/>
        </w:rPr>
      </w:pPr>
      <w:r w:rsidRPr="007011F7">
        <w:rPr>
          <w:snapToGrid/>
        </w:rPr>
        <w:t>По состоянию на;</w:t>
      </w:r>
    </w:p>
    <w:p w:rsidR="00642BDF" w:rsidRPr="007011F7" w:rsidRDefault="00642BDF" w:rsidP="00DE1661">
      <w:pPr>
        <w:pStyle w:val="13"/>
        <w:rPr>
          <w:snapToGrid/>
        </w:rPr>
      </w:pPr>
      <w:r w:rsidRPr="007011F7">
        <w:rPr>
          <w:snapToGrid/>
        </w:rPr>
        <w:t>Национальный (федеральный) проект;</w:t>
      </w:r>
    </w:p>
    <w:p w:rsidR="00642BDF" w:rsidRDefault="00642BDF" w:rsidP="00DE1661">
      <w:pPr>
        <w:pStyle w:val="13"/>
        <w:rPr>
          <w:snapToGrid/>
        </w:rPr>
      </w:pPr>
      <w:r w:rsidRPr="007011F7">
        <w:rPr>
          <w:snapToGrid/>
        </w:rPr>
        <w:t>Субъект РФ;</w:t>
      </w:r>
    </w:p>
    <w:p w:rsidR="00642BDF" w:rsidRPr="0069469A" w:rsidRDefault="00642BDF" w:rsidP="00DE1661">
      <w:pPr>
        <w:pStyle w:val="13"/>
        <w:rPr>
          <w:snapToGrid/>
        </w:rPr>
      </w:pPr>
      <w:r w:rsidRPr="0069469A">
        <w:rPr>
          <w:snapToGrid/>
        </w:rPr>
        <w:t>Показатель:</w:t>
      </w:r>
    </w:p>
    <w:p w:rsidR="00642BDF" w:rsidRPr="0069469A" w:rsidRDefault="00642BDF" w:rsidP="00DE1661">
      <w:pPr>
        <w:pStyle w:val="13"/>
        <w:rPr>
          <w:snapToGrid/>
        </w:rPr>
      </w:pPr>
      <w:r w:rsidRPr="0069469A">
        <w:rPr>
          <w:snapToGrid/>
        </w:rPr>
        <w:t xml:space="preserve">Параметр со значениями, аналогичными значениям в представлении </w:t>
      </w:r>
      <w:r w:rsidRPr="0069469A">
        <w:rPr>
          <w:lang w:eastAsia="x-none"/>
        </w:rPr>
        <w:t>«</w:t>
      </w:r>
      <w:r w:rsidRPr="0069469A">
        <w:rPr>
          <w:bCs/>
          <w:snapToGrid/>
          <w:sz w:val="30"/>
        </w:rPr>
        <w:t>По НП, субъектам и видам расходов</w:t>
      </w:r>
      <w:r w:rsidRPr="0069469A">
        <w:rPr>
          <w:lang w:eastAsia="x-none"/>
        </w:rPr>
        <w:t>» - «Таблица»</w:t>
      </w:r>
    </w:p>
    <w:p w:rsidR="00642BDF" w:rsidRPr="0069469A" w:rsidRDefault="00642BDF" w:rsidP="00DE1661">
      <w:pPr>
        <w:pStyle w:val="13"/>
        <w:rPr>
          <w:snapToGrid/>
        </w:rPr>
      </w:pPr>
      <w:r w:rsidRPr="0069469A">
        <w:rPr>
          <w:snapToGrid/>
        </w:rPr>
        <w:t>По умолчанию выводится значение «Исполнение. Всего».</w:t>
      </w:r>
    </w:p>
    <w:p w:rsidR="00642BDF" w:rsidRPr="0069469A" w:rsidRDefault="00642BDF" w:rsidP="00DE1661">
      <w:pPr>
        <w:pStyle w:val="13"/>
        <w:rPr>
          <w:snapToGrid/>
        </w:rPr>
      </w:pPr>
      <w:r w:rsidRPr="0069469A">
        <w:rPr>
          <w:snapToGrid/>
        </w:rPr>
        <w:t>Единицы измерения;</w:t>
      </w:r>
    </w:p>
    <w:p w:rsidR="00642BDF" w:rsidRDefault="00642BDF" w:rsidP="00DE1661">
      <w:pPr>
        <w:pStyle w:val="13"/>
        <w:rPr>
          <w:snapToGrid/>
        </w:rPr>
      </w:pPr>
      <w:r>
        <w:rPr>
          <w:snapToGrid/>
        </w:rPr>
        <w:t>Уровни бюджета.</w:t>
      </w:r>
    </w:p>
    <w:p w:rsidR="00642BDF" w:rsidRPr="007011F7" w:rsidRDefault="00642BDF" w:rsidP="00642BDF">
      <w:pPr>
        <w:pStyle w:val="-0"/>
        <w:rPr>
          <w:snapToGrid/>
        </w:rPr>
      </w:pPr>
      <w:r w:rsidRPr="00642BDF">
        <w:rPr>
          <w:noProof/>
        </w:rPr>
        <w:drawing>
          <wp:inline distT="0" distB="0" distL="0" distR="0" wp14:anchorId="7FDB00B5" wp14:editId="0FB72401">
            <wp:extent cx="6019800" cy="1752600"/>
            <wp:effectExtent l="0" t="0" r="0" b="0"/>
            <wp:docPr id="161" name="Рисунок 8" descr="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019800" cy="1752600"/>
                    </a:xfrm>
                    <a:prstGeom prst="rect">
                      <a:avLst/>
                    </a:prstGeom>
                    <a:noFill/>
                    <a:ln>
                      <a:noFill/>
                    </a:ln>
                  </pic:spPr>
                </pic:pic>
              </a:graphicData>
            </a:graphic>
          </wp:inline>
        </w:drawing>
      </w:r>
    </w:p>
    <w:p w:rsidR="00642BDF" w:rsidRPr="007011F7" w:rsidRDefault="00642BDF" w:rsidP="00642BDF">
      <w:pPr>
        <w:pStyle w:val="-0"/>
        <w:rPr>
          <w:snapToGrid/>
          <w:color w:val="auto"/>
        </w:rPr>
      </w:pPr>
      <w:bookmarkStart w:id="760" w:name="_Toc80802752"/>
      <w:bookmarkStart w:id="761" w:name="_Toc119584371"/>
      <w:r w:rsidRPr="007011F7">
        <w:rPr>
          <w:snapToGrid/>
          <w:color w:val="auto"/>
        </w:rPr>
        <w:t xml:space="preserve">Рисунок </w:t>
      </w:r>
      <w:r w:rsidRPr="007011F7">
        <w:rPr>
          <w:snapToGrid/>
          <w:color w:val="auto"/>
        </w:rPr>
        <w:fldChar w:fldCharType="begin"/>
      </w:r>
      <w:r w:rsidRPr="007011F7">
        <w:rPr>
          <w:snapToGrid/>
          <w:color w:val="auto"/>
        </w:rPr>
        <w:instrText xml:space="preserve"> SEQ Рисунок \* ARABIC </w:instrText>
      </w:r>
      <w:r w:rsidRPr="007011F7">
        <w:rPr>
          <w:snapToGrid/>
          <w:color w:val="auto"/>
        </w:rPr>
        <w:fldChar w:fldCharType="separate"/>
      </w:r>
      <w:r w:rsidR="001860A9">
        <w:rPr>
          <w:noProof/>
          <w:snapToGrid/>
          <w:color w:val="auto"/>
        </w:rPr>
        <w:t>184</w:t>
      </w:r>
      <w:r w:rsidRPr="007011F7">
        <w:rPr>
          <w:snapToGrid/>
          <w:color w:val="auto"/>
        </w:rPr>
        <w:fldChar w:fldCharType="end"/>
      </w:r>
      <w:r w:rsidRPr="007011F7">
        <w:rPr>
          <w:snapToGrid/>
          <w:color w:val="auto"/>
        </w:rPr>
        <w:t xml:space="preserve"> </w:t>
      </w:r>
      <w:r>
        <w:rPr>
          <w:snapToGrid/>
          <w:color w:val="auto"/>
        </w:rPr>
        <w:t xml:space="preserve">– </w:t>
      </w:r>
      <w:r w:rsidRPr="007011F7">
        <w:rPr>
          <w:snapToGrid/>
          <w:color w:val="auto"/>
        </w:rPr>
        <w:t>Макет аналитического отчета «</w:t>
      </w:r>
      <w:r w:rsidRPr="007011F7">
        <w:t>Информация об исполнении бюджетов бюджетной системы Российской Федерации по национальным (федеральным) проектам</w:t>
      </w:r>
      <w:r w:rsidRPr="007011F7">
        <w:rPr>
          <w:snapToGrid/>
          <w:color w:val="auto"/>
        </w:rPr>
        <w:t>». Представление «</w:t>
      </w:r>
      <w:r w:rsidRPr="007011F7">
        <w:rPr>
          <w:snapToGrid/>
        </w:rPr>
        <w:t>По НП, субъектам и видам расходов</w:t>
      </w:r>
      <w:r w:rsidRPr="007011F7">
        <w:rPr>
          <w:snapToGrid/>
          <w:color w:val="auto"/>
        </w:rPr>
        <w:t>» - «Карта»</w:t>
      </w:r>
      <w:bookmarkEnd w:id="760"/>
      <w:bookmarkEnd w:id="761"/>
    </w:p>
    <w:p w:rsidR="00642BDF" w:rsidRPr="000B4C41" w:rsidRDefault="00642BDF" w:rsidP="00642BDF">
      <w:pPr>
        <w:pStyle w:val="42"/>
        <w:rPr>
          <w:snapToGrid/>
        </w:rPr>
      </w:pPr>
      <w:bookmarkStart w:id="762" w:name="_Toc25584663"/>
      <w:r w:rsidRPr="000B4C41">
        <w:rPr>
          <w:snapToGrid/>
        </w:rPr>
        <w:t>Представление «</w:t>
      </w:r>
      <w:r>
        <w:rPr>
          <w:snapToGrid/>
        </w:rPr>
        <w:t xml:space="preserve">По </w:t>
      </w:r>
      <w:r w:rsidRPr="000B4C41">
        <w:rPr>
          <w:snapToGrid/>
        </w:rPr>
        <w:t xml:space="preserve">НП </w:t>
      </w:r>
      <w:r>
        <w:rPr>
          <w:snapToGrid/>
        </w:rPr>
        <w:t>и</w:t>
      </w:r>
      <w:r w:rsidRPr="000B4C41">
        <w:rPr>
          <w:snapToGrid/>
        </w:rPr>
        <w:t xml:space="preserve"> субъектам»</w:t>
      </w:r>
      <w:bookmarkEnd w:id="762"/>
    </w:p>
    <w:p w:rsidR="00642BDF" w:rsidRPr="000A7544" w:rsidRDefault="00642BDF" w:rsidP="00642BDF">
      <w:pPr>
        <w:pStyle w:val="af0"/>
      </w:pPr>
      <w:r w:rsidRPr="000A7544">
        <w:t xml:space="preserve">Представление «По НП и субъектам» реализовано в виде таблицы, в колонках содержит </w:t>
      </w:r>
      <w:r>
        <w:t xml:space="preserve">суммы </w:t>
      </w:r>
      <w:r w:rsidRPr="000A7544">
        <w:t xml:space="preserve">по </w:t>
      </w:r>
      <w:r>
        <w:t xml:space="preserve">показателям </w:t>
      </w:r>
      <w:r w:rsidRPr="006F51F4">
        <w:t>Росписи, исполнения «национальных проектов» и по показателям исполнения «из них контрактуемые»,% исполнения росписи.</w:t>
      </w:r>
    </w:p>
    <w:p w:rsidR="00642BDF" w:rsidRDefault="00642BDF" w:rsidP="00642BDF">
      <w:pPr>
        <w:pStyle w:val="af0"/>
        <w:rPr>
          <w:szCs w:val="24"/>
        </w:rPr>
      </w:pPr>
      <w:r>
        <w:rPr>
          <w:szCs w:val="24"/>
        </w:rPr>
        <w:t>В строках отчета находятся наименования субъектов Российской Федерации с группировкой по федеральным округам.</w:t>
      </w:r>
    </w:p>
    <w:p w:rsidR="00642BDF" w:rsidRPr="000B4C41" w:rsidRDefault="00642BDF" w:rsidP="00642BDF">
      <w:pPr>
        <w:pStyle w:val="af0"/>
      </w:pPr>
      <w:r w:rsidRPr="000B4C41">
        <w:t>Параметры представления:</w:t>
      </w:r>
    </w:p>
    <w:p w:rsidR="00642BDF" w:rsidRPr="007C13B7" w:rsidRDefault="00642BDF" w:rsidP="00DE1661">
      <w:pPr>
        <w:pStyle w:val="13"/>
        <w:rPr>
          <w:snapToGrid/>
        </w:rPr>
      </w:pPr>
      <w:r w:rsidRPr="007C13B7">
        <w:rPr>
          <w:snapToGrid/>
        </w:rPr>
        <w:t>По состоянию на: Календарь с выбором даты отображаемых данных. По умолчанию отображается последняя дата обновления данных;</w:t>
      </w:r>
    </w:p>
    <w:p w:rsidR="00642BDF" w:rsidRPr="007C13B7" w:rsidRDefault="00642BDF" w:rsidP="00DE1661">
      <w:pPr>
        <w:pStyle w:val="13"/>
        <w:rPr>
          <w:snapToGrid/>
        </w:rPr>
      </w:pPr>
      <w:r w:rsidRPr="007C13B7">
        <w:rPr>
          <w:snapToGrid/>
        </w:rPr>
        <w:t>Субъект РФ: Выпадающий список с множественным выбором. По умолчанию выводится значение «Все». В параметр выводим наименование территории. Возможность контекстного поиска по наименованию территории.</w:t>
      </w:r>
    </w:p>
    <w:p w:rsidR="00642BDF" w:rsidRPr="007C13B7" w:rsidRDefault="00642BDF" w:rsidP="00DE1661">
      <w:pPr>
        <w:pStyle w:val="13"/>
        <w:rPr>
          <w:snapToGrid/>
        </w:rPr>
      </w:pPr>
      <w:r w:rsidRPr="007C13B7">
        <w:rPr>
          <w:snapToGrid/>
        </w:rPr>
        <w:t>КВР: Выпадающий иерархический список с множественным выбором. Выводятся код и наименование КВР. Возможность контекстного поиска по коду и наименованию КВР.</w:t>
      </w:r>
    </w:p>
    <w:p w:rsidR="00642BDF" w:rsidRPr="007C13B7" w:rsidRDefault="00642BDF" w:rsidP="00DE1661">
      <w:pPr>
        <w:pStyle w:val="13"/>
        <w:rPr>
          <w:snapToGrid/>
        </w:rPr>
      </w:pPr>
      <w:r w:rsidRPr="007C13B7">
        <w:rPr>
          <w:snapToGrid/>
        </w:rPr>
        <w:t>РЗПР: Выпадающий иерархический список с множественным выбором. Выводятся код и наименование РЗПР. Возможность контекстного поиска по коду и наименованию РЗПР.</w:t>
      </w:r>
    </w:p>
    <w:p w:rsidR="00642BDF" w:rsidRPr="007C13B7" w:rsidRDefault="00642BDF" w:rsidP="00DE1661">
      <w:pPr>
        <w:pStyle w:val="13"/>
        <w:rPr>
          <w:snapToGrid/>
        </w:rPr>
      </w:pPr>
      <w:r w:rsidRPr="007C13B7">
        <w:rPr>
          <w:snapToGrid/>
        </w:rPr>
        <w:t>КБК: Параметр с возможностью задания значения по маске, 20 знаков</w:t>
      </w:r>
    </w:p>
    <w:p w:rsidR="00642BDF" w:rsidRPr="007C13B7" w:rsidRDefault="00642BDF" w:rsidP="00DE1661">
      <w:pPr>
        <w:pStyle w:val="13"/>
        <w:rPr>
          <w:snapToGrid/>
          <w:szCs w:val="28"/>
        </w:rPr>
      </w:pPr>
      <w:r w:rsidRPr="007C13B7">
        <w:rPr>
          <w:snapToGrid/>
        </w:rPr>
        <w:t xml:space="preserve">Единицы измерения: Выпадающий список с выбором единиц измерения. </w:t>
      </w:r>
      <w:r w:rsidRPr="007C13B7">
        <w:rPr>
          <w:snapToGrid/>
          <w:szCs w:val="28"/>
        </w:rPr>
        <w:t>Состоит из элементов: руб, тыс руб, млн руб, млрд руб.</w:t>
      </w:r>
    </w:p>
    <w:p w:rsidR="00642BDF" w:rsidRDefault="00642BDF" w:rsidP="00642BDF">
      <w:pPr>
        <w:pStyle w:val="af0"/>
        <w:rPr>
          <w:szCs w:val="28"/>
        </w:rPr>
      </w:pPr>
      <w:r w:rsidRPr="007011F7">
        <w:rPr>
          <w:szCs w:val="28"/>
        </w:rPr>
        <w:t>Наименования колонок:</w:t>
      </w:r>
    </w:p>
    <w:p w:rsidR="00642BDF" w:rsidRPr="00913892" w:rsidRDefault="00642BDF" w:rsidP="00DE1661">
      <w:pPr>
        <w:pStyle w:val="13"/>
      </w:pPr>
      <w:r w:rsidRPr="00913892">
        <w:t>Наименование;</w:t>
      </w:r>
    </w:p>
    <w:p w:rsidR="00642BDF" w:rsidRPr="00913892" w:rsidRDefault="00642BDF" w:rsidP="00DE1661">
      <w:pPr>
        <w:pStyle w:val="13"/>
        <w:rPr>
          <w:snapToGrid/>
        </w:rPr>
      </w:pPr>
      <w:r w:rsidRPr="00913892">
        <w:rPr>
          <w:snapToGrid/>
        </w:rPr>
        <w:t>Всего по национальным проектам:</w:t>
      </w:r>
    </w:p>
    <w:p w:rsidR="00642BDF" w:rsidRPr="00913892" w:rsidRDefault="00642BDF" w:rsidP="00DE1661">
      <w:pPr>
        <w:pStyle w:val="13"/>
        <w:rPr>
          <w:snapToGrid/>
        </w:rPr>
      </w:pPr>
      <w:r w:rsidRPr="00913892">
        <w:rPr>
          <w:snapToGrid/>
        </w:rPr>
        <w:t>Роспись;</w:t>
      </w:r>
    </w:p>
    <w:p w:rsidR="00642BDF" w:rsidRPr="00913892" w:rsidRDefault="00642BDF" w:rsidP="00DE1661">
      <w:pPr>
        <w:pStyle w:val="13"/>
        <w:rPr>
          <w:snapToGrid/>
        </w:rPr>
      </w:pPr>
      <w:r w:rsidRPr="00913892">
        <w:rPr>
          <w:snapToGrid/>
        </w:rPr>
        <w:t>Исполнение, Всего;</w:t>
      </w:r>
    </w:p>
    <w:p w:rsidR="00642BDF" w:rsidRPr="00913892" w:rsidRDefault="00642BDF" w:rsidP="00DE1661">
      <w:pPr>
        <w:pStyle w:val="13"/>
        <w:rPr>
          <w:snapToGrid/>
        </w:rPr>
      </w:pPr>
      <w:r w:rsidRPr="00913892">
        <w:rPr>
          <w:snapToGrid/>
        </w:rPr>
        <w:t>Исполнение, из них контрактуемые;</w:t>
      </w:r>
    </w:p>
    <w:p w:rsidR="00642BDF" w:rsidRPr="00913892" w:rsidRDefault="00642BDF" w:rsidP="00DE1661">
      <w:pPr>
        <w:pStyle w:val="13"/>
        <w:rPr>
          <w:snapToGrid/>
        </w:rPr>
      </w:pPr>
      <w:r w:rsidRPr="00913892">
        <w:rPr>
          <w:snapToGrid/>
        </w:rPr>
        <w:t>% исполнения росписи;</w:t>
      </w:r>
    </w:p>
    <w:p w:rsidR="00642BDF" w:rsidRPr="00913892" w:rsidRDefault="00642BDF" w:rsidP="00DE1661">
      <w:pPr>
        <w:pStyle w:val="13"/>
        <w:rPr>
          <w:snapToGrid/>
        </w:rPr>
      </w:pPr>
      <w:r w:rsidRPr="00913892">
        <w:rPr>
          <w:snapToGrid/>
        </w:rPr>
        <w:t>Национальный проект «Культура»:</w:t>
      </w:r>
    </w:p>
    <w:p w:rsidR="00642BDF" w:rsidRPr="00874311" w:rsidRDefault="00642BDF" w:rsidP="00642BDF">
      <w:pPr>
        <w:pStyle w:val="29"/>
        <w:rPr>
          <w:snapToGrid/>
          <w:shd w:val="clear" w:color="auto" w:fill="FFFFFF"/>
        </w:rPr>
      </w:pPr>
      <w:r w:rsidRPr="00874311">
        <w:rPr>
          <w:snapToGrid/>
          <w:shd w:val="clear" w:color="auto" w:fill="FFFFFF"/>
        </w:rPr>
        <w:t>Роспись;</w:t>
      </w:r>
    </w:p>
    <w:p w:rsidR="00642BDF" w:rsidRPr="00874311" w:rsidRDefault="00642BDF" w:rsidP="00642BDF">
      <w:pPr>
        <w:pStyle w:val="29"/>
        <w:rPr>
          <w:snapToGrid/>
          <w:shd w:val="clear" w:color="auto" w:fill="FFFFFF"/>
        </w:rPr>
      </w:pPr>
      <w:r w:rsidRPr="00874311">
        <w:rPr>
          <w:snapToGrid/>
          <w:shd w:val="clear" w:color="auto" w:fill="FFFFFF"/>
        </w:rPr>
        <w:t>Исполнение, Всего;</w:t>
      </w:r>
    </w:p>
    <w:p w:rsidR="00642BDF" w:rsidRPr="00874311" w:rsidRDefault="00642BDF" w:rsidP="00642BDF">
      <w:pPr>
        <w:pStyle w:val="29"/>
        <w:rPr>
          <w:snapToGrid/>
          <w:shd w:val="clear" w:color="auto" w:fill="FFFFFF"/>
        </w:rPr>
      </w:pPr>
      <w:r w:rsidRPr="00874311">
        <w:rPr>
          <w:snapToGrid/>
          <w:shd w:val="clear" w:color="auto" w:fill="FFFFFF"/>
        </w:rPr>
        <w:t>Исполнение, из них контрактуемые;</w:t>
      </w:r>
    </w:p>
    <w:p w:rsidR="00642BDF" w:rsidRPr="00874311" w:rsidRDefault="00642BDF" w:rsidP="00642BDF">
      <w:pPr>
        <w:pStyle w:val="29"/>
        <w:rPr>
          <w:snapToGrid/>
          <w:shd w:val="clear" w:color="auto" w:fill="FFFFFF"/>
        </w:rPr>
      </w:pPr>
      <w:r w:rsidRPr="00874311">
        <w:rPr>
          <w:snapToGrid/>
          <w:shd w:val="clear" w:color="auto" w:fill="FFFFFF"/>
        </w:rPr>
        <w:t>% исполнения росписи;</w:t>
      </w:r>
    </w:p>
    <w:p w:rsidR="00642BDF" w:rsidRPr="00913892" w:rsidRDefault="00642BDF" w:rsidP="00DE1661">
      <w:pPr>
        <w:pStyle w:val="13"/>
        <w:rPr>
          <w:snapToGrid/>
        </w:rPr>
      </w:pPr>
      <w:r w:rsidRPr="00913892">
        <w:rPr>
          <w:snapToGrid/>
        </w:rPr>
        <w:t>Национальный проект «Цифровая экономика»:</w:t>
      </w:r>
    </w:p>
    <w:p w:rsidR="00642BDF" w:rsidRPr="00874311" w:rsidRDefault="00642BDF" w:rsidP="00642BDF">
      <w:pPr>
        <w:pStyle w:val="29"/>
        <w:rPr>
          <w:snapToGrid/>
          <w:shd w:val="clear" w:color="auto" w:fill="FFFFFF"/>
        </w:rPr>
      </w:pPr>
      <w:r w:rsidRPr="00874311">
        <w:rPr>
          <w:snapToGrid/>
          <w:shd w:val="clear" w:color="auto" w:fill="FFFFFF"/>
        </w:rPr>
        <w:t>Роспись;</w:t>
      </w:r>
    </w:p>
    <w:p w:rsidR="00642BDF" w:rsidRPr="00874311" w:rsidRDefault="00642BDF" w:rsidP="00642BDF">
      <w:pPr>
        <w:pStyle w:val="29"/>
        <w:rPr>
          <w:snapToGrid/>
          <w:shd w:val="clear" w:color="auto" w:fill="FFFFFF"/>
        </w:rPr>
      </w:pPr>
      <w:r w:rsidRPr="00874311">
        <w:rPr>
          <w:snapToGrid/>
          <w:shd w:val="clear" w:color="auto" w:fill="FFFFFF"/>
        </w:rPr>
        <w:t>Исполнение, Всего;</w:t>
      </w:r>
    </w:p>
    <w:p w:rsidR="00642BDF" w:rsidRPr="00874311" w:rsidRDefault="00642BDF" w:rsidP="00642BDF">
      <w:pPr>
        <w:pStyle w:val="29"/>
        <w:rPr>
          <w:snapToGrid/>
          <w:shd w:val="clear" w:color="auto" w:fill="FFFFFF"/>
        </w:rPr>
      </w:pPr>
      <w:r w:rsidRPr="00874311">
        <w:rPr>
          <w:snapToGrid/>
          <w:shd w:val="clear" w:color="auto" w:fill="FFFFFF"/>
        </w:rPr>
        <w:t>Исполнение, из них контрактуемые;</w:t>
      </w:r>
    </w:p>
    <w:p w:rsidR="00642BDF" w:rsidRPr="00874311" w:rsidRDefault="00642BDF" w:rsidP="00642BDF">
      <w:pPr>
        <w:pStyle w:val="29"/>
        <w:rPr>
          <w:snapToGrid/>
          <w:shd w:val="clear" w:color="auto" w:fill="FFFFFF"/>
        </w:rPr>
      </w:pPr>
      <w:r w:rsidRPr="00874311">
        <w:rPr>
          <w:snapToGrid/>
          <w:shd w:val="clear" w:color="auto" w:fill="FFFFFF"/>
        </w:rPr>
        <w:t>% исполнения росписи;</w:t>
      </w:r>
    </w:p>
    <w:p w:rsidR="00642BDF" w:rsidRPr="00913892" w:rsidRDefault="00642BDF" w:rsidP="00DE1661">
      <w:pPr>
        <w:pStyle w:val="13"/>
        <w:rPr>
          <w:snapToGrid/>
        </w:rPr>
      </w:pPr>
      <w:r w:rsidRPr="00913892">
        <w:rPr>
          <w:snapToGrid/>
        </w:rPr>
        <w:t>Национальный проект «Образование»:</w:t>
      </w:r>
    </w:p>
    <w:p w:rsidR="00642BDF" w:rsidRPr="00874311" w:rsidRDefault="00642BDF" w:rsidP="00642BDF">
      <w:pPr>
        <w:pStyle w:val="29"/>
        <w:rPr>
          <w:snapToGrid/>
        </w:rPr>
      </w:pPr>
      <w:r w:rsidRPr="00874311">
        <w:rPr>
          <w:snapToGrid/>
        </w:rPr>
        <w:t>Роспись;</w:t>
      </w:r>
    </w:p>
    <w:p w:rsidR="00642BDF" w:rsidRPr="00874311" w:rsidRDefault="00642BDF" w:rsidP="00642BDF">
      <w:pPr>
        <w:pStyle w:val="29"/>
        <w:rPr>
          <w:snapToGrid/>
        </w:rPr>
      </w:pPr>
      <w:r w:rsidRPr="00874311">
        <w:rPr>
          <w:snapToGrid/>
        </w:rPr>
        <w:t>Исполнение, Всего;</w:t>
      </w:r>
    </w:p>
    <w:p w:rsidR="00642BDF" w:rsidRPr="00874311" w:rsidRDefault="00642BDF" w:rsidP="00642BDF">
      <w:pPr>
        <w:pStyle w:val="29"/>
        <w:rPr>
          <w:snapToGrid/>
        </w:rPr>
      </w:pPr>
      <w:r w:rsidRPr="00874311">
        <w:rPr>
          <w:snapToGrid/>
        </w:rPr>
        <w:t>Исполнение, из них контрактуемые;</w:t>
      </w:r>
    </w:p>
    <w:p w:rsidR="00642BDF" w:rsidRPr="00874311" w:rsidRDefault="00642BDF" w:rsidP="00642BDF">
      <w:pPr>
        <w:pStyle w:val="29"/>
        <w:rPr>
          <w:snapToGrid/>
        </w:rPr>
      </w:pPr>
      <w:r w:rsidRPr="00874311">
        <w:rPr>
          <w:snapToGrid/>
        </w:rPr>
        <w:t>% исполнения росписи;</w:t>
      </w:r>
    </w:p>
    <w:p w:rsidR="00642BDF" w:rsidRPr="00913892" w:rsidRDefault="00642BDF" w:rsidP="00DE1661">
      <w:pPr>
        <w:pStyle w:val="13"/>
        <w:rPr>
          <w:snapToGrid/>
        </w:rPr>
      </w:pPr>
      <w:r w:rsidRPr="00913892">
        <w:rPr>
          <w:snapToGrid/>
        </w:rPr>
        <w:t>Национальный проект «Жилье и городская среда»:</w:t>
      </w:r>
    </w:p>
    <w:p w:rsidR="00642BDF" w:rsidRPr="00913892" w:rsidRDefault="00642BDF" w:rsidP="00642BDF">
      <w:pPr>
        <w:pStyle w:val="29"/>
        <w:rPr>
          <w:snapToGrid/>
        </w:rPr>
      </w:pPr>
      <w:r w:rsidRPr="00913892">
        <w:rPr>
          <w:snapToGrid/>
        </w:rPr>
        <w:t>Роспись;</w:t>
      </w:r>
    </w:p>
    <w:p w:rsidR="00642BDF" w:rsidRPr="00913892" w:rsidRDefault="00642BDF" w:rsidP="00642BDF">
      <w:pPr>
        <w:pStyle w:val="29"/>
        <w:rPr>
          <w:snapToGrid/>
        </w:rPr>
      </w:pPr>
      <w:r w:rsidRPr="00913892">
        <w:rPr>
          <w:snapToGrid/>
        </w:rPr>
        <w:t>Исполнение, Всего;</w:t>
      </w:r>
    </w:p>
    <w:p w:rsidR="00642BDF" w:rsidRPr="00913892" w:rsidRDefault="00642BDF" w:rsidP="00642BDF">
      <w:pPr>
        <w:pStyle w:val="29"/>
        <w:rPr>
          <w:snapToGrid/>
        </w:rPr>
      </w:pPr>
      <w:r w:rsidRPr="00913892">
        <w:rPr>
          <w:snapToGrid/>
        </w:rPr>
        <w:t>Исполнение, из них контрактуемые;</w:t>
      </w:r>
    </w:p>
    <w:p w:rsidR="00642BDF" w:rsidRPr="00913892" w:rsidRDefault="00642BDF" w:rsidP="00642BDF">
      <w:pPr>
        <w:pStyle w:val="29"/>
        <w:rPr>
          <w:snapToGrid/>
        </w:rPr>
      </w:pPr>
      <w:r w:rsidRPr="00913892">
        <w:rPr>
          <w:snapToGrid/>
        </w:rPr>
        <w:t>% исполнения росписи;</w:t>
      </w:r>
    </w:p>
    <w:p w:rsidR="00642BDF" w:rsidRPr="0069442C" w:rsidRDefault="00642BDF" w:rsidP="00DE1661">
      <w:pPr>
        <w:pStyle w:val="13"/>
        <w:rPr>
          <w:snapToGrid/>
        </w:rPr>
      </w:pPr>
      <w:r w:rsidRPr="0069442C">
        <w:rPr>
          <w:snapToGrid/>
        </w:rPr>
        <w:t>Национальный проект «Экология»:</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69442C" w:rsidRDefault="00642BDF" w:rsidP="00DE1661">
      <w:pPr>
        <w:pStyle w:val="13"/>
        <w:rPr>
          <w:snapToGrid/>
        </w:rPr>
      </w:pPr>
      <w:r w:rsidRPr="0069442C">
        <w:rPr>
          <w:snapToGrid/>
        </w:rPr>
        <w:t>Национальный проект «Малое и среднее предпринимательство и поддержка индивидуальной предпринимательской инициативы»:</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69442C" w:rsidRDefault="00642BDF" w:rsidP="00DE1661">
      <w:pPr>
        <w:pStyle w:val="13"/>
        <w:rPr>
          <w:snapToGrid/>
        </w:rPr>
      </w:pPr>
      <w:r w:rsidRPr="0069442C">
        <w:rPr>
          <w:snapToGrid/>
        </w:rPr>
        <w:t>Национальный проект «Туризм и индустрия гостеприимства»:</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69442C" w:rsidRDefault="00642BDF" w:rsidP="00DE1661">
      <w:pPr>
        <w:pStyle w:val="13"/>
        <w:rPr>
          <w:snapToGrid/>
        </w:rPr>
      </w:pPr>
      <w:r w:rsidRPr="0069442C">
        <w:rPr>
          <w:snapToGrid/>
        </w:rPr>
        <w:t>Национальный проект «Производительность труда и поддержка занятости»:</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69442C" w:rsidRDefault="00642BDF" w:rsidP="00DE1661">
      <w:pPr>
        <w:pStyle w:val="13"/>
        <w:rPr>
          <w:snapToGrid/>
        </w:rPr>
      </w:pPr>
      <w:r w:rsidRPr="0069442C">
        <w:rPr>
          <w:snapToGrid/>
        </w:rPr>
        <w:t>Национальный проект «Здравоохранение»:</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69442C" w:rsidRDefault="00642BDF" w:rsidP="00DE1661">
      <w:pPr>
        <w:pStyle w:val="13"/>
        <w:rPr>
          <w:snapToGrid/>
        </w:rPr>
      </w:pPr>
      <w:r w:rsidRPr="0069442C">
        <w:rPr>
          <w:snapToGrid/>
        </w:rPr>
        <w:t>Национальный проект «Демография»:</w:t>
      </w:r>
    </w:p>
    <w:p w:rsidR="00642BDF" w:rsidRPr="0069442C" w:rsidRDefault="00642BDF" w:rsidP="00642BDF">
      <w:pPr>
        <w:pStyle w:val="29"/>
        <w:rPr>
          <w:snapToGrid/>
        </w:rPr>
      </w:pPr>
      <w:r w:rsidRPr="0069442C">
        <w:rPr>
          <w:snapToGrid/>
        </w:rPr>
        <w:t>Роспись;</w:t>
      </w:r>
    </w:p>
    <w:p w:rsidR="00642BDF" w:rsidRPr="0069442C" w:rsidRDefault="00642BDF" w:rsidP="00642BDF">
      <w:pPr>
        <w:pStyle w:val="29"/>
        <w:rPr>
          <w:snapToGrid/>
        </w:rPr>
      </w:pPr>
      <w:r w:rsidRPr="0069442C">
        <w:rPr>
          <w:snapToGrid/>
        </w:rPr>
        <w:t>Исполнение, Всего;</w:t>
      </w:r>
    </w:p>
    <w:p w:rsidR="00642BDF" w:rsidRPr="0069442C" w:rsidRDefault="00642BDF" w:rsidP="00642BDF">
      <w:pPr>
        <w:pStyle w:val="29"/>
        <w:rPr>
          <w:snapToGrid/>
        </w:rPr>
      </w:pPr>
      <w:r w:rsidRPr="0069442C">
        <w:rPr>
          <w:snapToGrid/>
        </w:rPr>
        <w:t>Исполнение, из них контрактуемые;</w:t>
      </w:r>
    </w:p>
    <w:p w:rsidR="00642BDF" w:rsidRPr="0069442C" w:rsidRDefault="00642BDF" w:rsidP="00642BDF">
      <w:pPr>
        <w:pStyle w:val="29"/>
        <w:rPr>
          <w:snapToGrid/>
        </w:rPr>
      </w:pPr>
      <w:r w:rsidRPr="0069442C">
        <w:rPr>
          <w:snapToGrid/>
        </w:rPr>
        <w:t>% исполнения росписи;</w:t>
      </w:r>
    </w:p>
    <w:p w:rsidR="00642BDF" w:rsidRPr="002146B7" w:rsidRDefault="00642BDF" w:rsidP="00DE1661">
      <w:pPr>
        <w:pStyle w:val="13"/>
        <w:rPr>
          <w:snapToGrid/>
        </w:rPr>
      </w:pPr>
      <w:r w:rsidRPr="002146B7">
        <w:rPr>
          <w:snapToGrid/>
        </w:rPr>
        <w:t>Национальный проект «Безопасные и качественные автомобильные дороги»:</w:t>
      </w:r>
    </w:p>
    <w:p w:rsidR="00642BDF" w:rsidRPr="002146B7" w:rsidRDefault="00642BDF" w:rsidP="00642BDF">
      <w:pPr>
        <w:pStyle w:val="29"/>
        <w:rPr>
          <w:snapToGrid/>
        </w:rPr>
      </w:pPr>
      <w:r w:rsidRPr="002146B7">
        <w:rPr>
          <w:snapToGrid/>
        </w:rPr>
        <w:t>Роспись;</w:t>
      </w:r>
    </w:p>
    <w:p w:rsidR="00642BDF" w:rsidRPr="002146B7" w:rsidRDefault="00642BDF" w:rsidP="00642BDF">
      <w:pPr>
        <w:pStyle w:val="29"/>
        <w:rPr>
          <w:snapToGrid/>
        </w:rPr>
      </w:pPr>
      <w:r w:rsidRPr="002146B7">
        <w:rPr>
          <w:snapToGrid/>
        </w:rPr>
        <w:t>Исполнение, Всего;</w:t>
      </w:r>
    </w:p>
    <w:p w:rsidR="00642BDF" w:rsidRPr="002146B7" w:rsidRDefault="00642BDF" w:rsidP="00642BDF">
      <w:pPr>
        <w:pStyle w:val="29"/>
        <w:rPr>
          <w:snapToGrid/>
        </w:rPr>
      </w:pPr>
      <w:r w:rsidRPr="002146B7">
        <w:rPr>
          <w:snapToGrid/>
        </w:rPr>
        <w:t>Исполнение, из них контрактуемые;</w:t>
      </w:r>
    </w:p>
    <w:p w:rsidR="00642BDF" w:rsidRPr="002146B7" w:rsidRDefault="00642BDF" w:rsidP="00642BDF">
      <w:pPr>
        <w:pStyle w:val="29"/>
        <w:rPr>
          <w:snapToGrid/>
        </w:rPr>
      </w:pPr>
      <w:r w:rsidRPr="002146B7">
        <w:rPr>
          <w:snapToGrid/>
        </w:rPr>
        <w:t>% исполнения росписи;</w:t>
      </w:r>
    </w:p>
    <w:p w:rsidR="00642BDF" w:rsidRPr="002146B7" w:rsidRDefault="00642BDF" w:rsidP="00DE1661">
      <w:pPr>
        <w:pStyle w:val="13"/>
        <w:rPr>
          <w:snapToGrid/>
        </w:rPr>
      </w:pPr>
      <w:r w:rsidRPr="002146B7">
        <w:rPr>
          <w:snapToGrid/>
        </w:rPr>
        <w:t>Национальный проект «Наука»:</w:t>
      </w:r>
    </w:p>
    <w:p w:rsidR="00642BDF" w:rsidRPr="002146B7" w:rsidRDefault="00642BDF" w:rsidP="00642BDF">
      <w:pPr>
        <w:pStyle w:val="29"/>
        <w:rPr>
          <w:snapToGrid/>
        </w:rPr>
      </w:pPr>
      <w:r w:rsidRPr="002146B7">
        <w:rPr>
          <w:snapToGrid/>
        </w:rPr>
        <w:t>Роспись;</w:t>
      </w:r>
    </w:p>
    <w:p w:rsidR="00642BDF" w:rsidRPr="002146B7" w:rsidRDefault="00642BDF" w:rsidP="00642BDF">
      <w:pPr>
        <w:pStyle w:val="29"/>
        <w:rPr>
          <w:snapToGrid/>
        </w:rPr>
      </w:pPr>
      <w:r w:rsidRPr="002146B7">
        <w:rPr>
          <w:snapToGrid/>
        </w:rPr>
        <w:t>Исполнение, Всего;</w:t>
      </w:r>
    </w:p>
    <w:p w:rsidR="00642BDF" w:rsidRPr="002146B7" w:rsidRDefault="00642BDF" w:rsidP="00642BDF">
      <w:pPr>
        <w:pStyle w:val="29"/>
        <w:rPr>
          <w:snapToGrid/>
        </w:rPr>
      </w:pPr>
      <w:r w:rsidRPr="002146B7">
        <w:rPr>
          <w:snapToGrid/>
        </w:rPr>
        <w:t>Исполнение, из них контрактуемые;</w:t>
      </w:r>
    </w:p>
    <w:p w:rsidR="00642BDF" w:rsidRPr="002146B7" w:rsidRDefault="00642BDF" w:rsidP="00642BDF">
      <w:pPr>
        <w:pStyle w:val="29"/>
        <w:rPr>
          <w:snapToGrid/>
        </w:rPr>
      </w:pPr>
      <w:r w:rsidRPr="002146B7">
        <w:rPr>
          <w:snapToGrid/>
        </w:rPr>
        <w:t>% исполнения росписи;</w:t>
      </w:r>
    </w:p>
    <w:p w:rsidR="00642BDF" w:rsidRPr="002146B7" w:rsidRDefault="00642BDF" w:rsidP="00DE1661">
      <w:pPr>
        <w:pStyle w:val="13"/>
        <w:rPr>
          <w:snapToGrid/>
        </w:rPr>
      </w:pPr>
      <w:r w:rsidRPr="002146B7">
        <w:rPr>
          <w:snapToGrid/>
        </w:rPr>
        <w:t>Национальный проект «Международная кооперация и экспорт»:</w:t>
      </w:r>
    </w:p>
    <w:p w:rsidR="00642BDF" w:rsidRPr="00874311" w:rsidRDefault="00642BDF" w:rsidP="00642BDF">
      <w:pPr>
        <w:pStyle w:val="29"/>
        <w:rPr>
          <w:snapToGrid/>
          <w:sz w:val="30"/>
        </w:rPr>
      </w:pPr>
      <w:r w:rsidRPr="00874311">
        <w:rPr>
          <w:snapToGrid/>
          <w:sz w:val="30"/>
        </w:rPr>
        <w:t>Роспись;</w:t>
      </w:r>
    </w:p>
    <w:p w:rsidR="00642BDF" w:rsidRPr="00874311" w:rsidRDefault="00642BDF" w:rsidP="00642BDF">
      <w:pPr>
        <w:pStyle w:val="29"/>
        <w:rPr>
          <w:snapToGrid/>
          <w:sz w:val="30"/>
        </w:rPr>
      </w:pPr>
      <w:r w:rsidRPr="00874311">
        <w:rPr>
          <w:snapToGrid/>
          <w:sz w:val="30"/>
        </w:rPr>
        <w:t>Исполнение, Всего;</w:t>
      </w:r>
    </w:p>
    <w:p w:rsidR="00642BDF" w:rsidRPr="00874311" w:rsidRDefault="00642BDF" w:rsidP="00642BDF">
      <w:pPr>
        <w:pStyle w:val="29"/>
        <w:rPr>
          <w:snapToGrid/>
          <w:sz w:val="30"/>
        </w:rPr>
      </w:pPr>
      <w:r w:rsidRPr="00874311">
        <w:rPr>
          <w:snapToGrid/>
          <w:sz w:val="30"/>
        </w:rPr>
        <w:t>Исполнение, из них контрактуемые;</w:t>
      </w:r>
    </w:p>
    <w:p w:rsidR="00642BDF" w:rsidRPr="00874311" w:rsidRDefault="00642BDF" w:rsidP="00642BDF">
      <w:pPr>
        <w:pStyle w:val="29"/>
        <w:rPr>
          <w:snapToGrid/>
          <w:sz w:val="30"/>
        </w:rPr>
      </w:pPr>
      <w:r w:rsidRPr="00874311">
        <w:rPr>
          <w:snapToGrid/>
          <w:sz w:val="30"/>
        </w:rPr>
        <w:t>% исполнения росписи;</w:t>
      </w:r>
    </w:p>
    <w:p w:rsidR="00642BDF" w:rsidRPr="002146B7" w:rsidRDefault="00642BDF" w:rsidP="00DE1661">
      <w:pPr>
        <w:pStyle w:val="13"/>
        <w:rPr>
          <w:snapToGrid/>
        </w:rPr>
      </w:pPr>
      <w:r w:rsidRPr="002146B7">
        <w:rPr>
          <w:snapToGrid/>
        </w:rPr>
        <w:t>Национальный проект «Развитие техники, технологий и науяных исследований в области использования атомной энергии в Российской Федерации на период до 2024 года»:</w:t>
      </w:r>
    </w:p>
    <w:p w:rsidR="00642BDF" w:rsidRPr="00874311" w:rsidRDefault="00642BDF" w:rsidP="00642BDF">
      <w:pPr>
        <w:pStyle w:val="29"/>
        <w:rPr>
          <w:snapToGrid/>
          <w:sz w:val="30"/>
        </w:rPr>
      </w:pPr>
      <w:r w:rsidRPr="00874311">
        <w:rPr>
          <w:snapToGrid/>
          <w:sz w:val="30"/>
        </w:rPr>
        <w:t>Роспись;</w:t>
      </w:r>
    </w:p>
    <w:p w:rsidR="00642BDF" w:rsidRPr="00874311" w:rsidRDefault="00642BDF" w:rsidP="00642BDF">
      <w:pPr>
        <w:pStyle w:val="29"/>
        <w:rPr>
          <w:snapToGrid/>
          <w:sz w:val="30"/>
        </w:rPr>
      </w:pPr>
      <w:r w:rsidRPr="00874311">
        <w:rPr>
          <w:snapToGrid/>
          <w:sz w:val="30"/>
        </w:rPr>
        <w:t>Исполнение, Всего;</w:t>
      </w:r>
    </w:p>
    <w:p w:rsidR="00642BDF" w:rsidRPr="00874311" w:rsidRDefault="00642BDF" w:rsidP="00642BDF">
      <w:pPr>
        <w:pStyle w:val="29"/>
        <w:rPr>
          <w:snapToGrid/>
          <w:sz w:val="30"/>
        </w:rPr>
      </w:pPr>
      <w:r w:rsidRPr="00874311">
        <w:rPr>
          <w:snapToGrid/>
          <w:sz w:val="30"/>
        </w:rPr>
        <w:t>Исполнение, из них контрактуемые;</w:t>
      </w:r>
    </w:p>
    <w:p w:rsidR="00642BDF" w:rsidRPr="00874311" w:rsidRDefault="00642BDF" w:rsidP="00642BDF">
      <w:pPr>
        <w:pStyle w:val="29"/>
        <w:rPr>
          <w:snapToGrid/>
          <w:sz w:val="30"/>
        </w:rPr>
      </w:pPr>
      <w:r w:rsidRPr="00874311">
        <w:rPr>
          <w:snapToGrid/>
          <w:sz w:val="30"/>
        </w:rPr>
        <w:t>% исполнения росписи;</w:t>
      </w:r>
    </w:p>
    <w:p w:rsidR="00642BDF" w:rsidRPr="00D2300D" w:rsidRDefault="00642BDF" w:rsidP="00642BDF">
      <w:pPr>
        <w:pStyle w:val="-0"/>
      </w:pPr>
      <w:r>
        <w:rPr>
          <w:noProof/>
          <w:snapToGrid/>
        </w:rPr>
        <w:drawing>
          <wp:inline distT="0" distB="0" distL="0" distR="0" wp14:anchorId="7FED04C3" wp14:editId="42DCBB34">
            <wp:extent cx="6019800" cy="2038350"/>
            <wp:effectExtent l="0" t="0" r="0" b="0"/>
            <wp:docPr id="160" name="Рисунок 9" descr="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6019800" cy="2038350"/>
                    </a:xfrm>
                    <a:prstGeom prst="rect">
                      <a:avLst/>
                    </a:prstGeom>
                    <a:noFill/>
                    <a:ln>
                      <a:noFill/>
                    </a:ln>
                  </pic:spPr>
                </pic:pic>
              </a:graphicData>
            </a:graphic>
          </wp:inline>
        </w:drawing>
      </w:r>
    </w:p>
    <w:p w:rsidR="00642BDF" w:rsidRPr="00D2300D" w:rsidRDefault="00642BDF" w:rsidP="00642BDF">
      <w:pPr>
        <w:pStyle w:val="-0"/>
      </w:pPr>
      <w:bookmarkStart w:id="763" w:name="_Toc80802753"/>
      <w:bookmarkStart w:id="764" w:name="_Toc119584372"/>
      <w:r w:rsidRPr="00D2300D">
        <w:t xml:space="preserve">Рисунок </w:t>
      </w:r>
      <w:fldSimple w:instr=" SEQ Рисунок \* ARABIC ">
        <w:r w:rsidR="001860A9">
          <w:rPr>
            <w:noProof/>
          </w:rPr>
          <w:t>185</w:t>
        </w:r>
      </w:fldSimple>
      <w:r>
        <w:t xml:space="preserve"> – </w:t>
      </w:r>
      <w:r w:rsidRPr="00D2300D">
        <w:t>Макет аналитического отчета</w:t>
      </w:r>
      <w:r w:rsidRPr="00D2300D">
        <w:rPr>
          <w:snapToGrid/>
        </w:rPr>
        <w:t xml:space="preserve"> </w:t>
      </w:r>
      <w:r w:rsidRPr="00D2300D">
        <w:t xml:space="preserve">«Информация об исполнении расходов всех уровней на реализацию национальных (федеральных) проектов». Представление «По НП </w:t>
      </w:r>
      <w:r>
        <w:t>и</w:t>
      </w:r>
      <w:r w:rsidRPr="00D2300D">
        <w:t xml:space="preserve"> субъектам»</w:t>
      </w:r>
      <w:bookmarkEnd w:id="763"/>
      <w:bookmarkEnd w:id="764"/>
    </w:p>
    <w:p w:rsidR="00642BDF" w:rsidRPr="000B4C41" w:rsidRDefault="00642BDF" w:rsidP="00642BDF">
      <w:pPr>
        <w:pStyle w:val="42"/>
        <w:rPr>
          <w:snapToGrid/>
        </w:rPr>
      </w:pPr>
      <w:bookmarkStart w:id="765" w:name="_Toc25584664"/>
      <w:r w:rsidRPr="000B4C41">
        <w:rPr>
          <w:snapToGrid/>
        </w:rPr>
        <w:t>Представление «</w:t>
      </w:r>
      <w:r>
        <w:rPr>
          <w:snapToGrid/>
        </w:rPr>
        <w:t>По ФП</w:t>
      </w:r>
      <w:r w:rsidRPr="000B4C41">
        <w:rPr>
          <w:snapToGrid/>
        </w:rPr>
        <w:t xml:space="preserve"> </w:t>
      </w:r>
      <w:r>
        <w:rPr>
          <w:snapToGrid/>
        </w:rPr>
        <w:t>и</w:t>
      </w:r>
      <w:r w:rsidRPr="000B4C41">
        <w:rPr>
          <w:snapToGrid/>
        </w:rPr>
        <w:t xml:space="preserve"> субъектам»</w:t>
      </w:r>
      <w:bookmarkEnd w:id="765"/>
    </w:p>
    <w:p w:rsidR="00642BDF" w:rsidRDefault="00642BDF" w:rsidP="00642BDF">
      <w:pPr>
        <w:pStyle w:val="af0"/>
      </w:pPr>
      <w:r>
        <w:t>П</w:t>
      </w:r>
      <w:r w:rsidRPr="000A7544">
        <w:t>редставление «По ФП и субъек</w:t>
      </w:r>
      <w:r>
        <w:t>там» реализовано в виде таблицы.</w:t>
      </w:r>
    </w:p>
    <w:p w:rsidR="00642BDF" w:rsidRPr="000A7544" w:rsidRDefault="00642BDF" w:rsidP="00642BDF">
      <w:pPr>
        <w:pStyle w:val="af0"/>
      </w:pPr>
      <w:r>
        <w:t>В</w:t>
      </w:r>
      <w:r w:rsidRPr="000A7544">
        <w:t xml:space="preserve"> колонках </w:t>
      </w:r>
      <w:r>
        <w:t>таблицы содержатся</w:t>
      </w:r>
      <w:r w:rsidRPr="003E40B0">
        <w:t>: Роспись, показатели исполнения по федеральным проектам в рамках национального проекта, выбранного в параметре «Национальный проект» и показатели «из них контрактуемые», а также % исполнения росписи.</w:t>
      </w:r>
    </w:p>
    <w:p w:rsidR="00642BDF" w:rsidRPr="000A7544" w:rsidRDefault="00642BDF" w:rsidP="00642BDF">
      <w:pPr>
        <w:pStyle w:val="af0"/>
      </w:pPr>
      <w:r w:rsidRPr="000A7544">
        <w:t>В строках</w:t>
      </w:r>
      <w:r>
        <w:t xml:space="preserve"> таблицы</w:t>
      </w:r>
      <w:r w:rsidRPr="000A7544">
        <w:t xml:space="preserve"> - наименования субъектов Российской Федерации с </w:t>
      </w:r>
      <w:r w:rsidRPr="003E40B0">
        <w:t>группировкой</w:t>
      </w:r>
      <w:r>
        <w:t xml:space="preserve"> </w:t>
      </w:r>
      <w:r w:rsidRPr="000A7544">
        <w:t>по федеральным округам</w:t>
      </w:r>
    </w:p>
    <w:p w:rsidR="00642BDF" w:rsidRPr="000B4C41" w:rsidRDefault="00642BDF" w:rsidP="00642BDF">
      <w:pPr>
        <w:pStyle w:val="af0"/>
      </w:pPr>
      <w:r w:rsidRPr="000B4C41">
        <w:t>Параметры представления:</w:t>
      </w:r>
    </w:p>
    <w:p w:rsidR="00642BDF" w:rsidRPr="008E074B" w:rsidRDefault="00642BDF" w:rsidP="00DE1661">
      <w:pPr>
        <w:pStyle w:val="13"/>
        <w:rPr>
          <w:snapToGrid/>
        </w:rPr>
      </w:pPr>
      <w:r w:rsidRPr="008E074B">
        <w:rPr>
          <w:snapToGrid/>
        </w:rPr>
        <w:t>По состоянию на: Календарь с выбором даты отображаемых данных. По умолчанию отображается п</w:t>
      </w:r>
      <w:r>
        <w:rPr>
          <w:snapToGrid/>
        </w:rPr>
        <w:t>оследняя дата обновления данных.</w:t>
      </w:r>
    </w:p>
    <w:p w:rsidR="00642BDF" w:rsidRPr="008E074B" w:rsidRDefault="00642BDF" w:rsidP="00DE1661">
      <w:pPr>
        <w:pStyle w:val="13"/>
        <w:rPr>
          <w:snapToGrid/>
        </w:rPr>
      </w:pPr>
      <w:r w:rsidRPr="008E074B">
        <w:rPr>
          <w:snapToGrid/>
        </w:rPr>
        <w:t xml:space="preserve">Национальный проект: Выпадающий иерархический список с выбором кода и наименования национального проекта. Возможность контекстного поиска кода и наименования национального </w:t>
      </w:r>
      <w:r>
        <w:rPr>
          <w:snapToGrid/>
        </w:rPr>
        <w:t>проекта.</w:t>
      </w:r>
    </w:p>
    <w:p w:rsidR="00642BDF" w:rsidRPr="008E074B" w:rsidRDefault="00642BDF" w:rsidP="00DE1661">
      <w:pPr>
        <w:pStyle w:val="13"/>
        <w:rPr>
          <w:snapToGrid/>
        </w:rPr>
      </w:pPr>
      <w:r w:rsidRPr="008E074B">
        <w:rPr>
          <w:snapToGrid/>
        </w:rPr>
        <w:t>Субъект РФ: Выпадающий список с множественным выбором. По умолчанию выводится значение «Все». В параметр выводим наименование территории. Возможность контекстного поиска по наименованию территории.</w:t>
      </w:r>
    </w:p>
    <w:p w:rsidR="00642BDF" w:rsidRPr="008E074B" w:rsidRDefault="00642BDF" w:rsidP="00DE1661">
      <w:pPr>
        <w:pStyle w:val="13"/>
        <w:rPr>
          <w:snapToGrid/>
        </w:rPr>
      </w:pPr>
      <w:r w:rsidRPr="008E074B">
        <w:rPr>
          <w:snapToGrid/>
        </w:rPr>
        <w:t>Уровни бюджетов: Выпадающий список с множественным выбором (Федеральный бюджет, Региональный бюджет, Местные бюджеты, ГВФ, ТФОМС).</w:t>
      </w:r>
    </w:p>
    <w:p w:rsidR="00642BDF" w:rsidRPr="008E074B" w:rsidRDefault="00642BDF" w:rsidP="00DE1661">
      <w:pPr>
        <w:pStyle w:val="13"/>
        <w:rPr>
          <w:snapToGrid/>
        </w:rPr>
      </w:pPr>
      <w:r w:rsidRPr="008E074B">
        <w:rPr>
          <w:snapToGrid/>
        </w:rPr>
        <w:t>КВР: Выпадающий иерархический список с множественным выбором. Выводятся код и наименование КВР. Возможность контекстного поиска по коду и наименованию КВР.</w:t>
      </w:r>
    </w:p>
    <w:p w:rsidR="00642BDF" w:rsidRPr="008E074B" w:rsidRDefault="00642BDF" w:rsidP="00DE1661">
      <w:pPr>
        <w:pStyle w:val="13"/>
        <w:rPr>
          <w:snapToGrid/>
        </w:rPr>
      </w:pPr>
      <w:r w:rsidRPr="008E074B">
        <w:rPr>
          <w:snapToGrid/>
        </w:rPr>
        <w:t>РЗПР: Выпадающий иерархический список с множественным выбором. Выводятся код и наименование РЗПР. Возможность контекстного поиска по коду и наименованию РЗПР.</w:t>
      </w:r>
    </w:p>
    <w:p w:rsidR="00642BDF" w:rsidRPr="008E074B" w:rsidRDefault="00642BDF" w:rsidP="00DE1661">
      <w:pPr>
        <w:pStyle w:val="13"/>
        <w:rPr>
          <w:snapToGrid/>
        </w:rPr>
      </w:pPr>
      <w:r w:rsidRPr="008E074B">
        <w:rPr>
          <w:snapToGrid/>
        </w:rPr>
        <w:t>КБК: Параметр с возможностью задания значения по маске, 20 знаков.</w:t>
      </w:r>
    </w:p>
    <w:p w:rsidR="00642BDF" w:rsidRPr="008E074B" w:rsidRDefault="00642BDF" w:rsidP="00DE1661">
      <w:pPr>
        <w:pStyle w:val="13"/>
        <w:rPr>
          <w:snapToGrid/>
        </w:rPr>
      </w:pPr>
      <w:r w:rsidRPr="008E074B">
        <w:rPr>
          <w:snapToGrid/>
        </w:rPr>
        <w:t>Единицы измерения: Выпадающий список с выбором единиц измерения. Состоит из элементов: руб, тыс руб, млн руб, млрд руб.</w:t>
      </w:r>
    </w:p>
    <w:p w:rsidR="00642BDF" w:rsidRDefault="00642BDF" w:rsidP="00642BDF">
      <w:pPr>
        <w:pStyle w:val="af0"/>
        <w:rPr>
          <w:szCs w:val="28"/>
        </w:rPr>
      </w:pPr>
      <w:r w:rsidRPr="007011F7">
        <w:rPr>
          <w:szCs w:val="28"/>
        </w:rPr>
        <w:t>Наименования колонок:</w:t>
      </w:r>
    </w:p>
    <w:p w:rsidR="00642BDF" w:rsidRPr="00467175" w:rsidRDefault="00642BDF" w:rsidP="00DE1661">
      <w:pPr>
        <w:pStyle w:val="13"/>
      </w:pPr>
      <w:r w:rsidRPr="00467175">
        <w:t>Наименование;</w:t>
      </w:r>
    </w:p>
    <w:p w:rsidR="00642BDF" w:rsidRPr="00467175" w:rsidRDefault="00642BDF" w:rsidP="00DE1661">
      <w:pPr>
        <w:pStyle w:val="13"/>
      </w:pPr>
      <w:r w:rsidRPr="00467175">
        <w:t>Всего по национальному проекту;</w:t>
      </w:r>
    </w:p>
    <w:p w:rsidR="00642BDF" w:rsidRPr="00467175" w:rsidRDefault="00642BDF" w:rsidP="00DE1661">
      <w:pPr>
        <w:pStyle w:val="13"/>
      </w:pPr>
      <w:r w:rsidRPr="00467175">
        <w:t>Из них контрактуемые;</w:t>
      </w:r>
    </w:p>
    <w:p w:rsidR="00642BDF" w:rsidRPr="00467175" w:rsidRDefault="00642BDF" w:rsidP="00DE1661">
      <w:pPr>
        <w:pStyle w:val="13"/>
      </w:pPr>
      <w:r w:rsidRPr="00467175">
        <w:t>Национальный проект «…»:</w:t>
      </w:r>
    </w:p>
    <w:p w:rsidR="00642BDF" w:rsidRPr="008E074B" w:rsidRDefault="00642BDF" w:rsidP="00642BDF">
      <w:pPr>
        <w:pStyle w:val="29"/>
        <w:rPr>
          <w:szCs w:val="28"/>
        </w:rPr>
      </w:pPr>
      <w:r w:rsidRPr="008E074B">
        <w:rPr>
          <w:szCs w:val="28"/>
        </w:rPr>
        <w:t xml:space="preserve">Федеральный проект «…»: </w:t>
      </w:r>
      <w:r w:rsidRPr="008E074B">
        <w:t>Количество зависит от количества Федеральных проектов входящих в состав национальных проектов, выбранных в соответствии с параметром "Национальные проекты"</w:t>
      </w:r>
    </w:p>
    <w:p w:rsidR="00642BDF" w:rsidRPr="008E074B" w:rsidRDefault="00642BDF" w:rsidP="005C6E50">
      <w:pPr>
        <w:pStyle w:val="3e"/>
        <w:numPr>
          <w:ilvl w:val="0"/>
          <w:numId w:val="116"/>
        </w:numPr>
        <w:rPr>
          <w:shd w:val="clear" w:color="auto" w:fill="FFFFFF"/>
        </w:rPr>
      </w:pPr>
      <w:r w:rsidRPr="008E074B">
        <w:rPr>
          <w:shd w:val="clear" w:color="auto" w:fill="FFFFFF"/>
        </w:rPr>
        <w:t>Роспись;</w:t>
      </w:r>
    </w:p>
    <w:p w:rsidR="00642BDF" w:rsidRPr="008E074B" w:rsidRDefault="00642BDF" w:rsidP="005C6E50">
      <w:pPr>
        <w:pStyle w:val="3e"/>
        <w:numPr>
          <w:ilvl w:val="0"/>
          <w:numId w:val="116"/>
        </w:numPr>
        <w:rPr>
          <w:shd w:val="clear" w:color="auto" w:fill="FFFFFF"/>
        </w:rPr>
      </w:pPr>
      <w:r w:rsidRPr="008E074B">
        <w:rPr>
          <w:shd w:val="clear" w:color="auto" w:fill="FFFFFF"/>
        </w:rPr>
        <w:t>Исполнение, Всего;</w:t>
      </w:r>
    </w:p>
    <w:p w:rsidR="00642BDF" w:rsidRPr="008E074B" w:rsidRDefault="00642BDF" w:rsidP="005C6E50">
      <w:pPr>
        <w:pStyle w:val="3e"/>
        <w:numPr>
          <w:ilvl w:val="0"/>
          <w:numId w:val="116"/>
        </w:numPr>
        <w:rPr>
          <w:shd w:val="clear" w:color="auto" w:fill="FFFFFF"/>
        </w:rPr>
      </w:pPr>
      <w:r w:rsidRPr="008E074B">
        <w:rPr>
          <w:shd w:val="clear" w:color="auto" w:fill="FFFFFF"/>
        </w:rPr>
        <w:t>Исполнение, из них контрактуемые;</w:t>
      </w:r>
    </w:p>
    <w:p w:rsidR="00642BDF" w:rsidRPr="008E074B" w:rsidRDefault="00642BDF" w:rsidP="005C6E50">
      <w:pPr>
        <w:pStyle w:val="3e"/>
        <w:numPr>
          <w:ilvl w:val="0"/>
          <w:numId w:val="116"/>
        </w:numPr>
        <w:rPr>
          <w:shd w:val="clear" w:color="auto" w:fill="FFFFFF"/>
        </w:rPr>
      </w:pPr>
      <w:r w:rsidRPr="008E074B">
        <w:rPr>
          <w:shd w:val="clear" w:color="auto" w:fill="FFFFFF"/>
        </w:rPr>
        <w:t>% исполнения к росписи.</w:t>
      </w:r>
    </w:p>
    <w:p w:rsidR="00642BDF" w:rsidRDefault="00642BDF" w:rsidP="00642BDF">
      <w:pPr>
        <w:pStyle w:val="af0"/>
        <w:ind w:firstLine="0"/>
      </w:pPr>
    </w:p>
    <w:p w:rsidR="00642BDF" w:rsidRPr="00DC39C6" w:rsidRDefault="00642BDF" w:rsidP="00642BDF">
      <w:pPr>
        <w:pStyle w:val="-0"/>
      </w:pPr>
      <w:r>
        <w:rPr>
          <w:noProof/>
          <w:snapToGrid/>
        </w:rPr>
        <w:drawing>
          <wp:inline distT="0" distB="0" distL="0" distR="0" wp14:anchorId="2906983A" wp14:editId="7D0AB6D8">
            <wp:extent cx="6019800" cy="1800225"/>
            <wp:effectExtent l="0" t="0" r="0" b="9525"/>
            <wp:docPr id="159" name="Рисунок 10" descr="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т"/>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6019800" cy="1800225"/>
                    </a:xfrm>
                    <a:prstGeom prst="rect">
                      <a:avLst/>
                    </a:prstGeom>
                    <a:noFill/>
                    <a:ln>
                      <a:noFill/>
                    </a:ln>
                  </pic:spPr>
                </pic:pic>
              </a:graphicData>
            </a:graphic>
          </wp:inline>
        </w:drawing>
      </w:r>
    </w:p>
    <w:p w:rsidR="00642BDF" w:rsidRDefault="00642BDF" w:rsidP="00642BDF">
      <w:pPr>
        <w:pStyle w:val="-0"/>
      </w:pPr>
      <w:bookmarkStart w:id="766" w:name="_Toc80802754"/>
      <w:bookmarkStart w:id="767" w:name="_Toc119584373"/>
      <w:r w:rsidRPr="00DC39C6">
        <w:t xml:space="preserve">Рисунок </w:t>
      </w:r>
      <w:fldSimple w:instr=" SEQ Рисунок \* ARABIC ">
        <w:r w:rsidR="001860A9">
          <w:rPr>
            <w:noProof/>
          </w:rPr>
          <w:t>186</w:t>
        </w:r>
      </w:fldSimple>
      <w:r w:rsidRPr="00DC39C6">
        <w:t xml:space="preserve"> </w:t>
      </w:r>
      <w:r>
        <w:t xml:space="preserve">– </w:t>
      </w:r>
      <w:r w:rsidRPr="00DC39C6">
        <w:t>Макет аналитического отчета «Информация об исполнении расходов всех уровней на реализацию национальных (федеральных) проектов». Представление «По ФП по субъектам»</w:t>
      </w:r>
      <w:bookmarkEnd w:id="766"/>
      <w:bookmarkEnd w:id="767"/>
    </w:p>
    <w:p w:rsidR="00642BDF" w:rsidRPr="000B4C41" w:rsidRDefault="00642BDF" w:rsidP="00642BDF">
      <w:pPr>
        <w:pStyle w:val="42"/>
        <w:rPr>
          <w:snapToGrid/>
        </w:rPr>
      </w:pPr>
      <w:r w:rsidRPr="000B4C41">
        <w:rPr>
          <w:snapToGrid/>
        </w:rPr>
        <w:t>Представление «</w:t>
      </w:r>
      <w:r>
        <w:rPr>
          <w:snapToGrid/>
        </w:rPr>
        <w:t>По НП бюджетами субъектов</w:t>
      </w:r>
      <w:r w:rsidRPr="000B4C41">
        <w:rPr>
          <w:snapToGrid/>
        </w:rPr>
        <w:t>»</w:t>
      </w:r>
    </w:p>
    <w:p w:rsidR="00642BDF" w:rsidRDefault="00642BDF" w:rsidP="00642BDF">
      <w:pPr>
        <w:pStyle w:val="af0"/>
      </w:pPr>
      <w:r>
        <w:t>П</w:t>
      </w:r>
      <w:r w:rsidRPr="000A7544">
        <w:t>редставление «По</w:t>
      </w:r>
      <w:r>
        <w:t xml:space="preserve"> НП бюджетами субъектов» реализовано в виде таблицы.</w:t>
      </w:r>
    </w:p>
    <w:p w:rsidR="00642BDF" w:rsidRPr="000A7544" w:rsidRDefault="00642BDF" w:rsidP="00642BDF">
      <w:pPr>
        <w:pStyle w:val="af0"/>
      </w:pPr>
      <w:r>
        <w:t>В</w:t>
      </w:r>
      <w:r w:rsidRPr="000A7544">
        <w:t xml:space="preserve"> колонках </w:t>
      </w:r>
      <w:r>
        <w:t>таблицы содержатся</w:t>
      </w:r>
      <w:r w:rsidRPr="003E40B0">
        <w:t xml:space="preserve">: Роспись, </w:t>
      </w:r>
      <w:r>
        <w:t>Доведенные ЛБО, Принятые БО, Денежные обязательства, Исполнение, МБТ из ФБ, Средства субъекта</w:t>
      </w:r>
      <w:r w:rsidRPr="003E40B0">
        <w:t>.</w:t>
      </w:r>
    </w:p>
    <w:p w:rsidR="00642BDF" w:rsidRPr="000A7544" w:rsidRDefault="00642BDF" w:rsidP="00642BDF">
      <w:pPr>
        <w:pStyle w:val="af0"/>
      </w:pPr>
      <w:r w:rsidRPr="000A7544">
        <w:t>В строках</w:t>
      </w:r>
      <w:r>
        <w:t xml:space="preserve"> таблицы</w:t>
      </w:r>
      <w:r w:rsidRPr="000A7544">
        <w:t xml:space="preserve"> - наименования субъектов Российской Федерации</w:t>
      </w:r>
      <w:r>
        <w:t>.</w:t>
      </w:r>
    </w:p>
    <w:p w:rsidR="00642BDF" w:rsidRPr="000B4C41" w:rsidRDefault="00642BDF" w:rsidP="00642BDF">
      <w:pPr>
        <w:pStyle w:val="af0"/>
      </w:pPr>
      <w:r w:rsidRPr="000B4C41">
        <w:t>Параметры представления:</w:t>
      </w:r>
    </w:p>
    <w:p w:rsidR="00642BDF" w:rsidRPr="00D35CCD" w:rsidRDefault="00642BDF" w:rsidP="00DE1661">
      <w:pPr>
        <w:pStyle w:val="13"/>
        <w:rPr>
          <w:snapToGrid/>
        </w:rPr>
      </w:pPr>
      <w:r w:rsidRPr="00D35CCD">
        <w:rPr>
          <w:snapToGrid/>
        </w:rPr>
        <w:t>По состоянию на: Календарь с выбором даты отображаемых данных.</w:t>
      </w:r>
      <w:r>
        <w:rPr>
          <w:snapToGrid/>
        </w:rPr>
        <w:t xml:space="preserve"> </w:t>
      </w:r>
      <w:r w:rsidRPr="00D35CCD">
        <w:rPr>
          <w:snapToGrid/>
        </w:rPr>
        <w:t>По умолчанию отображается п</w:t>
      </w:r>
      <w:r>
        <w:rPr>
          <w:snapToGrid/>
        </w:rPr>
        <w:t>оследняя дата обновления данных.</w:t>
      </w:r>
    </w:p>
    <w:p w:rsidR="00642BDF" w:rsidRPr="00D35CCD" w:rsidRDefault="00642BDF" w:rsidP="00DE1661">
      <w:pPr>
        <w:pStyle w:val="13"/>
        <w:rPr>
          <w:snapToGrid/>
        </w:rPr>
      </w:pPr>
      <w:r w:rsidRPr="00D35CCD">
        <w:rPr>
          <w:snapToGrid/>
        </w:rPr>
        <w:t>Национальный (федеральный) проект: Выпадающий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p w:rsidR="00642BDF" w:rsidRPr="00D35CCD" w:rsidRDefault="00642BDF" w:rsidP="00DE1661">
      <w:pPr>
        <w:pStyle w:val="13"/>
        <w:rPr>
          <w:snapToGrid/>
        </w:rPr>
      </w:pPr>
      <w:r w:rsidRPr="00D35CCD">
        <w:rPr>
          <w:snapToGrid/>
        </w:rPr>
        <w:t>Субъект РФ: Выпадающий список с множественным выбором. По умолчанию выводится значение «Все». В параметр выводим наименование территории. Возможность контекстного поиска по наименованию территории.</w:t>
      </w:r>
    </w:p>
    <w:p w:rsidR="00642BDF" w:rsidRPr="00D35CCD" w:rsidRDefault="00642BDF" w:rsidP="00DE1661">
      <w:pPr>
        <w:pStyle w:val="13"/>
        <w:rPr>
          <w:snapToGrid/>
        </w:rPr>
      </w:pPr>
      <w:r w:rsidRPr="00D35CCD">
        <w:rPr>
          <w:snapToGrid/>
        </w:rPr>
        <w:t>Единицы измерения: Выпадающий список с выбором единиц измерения. Состоит из элементов: руб, тыс руб, млн руб, млрд руб.</w:t>
      </w:r>
    </w:p>
    <w:p w:rsidR="00642BDF" w:rsidRDefault="00642BDF" w:rsidP="00642BDF">
      <w:pPr>
        <w:pStyle w:val="af0"/>
        <w:rPr>
          <w:szCs w:val="28"/>
        </w:rPr>
      </w:pPr>
      <w:r w:rsidRPr="007011F7">
        <w:rPr>
          <w:szCs w:val="28"/>
        </w:rPr>
        <w:t>Наименования колонок:</w:t>
      </w:r>
    </w:p>
    <w:p w:rsidR="00642BDF" w:rsidRPr="00467175" w:rsidRDefault="00642BDF" w:rsidP="00DE1661">
      <w:pPr>
        <w:pStyle w:val="13"/>
      </w:pPr>
      <w:r w:rsidRPr="00467175">
        <w:t>Наименование;</w:t>
      </w:r>
    </w:p>
    <w:p w:rsidR="00642BDF" w:rsidRPr="00467175" w:rsidRDefault="00642BDF" w:rsidP="00DE1661">
      <w:pPr>
        <w:pStyle w:val="13"/>
      </w:pPr>
      <w:r>
        <w:t>ОКТМО</w:t>
      </w:r>
      <w:r w:rsidRPr="00467175">
        <w:t>;</w:t>
      </w:r>
    </w:p>
    <w:p w:rsidR="00642BDF" w:rsidRDefault="00642BDF" w:rsidP="00DE1661">
      <w:pPr>
        <w:pStyle w:val="13"/>
      </w:pPr>
      <w:r>
        <w:t>Код национального проекта</w:t>
      </w:r>
      <w:r w:rsidRPr="00467175">
        <w:t>;</w:t>
      </w:r>
    </w:p>
    <w:p w:rsidR="00642BDF" w:rsidRDefault="00642BDF" w:rsidP="00DE1661">
      <w:pPr>
        <w:pStyle w:val="13"/>
      </w:pPr>
      <w:r>
        <w:t>Наименование национального проекта;</w:t>
      </w:r>
    </w:p>
    <w:p w:rsidR="00642BDF" w:rsidRDefault="00642BDF" w:rsidP="00DE1661">
      <w:pPr>
        <w:pStyle w:val="13"/>
      </w:pPr>
      <w:r>
        <w:t>Код федерального проекта</w:t>
      </w:r>
      <w:r w:rsidRPr="00467175">
        <w:t>;</w:t>
      </w:r>
    </w:p>
    <w:p w:rsidR="00642BDF" w:rsidRDefault="00642BDF" w:rsidP="00DE1661">
      <w:pPr>
        <w:pStyle w:val="13"/>
      </w:pPr>
      <w:r>
        <w:t>Наименование федерального проекта;</w:t>
      </w:r>
    </w:p>
    <w:p w:rsidR="00642BDF" w:rsidRDefault="00642BDF" w:rsidP="00DE1661">
      <w:pPr>
        <w:pStyle w:val="13"/>
      </w:pPr>
      <w:r>
        <w:t>Роспись;</w:t>
      </w:r>
    </w:p>
    <w:p w:rsidR="00642BDF" w:rsidRDefault="00642BDF" w:rsidP="00DE1661">
      <w:pPr>
        <w:pStyle w:val="13"/>
      </w:pPr>
      <w:r>
        <w:t>Доведенные ЛБО;</w:t>
      </w:r>
    </w:p>
    <w:p w:rsidR="00642BDF" w:rsidRDefault="00642BDF" w:rsidP="00DE1661">
      <w:pPr>
        <w:pStyle w:val="13"/>
      </w:pPr>
      <w:r>
        <w:t>Принятые БО;</w:t>
      </w:r>
    </w:p>
    <w:p w:rsidR="00642BDF" w:rsidRDefault="00642BDF" w:rsidP="00DE1661">
      <w:pPr>
        <w:pStyle w:val="13"/>
      </w:pPr>
      <w:r>
        <w:t>Денежные обязательства;</w:t>
      </w:r>
    </w:p>
    <w:p w:rsidR="00642BDF" w:rsidRDefault="00642BDF" w:rsidP="00DE1661">
      <w:pPr>
        <w:pStyle w:val="13"/>
      </w:pPr>
      <w:r>
        <w:t>Исполнение;</w:t>
      </w:r>
    </w:p>
    <w:p w:rsidR="00642BDF" w:rsidRDefault="00642BDF" w:rsidP="00DE1661">
      <w:pPr>
        <w:pStyle w:val="13"/>
      </w:pPr>
      <w:r>
        <w:t>МБТ из федерального бюджета;</w:t>
      </w:r>
    </w:p>
    <w:p w:rsidR="00642BDF" w:rsidRDefault="00642BDF" w:rsidP="00DE1661">
      <w:pPr>
        <w:pStyle w:val="13"/>
      </w:pPr>
      <w:r>
        <w:t>Средства субъекта.</w:t>
      </w:r>
    </w:p>
    <w:p w:rsidR="00642BDF" w:rsidRPr="00DC39C6" w:rsidRDefault="00642BDF" w:rsidP="00642BDF">
      <w:pPr>
        <w:pStyle w:val="-0"/>
      </w:pPr>
      <w:r>
        <w:rPr>
          <w:noProof/>
          <w:snapToGrid/>
        </w:rPr>
        <w:drawing>
          <wp:inline distT="0" distB="0" distL="0" distR="0" wp14:anchorId="1F156B24" wp14:editId="13BC027F">
            <wp:extent cx="6153150" cy="1714500"/>
            <wp:effectExtent l="0" t="0" r="0" b="0"/>
            <wp:docPr id="1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6153150" cy="1714500"/>
                    </a:xfrm>
                    <a:prstGeom prst="rect">
                      <a:avLst/>
                    </a:prstGeom>
                    <a:noFill/>
                    <a:ln>
                      <a:noFill/>
                    </a:ln>
                  </pic:spPr>
                </pic:pic>
              </a:graphicData>
            </a:graphic>
          </wp:inline>
        </w:drawing>
      </w:r>
    </w:p>
    <w:p w:rsidR="00642BDF" w:rsidRPr="00642BDF" w:rsidRDefault="00642BDF" w:rsidP="00642BDF">
      <w:pPr>
        <w:pStyle w:val="-0"/>
      </w:pPr>
      <w:bookmarkStart w:id="768" w:name="_Toc80802755"/>
      <w:bookmarkStart w:id="769" w:name="_Toc119584374"/>
      <w:r w:rsidRPr="00DC39C6">
        <w:t xml:space="preserve">Рисунок </w:t>
      </w:r>
      <w:fldSimple w:instr=" SEQ Рисунок \* ARABIC ">
        <w:r w:rsidR="001860A9">
          <w:rPr>
            <w:noProof/>
          </w:rPr>
          <w:t>187</w:t>
        </w:r>
      </w:fldSimple>
      <w:r>
        <w:t xml:space="preserve"> – </w:t>
      </w:r>
      <w:r w:rsidRPr="00DC39C6">
        <w:t xml:space="preserve">Макет аналитического отчета «Информация об исполнении расходов всех уровней на реализацию национальных (федеральных) проектов». Представление </w:t>
      </w:r>
      <w:r w:rsidRPr="000A7544">
        <w:t>«По</w:t>
      </w:r>
      <w:r>
        <w:t xml:space="preserve"> НП бюджетами субъектов».</w:t>
      </w:r>
      <w:bookmarkEnd w:id="768"/>
      <w:bookmarkEnd w:id="769"/>
    </w:p>
    <w:p w:rsidR="00157471" w:rsidRPr="00206C4C" w:rsidRDefault="00157471" w:rsidP="00157471">
      <w:pPr>
        <w:pStyle w:val="26"/>
      </w:pPr>
      <w:bookmarkStart w:id="770" w:name="_Toc69290126"/>
      <w:bookmarkStart w:id="771" w:name="_Toc37845331"/>
      <w:bookmarkStart w:id="772" w:name="_Toc69290135"/>
      <w:bookmarkStart w:id="773" w:name="_Toc37845338"/>
      <w:bookmarkStart w:id="774" w:name="_Toc119585091"/>
      <w:r w:rsidRPr="00206C4C">
        <w:t>Витрина «Ведение перечней и реестров»</w:t>
      </w:r>
      <w:bookmarkEnd w:id="770"/>
      <w:bookmarkEnd w:id="774"/>
    </w:p>
    <w:p w:rsidR="00157471" w:rsidRPr="00206C4C" w:rsidRDefault="00157471" w:rsidP="00157471">
      <w:pPr>
        <w:pStyle w:val="af0"/>
        <w:rPr>
          <w:rFonts w:eastAsia="Calibri"/>
        </w:rPr>
      </w:pPr>
      <w:r w:rsidRPr="00206C4C">
        <w:rPr>
          <w:rFonts w:eastAsia="Calibri"/>
        </w:rPr>
        <w:t>Витрина содержит общие сведения о процессе формирования в централизованных подсистемах системы «Электронный бюджет» перечней и реестров (иной информации при необходимости), а также их размещения на порталах. Реализована задача мониторинга заключения соглашений в разрезе ГРБС и видов соглашений, своевременного включения соглашений в реестр, постановке на учет БО и осуществления кассового исполнения.</w:t>
      </w:r>
    </w:p>
    <w:p w:rsidR="00157471" w:rsidRPr="00C63CD0" w:rsidRDefault="00157471" w:rsidP="00157471">
      <w:pPr>
        <w:pStyle w:val="-"/>
      </w:pPr>
      <w:bookmarkStart w:id="775" w:name="_Toc37845345"/>
      <w:bookmarkStart w:id="776" w:name="_Toc69290211"/>
      <w:bookmarkStart w:id="777" w:name="_Toc119585177"/>
      <w:r w:rsidRPr="00206C4C">
        <w:t xml:space="preserve">Таблица </w:t>
      </w:r>
      <w:fldSimple w:instr=" SEQ Таблица \* ARABIC ">
        <w:r w:rsidR="00BF0BEE">
          <w:rPr>
            <w:noProof/>
          </w:rPr>
          <w:t>36</w:t>
        </w:r>
      </w:fldSimple>
      <w:r w:rsidRPr="00206C4C">
        <w:t xml:space="preserve"> </w:t>
      </w:r>
      <w:r>
        <w:t>–</w:t>
      </w:r>
      <w:r w:rsidRPr="00C63CD0">
        <w:t xml:space="preserve"> </w:t>
      </w:r>
      <w:r w:rsidRPr="00206C4C">
        <w:t>Перечень аналитических отчетов витрины «Ведение перечней и реестров» и соответствующих таблиц БД</w:t>
      </w:r>
      <w:bookmarkEnd w:id="775"/>
      <w:bookmarkEnd w:id="776"/>
      <w:bookmarkEnd w:id="777"/>
    </w:p>
    <w:tbl>
      <w:tblPr>
        <w:tblStyle w:val="affe"/>
        <w:tblW w:w="9853" w:type="dxa"/>
        <w:tblLayout w:type="fixed"/>
        <w:tblLook w:val="04A0" w:firstRow="1" w:lastRow="0" w:firstColumn="1" w:lastColumn="0" w:noHBand="0" w:noVBand="1"/>
      </w:tblPr>
      <w:tblGrid>
        <w:gridCol w:w="4361"/>
        <w:gridCol w:w="2551"/>
        <w:gridCol w:w="2941"/>
      </w:tblGrid>
      <w:tr w:rsidR="00157471" w:rsidRPr="00206C4C" w:rsidTr="0064780D">
        <w:trPr>
          <w:trHeight w:val="20"/>
          <w:tblHeader/>
        </w:trPr>
        <w:tc>
          <w:tcPr>
            <w:tcW w:w="4361" w:type="dxa"/>
            <w:shd w:val="clear" w:color="auto" w:fill="D9D9D9" w:themeFill="background1" w:themeFillShade="D9"/>
            <w:vAlign w:val="center"/>
          </w:tcPr>
          <w:p w:rsidR="00157471" w:rsidRPr="00206C4C" w:rsidRDefault="00157471" w:rsidP="0064780D">
            <w:pPr>
              <w:ind w:firstLine="0"/>
              <w:jc w:val="center"/>
              <w:rPr>
                <w:b/>
              </w:rPr>
            </w:pPr>
            <w:r w:rsidRPr="00206C4C">
              <w:rPr>
                <w:b/>
              </w:rPr>
              <w:t>Наименование аналитического отчета</w:t>
            </w:r>
          </w:p>
        </w:tc>
        <w:tc>
          <w:tcPr>
            <w:tcW w:w="2551" w:type="dxa"/>
            <w:shd w:val="clear" w:color="auto" w:fill="D9D9D9" w:themeFill="background1" w:themeFillShade="D9"/>
            <w:vAlign w:val="center"/>
          </w:tcPr>
          <w:p w:rsidR="00157471" w:rsidRPr="00206C4C" w:rsidRDefault="00157471" w:rsidP="0064780D">
            <w:pPr>
              <w:ind w:firstLine="0"/>
              <w:jc w:val="center"/>
              <w:rPr>
                <w:b/>
              </w:rPr>
            </w:pPr>
            <w:r w:rsidRPr="00206C4C">
              <w:rPr>
                <w:b/>
              </w:rPr>
              <w:t>Код отчета</w:t>
            </w:r>
          </w:p>
        </w:tc>
        <w:tc>
          <w:tcPr>
            <w:tcW w:w="2941" w:type="dxa"/>
            <w:shd w:val="clear" w:color="auto" w:fill="D9D9D9" w:themeFill="background1" w:themeFillShade="D9"/>
            <w:vAlign w:val="center"/>
          </w:tcPr>
          <w:p w:rsidR="00157471" w:rsidRPr="00206C4C" w:rsidRDefault="00157471" w:rsidP="0064780D">
            <w:pPr>
              <w:ind w:firstLine="0"/>
              <w:jc w:val="center"/>
              <w:rPr>
                <w:b/>
              </w:rPr>
            </w:pPr>
            <w:r w:rsidRPr="00206C4C">
              <w:rPr>
                <w:b/>
              </w:rPr>
              <w:t>Название таблицы БД</w:t>
            </w:r>
          </w:p>
        </w:tc>
      </w:tr>
      <w:tr w:rsidR="00167501" w:rsidRPr="00206C4C" w:rsidTr="0064780D">
        <w:trPr>
          <w:trHeight w:val="20"/>
        </w:trPr>
        <w:tc>
          <w:tcPr>
            <w:tcW w:w="9853" w:type="dxa"/>
            <w:gridSpan w:val="3"/>
            <w:vAlign w:val="center"/>
          </w:tcPr>
          <w:p w:rsidR="00167501" w:rsidRPr="002C5EB2" w:rsidRDefault="00167501" w:rsidP="0064780D">
            <w:pPr>
              <w:ind w:firstLine="0"/>
              <w:rPr>
                <w:color w:val="auto"/>
              </w:rPr>
            </w:pPr>
            <w:r w:rsidRPr="002C5EB2">
              <w:rPr>
                <w:b/>
                <w:color w:val="auto"/>
              </w:rPr>
              <w:t>Сводный реестр</w:t>
            </w:r>
          </w:p>
        </w:tc>
      </w:tr>
      <w:tr w:rsidR="00167501" w:rsidRPr="00206C4C" w:rsidTr="0064780D">
        <w:trPr>
          <w:trHeight w:val="20"/>
        </w:trPr>
        <w:tc>
          <w:tcPr>
            <w:tcW w:w="4361" w:type="dxa"/>
            <w:vMerge w:val="restart"/>
            <w:vAlign w:val="center"/>
          </w:tcPr>
          <w:p w:rsidR="00167501" w:rsidRPr="00206C4C" w:rsidRDefault="00167501" w:rsidP="0064780D">
            <w:pPr>
              <w:ind w:firstLine="0"/>
            </w:pPr>
            <w:r w:rsidRPr="00206C4C">
              <w:t>Количество организаций по данным Сводного реестра</w:t>
            </w:r>
          </w:p>
        </w:tc>
        <w:tc>
          <w:tcPr>
            <w:tcW w:w="2551" w:type="dxa"/>
            <w:vMerge w:val="restart"/>
            <w:vAlign w:val="center"/>
          </w:tcPr>
          <w:p w:rsidR="00167501" w:rsidRPr="00206C4C" w:rsidRDefault="00167501" w:rsidP="0064780D">
            <w:pPr>
              <w:ind w:firstLine="0"/>
              <w:jc w:val="left"/>
              <w:rPr>
                <w:snapToGrid/>
                <w:color w:val="auto"/>
                <w:szCs w:val="24"/>
              </w:rPr>
            </w:pPr>
            <w:r w:rsidRPr="00206C4C">
              <w:rPr>
                <w:snapToGrid/>
                <w:color w:val="auto"/>
                <w:szCs w:val="24"/>
              </w:rPr>
              <w:t>EPBS_006_030_report</w:t>
            </w:r>
          </w:p>
        </w:tc>
        <w:tc>
          <w:tcPr>
            <w:tcW w:w="2941" w:type="dxa"/>
            <w:vAlign w:val="center"/>
          </w:tcPr>
          <w:p w:rsidR="00167501" w:rsidRPr="00206C4C" w:rsidRDefault="00167501" w:rsidP="0064780D">
            <w:pPr>
              <w:ind w:firstLine="0"/>
            </w:pPr>
            <w:r w:rsidRPr="00206C4C">
              <w:t>D_EB_RUBPNUBP</w:t>
            </w:r>
          </w:p>
        </w:tc>
      </w:tr>
      <w:tr w:rsidR="00167501" w:rsidRPr="00991B9F"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rPr>
                <w:lang w:val="en-US"/>
              </w:rPr>
            </w:pPr>
            <w:r w:rsidRPr="00206C4C">
              <w:rPr>
                <w:lang w:val="en-US"/>
              </w:rPr>
              <w:t>D_EB_RUBPNUBP.BUDLEVELNSI_ID -&gt; FX_EB_BUDLEVELNSI</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D_EB_RUBPNUBP.ORGSTATUS_ID -&gt; FX_EB_ORGSTATUS</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D_EB_RUBPNUBP.TERRSUB_ID –&gt; D_EB_TERRITORY</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D_EB_RUBPNUBP.PPOTERR_ID -&gt; D_EB_PPOTERR</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D_EB_RUBPNUBP.FXORGTYPE_ID -&gt; FX_EB_ORGTYPE</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D_EB_RUBPNUBP.INSTITUTETYPE_ID-&gt; FX_EB_INSTITUTETYPE</w:t>
            </w:r>
          </w:p>
        </w:tc>
      </w:tr>
      <w:tr w:rsidR="00167501" w:rsidRPr="00991B9F" w:rsidTr="0064780D">
        <w:trPr>
          <w:trHeight w:val="20"/>
        </w:trPr>
        <w:tc>
          <w:tcPr>
            <w:tcW w:w="4361" w:type="dxa"/>
            <w:vMerge/>
            <w:vAlign w:val="center"/>
          </w:tcPr>
          <w:p w:rsidR="00167501" w:rsidRPr="00206C4C" w:rsidRDefault="00167501" w:rsidP="0064780D">
            <w:pPr>
              <w:ind w:firstLine="0"/>
              <w:rPr>
                <w:lang w:val="en-US"/>
              </w:rPr>
            </w:pPr>
          </w:p>
        </w:tc>
        <w:tc>
          <w:tcPr>
            <w:tcW w:w="2551" w:type="dxa"/>
            <w:vMerge/>
            <w:vAlign w:val="center"/>
          </w:tcPr>
          <w:p w:rsidR="00167501" w:rsidRPr="00206C4C" w:rsidRDefault="00167501" w:rsidP="0064780D">
            <w:pPr>
              <w:ind w:firstLine="0"/>
              <w:jc w:val="left"/>
              <w:rPr>
                <w:snapToGrid/>
                <w:color w:val="auto"/>
                <w:szCs w:val="24"/>
                <w:lang w:val="en-US"/>
              </w:rPr>
            </w:pPr>
          </w:p>
        </w:tc>
        <w:tc>
          <w:tcPr>
            <w:tcW w:w="2941" w:type="dxa"/>
            <w:vAlign w:val="center"/>
          </w:tcPr>
          <w:p w:rsidR="00167501" w:rsidRPr="00206C4C" w:rsidRDefault="00167501" w:rsidP="0064780D">
            <w:pPr>
              <w:ind w:firstLine="0"/>
              <w:rPr>
                <w:lang w:val="en-US"/>
              </w:rPr>
            </w:pPr>
            <w:r w:rsidRPr="00206C4C">
              <w:rPr>
                <w:lang w:val="en-US"/>
              </w:rPr>
              <w:t>D_EB_RUBPNUBP.GLAVNSI_ID -&gt; D_EB_GLAVNSI</w:t>
            </w:r>
          </w:p>
        </w:tc>
      </w:tr>
      <w:tr w:rsidR="00167501" w:rsidRPr="00206C4C" w:rsidTr="0064780D">
        <w:trPr>
          <w:trHeight w:val="20"/>
        </w:trPr>
        <w:tc>
          <w:tcPr>
            <w:tcW w:w="4361" w:type="dxa"/>
            <w:vMerge w:val="restart"/>
            <w:vAlign w:val="center"/>
          </w:tcPr>
          <w:p w:rsidR="00167501" w:rsidRPr="003A47E7" w:rsidRDefault="00167501" w:rsidP="0064780D">
            <w:pPr>
              <w:ind w:firstLine="0"/>
              <w:jc w:val="left"/>
            </w:pPr>
            <w:r w:rsidRPr="00206C4C">
              <w:t>Подведомственная структура ГРБС</w:t>
            </w:r>
            <w:r w:rsidR="00707496">
              <w:t xml:space="preserve"> на дату</w:t>
            </w:r>
          </w:p>
        </w:tc>
        <w:tc>
          <w:tcPr>
            <w:tcW w:w="2551" w:type="dxa"/>
            <w:vMerge w:val="restart"/>
            <w:vAlign w:val="center"/>
          </w:tcPr>
          <w:p w:rsidR="00167501" w:rsidRPr="00206C4C" w:rsidRDefault="00167501" w:rsidP="0064780D">
            <w:pPr>
              <w:ind w:firstLine="0"/>
              <w:jc w:val="left"/>
              <w:rPr>
                <w:snapToGrid/>
                <w:color w:val="auto"/>
                <w:szCs w:val="24"/>
              </w:rPr>
            </w:pPr>
            <w:r w:rsidRPr="00206C4C">
              <w:rPr>
                <w:snapToGrid/>
                <w:color w:val="auto"/>
                <w:szCs w:val="24"/>
              </w:rPr>
              <w:t>PIAO_125_00</w:t>
            </w:r>
            <w:r w:rsidR="00707496">
              <w:rPr>
                <w:snapToGrid/>
                <w:color w:val="auto"/>
                <w:szCs w:val="24"/>
              </w:rPr>
              <w:t>3</w:t>
            </w:r>
            <w:r w:rsidRPr="00206C4C">
              <w:rPr>
                <w:snapToGrid/>
                <w:color w:val="auto"/>
                <w:szCs w:val="24"/>
              </w:rPr>
              <w:t>_report</w:t>
            </w:r>
          </w:p>
        </w:tc>
        <w:tc>
          <w:tcPr>
            <w:tcW w:w="2941" w:type="dxa"/>
            <w:vAlign w:val="center"/>
          </w:tcPr>
          <w:p w:rsidR="00167501" w:rsidRPr="00206C4C" w:rsidRDefault="00167501" w:rsidP="0064780D">
            <w:pPr>
              <w:ind w:firstLine="0"/>
            </w:pPr>
            <w:r w:rsidRPr="00206C4C">
              <w:t>D_EB_RUBPNUBP</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D_EB_AUTHORG</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D_EB_AUTHUBP</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D_EB_AUTHOSPZ</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FX_EB_BUDLEVELNSI</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FX_EB_ORGSTATUS</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D_EB_PPOTERR</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FX_EB_ORGTYPE</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FX_EB_INSTITUTETYPE</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D_EB_GLAVNSI</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D_EB_SERVISORFK</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D_KSPL_KVSR</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FX_EB_ACCAUNTTYPE</w:t>
            </w:r>
          </w:p>
        </w:tc>
      </w:tr>
      <w:tr w:rsidR="00167501" w:rsidRPr="00206C4C" w:rsidTr="0064780D">
        <w:trPr>
          <w:trHeight w:val="20"/>
        </w:trPr>
        <w:tc>
          <w:tcPr>
            <w:tcW w:w="4361" w:type="dxa"/>
            <w:vMerge/>
            <w:vAlign w:val="center"/>
          </w:tcPr>
          <w:p w:rsidR="00167501" w:rsidRPr="00206C4C" w:rsidRDefault="00167501" w:rsidP="0064780D">
            <w:pPr>
              <w:ind w:firstLine="0"/>
            </w:pPr>
          </w:p>
        </w:tc>
        <w:tc>
          <w:tcPr>
            <w:tcW w:w="2551" w:type="dxa"/>
            <w:vMerge/>
            <w:vAlign w:val="center"/>
          </w:tcPr>
          <w:p w:rsidR="00167501" w:rsidRPr="00206C4C" w:rsidRDefault="00167501" w:rsidP="0064780D">
            <w:pPr>
              <w:ind w:firstLine="0"/>
              <w:jc w:val="left"/>
              <w:rPr>
                <w:snapToGrid/>
                <w:color w:val="auto"/>
                <w:szCs w:val="24"/>
              </w:rPr>
            </w:pPr>
          </w:p>
        </w:tc>
        <w:tc>
          <w:tcPr>
            <w:tcW w:w="2941" w:type="dxa"/>
            <w:vAlign w:val="center"/>
          </w:tcPr>
          <w:p w:rsidR="00167501" w:rsidRPr="00206C4C" w:rsidRDefault="00167501" w:rsidP="0064780D">
            <w:pPr>
              <w:ind w:firstLine="0"/>
            </w:pPr>
            <w:r w:rsidRPr="00206C4C">
              <w:t>D_EB_ACCOUNTORFK</w:t>
            </w:r>
          </w:p>
        </w:tc>
      </w:tr>
      <w:tr w:rsidR="00157471" w:rsidRPr="00206C4C" w:rsidTr="0064780D">
        <w:trPr>
          <w:trHeight w:val="20"/>
        </w:trPr>
        <w:tc>
          <w:tcPr>
            <w:tcW w:w="9853" w:type="dxa"/>
            <w:gridSpan w:val="3"/>
            <w:vAlign w:val="center"/>
          </w:tcPr>
          <w:p w:rsidR="00157471" w:rsidRPr="002E3333" w:rsidRDefault="00157471" w:rsidP="0064780D">
            <w:pPr>
              <w:ind w:firstLine="0"/>
              <w:jc w:val="left"/>
              <w:rPr>
                <w:b/>
              </w:rPr>
            </w:pPr>
            <w:r w:rsidRPr="002E3333">
              <w:rPr>
                <w:b/>
              </w:rPr>
              <w:t>Реестр соглашений</w:t>
            </w:r>
          </w:p>
        </w:tc>
      </w:tr>
      <w:tr w:rsidR="00157471" w:rsidRPr="00206C4C" w:rsidTr="0064780D">
        <w:trPr>
          <w:trHeight w:val="20"/>
        </w:trPr>
        <w:tc>
          <w:tcPr>
            <w:tcW w:w="4361" w:type="dxa"/>
            <w:vMerge w:val="restart"/>
            <w:vAlign w:val="center"/>
          </w:tcPr>
          <w:p w:rsidR="00157471" w:rsidRPr="00206C4C" w:rsidRDefault="00157471" w:rsidP="0064780D">
            <w:pPr>
              <w:ind w:firstLine="0"/>
            </w:pPr>
            <w:r w:rsidRPr="00206C4C">
              <w:t>Мониторинг ведения реестра соглашений</w:t>
            </w:r>
          </w:p>
        </w:tc>
        <w:tc>
          <w:tcPr>
            <w:tcW w:w="2551" w:type="dxa"/>
            <w:vMerge w:val="restart"/>
            <w:vAlign w:val="center"/>
          </w:tcPr>
          <w:p w:rsidR="00157471" w:rsidRPr="00206C4C" w:rsidRDefault="00157471" w:rsidP="0064780D">
            <w:pPr>
              <w:ind w:firstLine="0"/>
              <w:jc w:val="left"/>
              <w:rPr>
                <w:snapToGrid/>
                <w:color w:val="auto"/>
                <w:szCs w:val="24"/>
              </w:rPr>
            </w:pPr>
            <w:r w:rsidRPr="00206C4C">
              <w:rPr>
                <w:snapToGrid/>
                <w:color w:val="auto"/>
                <w:szCs w:val="24"/>
              </w:rPr>
              <w:t>PIAO_107_003_report</w:t>
            </w:r>
          </w:p>
        </w:tc>
        <w:tc>
          <w:tcPr>
            <w:tcW w:w="2941" w:type="dxa"/>
            <w:vAlign w:val="center"/>
          </w:tcPr>
          <w:p w:rsidR="00157471" w:rsidRPr="00206C4C" w:rsidRDefault="00157471" w:rsidP="0064780D">
            <w:pPr>
              <w:ind w:firstLine="0"/>
            </w:pPr>
            <w:r w:rsidRPr="00206C4C">
              <w:t>T_PIAO_RSREPORTS_ORG</w:t>
            </w:r>
          </w:p>
        </w:tc>
      </w:tr>
      <w:tr w:rsidR="00157471" w:rsidRPr="00991B9F"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rPr>
                <w:lang w:val="en-US"/>
              </w:rPr>
            </w:pPr>
            <w:r w:rsidRPr="00206C4C">
              <w:rPr>
                <w:lang w:val="en-US"/>
              </w:rPr>
              <w:t>T_PIAO_RSREPORTS_ORG_DATA</w:t>
            </w:r>
          </w:p>
        </w:tc>
      </w:tr>
      <w:tr w:rsidR="00157471" w:rsidRPr="00206C4C" w:rsidTr="0064780D">
        <w:trPr>
          <w:trHeight w:val="20"/>
        </w:trPr>
        <w:tc>
          <w:tcPr>
            <w:tcW w:w="4361" w:type="dxa"/>
            <w:vMerge/>
            <w:vAlign w:val="center"/>
          </w:tcPr>
          <w:p w:rsidR="00157471" w:rsidRPr="00206C4C" w:rsidRDefault="00157471" w:rsidP="0064780D">
            <w:pPr>
              <w:ind w:firstLine="0"/>
              <w:rPr>
                <w:lang w:val="en-US"/>
              </w:rPr>
            </w:pPr>
          </w:p>
        </w:tc>
        <w:tc>
          <w:tcPr>
            <w:tcW w:w="2551" w:type="dxa"/>
            <w:vMerge/>
            <w:vAlign w:val="center"/>
          </w:tcPr>
          <w:p w:rsidR="00157471" w:rsidRPr="00206C4C" w:rsidRDefault="00157471" w:rsidP="0064780D">
            <w:pPr>
              <w:ind w:firstLine="0"/>
              <w:jc w:val="left"/>
              <w:rPr>
                <w:snapToGrid/>
                <w:color w:val="auto"/>
                <w:szCs w:val="24"/>
                <w:lang w:val="en-US"/>
              </w:rPr>
            </w:pPr>
          </w:p>
        </w:tc>
        <w:tc>
          <w:tcPr>
            <w:tcW w:w="2941" w:type="dxa"/>
            <w:vAlign w:val="center"/>
          </w:tcPr>
          <w:p w:rsidR="00157471" w:rsidRPr="00206C4C" w:rsidRDefault="00157471" w:rsidP="0064780D">
            <w:pPr>
              <w:ind w:firstLine="0"/>
            </w:pPr>
            <w:r w:rsidRPr="00206C4C">
              <w:t>D_EB_KVSR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D_EB_KСSR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D_EB_KVR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D_EB_RZPR</w:t>
            </w:r>
          </w:p>
        </w:tc>
      </w:tr>
      <w:tr w:rsidR="00157471" w:rsidRPr="00206C4C" w:rsidTr="0064780D">
        <w:trPr>
          <w:trHeight w:val="20"/>
        </w:trPr>
        <w:tc>
          <w:tcPr>
            <w:tcW w:w="4361" w:type="dxa"/>
            <w:vMerge w:val="restart"/>
            <w:vAlign w:val="center"/>
          </w:tcPr>
          <w:p w:rsidR="00157471" w:rsidRPr="00206C4C" w:rsidRDefault="00157471" w:rsidP="0064780D">
            <w:pPr>
              <w:ind w:firstLine="0"/>
            </w:pPr>
            <w:r w:rsidRPr="00206C4C">
              <w:t>Мониторинг заключения соглашений на предоставление субсидий и иных МБТ бюджетам субъектов РФ</w:t>
            </w:r>
          </w:p>
        </w:tc>
        <w:tc>
          <w:tcPr>
            <w:tcW w:w="2551" w:type="dxa"/>
            <w:vMerge w:val="restart"/>
            <w:vAlign w:val="center"/>
          </w:tcPr>
          <w:p w:rsidR="00157471" w:rsidRPr="00206C4C" w:rsidRDefault="00157471" w:rsidP="0064780D">
            <w:pPr>
              <w:ind w:firstLine="0"/>
              <w:jc w:val="left"/>
              <w:rPr>
                <w:snapToGrid/>
                <w:color w:val="auto"/>
                <w:szCs w:val="24"/>
              </w:rPr>
            </w:pPr>
            <w:r w:rsidRPr="00206C4C">
              <w:rPr>
                <w:snapToGrid/>
                <w:color w:val="auto"/>
                <w:szCs w:val="24"/>
              </w:rPr>
              <w:t>PIAO_107_001_report</w:t>
            </w:r>
          </w:p>
        </w:tc>
        <w:tc>
          <w:tcPr>
            <w:tcW w:w="2941" w:type="dxa"/>
            <w:vAlign w:val="center"/>
          </w:tcPr>
          <w:p w:rsidR="00157471" w:rsidRPr="00206C4C" w:rsidRDefault="00157471" w:rsidP="0064780D">
            <w:pPr>
              <w:ind w:firstLine="0"/>
            </w:pPr>
            <w:r w:rsidRPr="00206C4C">
              <w:t>T_PIAO_RSREPORTS_ORG</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T_PIAO_RSMBT_INFREGNUM</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D_EB_KVSR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D_EB_KСSR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D_EB_KVR</w:t>
            </w:r>
          </w:p>
        </w:tc>
      </w:tr>
      <w:tr w:rsidR="00157471" w:rsidRPr="00206C4C" w:rsidTr="0064780D">
        <w:trPr>
          <w:trHeight w:val="20"/>
        </w:trPr>
        <w:tc>
          <w:tcPr>
            <w:tcW w:w="4361" w:type="dxa"/>
            <w:vMerge/>
            <w:vAlign w:val="center"/>
          </w:tcPr>
          <w:p w:rsidR="00157471" w:rsidRPr="00206C4C" w:rsidRDefault="00157471" w:rsidP="0064780D">
            <w:pPr>
              <w:ind w:firstLine="0"/>
            </w:pPr>
          </w:p>
        </w:tc>
        <w:tc>
          <w:tcPr>
            <w:tcW w:w="2551" w:type="dxa"/>
            <w:vMerge/>
            <w:vAlign w:val="center"/>
          </w:tcPr>
          <w:p w:rsidR="00157471" w:rsidRPr="00206C4C" w:rsidRDefault="00157471" w:rsidP="0064780D">
            <w:pPr>
              <w:ind w:firstLine="0"/>
              <w:jc w:val="left"/>
              <w:rPr>
                <w:snapToGrid/>
                <w:color w:val="auto"/>
                <w:szCs w:val="24"/>
              </w:rPr>
            </w:pPr>
          </w:p>
        </w:tc>
        <w:tc>
          <w:tcPr>
            <w:tcW w:w="2941" w:type="dxa"/>
            <w:vAlign w:val="center"/>
          </w:tcPr>
          <w:p w:rsidR="00157471" w:rsidRPr="00206C4C" w:rsidRDefault="00157471" w:rsidP="0064780D">
            <w:pPr>
              <w:ind w:firstLine="0"/>
            </w:pPr>
            <w:r w:rsidRPr="00206C4C">
              <w:t>D_EB_RZPR</w:t>
            </w:r>
          </w:p>
        </w:tc>
      </w:tr>
      <w:tr w:rsidR="00707496" w:rsidRPr="00206C4C" w:rsidTr="0064780D">
        <w:trPr>
          <w:trHeight w:val="20"/>
        </w:trPr>
        <w:tc>
          <w:tcPr>
            <w:tcW w:w="4361" w:type="dxa"/>
            <w:vMerge w:val="restart"/>
            <w:vAlign w:val="center"/>
          </w:tcPr>
          <w:p w:rsidR="00707496" w:rsidRPr="00206C4C" w:rsidRDefault="00707496" w:rsidP="0064780D">
            <w:pPr>
              <w:ind w:firstLine="0"/>
            </w:pPr>
            <w:r w:rsidRPr="00206C4C">
              <w:t>Мониторинг формирования субсидий бюджетным и автономным учреждениям на иные цели</w:t>
            </w:r>
          </w:p>
        </w:tc>
        <w:tc>
          <w:tcPr>
            <w:tcW w:w="2551" w:type="dxa"/>
            <w:vMerge w:val="restart"/>
            <w:vAlign w:val="center"/>
          </w:tcPr>
          <w:p w:rsidR="00707496" w:rsidRPr="00206C4C" w:rsidRDefault="00707496" w:rsidP="0064780D">
            <w:pPr>
              <w:ind w:firstLine="0"/>
              <w:jc w:val="left"/>
              <w:rPr>
                <w:snapToGrid/>
                <w:color w:val="auto"/>
                <w:szCs w:val="24"/>
              </w:rPr>
            </w:pPr>
            <w:r w:rsidRPr="00206C4C">
              <w:rPr>
                <w:snapToGrid/>
                <w:color w:val="auto"/>
                <w:szCs w:val="24"/>
              </w:rPr>
              <w:t>PIAO_107_006_report</w:t>
            </w:r>
          </w:p>
        </w:tc>
        <w:tc>
          <w:tcPr>
            <w:tcW w:w="2941" w:type="dxa"/>
            <w:vAlign w:val="center"/>
          </w:tcPr>
          <w:p w:rsidR="00707496" w:rsidRPr="00206C4C" w:rsidRDefault="00707496" w:rsidP="0064780D">
            <w:pPr>
              <w:ind w:firstLine="0"/>
            </w:pPr>
            <w:r w:rsidRPr="00206C4C">
              <w:t>T_PIAO_RSREPORTS_ORG</w:t>
            </w:r>
          </w:p>
        </w:tc>
      </w:tr>
      <w:tr w:rsidR="00707496" w:rsidRPr="00991B9F" w:rsidTr="0064780D">
        <w:trPr>
          <w:trHeight w:val="20"/>
        </w:trPr>
        <w:tc>
          <w:tcPr>
            <w:tcW w:w="4361" w:type="dxa"/>
            <w:vMerge/>
            <w:vAlign w:val="center"/>
          </w:tcPr>
          <w:p w:rsidR="00707496" w:rsidRPr="00206C4C" w:rsidRDefault="00707496" w:rsidP="0064780D">
            <w:pPr>
              <w:ind w:firstLine="0"/>
            </w:pPr>
          </w:p>
        </w:tc>
        <w:tc>
          <w:tcPr>
            <w:tcW w:w="2551" w:type="dxa"/>
            <w:vMerge/>
            <w:vAlign w:val="center"/>
          </w:tcPr>
          <w:p w:rsidR="00707496" w:rsidRPr="00206C4C" w:rsidRDefault="00707496" w:rsidP="0064780D">
            <w:pPr>
              <w:ind w:firstLine="0"/>
              <w:jc w:val="left"/>
              <w:rPr>
                <w:snapToGrid/>
                <w:color w:val="auto"/>
                <w:szCs w:val="24"/>
              </w:rPr>
            </w:pPr>
          </w:p>
        </w:tc>
        <w:tc>
          <w:tcPr>
            <w:tcW w:w="2941" w:type="dxa"/>
            <w:vAlign w:val="center"/>
          </w:tcPr>
          <w:p w:rsidR="00707496" w:rsidRPr="00206C4C" w:rsidRDefault="00707496" w:rsidP="0064780D">
            <w:pPr>
              <w:ind w:firstLine="0"/>
              <w:rPr>
                <w:lang w:val="en-US"/>
              </w:rPr>
            </w:pPr>
            <w:r w:rsidRPr="00206C4C">
              <w:rPr>
                <w:lang w:val="en-US"/>
              </w:rPr>
              <w:t>T_PIAO_RSREPORTS_ORG_DATA</w:t>
            </w:r>
          </w:p>
        </w:tc>
      </w:tr>
      <w:tr w:rsidR="00252C95" w:rsidRPr="00206C4C" w:rsidTr="0064780D">
        <w:trPr>
          <w:trHeight w:val="20"/>
        </w:trPr>
        <w:tc>
          <w:tcPr>
            <w:tcW w:w="4361" w:type="dxa"/>
            <w:vMerge w:val="restart"/>
            <w:vAlign w:val="center"/>
          </w:tcPr>
          <w:p w:rsidR="00252C95" w:rsidRPr="00206C4C" w:rsidRDefault="00252C95" w:rsidP="0064780D">
            <w:pPr>
              <w:ind w:firstLine="0"/>
            </w:pPr>
            <w:r w:rsidRPr="002E3333">
              <w:t>Мониторинг качества распространения данных реестра соглашений на ЕПБС</w:t>
            </w:r>
          </w:p>
        </w:tc>
        <w:tc>
          <w:tcPr>
            <w:tcW w:w="2551" w:type="dxa"/>
            <w:vMerge w:val="restart"/>
            <w:vAlign w:val="center"/>
          </w:tcPr>
          <w:p w:rsidR="00252C95" w:rsidRPr="00206C4C" w:rsidRDefault="00252C95" w:rsidP="0064780D">
            <w:pPr>
              <w:ind w:firstLine="0"/>
              <w:jc w:val="left"/>
              <w:rPr>
                <w:snapToGrid/>
                <w:color w:val="auto"/>
                <w:szCs w:val="24"/>
              </w:rPr>
            </w:pPr>
            <w:r>
              <w:rPr>
                <w:snapToGrid/>
                <w:color w:val="auto"/>
                <w:szCs w:val="24"/>
              </w:rPr>
              <w:t>PIAO_107_007</w:t>
            </w:r>
            <w:r w:rsidRPr="00206C4C">
              <w:rPr>
                <w:snapToGrid/>
                <w:color w:val="auto"/>
                <w:szCs w:val="24"/>
              </w:rPr>
              <w:t>_report</w:t>
            </w:r>
          </w:p>
        </w:tc>
        <w:tc>
          <w:tcPr>
            <w:tcW w:w="2941" w:type="dxa"/>
            <w:vAlign w:val="center"/>
          </w:tcPr>
          <w:p w:rsidR="00252C95" w:rsidRPr="00206C4C" w:rsidRDefault="00252C95" w:rsidP="0064780D">
            <w:pPr>
              <w:ind w:firstLine="0"/>
            </w:pPr>
            <w:r w:rsidRPr="00252C95">
              <w:rPr>
                <w:lang w:val="en-US"/>
              </w:rPr>
              <w:t>T_PIAO_RSYEAR</w:t>
            </w:r>
          </w:p>
        </w:tc>
      </w:tr>
      <w:tr w:rsidR="00252C95" w:rsidRPr="00252C95" w:rsidTr="0064780D">
        <w:trPr>
          <w:trHeight w:val="20"/>
        </w:trPr>
        <w:tc>
          <w:tcPr>
            <w:tcW w:w="4361" w:type="dxa"/>
            <w:vMerge/>
            <w:vAlign w:val="center"/>
          </w:tcPr>
          <w:p w:rsidR="00252C95" w:rsidRPr="002E3333" w:rsidRDefault="00252C95" w:rsidP="0064780D"/>
        </w:tc>
        <w:tc>
          <w:tcPr>
            <w:tcW w:w="2551" w:type="dxa"/>
            <w:vMerge/>
            <w:vAlign w:val="center"/>
          </w:tcPr>
          <w:p w:rsidR="00252C95" w:rsidRDefault="00252C95" w:rsidP="0064780D">
            <w:pPr>
              <w:jc w:val="left"/>
              <w:rPr>
                <w:snapToGrid/>
                <w:color w:val="auto"/>
                <w:szCs w:val="24"/>
              </w:rPr>
            </w:pPr>
          </w:p>
        </w:tc>
        <w:tc>
          <w:tcPr>
            <w:tcW w:w="2941" w:type="dxa"/>
            <w:vAlign w:val="center"/>
          </w:tcPr>
          <w:p w:rsidR="00252C95" w:rsidRPr="00252C95" w:rsidRDefault="00252C95" w:rsidP="0064780D">
            <w:pPr>
              <w:ind w:firstLine="0"/>
              <w:rPr>
                <w:lang w:val="en-US"/>
              </w:rPr>
            </w:pPr>
            <w:r w:rsidRPr="00252C95">
              <w:rPr>
                <w:lang w:val="en-US"/>
              </w:rPr>
              <w:t>T_PIAO_RSIPS</w:t>
            </w:r>
          </w:p>
        </w:tc>
      </w:tr>
      <w:tr w:rsidR="00252C95" w:rsidRPr="00252C95" w:rsidTr="0064780D">
        <w:trPr>
          <w:trHeight w:val="20"/>
        </w:trPr>
        <w:tc>
          <w:tcPr>
            <w:tcW w:w="4361" w:type="dxa"/>
            <w:vMerge/>
            <w:vAlign w:val="center"/>
          </w:tcPr>
          <w:p w:rsidR="00252C95" w:rsidRPr="002E3333" w:rsidRDefault="00252C95" w:rsidP="0064780D"/>
        </w:tc>
        <w:tc>
          <w:tcPr>
            <w:tcW w:w="2551" w:type="dxa"/>
            <w:vMerge/>
            <w:vAlign w:val="center"/>
          </w:tcPr>
          <w:p w:rsidR="00252C95" w:rsidRDefault="00252C95" w:rsidP="0064780D">
            <w:pPr>
              <w:jc w:val="left"/>
              <w:rPr>
                <w:snapToGrid/>
                <w:color w:val="auto"/>
                <w:szCs w:val="24"/>
              </w:rPr>
            </w:pPr>
          </w:p>
        </w:tc>
        <w:tc>
          <w:tcPr>
            <w:tcW w:w="2941" w:type="dxa"/>
            <w:vAlign w:val="center"/>
          </w:tcPr>
          <w:p w:rsidR="00252C95" w:rsidRPr="00252C95" w:rsidRDefault="00252C95" w:rsidP="0064780D">
            <w:pPr>
              <w:ind w:firstLine="0"/>
              <w:rPr>
                <w:lang w:val="en-US"/>
              </w:rPr>
            </w:pPr>
            <w:r w:rsidRPr="00252C95">
              <w:rPr>
                <w:lang w:val="en-US"/>
              </w:rPr>
              <w:t>D_PIAO_AGREEMENT</w:t>
            </w:r>
          </w:p>
        </w:tc>
      </w:tr>
      <w:tr w:rsidR="00252C95" w:rsidRPr="00252C95" w:rsidTr="0064780D">
        <w:trPr>
          <w:trHeight w:val="20"/>
        </w:trPr>
        <w:tc>
          <w:tcPr>
            <w:tcW w:w="4361" w:type="dxa"/>
            <w:vMerge/>
            <w:vAlign w:val="center"/>
          </w:tcPr>
          <w:p w:rsidR="00252C95" w:rsidRPr="002E3333" w:rsidRDefault="00252C95" w:rsidP="0064780D"/>
        </w:tc>
        <w:tc>
          <w:tcPr>
            <w:tcW w:w="2551" w:type="dxa"/>
            <w:vMerge/>
            <w:vAlign w:val="center"/>
          </w:tcPr>
          <w:p w:rsidR="00252C95" w:rsidRDefault="00252C95" w:rsidP="0064780D">
            <w:pPr>
              <w:jc w:val="left"/>
              <w:rPr>
                <w:snapToGrid/>
                <w:color w:val="auto"/>
                <w:szCs w:val="24"/>
              </w:rPr>
            </w:pPr>
          </w:p>
        </w:tc>
        <w:tc>
          <w:tcPr>
            <w:tcW w:w="2941" w:type="dxa"/>
            <w:vAlign w:val="center"/>
          </w:tcPr>
          <w:p w:rsidR="00252C95" w:rsidRPr="00252C95" w:rsidRDefault="00252C95" w:rsidP="0064780D">
            <w:pPr>
              <w:ind w:firstLine="0"/>
              <w:rPr>
                <w:lang w:val="en-US"/>
              </w:rPr>
            </w:pPr>
            <w:r w:rsidRPr="00252C95">
              <w:rPr>
                <w:lang w:val="en-US"/>
              </w:rPr>
              <w:t>D_PIAO_AGREEMDETAIL</w:t>
            </w:r>
          </w:p>
        </w:tc>
      </w:tr>
      <w:tr w:rsidR="00252C95" w:rsidRPr="00252C95" w:rsidTr="0064780D">
        <w:trPr>
          <w:trHeight w:val="20"/>
        </w:trPr>
        <w:tc>
          <w:tcPr>
            <w:tcW w:w="4361" w:type="dxa"/>
            <w:vMerge/>
            <w:vAlign w:val="center"/>
          </w:tcPr>
          <w:p w:rsidR="00252C95" w:rsidRPr="002E3333" w:rsidRDefault="00252C95" w:rsidP="0064780D"/>
        </w:tc>
        <w:tc>
          <w:tcPr>
            <w:tcW w:w="2551" w:type="dxa"/>
            <w:vMerge/>
            <w:vAlign w:val="center"/>
          </w:tcPr>
          <w:p w:rsidR="00252C95" w:rsidRDefault="00252C95" w:rsidP="0064780D">
            <w:pPr>
              <w:jc w:val="left"/>
              <w:rPr>
                <w:snapToGrid/>
                <w:color w:val="auto"/>
                <w:szCs w:val="24"/>
              </w:rPr>
            </w:pPr>
          </w:p>
        </w:tc>
        <w:tc>
          <w:tcPr>
            <w:tcW w:w="2941" w:type="dxa"/>
            <w:vAlign w:val="center"/>
          </w:tcPr>
          <w:p w:rsidR="00252C95" w:rsidRPr="00252C95" w:rsidRDefault="00252C95" w:rsidP="0064780D">
            <w:pPr>
              <w:ind w:firstLine="0"/>
              <w:rPr>
                <w:lang w:val="en-US"/>
              </w:rPr>
            </w:pPr>
            <w:r w:rsidRPr="00252C95">
              <w:rPr>
                <w:lang w:val="en-US"/>
              </w:rPr>
              <w:t>D_PIAO_PLANTRANSFERS</w:t>
            </w:r>
          </w:p>
        </w:tc>
      </w:tr>
      <w:tr w:rsidR="00157471" w:rsidRPr="00206C4C" w:rsidTr="0064780D">
        <w:trPr>
          <w:trHeight w:val="20"/>
        </w:trPr>
        <w:tc>
          <w:tcPr>
            <w:tcW w:w="4361" w:type="dxa"/>
            <w:vMerge w:val="restart"/>
            <w:vAlign w:val="center"/>
          </w:tcPr>
          <w:p w:rsidR="00157471" w:rsidRPr="002E3333" w:rsidRDefault="00157471" w:rsidP="0064780D">
            <w:pPr>
              <w:ind w:firstLine="0"/>
            </w:pPr>
            <w:r>
              <w:rPr>
                <w:rStyle w:val="wrf-favorite-card-cell-text-content"/>
              </w:rPr>
              <w:t>Реестр соглашений о предоставлении субсидий из федерального бюджета (бюджетов субъектов Российской Федерации, местных бюджетов)</w:t>
            </w:r>
          </w:p>
        </w:tc>
        <w:tc>
          <w:tcPr>
            <w:tcW w:w="2551" w:type="dxa"/>
            <w:vMerge w:val="restart"/>
            <w:vAlign w:val="center"/>
          </w:tcPr>
          <w:p w:rsidR="00157471" w:rsidRDefault="00157471" w:rsidP="0064780D">
            <w:pPr>
              <w:ind w:firstLine="0"/>
              <w:jc w:val="left"/>
              <w:rPr>
                <w:snapToGrid/>
                <w:color w:val="auto"/>
                <w:szCs w:val="24"/>
              </w:rPr>
            </w:pPr>
            <w:r>
              <w:t>PIAO_107_009_report</w:t>
            </w:r>
          </w:p>
        </w:tc>
        <w:tc>
          <w:tcPr>
            <w:tcW w:w="2941" w:type="dxa"/>
            <w:vAlign w:val="center"/>
          </w:tcPr>
          <w:p w:rsidR="00157471" w:rsidRPr="00206C4C" w:rsidRDefault="00157471" w:rsidP="0064780D">
            <w:pPr>
              <w:ind w:firstLine="0"/>
            </w:pPr>
            <w:r w:rsidRPr="004A2CCB">
              <w:t>T_PIAO_RSYEAR</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T_PIAO_RSIPS</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T_PIAO_RSBO</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D_PIAO_INFOBO</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T_PIAO_CALENDAR</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T_PIAO_INFOCOST</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T_PIAO_RESFACT</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T_PIAO_REPORTINFO</w:t>
            </w:r>
          </w:p>
        </w:tc>
      </w:tr>
      <w:tr w:rsidR="00157471" w:rsidRPr="00206C4C" w:rsidTr="0064780D">
        <w:trPr>
          <w:trHeight w:val="20"/>
        </w:trPr>
        <w:tc>
          <w:tcPr>
            <w:tcW w:w="4361" w:type="dxa"/>
            <w:vMerge/>
            <w:vAlign w:val="center"/>
          </w:tcPr>
          <w:p w:rsidR="00157471" w:rsidRDefault="00157471" w:rsidP="0064780D">
            <w:pPr>
              <w:rPr>
                <w:rStyle w:val="wrf-favorite-card-cell-text-content"/>
              </w:rPr>
            </w:pPr>
          </w:p>
        </w:tc>
        <w:tc>
          <w:tcPr>
            <w:tcW w:w="2551" w:type="dxa"/>
            <w:vMerge/>
            <w:vAlign w:val="center"/>
          </w:tcPr>
          <w:p w:rsidR="00157471" w:rsidRDefault="00157471" w:rsidP="0064780D">
            <w:pPr>
              <w:jc w:val="left"/>
            </w:pPr>
          </w:p>
        </w:tc>
        <w:tc>
          <w:tcPr>
            <w:tcW w:w="2941" w:type="dxa"/>
            <w:vAlign w:val="center"/>
          </w:tcPr>
          <w:p w:rsidR="00157471" w:rsidRPr="004A2CCB" w:rsidRDefault="00157471" w:rsidP="0064780D">
            <w:pPr>
              <w:ind w:firstLine="0"/>
            </w:pPr>
            <w:r w:rsidRPr="004A2CCB">
              <w:t>T_PIAO_RESPLAN</w:t>
            </w:r>
          </w:p>
        </w:tc>
      </w:tr>
      <w:tr w:rsidR="00B942BA" w:rsidRPr="00206C4C" w:rsidTr="00B942BA">
        <w:trPr>
          <w:trHeight w:val="555"/>
        </w:trPr>
        <w:tc>
          <w:tcPr>
            <w:tcW w:w="4361" w:type="dxa"/>
            <w:vMerge w:val="restart"/>
            <w:vAlign w:val="center"/>
          </w:tcPr>
          <w:p w:rsidR="00B942BA" w:rsidRDefault="00B942BA" w:rsidP="006F0146">
            <w:pPr>
              <w:ind w:firstLine="0"/>
              <w:rPr>
                <w:rStyle w:val="wrf-favorite-card-cell-text-content"/>
              </w:rPr>
            </w:pPr>
            <w:r w:rsidRPr="006F0146">
              <w:rPr>
                <w:rStyle w:val="wrf-favorite-card-cell-text-content"/>
              </w:rPr>
              <w:t>Субсидии юридическим лицам из бюджетов всех уровней бюджетной системы Российской Федерации (по получателям)</w:t>
            </w:r>
          </w:p>
        </w:tc>
        <w:tc>
          <w:tcPr>
            <w:tcW w:w="2551" w:type="dxa"/>
            <w:vMerge w:val="restart"/>
            <w:vAlign w:val="center"/>
          </w:tcPr>
          <w:p w:rsidR="00B942BA" w:rsidRDefault="00B942BA" w:rsidP="00B942BA">
            <w:pPr>
              <w:ind w:firstLine="0"/>
              <w:jc w:val="left"/>
              <w:rPr>
                <w:snapToGrid/>
                <w:color w:val="auto"/>
                <w:szCs w:val="24"/>
              </w:rPr>
            </w:pPr>
            <w:r>
              <w:t>PIAO_107_011_report</w:t>
            </w:r>
          </w:p>
        </w:tc>
        <w:tc>
          <w:tcPr>
            <w:tcW w:w="2941" w:type="dxa"/>
            <w:vAlign w:val="center"/>
          </w:tcPr>
          <w:p w:rsidR="00B942BA" w:rsidRPr="004A2CCB" w:rsidRDefault="00B942BA" w:rsidP="00B942BA">
            <w:pPr>
              <w:ind w:firstLine="0"/>
            </w:pPr>
            <w:r>
              <w:t>D_PIAO_RS</w:t>
            </w:r>
          </w:p>
        </w:tc>
      </w:tr>
      <w:tr w:rsidR="00B942BA" w:rsidRPr="00206C4C" w:rsidTr="0064780D">
        <w:trPr>
          <w:trHeight w:val="555"/>
        </w:trPr>
        <w:tc>
          <w:tcPr>
            <w:tcW w:w="4361" w:type="dxa"/>
            <w:vMerge/>
            <w:vAlign w:val="center"/>
          </w:tcPr>
          <w:p w:rsidR="00B942BA" w:rsidRPr="006F0146" w:rsidRDefault="00B942BA" w:rsidP="006F0146">
            <w:pPr>
              <w:rPr>
                <w:rStyle w:val="wrf-favorite-card-cell-text-content"/>
              </w:rPr>
            </w:pPr>
          </w:p>
        </w:tc>
        <w:tc>
          <w:tcPr>
            <w:tcW w:w="2551" w:type="dxa"/>
            <w:vMerge/>
            <w:vAlign w:val="center"/>
          </w:tcPr>
          <w:p w:rsidR="00B942BA" w:rsidRDefault="00B942BA" w:rsidP="00B942BA">
            <w:pPr>
              <w:jc w:val="left"/>
            </w:pPr>
          </w:p>
        </w:tc>
        <w:tc>
          <w:tcPr>
            <w:tcW w:w="2941" w:type="dxa"/>
            <w:vAlign w:val="center"/>
          </w:tcPr>
          <w:p w:rsidR="00B942BA" w:rsidRDefault="00B942BA" w:rsidP="00B942BA">
            <w:pPr>
              <w:ind w:firstLine="0"/>
            </w:pPr>
            <w:r>
              <w:t>F_PIAO_KBK</w:t>
            </w:r>
          </w:p>
        </w:tc>
      </w:tr>
      <w:tr w:rsidR="00B942BA" w:rsidRPr="00206C4C" w:rsidTr="00B942BA">
        <w:trPr>
          <w:trHeight w:val="370"/>
        </w:trPr>
        <w:tc>
          <w:tcPr>
            <w:tcW w:w="4361" w:type="dxa"/>
            <w:vMerge w:val="restart"/>
            <w:vAlign w:val="center"/>
          </w:tcPr>
          <w:p w:rsidR="00B942BA" w:rsidRDefault="00B942BA" w:rsidP="006F0146">
            <w:pPr>
              <w:ind w:firstLine="0"/>
              <w:rPr>
                <w:rStyle w:val="wrf-favorite-card-cell-text-content"/>
              </w:rPr>
            </w:pPr>
            <w:r w:rsidRPr="006F0146">
              <w:rPr>
                <w:rStyle w:val="wrf-favorite-card-cell-text-content"/>
              </w:rPr>
              <w:t>По значениям результатов</w:t>
            </w:r>
          </w:p>
        </w:tc>
        <w:tc>
          <w:tcPr>
            <w:tcW w:w="2551" w:type="dxa"/>
            <w:vMerge w:val="restart"/>
            <w:vAlign w:val="center"/>
          </w:tcPr>
          <w:p w:rsidR="00B942BA" w:rsidRDefault="00B942BA" w:rsidP="00B942BA">
            <w:pPr>
              <w:ind w:firstLine="0"/>
              <w:jc w:val="left"/>
              <w:rPr>
                <w:snapToGrid/>
                <w:color w:val="auto"/>
                <w:szCs w:val="24"/>
              </w:rPr>
            </w:pPr>
            <w:r>
              <w:t>PIAO_107_012_report</w:t>
            </w:r>
          </w:p>
        </w:tc>
        <w:tc>
          <w:tcPr>
            <w:tcW w:w="2941" w:type="dxa"/>
            <w:vAlign w:val="center"/>
          </w:tcPr>
          <w:p w:rsidR="00B942BA" w:rsidRPr="004A2CCB" w:rsidRDefault="00B942BA" w:rsidP="00B942BA">
            <w:pPr>
              <w:ind w:firstLine="0"/>
            </w:pPr>
            <w:r w:rsidRPr="00B942BA">
              <w:rPr>
                <w:lang w:val="en-US"/>
              </w:rPr>
              <w:t>D_PIAO_RS</w:t>
            </w:r>
          </w:p>
        </w:tc>
      </w:tr>
      <w:tr w:rsidR="00B942BA" w:rsidRPr="00206C4C" w:rsidTr="0064780D">
        <w:trPr>
          <w:trHeight w:val="370"/>
        </w:trPr>
        <w:tc>
          <w:tcPr>
            <w:tcW w:w="4361" w:type="dxa"/>
            <w:vMerge/>
            <w:vAlign w:val="center"/>
          </w:tcPr>
          <w:p w:rsidR="00B942BA" w:rsidRPr="006F0146" w:rsidRDefault="00B942BA" w:rsidP="006F0146">
            <w:pPr>
              <w:rPr>
                <w:rStyle w:val="wrf-favorite-card-cell-text-content"/>
              </w:rPr>
            </w:pPr>
          </w:p>
        </w:tc>
        <w:tc>
          <w:tcPr>
            <w:tcW w:w="2551" w:type="dxa"/>
            <w:vMerge/>
            <w:vAlign w:val="center"/>
          </w:tcPr>
          <w:p w:rsidR="00B942BA" w:rsidRDefault="00B942BA" w:rsidP="00B942BA">
            <w:pPr>
              <w:jc w:val="left"/>
            </w:pPr>
          </w:p>
        </w:tc>
        <w:tc>
          <w:tcPr>
            <w:tcW w:w="2941" w:type="dxa"/>
            <w:vAlign w:val="center"/>
          </w:tcPr>
          <w:p w:rsidR="00B942BA" w:rsidRPr="00B942BA" w:rsidRDefault="00B942BA" w:rsidP="00B942BA">
            <w:pPr>
              <w:ind w:firstLine="0"/>
              <w:rPr>
                <w:lang w:val="en-US"/>
              </w:rPr>
            </w:pPr>
            <w:r w:rsidRPr="00B942BA">
              <w:rPr>
                <w:lang w:val="en-US"/>
              </w:rPr>
              <w:t>F_PIAO_KBK</w:t>
            </w:r>
          </w:p>
        </w:tc>
      </w:tr>
      <w:tr w:rsidR="00B942BA" w:rsidRPr="00206C4C" w:rsidTr="0064780D">
        <w:trPr>
          <w:trHeight w:val="370"/>
        </w:trPr>
        <w:tc>
          <w:tcPr>
            <w:tcW w:w="4361" w:type="dxa"/>
            <w:vMerge/>
            <w:vAlign w:val="center"/>
          </w:tcPr>
          <w:p w:rsidR="00B942BA" w:rsidRPr="006F0146" w:rsidRDefault="00B942BA" w:rsidP="006F0146">
            <w:pPr>
              <w:rPr>
                <w:rStyle w:val="wrf-favorite-card-cell-text-content"/>
              </w:rPr>
            </w:pPr>
          </w:p>
        </w:tc>
        <w:tc>
          <w:tcPr>
            <w:tcW w:w="2551" w:type="dxa"/>
            <w:vMerge/>
            <w:vAlign w:val="center"/>
          </w:tcPr>
          <w:p w:rsidR="00B942BA" w:rsidRDefault="00B942BA" w:rsidP="00B942BA">
            <w:pPr>
              <w:jc w:val="left"/>
            </w:pPr>
          </w:p>
        </w:tc>
        <w:tc>
          <w:tcPr>
            <w:tcW w:w="2941" w:type="dxa"/>
            <w:vAlign w:val="center"/>
          </w:tcPr>
          <w:p w:rsidR="00B942BA" w:rsidRPr="00B942BA" w:rsidRDefault="00B942BA" w:rsidP="00B942BA">
            <w:pPr>
              <w:ind w:firstLine="0"/>
              <w:rPr>
                <w:lang w:val="en-US"/>
              </w:rPr>
            </w:pPr>
            <w:r>
              <w:t>F_PIAO_RESMARKS</w:t>
            </w:r>
          </w:p>
        </w:tc>
      </w:tr>
      <w:tr w:rsidR="006F0146" w:rsidRPr="00206C4C" w:rsidTr="0064780D">
        <w:trPr>
          <w:trHeight w:val="20"/>
        </w:trPr>
        <w:tc>
          <w:tcPr>
            <w:tcW w:w="9853" w:type="dxa"/>
            <w:gridSpan w:val="3"/>
            <w:vAlign w:val="center"/>
          </w:tcPr>
          <w:p w:rsidR="006F0146" w:rsidRPr="00206C4C" w:rsidRDefault="006F0146" w:rsidP="0064780D">
            <w:pPr>
              <w:ind w:firstLine="0"/>
            </w:pPr>
            <w:r w:rsidRPr="002E3333">
              <w:rPr>
                <w:b/>
              </w:rPr>
              <w:t>Реестр государственных заданий</w:t>
            </w:r>
          </w:p>
        </w:tc>
      </w:tr>
      <w:tr w:rsidR="006F0146" w:rsidRPr="00206C4C" w:rsidTr="0064780D">
        <w:trPr>
          <w:trHeight w:val="20"/>
        </w:trPr>
        <w:tc>
          <w:tcPr>
            <w:tcW w:w="4361" w:type="dxa"/>
            <w:vAlign w:val="center"/>
          </w:tcPr>
          <w:p w:rsidR="006F0146" w:rsidRPr="00206C4C" w:rsidRDefault="006F0146" w:rsidP="0064780D">
            <w:pPr>
              <w:ind w:firstLine="0"/>
            </w:pPr>
            <w:r w:rsidRPr="00206C4C">
              <w:t>Мониторинг формирования государственных заданий и заключения соглашений на их финансовое обеспечение</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EPBS_008_002_report</w:t>
            </w:r>
          </w:p>
        </w:tc>
        <w:tc>
          <w:tcPr>
            <w:tcW w:w="2941" w:type="dxa"/>
            <w:vAlign w:val="center"/>
          </w:tcPr>
          <w:p w:rsidR="006F0146" w:rsidRPr="00206C4C" w:rsidRDefault="006F0146" w:rsidP="0064780D">
            <w:pPr>
              <w:ind w:firstLine="0"/>
            </w:pPr>
            <w:r w:rsidRPr="00206C4C">
              <w:t>T_PIAO_RSRGZREPORTS</w:t>
            </w:r>
          </w:p>
        </w:tc>
      </w:tr>
      <w:tr w:rsidR="006F0146" w:rsidRPr="00206C4C" w:rsidTr="0064780D">
        <w:trPr>
          <w:trHeight w:val="20"/>
        </w:trPr>
        <w:tc>
          <w:tcPr>
            <w:tcW w:w="9853" w:type="dxa"/>
            <w:gridSpan w:val="3"/>
            <w:vAlign w:val="center"/>
          </w:tcPr>
          <w:p w:rsidR="006F0146" w:rsidRPr="002E3333" w:rsidRDefault="006F0146" w:rsidP="0064780D">
            <w:pPr>
              <w:ind w:firstLine="0"/>
              <w:rPr>
                <w:b/>
              </w:rPr>
            </w:pPr>
            <w:r w:rsidRPr="002E3333">
              <w:rPr>
                <w:rStyle w:val="wrf-favorite-tree-cell-text-content"/>
                <w:b/>
              </w:rPr>
              <w:t>Перечни (классификаторы) государственных и муниципальных работ и услуг</w:t>
            </w:r>
          </w:p>
        </w:tc>
      </w:tr>
      <w:tr w:rsidR="006F0146" w:rsidRPr="00991B9F" w:rsidTr="0064780D">
        <w:trPr>
          <w:trHeight w:val="20"/>
        </w:trPr>
        <w:tc>
          <w:tcPr>
            <w:tcW w:w="4361" w:type="dxa"/>
            <w:vAlign w:val="center"/>
          </w:tcPr>
          <w:p w:rsidR="006F0146" w:rsidRPr="00206C4C" w:rsidRDefault="006F0146" w:rsidP="0064780D">
            <w:pPr>
              <w:ind w:firstLine="0"/>
            </w:pPr>
            <w:r w:rsidRPr="00206C4C">
              <w:t>Перечни (классификаторы) государственных и муниципальных услуг и работ</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PIAO_111_001_report</w:t>
            </w:r>
          </w:p>
        </w:tc>
        <w:tc>
          <w:tcPr>
            <w:tcW w:w="2941" w:type="dxa"/>
            <w:vMerge w:val="restart"/>
            <w:vAlign w:val="center"/>
          </w:tcPr>
          <w:p w:rsidR="006F0146" w:rsidRPr="00890DD0" w:rsidRDefault="006F0146" w:rsidP="0064780D">
            <w:pPr>
              <w:ind w:firstLine="0"/>
              <w:rPr>
                <w:lang w:val="en-US"/>
              </w:rPr>
            </w:pPr>
            <w:r w:rsidRPr="00890DD0">
              <w:rPr>
                <w:lang w:val="en-US"/>
              </w:rPr>
              <w:t>D_OFBPGU_ACTIVITYKIND</w:t>
            </w:r>
          </w:p>
          <w:p w:rsidR="006F0146" w:rsidRPr="00890DD0" w:rsidRDefault="006F0146" w:rsidP="0064780D">
            <w:pPr>
              <w:ind w:firstLine="0"/>
              <w:rPr>
                <w:lang w:val="en-US"/>
              </w:rPr>
            </w:pPr>
            <w:r w:rsidRPr="00890DD0">
              <w:rPr>
                <w:lang w:val="en-US"/>
              </w:rPr>
              <w:t xml:space="preserve">D_OFBPGU_DOCINFORM </w:t>
            </w:r>
          </w:p>
          <w:p w:rsidR="006F0146" w:rsidRPr="00890DD0" w:rsidRDefault="006F0146" w:rsidP="0064780D">
            <w:pPr>
              <w:ind w:firstLine="0"/>
              <w:rPr>
                <w:lang w:val="en-US"/>
              </w:rPr>
            </w:pPr>
            <w:r w:rsidRPr="00890DD0">
              <w:rPr>
                <w:lang w:val="en-US"/>
              </w:rPr>
              <w:t>D_OFBPGU_REGRECORDS</w:t>
            </w:r>
          </w:p>
          <w:p w:rsidR="006F0146" w:rsidRPr="00890DD0" w:rsidRDefault="006F0146" w:rsidP="0064780D">
            <w:pPr>
              <w:ind w:firstLine="0"/>
              <w:rPr>
                <w:lang w:val="en-US"/>
              </w:rPr>
            </w:pPr>
            <w:r w:rsidRPr="00890DD0">
              <w:rPr>
                <w:lang w:val="en-US"/>
              </w:rPr>
              <w:t xml:space="preserve">D_OFBPGU_SRVCCONT </w:t>
            </w:r>
            <w:r w:rsidRPr="00890DD0">
              <w:rPr>
                <w:lang w:val="en-US"/>
              </w:rPr>
              <w:br/>
              <w:t>D_OFBPGU_SRVCTERMS</w:t>
            </w:r>
          </w:p>
          <w:p w:rsidR="006F0146" w:rsidRPr="00890DD0" w:rsidRDefault="006F0146" w:rsidP="0064780D">
            <w:pPr>
              <w:ind w:firstLine="0"/>
              <w:rPr>
                <w:lang w:val="en-US"/>
              </w:rPr>
            </w:pPr>
            <w:r w:rsidRPr="00890DD0">
              <w:rPr>
                <w:lang w:val="en-US"/>
              </w:rPr>
              <w:t>D_OFBPGU_OKPD</w:t>
            </w:r>
            <w:r w:rsidRPr="00890DD0">
              <w:rPr>
                <w:lang w:val="en-US"/>
              </w:rPr>
              <w:br/>
              <w:t>D_OFBPGU_QLTYIND</w:t>
            </w:r>
            <w:r w:rsidRPr="00890DD0">
              <w:rPr>
                <w:lang w:val="en-US"/>
              </w:rPr>
              <w:br/>
              <w:t>D_OFBPGU_VOLIND</w:t>
            </w:r>
            <w:r w:rsidRPr="00890DD0">
              <w:rPr>
                <w:lang w:val="en-US"/>
              </w:rPr>
              <w:br/>
              <w:t xml:space="preserve">D_OFBPGU_NPA </w:t>
            </w:r>
            <w:r w:rsidRPr="00890DD0">
              <w:rPr>
                <w:lang w:val="en-US"/>
              </w:rPr>
              <w:br/>
              <w:t>D_OFBPGU_OKVED</w:t>
            </w:r>
            <w:r w:rsidRPr="00890DD0">
              <w:rPr>
                <w:lang w:val="en-US"/>
              </w:rPr>
              <w:br/>
              <w:t xml:space="preserve">D_OFBPGU_PPOTYPE </w:t>
            </w:r>
            <w:r w:rsidRPr="00890DD0">
              <w:rPr>
                <w:lang w:val="en-US"/>
              </w:rPr>
              <w:br/>
              <w:t>D_OFBPGU_PAID</w:t>
            </w:r>
            <w:r w:rsidRPr="00890DD0">
              <w:rPr>
                <w:lang w:val="en-US"/>
              </w:rPr>
              <w:br/>
              <w:t>D_OFBPGU_USERCAT</w:t>
            </w:r>
            <w:r w:rsidRPr="00890DD0">
              <w:rPr>
                <w:lang w:val="en-US"/>
              </w:rPr>
              <w:br/>
              <w:t xml:space="preserve">D_OFBPGU_UCHREZHTYPE </w:t>
            </w:r>
          </w:p>
          <w:p w:rsidR="006F0146" w:rsidRPr="00B503E8" w:rsidRDefault="006F0146" w:rsidP="0064780D">
            <w:pPr>
              <w:ind w:firstLine="0"/>
              <w:rPr>
                <w:lang w:val="en-US"/>
              </w:rPr>
            </w:pPr>
            <w:r w:rsidRPr="00890DD0">
              <w:rPr>
                <w:lang w:val="en-US"/>
              </w:rPr>
              <w:t xml:space="preserve">D_OFBPGU_INSTITUTETYPE D_OFBPGU_MONITORING R_OFBPGU_TERMSRVC </w:t>
            </w:r>
            <w:r w:rsidRPr="00890DD0">
              <w:rPr>
                <w:lang w:val="en-US"/>
              </w:rPr>
              <w:br/>
              <w:t>R_OFBPGU_CONTRVC</w:t>
            </w:r>
            <w:r w:rsidRPr="00890DD0">
              <w:rPr>
                <w:lang w:val="en-US"/>
              </w:rPr>
              <w:br/>
              <w:t xml:space="preserve">R_OFBPGU_OKPDRVC </w:t>
            </w:r>
            <w:r w:rsidRPr="00890DD0">
              <w:rPr>
                <w:lang w:val="en-US"/>
              </w:rPr>
              <w:br/>
              <w:t xml:space="preserve">R_OFBPGU_OKVEDRVC </w:t>
            </w:r>
            <w:r w:rsidRPr="00890DD0">
              <w:rPr>
                <w:lang w:val="en-US"/>
              </w:rPr>
              <w:br/>
              <w:t xml:space="preserve">R_OFBPGU_PPOREL </w:t>
            </w:r>
            <w:r w:rsidRPr="00890DD0">
              <w:rPr>
                <w:lang w:val="en-US"/>
              </w:rPr>
              <w:br/>
              <w:t xml:space="preserve">R_OFBPGU_PAIDRVC </w:t>
            </w:r>
            <w:r w:rsidRPr="00890DD0">
              <w:rPr>
                <w:lang w:val="en-US"/>
              </w:rPr>
              <w:br/>
              <w:t xml:space="preserve">R_OFBPGU_INSTRVC </w:t>
            </w:r>
            <w:r w:rsidRPr="00890DD0">
              <w:rPr>
                <w:lang w:val="en-US"/>
              </w:rPr>
              <w:br/>
              <w:t xml:space="preserve">R_OFBPGU_CONSRVC </w:t>
            </w:r>
            <w:r w:rsidRPr="00890DD0">
              <w:rPr>
                <w:lang w:val="en-US"/>
              </w:rPr>
              <w:br/>
              <w:t>R_OFBPGU_NPARVC</w:t>
            </w:r>
            <w:r w:rsidRPr="00890DD0">
              <w:rPr>
                <w:lang w:val="en-US"/>
              </w:rPr>
              <w:br/>
              <w:t xml:space="preserve">R_OFBPGU_VOLUMERVC </w:t>
            </w:r>
            <w:r w:rsidRPr="00890DD0">
              <w:rPr>
                <w:lang w:val="en-US"/>
              </w:rPr>
              <w:br/>
              <w:t xml:space="preserve">R_OFBPGU_QUALITYRVC </w:t>
            </w:r>
            <w:r w:rsidRPr="00890DD0">
              <w:rPr>
                <w:lang w:val="en-US"/>
              </w:rPr>
              <w:br/>
              <w:t xml:space="preserve">R_OFBPGU_INSTTYPERVC </w:t>
            </w:r>
            <w:r w:rsidRPr="00890DD0">
              <w:rPr>
                <w:lang w:val="en-US"/>
              </w:rPr>
              <w:br/>
              <w:t>B_OFBPGU_AC</w:t>
            </w:r>
            <w:r w:rsidRPr="00B503E8">
              <w:rPr>
                <w:lang w:val="en-US"/>
              </w:rPr>
              <w:t>TIVITYKIND</w:t>
            </w:r>
          </w:p>
        </w:tc>
      </w:tr>
      <w:tr w:rsidR="006F0146" w:rsidRPr="00206C4C" w:rsidTr="0064780D">
        <w:trPr>
          <w:trHeight w:val="20"/>
        </w:trPr>
        <w:tc>
          <w:tcPr>
            <w:tcW w:w="4361" w:type="dxa"/>
            <w:vAlign w:val="center"/>
          </w:tcPr>
          <w:p w:rsidR="006F0146" w:rsidRPr="00206C4C" w:rsidRDefault="006F0146" w:rsidP="0064780D">
            <w:pPr>
              <w:ind w:firstLine="0"/>
            </w:pPr>
            <w:r w:rsidRPr="00206C4C">
              <w:t>Услуги и работы общероссийских и федеральных перечней (классификаторов) государственных и муниципальных услуг и работ</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PIAO_111_002_report</w:t>
            </w:r>
          </w:p>
        </w:tc>
        <w:tc>
          <w:tcPr>
            <w:tcW w:w="2941" w:type="dxa"/>
            <w:vMerge/>
            <w:vAlign w:val="center"/>
          </w:tcPr>
          <w:p w:rsidR="006F0146" w:rsidRPr="00206C4C" w:rsidRDefault="006F0146" w:rsidP="0064780D">
            <w:pPr>
              <w:ind w:firstLine="0"/>
            </w:pPr>
          </w:p>
        </w:tc>
      </w:tr>
      <w:tr w:rsidR="006F0146" w:rsidRPr="00206C4C" w:rsidTr="0064780D">
        <w:trPr>
          <w:trHeight w:val="20"/>
        </w:trPr>
        <w:tc>
          <w:tcPr>
            <w:tcW w:w="4361" w:type="dxa"/>
            <w:vAlign w:val="center"/>
          </w:tcPr>
          <w:p w:rsidR="006F0146" w:rsidRPr="00206C4C" w:rsidRDefault="006F0146" w:rsidP="0064780D">
            <w:pPr>
              <w:ind w:firstLine="0"/>
            </w:pPr>
            <w:r w:rsidRPr="00206C4C">
              <w:t>Реестровые записи общероссийских и федеральных перечней (классификаторов) государственных и муниципальных услуг и работ</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PIAO_111_003_report</w:t>
            </w:r>
          </w:p>
        </w:tc>
        <w:tc>
          <w:tcPr>
            <w:tcW w:w="2941" w:type="dxa"/>
            <w:vMerge/>
            <w:vAlign w:val="center"/>
          </w:tcPr>
          <w:p w:rsidR="006F0146" w:rsidRPr="00206C4C" w:rsidRDefault="006F0146" w:rsidP="0064780D">
            <w:pPr>
              <w:ind w:firstLine="0"/>
            </w:pPr>
          </w:p>
        </w:tc>
      </w:tr>
      <w:tr w:rsidR="006F0146" w:rsidRPr="00206C4C" w:rsidTr="0064780D">
        <w:trPr>
          <w:trHeight w:val="20"/>
        </w:trPr>
        <w:tc>
          <w:tcPr>
            <w:tcW w:w="9853" w:type="dxa"/>
            <w:gridSpan w:val="3"/>
            <w:vAlign w:val="center"/>
          </w:tcPr>
          <w:p w:rsidR="006F0146" w:rsidRPr="00206C4C" w:rsidRDefault="006F0146" w:rsidP="0064780D">
            <w:pPr>
              <w:ind w:firstLine="0"/>
              <w:jc w:val="left"/>
              <w:rPr>
                <w:szCs w:val="24"/>
              </w:rPr>
            </w:pPr>
            <w:r>
              <w:rPr>
                <w:b/>
              </w:rPr>
              <w:t>Получатели</w:t>
            </w:r>
            <w:r w:rsidRPr="00ED76E4">
              <w:rPr>
                <w:b/>
              </w:rPr>
              <w:t xml:space="preserve"> субсидий </w:t>
            </w:r>
          </w:p>
        </w:tc>
      </w:tr>
      <w:tr w:rsidR="006F0146" w:rsidRPr="00206C4C" w:rsidTr="0064780D">
        <w:trPr>
          <w:trHeight w:val="20"/>
        </w:trPr>
        <w:tc>
          <w:tcPr>
            <w:tcW w:w="4361" w:type="dxa"/>
            <w:vAlign w:val="center"/>
          </w:tcPr>
          <w:p w:rsidR="006F0146" w:rsidRPr="00206C4C" w:rsidRDefault="006F0146" w:rsidP="0064780D">
            <w:pPr>
              <w:ind w:firstLine="0"/>
            </w:pPr>
            <w:r w:rsidRPr="00206C4C">
              <w:t>Реестр конечных получателей субсидий</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PIAO_150_001_report</w:t>
            </w:r>
          </w:p>
        </w:tc>
        <w:tc>
          <w:tcPr>
            <w:tcW w:w="2941" w:type="dxa"/>
            <w:vAlign w:val="center"/>
          </w:tcPr>
          <w:p w:rsidR="006F0146" w:rsidRPr="00206C4C" w:rsidRDefault="006F0146" w:rsidP="0064780D">
            <w:pPr>
              <w:ind w:firstLine="0"/>
            </w:pPr>
            <w:r w:rsidRPr="00206C4C">
              <w:rPr>
                <w:szCs w:val="24"/>
              </w:rPr>
              <w:t>F_ASFK_FINALRECEIPTREGISTER</w:t>
            </w:r>
          </w:p>
        </w:tc>
      </w:tr>
      <w:tr w:rsidR="006F0146" w:rsidRPr="00206C4C" w:rsidTr="0064780D">
        <w:trPr>
          <w:trHeight w:val="20"/>
        </w:trPr>
        <w:tc>
          <w:tcPr>
            <w:tcW w:w="4361" w:type="dxa"/>
            <w:vAlign w:val="center"/>
          </w:tcPr>
          <w:p w:rsidR="006F0146" w:rsidRPr="00206C4C" w:rsidRDefault="006F0146" w:rsidP="0064780D">
            <w:pPr>
              <w:ind w:firstLine="0"/>
            </w:pPr>
            <w:r>
              <w:t>Мониторинг предоставления УФК и загрузки в ПИАО реестров конечных получателей субсидий</w:t>
            </w:r>
          </w:p>
        </w:tc>
        <w:tc>
          <w:tcPr>
            <w:tcW w:w="2551" w:type="dxa"/>
            <w:vAlign w:val="center"/>
          </w:tcPr>
          <w:p w:rsidR="006F0146" w:rsidRPr="00206C4C" w:rsidRDefault="006F0146" w:rsidP="0064780D">
            <w:pPr>
              <w:ind w:firstLine="0"/>
              <w:jc w:val="left"/>
              <w:rPr>
                <w:snapToGrid/>
                <w:color w:val="auto"/>
                <w:szCs w:val="24"/>
              </w:rPr>
            </w:pPr>
            <w:r w:rsidRPr="00206C4C">
              <w:rPr>
                <w:snapToGrid/>
                <w:color w:val="auto"/>
                <w:szCs w:val="24"/>
              </w:rPr>
              <w:t>PIAO_150_00</w:t>
            </w:r>
            <w:r>
              <w:rPr>
                <w:snapToGrid/>
                <w:color w:val="auto"/>
                <w:szCs w:val="24"/>
              </w:rPr>
              <w:t>2</w:t>
            </w:r>
            <w:r w:rsidRPr="00206C4C">
              <w:rPr>
                <w:snapToGrid/>
                <w:color w:val="auto"/>
                <w:szCs w:val="24"/>
              </w:rPr>
              <w:t>_report</w:t>
            </w:r>
          </w:p>
        </w:tc>
        <w:tc>
          <w:tcPr>
            <w:tcW w:w="2941" w:type="dxa"/>
            <w:vAlign w:val="center"/>
          </w:tcPr>
          <w:p w:rsidR="006F0146" w:rsidRPr="00206C4C" w:rsidRDefault="006F0146" w:rsidP="0064780D">
            <w:pPr>
              <w:ind w:firstLine="0"/>
              <w:rPr>
                <w:szCs w:val="24"/>
              </w:rPr>
            </w:pPr>
            <w:r w:rsidRPr="00206C4C">
              <w:rPr>
                <w:szCs w:val="24"/>
              </w:rPr>
              <w:t>F_ASFK_FINALRECEIPTREGISTER</w:t>
            </w:r>
          </w:p>
        </w:tc>
      </w:tr>
    </w:tbl>
    <w:p w:rsidR="00157471" w:rsidRDefault="00157471" w:rsidP="00B35FDE">
      <w:pPr>
        <w:pStyle w:val="35"/>
      </w:pPr>
      <w:bookmarkStart w:id="778" w:name="_Toc37845326"/>
      <w:bookmarkStart w:id="779" w:name="_Toc69290127"/>
      <w:bookmarkStart w:id="780" w:name="_Toc119585092"/>
      <w:r w:rsidRPr="00206C4C">
        <w:t>Отчет «Мониторинг ведения реестра соглашений»</w:t>
      </w:r>
      <w:bookmarkEnd w:id="778"/>
      <w:bookmarkEnd w:id="779"/>
      <w:r w:rsidR="00B35FDE" w:rsidRPr="00B35FDE">
        <w:t xml:space="preserve"> (PIAO_107_003_report)</w:t>
      </w:r>
      <w:bookmarkEnd w:id="780"/>
    </w:p>
    <w:p w:rsidR="00157471" w:rsidRDefault="00157471" w:rsidP="00157471">
      <w:pPr>
        <w:pStyle w:val="af0"/>
        <w:rPr>
          <w:rStyle w:val="af1"/>
        </w:rPr>
      </w:pPr>
      <w:r w:rsidRPr="00233E44">
        <w:rPr>
          <w:rStyle w:val="af1"/>
        </w:rPr>
        <w:t>Для перехода к отчету «Мониторинг ведения Реестра соглашений» необходимо перейти к витрине «Ведение перечней и реестров» и раскрыть каталог «Реестр соглашений», как показано на рисунке</w:t>
      </w:r>
      <w:r w:rsidR="004736F8">
        <w:rPr>
          <w:rStyle w:val="af1"/>
        </w:rPr>
        <w:t xml:space="preserve"> </w:t>
      </w:r>
      <w:r w:rsidR="004736F8">
        <w:rPr>
          <w:rStyle w:val="af1"/>
        </w:rPr>
        <w:fldChar w:fldCharType="begin"/>
      </w:r>
      <w:r w:rsidR="004736F8">
        <w:rPr>
          <w:rStyle w:val="af1"/>
        </w:rPr>
        <w:instrText xml:space="preserve"> REF _Ref70005665 \h </w:instrText>
      </w:r>
      <w:r w:rsidR="004736F8">
        <w:rPr>
          <w:rStyle w:val="af1"/>
        </w:rPr>
      </w:r>
      <w:r w:rsidR="004736F8">
        <w:rPr>
          <w:rStyle w:val="af1"/>
        </w:rPr>
        <w:fldChar w:fldCharType="separate"/>
      </w:r>
      <w:r w:rsidR="00BF0BEE">
        <w:rPr>
          <w:noProof/>
        </w:rPr>
        <w:t>188</w:t>
      </w:r>
      <w:r w:rsidR="004736F8">
        <w:rPr>
          <w:rStyle w:val="af1"/>
        </w:rPr>
        <w:fldChar w:fldCharType="end"/>
      </w:r>
      <w:r w:rsidR="004736F8">
        <w:rPr>
          <w:rStyle w:val="af1"/>
        </w:rPr>
        <w:t>.</w:t>
      </w:r>
    </w:p>
    <w:p w:rsidR="004736F8" w:rsidRDefault="004736F8" w:rsidP="004736F8">
      <w:pPr>
        <w:pStyle w:val="afffff7"/>
        <w:keepNext/>
      </w:pPr>
      <w:r>
        <w:rPr>
          <w:noProof/>
          <w:lang w:eastAsia="ru-RU"/>
        </w:rPr>
        <w:drawing>
          <wp:inline distT="0" distB="0" distL="0" distR="0" wp14:anchorId="2EB88161" wp14:editId="77482566">
            <wp:extent cx="5939790" cy="2888054"/>
            <wp:effectExtent l="0" t="0" r="3810" b="762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stretch>
                      <a:fillRect/>
                    </a:stretch>
                  </pic:blipFill>
                  <pic:spPr>
                    <a:xfrm>
                      <a:off x="0" y="0"/>
                      <a:ext cx="5939790" cy="2888054"/>
                    </a:xfrm>
                    <a:prstGeom prst="rect">
                      <a:avLst/>
                    </a:prstGeom>
                  </pic:spPr>
                </pic:pic>
              </a:graphicData>
            </a:graphic>
          </wp:inline>
        </w:drawing>
      </w:r>
    </w:p>
    <w:p w:rsidR="00157471" w:rsidRDefault="004736F8" w:rsidP="004736F8">
      <w:pPr>
        <w:pStyle w:val="-0"/>
      </w:pPr>
      <w:bookmarkStart w:id="781" w:name="_Toc119584375"/>
      <w:r>
        <w:rPr>
          <w:rStyle w:val="af1"/>
          <w:rFonts w:eastAsia="Calibri"/>
        </w:rPr>
        <w:t xml:space="preserve">Рисунок </w:t>
      </w:r>
      <w:fldSimple w:instr=" SEQ Рисунок \* ARABIC ">
        <w:bookmarkStart w:id="782" w:name="_Ref70005665"/>
        <w:r w:rsidR="001860A9">
          <w:rPr>
            <w:noProof/>
          </w:rPr>
          <w:t>188</w:t>
        </w:r>
        <w:bookmarkEnd w:id="782"/>
      </w:fldSimple>
      <w:r>
        <w:rPr>
          <w:rStyle w:val="af1"/>
          <w:rFonts w:eastAsia="Calibri"/>
        </w:rPr>
        <w:t xml:space="preserve"> – Переход к каталогу «Реестр соглашений»</w:t>
      </w:r>
      <w:bookmarkEnd w:id="781"/>
    </w:p>
    <w:p w:rsidR="00157471" w:rsidRDefault="00157471" w:rsidP="00157471">
      <w:pPr>
        <w:pStyle w:val="af0"/>
        <w:rPr>
          <w:rStyle w:val="af1"/>
        </w:rPr>
      </w:pPr>
      <w:r w:rsidRPr="00233E44">
        <w:rPr>
          <w:rStyle w:val="af1"/>
        </w:rPr>
        <w:t>В результате отобразится список аналитических отчетов, входящих в каталог «Реестр соглашений»</w:t>
      </w:r>
      <w:r>
        <w:rPr>
          <w:rStyle w:val="af1"/>
        </w:rPr>
        <w:t xml:space="preserve"> (Рисунок</w:t>
      </w:r>
      <w:r w:rsidR="004736F8">
        <w:rPr>
          <w:rStyle w:val="af1"/>
        </w:rPr>
        <w:t xml:space="preserve"> </w:t>
      </w:r>
      <w:r w:rsidR="004736F8">
        <w:rPr>
          <w:rStyle w:val="af1"/>
        </w:rPr>
        <w:fldChar w:fldCharType="begin"/>
      </w:r>
      <w:r w:rsidR="004736F8">
        <w:rPr>
          <w:rStyle w:val="af1"/>
        </w:rPr>
        <w:instrText xml:space="preserve"> REF _Ref70005717 \h </w:instrText>
      </w:r>
      <w:r w:rsidR="004736F8">
        <w:rPr>
          <w:rStyle w:val="af1"/>
        </w:rPr>
      </w:r>
      <w:r w:rsidR="004736F8">
        <w:rPr>
          <w:rStyle w:val="af1"/>
        </w:rPr>
        <w:fldChar w:fldCharType="separate"/>
      </w:r>
      <w:r w:rsidR="00BF0BEE">
        <w:rPr>
          <w:noProof/>
        </w:rPr>
        <w:t>189</w:t>
      </w:r>
      <w:r w:rsidR="004736F8">
        <w:rPr>
          <w:rStyle w:val="af1"/>
        </w:rPr>
        <w:fldChar w:fldCharType="end"/>
      </w:r>
      <w:r>
        <w:rPr>
          <w:rStyle w:val="af1"/>
        </w:rPr>
        <w:t>).</w:t>
      </w:r>
    </w:p>
    <w:p w:rsidR="004736F8" w:rsidRDefault="004736F8" w:rsidP="004736F8">
      <w:pPr>
        <w:pStyle w:val="afffff7"/>
        <w:keepNext/>
      </w:pPr>
      <w:r>
        <w:rPr>
          <w:noProof/>
          <w:lang w:eastAsia="ru-RU"/>
        </w:rPr>
        <w:drawing>
          <wp:inline distT="0" distB="0" distL="0" distR="0" wp14:anchorId="25CFBEFB" wp14:editId="2DDE5FA7">
            <wp:extent cx="5939790" cy="2890506"/>
            <wp:effectExtent l="0" t="0" r="3810" b="571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tretch>
                      <a:fillRect/>
                    </a:stretch>
                  </pic:blipFill>
                  <pic:spPr>
                    <a:xfrm>
                      <a:off x="0" y="0"/>
                      <a:ext cx="5939790" cy="2890506"/>
                    </a:xfrm>
                    <a:prstGeom prst="rect">
                      <a:avLst/>
                    </a:prstGeom>
                  </pic:spPr>
                </pic:pic>
              </a:graphicData>
            </a:graphic>
          </wp:inline>
        </w:drawing>
      </w:r>
    </w:p>
    <w:p w:rsidR="00157471" w:rsidRDefault="004736F8" w:rsidP="004736F8">
      <w:pPr>
        <w:pStyle w:val="-0"/>
      </w:pPr>
      <w:bookmarkStart w:id="783" w:name="_Toc119584376"/>
      <w:r>
        <w:rPr>
          <w:rStyle w:val="af1"/>
          <w:rFonts w:eastAsia="Calibri"/>
        </w:rPr>
        <w:t xml:space="preserve">Рисунок </w:t>
      </w:r>
      <w:fldSimple w:instr=" SEQ Рисунок \* ARABIC ">
        <w:bookmarkStart w:id="784" w:name="_Ref70005717"/>
        <w:r w:rsidR="001860A9">
          <w:rPr>
            <w:noProof/>
          </w:rPr>
          <w:t>189</w:t>
        </w:r>
        <w:bookmarkEnd w:id="784"/>
      </w:fldSimple>
      <w:r>
        <w:rPr>
          <w:rStyle w:val="af1"/>
          <w:rFonts w:eastAsia="Calibri"/>
        </w:rPr>
        <w:t xml:space="preserve"> – Перечень отчетов каталога «Реестр соглашений»</w:t>
      </w:r>
      <w:bookmarkEnd w:id="783"/>
    </w:p>
    <w:p w:rsidR="00157471" w:rsidRDefault="00157471" w:rsidP="00157471">
      <w:pPr>
        <w:pStyle w:val="af0"/>
        <w:rPr>
          <w:rStyle w:val="af1"/>
        </w:rPr>
      </w:pPr>
      <w:r>
        <w:rPr>
          <w:rStyle w:val="af1"/>
        </w:rPr>
        <w:t>Для перехода к отчету «Мониторинг ведения Реестра соглашений» кликнуть мышью по плашке «Мониторинг ведения Реестра соглашений», как показано на рисунке</w:t>
      </w:r>
      <w:r w:rsidR="004736F8">
        <w:rPr>
          <w:rStyle w:val="af1"/>
        </w:rPr>
        <w:t xml:space="preserve"> </w:t>
      </w:r>
      <w:r w:rsidR="004736F8">
        <w:rPr>
          <w:rStyle w:val="af1"/>
        </w:rPr>
        <w:fldChar w:fldCharType="begin"/>
      </w:r>
      <w:r w:rsidR="004736F8">
        <w:rPr>
          <w:rStyle w:val="af1"/>
        </w:rPr>
        <w:instrText xml:space="preserve"> REF _Ref70005776 \h </w:instrText>
      </w:r>
      <w:r w:rsidR="004736F8">
        <w:rPr>
          <w:rStyle w:val="af1"/>
        </w:rPr>
      </w:r>
      <w:r w:rsidR="004736F8">
        <w:rPr>
          <w:rStyle w:val="af1"/>
        </w:rPr>
        <w:fldChar w:fldCharType="separate"/>
      </w:r>
      <w:r w:rsidR="00BF0BEE">
        <w:rPr>
          <w:noProof/>
        </w:rPr>
        <w:t>190</w:t>
      </w:r>
      <w:r w:rsidR="004736F8">
        <w:rPr>
          <w:rStyle w:val="af1"/>
        </w:rPr>
        <w:fldChar w:fldCharType="end"/>
      </w:r>
      <w:r>
        <w:rPr>
          <w:rStyle w:val="af1"/>
        </w:rPr>
        <w:t>.</w:t>
      </w:r>
    </w:p>
    <w:p w:rsidR="004736F8" w:rsidRDefault="004736F8" w:rsidP="004736F8">
      <w:pPr>
        <w:pStyle w:val="afffff7"/>
        <w:keepNext/>
      </w:pPr>
      <w:r>
        <w:rPr>
          <w:noProof/>
          <w:lang w:eastAsia="ru-RU"/>
        </w:rPr>
        <w:drawing>
          <wp:inline distT="0" distB="0" distL="0" distR="0" wp14:anchorId="4708538C" wp14:editId="2579FF72">
            <wp:extent cx="5939790" cy="2895410"/>
            <wp:effectExtent l="0" t="0" r="3810" b="63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stretch>
                      <a:fillRect/>
                    </a:stretch>
                  </pic:blipFill>
                  <pic:spPr>
                    <a:xfrm>
                      <a:off x="0" y="0"/>
                      <a:ext cx="5939790" cy="2895410"/>
                    </a:xfrm>
                    <a:prstGeom prst="rect">
                      <a:avLst/>
                    </a:prstGeom>
                  </pic:spPr>
                </pic:pic>
              </a:graphicData>
            </a:graphic>
          </wp:inline>
        </w:drawing>
      </w:r>
    </w:p>
    <w:p w:rsidR="00157471" w:rsidRDefault="004736F8" w:rsidP="004736F8">
      <w:pPr>
        <w:pStyle w:val="-0"/>
      </w:pPr>
      <w:bookmarkStart w:id="785" w:name="_Toc119584377"/>
      <w:r>
        <w:rPr>
          <w:rStyle w:val="af1"/>
          <w:rFonts w:eastAsia="Calibri"/>
        </w:rPr>
        <w:t xml:space="preserve">Рисунок </w:t>
      </w:r>
      <w:fldSimple w:instr=" SEQ Рисунок \* ARABIC ">
        <w:bookmarkStart w:id="786" w:name="_Ref70005776"/>
        <w:r w:rsidR="001860A9">
          <w:rPr>
            <w:noProof/>
          </w:rPr>
          <w:t>190</w:t>
        </w:r>
        <w:bookmarkEnd w:id="786"/>
      </w:fldSimple>
      <w:r>
        <w:rPr>
          <w:rStyle w:val="af1"/>
          <w:rFonts w:eastAsia="Calibri"/>
        </w:rPr>
        <w:t xml:space="preserve"> – </w:t>
      </w:r>
      <w:r w:rsidRPr="00C501ED">
        <w:t xml:space="preserve">Плашка для перехода к отчету </w:t>
      </w:r>
      <w:r w:rsidRPr="00C501ED">
        <w:rPr>
          <w:rStyle w:val="af1"/>
          <w:snapToGrid w:val="0"/>
        </w:rPr>
        <w:t>«</w:t>
      </w:r>
      <w:r>
        <w:rPr>
          <w:rStyle w:val="af1"/>
          <w:snapToGrid w:val="0"/>
        </w:rPr>
        <w:t>Мониторинг ведения Реестра соглашений</w:t>
      </w:r>
      <w:r w:rsidRPr="00C501ED">
        <w:rPr>
          <w:rStyle w:val="af1"/>
          <w:snapToGrid w:val="0"/>
        </w:rPr>
        <w:t>»</w:t>
      </w:r>
      <w:bookmarkEnd w:id="785"/>
    </w:p>
    <w:p w:rsidR="00157471" w:rsidRPr="00E94CDC" w:rsidRDefault="00157471" w:rsidP="00157471">
      <w:pPr>
        <w:pStyle w:val="af0"/>
      </w:pPr>
      <w:r w:rsidRPr="00E94CDC">
        <w:t>Отчет «Мониторинг ведения Реестра соглашений» содержит следующие представления:</w:t>
      </w:r>
    </w:p>
    <w:p w:rsidR="00157471" w:rsidRPr="00E94CDC" w:rsidRDefault="00157471" w:rsidP="00DE1661">
      <w:pPr>
        <w:pStyle w:val="13"/>
        <w:rPr>
          <w:snapToGrid/>
          <w:color w:val="000000"/>
        </w:rPr>
      </w:pPr>
      <w:r w:rsidRPr="00E94CDC">
        <w:t>Инфографика</w:t>
      </w:r>
    </w:p>
    <w:p w:rsidR="00157471" w:rsidRPr="00E94CDC" w:rsidRDefault="00157471" w:rsidP="00DE1661">
      <w:pPr>
        <w:pStyle w:val="13"/>
        <w:rPr>
          <w:snapToGrid/>
          <w:color w:val="000000"/>
        </w:rPr>
      </w:pPr>
      <w:r>
        <w:t>По ГРБС</w:t>
      </w:r>
    </w:p>
    <w:p w:rsidR="00157471" w:rsidRPr="00E94CDC" w:rsidRDefault="00157471" w:rsidP="00DE1661">
      <w:pPr>
        <w:pStyle w:val="13"/>
        <w:rPr>
          <w:snapToGrid/>
          <w:color w:val="000000"/>
        </w:rPr>
      </w:pPr>
      <w:r>
        <w:t>По видам расходов</w:t>
      </w:r>
    </w:p>
    <w:p w:rsidR="00157471" w:rsidRPr="00E94CDC" w:rsidRDefault="00157471" w:rsidP="00DE1661">
      <w:pPr>
        <w:pStyle w:val="13"/>
        <w:rPr>
          <w:snapToGrid/>
          <w:color w:val="000000"/>
        </w:rPr>
      </w:pPr>
      <w:r>
        <w:t>По КБК</w:t>
      </w:r>
    </w:p>
    <w:p w:rsidR="00157471" w:rsidRPr="00E94CDC" w:rsidRDefault="00157471" w:rsidP="00DE1661">
      <w:pPr>
        <w:pStyle w:val="13"/>
        <w:rPr>
          <w:snapToGrid/>
          <w:color w:val="000000"/>
        </w:rPr>
      </w:pPr>
      <w:r>
        <w:t>По соглашениям</w:t>
      </w:r>
    </w:p>
    <w:p w:rsidR="00157471" w:rsidRPr="00E94CDC" w:rsidRDefault="00157471" w:rsidP="00DE1661">
      <w:pPr>
        <w:pStyle w:val="13"/>
        <w:rPr>
          <w:snapToGrid/>
          <w:color w:val="000000"/>
        </w:rPr>
      </w:pPr>
      <w:r>
        <w:t>Соглашения по КБК</w:t>
      </w:r>
    </w:p>
    <w:p w:rsidR="00157471" w:rsidRPr="00E94CDC" w:rsidRDefault="00157471" w:rsidP="00DE1661">
      <w:pPr>
        <w:pStyle w:val="13"/>
        <w:rPr>
          <w:snapToGrid/>
          <w:color w:val="000000"/>
        </w:rPr>
      </w:pPr>
      <w:r>
        <w:t>По получателям</w:t>
      </w:r>
    </w:p>
    <w:p w:rsidR="00157471" w:rsidRPr="00E94CDC" w:rsidRDefault="00157471" w:rsidP="00DE1661">
      <w:pPr>
        <w:pStyle w:val="13"/>
        <w:rPr>
          <w:snapToGrid/>
          <w:color w:val="000000"/>
        </w:rPr>
      </w:pPr>
      <w:r>
        <w:t>Отчетность (КВР)</w:t>
      </w:r>
    </w:p>
    <w:p w:rsidR="00157471" w:rsidRDefault="00157471" w:rsidP="00DE1661">
      <w:pPr>
        <w:pStyle w:val="13"/>
        <w:rPr>
          <w:rStyle w:val="af1"/>
        </w:rPr>
      </w:pPr>
      <w:r>
        <w:t>Отчетность (ГРБС/КВР)</w:t>
      </w:r>
    </w:p>
    <w:p w:rsidR="00157471" w:rsidRDefault="00157471" w:rsidP="00157471">
      <w:pPr>
        <w:pStyle w:val="42"/>
      </w:pPr>
      <w:r w:rsidRPr="00C501ED">
        <w:t>Представление «</w:t>
      </w:r>
      <w:r>
        <w:t>Инфографика</w:t>
      </w:r>
      <w:r w:rsidRPr="00C501ED">
        <w:t>»</w:t>
      </w:r>
    </w:p>
    <w:p w:rsidR="00157471" w:rsidRDefault="00157471" w:rsidP="00157471">
      <w:pPr>
        <w:pStyle w:val="af0"/>
      </w:pPr>
      <w:r w:rsidRPr="00375ECE">
        <w:t>Представление «Инфографика</w:t>
      </w:r>
      <w:r>
        <w:t xml:space="preserve"> (Таблица)</w:t>
      </w:r>
      <w:r w:rsidRPr="00375ECE">
        <w:t xml:space="preserve">» </w:t>
      </w:r>
      <w:r>
        <w:t xml:space="preserve">отражает </w:t>
      </w:r>
      <w:r w:rsidRPr="00375ECE">
        <w:t xml:space="preserve">общие сведения о </w:t>
      </w:r>
      <w:r>
        <w:t>процессе формирования соглашений и включения их в реестр соглашений (Рисунок</w:t>
      </w:r>
      <w:r w:rsidR="004736F8">
        <w:t xml:space="preserve"> </w:t>
      </w:r>
      <w:r w:rsidR="004736F8">
        <w:fldChar w:fldCharType="begin"/>
      </w:r>
      <w:r w:rsidR="004736F8">
        <w:instrText xml:space="preserve"> REF _Ref70005879 \h </w:instrText>
      </w:r>
      <w:r w:rsidR="004736F8">
        <w:fldChar w:fldCharType="separate"/>
      </w:r>
      <w:r w:rsidR="00BF0BEE">
        <w:rPr>
          <w:noProof/>
        </w:rPr>
        <w:t>191</w:t>
      </w:r>
      <w:r w:rsidR="004736F8">
        <w:fldChar w:fldCharType="end"/>
      </w:r>
      <w:r>
        <w:t>).</w:t>
      </w:r>
    </w:p>
    <w:p w:rsidR="004736F8" w:rsidRDefault="004736F8" w:rsidP="004736F8">
      <w:pPr>
        <w:pStyle w:val="afffff7"/>
        <w:keepNext/>
      </w:pPr>
      <w:r>
        <w:rPr>
          <w:noProof/>
          <w:lang w:eastAsia="ru-RU"/>
        </w:rPr>
        <w:drawing>
          <wp:inline distT="0" distB="0" distL="0" distR="0" wp14:anchorId="54498D3B" wp14:editId="24BC01F4">
            <wp:extent cx="5939790" cy="2897249"/>
            <wp:effectExtent l="0" t="0" r="381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5939790" cy="2897249"/>
                    </a:xfrm>
                    <a:prstGeom prst="rect">
                      <a:avLst/>
                    </a:prstGeom>
                  </pic:spPr>
                </pic:pic>
              </a:graphicData>
            </a:graphic>
          </wp:inline>
        </w:drawing>
      </w:r>
    </w:p>
    <w:p w:rsidR="00157471" w:rsidRDefault="004736F8" w:rsidP="004736F8">
      <w:pPr>
        <w:pStyle w:val="-0"/>
      </w:pPr>
      <w:bookmarkStart w:id="787" w:name="_Toc119584378"/>
      <w:r>
        <w:t xml:space="preserve">Рисунок </w:t>
      </w:r>
      <w:fldSimple w:instr=" SEQ Рисунок \* ARABIC ">
        <w:bookmarkStart w:id="788" w:name="_Ref70005879"/>
        <w:r w:rsidR="001860A9">
          <w:rPr>
            <w:noProof/>
          </w:rPr>
          <w:t>191</w:t>
        </w:r>
        <w:bookmarkEnd w:id="788"/>
      </w:fldSimple>
      <w:r>
        <w:t xml:space="preserve"> – Макет отчета «Мониторинг ведения Реестра соглашений». Представление «Инфографика»</w:t>
      </w:r>
      <w:bookmarkEnd w:id="787"/>
    </w:p>
    <w:p w:rsidR="00157471" w:rsidRPr="00375ECE" w:rsidRDefault="00157471" w:rsidP="00157471">
      <w:pPr>
        <w:pStyle w:val="af0"/>
      </w:pPr>
      <w:r w:rsidRPr="00375ECE">
        <w:t>Представление «Инфографика</w:t>
      </w:r>
      <w:r>
        <w:t xml:space="preserve"> (Таблица)</w:t>
      </w:r>
      <w:r w:rsidRPr="00375ECE">
        <w:t xml:space="preserve">» </w:t>
      </w:r>
      <w:r>
        <w:t>включает в себя информацию о доведенных и распределенных лимитах бюджетных обязательств, сведения о процессе формирования соглашений и включения их в реестр соглашений, сведения о размещении соглашений на ЕПБС, сведения о бюджетных обязательствах, поставленных на учет, информацию о кассовом исполнении.</w:t>
      </w:r>
    </w:p>
    <w:p w:rsidR="00157471" w:rsidRPr="009302DD" w:rsidRDefault="00157471" w:rsidP="00157471">
      <w:pPr>
        <w:pStyle w:val="af0"/>
      </w:pPr>
      <w:r w:rsidRPr="009302DD">
        <w:t>Параметры представления:</w:t>
      </w:r>
    </w:p>
    <w:p w:rsidR="00157471" w:rsidRDefault="00157471" w:rsidP="00DE1661">
      <w:pPr>
        <w:pStyle w:val="13"/>
      </w:pPr>
      <w:r>
        <w:t>По состоянию на: ДД.ММ.ГГГГ;</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Расчет кассы от: выпадающий список с вариантами выбора.</w:t>
      </w:r>
    </w:p>
    <w:p w:rsidR="00157471" w:rsidRDefault="00157471" w:rsidP="00157471">
      <w:pPr>
        <w:pStyle w:val="affffff8"/>
        <w:ind w:firstLine="567"/>
        <w:jc w:val="both"/>
        <w:rPr>
          <w:rFonts w:ascii="Times New Roman" w:hAnsi="Times New Roman"/>
          <w:sz w:val="28"/>
          <w:szCs w:val="28"/>
        </w:rPr>
      </w:pPr>
      <w:r>
        <w:rPr>
          <w:rFonts w:ascii="Times New Roman" w:hAnsi="Times New Roman"/>
          <w:sz w:val="28"/>
          <w:szCs w:val="28"/>
        </w:rPr>
        <w:t>Виды представления Инфографики:</w:t>
      </w:r>
    </w:p>
    <w:p w:rsidR="00157471" w:rsidRDefault="00157471" w:rsidP="00DE1661">
      <w:pPr>
        <w:pStyle w:val="13"/>
      </w:pPr>
      <w:r>
        <w:t xml:space="preserve"> Без данных ЕПБС;</w:t>
      </w:r>
    </w:p>
    <w:p w:rsidR="00157471" w:rsidRDefault="00157471" w:rsidP="00DE1661">
      <w:pPr>
        <w:pStyle w:val="13"/>
      </w:pPr>
      <w:r>
        <w:t xml:space="preserve"> С данными ЕПБС.</w:t>
      </w:r>
    </w:p>
    <w:p w:rsidR="00157471" w:rsidRDefault="00157471" w:rsidP="00157471">
      <w:pPr>
        <w:pStyle w:val="af0"/>
      </w:pPr>
      <w:r w:rsidRPr="003E0E1F">
        <w:t>Таблица должна содержать следующие столбцы:</w:t>
      </w:r>
    </w:p>
    <w:p w:rsidR="00157471" w:rsidRDefault="00157471" w:rsidP="00DE1661">
      <w:pPr>
        <w:pStyle w:val="13"/>
      </w:pPr>
      <w:r>
        <w:t>Бюджетные данные:</w:t>
      </w:r>
    </w:p>
    <w:p w:rsidR="00157471" w:rsidRDefault="00157471" w:rsidP="00157471">
      <w:pPr>
        <w:pStyle w:val="29"/>
      </w:pPr>
      <w:r>
        <w:t>Доведено ЛБО (АСФК), млн. руб.;</w:t>
      </w:r>
    </w:p>
    <w:p w:rsidR="00157471" w:rsidRDefault="00157471" w:rsidP="00157471">
      <w:pPr>
        <w:pStyle w:val="29"/>
      </w:pPr>
      <w:r>
        <w:t>Распределено ЛБО (АСФК), млн. руб.;</w:t>
      </w:r>
    </w:p>
    <w:p w:rsidR="00157471" w:rsidRDefault="00157471" w:rsidP="00DE1661">
      <w:pPr>
        <w:pStyle w:val="13"/>
      </w:pPr>
      <w:r>
        <w:t>Соглашения:</w:t>
      </w:r>
    </w:p>
    <w:p w:rsidR="00157471" w:rsidRDefault="00157471" w:rsidP="00157471">
      <w:pPr>
        <w:pStyle w:val="29"/>
      </w:pPr>
      <w:r>
        <w:t>Запланировано заключить в текущем финансовом году, шт.</w:t>
      </w:r>
    </w:p>
    <w:p w:rsidR="00157471" w:rsidRDefault="00157471" w:rsidP="00157471">
      <w:pPr>
        <w:pStyle w:val="29"/>
      </w:pPr>
      <w:r>
        <w:t>Включено в РС (ПУР):</w:t>
      </w:r>
    </w:p>
    <w:p w:rsidR="00157471" w:rsidRDefault="00157471" w:rsidP="00157471">
      <w:pPr>
        <w:pStyle w:val="3e"/>
      </w:pPr>
      <w:r>
        <w:t>- Всего, кол-во, ед.</w:t>
      </w:r>
    </w:p>
    <w:p w:rsidR="00157471" w:rsidRDefault="00157471" w:rsidP="00157471">
      <w:pPr>
        <w:pStyle w:val="3e"/>
      </w:pPr>
      <w:r>
        <w:t>- Всего, сумма, млн. руб.</w:t>
      </w:r>
    </w:p>
    <w:p w:rsidR="00157471" w:rsidRDefault="00157471" w:rsidP="00157471">
      <w:pPr>
        <w:pStyle w:val="3e"/>
      </w:pPr>
      <w:r>
        <w:t>- Заключено в тек. году, кол-во, ед.</w:t>
      </w:r>
    </w:p>
    <w:p w:rsidR="00157471" w:rsidRDefault="00157471" w:rsidP="00157471">
      <w:pPr>
        <w:pStyle w:val="3e"/>
      </w:pPr>
      <w:r>
        <w:t>- Заключено в тек. году, сумма, млн. руб.;</w:t>
      </w:r>
    </w:p>
    <w:p w:rsidR="00157471" w:rsidRDefault="00157471" w:rsidP="00DE1661">
      <w:pPr>
        <w:pStyle w:val="13"/>
      </w:pPr>
      <w:r>
        <w:t>Бюджетные обязательства:</w:t>
      </w:r>
    </w:p>
    <w:p w:rsidR="00157471" w:rsidRDefault="00157471" w:rsidP="00157471">
      <w:pPr>
        <w:pStyle w:val="29"/>
      </w:pPr>
      <w:r>
        <w:t>БО, поставленные на учет:</w:t>
      </w:r>
    </w:p>
    <w:p w:rsidR="00157471" w:rsidRDefault="00157471" w:rsidP="00157471">
      <w:pPr>
        <w:pStyle w:val="3e"/>
      </w:pPr>
      <w:r>
        <w:t>- Всего, кол-во, ед.</w:t>
      </w:r>
    </w:p>
    <w:p w:rsidR="00157471" w:rsidRDefault="00157471" w:rsidP="00157471">
      <w:pPr>
        <w:pStyle w:val="3e"/>
      </w:pPr>
      <w:r>
        <w:t>- Всего, сумма, млн. руб.</w:t>
      </w:r>
    </w:p>
    <w:p w:rsidR="00157471" w:rsidRDefault="00157471" w:rsidP="00157471">
      <w:pPr>
        <w:pStyle w:val="3e"/>
      </w:pPr>
      <w:r>
        <w:t>- Поставлено на учет БО в текущем финансовом году, кол-во, ед.</w:t>
      </w:r>
    </w:p>
    <w:p w:rsidR="00157471" w:rsidRDefault="00157471" w:rsidP="00157471">
      <w:pPr>
        <w:pStyle w:val="3e"/>
      </w:pPr>
      <w:r>
        <w:t>- Поставлено на учет БО в текущем финансовом году, сумма, млн. руб.</w:t>
      </w:r>
    </w:p>
    <w:p w:rsidR="00157471" w:rsidRDefault="00157471" w:rsidP="00157471">
      <w:pPr>
        <w:pStyle w:val="3e"/>
      </w:pPr>
      <w:r>
        <w:t>- Исполнено БО (АСФК), млн. руб.</w:t>
      </w:r>
    </w:p>
    <w:p w:rsidR="00157471" w:rsidRDefault="00157471" w:rsidP="00157471">
      <w:pPr>
        <w:pStyle w:val="42"/>
      </w:pPr>
      <w:r w:rsidRPr="00C501ED">
        <w:t>Представление «</w:t>
      </w:r>
      <w:r>
        <w:t>По ГРБС</w:t>
      </w:r>
      <w:r w:rsidRPr="00C501ED">
        <w:t>»</w:t>
      </w:r>
    </w:p>
    <w:p w:rsidR="00157471" w:rsidRDefault="00157471" w:rsidP="00157471">
      <w:pPr>
        <w:pStyle w:val="af0"/>
      </w:pPr>
      <w:r>
        <w:t>Представление «По ГРБС» отражает</w:t>
      </w:r>
      <w:r w:rsidRPr="00617707">
        <w:t xml:space="preserve"> </w:t>
      </w:r>
      <w:r>
        <w:t>детальные</w:t>
      </w:r>
      <w:r w:rsidRPr="00617707">
        <w:t xml:space="preserve"> сведения о процессе формирования соглашений и включения их в реестр соглашений в разрезе ГРБС</w:t>
      </w:r>
      <w:r>
        <w:t xml:space="preserve"> (Рисунок</w:t>
      </w:r>
      <w:r w:rsidR="004736F8">
        <w:t xml:space="preserve"> </w:t>
      </w:r>
      <w:r w:rsidR="004736F8">
        <w:fldChar w:fldCharType="begin"/>
      </w:r>
      <w:r w:rsidR="004736F8">
        <w:instrText xml:space="preserve"> REF _Ref70005954 \h </w:instrText>
      </w:r>
      <w:r w:rsidR="004736F8">
        <w:fldChar w:fldCharType="separate"/>
      </w:r>
      <w:r w:rsidR="00BF0BEE">
        <w:rPr>
          <w:noProof/>
        </w:rPr>
        <w:t>192</w:t>
      </w:r>
      <w:r w:rsidR="004736F8">
        <w:fldChar w:fldCharType="end"/>
      </w:r>
      <w:r>
        <w:t>)</w:t>
      </w:r>
      <w:r w:rsidRPr="00617707">
        <w:t>.</w:t>
      </w:r>
    </w:p>
    <w:p w:rsidR="004736F8" w:rsidRDefault="004736F8" w:rsidP="004736F8">
      <w:pPr>
        <w:pStyle w:val="afffff7"/>
        <w:keepNext/>
      </w:pPr>
      <w:r>
        <w:rPr>
          <w:noProof/>
          <w:lang w:eastAsia="ru-RU"/>
        </w:rPr>
        <w:drawing>
          <wp:inline distT="0" distB="0" distL="0" distR="0" wp14:anchorId="5BA3A83C" wp14:editId="3079E149">
            <wp:extent cx="5939790" cy="2895410"/>
            <wp:effectExtent l="0" t="0" r="3810" b="63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5939790" cy="2895410"/>
                    </a:xfrm>
                    <a:prstGeom prst="rect">
                      <a:avLst/>
                    </a:prstGeom>
                  </pic:spPr>
                </pic:pic>
              </a:graphicData>
            </a:graphic>
          </wp:inline>
        </w:drawing>
      </w:r>
    </w:p>
    <w:p w:rsidR="00157471" w:rsidRDefault="004736F8" w:rsidP="004736F8">
      <w:pPr>
        <w:pStyle w:val="-0"/>
      </w:pPr>
      <w:bookmarkStart w:id="789" w:name="_Toc119584379"/>
      <w:r>
        <w:t xml:space="preserve">Рисунок </w:t>
      </w:r>
      <w:fldSimple w:instr=" SEQ Рисунок \* ARABIC ">
        <w:bookmarkStart w:id="790" w:name="_Ref70005954"/>
        <w:r w:rsidR="001860A9">
          <w:rPr>
            <w:noProof/>
          </w:rPr>
          <w:t>192</w:t>
        </w:r>
        <w:bookmarkEnd w:id="790"/>
      </w:fldSimple>
      <w:r>
        <w:t xml:space="preserve"> – Макет отчета «Мониторинг ведения Реестра соглашений». Представление «По ГРБС»</w:t>
      </w:r>
      <w:bookmarkEnd w:id="789"/>
    </w:p>
    <w:p w:rsidR="00157471" w:rsidRDefault="00157471" w:rsidP="00157471">
      <w:pPr>
        <w:pStyle w:val="af0"/>
      </w:pPr>
      <w:r>
        <w:t>Виды представлений:</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Год: выпадающий список с выбором нужного года;</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Расчет кассы от: выпадающий список с вариантами выбора.</w:t>
      </w:r>
    </w:p>
    <w:p w:rsidR="00157471" w:rsidRDefault="00157471" w:rsidP="00157471">
      <w:pPr>
        <w:pStyle w:val="42"/>
      </w:pPr>
      <w:r w:rsidRPr="00C501ED">
        <w:t>Представление «</w:t>
      </w:r>
      <w:r>
        <w:t>По видам расходов</w:t>
      </w:r>
      <w:r w:rsidRPr="00C501ED">
        <w:t>»</w:t>
      </w:r>
    </w:p>
    <w:p w:rsidR="00157471" w:rsidRDefault="00157471" w:rsidP="00157471">
      <w:pPr>
        <w:pStyle w:val="af0"/>
      </w:pPr>
      <w:r w:rsidRPr="00617707">
        <w:t xml:space="preserve">Представление «По </w:t>
      </w:r>
      <w:r>
        <w:t>видам расходов</w:t>
      </w:r>
      <w:r w:rsidRPr="00617707">
        <w:t xml:space="preserve">» </w:t>
      </w:r>
      <w:r>
        <w:t>отражает</w:t>
      </w:r>
      <w:r w:rsidRPr="00617707">
        <w:t xml:space="preserve"> </w:t>
      </w:r>
      <w:r>
        <w:t xml:space="preserve">детальные </w:t>
      </w:r>
      <w:r w:rsidRPr="00617707">
        <w:t xml:space="preserve">сведения о процессе формирования соглашений и включения их в реестр соглашений в разрезе </w:t>
      </w:r>
      <w:r>
        <w:t>видов расходов (Рисунок</w:t>
      </w:r>
      <w:r w:rsidR="004736F8">
        <w:t xml:space="preserve"> </w:t>
      </w:r>
      <w:r w:rsidR="004736F8">
        <w:fldChar w:fldCharType="begin"/>
      </w:r>
      <w:r w:rsidR="004736F8">
        <w:instrText xml:space="preserve"> REF _Ref70006019 \h </w:instrText>
      </w:r>
      <w:r w:rsidR="004736F8">
        <w:fldChar w:fldCharType="separate"/>
      </w:r>
      <w:r w:rsidR="00BF0BEE">
        <w:rPr>
          <w:noProof/>
        </w:rPr>
        <w:t>193</w:t>
      </w:r>
      <w:r w:rsidR="004736F8">
        <w:fldChar w:fldCharType="end"/>
      </w:r>
      <w:r>
        <w:t>).</w:t>
      </w:r>
    </w:p>
    <w:p w:rsidR="004736F8" w:rsidRDefault="004736F8" w:rsidP="004736F8">
      <w:pPr>
        <w:pStyle w:val="afffff7"/>
        <w:keepNext/>
      </w:pPr>
      <w:r>
        <w:rPr>
          <w:noProof/>
          <w:lang w:eastAsia="ru-RU"/>
        </w:rPr>
        <w:drawing>
          <wp:inline distT="0" distB="0" distL="0" distR="0" wp14:anchorId="4EC47F0A" wp14:editId="634A9472">
            <wp:extent cx="5939790" cy="2889280"/>
            <wp:effectExtent l="0" t="0" r="3810" b="635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stretch>
                      <a:fillRect/>
                    </a:stretch>
                  </pic:blipFill>
                  <pic:spPr>
                    <a:xfrm>
                      <a:off x="0" y="0"/>
                      <a:ext cx="5939790" cy="2889280"/>
                    </a:xfrm>
                    <a:prstGeom prst="rect">
                      <a:avLst/>
                    </a:prstGeom>
                  </pic:spPr>
                </pic:pic>
              </a:graphicData>
            </a:graphic>
          </wp:inline>
        </w:drawing>
      </w:r>
    </w:p>
    <w:p w:rsidR="00157471" w:rsidRDefault="004736F8" w:rsidP="004736F8">
      <w:pPr>
        <w:pStyle w:val="-0"/>
      </w:pPr>
      <w:bookmarkStart w:id="791" w:name="_Toc119584380"/>
      <w:r>
        <w:t xml:space="preserve">Рисунок </w:t>
      </w:r>
      <w:fldSimple w:instr=" SEQ Рисунок \* ARABIC ">
        <w:bookmarkStart w:id="792" w:name="_Ref70006019"/>
        <w:r w:rsidR="001860A9">
          <w:rPr>
            <w:noProof/>
          </w:rPr>
          <w:t>193</w:t>
        </w:r>
        <w:bookmarkEnd w:id="792"/>
      </w:fldSimple>
      <w:r>
        <w:t xml:space="preserve"> – Макет отчета «Мониторинг ведения Реестра соглашений». Представление «По видам расходов»</w:t>
      </w:r>
      <w:bookmarkEnd w:id="791"/>
    </w:p>
    <w:p w:rsidR="00157471" w:rsidRPr="00617707" w:rsidRDefault="00157471" w:rsidP="00157471">
      <w:pPr>
        <w:pStyle w:val="affffff8"/>
        <w:ind w:firstLine="340"/>
        <w:jc w:val="both"/>
        <w:rPr>
          <w:rFonts w:ascii="Times New Roman" w:hAnsi="Times New Roman"/>
          <w:sz w:val="28"/>
          <w:szCs w:val="28"/>
        </w:rPr>
      </w:pPr>
    </w:p>
    <w:p w:rsidR="00157471" w:rsidRDefault="00157471" w:rsidP="00157471">
      <w:pPr>
        <w:pStyle w:val="af0"/>
        <w:rPr>
          <w:szCs w:val="28"/>
        </w:rPr>
      </w:pPr>
      <w:r w:rsidRPr="001C7771">
        <w:rPr>
          <w:rStyle w:val="af1"/>
        </w:rPr>
        <w:t>Виды представлений</w:t>
      </w:r>
      <w:r>
        <w:rPr>
          <w:szCs w:val="28"/>
        </w:rPr>
        <w:t>:</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Год: выпадающий список с выбором нужного года;</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Расчет кассы от: выпадающий список с вариантами выбора.</w:t>
      </w:r>
    </w:p>
    <w:p w:rsidR="00157471" w:rsidRDefault="00157471" w:rsidP="00157471">
      <w:pPr>
        <w:pStyle w:val="42"/>
      </w:pPr>
      <w:r w:rsidRPr="00C501ED">
        <w:t>Представление «</w:t>
      </w:r>
      <w:r>
        <w:t>По КБК</w:t>
      </w:r>
      <w:r w:rsidRPr="00C501ED">
        <w:t>»</w:t>
      </w:r>
    </w:p>
    <w:p w:rsidR="00157471" w:rsidRDefault="00157471" w:rsidP="00157471">
      <w:pPr>
        <w:pStyle w:val="af0"/>
      </w:pPr>
      <w:r w:rsidRPr="00617707">
        <w:t xml:space="preserve">Представление «По </w:t>
      </w:r>
      <w:r>
        <w:t>КБК</w:t>
      </w:r>
      <w:r w:rsidRPr="00617707">
        <w:t>» должно отража</w:t>
      </w:r>
      <w:r>
        <w:t>е</w:t>
      </w:r>
      <w:r w:rsidRPr="00617707">
        <w:t xml:space="preserve">т </w:t>
      </w:r>
      <w:r>
        <w:t xml:space="preserve">детальные </w:t>
      </w:r>
      <w:r w:rsidRPr="00617707">
        <w:t xml:space="preserve">сведения о процессе формирования соглашений и включения их в реестр соглашений в разрезе </w:t>
      </w:r>
      <w:r>
        <w:t>КБК (Рисунок</w:t>
      </w:r>
      <w:r w:rsidR="0035043A">
        <w:t xml:space="preserve"> </w:t>
      </w:r>
      <w:r w:rsidR="0035043A">
        <w:fldChar w:fldCharType="begin"/>
      </w:r>
      <w:r w:rsidR="0035043A">
        <w:instrText xml:space="preserve"> REF _Ref70006085 \h </w:instrText>
      </w:r>
      <w:r w:rsidR="0035043A">
        <w:fldChar w:fldCharType="separate"/>
      </w:r>
      <w:r w:rsidR="00BF0BEE">
        <w:rPr>
          <w:noProof/>
        </w:rPr>
        <w:t>194</w:t>
      </w:r>
      <w:r w:rsidR="0035043A">
        <w:fldChar w:fldCharType="end"/>
      </w:r>
      <w:r>
        <w:t>).</w:t>
      </w:r>
    </w:p>
    <w:p w:rsidR="0035043A" w:rsidRDefault="0035043A" w:rsidP="0035043A">
      <w:pPr>
        <w:pStyle w:val="afffff7"/>
        <w:keepNext/>
      </w:pPr>
      <w:r>
        <w:rPr>
          <w:noProof/>
          <w:lang w:eastAsia="ru-RU"/>
        </w:rPr>
        <w:drawing>
          <wp:inline distT="0" distB="0" distL="0" distR="0" wp14:anchorId="3F2DD63F" wp14:editId="5C80F9E3">
            <wp:extent cx="5939790" cy="2891119"/>
            <wp:effectExtent l="0" t="0" r="3810" b="508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stretch>
                      <a:fillRect/>
                    </a:stretch>
                  </pic:blipFill>
                  <pic:spPr>
                    <a:xfrm>
                      <a:off x="0" y="0"/>
                      <a:ext cx="5939790" cy="2891119"/>
                    </a:xfrm>
                    <a:prstGeom prst="rect">
                      <a:avLst/>
                    </a:prstGeom>
                  </pic:spPr>
                </pic:pic>
              </a:graphicData>
            </a:graphic>
          </wp:inline>
        </w:drawing>
      </w:r>
    </w:p>
    <w:p w:rsidR="00157471" w:rsidRDefault="0035043A" w:rsidP="0035043A">
      <w:pPr>
        <w:pStyle w:val="-0"/>
      </w:pPr>
      <w:bookmarkStart w:id="793" w:name="_Toc119584381"/>
      <w:r>
        <w:t xml:space="preserve">Рисунок </w:t>
      </w:r>
      <w:fldSimple w:instr=" SEQ Рисунок \* ARABIC ">
        <w:bookmarkStart w:id="794" w:name="_Ref70006085"/>
        <w:r w:rsidR="001860A9">
          <w:rPr>
            <w:noProof/>
          </w:rPr>
          <w:t>194</w:t>
        </w:r>
        <w:bookmarkEnd w:id="794"/>
      </w:fldSimple>
      <w:r>
        <w:t xml:space="preserve"> – Макет отчета «Мониторинг ведения Реестра соглашений». Представление «По КБК»</w:t>
      </w:r>
      <w:bookmarkEnd w:id="793"/>
    </w:p>
    <w:p w:rsidR="00157471" w:rsidRDefault="00157471" w:rsidP="00157471">
      <w:pPr>
        <w:pStyle w:val="af0"/>
      </w:pPr>
      <w:r>
        <w:t>Виды представлений:</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По состоянию на: ДД.ММ.ГГГГ;</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РЗПР: выпадающий список с вариантами выбора;</w:t>
      </w:r>
    </w:p>
    <w:p w:rsidR="00157471" w:rsidRDefault="00157471" w:rsidP="00DE1661">
      <w:pPr>
        <w:pStyle w:val="13"/>
      </w:pPr>
      <w:r>
        <w:t>КЦСР: выпадающий список с вариантами выбора;</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Год: выпадающий список с выбором нужного года;</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Расчет кассы от: выпадающий список с вариантами выбора.</w:t>
      </w:r>
    </w:p>
    <w:p w:rsidR="00157471" w:rsidRDefault="00157471" w:rsidP="00157471">
      <w:pPr>
        <w:pStyle w:val="42"/>
      </w:pPr>
      <w:r w:rsidRPr="00C501ED">
        <w:t>Представление «</w:t>
      </w:r>
      <w:r>
        <w:t>По Соглашениям</w:t>
      </w:r>
      <w:r w:rsidRPr="00C501ED">
        <w:t>»</w:t>
      </w:r>
    </w:p>
    <w:p w:rsidR="00157471" w:rsidRDefault="00157471" w:rsidP="00157471">
      <w:pPr>
        <w:pStyle w:val="af0"/>
      </w:pPr>
      <w:r w:rsidRPr="00617707">
        <w:t xml:space="preserve">Представление «По </w:t>
      </w:r>
      <w:r>
        <w:t>соглашениям</w:t>
      </w:r>
      <w:r w:rsidRPr="00617707">
        <w:t xml:space="preserve">» </w:t>
      </w:r>
      <w:r>
        <w:t>отражает детальную информацию о процессе формирования соглашений и включения их в реестр соглашений. Информация представлена в табличном виде в разрезе соглашений (Рисунок</w:t>
      </w:r>
      <w:r w:rsidR="0035043A">
        <w:t xml:space="preserve"> </w:t>
      </w:r>
      <w:r w:rsidR="0035043A">
        <w:fldChar w:fldCharType="begin"/>
      </w:r>
      <w:r w:rsidR="0035043A">
        <w:instrText xml:space="preserve"> REF _Ref70006149 \h </w:instrText>
      </w:r>
      <w:r w:rsidR="0035043A">
        <w:fldChar w:fldCharType="separate"/>
      </w:r>
      <w:r w:rsidR="00BF0BEE">
        <w:rPr>
          <w:noProof/>
        </w:rPr>
        <w:t>195</w:t>
      </w:r>
      <w:r w:rsidR="0035043A">
        <w:fldChar w:fldCharType="end"/>
      </w:r>
      <w:r>
        <w:t>).</w:t>
      </w:r>
    </w:p>
    <w:p w:rsidR="0035043A" w:rsidRDefault="0035043A" w:rsidP="0035043A">
      <w:pPr>
        <w:pStyle w:val="afffff7"/>
        <w:keepNext/>
      </w:pPr>
      <w:r>
        <w:rPr>
          <w:noProof/>
          <w:lang w:eastAsia="ru-RU"/>
        </w:rPr>
        <w:drawing>
          <wp:inline distT="0" distB="0" distL="0" distR="0" wp14:anchorId="5AFF72D9" wp14:editId="14E5D291">
            <wp:extent cx="5939790" cy="2898475"/>
            <wp:effectExtent l="0" t="0" r="381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5939790" cy="2898475"/>
                    </a:xfrm>
                    <a:prstGeom prst="rect">
                      <a:avLst/>
                    </a:prstGeom>
                  </pic:spPr>
                </pic:pic>
              </a:graphicData>
            </a:graphic>
          </wp:inline>
        </w:drawing>
      </w:r>
    </w:p>
    <w:p w:rsidR="00157471" w:rsidRDefault="0035043A" w:rsidP="0035043A">
      <w:pPr>
        <w:pStyle w:val="-0"/>
      </w:pPr>
      <w:bookmarkStart w:id="795" w:name="_Toc119584382"/>
      <w:r>
        <w:rPr>
          <w:szCs w:val="28"/>
        </w:rPr>
        <w:t xml:space="preserve">Рисунок </w:t>
      </w:r>
      <w:fldSimple w:instr=" SEQ Рисунок \* ARABIC ">
        <w:bookmarkStart w:id="796" w:name="_Ref70006149"/>
        <w:r w:rsidR="001860A9">
          <w:rPr>
            <w:noProof/>
          </w:rPr>
          <w:t>195</w:t>
        </w:r>
        <w:bookmarkEnd w:id="796"/>
      </w:fldSimple>
      <w:r>
        <w:rPr>
          <w:szCs w:val="28"/>
        </w:rPr>
        <w:t xml:space="preserve"> – </w:t>
      </w:r>
      <w:r>
        <w:t>Макет отчета «Мониторинг ведения Реестра соглашений». Представление «По соглашениям»</w:t>
      </w:r>
      <w:bookmarkEnd w:id="795"/>
    </w:p>
    <w:p w:rsidR="00157471" w:rsidRDefault="00157471" w:rsidP="00157471">
      <w:pPr>
        <w:pStyle w:val="af0"/>
      </w:pPr>
      <w:r>
        <w:t>Виды представлений:</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По состоянию на: ДД.ММ.ГГГГ;</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РЗПР: выпадающий список с вариантами выбора;</w:t>
      </w:r>
    </w:p>
    <w:p w:rsidR="00157471" w:rsidRDefault="00157471" w:rsidP="00DE1661">
      <w:pPr>
        <w:pStyle w:val="13"/>
      </w:pPr>
      <w:r>
        <w:t>КСЦР: выпадающий список с вариантами выбора;</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Год: выпадающий список с выбором нужного года;</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Соглашений включено в РС: выпадающий список, состоящий из 3-х вариантов для выбора (все, включено и не включено в РС);</w:t>
      </w:r>
    </w:p>
    <w:p w:rsidR="00157471" w:rsidRDefault="00157471" w:rsidP="00DE1661">
      <w:pPr>
        <w:pStyle w:val="13"/>
      </w:pPr>
      <w:r>
        <w:t>Соглашений размещено на ЕПБС: выпадающий список с вариантами выбора (все, размещено и не размещено на ЕПБС соглашений), а также отдельное поле для Номера соглашения/РЗ/БО;</w:t>
      </w:r>
    </w:p>
    <w:p w:rsidR="00157471" w:rsidRDefault="00157471" w:rsidP="00DE1661">
      <w:pPr>
        <w:pStyle w:val="13"/>
      </w:pPr>
      <w:r>
        <w:t>Вид соглашения: выпадающий список с вариантами выбора;</w:t>
      </w:r>
    </w:p>
    <w:p w:rsidR="00157471" w:rsidRDefault="00157471" w:rsidP="00DE1661">
      <w:pPr>
        <w:pStyle w:val="13"/>
      </w:pPr>
      <w:r>
        <w:t>Отчетность: выпадающий список с вариантами выбора (все, отчет представлен или не представлен);</w:t>
      </w:r>
    </w:p>
    <w:p w:rsidR="00157471" w:rsidRDefault="00157471" w:rsidP="00DE1661">
      <w:pPr>
        <w:pStyle w:val="13"/>
      </w:pPr>
      <w:r>
        <w:t>Качество данных: выпадающий список с вариантами выбора;</w:t>
      </w:r>
    </w:p>
    <w:p w:rsidR="00157471" w:rsidRDefault="00157471" w:rsidP="00DE1661">
      <w:pPr>
        <w:pStyle w:val="13"/>
      </w:pPr>
      <w:r>
        <w:t>Дубли в РГЗ: выпадающий список с вариантами выбора фильтрации по параметру дублирования строк. Параметр отбирает учреждения, в которых выявлено дублирование данных. Дублем считаются случаи, когда встречаются более одной уникальной комбинации ИНН/КПП/Текущий финансовый год.</w:t>
      </w:r>
    </w:p>
    <w:p w:rsidR="00157471" w:rsidRDefault="00157471" w:rsidP="00157471">
      <w:pPr>
        <w:pStyle w:val="af0"/>
      </w:pPr>
      <w:r>
        <w:t>Проверка на дубли проводится только для записей, удовлетворяющих следующим условиям:</w:t>
      </w:r>
    </w:p>
    <w:p w:rsidR="00157471" w:rsidRDefault="006F0146" w:rsidP="006F0146">
      <w:pPr>
        <w:pStyle w:val="13"/>
      </w:pPr>
      <w:r>
        <w:t>с</w:t>
      </w:r>
      <w:r w:rsidR="00157471">
        <w:t>татус записи: Актуальная</w:t>
      </w:r>
    </w:p>
    <w:p w:rsidR="00157471" w:rsidRDefault="006F0146" w:rsidP="006F0146">
      <w:pPr>
        <w:pStyle w:val="13"/>
      </w:pPr>
      <w:r>
        <w:t>с</w:t>
      </w:r>
      <w:r w:rsidR="00157471">
        <w:t>татус организации: Действующая, Специальные указания</w:t>
      </w:r>
    </w:p>
    <w:p w:rsidR="00157471" w:rsidRDefault="006F0146" w:rsidP="006F0146">
      <w:pPr>
        <w:pStyle w:val="13"/>
      </w:pPr>
      <w:r>
        <w:t>п</w:t>
      </w:r>
      <w:r w:rsidR="00157471">
        <w:t>ризнак актуальности государственного задания: Актуальное</w:t>
      </w:r>
    </w:p>
    <w:p w:rsidR="00157471" w:rsidRDefault="006F0146" w:rsidP="006F0146">
      <w:pPr>
        <w:pStyle w:val="13"/>
      </w:pPr>
      <w:r>
        <w:t>п</w:t>
      </w:r>
      <w:r w:rsidR="00157471">
        <w:t>ризнак филиала для организации: Не филиал</w:t>
      </w:r>
    </w:p>
    <w:p w:rsidR="00157471" w:rsidRDefault="00157471" w:rsidP="00157471">
      <w:pPr>
        <w:pStyle w:val="af0"/>
      </w:pPr>
      <w:r>
        <w:t>Задублированные строки метятся признаком «Дубль» и выводятся в интерфейс с красным индикатором.</w:t>
      </w:r>
    </w:p>
    <w:p w:rsidR="00157471" w:rsidRDefault="00157471" w:rsidP="00157471">
      <w:pPr>
        <w:pStyle w:val="42"/>
      </w:pPr>
      <w:r w:rsidRPr="00C501ED">
        <w:t>Представление «</w:t>
      </w:r>
      <w:r>
        <w:t>Соглашениям по КБК</w:t>
      </w:r>
      <w:r w:rsidRPr="00C501ED">
        <w:t>»</w:t>
      </w:r>
    </w:p>
    <w:p w:rsidR="00157471" w:rsidRDefault="00157471" w:rsidP="00157471">
      <w:pPr>
        <w:pStyle w:val="af0"/>
      </w:pPr>
      <w:r>
        <w:t>Представление «Соглашения п</w:t>
      </w:r>
      <w:r w:rsidRPr="00617707">
        <w:t xml:space="preserve">о </w:t>
      </w:r>
      <w:r>
        <w:t>КБК»</w:t>
      </w:r>
      <w:r w:rsidRPr="00617707">
        <w:t xml:space="preserve"> отража</w:t>
      </w:r>
      <w:r>
        <w:t>ет</w:t>
      </w:r>
      <w:r w:rsidRPr="00617707">
        <w:t xml:space="preserve"> </w:t>
      </w:r>
      <w:r>
        <w:t>детальную информацию о процессе формирования соглашений и включения их в реестр соглашений. Информация представлена в табличном виде в разрезе соглашений и КБК (Рисунок</w:t>
      </w:r>
      <w:r w:rsidR="0035043A">
        <w:t xml:space="preserve"> </w:t>
      </w:r>
      <w:r w:rsidR="0035043A">
        <w:fldChar w:fldCharType="begin"/>
      </w:r>
      <w:r w:rsidR="0035043A">
        <w:instrText xml:space="preserve"> REF _Ref70006230 \h </w:instrText>
      </w:r>
      <w:r w:rsidR="0035043A">
        <w:fldChar w:fldCharType="separate"/>
      </w:r>
      <w:r w:rsidR="00BF0BEE">
        <w:rPr>
          <w:noProof/>
        </w:rPr>
        <w:t>196</w:t>
      </w:r>
      <w:r w:rsidR="0035043A">
        <w:fldChar w:fldCharType="end"/>
      </w:r>
      <w:r>
        <w:t>).</w:t>
      </w:r>
    </w:p>
    <w:p w:rsidR="0035043A" w:rsidRDefault="0035043A" w:rsidP="0035043A">
      <w:pPr>
        <w:pStyle w:val="afffff7"/>
        <w:keepNext/>
      </w:pPr>
      <w:r>
        <w:rPr>
          <w:noProof/>
          <w:lang w:eastAsia="ru-RU"/>
        </w:rPr>
        <w:drawing>
          <wp:inline distT="0" distB="0" distL="0" distR="0" wp14:anchorId="4FCBAF16" wp14:editId="5408B17D">
            <wp:extent cx="5939790" cy="2894184"/>
            <wp:effectExtent l="0" t="0" r="3810" b="1905"/>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5939790" cy="2894184"/>
                    </a:xfrm>
                    <a:prstGeom prst="rect">
                      <a:avLst/>
                    </a:prstGeom>
                  </pic:spPr>
                </pic:pic>
              </a:graphicData>
            </a:graphic>
          </wp:inline>
        </w:drawing>
      </w:r>
    </w:p>
    <w:p w:rsidR="00157471" w:rsidRDefault="0035043A" w:rsidP="0035043A">
      <w:pPr>
        <w:pStyle w:val="-0"/>
      </w:pPr>
      <w:bookmarkStart w:id="797" w:name="_Toc119584383"/>
      <w:r>
        <w:t xml:space="preserve">Рисунок </w:t>
      </w:r>
      <w:fldSimple w:instr=" SEQ Рисунок \* ARABIC ">
        <w:bookmarkStart w:id="798" w:name="_Ref70006230"/>
        <w:r w:rsidR="001860A9">
          <w:rPr>
            <w:noProof/>
          </w:rPr>
          <w:t>196</w:t>
        </w:r>
        <w:bookmarkEnd w:id="798"/>
      </w:fldSimple>
      <w:r>
        <w:t xml:space="preserve"> – Макет отчета «Мониторинг ведения Реестра соглашений». Представление «Соглашения по КБК»</w:t>
      </w:r>
      <w:bookmarkEnd w:id="797"/>
    </w:p>
    <w:p w:rsidR="00157471" w:rsidRDefault="00157471" w:rsidP="00157471">
      <w:pPr>
        <w:pStyle w:val="af0"/>
      </w:pPr>
      <w:r>
        <w:t>Виды представлений:</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По состоянию на: ДД.ММ.ГГГГ;</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РЗПР: выпадающий список с вариантами выбора;</w:t>
      </w:r>
    </w:p>
    <w:p w:rsidR="00157471" w:rsidRDefault="00157471" w:rsidP="00DE1661">
      <w:pPr>
        <w:pStyle w:val="13"/>
      </w:pPr>
      <w:r>
        <w:t>КЦСР: выпадающий список с вариантами выбора;</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Год: выпадающий список с выбором нужного года;</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Соглашений включено в РС: выпадающий список, состоящий из 3-х вариантов для выбора (все, включено и не включено в РС);</w:t>
      </w:r>
    </w:p>
    <w:p w:rsidR="00157471" w:rsidRDefault="00157471" w:rsidP="00DE1661">
      <w:pPr>
        <w:pStyle w:val="13"/>
      </w:pPr>
      <w:r>
        <w:t>Соглашений размещено на ЕПБС: выпадающий список с вариантами выбора (все, размещено и не размещено на ЕПБС соглашений), а также отдельное поле для Номера соглашения/РЗ/БО;</w:t>
      </w:r>
    </w:p>
    <w:p w:rsidR="00157471" w:rsidRDefault="00157471" w:rsidP="00DE1661">
      <w:pPr>
        <w:pStyle w:val="13"/>
      </w:pPr>
      <w:r>
        <w:t>Вид соглашения: выпадающий список с вариантами выбора;</w:t>
      </w:r>
    </w:p>
    <w:p w:rsidR="00157471" w:rsidRDefault="00157471" w:rsidP="00DE1661">
      <w:pPr>
        <w:pStyle w:val="13"/>
      </w:pPr>
      <w:r>
        <w:t>Отчетность: выпадающий список с вариантами выбора (все, отчет представлен или не представлен);</w:t>
      </w:r>
    </w:p>
    <w:p w:rsidR="00157471" w:rsidRDefault="00157471" w:rsidP="00DE1661">
      <w:pPr>
        <w:pStyle w:val="13"/>
      </w:pPr>
      <w:r>
        <w:t>Дубли в РГЗ: выпадающий список с 3-мя вариантами выбора (все записи, без дублей и дубли в РГЗ).</w:t>
      </w:r>
    </w:p>
    <w:p w:rsidR="00157471" w:rsidRDefault="00157471" w:rsidP="00157471">
      <w:pPr>
        <w:pStyle w:val="42"/>
      </w:pPr>
      <w:r w:rsidRPr="00C501ED">
        <w:t>Представление «</w:t>
      </w:r>
      <w:r>
        <w:t>По получателям</w:t>
      </w:r>
      <w:r w:rsidRPr="00C501ED">
        <w:t>»</w:t>
      </w:r>
    </w:p>
    <w:p w:rsidR="00157471" w:rsidRDefault="00157471" w:rsidP="00157471">
      <w:pPr>
        <w:pStyle w:val="af0"/>
      </w:pPr>
      <w:r>
        <w:t>Представление «По получателям</w:t>
      </w:r>
      <w:r w:rsidRPr="00617707">
        <w:t>» отража</w:t>
      </w:r>
      <w:r>
        <w:t>ет</w:t>
      </w:r>
      <w:r w:rsidRPr="00617707">
        <w:t xml:space="preserve"> </w:t>
      </w:r>
      <w:r>
        <w:t>детальную информацию о процессе формирования соглашений и включения их в реестр соглашений. Информация представлена в табличном виде в разрезе соглашений и получателей (Рисунок</w:t>
      </w:r>
      <w:r w:rsidR="009D7534">
        <w:t xml:space="preserve"> </w:t>
      </w:r>
      <w:r w:rsidR="009D7534">
        <w:fldChar w:fldCharType="begin"/>
      </w:r>
      <w:r w:rsidR="009D7534">
        <w:instrText xml:space="preserve"> REF _Ref70006315 \h </w:instrText>
      </w:r>
      <w:r w:rsidR="009D7534">
        <w:fldChar w:fldCharType="separate"/>
      </w:r>
      <w:r w:rsidR="00BF0BEE">
        <w:rPr>
          <w:noProof/>
        </w:rPr>
        <w:t>197</w:t>
      </w:r>
      <w:r w:rsidR="009D7534">
        <w:fldChar w:fldCharType="end"/>
      </w:r>
      <w:r>
        <w:t>).</w:t>
      </w:r>
    </w:p>
    <w:p w:rsidR="009D7534" w:rsidRDefault="009D7534" w:rsidP="009D7534">
      <w:pPr>
        <w:pStyle w:val="afffff7"/>
        <w:keepNext/>
      </w:pPr>
      <w:r>
        <w:rPr>
          <w:noProof/>
          <w:lang w:eastAsia="ru-RU"/>
        </w:rPr>
        <w:drawing>
          <wp:inline distT="0" distB="0" distL="0" distR="0" wp14:anchorId="6C8DE1B9" wp14:editId="1A1963D4">
            <wp:extent cx="5939790" cy="2890506"/>
            <wp:effectExtent l="0" t="0" r="3810" b="5715"/>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stretch>
                      <a:fillRect/>
                    </a:stretch>
                  </pic:blipFill>
                  <pic:spPr>
                    <a:xfrm>
                      <a:off x="0" y="0"/>
                      <a:ext cx="5939790" cy="2890506"/>
                    </a:xfrm>
                    <a:prstGeom prst="rect">
                      <a:avLst/>
                    </a:prstGeom>
                  </pic:spPr>
                </pic:pic>
              </a:graphicData>
            </a:graphic>
          </wp:inline>
        </w:drawing>
      </w:r>
    </w:p>
    <w:p w:rsidR="00157471" w:rsidRDefault="009D7534" w:rsidP="009D7534">
      <w:pPr>
        <w:pStyle w:val="-0"/>
      </w:pPr>
      <w:bookmarkStart w:id="799" w:name="_Toc119584384"/>
      <w:r>
        <w:t xml:space="preserve">Рисунок </w:t>
      </w:r>
      <w:fldSimple w:instr=" SEQ Рисунок \* ARABIC ">
        <w:bookmarkStart w:id="800" w:name="_Ref70006315"/>
        <w:r w:rsidR="001860A9">
          <w:rPr>
            <w:noProof/>
          </w:rPr>
          <w:t>197</w:t>
        </w:r>
        <w:bookmarkEnd w:id="800"/>
      </w:fldSimple>
      <w:r>
        <w:t xml:space="preserve"> – Макет отчета «Мониторинг ведения Реестра соглашений». Представление «По получателям»</w:t>
      </w:r>
      <w:bookmarkEnd w:id="799"/>
    </w:p>
    <w:p w:rsidR="00157471" w:rsidRDefault="00157471" w:rsidP="00157471">
      <w:pPr>
        <w:pStyle w:val="af0"/>
      </w:pPr>
      <w:r>
        <w:t>Виды представлений:</w:t>
      </w:r>
    </w:p>
    <w:p w:rsidR="00157471" w:rsidRDefault="00157471" w:rsidP="00DE1661">
      <w:pPr>
        <w:pStyle w:val="13"/>
      </w:pPr>
      <w:r>
        <w:t>Без плановых периодов</w:t>
      </w:r>
    </w:p>
    <w:p w:rsidR="00157471" w:rsidRDefault="00157471" w:rsidP="00DE1661">
      <w:pPr>
        <w:pStyle w:val="13"/>
      </w:pPr>
      <w:r>
        <w:t>С плановыми периодами</w:t>
      </w:r>
    </w:p>
    <w:p w:rsidR="00157471" w:rsidRDefault="00157471" w:rsidP="00157471">
      <w:pPr>
        <w:pStyle w:val="af0"/>
      </w:pPr>
      <w:r>
        <w:t>Параметры представления:</w:t>
      </w:r>
    </w:p>
    <w:p w:rsidR="00157471" w:rsidRDefault="00157471" w:rsidP="00DE1661">
      <w:pPr>
        <w:pStyle w:val="13"/>
      </w:pPr>
      <w:r>
        <w:t>По состоянию на: ДД.ММ.ГГГГ;</w:t>
      </w:r>
    </w:p>
    <w:p w:rsidR="00157471" w:rsidRDefault="00157471" w:rsidP="00DE1661">
      <w:pPr>
        <w:pStyle w:val="13"/>
      </w:pPr>
      <w:r>
        <w:t>Местоположения получателя: 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РЗПР: выпадающий список с вариантами выбора;</w:t>
      </w:r>
    </w:p>
    <w:p w:rsidR="00157471" w:rsidRDefault="00157471" w:rsidP="00DE1661">
      <w:pPr>
        <w:pStyle w:val="13"/>
      </w:pPr>
      <w:r>
        <w:t>КЦСР: выпадающий список с вариантами выбора;</w:t>
      </w:r>
    </w:p>
    <w:p w:rsidR="00157471" w:rsidRDefault="00157471" w:rsidP="00DE1661">
      <w:pPr>
        <w:pStyle w:val="13"/>
      </w:pPr>
      <w:r>
        <w:t>КВР: выпадающий список с возможностью выбора необходимых КВР;</w:t>
      </w:r>
    </w:p>
    <w:p w:rsidR="00157471" w:rsidRDefault="00157471" w:rsidP="00DE1661">
      <w:pPr>
        <w:pStyle w:val="13"/>
      </w:pPr>
      <w:r>
        <w:t>Год: выпадающий список с выбором нужного года;</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DE1661">
      <w:pPr>
        <w:pStyle w:val="13"/>
      </w:pPr>
      <w:r>
        <w:t>Соглашений включено в РС: выпадающий список, состоящий из 3-х вариантов для выбора (все, включено и не включено в РС);</w:t>
      </w:r>
    </w:p>
    <w:p w:rsidR="00157471" w:rsidRDefault="00157471" w:rsidP="00DE1661">
      <w:pPr>
        <w:pStyle w:val="13"/>
      </w:pPr>
      <w:r>
        <w:t>Соглашений размещено на ЕПБС: выпадающий список с вариантами выбора (все, размещено и не размещено на ЕПБС соглашений), а также отдельное поле для Номера соглашения/РЗ/БО;</w:t>
      </w:r>
    </w:p>
    <w:p w:rsidR="00157471" w:rsidRDefault="00157471" w:rsidP="00DE1661">
      <w:pPr>
        <w:pStyle w:val="13"/>
      </w:pPr>
      <w:r>
        <w:t>Дубли в РГЗ: выпадающий список с 3-мя вариантами выбора (все записи, без дублей и дубли в РГЗ);</w:t>
      </w:r>
    </w:p>
    <w:p w:rsidR="00157471" w:rsidRDefault="00157471" w:rsidP="00DE1661">
      <w:pPr>
        <w:pStyle w:val="13"/>
      </w:pPr>
      <w:r>
        <w:t>Вид соглашения: выпадающий список с вариантами выбора;</w:t>
      </w:r>
    </w:p>
    <w:p w:rsidR="00157471" w:rsidRDefault="00157471" w:rsidP="00DE1661">
      <w:pPr>
        <w:pStyle w:val="13"/>
      </w:pPr>
      <w:r>
        <w:t>Отчетность: выпадающий список с вариантами выбора (все, отчет представлен или не представлен);</w:t>
      </w:r>
    </w:p>
    <w:p w:rsidR="00157471" w:rsidRDefault="00157471" w:rsidP="00157471">
      <w:pPr>
        <w:pStyle w:val="42"/>
      </w:pPr>
      <w:r w:rsidRPr="00C501ED">
        <w:t>Представление «</w:t>
      </w:r>
      <w:r>
        <w:t>Отчетность (КВР)</w:t>
      </w:r>
      <w:r w:rsidRPr="00C501ED">
        <w:t>»</w:t>
      </w:r>
    </w:p>
    <w:p w:rsidR="00157471" w:rsidRDefault="00157471" w:rsidP="00157471">
      <w:pPr>
        <w:pStyle w:val="af0"/>
      </w:pPr>
      <w:r w:rsidRPr="00E94CDC">
        <w:rPr>
          <w:rStyle w:val="af1"/>
        </w:rPr>
        <w:t>Представление «Отчетность (КВР)» отражает сведения о количестве учреждений, предоставивших отчетность об осуществлении расходов и о достижении показателей результативности использования субсидии, данных о сумме израсходованных средств субсидий, об объеме средств субсидий, бюджетных инвестиций, межбюджетных трансфертов, возвращенных в федеральный бюджет, об объеме восстановленных средств субсидий, бюджетных инвестиций, межбюджетных трансф</w:t>
      </w:r>
      <w:r w:rsidRPr="000C4DEA">
        <w:rPr>
          <w:rStyle w:val="af1"/>
        </w:rPr>
        <w:t>ертов прошлых лет в текущем году. Сведения представлены в разрезе КВ</w:t>
      </w:r>
      <w:r>
        <w:t>Р (Рисунок</w:t>
      </w:r>
      <w:r w:rsidR="0011149C">
        <w:t xml:space="preserve"> </w:t>
      </w:r>
      <w:r w:rsidR="0011149C">
        <w:fldChar w:fldCharType="begin"/>
      </w:r>
      <w:r w:rsidR="0011149C">
        <w:instrText xml:space="preserve"> REF _Ref70061881 \h </w:instrText>
      </w:r>
      <w:r w:rsidR="0011149C">
        <w:fldChar w:fldCharType="separate"/>
      </w:r>
      <w:r w:rsidR="00BF0BEE">
        <w:rPr>
          <w:noProof/>
        </w:rPr>
        <w:t>198</w:t>
      </w:r>
      <w:r w:rsidR="0011149C">
        <w:fldChar w:fldCharType="end"/>
      </w:r>
      <w:r>
        <w:t xml:space="preserve">). </w:t>
      </w:r>
    </w:p>
    <w:p w:rsidR="0011149C" w:rsidRDefault="0011149C" w:rsidP="0011149C">
      <w:pPr>
        <w:pStyle w:val="ac"/>
        <w:keepNext/>
      </w:pPr>
      <w:r>
        <w:rPr>
          <w:noProof/>
          <w:snapToGrid/>
        </w:rPr>
        <w:drawing>
          <wp:inline distT="0" distB="0" distL="0" distR="0" wp14:anchorId="5B178BF6" wp14:editId="3161554D">
            <wp:extent cx="5939790" cy="2884988"/>
            <wp:effectExtent l="0" t="0" r="381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5939790" cy="2884988"/>
                    </a:xfrm>
                    <a:prstGeom prst="rect">
                      <a:avLst/>
                    </a:prstGeom>
                  </pic:spPr>
                </pic:pic>
              </a:graphicData>
            </a:graphic>
          </wp:inline>
        </w:drawing>
      </w:r>
    </w:p>
    <w:p w:rsidR="00157471" w:rsidRDefault="0011149C" w:rsidP="0011149C">
      <w:pPr>
        <w:pStyle w:val="-0"/>
      </w:pPr>
      <w:bookmarkStart w:id="801" w:name="_Toc119584385"/>
      <w:r>
        <w:t xml:space="preserve">Рисунок </w:t>
      </w:r>
      <w:fldSimple w:instr=" SEQ Рисунок \* ARABIC ">
        <w:bookmarkStart w:id="802" w:name="_Ref70061881"/>
        <w:r w:rsidR="001860A9">
          <w:rPr>
            <w:noProof/>
          </w:rPr>
          <w:t>198</w:t>
        </w:r>
        <w:bookmarkEnd w:id="802"/>
      </w:fldSimple>
      <w:r>
        <w:t xml:space="preserve"> – Макет отчета «Мониторинг ведения Реестра соглашений». Представление «Отчетность (КВР)»</w:t>
      </w:r>
      <w:bookmarkEnd w:id="801"/>
    </w:p>
    <w:p w:rsidR="00157471" w:rsidRDefault="00157471" w:rsidP="00157471">
      <w:pPr>
        <w:pStyle w:val="af0"/>
      </w:pPr>
      <w:r>
        <w:t>Параметры представления:</w:t>
      </w:r>
    </w:p>
    <w:p w:rsidR="00157471" w:rsidRDefault="00157471" w:rsidP="00DE1661">
      <w:pPr>
        <w:pStyle w:val="13"/>
      </w:pPr>
      <w:r>
        <w:t>По состоянию на:  календарь с выбором даты, на которую представлены данные в отчете;</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Год: выпадающий список с выбором нужного года;</w:t>
      </w:r>
    </w:p>
    <w:p w:rsidR="00157471" w:rsidRDefault="00157471" w:rsidP="00DE1661">
      <w:pPr>
        <w:pStyle w:val="13"/>
      </w:pPr>
      <w:r>
        <w:t>Местоположение получателя:</w:t>
      </w:r>
      <w:r w:rsidRPr="001C583E">
        <w:t xml:space="preserve"> </w:t>
      </w:r>
      <w:r>
        <w:t>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Default="00157471" w:rsidP="00157471">
      <w:pPr>
        <w:pStyle w:val="42"/>
      </w:pPr>
      <w:r w:rsidRPr="00C501ED">
        <w:t>Представление «</w:t>
      </w:r>
      <w:r>
        <w:t>Отчетность (ГРБС/КВР)</w:t>
      </w:r>
      <w:r w:rsidRPr="00C501ED">
        <w:t>»</w:t>
      </w:r>
    </w:p>
    <w:p w:rsidR="00157471" w:rsidRDefault="00157471" w:rsidP="00157471">
      <w:pPr>
        <w:pStyle w:val="af0"/>
      </w:pPr>
      <w:r w:rsidRPr="00216F48">
        <w:t>Представление «Отчетность (</w:t>
      </w:r>
      <w:r>
        <w:t>ГРБС + КВР)» отражает</w:t>
      </w:r>
      <w:r w:rsidRPr="00216F48">
        <w:t xml:space="preserve"> сведения </w:t>
      </w:r>
      <w:r w:rsidRPr="00E46CC9">
        <w:t>о</w:t>
      </w:r>
      <w:r>
        <w:t xml:space="preserve"> количестве учреждений, </w:t>
      </w:r>
      <w:r w:rsidRPr="00216F48">
        <w:t>предоставивших отчетность</w:t>
      </w:r>
      <w:r>
        <w:t xml:space="preserve"> об осуществлении расходов и о достижении показателей результативности использования субсидии, данных о сумме израсходованных средств субсидий, об</w:t>
      </w:r>
      <w:r w:rsidRPr="00582633">
        <w:t xml:space="preserve"> </w:t>
      </w:r>
      <w:r>
        <w:t>о</w:t>
      </w:r>
      <w:r w:rsidRPr="00582633">
        <w:t>бъем</w:t>
      </w:r>
      <w:r>
        <w:t>е</w:t>
      </w:r>
      <w:r w:rsidRPr="00582633">
        <w:t xml:space="preserve"> средств субсидий, бюджетных инвестиций, межбюджетных трансфертов, возвращенных в федеральный бюджет</w:t>
      </w:r>
      <w:r>
        <w:t>, об о</w:t>
      </w:r>
      <w:r w:rsidRPr="00582633">
        <w:t>бъем</w:t>
      </w:r>
      <w:r>
        <w:t>е</w:t>
      </w:r>
      <w:r w:rsidRPr="00582633">
        <w:t xml:space="preserve"> восстановленных средств субсидий, бюджетных инвестиций, межбюджетных трансфертов прошлых лет в текущем году</w:t>
      </w:r>
      <w:r w:rsidRPr="00375ECE">
        <w:t>.</w:t>
      </w:r>
      <w:r>
        <w:t xml:space="preserve"> </w:t>
      </w:r>
      <w:r w:rsidRPr="00216F48">
        <w:t xml:space="preserve">Сведения должны быть представлены в разрезе </w:t>
      </w:r>
      <w:r>
        <w:t xml:space="preserve">ГРБС и </w:t>
      </w:r>
      <w:r w:rsidRPr="00216F48">
        <w:t>КВР</w:t>
      </w:r>
      <w:r>
        <w:t xml:space="preserve"> (Рисунок</w:t>
      </w:r>
      <w:r w:rsidR="0011149C">
        <w:t xml:space="preserve"> </w:t>
      </w:r>
      <w:r w:rsidR="0011149C">
        <w:fldChar w:fldCharType="begin"/>
      </w:r>
      <w:r w:rsidR="0011149C">
        <w:instrText xml:space="preserve"> REF _Ref70061832 \h </w:instrText>
      </w:r>
      <w:r w:rsidR="0011149C">
        <w:fldChar w:fldCharType="separate"/>
      </w:r>
      <w:r w:rsidR="00BF0BEE">
        <w:rPr>
          <w:noProof/>
        </w:rPr>
        <w:t>199</w:t>
      </w:r>
      <w:r w:rsidR="0011149C">
        <w:fldChar w:fldCharType="end"/>
      </w:r>
      <w:r>
        <w:t>)</w:t>
      </w:r>
      <w:r w:rsidRPr="00216F48">
        <w:t>.</w:t>
      </w:r>
    </w:p>
    <w:p w:rsidR="0011149C" w:rsidRDefault="0011149C" w:rsidP="0011149C">
      <w:pPr>
        <w:pStyle w:val="afffff7"/>
        <w:keepNext/>
      </w:pPr>
      <w:r>
        <w:rPr>
          <w:noProof/>
          <w:lang w:eastAsia="ru-RU"/>
        </w:rPr>
        <w:drawing>
          <wp:inline distT="0" distB="0" distL="0" distR="0" wp14:anchorId="7E124B41" wp14:editId="1EDDE61D">
            <wp:extent cx="5939790" cy="2892345"/>
            <wp:effectExtent l="0" t="0" r="3810" b="381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5939790" cy="2892345"/>
                    </a:xfrm>
                    <a:prstGeom prst="rect">
                      <a:avLst/>
                    </a:prstGeom>
                  </pic:spPr>
                </pic:pic>
              </a:graphicData>
            </a:graphic>
          </wp:inline>
        </w:drawing>
      </w:r>
    </w:p>
    <w:p w:rsidR="00157471" w:rsidRDefault="0011149C" w:rsidP="0011149C">
      <w:pPr>
        <w:pStyle w:val="-0"/>
      </w:pPr>
      <w:bookmarkStart w:id="803" w:name="_Toc119584386"/>
      <w:r>
        <w:t xml:space="preserve">Рисунок </w:t>
      </w:r>
      <w:fldSimple w:instr=" SEQ Рисунок \* ARABIC ">
        <w:bookmarkStart w:id="804" w:name="_Ref70061832"/>
        <w:r w:rsidR="001860A9">
          <w:rPr>
            <w:noProof/>
          </w:rPr>
          <w:t>199</w:t>
        </w:r>
        <w:bookmarkEnd w:id="804"/>
      </w:fldSimple>
      <w:r>
        <w:t xml:space="preserve"> – Макет отчета «Мониторинг ведения Реестра </w:t>
      </w:r>
      <w:r w:rsidRPr="00B46FFD">
        <w:t>соглашений</w:t>
      </w:r>
      <w:r>
        <w:t>». Представление «Отчетность (ГРБС/КВР)»</w:t>
      </w:r>
      <w:bookmarkEnd w:id="803"/>
    </w:p>
    <w:p w:rsidR="00157471" w:rsidRDefault="00157471" w:rsidP="00157471">
      <w:pPr>
        <w:pStyle w:val="af0"/>
      </w:pPr>
      <w:r>
        <w:t>Параметры представления:</w:t>
      </w:r>
    </w:p>
    <w:p w:rsidR="00157471" w:rsidRDefault="00157471" w:rsidP="00DE1661">
      <w:pPr>
        <w:pStyle w:val="13"/>
      </w:pPr>
      <w:r>
        <w:t>По состоянию на:  календарь с выбором даты, на которую представлены данные в отчете;</w:t>
      </w:r>
    </w:p>
    <w:p w:rsidR="00157471" w:rsidRDefault="00157471" w:rsidP="00DE1661">
      <w:pPr>
        <w:pStyle w:val="13"/>
      </w:pPr>
      <w:r>
        <w:t>ГРБС: выпадающий список с выбором конкретного ГРБС;</w:t>
      </w:r>
    </w:p>
    <w:p w:rsidR="00157471" w:rsidRDefault="00157471" w:rsidP="00DE1661">
      <w:pPr>
        <w:pStyle w:val="13"/>
      </w:pPr>
      <w:r>
        <w:t>Год: выпадающий список с выбором нужного года;</w:t>
      </w:r>
    </w:p>
    <w:p w:rsidR="00157471" w:rsidRDefault="00157471" w:rsidP="00DE1661">
      <w:pPr>
        <w:pStyle w:val="13"/>
      </w:pPr>
      <w:r>
        <w:t>Местоположение получателя:</w:t>
      </w:r>
      <w:r w:rsidRPr="001C583E">
        <w:t xml:space="preserve"> </w:t>
      </w:r>
      <w:r>
        <w:t>выпадающий список с выбором конкретного федерального округа или субъекта РФ;</w:t>
      </w:r>
    </w:p>
    <w:p w:rsidR="00157471" w:rsidRDefault="00157471" w:rsidP="00DE1661">
      <w:pPr>
        <w:pStyle w:val="13"/>
      </w:pPr>
      <w:r>
        <w:t>ТОФК получателя: выпадающий список с выбором конкретного ТОФК;</w:t>
      </w:r>
    </w:p>
    <w:p w:rsidR="00157471" w:rsidRPr="008869B6" w:rsidRDefault="00157471" w:rsidP="00DE1661">
      <w:pPr>
        <w:pStyle w:val="13"/>
      </w:pPr>
      <w:r>
        <w:t>Единицы измерения: выпадающий список с выбором единиц измерения. Состоит из элементов: руб., тыс. руб., млн руб., млрд руб.</w:t>
      </w:r>
    </w:p>
    <w:p w:rsidR="00157471" w:rsidRPr="00206C4C" w:rsidRDefault="00157471" w:rsidP="00157471">
      <w:pPr>
        <w:pStyle w:val="42"/>
      </w:pPr>
      <w:r w:rsidRPr="00206C4C">
        <w:t>Описание алгоритма выборки данных в отчет «Мониторинг ведения реестра соглашений».</w:t>
      </w:r>
    </w:p>
    <w:p w:rsidR="00157471" w:rsidRPr="00206C4C" w:rsidRDefault="00157471" w:rsidP="00157471">
      <w:pPr>
        <w:pStyle w:val="a8"/>
        <w:numPr>
          <w:ilvl w:val="0"/>
          <w:numId w:val="47"/>
        </w:numPr>
      </w:pPr>
      <w:r w:rsidRPr="00206C4C">
        <w:t>Первичная обработка данных реестра соглашений ЕПБС. Для выборки используем данные РС на ЕПБС (берем соглашения с текущим финансовым годом начиная с 2017). Формируется перечень учреждений, которым установлены БО и с которыми заключены соглашения.</w:t>
      </w:r>
    </w:p>
    <w:p w:rsidR="00157471" w:rsidRPr="00206C4C" w:rsidRDefault="00157471" w:rsidP="00157471">
      <w:pPr>
        <w:pStyle w:val="af0"/>
      </w:pPr>
      <w:r w:rsidRPr="00206C4C">
        <w:t>По данным ЕПБС выбираются следующие показатели:</w:t>
      </w:r>
    </w:p>
    <w:p w:rsidR="00157471" w:rsidRPr="00206C4C" w:rsidRDefault="00157471" w:rsidP="00DE1661">
      <w:pPr>
        <w:pStyle w:val="13"/>
      </w:pPr>
      <w:r w:rsidRPr="00206C4C">
        <w:t>ИНН организации</w:t>
      </w:r>
    </w:p>
    <w:p w:rsidR="00157471" w:rsidRPr="00206C4C" w:rsidRDefault="00157471" w:rsidP="00DE1661">
      <w:pPr>
        <w:pStyle w:val="13"/>
      </w:pPr>
      <w:r w:rsidRPr="00206C4C">
        <w:t>КПП организации</w:t>
      </w:r>
    </w:p>
    <w:p w:rsidR="00157471" w:rsidRPr="00206C4C" w:rsidRDefault="00157471" w:rsidP="00DE1661">
      <w:pPr>
        <w:pStyle w:val="13"/>
      </w:pPr>
      <w:r w:rsidRPr="00206C4C">
        <w:t>Краткое наименование (Если нет - берем полное)</w:t>
      </w:r>
    </w:p>
    <w:p w:rsidR="00157471" w:rsidRPr="00206C4C" w:rsidRDefault="00157471" w:rsidP="00DE1661">
      <w:pPr>
        <w:pStyle w:val="13"/>
      </w:pPr>
      <w:r w:rsidRPr="00206C4C">
        <w:t>Код распорядителя для организации</w:t>
      </w:r>
    </w:p>
    <w:p w:rsidR="00157471" w:rsidRPr="00206C4C" w:rsidRDefault="00157471" w:rsidP="00DE1661">
      <w:pPr>
        <w:pStyle w:val="13"/>
      </w:pPr>
      <w:r w:rsidRPr="00206C4C">
        <w:t>Уникальный реестровый номер соглашения</w:t>
      </w:r>
    </w:p>
    <w:p w:rsidR="00157471" w:rsidRPr="00206C4C" w:rsidRDefault="00157471" w:rsidP="00DE1661">
      <w:pPr>
        <w:pStyle w:val="13"/>
      </w:pPr>
      <w:r w:rsidRPr="00206C4C">
        <w:t>Дата заключения соглашения</w:t>
      </w:r>
    </w:p>
    <w:p w:rsidR="00157471" w:rsidRPr="00206C4C" w:rsidRDefault="00157471" w:rsidP="00DE1661">
      <w:pPr>
        <w:pStyle w:val="13"/>
      </w:pPr>
      <w:r w:rsidRPr="00206C4C">
        <w:t>Дата загрузки на ЕПБС</w:t>
      </w:r>
    </w:p>
    <w:p w:rsidR="00157471" w:rsidRPr="00206C4C" w:rsidRDefault="00157471" w:rsidP="00DE1661">
      <w:pPr>
        <w:pStyle w:val="13"/>
      </w:pPr>
      <w:r w:rsidRPr="00206C4C">
        <w:t>Дата постановки на учет БО</w:t>
      </w:r>
    </w:p>
    <w:p w:rsidR="00157471" w:rsidRPr="00206C4C" w:rsidRDefault="00157471" w:rsidP="00DE1661">
      <w:pPr>
        <w:pStyle w:val="13"/>
      </w:pPr>
      <w:r w:rsidRPr="00206C4C">
        <w:t>Дата формирования сведений БО</w:t>
      </w:r>
    </w:p>
    <w:p w:rsidR="00157471" w:rsidRPr="00206C4C" w:rsidRDefault="00157471" w:rsidP="00DE1661">
      <w:pPr>
        <w:pStyle w:val="13"/>
      </w:pPr>
      <w:r w:rsidRPr="00206C4C">
        <w:t>Тип соглашения (соглашение или НПА)</w:t>
      </w:r>
    </w:p>
    <w:p w:rsidR="00157471" w:rsidRPr="00206C4C" w:rsidRDefault="00157471" w:rsidP="00DE1661">
      <w:pPr>
        <w:pStyle w:val="13"/>
      </w:pPr>
      <w:r w:rsidRPr="00206C4C">
        <w:t>Номер соглашения</w:t>
      </w:r>
    </w:p>
    <w:p w:rsidR="00157471" w:rsidRPr="00206C4C" w:rsidRDefault="00157471" w:rsidP="00DE1661">
      <w:pPr>
        <w:pStyle w:val="13"/>
      </w:pPr>
      <w:r w:rsidRPr="00206C4C">
        <w:t>Уникальный реестровый номер БО</w:t>
      </w:r>
    </w:p>
    <w:p w:rsidR="00157471" w:rsidRPr="00206C4C" w:rsidRDefault="00157471" w:rsidP="00DE1661">
      <w:pPr>
        <w:pStyle w:val="13"/>
      </w:pPr>
      <w:r w:rsidRPr="00206C4C">
        <w:t>Сумма соглашения</w:t>
      </w:r>
    </w:p>
    <w:p w:rsidR="00157471" w:rsidRPr="00206C4C" w:rsidRDefault="00157471" w:rsidP="00DE1661">
      <w:pPr>
        <w:pStyle w:val="13"/>
      </w:pPr>
      <w:r w:rsidRPr="00206C4C">
        <w:t>Сумма исполненных обязательств прошлых лет</w:t>
      </w:r>
    </w:p>
    <w:p w:rsidR="00157471" w:rsidRPr="00206C4C" w:rsidRDefault="00157471" w:rsidP="00DE1661">
      <w:pPr>
        <w:pStyle w:val="13"/>
      </w:pPr>
      <w:r w:rsidRPr="00206C4C">
        <w:t>Сумма БО на текущий финансовый год</w:t>
      </w:r>
    </w:p>
    <w:p w:rsidR="00157471" w:rsidRPr="00206C4C" w:rsidRDefault="00157471" w:rsidP="00DE1661">
      <w:pPr>
        <w:pStyle w:val="13"/>
      </w:pPr>
      <w:r w:rsidRPr="00206C4C">
        <w:t>Сумма БО на первый год планового периода</w:t>
      </w:r>
    </w:p>
    <w:p w:rsidR="00157471" w:rsidRPr="00206C4C" w:rsidRDefault="00157471" w:rsidP="00DE1661">
      <w:pPr>
        <w:pStyle w:val="13"/>
      </w:pPr>
      <w:r w:rsidRPr="00206C4C">
        <w:t>Сумма БО на второй год планового периода</w:t>
      </w:r>
    </w:p>
    <w:p w:rsidR="00157471" w:rsidRPr="00206C4C" w:rsidRDefault="00157471" w:rsidP="00DE1661">
      <w:pPr>
        <w:pStyle w:val="13"/>
      </w:pPr>
      <w:r w:rsidRPr="00206C4C">
        <w:t>Сумма БО на третий год планового периода</w:t>
      </w:r>
    </w:p>
    <w:p w:rsidR="00157471" w:rsidRPr="00206C4C" w:rsidRDefault="00157471" w:rsidP="00DE1661">
      <w:pPr>
        <w:pStyle w:val="13"/>
      </w:pPr>
      <w:r w:rsidRPr="00206C4C">
        <w:t>Сумма БО на последующие года планового периода</w:t>
      </w:r>
    </w:p>
    <w:p w:rsidR="00157471" w:rsidRPr="00206C4C" w:rsidRDefault="00157471" w:rsidP="00DE1661">
      <w:pPr>
        <w:pStyle w:val="13"/>
      </w:pPr>
      <w:r w:rsidRPr="00206C4C">
        <w:t>Кассовое исполнение в текущем финансовом году</w:t>
      </w:r>
    </w:p>
    <w:p w:rsidR="00157471" w:rsidRPr="00206C4C" w:rsidRDefault="00157471" w:rsidP="00DE1661">
      <w:pPr>
        <w:pStyle w:val="13"/>
      </w:pPr>
      <w:r w:rsidRPr="00206C4C">
        <w:t>Кассовое исполнение в предыдущие финансовые года</w:t>
      </w:r>
    </w:p>
    <w:p w:rsidR="00157471" w:rsidRPr="00206C4C" w:rsidRDefault="00157471" w:rsidP="00DE1661">
      <w:pPr>
        <w:pStyle w:val="13"/>
      </w:pPr>
      <w:r w:rsidRPr="00206C4C">
        <w:t>Текущий финансовый год (Текущим годом считаем год, на который предоставлен график перечислений с разбивкой по месяцам)</w:t>
      </w:r>
    </w:p>
    <w:p w:rsidR="00157471" w:rsidRPr="00206C4C" w:rsidRDefault="00157471" w:rsidP="00DE1661">
      <w:pPr>
        <w:pStyle w:val="13"/>
      </w:pPr>
      <w:r w:rsidRPr="00206C4C">
        <w:t>КБК</w:t>
      </w:r>
    </w:p>
    <w:p w:rsidR="00157471" w:rsidRPr="00206C4C" w:rsidRDefault="00157471" w:rsidP="00157471">
      <w:pPr>
        <w:pStyle w:val="a8"/>
      </w:pPr>
      <w:r w:rsidRPr="00206C4C">
        <w:t xml:space="preserve">Первичная обработка данных реестра соглашений и бюджетных обязательств из ПУР.  Для выборки используем данные РС и сведения БО (по дате изменения  ≥ 2018 года) из ПУР. Формируется перечень организаций, которым установлены БО и с которыми заключены соглашения. Объединяем две выборки: Сведения реестра соглашений и сведения о БО по условию совпадения уникального реестрового номера соглашения и КБК в выборках. </w:t>
      </w:r>
    </w:p>
    <w:p w:rsidR="00157471" w:rsidRPr="00206C4C" w:rsidRDefault="00157471" w:rsidP="00157471">
      <w:pPr>
        <w:pStyle w:val="af0"/>
      </w:pPr>
      <w:r w:rsidRPr="00206C4C">
        <w:t>По данным ПУР выбираются следующие показатели:</w:t>
      </w:r>
    </w:p>
    <w:p w:rsidR="00157471" w:rsidRPr="00206C4C" w:rsidRDefault="00157471" w:rsidP="00DE1661">
      <w:pPr>
        <w:pStyle w:val="13"/>
      </w:pPr>
      <w:r w:rsidRPr="00206C4C">
        <w:t>Выборка в части сведений реестра соглашений:</w:t>
      </w:r>
    </w:p>
    <w:p w:rsidR="00157471" w:rsidRPr="00206C4C" w:rsidRDefault="00157471" w:rsidP="00157471">
      <w:pPr>
        <w:pStyle w:val="29"/>
      </w:pPr>
      <w:r w:rsidRPr="00206C4C">
        <w:t>ИНН организации</w:t>
      </w:r>
    </w:p>
    <w:p w:rsidR="00157471" w:rsidRPr="00206C4C" w:rsidRDefault="00157471" w:rsidP="00157471">
      <w:pPr>
        <w:pStyle w:val="29"/>
      </w:pPr>
      <w:r w:rsidRPr="00206C4C">
        <w:t>КПП организации</w:t>
      </w:r>
    </w:p>
    <w:p w:rsidR="00157471" w:rsidRPr="00206C4C" w:rsidRDefault="00157471" w:rsidP="00157471">
      <w:pPr>
        <w:pStyle w:val="29"/>
      </w:pPr>
      <w:r w:rsidRPr="00206C4C">
        <w:t>Краткое наименование (Если нет - берем полное)</w:t>
      </w:r>
    </w:p>
    <w:p w:rsidR="00157471" w:rsidRPr="00206C4C" w:rsidRDefault="00157471" w:rsidP="00157471">
      <w:pPr>
        <w:pStyle w:val="29"/>
      </w:pPr>
      <w:r w:rsidRPr="00206C4C">
        <w:t xml:space="preserve">Код распорядителя для организации </w:t>
      </w:r>
    </w:p>
    <w:p w:rsidR="00157471" w:rsidRPr="00206C4C" w:rsidRDefault="00157471" w:rsidP="00157471">
      <w:pPr>
        <w:pStyle w:val="29"/>
      </w:pPr>
      <w:r w:rsidRPr="00206C4C">
        <w:t>Уникальный реестровый номер соглашения</w:t>
      </w:r>
    </w:p>
    <w:p w:rsidR="00157471" w:rsidRPr="00206C4C" w:rsidRDefault="00157471" w:rsidP="00157471">
      <w:pPr>
        <w:pStyle w:val="29"/>
      </w:pPr>
      <w:r w:rsidRPr="00206C4C">
        <w:t>Дата заключения соглашения</w:t>
      </w:r>
    </w:p>
    <w:p w:rsidR="00157471" w:rsidRPr="00206C4C" w:rsidRDefault="00157471" w:rsidP="00157471">
      <w:pPr>
        <w:pStyle w:val="29"/>
      </w:pPr>
      <w:r w:rsidRPr="00206C4C">
        <w:t>Дата загрузки на ЕПБС</w:t>
      </w:r>
    </w:p>
    <w:p w:rsidR="00157471" w:rsidRPr="00206C4C" w:rsidRDefault="00157471" w:rsidP="00157471">
      <w:pPr>
        <w:pStyle w:val="29"/>
      </w:pPr>
      <w:r w:rsidRPr="00206C4C">
        <w:t>Дата постановки на учет БО</w:t>
      </w:r>
    </w:p>
    <w:p w:rsidR="00157471" w:rsidRPr="00206C4C" w:rsidRDefault="00157471" w:rsidP="00157471">
      <w:pPr>
        <w:pStyle w:val="29"/>
      </w:pPr>
      <w:r w:rsidRPr="00206C4C">
        <w:t>Дата формирования сведений БО</w:t>
      </w:r>
    </w:p>
    <w:p w:rsidR="00157471" w:rsidRPr="00206C4C" w:rsidRDefault="00157471" w:rsidP="00157471">
      <w:pPr>
        <w:pStyle w:val="29"/>
      </w:pPr>
      <w:r w:rsidRPr="00206C4C">
        <w:t>Тип соглашения (соглашение или НПА)</w:t>
      </w:r>
    </w:p>
    <w:p w:rsidR="00157471" w:rsidRPr="00206C4C" w:rsidRDefault="00157471" w:rsidP="00DE1661">
      <w:pPr>
        <w:pStyle w:val="13"/>
      </w:pPr>
      <w:r w:rsidRPr="00206C4C">
        <w:t>Сведения о БО</w:t>
      </w:r>
    </w:p>
    <w:p w:rsidR="00157471" w:rsidRPr="00206C4C" w:rsidRDefault="00157471" w:rsidP="00157471">
      <w:pPr>
        <w:pStyle w:val="29"/>
      </w:pPr>
      <w:r w:rsidRPr="00206C4C">
        <w:t>Номер соглашения</w:t>
      </w:r>
    </w:p>
    <w:p w:rsidR="00157471" w:rsidRPr="00206C4C" w:rsidRDefault="00157471" w:rsidP="00157471">
      <w:pPr>
        <w:pStyle w:val="29"/>
      </w:pPr>
      <w:r w:rsidRPr="00206C4C">
        <w:t>Уникальный реестровый номер БО</w:t>
      </w:r>
    </w:p>
    <w:p w:rsidR="00157471" w:rsidRPr="00206C4C" w:rsidRDefault="00157471" w:rsidP="00157471">
      <w:pPr>
        <w:pStyle w:val="29"/>
      </w:pPr>
      <w:r w:rsidRPr="00206C4C">
        <w:t>Сумма соглашения</w:t>
      </w:r>
    </w:p>
    <w:p w:rsidR="00157471" w:rsidRPr="00206C4C" w:rsidRDefault="00157471" w:rsidP="00157471">
      <w:pPr>
        <w:pStyle w:val="29"/>
      </w:pPr>
      <w:r w:rsidRPr="00206C4C">
        <w:t>Сумма исполненных обязательств прошлых лет</w:t>
      </w:r>
    </w:p>
    <w:p w:rsidR="00157471" w:rsidRPr="00206C4C" w:rsidRDefault="00157471" w:rsidP="00157471">
      <w:pPr>
        <w:pStyle w:val="29"/>
      </w:pPr>
      <w:r w:rsidRPr="00206C4C">
        <w:t>Сумма БО на текущий финансовый год</w:t>
      </w:r>
    </w:p>
    <w:p w:rsidR="00157471" w:rsidRPr="00206C4C" w:rsidRDefault="00157471" w:rsidP="00157471">
      <w:pPr>
        <w:pStyle w:val="29"/>
      </w:pPr>
      <w:r w:rsidRPr="00206C4C">
        <w:t>Сумма БО на первый год планового периода</w:t>
      </w:r>
    </w:p>
    <w:p w:rsidR="00157471" w:rsidRPr="00206C4C" w:rsidRDefault="00157471" w:rsidP="00157471">
      <w:pPr>
        <w:pStyle w:val="29"/>
      </w:pPr>
      <w:r w:rsidRPr="00206C4C">
        <w:t>Сумма БО на второй год планового периода</w:t>
      </w:r>
    </w:p>
    <w:p w:rsidR="00157471" w:rsidRPr="00206C4C" w:rsidRDefault="00157471" w:rsidP="00157471">
      <w:pPr>
        <w:pStyle w:val="29"/>
      </w:pPr>
      <w:r w:rsidRPr="00206C4C">
        <w:t>Сумма БО на третий год планового периода</w:t>
      </w:r>
    </w:p>
    <w:p w:rsidR="00157471" w:rsidRPr="00206C4C" w:rsidRDefault="00157471" w:rsidP="00157471">
      <w:pPr>
        <w:pStyle w:val="29"/>
      </w:pPr>
      <w:r w:rsidRPr="00206C4C">
        <w:t>Сумма БО на последующие года планового периода</w:t>
      </w:r>
    </w:p>
    <w:p w:rsidR="00157471" w:rsidRPr="00206C4C" w:rsidRDefault="00157471" w:rsidP="00157471">
      <w:pPr>
        <w:pStyle w:val="29"/>
      </w:pPr>
      <w:r w:rsidRPr="00206C4C">
        <w:t>Кассовое исполнение в текущем финансовом году</w:t>
      </w:r>
    </w:p>
    <w:p w:rsidR="00157471" w:rsidRPr="00206C4C" w:rsidRDefault="00157471" w:rsidP="00157471">
      <w:pPr>
        <w:pStyle w:val="29"/>
      </w:pPr>
      <w:r w:rsidRPr="00206C4C">
        <w:t>Кассовое исполнение в предыдущие финансовые года</w:t>
      </w:r>
    </w:p>
    <w:p w:rsidR="00157471" w:rsidRPr="00206C4C" w:rsidRDefault="00157471" w:rsidP="00157471">
      <w:pPr>
        <w:pStyle w:val="29"/>
      </w:pPr>
      <w:r w:rsidRPr="00206C4C">
        <w:t>Текущий финансовый год соглашения (определяем по дате перерегистрации БО)</w:t>
      </w:r>
    </w:p>
    <w:p w:rsidR="00157471" w:rsidRPr="00206C4C" w:rsidRDefault="00157471" w:rsidP="00157471">
      <w:pPr>
        <w:pStyle w:val="29"/>
      </w:pPr>
      <w:r w:rsidRPr="00206C4C">
        <w:t>КБК</w:t>
      </w:r>
    </w:p>
    <w:p w:rsidR="00157471" w:rsidRPr="00206C4C" w:rsidRDefault="00157471" w:rsidP="00157471">
      <w:pPr>
        <w:pStyle w:val="a8"/>
      </w:pPr>
      <w:r w:rsidRPr="00206C4C">
        <w:t>Из выборки исключаем записи, у которых сумма БО на текущий финансовый год, сумма БО на первый год планового периода, сумма БО на второй год планового периода, сумма БО на третий год планового периода, сумма БО на последующие года планового периода, кассовое исполнение в текущем финансовом году = 0.</w:t>
      </w:r>
    </w:p>
    <w:p w:rsidR="00157471" w:rsidRPr="00206C4C" w:rsidRDefault="00157471" w:rsidP="00157471">
      <w:pPr>
        <w:pStyle w:val="a8"/>
      </w:pPr>
      <w:r w:rsidRPr="00206C4C">
        <w:t>Сравниваем текущий финансовый год данных РС с ЕПБС и данных РС и БО из ПУР. Если текущий фин. год в БО &gt; текущего фин. года ЕПБС, то текущий фин. год на ЕПБС делаем = БО.</w:t>
      </w:r>
    </w:p>
    <w:p w:rsidR="00157471" w:rsidRPr="00206C4C" w:rsidRDefault="00157471" w:rsidP="00157471">
      <w:pPr>
        <w:pStyle w:val="a8"/>
      </w:pPr>
      <w:r w:rsidRPr="00206C4C">
        <w:t xml:space="preserve">Кассовое исполнение ЕПБС. </w:t>
      </w:r>
    </w:p>
    <w:p w:rsidR="00157471" w:rsidRPr="00206C4C" w:rsidRDefault="00157471" w:rsidP="00157471">
      <w:pPr>
        <w:pStyle w:val="a8"/>
      </w:pPr>
      <w:r w:rsidRPr="00206C4C">
        <w:t>Исполнение в текущем году определяем: текущий фин. год в соглашении ≤ году в платежном поручении.</w:t>
      </w:r>
    </w:p>
    <w:p w:rsidR="00157471" w:rsidRPr="00206C4C" w:rsidRDefault="00157471" w:rsidP="00157471">
      <w:pPr>
        <w:pStyle w:val="afff6"/>
        <w:spacing w:before="100" w:beforeAutospacing="1" w:after="100" w:afterAutospacing="1"/>
        <w:rPr>
          <w:sz w:val="24"/>
          <w:szCs w:val="24"/>
        </w:rPr>
      </w:pPr>
      <w:r w:rsidRPr="00206C4C">
        <w:rPr>
          <w:sz w:val="24"/>
          <w:szCs w:val="24"/>
        </w:rPr>
        <w:t>Исполнение в предыдущие годы определяем: текущий фин. год в соглашении &gt; года в платежном поручении.</w:t>
      </w:r>
    </w:p>
    <w:p w:rsidR="00157471" w:rsidRPr="00206C4C" w:rsidRDefault="00157471" w:rsidP="00157471">
      <w:pPr>
        <w:pStyle w:val="a8"/>
      </w:pPr>
      <w:r w:rsidRPr="00206C4C">
        <w:t>Первичная обработка данных главной книги. Для выборки используем данные Главной книги «O_0504072_9500_01032018_D».</w:t>
      </w:r>
      <w:r w:rsidRPr="00206C4C">
        <w:br/>
        <w:t>По данным главной книги выбираются следующие показатели:</w:t>
      </w:r>
    </w:p>
    <w:p w:rsidR="00157471" w:rsidRPr="00206C4C" w:rsidRDefault="00157471" w:rsidP="00DE1661">
      <w:pPr>
        <w:pStyle w:val="13"/>
      </w:pPr>
      <w:r w:rsidRPr="00206C4C">
        <w:t>КБК</w:t>
      </w:r>
    </w:p>
    <w:p w:rsidR="00157471" w:rsidRPr="00206C4C" w:rsidRDefault="00157471" w:rsidP="00DE1661">
      <w:pPr>
        <w:pStyle w:val="13"/>
      </w:pPr>
      <w:r w:rsidRPr="00206C4C">
        <w:t>Доведенные ЛБО до ГРБС на текущий год</w:t>
      </w:r>
    </w:p>
    <w:p w:rsidR="00157471" w:rsidRPr="00206C4C" w:rsidRDefault="00157471" w:rsidP="00DE1661">
      <w:pPr>
        <w:pStyle w:val="13"/>
      </w:pPr>
      <w:r w:rsidRPr="00206C4C">
        <w:t>Доведенные ЛБО до ГРБС на первый год планового периода</w:t>
      </w:r>
    </w:p>
    <w:p w:rsidR="00157471" w:rsidRPr="00206C4C" w:rsidRDefault="00157471" w:rsidP="00DE1661">
      <w:pPr>
        <w:pStyle w:val="13"/>
      </w:pPr>
      <w:r w:rsidRPr="00206C4C">
        <w:t>Доведенные ЛБО до ГРБС на второй год планового периода</w:t>
      </w:r>
    </w:p>
    <w:p w:rsidR="00157471" w:rsidRPr="00206C4C" w:rsidRDefault="00157471" w:rsidP="00DE1661">
      <w:pPr>
        <w:pStyle w:val="13"/>
      </w:pPr>
      <w:r w:rsidRPr="00206C4C">
        <w:t>Распределенные ЛБО ГРБС на текущий год</w:t>
      </w:r>
    </w:p>
    <w:p w:rsidR="00157471" w:rsidRPr="00206C4C" w:rsidRDefault="00157471" w:rsidP="00DE1661">
      <w:pPr>
        <w:pStyle w:val="13"/>
      </w:pPr>
      <w:r w:rsidRPr="00206C4C">
        <w:t>Распределенные ЛБО ГРБС на первый год планового периода</w:t>
      </w:r>
    </w:p>
    <w:p w:rsidR="00157471" w:rsidRPr="00206C4C" w:rsidRDefault="00157471" w:rsidP="00DE1661">
      <w:pPr>
        <w:pStyle w:val="13"/>
      </w:pPr>
      <w:r w:rsidRPr="00206C4C">
        <w:t>Распределенные ЛБО ГРБС на второй год планового периода</w:t>
      </w:r>
    </w:p>
    <w:p w:rsidR="00157471" w:rsidRPr="00206C4C" w:rsidRDefault="00157471" w:rsidP="00DE1661">
      <w:pPr>
        <w:pStyle w:val="13"/>
      </w:pPr>
      <w:r w:rsidRPr="00206C4C">
        <w:t>Кассовое исполнение</w:t>
      </w:r>
    </w:p>
    <w:p w:rsidR="00157471" w:rsidRPr="00206C4C" w:rsidRDefault="00157471" w:rsidP="00157471">
      <w:pPr>
        <w:pStyle w:val="af0"/>
      </w:pPr>
      <w:r w:rsidRPr="00206C4C">
        <w:t xml:space="preserve">Ограничение выборки: Набор КВР, используемый в отчетах. </w:t>
      </w:r>
    </w:p>
    <w:p w:rsidR="00157471" w:rsidRPr="00206C4C" w:rsidRDefault="00157471" w:rsidP="00157471">
      <w:pPr>
        <w:pStyle w:val="a8"/>
      </w:pPr>
      <w:r w:rsidRPr="00206C4C">
        <w:t>Формируем общий список КБК. На данном этапе формируется общий список КБК на которых есть ЛБО и по которым заключены соглашения. Данная выборка формируется на основании следующих выборок:</w:t>
      </w:r>
    </w:p>
    <w:p w:rsidR="00157471" w:rsidRPr="00206C4C" w:rsidRDefault="00157471" w:rsidP="00DE1661">
      <w:pPr>
        <w:pStyle w:val="13"/>
      </w:pPr>
      <w:r w:rsidRPr="00206C4C">
        <w:t>Формируем список КБК на основании результатов первичной обработки данных главной книги (п.6)</w:t>
      </w:r>
    </w:p>
    <w:p w:rsidR="00157471" w:rsidRPr="00206C4C" w:rsidRDefault="00157471" w:rsidP="00DE1661">
      <w:pPr>
        <w:pStyle w:val="13"/>
      </w:pPr>
      <w:r w:rsidRPr="00206C4C">
        <w:t>Формируем список КБК на основании результатов первичной обработки данных выборки в части соглашений и бюджетных обязательств из ПУР (п.2)</w:t>
      </w:r>
    </w:p>
    <w:p w:rsidR="00157471" w:rsidRPr="00206C4C" w:rsidRDefault="00157471" w:rsidP="00DE1661">
      <w:pPr>
        <w:pStyle w:val="13"/>
      </w:pPr>
      <w:r w:rsidRPr="00206C4C">
        <w:t>Формируем список КБК на основании результатов первичной обработки данных реестра соглашений ЕПБС (п.1)</w:t>
      </w:r>
    </w:p>
    <w:p w:rsidR="00157471" w:rsidRPr="00206C4C" w:rsidRDefault="00157471" w:rsidP="00157471">
      <w:pPr>
        <w:pStyle w:val="af0"/>
      </w:pPr>
      <w:r w:rsidRPr="00206C4C">
        <w:t xml:space="preserve">Данная выборка нужна, чтобы сформировать общий список КБК в рамках каждого года на которых есть ЛБО и по которым заключены соглашения. Т.е. КБК из ГК дополняются теми КБК, которые есть в реестре соглашений. </w:t>
      </w:r>
    </w:p>
    <w:p w:rsidR="00157471" w:rsidRPr="00206C4C" w:rsidRDefault="00157471" w:rsidP="00157471">
      <w:pPr>
        <w:pStyle w:val="a8"/>
      </w:pPr>
      <w:r w:rsidRPr="00206C4C">
        <w:t>Формируем общий список КБК с данными о соглашениях.</w:t>
      </w:r>
      <w:r w:rsidRPr="00206C4C">
        <w:br/>
        <w:t xml:space="preserve">На данном этапе общий список КБК, сформированный в п. 8, дополняется сведениями о соглашениях в рамках каждого финансового года. </w:t>
      </w:r>
      <w:r w:rsidRPr="00206C4C">
        <w:br/>
        <w:t>К общему списку КБК поэтапно присоединяются:</w:t>
      </w:r>
    </w:p>
    <w:p w:rsidR="00157471" w:rsidRPr="00206C4C" w:rsidRDefault="00157471" w:rsidP="00157471">
      <w:pPr>
        <w:pStyle w:val="a8"/>
      </w:pPr>
      <w:r w:rsidRPr="00206C4C">
        <w:t>Результаты первичной обработки данных формы выгрузки из ПУР и бюджетных обязательств из ПУР (п.2), при условии равенства следующих атрибутов в выборках:</w:t>
      </w:r>
    </w:p>
    <w:p w:rsidR="00157471" w:rsidRPr="00206C4C" w:rsidRDefault="00157471" w:rsidP="00DE1661">
      <w:pPr>
        <w:pStyle w:val="13"/>
      </w:pPr>
      <w:r w:rsidRPr="00206C4C">
        <w:t>КБК</w:t>
      </w:r>
    </w:p>
    <w:p w:rsidR="00157471" w:rsidRPr="00206C4C" w:rsidRDefault="00157471" w:rsidP="00DE1661">
      <w:pPr>
        <w:pStyle w:val="13"/>
      </w:pPr>
      <w:r w:rsidRPr="00206C4C">
        <w:t>Текущий финансовый год</w:t>
      </w:r>
    </w:p>
    <w:p w:rsidR="00157471" w:rsidRPr="00206C4C" w:rsidRDefault="00157471" w:rsidP="00DE1661">
      <w:pPr>
        <w:pStyle w:val="13"/>
      </w:pPr>
      <w:r w:rsidRPr="00206C4C">
        <w:t>ГРБС</w:t>
      </w:r>
    </w:p>
    <w:p w:rsidR="00157471" w:rsidRPr="00206C4C" w:rsidRDefault="00157471" w:rsidP="00DE1661">
      <w:pPr>
        <w:pStyle w:val="13"/>
      </w:pPr>
      <w:r w:rsidRPr="00206C4C">
        <w:t>ИНН</w:t>
      </w:r>
    </w:p>
    <w:p w:rsidR="00157471" w:rsidRPr="00206C4C" w:rsidRDefault="00157471" w:rsidP="00DE1661">
      <w:pPr>
        <w:pStyle w:val="13"/>
      </w:pPr>
      <w:r w:rsidRPr="00206C4C">
        <w:t>КПП</w:t>
      </w:r>
    </w:p>
    <w:p w:rsidR="00157471" w:rsidRPr="00206C4C" w:rsidRDefault="00157471" w:rsidP="00157471">
      <w:pPr>
        <w:pStyle w:val="a8"/>
      </w:pPr>
      <w:r w:rsidRPr="00206C4C">
        <w:t xml:space="preserve"> Результаты первичной обработки данных реестра соглашений ЕПБС (п.1), при условии равенства следующих атрибутов в выборках:</w:t>
      </w:r>
    </w:p>
    <w:p w:rsidR="00157471" w:rsidRPr="00206C4C" w:rsidRDefault="00157471" w:rsidP="00DE1661">
      <w:pPr>
        <w:pStyle w:val="13"/>
      </w:pPr>
      <w:r w:rsidRPr="00206C4C">
        <w:t>ИНН (Проверка нужна для того, чтобы сопоставить получателей в рамках одного соглашения в ПУР и ЕПБС)</w:t>
      </w:r>
    </w:p>
    <w:p w:rsidR="00157471" w:rsidRPr="00206C4C" w:rsidRDefault="00157471" w:rsidP="00DE1661">
      <w:pPr>
        <w:pStyle w:val="13"/>
      </w:pPr>
      <w:r w:rsidRPr="00206C4C">
        <w:t>КПП (Проверка нужна для того, чтобы сопоставить получателей в рамках одного соглашения в ПУР и ЕПБС)</w:t>
      </w:r>
    </w:p>
    <w:p w:rsidR="00157471" w:rsidRPr="00206C4C" w:rsidRDefault="00157471" w:rsidP="00DE1661">
      <w:pPr>
        <w:pStyle w:val="13"/>
      </w:pPr>
      <w:r w:rsidRPr="00206C4C">
        <w:t>КБК (Проверка нужна для того, чтобы сопоставить КБК в рамках одного соглашения в ПУР и ЕПБС)</w:t>
      </w:r>
    </w:p>
    <w:p w:rsidR="00157471" w:rsidRPr="00206C4C" w:rsidRDefault="00157471" w:rsidP="00DE1661">
      <w:pPr>
        <w:pStyle w:val="13"/>
      </w:pPr>
      <w:r w:rsidRPr="00206C4C">
        <w:t>Текущий финансовый год</w:t>
      </w:r>
    </w:p>
    <w:p w:rsidR="00157471" w:rsidRPr="00206C4C" w:rsidRDefault="00157471" w:rsidP="00DE1661">
      <w:pPr>
        <w:pStyle w:val="13"/>
      </w:pPr>
      <w:r w:rsidRPr="00206C4C">
        <w:t>Уникальный реестровый номер соглашения (Проверка нужна для того, чтобы сопоставить соглашения в ПУР и ЕПБС)</w:t>
      </w:r>
    </w:p>
    <w:p w:rsidR="00157471" w:rsidRPr="00206C4C" w:rsidRDefault="00157471" w:rsidP="00DE1661">
      <w:pPr>
        <w:pStyle w:val="13"/>
      </w:pPr>
      <w:r w:rsidRPr="00206C4C">
        <w:t>ГРБС</w:t>
      </w:r>
    </w:p>
    <w:p w:rsidR="00157471" w:rsidRPr="00206C4C" w:rsidRDefault="00157471" w:rsidP="00157471">
      <w:pPr>
        <w:pStyle w:val="a8"/>
      </w:pPr>
      <w:r w:rsidRPr="00206C4C">
        <w:t xml:space="preserve">Обработка случаев автоперерегистрации сведений о БО в ПУР. </w:t>
      </w:r>
    </w:p>
    <w:p w:rsidR="00157471" w:rsidRPr="00206C4C" w:rsidRDefault="00157471" w:rsidP="00157471">
      <w:pPr>
        <w:pStyle w:val="af0"/>
      </w:pPr>
      <w:r w:rsidRPr="00206C4C">
        <w:t>Из выборки, полученной в п.8 отбираем реестровые номера соглашений, которые есть в ПУР, но отсутствует на ЕПБС. Для этих соглашениях выполняем дополнительную проверку наличия реестрового номера соглашения на ЕПБС за предыдущие года, относительно текущего финансового года в ПУР. Если такие записи есть, то для соглашений на ЕПБС технически меняем текущий финансовый год на год, указанный в ПУР. Такие случаи метятся, как "Перерегистрация БО". В отчете реализована возможность фильтрации таких записей (параметр "Качество данных").</w:t>
      </w:r>
    </w:p>
    <w:p w:rsidR="00157471" w:rsidRPr="00206C4C" w:rsidRDefault="00157471" w:rsidP="00157471">
      <w:pPr>
        <w:pStyle w:val="a8"/>
      </w:pPr>
      <w:r w:rsidRPr="00206C4C">
        <w:t>Выявляем некорректные данные в ПУР и ЕПБС.</w:t>
      </w:r>
      <w:r w:rsidRPr="00206C4C">
        <w:br/>
        <w:t>На данном этапе для выборки определяем следующие проблемы качества данных:</w:t>
      </w:r>
    </w:p>
    <w:p w:rsidR="00157471" w:rsidRPr="00206C4C" w:rsidRDefault="00157471" w:rsidP="00DE1661">
      <w:pPr>
        <w:pStyle w:val="13"/>
      </w:pPr>
      <w:r w:rsidRPr="00206C4C">
        <w:t>В ПУР и ЕПБС не совпадают ИНН/КПП получателей бюджетных средств.</w:t>
      </w:r>
    </w:p>
    <w:p w:rsidR="00157471" w:rsidRPr="00206C4C" w:rsidRDefault="00157471" w:rsidP="00DE1661">
      <w:pPr>
        <w:pStyle w:val="13"/>
      </w:pPr>
      <w:r w:rsidRPr="00206C4C">
        <w:t>В ПУР и ЕПБС не совпадают КБК по соглашениям</w:t>
      </w:r>
    </w:p>
    <w:p w:rsidR="00157471" w:rsidRPr="00206C4C" w:rsidRDefault="00157471" w:rsidP="00DE1661">
      <w:pPr>
        <w:pStyle w:val="13"/>
      </w:pPr>
      <w:r w:rsidRPr="00206C4C">
        <w:t>Дата окончания действия соглашения раньше текущего финансового года по соглашению</w:t>
      </w:r>
    </w:p>
    <w:p w:rsidR="00157471" w:rsidRPr="00206C4C" w:rsidRDefault="00157471" w:rsidP="00DE1661">
      <w:pPr>
        <w:pStyle w:val="13"/>
      </w:pPr>
      <w:r w:rsidRPr="00206C4C">
        <w:t>Соглашение без БО (ЕПБС)</w:t>
      </w:r>
    </w:p>
    <w:p w:rsidR="00157471" w:rsidRPr="00206C4C" w:rsidRDefault="00157471" w:rsidP="00DE1661">
      <w:pPr>
        <w:pStyle w:val="13"/>
      </w:pPr>
      <w:r w:rsidRPr="00206C4C">
        <w:t>Соглашение без БО (ПУР)</w:t>
      </w:r>
    </w:p>
    <w:p w:rsidR="00157471" w:rsidRPr="00206C4C" w:rsidRDefault="00157471" w:rsidP="00DE1661">
      <w:pPr>
        <w:pStyle w:val="13"/>
      </w:pPr>
      <w:r w:rsidRPr="00206C4C">
        <w:t>Сумма соглашения не соответствует графику соглашения (ЕПБС)</w:t>
      </w:r>
    </w:p>
    <w:p w:rsidR="00157471" w:rsidRPr="00206C4C" w:rsidRDefault="00157471" w:rsidP="00DE1661">
      <w:pPr>
        <w:pStyle w:val="13"/>
      </w:pPr>
      <w:r w:rsidRPr="00206C4C">
        <w:t>Сумма соглашения не соответствует графику соглашения (ПУР)</w:t>
      </w:r>
    </w:p>
    <w:p w:rsidR="00157471" w:rsidRPr="00206C4C" w:rsidRDefault="00157471" w:rsidP="00DE1661">
      <w:pPr>
        <w:pStyle w:val="13"/>
      </w:pPr>
      <w:r w:rsidRPr="00206C4C">
        <w:t>Сумма соглашения не соответствует графику БО (ПУР)</w:t>
      </w:r>
    </w:p>
    <w:p w:rsidR="00157471" w:rsidRPr="00206C4C" w:rsidRDefault="00157471" w:rsidP="00157471">
      <w:pPr>
        <w:pStyle w:val="af0"/>
      </w:pPr>
      <w:r w:rsidRPr="00206C4C">
        <w:t>В отчете реализована возможность фильтрации таких записей (параметр "Качество данных").</w:t>
      </w:r>
    </w:p>
    <w:p w:rsidR="00157471" w:rsidRDefault="00157471" w:rsidP="00B35FDE">
      <w:pPr>
        <w:pStyle w:val="35"/>
        <w:rPr>
          <w:snapToGrid/>
        </w:rPr>
      </w:pPr>
      <w:bookmarkStart w:id="805" w:name="_Toc69290128"/>
      <w:bookmarkStart w:id="806" w:name="_Toc37845327"/>
      <w:bookmarkStart w:id="807" w:name="_Toc119585093"/>
      <w:r>
        <w:rPr>
          <w:snapToGrid/>
        </w:rPr>
        <w:t>Отчет «</w:t>
      </w:r>
      <w:r w:rsidRPr="00F16A39">
        <w:rPr>
          <w:snapToGrid/>
        </w:rPr>
        <w:t>Мониторинг качества распространения данных реестра соглашений на ЕПБС</w:t>
      </w:r>
      <w:r>
        <w:rPr>
          <w:snapToGrid/>
        </w:rPr>
        <w:t>»</w:t>
      </w:r>
      <w:bookmarkEnd w:id="805"/>
      <w:r w:rsidR="00B35FDE" w:rsidRPr="00B35FDE">
        <w:rPr>
          <w:snapToGrid/>
        </w:rPr>
        <w:t xml:space="preserve"> (PIAO_107</w:t>
      </w:r>
      <w:r w:rsidR="00B35FDE">
        <w:rPr>
          <w:snapToGrid/>
        </w:rPr>
        <w:t>_00</w:t>
      </w:r>
      <w:r w:rsidR="00B35FDE" w:rsidRPr="00B35FDE">
        <w:rPr>
          <w:snapToGrid/>
        </w:rPr>
        <w:t>7_report)</w:t>
      </w:r>
      <w:bookmarkEnd w:id="807"/>
    </w:p>
    <w:p w:rsidR="00157471" w:rsidRDefault="00157471" w:rsidP="00157471">
      <w:pPr>
        <w:pStyle w:val="af0"/>
        <w:rPr>
          <w:rStyle w:val="af1"/>
        </w:rPr>
      </w:pPr>
      <w:r w:rsidRPr="00233E44">
        <w:rPr>
          <w:rStyle w:val="af1"/>
        </w:rPr>
        <w:t>Для перехода к отчету «</w:t>
      </w:r>
      <w:r w:rsidR="00096CA1" w:rsidRPr="00096CA1">
        <w:rPr>
          <w:rStyle w:val="af1"/>
        </w:rPr>
        <w:t>Мониторинг качества распространения данных реестра соглашений на ЕПБС</w:t>
      </w:r>
      <w:r w:rsidRPr="00233E44">
        <w:rPr>
          <w:rStyle w:val="af1"/>
        </w:rPr>
        <w:t>» необходимо перейти к витрине «Ведение перечней и реестров» и раскрыть каталог «Реестр соглашений», как показано на рисунке</w:t>
      </w:r>
      <w:r w:rsidR="00081A52">
        <w:rPr>
          <w:rStyle w:val="af1"/>
        </w:rPr>
        <w:t xml:space="preserve"> </w:t>
      </w:r>
      <w:r w:rsidR="00081A52">
        <w:rPr>
          <w:rStyle w:val="af1"/>
        </w:rPr>
        <w:fldChar w:fldCharType="begin"/>
      </w:r>
      <w:r w:rsidR="00081A52">
        <w:rPr>
          <w:rStyle w:val="af1"/>
        </w:rPr>
        <w:instrText xml:space="preserve"> REF _Ref70005665 \h </w:instrText>
      </w:r>
      <w:r w:rsidR="00081A52">
        <w:rPr>
          <w:rStyle w:val="af1"/>
        </w:rPr>
      </w:r>
      <w:r w:rsidR="00081A52">
        <w:rPr>
          <w:rStyle w:val="af1"/>
        </w:rPr>
        <w:fldChar w:fldCharType="separate"/>
      </w:r>
      <w:r w:rsidR="00BF0BEE">
        <w:rPr>
          <w:noProof/>
        </w:rPr>
        <w:t>188</w:t>
      </w:r>
      <w:r w:rsidR="00081A52">
        <w:rPr>
          <w:rStyle w:val="af1"/>
        </w:rPr>
        <w:fldChar w:fldCharType="end"/>
      </w:r>
      <w:r>
        <w:rPr>
          <w:rStyle w:val="af1"/>
        </w:rPr>
        <w:t>.</w:t>
      </w:r>
    </w:p>
    <w:p w:rsidR="00157471" w:rsidRDefault="00157471" w:rsidP="00157471">
      <w:pPr>
        <w:pStyle w:val="af0"/>
        <w:rPr>
          <w:rStyle w:val="af1"/>
        </w:rPr>
      </w:pPr>
      <w:r w:rsidRPr="00233E44">
        <w:rPr>
          <w:rStyle w:val="af1"/>
        </w:rPr>
        <w:t>В результате отобразится список аналитических отчетов, входящих в каталог «Реестр соглашений»</w:t>
      </w:r>
      <w:r>
        <w:rPr>
          <w:rStyle w:val="af1"/>
        </w:rPr>
        <w:t xml:space="preserve"> (Рисунок</w:t>
      </w:r>
      <w:r w:rsidR="00A77204">
        <w:rPr>
          <w:rStyle w:val="af1"/>
        </w:rPr>
        <w:t xml:space="preserve"> </w:t>
      </w:r>
      <w:r w:rsidR="00A77204">
        <w:rPr>
          <w:rStyle w:val="af1"/>
        </w:rPr>
        <w:fldChar w:fldCharType="begin"/>
      </w:r>
      <w:r w:rsidR="00A77204">
        <w:rPr>
          <w:rStyle w:val="af1"/>
        </w:rPr>
        <w:instrText xml:space="preserve"> REF _Ref70005717 \h </w:instrText>
      </w:r>
      <w:r w:rsidR="00A77204">
        <w:rPr>
          <w:rStyle w:val="af1"/>
        </w:rPr>
      </w:r>
      <w:r w:rsidR="00A77204">
        <w:rPr>
          <w:rStyle w:val="af1"/>
        </w:rPr>
        <w:fldChar w:fldCharType="separate"/>
      </w:r>
      <w:r w:rsidR="00BF0BEE">
        <w:rPr>
          <w:noProof/>
        </w:rPr>
        <w:t>189</w:t>
      </w:r>
      <w:r w:rsidR="00A77204">
        <w:rPr>
          <w:rStyle w:val="af1"/>
        </w:rPr>
        <w:fldChar w:fldCharType="end"/>
      </w:r>
      <w:r>
        <w:rPr>
          <w:rStyle w:val="af1"/>
        </w:rPr>
        <w:t>).</w:t>
      </w:r>
    </w:p>
    <w:p w:rsidR="00157471" w:rsidRDefault="00157471" w:rsidP="00157471">
      <w:pPr>
        <w:pStyle w:val="af0"/>
        <w:rPr>
          <w:rStyle w:val="af1"/>
        </w:rPr>
      </w:pPr>
      <w:r>
        <w:rPr>
          <w:rStyle w:val="af1"/>
        </w:rPr>
        <w:t>Для перехода к отчету «</w:t>
      </w:r>
      <w:r w:rsidRPr="00F16A39">
        <w:rPr>
          <w:snapToGrid/>
        </w:rPr>
        <w:t>Мониторинг качества распространения данных реестра соглашений на ЕПБС</w:t>
      </w:r>
      <w:r>
        <w:rPr>
          <w:rStyle w:val="af1"/>
        </w:rPr>
        <w:t>» кликнуть мышью по плашке «</w:t>
      </w:r>
      <w:r w:rsidRPr="00F16A39">
        <w:rPr>
          <w:snapToGrid/>
        </w:rPr>
        <w:t>Мониторинг качества распространения данных реестра соглашений на ЕПБС</w:t>
      </w:r>
      <w:r>
        <w:rPr>
          <w:rStyle w:val="af1"/>
        </w:rPr>
        <w:t>», как показано на рисунке</w:t>
      </w:r>
      <w:r w:rsidR="00123182">
        <w:rPr>
          <w:rStyle w:val="af1"/>
        </w:rPr>
        <w:t xml:space="preserve"> </w:t>
      </w:r>
      <w:r w:rsidR="00123182">
        <w:rPr>
          <w:rStyle w:val="af1"/>
        </w:rPr>
        <w:fldChar w:fldCharType="begin"/>
      </w:r>
      <w:r w:rsidR="00123182">
        <w:rPr>
          <w:rStyle w:val="af1"/>
        </w:rPr>
        <w:instrText xml:space="preserve"> REF _Ref70062131 \h </w:instrText>
      </w:r>
      <w:r w:rsidR="00123182">
        <w:rPr>
          <w:rStyle w:val="af1"/>
        </w:rPr>
      </w:r>
      <w:r w:rsidR="00123182">
        <w:rPr>
          <w:rStyle w:val="af1"/>
        </w:rPr>
        <w:fldChar w:fldCharType="separate"/>
      </w:r>
      <w:r w:rsidR="00BF0BEE">
        <w:rPr>
          <w:noProof/>
        </w:rPr>
        <w:t>200</w:t>
      </w:r>
      <w:r w:rsidR="00123182">
        <w:rPr>
          <w:rStyle w:val="af1"/>
        </w:rPr>
        <w:fldChar w:fldCharType="end"/>
      </w:r>
      <w:r>
        <w:rPr>
          <w:rStyle w:val="af1"/>
        </w:rPr>
        <w:t>.</w:t>
      </w:r>
    </w:p>
    <w:p w:rsidR="00123182" w:rsidRDefault="00123182" w:rsidP="00123182">
      <w:pPr>
        <w:pStyle w:val="afffff7"/>
        <w:keepNext/>
      </w:pPr>
      <w:r>
        <w:rPr>
          <w:noProof/>
          <w:lang w:eastAsia="ru-RU"/>
        </w:rPr>
        <w:drawing>
          <wp:inline distT="0" distB="0" distL="0" distR="0" wp14:anchorId="41D1B6C9" wp14:editId="255E051A">
            <wp:extent cx="5939790" cy="2892345"/>
            <wp:effectExtent l="0" t="0" r="3810" b="381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5939790" cy="2892345"/>
                    </a:xfrm>
                    <a:prstGeom prst="rect">
                      <a:avLst/>
                    </a:prstGeom>
                  </pic:spPr>
                </pic:pic>
              </a:graphicData>
            </a:graphic>
          </wp:inline>
        </w:drawing>
      </w:r>
    </w:p>
    <w:p w:rsidR="00157471" w:rsidRDefault="00123182" w:rsidP="00123182">
      <w:pPr>
        <w:pStyle w:val="-0"/>
      </w:pPr>
      <w:bookmarkStart w:id="808" w:name="_Toc119584387"/>
      <w:r>
        <w:t xml:space="preserve">Рисунок </w:t>
      </w:r>
      <w:fldSimple w:instr=" SEQ Рисунок \* ARABIC ">
        <w:bookmarkStart w:id="809" w:name="_Ref70062131"/>
        <w:r w:rsidR="001860A9">
          <w:rPr>
            <w:noProof/>
          </w:rPr>
          <w:t>200</w:t>
        </w:r>
        <w:bookmarkEnd w:id="809"/>
      </w:fldSimple>
      <w:r>
        <w:t xml:space="preserve"> – </w:t>
      </w:r>
      <w:r w:rsidRPr="00C501ED">
        <w:t xml:space="preserve">Плашка для перехода к отчету </w:t>
      </w:r>
      <w:r w:rsidRPr="00C501ED">
        <w:rPr>
          <w:rStyle w:val="af1"/>
          <w:rFonts w:eastAsia="Calibri"/>
        </w:rPr>
        <w:t>«</w:t>
      </w:r>
      <w:r w:rsidRPr="00123182">
        <w:rPr>
          <w:rStyle w:val="af1"/>
          <w:rFonts w:eastAsia="Calibri"/>
        </w:rPr>
        <w:t>Мониторинг качества распространения данных реестра соглашений на ЕПБС</w:t>
      </w:r>
      <w:r w:rsidRPr="00C501ED">
        <w:rPr>
          <w:rStyle w:val="af1"/>
          <w:rFonts w:eastAsia="Calibri"/>
        </w:rPr>
        <w:t>»</w:t>
      </w:r>
      <w:bookmarkEnd w:id="808"/>
    </w:p>
    <w:p w:rsidR="00157471" w:rsidRDefault="00157471" w:rsidP="00157471">
      <w:pPr>
        <w:pStyle w:val="af0"/>
      </w:pPr>
      <w:r>
        <w:t xml:space="preserve">Отчет предназначен </w:t>
      </w:r>
      <w:r w:rsidRPr="009F07FD">
        <w:t>для мониторинга корректности размещения соглашений (договоров) о предоставлении</w:t>
      </w:r>
      <w:r>
        <w:t xml:space="preserve"> </w:t>
      </w:r>
      <w:r w:rsidRPr="009F07FD">
        <w:t>субсидий, бюджетных инвестиций, межбюджетных трансфертов в ПУР и на ЕПБС,</w:t>
      </w:r>
      <w:r>
        <w:t xml:space="preserve"> </w:t>
      </w:r>
      <w:r w:rsidRPr="009F07FD">
        <w:t xml:space="preserve">сумме БО </w:t>
      </w:r>
      <w:r>
        <w:t xml:space="preserve">и </w:t>
      </w:r>
      <w:r w:rsidRPr="000B06A6">
        <w:t>сумме исполнения БО в ПУР</w:t>
      </w:r>
      <w:r>
        <w:t>,</w:t>
      </w:r>
      <w:r w:rsidRPr="009F07FD">
        <w:t xml:space="preserve"> а также</w:t>
      </w:r>
      <w:r>
        <w:t xml:space="preserve"> для</w:t>
      </w:r>
      <w:r w:rsidRPr="009F07FD">
        <w:t xml:space="preserve"> выявлен</w:t>
      </w:r>
      <w:r>
        <w:t>ия</w:t>
      </w:r>
      <w:r w:rsidRPr="009F07FD">
        <w:t xml:space="preserve"> расхождени</w:t>
      </w:r>
      <w:r>
        <w:t>й</w:t>
      </w:r>
      <w:r w:rsidRPr="009F07FD">
        <w:t xml:space="preserve"> между данными ПУР и ЕПБС</w:t>
      </w:r>
      <w:r>
        <w:t>.</w:t>
      </w:r>
    </w:p>
    <w:p w:rsidR="00F53F5A" w:rsidRPr="009C34D1" w:rsidRDefault="00F53F5A" w:rsidP="00F53F5A">
      <w:pPr>
        <w:pStyle w:val="42"/>
      </w:pPr>
      <w:r w:rsidRPr="009C34D1">
        <w:rPr>
          <w:szCs w:val="28"/>
        </w:rPr>
        <w:t>Представление «ТОФК».</w:t>
      </w:r>
    </w:p>
    <w:p w:rsidR="00F53F5A" w:rsidRPr="009C34D1" w:rsidRDefault="00F53F5A" w:rsidP="00F53F5A">
      <w:pPr>
        <w:pStyle w:val="af0"/>
      </w:pPr>
      <w:r w:rsidRPr="009C34D1">
        <w:t>Представление «ТОФК» отража</w:t>
      </w:r>
      <w:r>
        <w:t>е</w:t>
      </w:r>
      <w:r w:rsidRPr="009C34D1">
        <w:t xml:space="preserve">т сведения о количестве соглашений (договоров) о предоставлении субсидий, бюджетных инвестиций, межбюджетных трансфертов в ПУР и на ЕПБС, а также информацию о выявленных расхождениях между данными ПУР и ЕПБС. Сведения представлены в разрезе ТОФК. </w:t>
      </w:r>
    </w:p>
    <w:p w:rsidR="00F53F5A" w:rsidRPr="009C34D1" w:rsidRDefault="00F53F5A" w:rsidP="00F53F5A">
      <w:pPr>
        <w:pStyle w:val="af0"/>
      </w:pPr>
      <w:r w:rsidRPr="009C34D1">
        <w:t>Таблица содерж</w:t>
      </w:r>
      <w:r>
        <w:t>и</w:t>
      </w:r>
      <w:r w:rsidRPr="009C34D1">
        <w:t>т следующие столбцы:</w:t>
      </w:r>
    </w:p>
    <w:p w:rsidR="00F53F5A" w:rsidRPr="009C34D1" w:rsidRDefault="00F53F5A" w:rsidP="00DE1661">
      <w:pPr>
        <w:pStyle w:val="13"/>
        <w:rPr>
          <w:rFonts w:eastAsia="Calibri"/>
          <w:snapToGrid/>
          <w:lang w:eastAsia="en-US"/>
        </w:rPr>
      </w:pPr>
      <w:r w:rsidRPr="009C34D1">
        <w:rPr>
          <w:rFonts w:eastAsia="Calibri"/>
          <w:snapToGrid/>
          <w:lang w:eastAsia="en-US"/>
        </w:rPr>
        <w:t xml:space="preserve">ТОФК/ГРБС; </w:t>
      </w:r>
    </w:p>
    <w:p w:rsidR="00F53F5A" w:rsidRPr="009C34D1" w:rsidRDefault="00F53F5A" w:rsidP="00DE1661">
      <w:pPr>
        <w:pStyle w:val="13"/>
        <w:rPr>
          <w:rFonts w:eastAsia="Calibri"/>
          <w:snapToGrid/>
          <w:lang w:eastAsia="en-US"/>
        </w:rPr>
      </w:pPr>
      <w:r w:rsidRPr="009C34D1">
        <w:rPr>
          <w:rFonts w:eastAsia="Calibri"/>
          <w:snapToGrid/>
          <w:lang w:eastAsia="en-US"/>
        </w:rPr>
        <w:t>Всего соглашений (ПУР);</w:t>
      </w:r>
    </w:p>
    <w:p w:rsidR="00F53F5A" w:rsidRPr="009C34D1" w:rsidRDefault="00F53F5A" w:rsidP="00DE1661">
      <w:pPr>
        <w:pStyle w:val="13"/>
        <w:rPr>
          <w:rFonts w:eastAsia="Calibri"/>
          <w:snapToGrid/>
          <w:lang w:eastAsia="en-US"/>
        </w:rPr>
      </w:pPr>
      <w:r w:rsidRPr="009C34D1">
        <w:rPr>
          <w:rFonts w:eastAsia="Calibri"/>
          <w:snapToGrid/>
          <w:lang w:eastAsia="en-US"/>
        </w:rPr>
        <w:t>Всего соглашений (ЕПБС);</w:t>
      </w:r>
    </w:p>
    <w:p w:rsidR="00F53F5A" w:rsidRPr="009C34D1" w:rsidRDefault="00F53F5A" w:rsidP="00DE1661">
      <w:pPr>
        <w:pStyle w:val="13"/>
        <w:rPr>
          <w:rFonts w:eastAsia="Calibri"/>
          <w:snapToGrid/>
          <w:lang w:eastAsia="en-US"/>
        </w:rPr>
      </w:pPr>
      <w:r w:rsidRPr="009C34D1">
        <w:rPr>
          <w:rFonts w:eastAsia="Calibri"/>
          <w:snapToGrid/>
          <w:lang w:eastAsia="en-US"/>
        </w:rPr>
        <w:t>Количество соглашений в ПУР и на ЕПБС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Сумма соглашения в ПУР и на ЕПБС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Сумма соглашения ПУР и сумма БО ПУР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Перечисление ПУР и перечисление ЕПБС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Вложение на ЕПБС отсутствует;</w:t>
      </w:r>
    </w:p>
    <w:p w:rsidR="00F53F5A" w:rsidRPr="009C34D1" w:rsidRDefault="00F53F5A" w:rsidP="00DE1661">
      <w:pPr>
        <w:pStyle w:val="13"/>
        <w:rPr>
          <w:rFonts w:eastAsia="Calibri"/>
          <w:snapToGrid/>
          <w:lang w:eastAsia="en-US"/>
        </w:rPr>
      </w:pPr>
      <w:r w:rsidRPr="009C34D1">
        <w:rPr>
          <w:rFonts w:eastAsia="Calibri"/>
          <w:snapToGrid/>
          <w:lang w:val="en-US" w:eastAsia="en-US"/>
        </w:rPr>
        <w:t>GUID</w:t>
      </w:r>
      <w:r w:rsidRPr="009C34D1">
        <w:rPr>
          <w:rFonts w:eastAsia="Calibri"/>
          <w:snapToGrid/>
          <w:lang w:eastAsia="en-US"/>
        </w:rPr>
        <w:t xml:space="preserve"> документа на ЕПБС отсутствует;</w:t>
      </w:r>
    </w:p>
    <w:p w:rsidR="00F53F5A" w:rsidRPr="009C34D1" w:rsidRDefault="00F53F5A" w:rsidP="00DE1661">
      <w:pPr>
        <w:pStyle w:val="13"/>
        <w:rPr>
          <w:rFonts w:eastAsia="Calibri"/>
          <w:snapToGrid/>
          <w:lang w:eastAsia="en-US"/>
        </w:rPr>
      </w:pPr>
      <w:r w:rsidRPr="009C34D1">
        <w:rPr>
          <w:rFonts w:eastAsia="Calibri"/>
          <w:snapToGrid/>
          <w:lang w:eastAsia="en-US"/>
        </w:rPr>
        <w:t>Вложение в ПУР отсутствует;</w:t>
      </w:r>
    </w:p>
    <w:p w:rsidR="00F53F5A" w:rsidRPr="009C34D1" w:rsidRDefault="00F53F5A" w:rsidP="00DE1661">
      <w:pPr>
        <w:pStyle w:val="13"/>
        <w:rPr>
          <w:rFonts w:eastAsia="Calibri"/>
          <w:snapToGrid/>
          <w:lang w:eastAsia="en-US"/>
        </w:rPr>
      </w:pPr>
      <w:r w:rsidRPr="009C34D1">
        <w:rPr>
          <w:rFonts w:eastAsia="Calibri"/>
          <w:snapToGrid/>
          <w:lang w:eastAsia="en-US"/>
        </w:rPr>
        <w:t>Дублируются вложения на ЕПБС;</w:t>
      </w:r>
    </w:p>
    <w:p w:rsidR="00F53F5A" w:rsidRPr="009C34D1" w:rsidRDefault="00F53F5A" w:rsidP="00DE1661">
      <w:pPr>
        <w:pStyle w:val="13"/>
        <w:rPr>
          <w:rFonts w:eastAsia="Calibri"/>
          <w:snapToGrid/>
          <w:lang w:eastAsia="en-US"/>
        </w:rPr>
      </w:pPr>
      <w:r w:rsidRPr="009C34D1">
        <w:rPr>
          <w:rFonts w:eastAsia="Calibri"/>
          <w:snapToGrid/>
          <w:lang w:eastAsia="en-US"/>
        </w:rPr>
        <w:t>Тип вложения ПУР и на ЕПБС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 xml:space="preserve">Сумма соглашения </w:t>
      </w:r>
      <w:r w:rsidRPr="009C34D1">
        <w:t>по графику ЕПБС и сумма перечисления ЕПБС не совпадает</w:t>
      </w:r>
      <w:r w:rsidRPr="009C34D1">
        <w:rPr>
          <w:rFonts w:eastAsia="Calibri"/>
          <w:snapToGrid/>
          <w:lang w:eastAsia="en-US"/>
        </w:rPr>
        <w:t>,</w:t>
      </w:r>
    </w:p>
    <w:p w:rsidR="00F53F5A" w:rsidRPr="009C34D1" w:rsidRDefault="00F53F5A" w:rsidP="00DE1661">
      <w:pPr>
        <w:pStyle w:val="13"/>
        <w:rPr>
          <w:rFonts w:eastAsia="Calibri"/>
          <w:snapToGrid/>
          <w:lang w:eastAsia="en-US"/>
        </w:rPr>
      </w:pPr>
      <w:r w:rsidRPr="009C34D1">
        <w:rPr>
          <w:rFonts w:eastAsia="Calibri"/>
          <w:snapToGrid/>
          <w:lang w:eastAsia="en-US"/>
        </w:rPr>
        <w:t xml:space="preserve">Сумма соглашения </w:t>
      </w:r>
      <w:r w:rsidRPr="009C34D1">
        <w:t>по графику ПУР и сумма перечисления ПУР не совпадает</w:t>
      </w:r>
      <w:r w:rsidRPr="009C34D1">
        <w:rPr>
          <w:rFonts w:eastAsia="Calibri"/>
          <w:snapToGrid/>
          <w:lang w:eastAsia="en-US"/>
        </w:rPr>
        <w:t>,</w:t>
      </w:r>
    </w:p>
    <w:p w:rsidR="00F53F5A" w:rsidRPr="009C34D1" w:rsidRDefault="00F53F5A" w:rsidP="00DE1661">
      <w:pPr>
        <w:pStyle w:val="13"/>
        <w:rPr>
          <w:rFonts w:eastAsia="Calibri"/>
          <w:snapToGrid/>
          <w:lang w:eastAsia="en-US"/>
        </w:rPr>
      </w:pPr>
      <w:r w:rsidRPr="009C34D1">
        <w:t>Сумма БО по графику ПУР и сумма перечисления ПУР</w:t>
      </w:r>
      <w:r w:rsidRPr="009C34D1">
        <w:rPr>
          <w:rFonts w:eastAsia="Calibri"/>
          <w:snapToGrid/>
          <w:lang w:eastAsia="en-US"/>
        </w:rPr>
        <w:t xml:space="preserve">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Количество корректных соглашений,</w:t>
      </w:r>
    </w:p>
    <w:p w:rsidR="00F53F5A" w:rsidRPr="009C34D1" w:rsidRDefault="00F53F5A" w:rsidP="00DE1661">
      <w:pPr>
        <w:pStyle w:val="13"/>
        <w:rPr>
          <w:rFonts w:eastAsia="Calibri"/>
          <w:snapToGrid/>
          <w:lang w:eastAsia="en-US"/>
        </w:rPr>
      </w:pPr>
      <w:r w:rsidRPr="009C34D1">
        <w:rPr>
          <w:rFonts w:eastAsia="Calibri"/>
          <w:snapToGrid/>
          <w:lang w:eastAsia="en-US"/>
        </w:rPr>
        <w:t>Процент корректных соглашений.</w:t>
      </w:r>
    </w:p>
    <w:p w:rsidR="00F53F5A" w:rsidRPr="009C34D1" w:rsidRDefault="00F53F5A" w:rsidP="00F53F5A">
      <w:pPr>
        <w:pStyle w:val="af0"/>
        <w:spacing w:line="360" w:lineRule="auto"/>
        <w:rPr>
          <w:rFonts w:eastAsia="Calibri"/>
          <w:snapToGrid/>
          <w:color w:val="auto"/>
          <w:szCs w:val="28"/>
          <w:lang w:eastAsia="en-US"/>
        </w:rPr>
      </w:pPr>
      <w:r w:rsidRPr="009C34D1">
        <w:rPr>
          <w:rFonts w:eastAsia="Calibri"/>
          <w:snapToGrid/>
          <w:color w:val="auto"/>
          <w:szCs w:val="28"/>
          <w:lang w:eastAsia="en-US"/>
        </w:rPr>
        <w:t>В таблице представлена итоговая строка по каждому из атрибутов.</w:t>
      </w:r>
    </w:p>
    <w:p w:rsidR="00F53F5A" w:rsidRPr="00E91E07" w:rsidRDefault="00F53F5A" w:rsidP="00F53F5A">
      <w:pPr>
        <w:pStyle w:val="af0"/>
        <w:rPr>
          <w:rFonts w:eastAsia="Calibri"/>
          <w:snapToGrid/>
          <w:lang w:eastAsia="en-US"/>
        </w:rPr>
      </w:pPr>
      <w:r w:rsidRPr="00C11FC8">
        <w:rPr>
          <w:rFonts w:eastAsia="Calibri"/>
        </w:rPr>
        <w:t>Также</w:t>
      </w:r>
      <w:r w:rsidRPr="009C34D1">
        <w:rPr>
          <w:rFonts w:eastAsia="Calibri"/>
          <w:snapToGrid/>
          <w:lang w:eastAsia="en-US"/>
        </w:rPr>
        <w:t xml:space="preserve"> в представлении реализованы переходы в детализирующие представления</w:t>
      </w:r>
      <w:r>
        <w:rPr>
          <w:rFonts w:eastAsia="Calibri"/>
          <w:snapToGrid/>
          <w:lang w:eastAsia="en-US"/>
        </w:rPr>
        <w:t>. Для перехода необходимо нажать на ячейку по выбранному ТОФК (либо по ГРБС выбранного ТОФК) и по выбранной проблеме, выбрать представление для перехода. При переходе в детализирующее представление автоматически будут предустановлены фильтры по выбранным параметрам «ТОФК», «ГРБС» и «Показать проблемы»:</w:t>
      </w:r>
    </w:p>
    <w:p w:rsidR="00F53F5A" w:rsidRPr="009C34D1" w:rsidRDefault="00F53F5A" w:rsidP="00DE1661">
      <w:pPr>
        <w:pStyle w:val="13"/>
        <w:rPr>
          <w:rFonts w:eastAsia="Calibri"/>
          <w:snapToGrid/>
          <w:lang w:eastAsia="en-US"/>
        </w:rPr>
      </w:pPr>
      <w:r w:rsidRPr="009C34D1">
        <w:rPr>
          <w:rFonts w:eastAsia="Calibri"/>
          <w:snapToGrid/>
          <w:lang w:eastAsia="en-US"/>
        </w:rPr>
        <w:t>«Всего соглашений (ПУР)» → «По соглашениям», «ГРБС»;</w:t>
      </w:r>
    </w:p>
    <w:p w:rsidR="00F53F5A" w:rsidRPr="009C34D1" w:rsidRDefault="00F53F5A" w:rsidP="00DE1661">
      <w:pPr>
        <w:pStyle w:val="13"/>
        <w:rPr>
          <w:rFonts w:eastAsia="Calibri"/>
          <w:snapToGrid/>
          <w:szCs w:val="28"/>
          <w:lang w:eastAsia="en-US"/>
        </w:rPr>
      </w:pPr>
      <w:r w:rsidRPr="009C34D1">
        <w:t xml:space="preserve">«Количество соглашений в ПУР и на ЕПБС не совпадает» </w:t>
      </w:r>
      <w:r w:rsidRPr="009C34D1">
        <w:rPr>
          <w:rFonts w:eastAsia="Calibri"/>
          <w:snapToGrid/>
          <w:szCs w:val="28"/>
          <w:lang w:eastAsia="en-US"/>
        </w:rPr>
        <w:t>→ «По соглашениям»;</w:t>
      </w:r>
    </w:p>
    <w:p w:rsidR="00F53F5A" w:rsidRPr="009C34D1" w:rsidRDefault="00F53F5A" w:rsidP="00DE1661">
      <w:pPr>
        <w:pStyle w:val="13"/>
        <w:rPr>
          <w:rFonts w:eastAsia="Calibri"/>
          <w:snapToGrid/>
          <w:lang w:eastAsia="en-US"/>
        </w:rPr>
      </w:pPr>
      <w:r w:rsidRPr="009C34D1">
        <w:rPr>
          <w:rFonts w:eastAsia="Calibri"/>
          <w:snapToGrid/>
          <w:lang w:eastAsia="en-US"/>
        </w:rPr>
        <w:t>«Сумма соглашения в ПУР и на ЕПБС не совпадает» → «Детализация по соглашениям»;</w:t>
      </w:r>
    </w:p>
    <w:p w:rsidR="00F53F5A" w:rsidRPr="00782C18" w:rsidRDefault="00F53F5A" w:rsidP="00DE1661">
      <w:pPr>
        <w:pStyle w:val="13"/>
        <w:rPr>
          <w:rFonts w:eastAsia="Calibri"/>
          <w:snapToGrid/>
          <w:szCs w:val="28"/>
          <w:lang w:eastAsia="en-US"/>
        </w:rPr>
      </w:pPr>
      <w:r w:rsidRPr="00782C18">
        <w:rPr>
          <w:rFonts w:eastAsia="Calibri"/>
          <w:snapToGrid/>
          <w:lang w:eastAsia="en-US"/>
        </w:rPr>
        <w:t xml:space="preserve">«Сумма соглашения ПУР и Сумма БО ПУР не совпадает» → </w:t>
      </w:r>
      <w:r w:rsidRPr="00782C18">
        <w:rPr>
          <w:rFonts w:eastAsia="Calibri"/>
          <w:snapToGrid/>
          <w:szCs w:val="28"/>
          <w:lang w:eastAsia="en-US"/>
        </w:rPr>
        <w:t>«Детализация по соглашениям»;</w:t>
      </w:r>
    </w:p>
    <w:p w:rsidR="00F53F5A" w:rsidRPr="009C34D1" w:rsidRDefault="00F53F5A" w:rsidP="00DE1661">
      <w:pPr>
        <w:pStyle w:val="13"/>
        <w:rPr>
          <w:rFonts w:eastAsia="Calibri"/>
          <w:snapToGrid/>
          <w:lang w:eastAsia="en-US"/>
        </w:rPr>
      </w:pPr>
      <w:r w:rsidRPr="009C34D1">
        <w:rPr>
          <w:rFonts w:eastAsia="Calibri"/>
          <w:snapToGrid/>
          <w:lang w:eastAsia="en-US"/>
        </w:rPr>
        <w:t>«Перечисление ПУР и ЕПБС не совпадает» → «Расхождение в части кассового исполнения»;</w:t>
      </w:r>
    </w:p>
    <w:p w:rsidR="00F53F5A" w:rsidRPr="009C34D1" w:rsidRDefault="00F53F5A" w:rsidP="00DE1661">
      <w:pPr>
        <w:pStyle w:val="13"/>
        <w:rPr>
          <w:rFonts w:eastAsia="Calibri"/>
          <w:snapToGrid/>
          <w:lang w:eastAsia="en-US"/>
        </w:rPr>
      </w:pPr>
      <w:r w:rsidRPr="009C34D1">
        <w:rPr>
          <w:rFonts w:eastAsia="Calibri"/>
          <w:snapToGrid/>
          <w:lang w:eastAsia="en-US"/>
        </w:rPr>
        <w:t>«Вложения на ЕПБС отсутствует» → «Вложения по соглашениям»;</w:t>
      </w:r>
    </w:p>
    <w:p w:rsidR="00F53F5A" w:rsidRPr="009C34D1" w:rsidRDefault="00F53F5A" w:rsidP="00DE1661">
      <w:pPr>
        <w:pStyle w:val="13"/>
        <w:rPr>
          <w:rFonts w:eastAsia="Calibri"/>
          <w:snapToGrid/>
          <w:lang w:eastAsia="en-US"/>
        </w:rPr>
      </w:pPr>
      <w:r w:rsidRPr="009C34D1">
        <w:rPr>
          <w:rFonts w:eastAsia="Calibri"/>
          <w:snapToGrid/>
          <w:lang w:eastAsia="en-US"/>
        </w:rPr>
        <w:t>«</w:t>
      </w:r>
      <w:r w:rsidRPr="009C34D1">
        <w:rPr>
          <w:rFonts w:eastAsia="Calibri"/>
          <w:snapToGrid/>
          <w:lang w:val="en-US" w:eastAsia="en-US"/>
        </w:rPr>
        <w:t>GUID</w:t>
      </w:r>
      <w:r w:rsidRPr="009C34D1">
        <w:rPr>
          <w:rFonts w:eastAsia="Calibri"/>
          <w:snapToGrid/>
          <w:lang w:eastAsia="en-US"/>
        </w:rPr>
        <w:t xml:space="preserve"> документа на ЕПБС отсутствует» → «Вложения по соглашениям»;</w:t>
      </w:r>
    </w:p>
    <w:p w:rsidR="00F53F5A" w:rsidRPr="009C34D1" w:rsidRDefault="00F53F5A" w:rsidP="00DE1661">
      <w:pPr>
        <w:pStyle w:val="13"/>
        <w:rPr>
          <w:rFonts w:eastAsia="Calibri"/>
          <w:snapToGrid/>
          <w:lang w:eastAsia="en-US"/>
        </w:rPr>
      </w:pPr>
      <w:r w:rsidRPr="009C34D1">
        <w:rPr>
          <w:rFonts w:eastAsia="Calibri"/>
          <w:snapToGrid/>
          <w:lang w:eastAsia="en-US"/>
        </w:rPr>
        <w:t>«Вложение в ПУР отсутствует» → «Вложения по соглашениям»;</w:t>
      </w:r>
    </w:p>
    <w:p w:rsidR="00F53F5A" w:rsidRPr="009C34D1" w:rsidRDefault="00F53F5A" w:rsidP="00DE1661">
      <w:pPr>
        <w:pStyle w:val="13"/>
        <w:rPr>
          <w:rFonts w:eastAsia="Calibri"/>
          <w:snapToGrid/>
          <w:lang w:eastAsia="en-US"/>
        </w:rPr>
      </w:pPr>
      <w:r w:rsidRPr="009C34D1">
        <w:t>«Дублируются вложения на ЕПБС»</w:t>
      </w:r>
      <w:r w:rsidRPr="009C34D1">
        <w:rPr>
          <w:rFonts w:eastAsia="Calibri"/>
          <w:snapToGrid/>
          <w:lang w:eastAsia="en-US"/>
        </w:rPr>
        <w:t xml:space="preserve"> → «Вложения по соглашениям»;</w:t>
      </w:r>
    </w:p>
    <w:p w:rsidR="00F53F5A" w:rsidRPr="009C34D1" w:rsidRDefault="00F53F5A" w:rsidP="00DE1661">
      <w:pPr>
        <w:pStyle w:val="13"/>
      </w:pPr>
      <w:r>
        <w:rPr>
          <w:rFonts w:eastAsia="Calibri"/>
          <w:snapToGrid/>
          <w:lang w:eastAsia="en-US"/>
        </w:rPr>
        <w:t>-</w:t>
      </w:r>
      <w:r w:rsidRPr="009C34D1">
        <w:rPr>
          <w:rFonts w:eastAsia="Calibri"/>
          <w:snapToGrid/>
          <w:lang w:eastAsia="en-US"/>
        </w:rPr>
        <w:t>«Тип вложения в ПУР и на ЕПБС не совпадает» → «Вложения по соглашениям».</w:t>
      </w:r>
    </w:p>
    <w:p w:rsidR="00F53F5A" w:rsidRPr="009C34D1" w:rsidRDefault="00F53F5A" w:rsidP="00F53F5A">
      <w:pPr>
        <w:pStyle w:val="af0"/>
        <w:spacing w:line="360" w:lineRule="auto"/>
      </w:pPr>
      <w:r w:rsidRPr="009C34D1">
        <w:t>Фильтры представления:</w:t>
      </w:r>
    </w:p>
    <w:p w:rsidR="00F53F5A" w:rsidRPr="009C34D1" w:rsidRDefault="00F53F5A" w:rsidP="005C6E50">
      <w:pPr>
        <w:numPr>
          <w:ilvl w:val="0"/>
          <w:numId w:val="92"/>
        </w:numPr>
        <w:spacing w:line="360" w:lineRule="auto"/>
        <w:ind w:left="567" w:hanging="425"/>
        <w:rPr>
          <w:sz w:val="28"/>
          <w:szCs w:val="28"/>
        </w:rPr>
      </w:pPr>
      <w:r w:rsidRPr="009C34D1">
        <w:rPr>
          <w:iCs/>
          <w:sz w:val="28"/>
          <w:szCs w:val="28"/>
        </w:rPr>
        <w:t>Показать проблемы</w:t>
      </w:r>
      <w:r w:rsidRPr="009C34D1">
        <w:rPr>
          <w:sz w:val="28"/>
          <w:szCs w:val="28"/>
        </w:rPr>
        <w:t xml:space="preserve"> – выпадающий список с перечнем возможных проблем качества распространения данных реестра соглашений на ЕПБС:</w:t>
      </w:r>
    </w:p>
    <w:p w:rsidR="00F53F5A" w:rsidRPr="009C34D1" w:rsidRDefault="00F53F5A" w:rsidP="00DE1661">
      <w:pPr>
        <w:pStyle w:val="13"/>
      </w:pPr>
      <w:r w:rsidRPr="009C34D1">
        <w:t>Все;</w:t>
      </w:r>
    </w:p>
    <w:p w:rsidR="00F53F5A" w:rsidRPr="009C34D1" w:rsidRDefault="00F53F5A" w:rsidP="00DE1661">
      <w:pPr>
        <w:pStyle w:val="13"/>
      </w:pPr>
      <w:r w:rsidRPr="009C34D1">
        <w:t>Есть проблемы;</w:t>
      </w:r>
    </w:p>
    <w:p w:rsidR="00F53F5A" w:rsidRPr="009C34D1" w:rsidRDefault="00F53F5A" w:rsidP="00DE1661">
      <w:pPr>
        <w:pStyle w:val="13"/>
      </w:pPr>
      <w:r w:rsidRPr="009C34D1">
        <w:t>Нет проблем;</w:t>
      </w:r>
    </w:p>
    <w:p w:rsidR="00F53F5A" w:rsidRPr="009C34D1" w:rsidRDefault="00F53F5A" w:rsidP="00DE1661">
      <w:pPr>
        <w:pStyle w:val="13"/>
      </w:pPr>
      <w:r w:rsidRPr="009C34D1">
        <w:t>Не соответствует количество соглашений в ПУР и на ЕПБС;</w:t>
      </w:r>
    </w:p>
    <w:p w:rsidR="00F53F5A" w:rsidRPr="009C34D1" w:rsidRDefault="00F53F5A" w:rsidP="00DE1661">
      <w:pPr>
        <w:pStyle w:val="13"/>
      </w:pPr>
      <w:r w:rsidRPr="009C34D1">
        <w:t>Не соответствуют суммы соглашений в ПУР и на ЕПБС;</w:t>
      </w:r>
    </w:p>
    <w:p w:rsidR="00F53F5A" w:rsidRPr="009C34D1" w:rsidRDefault="00F53F5A" w:rsidP="00DE1661">
      <w:pPr>
        <w:pStyle w:val="13"/>
      </w:pPr>
      <w:r w:rsidRPr="009C34D1">
        <w:t>Не соответствуют суммы соглашений в ПУР и суммы БО;</w:t>
      </w:r>
    </w:p>
    <w:p w:rsidR="00F53F5A" w:rsidRPr="009C34D1" w:rsidRDefault="00F53F5A" w:rsidP="00DE1661">
      <w:pPr>
        <w:pStyle w:val="13"/>
      </w:pPr>
      <w:r w:rsidRPr="009C34D1">
        <w:t>Не соответствует перечисление в ПУР и на ЕПБС;</w:t>
      </w:r>
    </w:p>
    <w:p w:rsidR="00F53F5A" w:rsidRPr="009C34D1" w:rsidRDefault="00F53F5A" w:rsidP="00DE1661">
      <w:pPr>
        <w:pStyle w:val="13"/>
        <w:rPr>
          <w:rFonts w:eastAsia="Calibri"/>
          <w:snapToGrid/>
          <w:lang w:eastAsia="en-US"/>
        </w:rPr>
      </w:pPr>
      <w:r w:rsidRPr="009C34D1">
        <w:rPr>
          <w:rFonts w:eastAsia="Calibri"/>
          <w:snapToGrid/>
          <w:lang w:eastAsia="en-US"/>
        </w:rPr>
        <w:t>Отсутствует вложение на ЕПБС;</w:t>
      </w:r>
    </w:p>
    <w:p w:rsidR="00F53F5A" w:rsidRPr="009C34D1" w:rsidRDefault="00F53F5A" w:rsidP="00DE1661">
      <w:pPr>
        <w:pStyle w:val="13"/>
        <w:rPr>
          <w:rFonts w:eastAsia="Calibri"/>
          <w:snapToGrid/>
          <w:lang w:eastAsia="en-US"/>
        </w:rPr>
      </w:pPr>
      <w:r w:rsidRPr="009C34D1">
        <w:rPr>
          <w:rFonts w:eastAsia="Calibri"/>
          <w:snapToGrid/>
          <w:lang w:eastAsia="en-US"/>
        </w:rPr>
        <w:t xml:space="preserve">Отсутствует </w:t>
      </w:r>
      <w:r w:rsidRPr="009C34D1">
        <w:rPr>
          <w:rFonts w:eastAsia="Calibri"/>
          <w:snapToGrid/>
          <w:lang w:val="en-US" w:eastAsia="en-US"/>
        </w:rPr>
        <w:t>GUID</w:t>
      </w:r>
      <w:r w:rsidRPr="009C34D1">
        <w:rPr>
          <w:rFonts w:eastAsia="Calibri"/>
          <w:snapToGrid/>
          <w:lang w:eastAsia="en-US"/>
        </w:rPr>
        <w:t xml:space="preserve"> документа на ЕПБС;</w:t>
      </w:r>
    </w:p>
    <w:p w:rsidR="00F53F5A" w:rsidRPr="009C34D1" w:rsidRDefault="00F53F5A" w:rsidP="00DE1661">
      <w:pPr>
        <w:pStyle w:val="13"/>
        <w:rPr>
          <w:rFonts w:eastAsia="Calibri"/>
          <w:snapToGrid/>
          <w:lang w:eastAsia="en-US"/>
        </w:rPr>
      </w:pPr>
      <w:r w:rsidRPr="009C34D1">
        <w:rPr>
          <w:rFonts w:eastAsia="Calibri"/>
          <w:snapToGrid/>
          <w:lang w:eastAsia="en-US"/>
        </w:rPr>
        <w:t>Отсутствует вложение в ПУР;</w:t>
      </w:r>
    </w:p>
    <w:p w:rsidR="00F53F5A" w:rsidRPr="009C34D1" w:rsidRDefault="00F53F5A" w:rsidP="00DE1661">
      <w:pPr>
        <w:pStyle w:val="13"/>
        <w:rPr>
          <w:rFonts w:eastAsia="Calibri"/>
          <w:snapToGrid/>
          <w:lang w:eastAsia="en-US"/>
        </w:rPr>
      </w:pPr>
      <w:r w:rsidRPr="009C34D1">
        <w:rPr>
          <w:rFonts w:eastAsia="Calibri"/>
          <w:snapToGrid/>
          <w:lang w:eastAsia="en-US"/>
        </w:rPr>
        <w:t>Дублирование вложения на ЕПБС;</w:t>
      </w:r>
    </w:p>
    <w:p w:rsidR="00F53F5A" w:rsidRPr="009C34D1" w:rsidRDefault="00F53F5A" w:rsidP="00DE1661">
      <w:pPr>
        <w:pStyle w:val="13"/>
        <w:rPr>
          <w:rFonts w:eastAsia="Calibri"/>
          <w:snapToGrid/>
          <w:lang w:eastAsia="en-US"/>
        </w:rPr>
      </w:pPr>
      <w:r w:rsidRPr="009C34D1">
        <w:rPr>
          <w:rFonts w:eastAsia="Calibri"/>
          <w:snapToGrid/>
          <w:lang w:eastAsia="en-US"/>
        </w:rPr>
        <w:t>Не соответствует тип вложения в ПУР и на ЕПБС;</w:t>
      </w:r>
    </w:p>
    <w:p w:rsidR="00F53F5A" w:rsidRPr="009C34D1" w:rsidRDefault="00F53F5A" w:rsidP="00DE1661">
      <w:pPr>
        <w:pStyle w:val="13"/>
      </w:pPr>
      <w:r w:rsidRPr="009C34D1">
        <w:t>Не соответствует сумма соглашения по графику ЕПБС сумме перечисления ЕПБС;</w:t>
      </w:r>
    </w:p>
    <w:p w:rsidR="00F53F5A" w:rsidRPr="009C34D1" w:rsidRDefault="00F53F5A" w:rsidP="00DE1661">
      <w:pPr>
        <w:pStyle w:val="13"/>
      </w:pPr>
      <w:r w:rsidRPr="009C34D1">
        <w:t>Не соответствует сумма соглашения по графику ПУР сумме перечисления ПУР;</w:t>
      </w:r>
    </w:p>
    <w:p w:rsidR="00F53F5A" w:rsidRPr="009C34D1" w:rsidRDefault="00F53F5A" w:rsidP="00DE1661">
      <w:pPr>
        <w:pStyle w:val="13"/>
        <w:rPr>
          <w:rFonts w:eastAsia="Calibri"/>
          <w:snapToGrid/>
          <w:lang w:eastAsia="en-US"/>
        </w:rPr>
      </w:pPr>
      <w:r w:rsidRPr="009C34D1">
        <w:t>Не соответствует сумма БО по графику ПУР сумме перечисления ПУР</w:t>
      </w:r>
      <w:r>
        <w:t>;</w:t>
      </w:r>
    </w:p>
    <w:p w:rsidR="00F53F5A" w:rsidRPr="009C34D1" w:rsidRDefault="00F53F5A" w:rsidP="00DE1661">
      <w:pPr>
        <w:pStyle w:val="13"/>
        <w:rPr>
          <w:rFonts w:eastAsia="Calibri"/>
          <w:snapToGrid/>
          <w:lang w:eastAsia="en-US"/>
        </w:rPr>
      </w:pPr>
      <w:r w:rsidRPr="009C34D1">
        <w:rPr>
          <w:rFonts w:eastAsia="Calibri"/>
          <w:snapToGrid/>
          <w:lang w:eastAsia="en-US"/>
        </w:rPr>
        <w:t>Сумма соглашения по графику в ПУР и на ЕПБС не совпадает;</w:t>
      </w:r>
    </w:p>
    <w:p w:rsidR="00F53F5A" w:rsidRPr="009C34D1" w:rsidRDefault="00F53F5A" w:rsidP="00DE1661">
      <w:pPr>
        <w:pStyle w:val="13"/>
        <w:rPr>
          <w:rFonts w:eastAsia="Calibri"/>
          <w:snapToGrid/>
          <w:lang w:eastAsia="en-US"/>
        </w:rPr>
      </w:pPr>
      <w:r w:rsidRPr="009C34D1">
        <w:rPr>
          <w:rFonts w:eastAsia="Calibri"/>
          <w:snapToGrid/>
          <w:lang w:eastAsia="en-US"/>
        </w:rPr>
        <w:t>Сумма соглашения по графику ПУР и сумма БО по графику ПУР не совпадает;</w:t>
      </w:r>
    </w:p>
    <w:p w:rsidR="00F53F5A" w:rsidRPr="009C34D1" w:rsidRDefault="00F53F5A" w:rsidP="00DE1661">
      <w:pPr>
        <w:pStyle w:val="13"/>
      </w:pPr>
      <w:r w:rsidRPr="009C34D1">
        <w:rPr>
          <w:rFonts w:eastAsia="Calibri"/>
          <w:snapToGrid/>
          <w:lang w:eastAsia="en-US"/>
        </w:rPr>
        <w:t>Сумма соглашения по графику ЕПБС и сумма БО по графику ПУР не совпадает.</w:t>
      </w:r>
    </w:p>
    <w:p w:rsidR="00F53F5A" w:rsidRPr="009C34D1" w:rsidRDefault="00F53F5A" w:rsidP="005C6E50">
      <w:pPr>
        <w:numPr>
          <w:ilvl w:val="0"/>
          <w:numId w:val="92"/>
        </w:numPr>
        <w:spacing w:line="360" w:lineRule="auto"/>
        <w:ind w:left="567" w:hanging="425"/>
        <w:rPr>
          <w:sz w:val="28"/>
          <w:szCs w:val="28"/>
        </w:rPr>
      </w:pPr>
      <w:r w:rsidRPr="009C34D1">
        <w:rPr>
          <w:iCs/>
          <w:sz w:val="28"/>
          <w:szCs w:val="28"/>
        </w:rPr>
        <w:t>ТОФК</w:t>
      </w:r>
      <w:r w:rsidRPr="009C34D1">
        <w:rPr>
          <w:sz w:val="28"/>
          <w:szCs w:val="28"/>
        </w:rPr>
        <w:t xml:space="preserve"> – выпадающий список с перечнем территориальных органов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F53F5A" w:rsidRPr="009C34D1" w:rsidRDefault="00F53F5A" w:rsidP="005C6E50">
      <w:pPr>
        <w:numPr>
          <w:ilvl w:val="0"/>
          <w:numId w:val="92"/>
        </w:numPr>
        <w:spacing w:line="360" w:lineRule="auto"/>
        <w:ind w:left="567" w:hanging="425"/>
        <w:rPr>
          <w:sz w:val="28"/>
          <w:szCs w:val="28"/>
        </w:rPr>
      </w:pPr>
      <w:r w:rsidRPr="009C34D1">
        <w:rPr>
          <w:iCs/>
          <w:sz w:val="28"/>
          <w:szCs w:val="28"/>
        </w:rPr>
        <w:t>ГРБС</w:t>
      </w:r>
      <w:r w:rsidRPr="009C34D1">
        <w:rPr>
          <w:sz w:val="28"/>
          <w:szCs w:val="28"/>
        </w:rPr>
        <w:t xml:space="preserve"> – выпадающий список с перечнем ГРБС. В фильтре реализована возможность ввода кода и наименования ГРБС, а также множественный выбор параметров фильтрации. </w:t>
      </w:r>
    </w:p>
    <w:p w:rsidR="00F53F5A" w:rsidRPr="009C34D1" w:rsidRDefault="00F53F5A" w:rsidP="005C6E50">
      <w:pPr>
        <w:numPr>
          <w:ilvl w:val="0"/>
          <w:numId w:val="92"/>
        </w:numPr>
        <w:spacing w:line="360" w:lineRule="auto"/>
        <w:ind w:left="567" w:hanging="425"/>
        <w:rPr>
          <w:sz w:val="28"/>
          <w:szCs w:val="28"/>
        </w:rPr>
      </w:pPr>
      <w:r w:rsidRPr="009C34D1">
        <w:rPr>
          <w:iCs/>
          <w:sz w:val="28"/>
          <w:szCs w:val="28"/>
        </w:rPr>
        <w:t>Дата заключения</w:t>
      </w:r>
      <w:r w:rsidRPr="009C34D1">
        <w:rPr>
          <w:sz w:val="28"/>
          <w:szCs w:val="28"/>
        </w:rPr>
        <w:t xml:space="preserve"> (параметр имеет два поля ввода, которые позволяют выбрать интервал дат заключения соглашений С: ДД.ММ.ГГГГ По: ДД.ММ.ГГГГ).</w:t>
      </w:r>
    </w:p>
    <w:p w:rsidR="00F53F5A" w:rsidRPr="009C34D1" w:rsidRDefault="00F53F5A" w:rsidP="005C6E50">
      <w:pPr>
        <w:numPr>
          <w:ilvl w:val="0"/>
          <w:numId w:val="92"/>
        </w:numPr>
        <w:spacing w:line="360" w:lineRule="auto"/>
        <w:ind w:left="567" w:hanging="425"/>
        <w:rPr>
          <w:sz w:val="28"/>
          <w:szCs w:val="28"/>
        </w:rPr>
      </w:pPr>
      <w:r w:rsidRPr="009C34D1">
        <w:rPr>
          <w:iCs/>
          <w:sz w:val="28"/>
          <w:szCs w:val="28"/>
        </w:rPr>
        <w:t>Год по сроку действия соглашения</w:t>
      </w:r>
      <w:r w:rsidRPr="009C34D1">
        <w:rPr>
          <w:sz w:val="28"/>
          <w:szCs w:val="28"/>
        </w:rPr>
        <w:t xml:space="preserve"> – отображает соглашения, которые попадают в интервал между датами начала и окончания действия соглашения, включая крайние границы.</w:t>
      </w:r>
    </w:p>
    <w:p w:rsidR="00F53F5A" w:rsidRPr="009C34D1" w:rsidRDefault="00F53F5A" w:rsidP="005C6E50">
      <w:pPr>
        <w:numPr>
          <w:ilvl w:val="0"/>
          <w:numId w:val="94"/>
        </w:numPr>
        <w:spacing w:line="360" w:lineRule="auto"/>
        <w:ind w:left="142" w:firstLine="0"/>
        <w:rPr>
          <w:sz w:val="28"/>
          <w:szCs w:val="28"/>
        </w:rPr>
      </w:pPr>
      <w:r w:rsidRPr="009C34D1">
        <w:rPr>
          <w:iCs/>
          <w:sz w:val="28"/>
          <w:szCs w:val="28"/>
        </w:rPr>
        <w:t>Сумма соглашения</w:t>
      </w:r>
      <w:r w:rsidRPr="009C34D1">
        <w:rPr>
          <w:sz w:val="28"/>
          <w:szCs w:val="28"/>
        </w:rPr>
        <w:t xml:space="preserve"> (параметр имеет два поля ввода, которые позволяют выбрать интервал значений От и До). В фильтре вводятся значения в руб.</w:t>
      </w:r>
    </w:p>
    <w:p w:rsidR="00F53F5A" w:rsidRPr="009C34D1" w:rsidRDefault="00F53F5A" w:rsidP="005C6E50">
      <w:pPr>
        <w:numPr>
          <w:ilvl w:val="0"/>
          <w:numId w:val="93"/>
        </w:numPr>
        <w:spacing w:line="360" w:lineRule="auto"/>
        <w:ind w:left="142" w:firstLine="0"/>
        <w:rPr>
          <w:sz w:val="28"/>
          <w:szCs w:val="28"/>
        </w:rPr>
      </w:pPr>
      <w:r w:rsidRPr="009C34D1">
        <w:rPr>
          <w:iCs/>
          <w:sz w:val="28"/>
          <w:szCs w:val="28"/>
        </w:rPr>
        <w:t xml:space="preserve">Год </w:t>
      </w:r>
      <w:r>
        <w:rPr>
          <w:iCs/>
          <w:sz w:val="28"/>
          <w:szCs w:val="28"/>
        </w:rPr>
        <w:t xml:space="preserve"> последнего изменения</w:t>
      </w:r>
      <w:r w:rsidRPr="009C34D1">
        <w:rPr>
          <w:iCs/>
          <w:sz w:val="28"/>
          <w:szCs w:val="28"/>
        </w:rPr>
        <w:t xml:space="preserve"> БО </w:t>
      </w:r>
      <w:r w:rsidRPr="009C34D1">
        <w:rPr>
          <w:sz w:val="28"/>
          <w:szCs w:val="28"/>
        </w:rPr>
        <w:t>–</w:t>
      </w:r>
      <w:r w:rsidR="0043058C" w:rsidRPr="0043058C">
        <w:rPr>
          <w:sz w:val="28"/>
          <w:szCs w:val="28"/>
        </w:rPr>
        <w:t xml:space="preserve"> </w:t>
      </w:r>
      <w:r w:rsidRPr="009C34D1">
        <w:rPr>
          <w:sz w:val="28"/>
          <w:szCs w:val="28"/>
        </w:rPr>
        <w:t>год, в котором были внесены</w:t>
      </w:r>
      <w:r>
        <w:rPr>
          <w:sz w:val="28"/>
          <w:szCs w:val="28"/>
        </w:rPr>
        <w:t xml:space="preserve"> последние</w:t>
      </w:r>
      <w:r w:rsidRPr="009C34D1">
        <w:rPr>
          <w:sz w:val="28"/>
          <w:szCs w:val="28"/>
        </w:rPr>
        <w:t xml:space="preserve"> изменения в БО</w:t>
      </w:r>
      <w:r>
        <w:rPr>
          <w:sz w:val="28"/>
          <w:szCs w:val="28"/>
        </w:rPr>
        <w:t xml:space="preserve"> (год актуализации БО</w:t>
      </w:r>
      <w:r w:rsidRPr="009C34D1">
        <w:rPr>
          <w:sz w:val="28"/>
          <w:szCs w:val="28"/>
        </w:rPr>
        <w:t>).</w:t>
      </w:r>
      <w:r>
        <w:rPr>
          <w:sz w:val="28"/>
          <w:szCs w:val="28"/>
        </w:rPr>
        <w:t xml:space="preserve"> </w:t>
      </w:r>
    </w:p>
    <w:p w:rsidR="00782C18" w:rsidRPr="00782C18" w:rsidRDefault="00F53F5A" w:rsidP="00DE1661">
      <w:pPr>
        <w:pStyle w:val="13"/>
      </w:pPr>
      <w:r w:rsidRPr="009C34D1">
        <w:rPr>
          <w:iCs/>
        </w:rPr>
        <w:t>КБК</w:t>
      </w:r>
      <w:r w:rsidRPr="009C34D1">
        <w:t xml:space="preserve">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Реализован контекстный поиск.</w:t>
      </w:r>
    </w:p>
    <w:p w:rsidR="00782C18" w:rsidRPr="00782C18" w:rsidRDefault="00782C18" w:rsidP="00DE1661">
      <w:pPr>
        <w:pStyle w:val="13"/>
      </w:pPr>
      <w:r w:rsidRPr="00782C18">
        <w:t xml:space="preserve">Макет отчета представлен на рисунке </w:t>
      </w:r>
      <w:r>
        <w:rPr>
          <w:lang w:val="en-US"/>
        </w:rPr>
        <w:fldChar w:fldCharType="begin"/>
      </w:r>
      <w:r w:rsidRPr="00782C18">
        <w:instrText xml:space="preserve"> </w:instrText>
      </w:r>
      <w:r>
        <w:rPr>
          <w:lang w:val="en-US"/>
        </w:rPr>
        <w:instrText>REF</w:instrText>
      </w:r>
      <w:r w:rsidRPr="00782C18">
        <w:instrText xml:space="preserve"> _</w:instrText>
      </w:r>
      <w:r>
        <w:rPr>
          <w:lang w:val="en-US"/>
        </w:rPr>
        <w:instrText>Ref</w:instrText>
      </w:r>
      <w:r w:rsidRPr="00782C18">
        <w:instrText>70063384 \</w:instrText>
      </w:r>
      <w:r>
        <w:rPr>
          <w:lang w:val="en-US"/>
        </w:rPr>
        <w:instrText>h</w:instrText>
      </w:r>
      <w:r w:rsidRPr="00782C18">
        <w:instrText xml:space="preserve"> </w:instrText>
      </w:r>
      <w:r>
        <w:rPr>
          <w:lang w:val="en-US"/>
        </w:rPr>
      </w:r>
      <w:r>
        <w:rPr>
          <w:lang w:val="en-US"/>
        </w:rPr>
        <w:fldChar w:fldCharType="separate"/>
      </w:r>
      <w:r w:rsidR="00BF0BEE" w:rsidRPr="00132BBD">
        <w:rPr>
          <w:noProof/>
        </w:rPr>
        <w:t>201</w:t>
      </w:r>
      <w:r>
        <w:rPr>
          <w:lang w:val="en-US"/>
        </w:rPr>
        <w:fldChar w:fldCharType="end"/>
      </w:r>
      <w:r>
        <w:t>.</w:t>
      </w:r>
    </w:p>
    <w:p w:rsidR="00782C18" w:rsidRDefault="00782C18" w:rsidP="00321FCA">
      <w:pPr>
        <w:pStyle w:val="afffff7"/>
      </w:pPr>
      <w:r>
        <w:rPr>
          <w:noProof/>
          <w:lang w:eastAsia="ru-RU"/>
        </w:rPr>
        <w:drawing>
          <wp:inline distT="0" distB="0" distL="0" distR="0" wp14:anchorId="22F6863F" wp14:editId="6688E385">
            <wp:extent cx="5939790" cy="2888054"/>
            <wp:effectExtent l="0" t="0" r="3810" b="762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5939790" cy="2888054"/>
                    </a:xfrm>
                    <a:prstGeom prst="rect">
                      <a:avLst/>
                    </a:prstGeom>
                  </pic:spPr>
                </pic:pic>
              </a:graphicData>
            </a:graphic>
          </wp:inline>
        </w:drawing>
      </w:r>
    </w:p>
    <w:p w:rsidR="00782C18" w:rsidRPr="00782C18" w:rsidRDefault="00782C18" w:rsidP="00782C18">
      <w:pPr>
        <w:pStyle w:val="-0"/>
      </w:pPr>
      <w:bookmarkStart w:id="810" w:name="_Toc119584388"/>
      <w:r>
        <w:t xml:space="preserve">Рисунок </w:t>
      </w:r>
      <w:r>
        <w:rPr>
          <w:lang w:val="en-US"/>
        </w:rPr>
        <w:fldChar w:fldCharType="begin"/>
      </w:r>
      <w:r w:rsidRPr="00782C18">
        <w:instrText xml:space="preserve"> </w:instrText>
      </w:r>
      <w:r>
        <w:rPr>
          <w:lang w:val="en-US"/>
        </w:rPr>
        <w:instrText>SEQ</w:instrText>
      </w:r>
      <w:r w:rsidRPr="00782C18">
        <w:instrText xml:space="preserve"> Рисунок \* </w:instrText>
      </w:r>
      <w:r>
        <w:rPr>
          <w:lang w:val="en-US"/>
        </w:rPr>
        <w:instrText>ARABIC</w:instrText>
      </w:r>
      <w:r w:rsidRPr="00782C18">
        <w:instrText xml:space="preserve"> </w:instrText>
      </w:r>
      <w:r>
        <w:rPr>
          <w:lang w:val="en-US"/>
        </w:rPr>
        <w:fldChar w:fldCharType="separate"/>
      </w:r>
      <w:bookmarkStart w:id="811" w:name="_Ref70063384"/>
      <w:r w:rsidR="001860A9" w:rsidRPr="001860A9">
        <w:rPr>
          <w:noProof/>
        </w:rPr>
        <w:t>201</w:t>
      </w:r>
      <w:bookmarkEnd w:id="811"/>
      <w:r>
        <w:rPr>
          <w:lang w:val="en-US"/>
        </w:rPr>
        <w:fldChar w:fldCharType="end"/>
      </w:r>
      <w:r>
        <w:t xml:space="preserve"> –</w:t>
      </w:r>
      <w:r w:rsidRPr="009C34D1">
        <w:t xml:space="preserve"> </w:t>
      </w:r>
      <w:r w:rsidR="00EC0707">
        <w:t>Макет о</w:t>
      </w:r>
      <w:r w:rsidRPr="009C34D1">
        <w:t>тчет</w:t>
      </w:r>
      <w:r w:rsidR="00EC0707">
        <w:t>а</w:t>
      </w:r>
      <w:r w:rsidRPr="009C34D1">
        <w:t xml:space="preserve"> «</w:t>
      </w:r>
      <w:r w:rsidRPr="009C34D1">
        <w:rPr>
          <w:shd w:val="clear" w:color="auto" w:fill="FFFFFF"/>
        </w:rPr>
        <w:t>Мониторинг качества распространения данных реестра соглашений на ЕПБС</w:t>
      </w:r>
      <w:r w:rsidRPr="009C34D1">
        <w:t>». Представление «ТОФК».</w:t>
      </w:r>
      <w:bookmarkEnd w:id="810"/>
    </w:p>
    <w:p w:rsidR="00157471" w:rsidRDefault="00157471" w:rsidP="00F53F5A">
      <w:pPr>
        <w:pStyle w:val="42"/>
      </w:pPr>
      <w:r w:rsidRPr="00C501ED">
        <w:t xml:space="preserve">Представление </w:t>
      </w:r>
      <w:r>
        <w:t>«ГРБС»</w:t>
      </w:r>
    </w:p>
    <w:p w:rsidR="00782C18" w:rsidRPr="009C34D1" w:rsidRDefault="00782C18" w:rsidP="00782C18">
      <w:pPr>
        <w:pStyle w:val="af0"/>
      </w:pPr>
      <w:bookmarkStart w:id="812" w:name="_Toc40864460"/>
      <w:bookmarkStart w:id="813" w:name="_Toc41637826"/>
      <w:r w:rsidRPr="009C34D1">
        <w:t>Представление «ГРБС» отража</w:t>
      </w:r>
      <w:r w:rsidR="00063616">
        <w:t>е</w:t>
      </w:r>
      <w:r w:rsidRPr="009C34D1">
        <w:t>т сведения о количестве соглашений (договоров) о предоставлении субсидий, бюджетных инвестиций, межбюджетных трансфертов в ПУР и на ЕПБС, а также информацию о выявленных расхождениях между данными ПУР и ЕПБС. Сведения представлены в разрезе ГРБС.</w:t>
      </w:r>
      <w:bookmarkEnd w:id="812"/>
    </w:p>
    <w:p w:rsidR="00782C18" w:rsidRPr="009C34D1" w:rsidRDefault="00782C18" w:rsidP="00782C18">
      <w:pPr>
        <w:pStyle w:val="af0"/>
      </w:pPr>
      <w:r w:rsidRPr="009C34D1">
        <w:t>Таблица содержат следующие столбцы:</w:t>
      </w:r>
    </w:p>
    <w:p w:rsidR="00782C18" w:rsidRPr="009C34D1" w:rsidRDefault="00782C18" w:rsidP="00DE1661">
      <w:pPr>
        <w:pStyle w:val="13"/>
        <w:rPr>
          <w:rFonts w:eastAsia="Calibri"/>
          <w:snapToGrid/>
          <w:lang w:eastAsia="en-US"/>
        </w:rPr>
      </w:pPr>
      <w:r>
        <w:rPr>
          <w:rFonts w:eastAsia="Calibri"/>
          <w:snapToGrid/>
          <w:lang w:eastAsia="en-US"/>
        </w:rPr>
        <w:t>ГРБС</w:t>
      </w:r>
      <w:r w:rsidRPr="009C34D1">
        <w:rPr>
          <w:rFonts w:eastAsia="Calibri"/>
          <w:snapToGrid/>
          <w:lang w:eastAsia="en-US"/>
        </w:rPr>
        <w:t>/</w:t>
      </w:r>
      <w:r>
        <w:rPr>
          <w:rFonts w:eastAsia="Calibri"/>
          <w:snapToGrid/>
          <w:lang w:eastAsia="en-US"/>
        </w:rPr>
        <w:t>ТОФК</w:t>
      </w:r>
      <w:r w:rsidRPr="009C34D1">
        <w:rPr>
          <w:rFonts w:eastAsia="Calibri"/>
          <w:snapToGrid/>
          <w:lang w:eastAsia="en-US"/>
        </w:rPr>
        <w:t xml:space="preserve">; </w:t>
      </w:r>
    </w:p>
    <w:p w:rsidR="00782C18" w:rsidRPr="009C34D1" w:rsidRDefault="00782C18" w:rsidP="00DE1661">
      <w:pPr>
        <w:pStyle w:val="13"/>
        <w:rPr>
          <w:rFonts w:eastAsia="Calibri"/>
          <w:snapToGrid/>
          <w:lang w:eastAsia="en-US"/>
        </w:rPr>
      </w:pPr>
      <w:r w:rsidRPr="009C34D1">
        <w:rPr>
          <w:rFonts w:eastAsia="Calibri"/>
          <w:snapToGrid/>
          <w:lang w:eastAsia="en-US"/>
        </w:rPr>
        <w:t>Всего соглашений (ПУР);</w:t>
      </w:r>
    </w:p>
    <w:p w:rsidR="00782C18" w:rsidRPr="009C34D1" w:rsidRDefault="00782C18" w:rsidP="00DE1661">
      <w:pPr>
        <w:pStyle w:val="13"/>
        <w:rPr>
          <w:rFonts w:eastAsia="Calibri"/>
          <w:snapToGrid/>
          <w:lang w:eastAsia="en-US"/>
        </w:rPr>
      </w:pPr>
      <w:r w:rsidRPr="009C34D1">
        <w:rPr>
          <w:rFonts w:eastAsia="Calibri"/>
          <w:snapToGrid/>
          <w:lang w:eastAsia="en-US"/>
        </w:rPr>
        <w:t>Всего соглашений (ЕПБС);</w:t>
      </w:r>
    </w:p>
    <w:p w:rsidR="00782C18" w:rsidRPr="009C34D1" w:rsidRDefault="00782C18" w:rsidP="00DE1661">
      <w:pPr>
        <w:pStyle w:val="13"/>
        <w:rPr>
          <w:rFonts w:eastAsia="Calibri"/>
          <w:snapToGrid/>
          <w:lang w:eastAsia="en-US"/>
        </w:rPr>
      </w:pPr>
      <w:r w:rsidRPr="009C34D1">
        <w:rPr>
          <w:rFonts w:eastAsia="Calibri"/>
          <w:snapToGrid/>
          <w:lang w:eastAsia="en-US"/>
        </w:rPr>
        <w:t>Количество соглашений в ПУР и на ЕПБС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в ПУР и на ЕПБС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ПУР и сумма БО ПУР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Перечисление ПУР и перечисление ЕПБС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Вложение на ЕПБС отсутствует;</w:t>
      </w:r>
    </w:p>
    <w:p w:rsidR="00782C18" w:rsidRPr="009C34D1" w:rsidRDefault="00782C18" w:rsidP="00DE1661">
      <w:pPr>
        <w:pStyle w:val="13"/>
        <w:rPr>
          <w:rFonts w:eastAsia="Calibri"/>
          <w:snapToGrid/>
          <w:lang w:eastAsia="en-US"/>
        </w:rPr>
      </w:pPr>
      <w:r w:rsidRPr="009C34D1">
        <w:rPr>
          <w:rFonts w:eastAsia="Calibri"/>
          <w:snapToGrid/>
          <w:lang w:val="en-US" w:eastAsia="en-US"/>
        </w:rPr>
        <w:t>GUID</w:t>
      </w:r>
      <w:r w:rsidRPr="009C34D1">
        <w:rPr>
          <w:rFonts w:eastAsia="Calibri"/>
          <w:snapToGrid/>
          <w:lang w:eastAsia="en-US"/>
        </w:rPr>
        <w:t xml:space="preserve"> документа на ЕПБС отсутствует;</w:t>
      </w:r>
    </w:p>
    <w:p w:rsidR="00782C18" w:rsidRPr="009C34D1" w:rsidRDefault="00782C18" w:rsidP="00DE1661">
      <w:pPr>
        <w:pStyle w:val="13"/>
        <w:rPr>
          <w:rFonts w:eastAsia="Calibri"/>
          <w:snapToGrid/>
          <w:lang w:eastAsia="en-US"/>
        </w:rPr>
      </w:pPr>
      <w:r w:rsidRPr="009C34D1">
        <w:rPr>
          <w:rFonts w:eastAsia="Calibri"/>
          <w:snapToGrid/>
          <w:lang w:eastAsia="en-US"/>
        </w:rPr>
        <w:t>Вложение в ПУР отсутствует;</w:t>
      </w:r>
    </w:p>
    <w:p w:rsidR="00782C18" w:rsidRPr="009C34D1" w:rsidRDefault="00782C18" w:rsidP="00DE1661">
      <w:pPr>
        <w:pStyle w:val="13"/>
        <w:rPr>
          <w:rFonts w:eastAsia="Calibri"/>
          <w:snapToGrid/>
          <w:lang w:eastAsia="en-US"/>
        </w:rPr>
      </w:pPr>
      <w:r w:rsidRPr="009C34D1">
        <w:rPr>
          <w:rFonts w:eastAsia="Calibri"/>
          <w:snapToGrid/>
          <w:lang w:eastAsia="en-US"/>
        </w:rPr>
        <w:t>Дублируются вложения на ЕПБС;</w:t>
      </w:r>
    </w:p>
    <w:p w:rsidR="00782C18" w:rsidRPr="009C34D1" w:rsidRDefault="00782C18" w:rsidP="00DE1661">
      <w:pPr>
        <w:pStyle w:val="13"/>
        <w:rPr>
          <w:rFonts w:eastAsia="Calibri"/>
          <w:snapToGrid/>
          <w:lang w:eastAsia="en-US"/>
        </w:rPr>
      </w:pPr>
      <w:r w:rsidRPr="009C34D1">
        <w:rPr>
          <w:rFonts w:eastAsia="Calibri"/>
          <w:snapToGrid/>
          <w:lang w:eastAsia="en-US"/>
        </w:rPr>
        <w:t>Тип вложения ПУР и на ЕПБС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 xml:space="preserve">Сумма соглашения </w:t>
      </w:r>
      <w:r w:rsidRPr="009C34D1">
        <w:t>по графику ЕПБС и сумма перечисления ЕПБС не совпадает</w:t>
      </w:r>
      <w:r w:rsidRPr="009C34D1">
        <w:rPr>
          <w:rFonts w:eastAsia="Calibri"/>
          <w:snapToGrid/>
          <w:lang w:eastAsia="en-US"/>
        </w:rPr>
        <w:t>,</w:t>
      </w:r>
    </w:p>
    <w:p w:rsidR="00782C18" w:rsidRPr="009C34D1" w:rsidRDefault="00782C18" w:rsidP="00DE1661">
      <w:pPr>
        <w:pStyle w:val="13"/>
        <w:rPr>
          <w:rFonts w:eastAsia="Calibri"/>
          <w:snapToGrid/>
          <w:lang w:eastAsia="en-US"/>
        </w:rPr>
      </w:pPr>
      <w:r w:rsidRPr="009C34D1">
        <w:rPr>
          <w:rFonts w:eastAsia="Calibri"/>
          <w:snapToGrid/>
          <w:lang w:eastAsia="en-US"/>
        </w:rPr>
        <w:t xml:space="preserve">Сумма соглашения </w:t>
      </w:r>
      <w:r w:rsidRPr="009C34D1">
        <w:t>по графику ПУР и сумма перечисления ПУР не совпадает</w:t>
      </w:r>
      <w:r w:rsidRPr="009C34D1">
        <w:rPr>
          <w:rFonts w:eastAsia="Calibri"/>
          <w:snapToGrid/>
          <w:lang w:eastAsia="en-US"/>
        </w:rPr>
        <w:t>,</w:t>
      </w:r>
    </w:p>
    <w:p w:rsidR="00782C18" w:rsidRPr="009C34D1" w:rsidRDefault="00782C18" w:rsidP="00DE1661">
      <w:pPr>
        <w:pStyle w:val="13"/>
        <w:rPr>
          <w:rFonts w:eastAsia="Calibri"/>
          <w:snapToGrid/>
          <w:lang w:eastAsia="en-US"/>
        </w:rPr>
      </w:pPr>
      <w:r w:rsidRPr="009C34D1">
        <w:t>Сумма БО по графику ПУР и сумма перечисления ПУР</w:t>
      </w:r>
      <w:r w:rsidRPr="009C34D1">
        <w:rPr>
          <w:rFonts w:eastAsia="Calibri"/>
          <w:snapToGrid/>
          <w:lang w:eastAsia="en-US"/>
        </w:rPr>
        <w:t xml:space="preserve">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Количество корректных соглашений,</w:t>
      </w:r>
    </w:p>
    <w:p w:rsidR="00782C18" w:rsidRPr="009C34D1" w:rsidRDefault="00782C18" w:rsidP="00DE1661">
      <w:pPr>
        <w:pStyle w:val="13"/>
        <w:rPr>
          <w:rFonts w:eastAsia="Calibri"/>
          <w:snapToGrid/>
          <w:lang w:eastAsia="en-US"/>
        </w:rPr>
      </w:pPr>
      <w:r w:rsidRPr="009C34D1">
        <w:rPr>
          <w:rFonts w:eastAsia="Calibri"/>
          <w:snapToGrid/>
          <w:lang w:eastAsia="en-US"/>
        </w:rPr>
        <w:t>Процент корректных соглашений.</w:t>
      </w:r>
    </w:p>
    <w:p w:rsidR="00782C18" w:rsidRPr="009C34D1" w:rsidRDefault="00782C18" w:rsidP="00782C18">
      <w:pPr>
        <w:pStyle w:val="af0"/>
        <w:rPr>
          <w:rFonts w:eastAsia="Calibri"/>
          <w:snapToGrid/>
          <w:lang w:eastAsia="en-US"/>
        </w:rPr>
      </w:pPr>
      <w:r w:rsidRPr="009C34D1">
        <w:rPr>
          <w:rFonts w:eastAsia="Calibri"/>
          <w:snapToGrid/>
          <w:lang w:eastAsia="en-US"/>
        </w:rPr>
        <w:t xml:space="preserve">В таблице представлена </w:t>
      </w:r>
      <w:r w:rsidRPr="008C5190">
        <w:rPr>
          <w:rFonts w:eastAsia="Calibri"/>
        </w:rPr>
        <w:t>итоговая</w:t>
      </w:r>
      <w:r w:rsidRPr="009C34D1">
        <w:rPr>
          <w:rFonts w:eastAsia="Calibri"/>
          <w:snapToGrid/>
          <w:lang w:eastAsia="en-US"/>
        </w:rPr>
        <w:t xml:space="preserve"> строка по каждому из атрибутов.</w:t>
      </w:r>
    </w:p>
    <w:p w:rsidR="00782C18" w:rsidRPr="009C34D1" w:rsidRDefault="00782C18" w:rsidP="00782C18">
      <w:pPr>
        <w:pStyle w:val="af0"/>
        <w:rPr>
          <w:rFonts w:eastAsia="Calibri"/>
          <w:snapToGrid/>
          <w:lang w:eastAsia="en-US"/>
        </w:rPr>
      </w:pPr>
      <w:r w:rsidRPr="009C34D1">
        <w:rPr>
          <w:rFonts w:eastAsia="Calibri"/>
          <w:snapToGrid/>
          <w:lang w:eastAsia="en-US"/>
        </w:rPr>
        <w:t>Также в представлении реализованы переходы в детализирующие представления</w:t>
      </w:r>
      <w:r>
        <w:rPr>
          <w:rFonts w:eastAsia="Calibri"/>
          <w:snapToGrid/>
          <w:lang w:eastAsia="en-US"/>
        </w:rPr>
        <w:t>. Для перехода необходимо нажать на ячейку по выбранному ГРБС (либо по ТОФК выбранного ГРБС) и по выбранной проблеме, выбрать представление для перехода. При переходе в детализирующее представление автоматически будут предустановлены фильтры по выбранным параметрам «ТОФК», «ГРБС» и «Показать проблемы»:</w:t>
      </w:r>
      <w:r w:rsidRPr="009C34D1">
        <w:rPr>
          <w:rFonts w:eastAsia="Calibri"/>
          <w:snapToGrid/>
          <w:lang w:eastAsia="en-US"/>
        </w:rPr>
        <w:t xml:space="preserve"> </w:t>
      </w:r>
    </w:p>
    <w:p w:rsidR="00782C18" w:rsidRPr="009C34D1" w:rsidRDefault="00782C18" w:rsidP="00DE1661">
      <w:pPr>
        <w:pStyle w:val="13"/>
        <w:rPr>
          <w:rFonts w:eastAsia="Calibri"/>
          <w:snapToGrid/>
          <w:lang w:eastAsia="en-US"/>
        </w:rPr>
      </w:pPr>
      <w:r w:rsidRPr="009C34D1">
        <w:rPr>
          <w:rFonts w:eastAsia="Calibri"/>
          <w:snapToGrid/>
          <w:lang w:eastAsia="en-US"/>
        </w:rPr>
        <w:t>«Всего соглашений (ПУР)» → «По соглашениям», «ГРБС»;</w:t>
      </w:r>
    </w:p>
    <w:p w:rsidR="00782C18" w:rsidRPr="009C34D1" w:rsidRDefault="00782C18" w:rsidP="00DE1661">
      <w:pPr>
        <w:pStyle w:val="13"/>
        <w:rPr>
          <w:rFonts w:eastAsia="Calibri"/>
          <w:snapToGrid/>
          <w:lang w:eastAsia="en-US"/>
        </w:rPr>
      </w:pPr>
      <w:r w:rsidRPr="009C34D1">
        <w:t xml:space="preserve">«Количество соглашений в ПУР и на ЕПБС не совпадает» </w:t>
      </w:r>
      <w:r w:rsidRPr="009C34D1">
        <w:rPr>
          <w:rFonts w:eastAsia="Calibri"/>
          <w:snapToGrid/>
          <w:lang w:eastAsia="en-US"/>
        </w:rPr>
        <w:t>→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в ПУР и на ЕПБС не совпадает» → «Детализация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ПУР и Сумма БО ПУР не совпадает» → «Детализация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«Перечисление ПУР и ЕПБС не совпадает» → «Расхождение в части кассового исполнения»;</w:t>
      </w:r>
    </w:p>
    <w:p w:rsidR="00782C18" w:rsidRPr="009C34D1" w:rsidRDefault="00782C18" w:rsidP="00DE1661">
      <w:pPr>
        <w:pStyle w:val="13"/>
        <w:rPr>
          <w:rFonts w:eastAsia="Calibri"/>
          <w:snapToGrid/>
          <w:lang w:eastAsia="en-US"/>
        </w:rPr>
      </w:pPr>
      <w:r w:rsidRPr="009C34D1">
        <w:rPr>
          <w:rFonts w:eastAsia="Calibri"/>
          <w:snapToGrid/>
          <w:lang w:eastAsia="en-US"/>
        </w:rPr>
        <w:t>«Вложения на ЕПБС отсутствует» → «Вложения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w:t>
      </w:r>
      <w:r w:rsidRPr="009C34D1">
        <w:rPr>
          <w:rFonts w:eastAsia="Calibri"/>
          <w:snapToGrid/>
          <w:lang w:val="en-US" w:eastAsia="en-US"/>
        </w:rPr>
        <w:t>GUID</w:t>
      </w:r>
      <w:r w:rsidRPr="009C34D1">
        <w:rPr>
          <w:rFonts w:eastAsia="Calibri"/>
          <w:snapToGrid/>
          <w:lang w:eastAsia="en-US"/>
        </w:rPr>
        <w:t xml:space="preserve"> документа на ЕПБС отсутствует» → «Вложения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«Вложение в ПУР отсутствует» → «Вложения по соглашениям»;</w:t>
      </w:r>
    </w:p>
    <w:p w:rsidR="00782C18" w:rsidRPr="009C34D1" w:rsidRDefault="00782C18" w:rsidP="00DE1661">
      <w:pPr>
        <w:pStyle w:val="13"/>
        <w:rPr>
          <w:rFonts w:eastAsia="Calibri"/>
          <w:snapToGrid/>
          <w:lang w:eastAsia="en-US"/>
        </w:rPr>
      </w:pPr>
      <w:r w:rsidRPr="009C34D1">
        <w:t>«Дублируются вложения на ЕПБС»</w:t>
      </w:r>
      <w:r w:rsidRPr="009C34D1">
        <w:rPr>
          <w:rFonts w:eastAsia="Calibri"/>
          <w:snapToGrid/>
          <w:lang w:eastAsia="en-US"/>
        </w:rPr>
        <w:t xml:space="preserve"> → «Вложения по соглашениям»;</w:t>
      </w:r>
    </w:p>
    <w:p w:rsidR="00782C18" w:rsidRPr="009C34D1" w:rsidRDefault="00782C18" w:rsidP="00DE1661">
      <w:pPr>
        <w:pStyle w:val="13"/>
        <w:rPr>
          <w:rFonts w:eastAsia="Calibri"/>
          <w:snapToGrid/>
          <w:lang w:eastAsia="en-US"/>
        </w:rPr>
      </w:pPr>
      <w:r w:rsidRPr="009C34D1">
        <w:rPr>
          <w:rFonts w:eastAsia="Calibri"/>
          <w:snapToGrid/>
          <w:lang w:eastAsia="en-US"/>
        </w:rPr>
        <w:t>«Тип вложения в ПУР и на ЕПБС не совпадает» → «Вложения по соглашениям».</w:t>
      </w:r>
    </w:p>
    <w:p w:rsidR="00782C18" w:rsidRPr="009C34D1" w:rsidRDefault="00782C18" w:rsidP="00782C18">
      <w:pPr>
        <w:pStyle w:val="af0"/>
        <w:spacing w:line="360" w:lineRule="auto"/>
      </w:pPr>
      <w:r w:rsidRPr="009C34D1">
        <w:t>Фильтры представления:</w:t>
      </w:r>
    </w:p>
    <w:p w:rsidR="00782C18" w:rsidRPr="009C34D1" w:rsidRDefault="00782C18" w:rsidP="005C6E50">
      <w:pPr>
        <w:numPr>
          <w:ilvl w:val="0"/>
          <w:numId w:val="92"/>
        </w:numPr>
        <w:spacing w:line="360" w:lineRule="auto"/>
        <w:ind w:left="567" w:hanging="425"/>
        <w:rPr>
          <w:sz w:val="28"/>
          <w:szCs w:val="28"/>
        </w:rPr>
      </w:pPr>
      <w:r w:rsidRPr="009C34D1">
        <w:rPr>
          <w:iCs/>
          <w:sz w:val="28"/>
          <w:szCs w:val="28"/>
        </w:rPr>
        <w:t>Показать проблемы</w:t>
      </w:r>
      <w:r w:rsidRPr="009C34D1">
        <w:rPr>
          <w:sz w:val="28"/>
          <w:szCs w:val="28"/>
        </w:rPr>
        <w:t xml:space="preserve"> – выпадающий список с перечнем возможных проблем качества распространения данных реестра соглашений на ЕПБС:</w:t>
      </w:r>
    </w:p>
    <w:p w:rsidR="00782C18" w:rsidRPr="009C34D1" w:rsidRDefault="00782C18" w:rsidP="00DE1661">
      <w:pPr>
        <w:pStyle w:val="13"/>
      </w:pPr>
      <w:r w:rsidRPr="009C34D1">
        <w:t>Все;</w:t>
      </w:r>
    </w:p>
    <w:p w:rsidR="00782C18" w:rsidRPr="009C34D1" w:rsidRDefault="00782C18" w:rsidP="00DE1661">
      <w:pPr>
        <w:pStyle w:val="13"/>
      </w:pPr>
      <w:r w:rsidRPr="009C34D1">
        <w:t>Есть проблемы;</w:t>
      </w:r>
    </w:p>
    <w:p w:rsidR="00782C18" w:rsidRPr="009C34D1" w:rsidRDefault="00782C18" w:rsidP="00DE1661">
      <w:pPr>
        <w:pStyle w:val="13"/>
      </w:pPr>
      <w:r w:rsidRPr="009C34D1">
        <w:t>Нет проблем;</w:t>
      </w:r>
    </w:p>
    <w:p w:rsidR="00782C18" w:rsidRPr="009C34D1" w:rsidRDefault="00782C18" w:rsidP="00DE1661">
      <w:pPr>
        <w:pStyle w:val="13"/>
      </w:pPr>
      <w:r w:rsidRPr="009C34D1">
        <w:t>Не соответствует количество соглашений в ПУР и на ЕПБС;</w:t>
      </w:r>
    </w:p>
    <w:p w:rsidR="00782C18" w:rsidRPr="009C34D1" w:rsidRDefault="00782C18" w:rsidP="00DE1661">
      <w:pPr>
        <w:pStyle w:val="13"/>
      </w:pPr>
      <w:r w:rsidRPr="009C34D1">
        <w:t>Не соответствуют суммы соглашений в ПУР и на ЕПБС;</w:t>
      </w:r>
    </w:p>
    <w:p w:rsidR="00782C18" w:rsidRPr="009C34D1" w:rsidRDefault="00782C18" w:rsidP="00DE1661">
      <w:pPr>
        <w:pStyle w:val="13"/>
      </w:pPr>
      <w:r w:rsidRPr="009C34D1">
        <w:t>Не соответствуют суммы соглашений в ПУР и суммы БО;</w:t>
      </w:r>
    </w:p>
    <w:p w:rsidR="00782C18" w:rsidRPr="009C34D1" w:rsidRDefault="00782C18" w:rsidP="00DE1661">
      <w:pPr>
        <w:pStyle w:val="13"/>
      </w:pPr>
      <w:r w:rsidRPr="009C34D1">
        <w:t>Не соответствует перечисление в ПУР и на ЕПБС;</w:t>
      </w:r>
    </w:p>
    <w:p w:rsidR="00782C18" w:rsidRPr="009C34D1" w:rsidRDefault="00782C18" w:rsidP="00DE1661">
      <w:pPr>
        <w:pStyle w:val="13"/>
        <w:rPr>
          <w:rFonts w:eastAsia="Calibri"/>
          <w:snapToGrid/>
          <w:lang w:eastAsia="en-US"/>
        </w:rPr>
      </w:pPr>
      <w:r w:rsidRPr="009C34D1">
        <w:rPr>
          <w:rFonts w:eastAsia="Calibri"/>
          <w:snapToGrid/>
          <w:lang w:eastAsia="en-US"/>
        </w:rPr>
        <w:t>Отсутствует вложение на ЕПБС;</w:t>
      </w:r>
    </w:p>
    <w:p w:rsidR="00782C18" w:rsidRPr="009C34D1" w:rsidRDefault="00782C18" w:rsidP="00DE1661">
      <w:pPr>
        <w:pStyle w:val="13"/>
        <w:rPr>
          <w:rFonts w:eastAsia="Calibri"/>
          <w:snapToGrid/>
          <w:lang w:eastAsia="en-US"/>
        </w:rPr>
      </w:pPr>
      <w:r w:rsidRPr="009C34D1">
        <w:rPr>
          <w:rFonts w:eastAsia="Calibri"/>
          <w:snapToGrid/>
          <w:lang w:eastAsia="en-US"/>
        </w:rPr>
        <w:t xml:space="preserve">Отсутствует </w:t>
      </w:r>
      <w:r w:rsidRPr="009C34D1">
        <w:rPr>
          <w:rFonts w:eastAsia="Calibri"/>
          <w:snapToGrid/>
          <w:lang w:val="en-US" w:eastAsia="en-US"/>
        </w:rPr>
        <w:t>GUID</w:t>
      </w:r>
      <w:r w:rsidRPr="009C34D1">
        <w:rPr>
          <w:rFonts w:eastAsia="Calibri"/>
          <w:snapToGrid/>
          <w:lang w:eastAsia="en-US"/>
        </w:rPr>
        <w:t xml:space="preserve"> документа на ЕПБС;</w:t>
      </w:r>
    </w:p>
    <w:p w:rsidR="00782C18" w:rsidRPr="009C34D1" w:rsidRDefault="00782C18" w:rsidP="00DE1661">
      <w:pPr>
        <w:pStyle w:val="13"/>
        <w:rPr>
          <w:rFonts w:eastAsia="Calibri"/>
          <w:snapToGrid/>
          <w:lang w:eastAsia="en-US"/>
        </w:rPr>
      </w:pPr>
      <w:r w:rsidRPr="009C34D1">
        <w:rPr>
          <w:rFonts w:eastAsia="Calibri"/>
          <w:snapToGrid/>
          <w:lang w:eastAsia="en-US"/>
        </w:rPr>
        <w:t>Отсутствует вложение в ПУР;</w:t>
      </w:r>
    </w:p>
    <w:p w:rsidR="00782C18" w:rsidRPr="009C34D1" w:rsidRDefault="00782C18" w:rsidP="00DE1661">
      <w:pPr>
        <w:pStyle w:val="13"/>
        <w:rPr>
          <w:rFonts w:eastAsia="Calibri"/>
          <w:snapToGrid/>
          <w:lang w:eastAsia="en-US"/>
        </w:rPr>
      </w:pPr>
      <w:r w:rsidRPr="009C34D1">
        <w:rPr>
          <w:rFonts w:eastAsia="Calibri"/>
          <w:snapToGrid/>
          <w:lang w:eastAsia="en-US"/>
        </w:rPr>
        <w:t>Дублирование вложения на ЕПБС;</w:t>
      </w:r>
    </w:p>
    <w:p w:rsidR="00782C18" w:rsidRPr="009C34D1" w:rsidRDefault="00782C18" w:rsidP="00DE1661">
      <w:pPr>
        <w:pStyle w:val="13"/>
        <w:rPr>
          <w:rFonts w:eastAsia="Calibri"/>
          <w:snapToGrid/>
          <w:lang w:eastAsia="en-US"/>
        </w:rPr>
      </w:pPr>
      <w:r w:rsidRPr="009C34D1">
        <w:rPr>
          <w:rFonts w:eastAsia="Calibri"/>
          <w:snapToGrid/>
          <w:lang w:eastAsia="en-US"/>
        </w:rPr>
        <w:t>Не соответствует тип вложения в ПУР и на ЕПБС;</w:t>
      </w:r>
    </w:p>
    <w:p w:rsidR="00782C18" w:rsidRPr="009C34D1" w:rsidRDefault="00782C18" w:rsidP="00DE1661">
      <w:pPr>
        <w:pStyle w:val="13"/>
      </w:pPr>
      <w:r w:rsidRPr="009C34D1">
        <w:t>Не соответствует сумма соглашения по графику ЕПБС сумме перечисления ЕПБС;</w:t>
      </w:r>
    </w:p>
    <w:p w:rsidR="00782C18" w:rsidRPr="009C34D1" w:rsidRDefault="00782C18" w:rsidP="00DE1661">
      <w:pPr>
        <w:pStyle w:val="13"/>
      </w:pPr>
      <w:r w:rsidRPr="009C34D1">
        <w:t>Не соответствует сумма соглашения по графику ПУР сумме перечисления ПУР;</w:t>
      </w:r>
    </w:p>
    <w:p w:rsidR="00782C18" w:rsidRPr="009C34D1" w:rsidRDefault="00782C18" w:rsidP="00DE1661">
      <w:pPr>
        <w:pStyle w:val="13"/>
        <w:rPr>
          <w:rFonts w:eastAsia="Calibri"/>
          <w:snapToGrid/>
          <w:lang w:eastAsia="en-US"/>
        </w:rPr>
      </w:pPr>
      <w:r w:rsidRPr="009C34D1">
        <w:t>Не соответствует сумма БО по графику ПУР сумме перечисления ПУР.</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по графику в ПУР и на ЕПБС не совпадает;</w:t>
      </w:r>
    </w:p>
    <w:p w:rsidR="00782C18" w:rsidRPr="009C34D1" w:rsidRDefault="00782C18" w:rsidP="00DE1661">
      <w:pPr>
        <w:pStyle w:val="13"/>
        <w:rPr>
          <w:rFonts w:eastAsia="Calibri"/>
          <w:snapToGrid/>
          <w:lang w:eastAsia="en-US"/>
        </w:rPr>
      </w:pPr>
      <w:r w:rsidRPr="009C34D1">
        <w:rPr>
          <w:rFonts w:eastAsia="Calibri"/>
          <w:snapToGrid/>
          <w:lang w:eastAsia="en-US"/>
        </w:rPr>
        <w:t>Сумма соглашения по графику ПУР и сумма БО по графику ПУР не совпадает;</w:t>
      </w:r>
    </w:p>
    <w:p w:rsidR="00782C18" w:rsidRPr="009C34D1" w:rsidRDefault="00782C18" w:rsidP="00DE1661">
      <w:pPr>
        <w:pStyle w:val="13"/>
      </w:pPr>
      <w:r w:rsidRPr="009C34D1">
        <w:rPr>
          <w:rFonts w:eastAsia="Calibri"/>
          <w:snapToGrid/>
          <w:lang w:eastAsia="en-US"/>
        </w:rPr>
        <w:t>Сумма соглашения по графику ЕПБС и сумма БО по графику ПУР не совпадает.</w:t>
      </w:r>
    </w:p>
    <w:p w:rsidR="00782C18" w:rsidRPr="009C34D1" w:rsidRDefault="00782C18" w:rsidP="005C6E50">
      <w:pPr>
        <w:numPr>
          <w:ilvl w:val="0"/>
          <w:numId w:val="92"/>
        </w:numPr>
        <w:spacing w:line="360" w:lineRule="auto"/>
        <w:ind w:left="567" w:hanging="425"/>
        <w:rPr>
          <w:sz w:val="28"/>
          <w:szCs w:val="28"/>
        </w:rPr>
      </w:pPr>
      <w:r w:rsidRPr="009C34D1">
        <w:rPr>
          <w:iCs/>
          <w:sz w:val="28"/>
          <w:szCs w:val="28"/>
        </w:rPr>
        <w:t>ТОФК</w:t>
      </w:r>
      <w:r w:rsidRPr="009C34D1">
        <w:rPr>
          <w:sz w:val="28"/>
          <w:szCs w:val="28"/>
        </w:rPr>
        <w:t xml:space="preserve"> – выпадающий список с перечнем территориальных органов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782C18" w:rsidRPr="009C34D1" w:rsidRDefault="00782C18" w:rsidP="005C6E50">
      <w:pPr>
        <w:numPr>
          <w:ilvl w:val="0"/>
          <w:numId w:val="92"/>
        </w:numPr>
        <w:spacing w:line="360" w:lineRule="auto"/>
        <w:ind w:left="567" w:hanging="425"/>
        <w:rPr>
          <w:sz w:val="28"/>
          <w:szCs w:val="28"/>
        </w:rPr>
      </w:pPr>
      <w:r w:rsidRPr="009C34D1">
        <w:rPr>
          <w:iCs/>
          <w:sz w:val="28"/>
          <w:szCs w:val="28"/>
        </w:rPr>
        <w:t>ГРБС</w:t>
      </w:r>
      <w:r w:rsidRPr="009C34D1">
        <w:rPr>
          <w:sz w:val="28"/>
          <w:szCs w:val="28"/>
        </w:rPr>
        <w:t xml:space="preserve"> – выпадающий список с перечнем ГРБС. В фильтре реализована возможность ввода кода и наименования ГРБС, а также множественный выбор параметров фильтрации. </w:t>
      </w:r>
    </w:p>
    <w:p w:rsidR="00782C18" w:rsidRPr="009C34D1" w:rsidRDefault="00782C18" w:rsidP="005C6E50">
      <w:pPr>
        <w:numPr>
          <w:ilvl w:val="0"/>
          <w:numId w:val="92"/>
        </w:numPr>
        <w:spacing w:line="360" w:lineRule="auto"/>
        <w:ind w:left="567" w:hanging="425"/>
        <w:rPr>
          <w:sz w:val="28"/>
          <w:szCs w:val="28"/>
        </w:rPr>
      </w:pPr>
      <w:r w:rsidRPr="009C34D1">
        <w:rPr>
          <w:iCs/>
          <w:sz w:val="28"/>
          <w:szCs w:val="28"/>
        </w:rPr>
        <w:t>Дата заключения</w:t>
      </w:r>
      <w:r w:rsidRPr="009C34D1">
        <w:rPr>
          <w:sz w:val="28"/>
          <w:szCs w:val="28"/>
        </w:rPr>
        <w:t xml:space="preserve"> (параметр имеет два поля ввода, которые позволяют выбрать интервал дат заключения соглашений С: ДД.ММ.ГГГГ По: ДД.ММ.ГГГГ).</w:t>
      </w:r>
    </w:p>
    <w:p w:rsidR="00782C18" w:rsidRPr="009C34D1" w:rsidRDefault="00782C18" w:rsidP="005C6E50">
      <w:pPr>
        <w:numPr>
          <w:ilvl w:val="0"/>
          <w:numId w:val="92"/>
        </w:numPr>
        <w:spacing w:line="360" w:lineRule="auto"/>
        <w:ind w:left="567" w:hanging="425"/>
        <w:rPr>
          <w:sz w:val="28"/>
          <w:szCs w:val="28"/>
        </w:rPr>
      </w:pPr>
      <w:r w:rsidRPr="009C34D1">
        <w:rPr>
          <w:iCs/>
          <w:sz w:val="28"/>
          <w:szCs w:val="28"/>
        </w:rPr>
        <w:t>Год по сроку действия соглашения</w:t>
      </w:r>
      <w:r w:rsidRPr="009C34D1">
        <w:rPr>
          <w:sz w:val="28"/>
          <w:szCs w:val="28"/>
        </w:rPr>
        <w:t xml:space="preserve"> – отображает соглашения, которые попадают в интервал между датами начала и окончания действия соглашения, включая крайние границы.</w:t>
      </w:r>
    </w:p>
    <w:p w:rsidR="00782C18" w:rsidRPr="009C34D1" w:rsidRDefault="00782C18" w:rsidP="005C6E50">
      <w:pPr>
        <w:numPr>
          <w:ilvl w:val="0"/>
          <w:numId w:val="94"/>
        </w:numPr>
        <w:spacing w:line="360" w:lineRule="auto"/>
        <w:ind w:left="142" w:firstLine="0"/>
        <w:rPr>
          <w:sz w:val="28"/>
          <w:szCs w:val="28"/>
        </w:rPr>
      </w:pPr>
      <w:r w:rsidRPr="009C34D1">
        <w:rPr>
          <w:iCs/>
          <w:sz w:val="28"/>
          <w:szCs w:val="28"/>
        </w:rPr>
        <w:t>Сумма соглашения</w:t>
      </w:r>
      <w:r w:rsidRPr="009C34D1">
        <w:rPr>
          <w:sz w:val="28"/>
          <w:szCs w:val="28"/>
        </w:rPr>
        <w:t xml:space="preserve"> (параметр имеет два поля ввода, которые позволяют выбрать интервал значений От и До). В фильтре вводятся значения в руб.</w:t>
      </w:r>
    </w:p>
    <w:p w:rsidR="00782C18" w:rsidRPr="009C34D1" w:rsidRDefault="00782C18" w:rsidP="005C6E50">
      <w:pPr>
        <w:numPr>
          <w:ilvl w:val="0"/>
          <w:numId w:val="93"/>
        </w:numPr>
        <w:spacing w:line="360" w:lineRule="auto"/>
        <w:ind w:left="142" w:firstLine="0"/>
        <w:rPr>
          <w:sz w:val="28"/>
          <w:szCs w:val="28"/>
        </w:rPr>
      </w:pPr>
      <w:r w:rsidRPr="009C34D1">
        <w:rPr>
          <w:iCs/>
          <w:sz w:val="28"/>
          <w:szCs w:val="28"/>
        </w:rPr>
        <w:t xml:space="preserve">Год </w:t>
      </w:r>
      <w:r>
        <w:rPr>
          <w:iCs/>
          <w:sz w:val="28"/>
          <w:szCs w:val="28"/>
        </w:rPr>
        <w:t xml:space="preserve">последнего изменения </w:t>
      </w:r>
      <w:r w:rsidRPr="009C34D1">
        <w:rPr>
          <w:iCs/>
          <w:sz w:val="28"/>
          <w:szCs w:val="28"/>
        </w:rPr>
        <w:t xml:space="preserve"> БО </w:t>
      </w:r>
      <w:r w:rsidRPr="009C34D1">
        <w:rPr>
          <w:sz w:val="28"/>
          <w:szCs w:val="28"/>
        </w:rPr>
        <w:t>–</w:t>
      </w:r>
      <w:r w:rsidRPr="00CC696F">
        <w:rPr>
          <w:sz w:val="28"/>
          <w:szCs w:val="28"/>
        </w:rPr>
        <w:t xml:space="preserve"> </w:t>
      </w:r>
      <w:r w:rsidRPr="009C34D1">
        <w:rPr>
          <w:sz w:val="28"/>
          <w:szCs w:val="28"/>
        </w:rPr>
        <w:t>год, в котором были внесены</w:t>
      </w:r>
      <w:r>
        <w:rPr>
          <w:sz w:val="28"/>
          <w:szCs w:val="28"/>
        </w:rPr>
        <w:t xml:space="preserve"> последние</w:t>
      </w:r>
      <w:r w:rsidRPr="009C34D1">
        <w:rPr>
          <w:sz w:val="28"/>
          <w:szCs w:val="28"/>
        </w:rPr>
        <w:t xml:space="preserve"> изменения в БО</w:t>
      </w:r>
      <w:r>
        <w:rPr>
          <w:sz w:val="28"/>
          <w:szCs w:val="28"/>
        </w:rPr>
        <w:t xml:space="preserve"> (год актуализации БО</w:t>
      </w:r>
      <w:r w:rsidRPr="009C34D1">
        <w:rPr>
          <w:sz w:val="28"/>
          <w:szCs w:val="28"/>
        </w:rPr>
        <w:t>).</w:t>
      </w:r>
    </w:p>
    <w:p w:rsidR="00063616" w:rsidRDefault="00782C18" w:rsidP="00DE1661">
      <w:pPr>
        <w:pStyle w:val="13"/>
        <w:rPr>
          <w:rFonts w:eastAsia="Calibri"/>
          <w:snapToGrid/>
          <w:lang w:eastAsia="en-US"/>
        </w:rPr>
      </w:pPr>
      <w:r w:rsidRPr="00063616">
        <w:rPr>
          <w:rFonts w:eastAsia="Calibri"/>
          <w:snapToGrid/>
          <w:lang w:eastAsia="en-US"/>
        </w:rPr>
        <w:t>КБК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 Реализован контекстный поиск.</w:t>
      </w:r>
    </w:p>
    <w:p w:rsidR="00063616" w:rsidRDefault="00063616" w:rsidP="00DE1661">
      <w:pPr>
        <w:pStyle w:val="13"/>
      </w:pPr>
      <w:r>
        <w:t>Макет отчета представлен на Р</w:t>
      </w:r>
      <w:r w:rsidRPr="009C34D1">
        <w:t>исунке</w:t>
      </w:r>
      <w:r>
        <w:t xml:space="preserve"> </w:t>
      </w:r>
      <w:r>
        <w:fldChar w:fldCharType="begin"/>
      </w:r>
      <w:r>
        <w:instrText xml:space="preserve"> REF _Ref70063686 \h </w:instrText>
      </w:r>
      <w:r>
        <w:fldChar w:fldCharType="separate"/>
      </w:r>
      <w:r w:rsidR="00BF0BEE">
        <w:rPr>
          <w:rFonts w:eastAsia="Calibri"/>
          <w:noProof/>
          <w:snapToGrid/>
          <w:lang w:eastAsia="en-US"/>
        </w:rPr>
        <w:t>202</w:t>
      </w:r>
      <w:r>
        <w:fldChar w:fldCharType="end"/>
      </w:r>
      <w:r>
        <w:t>.</w:t>
      </w:r>
    </w:p>
    <w:p w:rsidR="00063616" w:rsidRDefault="00063616" w:rsidP="00321FCA">
      <w:pPr>
        <w:pStyle w:val="afffff7"/>
      </w:pPr>
      <w:r>
        <w:rPr>
          <w:noProof/>
          <w:lang w:eastAsia="ru-RU"/>
        </w:rPr>
        <w:drawing>
          <wp:inline distT="0" distB="0" distL="0" distR="0" wp14:anchorId="2C8D4DD8" wp14:editId="43F019DB">
            <wp:extent cx="5939790" cy="2898475"/>
            <wp:effectExtent l="0" t="0" r="381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5939790" cy="2898475"/>
                    </a:xfrm>
                    <a:prstGeom prst="rect">
                      <a:avLst/>
                    </a:prstGeom>
                  </pic:spPr>
                </pic:pic>
              </a:graphicData>
            </a:graphic>
          </wp:inline>
        </w:drawing>
      </w:r>
    </w:p>
    <w:p w:rsidR="00063616" w:rsidRPr="00063616" w:rsidRDefault="00063616" w:rsidP="00063616">
      <w:pPr>
        <w:pStyle w:val="-0"/>
        <w:rPr>
          <w:noProof/>
        </w:rPr>
      </w:pPr>
      <w:bookmarkStart w:id="814" w:name="_Toc119584389"/>
      <w:r>
        <w:rPr>
          <w:rFonts w:eastAsia="Calibri"/>
          <w:snapToGrid/>
          <w:lang w:eastAsia="en-US"/>
        </w:rPr>
        <w:t xml:space="preserve">Рисунок </w:t>
      </w:r>
      <w:r>
        <w:rPr>
          <w:rFonts w:eastAsia="Calibri"/>
          <w:snapToGrid/>
          <w:lang w:eastAsia="en-US"/>
        </w:rPr>
        <w:fldChar w:fldCharType="begin"/>
      </w:r>
      <w:r>
        <w:rPr>
          <w:rFonts w:eastAsia="Calibri"/>
          <w:snapToGrid/>
          <w:lang w:eastAsia="en-US"/>
        </w:rPr>
        <w:instrText xml:space="preserve"> SEQ Рисунок \* ARABIC </w:instrText>
      </w:r>
      <w:r>
        <w:rPr>
          <w:rFonts w:eastAsia="Calibri"/>
          <w:snapToGrid/>
          <w:lang w:eastAsia="en-US"/>
        </w:rPr>
        <w:fldChar w:fldCharType="separate"/>
      </w:r>
      <w:bookmarkStart w:id="815" w:name="_Ref70063686"/>
      <w:r w:rsidR="001860A9">
        <w:rPr>
          <w:rFonts w:eastAsia="Calibri"/>
          <w:noProof/>
          <w:snapToGrid/>
          <w:lang w:eastAsia="en-US"/>
        </w:rPr>
        <w:t>202</w:t>
      </w:r>
      <w:bookmarkEnd w:id="815"/>
      <w:r>
        <w:rPr>
          <w:rFonts w:eastAsia="Calibri"/>
          <w:snapToGrid/>
          <w:lang w:eastAsia="en-US"/>
        </w:rPr>
        <w:fldChar w:fldCharType="end"/>
      </w:r>
      <w:r>
        <w:rPr>
          <w:rFonts w:eastAsia="Calibri"/>
          <w:snapToGrid/>
          <w:lang w:eastAsia="en-US"/>
        </w:rPr>
        <w:t xml:space="preserve"> – </w:t>
      </w:r>
      <w:r w:rsidR="00EC0707">
        <w:rPr>
          <w:rFonts w:eastAsia="Calibri"/>
          <w:snapToGrid/>
          <w:lang w:eastAsia="en-US"/>
        </w:rPr>
        <w:t>Макет о</w:t>
      </w:r>
      <w:r w:rsidRPr="009C34D1">
        <w:t>тчет</w:t>
      </w:r>
      <w:r w:rsidR="00EC0707">
        <w:t>а</w:t>
      </w:r>
      <w:r w:rsidRPr="009C34D1">
        <w:t xml:space="preserve"> «Мониторинг качества распространения данных реестра соглашений на ЕПБС». Представление «ГРБС».</w:t>
      </w:r>
      <w:bookmarkEnd w:id="814"/>
    </w:p>
    <w:p w:rsidR="00157471" w:rsidRDefault="00157471" w:rsidP="00782C18">
      <w:pPr>
        <w:pStyle w:val="42"/>
      </w:pPr>
      <w:r w:rsidRPr="00DB1DF3">
        <w:t>Представление «По соглашениям»</w:t>
      </w:r>
      <w:bookmarkEnd w:id="813"/>
    </w:p>
    <w:p w:rsidR="00595249" w:rsidRPr="009C34D1" w:rsidRDefault="00595249" w:rsidP="00595249">
      <w:pPr>
        <w:pStyle w:val="af0"/>
      </w:pPr>
      <w:bookmarkStart w:id="816" w:name="_Toc40864462"/>
      <w:r w:rsidRPr="009C34D1">
        <w:t>Представление «По соглашениям» отража</w:t>
      </w:r>
      <w:r>
        <w:t>ет</w:t>
      </w:r>
      <w:r w:rsidRPr="009C34D1">
        <w:t xml:space="preserve"> сведения о количестве соглашений (договоров) о предоставлении субсидий, бюджетных инвестиций, межбюджетных трансфертов в ПУР и на ЕПБС, а также информацию о выявленных расхождениях между данными ПУР и ЕПБС. Сведения представлены в разрезе соглашений.</w:t>
      </w:r>
      <w:bookmarkEnd w:id="816"/>
      <w:r>
        <w:t xml:space="preserve"> Данные в отчете представлены по соглашениям, у которых год последнего внесения изменения в БО больше либо равен 2018 году.</w:t>
      </w:r>
    </w:p>
    <w:p w:rsidR="00595249" w:rsidRPr="00B75563" w:rsidRDefault="00595249" w:rsidP="00595249">
      <w:pPr>
        <w:spacing w:line="360" w:lineRule="auto"/>
        <w:rPr>
          <w:sz w:val="28"/>
          <w:szCs w:val="28"/>
        </w:rPr>
      </w:pPr>
      <w:r w:rsidRPr="009C34D1">
        <w:rPr>
          <w:sz w:val="28"/>
          <w:szCs w:val="28"/>
        </w:rPr>
        <w:t>Атрибутный состав:</w:t>
      </w:r>
    </w:p>
    <w:p w:rsidR="00595249" w:rsidRPr="009C34D1" w:rsidRDefault="00595249" w:rsidP="00DE1661">
      <w:pPr>
        <w:pStyle w:val="13"/>
      </w:pPr>
      <w:r w:rsidRPr="009C34D1">
        <w:t>Код ТОФК;</w:t>
      </w:r>
    </w:p>
    <w:p w:rsidR="00595249" w:rsidRPr="009C34D1" w:rsidRDefault="00595249" w:rsidP="00DE1661">
      <w:pPr>
        <w:pStyle w:val="13"/>
      </w:pPr>
      <w:r w:rsidRPr="009C34D1">
        <w:t>Код ГРБС;</w:t>
      </w:r>
    </w:p>
    <w:p w:rsidR="00595249" w:rsidRPr="009C34D1" w:rsidRDefault="00595249" w:rsidP="00DE1661">
      <w:pPr>
        <w:pStyle w:val="13"/>
      </w:pPr>
      <w:r w:rsidRPr="009C34D1">
        <w:t>Наименование ГРБС (по умолчанию скрыто);</w:t>
      </w:r>
    </w:p>
    <w:p w:rsidR="00595249" w:rsidRPr="009C34D1" w:rsidRDefault="00595249" w:rsidP="00DE1661">
      <w:pPr>
        <w:pStyle w:val="13"/>
      </w:pPr>
      <w:r w:rsidRPr="009C34D1">
        <w:t>Наименование ТОФК (по умолчанию скрыто);</w:t>
      </w:r>
    </w:p>
    <w:p w:rsidR="00595249" w:rsidRPr="009C34D1" w:rsidRDefault="00595249" w:rsidP="00DE1661">
      <w:pPr>
        <w:pStyle w:val="13"/>
      </w:pPr>
      <w:r w:rsidRPr="009C34D1">
        <w:t>Номер реестровой записи (ПУР);</w:t>
      </w:r>
    </w:p>
    <w:p w:rsidR="00595249" w:rsidRPr="009C34D1" w:rsidRDefault="00595249" w:rsidP="00DE1661">
      <w:pPr>
        <w:pStyle w:val="13"/>
      </w:pPr>
      <w:r w:rsidRPr="009C34D1">
        <w:t>Номер реестровой записи (ЕПБС);</w:t>
      </w:r>
    </w:p>
    <w:p w:rsidR="00595249" w:rsidRPr="009C34D1" w:rsidRDefault="00595249" w:rsidP="00DE1661">
      <w:pPr>
        <w:pStyle w:val="13"/>
      </w:pPr>
      <w:r w:rsidRPr="009C34D1">
        <w:t>Номер соглашения;</w:t>
      </w:r>
    </w:p>
    <w:p w:rsidR="00595249" w:rsidRPr="009C34D1" w:rsidRDefault="00595249" w:rsidP="00DE1661">
      <w:pPr>
        <w:pStyle w:val="13"/>
      </w:pPr>
      <w:r w:rsidRPr="009C34D1">
        <w:t>Дата заключения (ПУР);</w:t>
      </w:r>
    </w:p>
    <w:p w:rsidR="00595249" w:rsidRPr="009C34D1" w:rsidRDefault="00595249" w:rsidP="00DE1661">
      <w:pPr>
        <w:pStyle w:val="13"/>
      </w:pPr>
      <w:r w:rsidRPr="009C34D1">
        <w:t>Сумма соглашения (ПУР);</w:t>
      </w:r>
    </w:p>
    <w:p w:rsidR="00595249" w:rsidRPr="009C34D1" w:rsidRDefault="00595249" w:rsidP="00DE1661">
      <w:pPr>
        <w:pStyle w:val="13"/>
      </w:pPr>
      <w:r w:rsidRPr="009C34D1">
        <w:t>Индикатор соответствия количества соглашений в ПУР и на ЕПБС – индикатор имеет два значения: зеленый индикатор – соответствует, красный индикатор – не соответствует;</w:t>
      </w:r>
    </w:p>
    <w:p w:rsidR="00595249" w:rsidRPr="009C34D1" w:rsidRDefault="00595249" w:rsidP="00DE1661">
      <w:pPr>
        <w:pStyle w:val="13"/>
      </w:pPr>
      <w:r w:rsidRPr="009C34D1">
        <w:t>Индикатор соответствия суммы соглашения в ПУР и на ЕПБС – индикатор имеет три значения: зеленый индикатор – соответствует, красный индикатор – не соответствует, серый индикатор – соглашение отсутствует на ЕПБС;</w:t>
      </w:r>
    </w:p>
    <w:p w:rsidR="00595249" w:rsidRPr="009C34D1" w:rsidRDefault="00595249" w:rsidP="00DE1661">
      <w:pPr>
        <w:pStyle w:val="13"/>
      </w:pPr>
      <w:r w:rsidRPr="009C34D1">
        <w:t>Индикатор соответствия Суммы соглашения (ПУР) и Суммы БО (ПУР) ЕПБС – индикатор имеет два значения: зеленый индикатор – соответствует, красный индикатор – не соответствует;</w:t>
      </w:r>
    </w:p>
    <w:p w:rsidR="00595249" w:rsidRPr="009C34D1" w:rsidRDefault="00595249" w:rsidP="00DE1661">
      <w:pPr>
        <w:pStyle w:val="13"/>
      </w:pPr>
      <w:r w:rsidRPr="009C34D1">
        <w:t>Индикатор соответствия Перечислено (ПУР) и Перечислено (ЕПБС) –</w:t>
      </w:r>
      <w:r>
        <w:t xml:space="preserve"> </w:t>
      </w:r>
      <w:r w:rsidRPr="009C34D1">
        <w:t>индикатор имеет три значения: зеленый индикатор – соответствует, красный индикатор – не соответствует, серый индикатор – соглашение отсутствует на ЕПБС;</w:t>
      </w:r>
    </w:p>
    <w:p w:rsidR="00595249" w:rsidRDefault="00595249" w:rsidP="00DE1661">
      <w:pPr>
        <w:pStyle w:val="13"/>
      </w:pPr>
      <w:r w:rsidRPr="009C34D1">
        <w:t xml:space="preserve">Индикатор </w:t>
      </w:r>
      <w:r>
        <w:t>наличия вложения на ЕПБС</w:t>
      </w:r>
      <w:r w:rsidRPr="009C34D1">
        <w:t xml:space="preserve"> – индикатор имеет значения: зеленый индикатор – </w:t>
      </w:r>
      <w:r>
        <w:t>наличествует</w:t>
      </w:r>
      <w:r w:rsidRPr="009C34D1">
        <w:t xml:space="preserve">, красный индикатор – </w:t>
      </w:r>
      <w:r>
        <w:t>отсутствует на ЕПБС и есть в ПУР, серый – вложение по данному соглашению отсутствует, отсутствие индикатора – соглашение 2018 года по графику БО (в отчете представлены вложения по соглашениям,  БО по которым было изменено не ранее 2019 года);</w:t>
      </w:r>
    </w:p>
    <w:p w:rsidR="00595249" w:rsidRDefault="00595249" w:rsidP="00DE1661">
      <w:pPr>
        <w:pStyle w:val="13"/>
      </w:pPr>
      <w:r w:rsidRPr="009C34D1">
        <w:t xml:space="preserve">Индикатор </w:t>
      </w:r>
      <w:r>
        <w:t xml:space="preserve">наличия </w:t>
      </w:r>
      <w:r>
        <w:rPr>
          <w:lang w:val="en-US"/>
        </w:rPr>
        <w:t>GUID</w:t>
      </w:r>
      <w:r w:rsidRPr="00C25762">
        <w:t xml:space="preserve"> </w:t>
      </w:r>
      <w:r>
        <w:t>документа на ЕПБС</w:t>
      </w:r>
      <w:r w:rsidRPr="009C34D1">
        <w:t xml:space="preserve"> – индикатор имеет значения: зеленый индикатор – </w:t>
      </w:r>
      <w:r>
        <w:t>наличествует</w:t>
      </w:r>
      <w:r w:rsidRPr="009C34D1">
        <w:t xml:space="preserve">, красный индикатор – </w:t>
      </w:r>
      <w:r>
        <w:t>отсутствует на ЕПБС и есть в ПУР, серый – вложение по данному соглашению отсутствует, отсутствие индикатора – соглашение 2018 года по графику БО (в отчете представлены вложения по соглашениям, БО по которым было изменено не ранее 2019 года);</w:t>
      </w:r>
    </w:p>
    <w:p w:rsidR="00595249" w:rsidRDefault="00595249" w:rsidP="00DE1661">
      <w:pPr>
        <w:pStyle w:val="13"/>
      </w:pPr>
      <w:r w:rsidRPr="009C34D1">
        <w:t xml:space="preserve">Индикатор </w:t>
      </w:r>
      <w:r>
        <w:t>наличия вложения в ПУР</w:t>
      </w:r>
      <w:r w:rsidRPr="009C34D1">
        <w:t xml:space="preserve"> – индикатор имеет значения: зеленый индикатор – </w:t>
      </w:r>
      <w:r>
        <w:t>наличествует</w:t>
      </w:r>
      <w:r w:rsidRPr="009C34D1">
        <w:t xml:space="preserve">, красный индикатор – </w:t>
      </w:r>
      <w:r>
        <w:t>отсутствует в ПУР и есть на ЕПБС, серый – вложение по данному соглашению отсутствует, отсутствие индикатора – соглашение 2018 года по графику БО (в отчете представлены вложения по соглашениям, БО по которым было изменено не ранее 2019 года);</w:t>
      </w:r>
    </w:p>
    <w:p w:rsidR="00595249" w:rsidRDefault="00595249" w:rsidP="00DE1661">
      <w:pPr>
        <w:pStyle w:val="13"/>
      </w:pPr>
      <w:r w:rsidRPr="009C34D1">
        <w:t>Индикатор</w:t>
      </w:r>
      <w:r>
        <w:t xml:space="preserve"> дублирования вложения на ЕПБС </w:t>
      </w:r>
      <w:r w:rsidRPr="009C34D1">
        <w:t xml:space="preserve">– индикатор имеет значения: зеленый индикатор – </w:t>
      </w:r>
      <w:r>
        <w:t>дубли отсутствуют</w:t>
      </w:r>
      <w:r w:rsidRPr="009C34D1">
        <w:t xml:space="preserve">, красный индикатор – </w:t>
      </w:r>
      <w:r>
        <w:t>наличествуют дубли, серый – вложение по данному соглашению отсутствует, отсутствие индикатора – соглашение 2018 года по графику БО (в отчете представлены вложения по соглашениям, БО по которым было изменено не ранее 2019 года);</w:t>
      </w:r>
    </w:p>
    <w:p w:rsidR="00595249" w:rsidRPr="007B018B" w:rsidRDefault="00595249" w:rsidP="00DE1661">
      <w:pPr>
        <w:pStyle w:val="13"/>
      </w:pPr>
      <w:r>
        <w:t>Индикатор соответствия типов вложения в ПУР и на ЕПБС – индикатор имеет значения: зеленый индикатор – соответствует, красный индикатор – не соответствует, серый – вложение по данному соглашению отсутствует, отсутствие индикатора – соглашение 2018 года по графику БО (в отчете представлены вложения по соглашениям, БО по которым было изменено не ранее 2019 года).</w:t>
      </w:r>
    </w:p>
    <w:p w:rsidR="007B018B" w:rsidRPr="007B018B" w:rsidRDefault="007B018B" w:rsidP="007B018B">
      <w:pPr>
        <w:pStyle w:val="ac"/>
        <w:ind w:firstLine="567"/>
      </w:pPr>
      <w:r w:rsidRPr="007B018B">
        <w:t xml:space="preserve">Проанализировать значения индикаторов в представлении «По соглашениям» в соответствии с Таблицей </w:t>
      </w:r>
      <w:r w:rsidRPr="007B018B">
        <w:fldChar w:fldCharType="begin"/>
      </w:r>
      <w:r w:rsidRPr="007B018B">
        <w:instrText xml:space="preserve"> REF _Ref95207613 \h </w:instrText>
      </w:r>
      <w:r>
        <w:instrText xml:space="preserve"> \* MERGEFORMAT </w:instrText>
      </w:r>
      <w:r w:rsidRPr="007B018B">
        <w:fldChar w:fldCharType="separate"/>
      </w:r>
      <w:r w:rsidR="00BF0BEE">
        <w:rPr>
          <w:noProof/>
        </w:rPr>
        <w:t>37</w:t>
      </w:r>
      <w:r w:rsidRPr="007B018B">
        <w:fldChar w:fldCharType="end"/>
      </w:r>
      <w:r w:rsidRPr="007B018B">
        <w:t>.</w:t>
      </w:r>
    </w:p>
    <w:p w:rsidR="00595249" w:rsidRDefault="00595249" w:rsidP="00595249">
      <w:pPr>
        <w:pStyle w:val="af0"/>
        <w:rPr>
          <w:szCs w:val="28"/>
        </w:rPr>
      </w:pPr>
      <w:r>
        <w:t xml:space="preserve">В представлении реализованы переходы как на внешние источники, так и в </w:t>
      </w:r>
      <w:r>
        <w:rPr>
          <w:szCs w:val="28"/>
        </w:rPr>
        <w:t>детализирующие представления:</w:t>
      </w:r>
    </w:p>
    <w:p w:rsidR="00595249" w:rsidRDefault="00595249" w:rsidP="00DE1661">
      <w:pPr>
        <w:pStyle w:val="13"/>
      </w:pPr>
      <w:r>
        <w:t>«Номер реестровой записи (ПУР)» → «Показать в ПУР», «Расхождение в части кассового исполнения», «Детализация по соглашениям», «Вложения по соглашениям»;</w:t>
      </w:r>
    </w:p>
    <w:p w:rsidR="00595249" w:rsidRDefault="00595249" w:rsidP="00DE1661">
      <w:pPr>
        <w:pStyle w:val="13"/>
      </w:pPr>
      <w:r>
        <w:t>«Номер реестровой записи (ЕПБС) → «Реестр соглашений».</w:t>
      </w:r>
    </w:p>
    <w:p w:rsidR="00595249" w:rsidRDefault="00595249" w:rsidP="00DE1661">
      <w:pPr>
        <w:pStyle w:val="13"/>
      </w:pPr>
      <w:bookmarkStart w:id="817" w:name="_Toc40864463"/>
      <w:r w:rsidRPr="009C34D1">
        <w:t xml:space="preserve">В таблице представлена Итоговая строка по атрибутам: </w:t>
      </w:r>
    </w:p>
    <w:p w:rsidR="00595249" w:rsidRDefault="00595249" w:rsidP="00DE1661">
      <w:pPr>
        <w:pStyle w:val="13"/>
      </w:pPr>
      <w:r w:rsidRPr="009C34D1">
        <w:t>Номер реестровой записи (ПУР) – отображает количество соглашений</w:t>
      </w:r>
      <w:r>
        <w:t>;</w:t>
      </w:r>
    </w:p>
    <w:p w:rsidR="00595249" w:rsidRDefault="00595249" w:rsidP="00DE1661">
      <w:pPr>
        <w:pStyle w:val="13"/>
      </w:pPr>
      <w:r w:rsidRPr="009C34D1">
        <w:t>Номер реестровой записи (ЕПБС) – отображает количество соглашений</w:t>
      </w:r>
      <w:r>
        <w:t>;</w:t>
      </w:r>
    </w:p>
    <w:p w:rsidR="00595249" w:rsidRDefault="00595249" w:rsidP="00DE1661">
      <w:pPr>
        <w:pStyle w:val="13"/>
      </w:pPr>
      <w:r w:rsidRPr="009C34D1">
        <w:t>Сумма соглашения (ПУР) – отображает сумму соглашений</w:t>
      </w:r>
      <w:bookmarkEnd w:id="817"/>
      <w:r>
        <w:t>;</w:t>
      </w:r>
    </w:p>
    <w:p w:rsidR="00595249" w:rsidRDefault="00595249" w:rsidP="00DE1661">
      <w:pPr>
        <w:pStyle w:val="13"/>
      </w:pPr>
      <w:r>
        <w:t>Индикатор соответствия количества соглашений в ПУР и на ЕПБС – отображает количество нарушений;</w:t>
      </w:r>
    </w:p>
    <w:p w:rsidR="00595249" w:rsidRDefault="00595249" w:rsidP="00DE1661">
      <w:pPr>
        <w:pStyle w:val="13"/>
      </w:pPr>
      <w:r w:rsidRPr="009C34D1">
        <w:t>Индикатор соответствия суммы соглашения в ПУР и на ЕПБС –</w:t>
      </w:r>
      <w:r>
        <w:t xml:space="preserve"> отображает количество нарушений;</w:t>
      </w:r>
    </w:p>
    <w:p w:rsidR="00595249" w:rsidRDefault="00595249" w:rsidP="00DE1661">
      <w:pPr>
        <w:pStyle w:val="13"/>
      </w:pPr>
      <w:r w:rsidRPr="009C34D1">
        <w:t>Индикатор соответствия Суммы соглашения (ПУР) и Суммы БО (ПУР) ЕПБС –</w:t>
      </w:r>
      <w:r>
        <w:t xml:space="preserve"> отображает количество нарушений;</w:t>
      </w:r>
    </w:p>
    <w:p w:rsidR="00595249" w:rsidRDefault="00595249" w:rsidP="00DE1661">
      <w:pPr>
        <w:pStyle w:val="13"/>
      </w:pPr>
      <w:r w:rsidRPr="009C34D1">
        <w:t>Индикатор соответствия Перечислено (ПУР) и Перечислено (ЕПБС) –</w:t>
      </w:r>
      <w:r>
        <w:t xml:space="preserve"> отображает количество нарушений;</w:t>
      </w:r>
    </w:p>
    <w:p w:rsidR="00595249" w:rsidRDefault="00595249" w:rsidP="00DE1661">
      <w:pPr>
        <w:pStyle w:val="13"/>
      </w:pPr>
      <w:r w:rsidRPr="009C34D1">
        <w:t xml:space="preserve">Индикатор </w:t>
      </w:r>
      <w:r>
        <w:t>наличия вложения на ЕПБС</w:t>
      </w:r>
      <w:r w:rsidRPr="009C34D1">
        <w:t xml:space="preserve"> –</w:t>
      </w:r>
      <w:r>
        <w:t xml:space="preserve"> отображает количество нарушений;</w:t>
      </w:r>
    </w:p>
    <w:p w:rsidR="00595249" w:rsidRDefault="00595249" w:rsidP="00DE1661">
      <w:pPr>
        <w:pStyle w:val="13"/>
      </w:pPr>
      <w:r w:rsidRPr="009C34D1">
        <w:t xml:space="preserve">Индикатор </w:t>
      </w:r>
      <w:r>
        <w:t xml:space="preserve">наличия </w:t>
      </w:r>
      <w:r>
        <w:rPr>
          <w:lang w:val="en-US"/>
        </w:rPr>
        <w:t>GUID</w:t>
      </w:r>
      <w:r w:rsidRPr="00C25762">
        <w:t xml:space="preserve"> </w:t>
      </w:r>
      <w:r>
        <w:t>документа на ЕПБС</w:t>
      </w:r>
      <w:r w:rsidRPr="009C34D1">
        <w:t xml:space="preserve"> –</w:t>
      </w:r>
      <w:r>
        <w:t xml:space="preserve"> отображает количество нарушений;</w:t>
      </w:r>
    </w:p>
    <w:p w:rsidR="00595249" w:rsidRDefault="00595249" w:rsidP="00DE1661">
      <w:pPr>
        <w:pStyle w:val="13"/>
      </w:pPr>
      <w:r w:rsidRPr="009C34D1">
        <w:t xml:space="preserve">Индикатор </w:t>
      </w:r>
      <w:r>
        <w:t>наличия вложения в ПУР</w:t>
      </w:r>
      <w:r w:rsidRPr="009C34D1">
        <w:t xml:space="preserve"> –</w:t>
      </w:r>
      <w:r>
        <w:t xml:space="preserve"> отображает количество нарушений;</w:t>
      </w:r>
    </w:p>
    <w:p w:rsidR="00595249" w:rsidRDefault="00595249" w:rsidP="00DE1661">
      <w:pPr>
        <w:pStyle w:val="13"/>
      </w:pPr>
      <w:r w:rsidRPr="009C34D1">
        <w:t>Индикатор</w:t>
      </w:r>
      <w:r>
        <w:t xml:space="preserve"> дублирования вложения на ЕПБС </w:t>
      </w:r>
      <w:r w:rsidRPr="009C34D1">
        <w:t>–</w:t>
      </w:r>
      <w:r>
        <w:t xml:space="preserve"> отображает количество нарушений;</w:t>
      </w:r>
    </w:p>
    <w:p w:rsidR="00595249" w:rsidRPr="007B4328" w:rsidRDefault="00595249" w:rsidP="00DE1661">
      <w:pPr>
        <w:pStyle w:val="13"/>
      </w:pPr>
      <w:r>
        <w:t>Индикатор соответствия типов вложения в ПУР и на ЕПБС – отображает количество нарушений.</w:t>
      </w:r>
    </w:p>
    <w:p w:rsidR="00595249" w:rsidRPr="009C34D1" w:rsidRDefault="00595249" w:rsidP="00595249">
      <w:pPr>
        <w:pStyle w:val="af0"/>
      </w:pPr>
      <w:bookmarkStart w:id="818" w:name="_Toc40864464"/>
      <w:r w:rsidRPr="009C34D1">
        <w:t>Фильтры представления:</w:t>
      </w:r>
      <w:bookmarkEnd w:id="818"/>
    </w:p>
    <w:p w:rsidR="00595249" w:rsidRPr="009C34D1" w:rsidRDefault="00595249" w:rsidP="00DE1661">
      <w:pPr>
        <w:pStyle w:val="13"/>
      </w:pPr>
      <w:r w:rsidRPr="009C34D1">
        <w:rPr>
          <w:iCs/>
        </w:rPr>
        <w:t>ТОФК</w:t>
      </w:r>
      <w:r w:rsidRPr="009C34D1">
        <w:t xml:space="preserve"> – выпадающий список с перечнем территориальных органов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595249" w:rsidRPr="009C34D1" w:rsidRDefault="00595249" w:rsidP="00DE1661">
      <w:pPr>
        <w:pStyle w:val="13"/>
      </w:pPr>
      <w:r w:rsidRPr="009C34D1">
        <w:rPr>
          <w:iCs/>
        </w:rPr>
        <w:t>ИНН получателя</w:t>
      </w:r>
      <w:r w:rsidRPr="009C34D1">
        <w:t xml:space="preserve"> – фильтрация по идентификационному номеру налогоплательщика.</w:t>
      </w:r>
    </w:p>
    <w:p w:rsidR="00595249" w:rsidRPr="009C34D1" w:rsidRDefault="00595249" w:rsidP="00DE1661">
      <w:pPr>
        <w:pStyle w:val="13"/>
      </w:pPr>
      <w:r w:rsidRPr="009C34D1">
        <w:rPr>
          <w:iCs/>
        </w:rPr>
        <w:t>Показать проблемы</w:t>
      </w:r>
      <w:r w:rsidRPr="009C34D1">
        <w:t xml:space="preserve"> – выпадающий список с перечнем возможных проблем качества распространения данных реестра соглашений на ЕПБС</w:t>
      </w:r>
      <w:r>
        <w:t>. По умолчанию предустановлен в значение «Есть проблемы». Параметры фильтра</w:t>
      </w:r>
      <w:r w:rsidRPr="009C34D1">
        <w:t>:</w:t>
      </w:r>
    </w:p>
    <w:p w:rsidR="00595249" w:rsidRPr="009C34D1" w:rsidRDefault="00595249" w:rsidP="002775E6">
      <w:pPr>
        <w:pStyle w:val="29"/>
      </w:pPr>
      <w:r w:rsidRPr="009C34D1">
        <w:t>Все;</w:t>
      </w:r>
    </w:p>
    <w:p w:rsidR="00595249" w:rsidRPr="009C34D1" w:rsidRDefault="00595249" w:rsidP="002775E6">
      <w:pPr>
        <w:pStyle w:val="29"/>
      </w:pPr>
      <w:r w:rsidRPr="009C34D1">
        <w:t>Есть проблемы;</w:t>
      </w:r>
    </w:p>
    <w:p w:rsidR="00595249" w:rsidRPr="009C34D1" w:rsidRDefault="00595249" w:rsidP="002775E6">
      <w:pPr>
        <w:pStyle w:val="29"/>
      </w:pPr>
      <w:r w:rsidRPr="009C34D1">
        <w:t>Нет проблем;</w:t>
      </w:r>
    </w:p>
    <w:p w:rsidR="00595249" w:rsidRPr="009C34D1" w:rsidRDefault="00595249" w:rsidP="002775E6">
      <w:pPr>
        <w:pStyle w:val="29"/>
      </w:pPr>
      <w:r w:rsidRPr="001A1F02">
        <w:t>Не соответствует количество соглашений в ПУР и на ЕПБС</w:t>
      </w:r>
      <w:r w:rsidRPr="009C34D1">
        <w:t>;</w:t>
      </w:r>
    </w:p>
    <w:p w:rsidR="00595249" w:rsidRPr="009C34D1" w:rsidRDefault="00595249" w:rsidP="002775E6">
      <w:pPr>
        <w:pStyle w:val="29"/>
      </w:pPr>
      <w:r w:rsidRPr="009C34D1">
        <w:t xml:space="preserve">Не соответствуют суммы соглашений </w:t>
      </w:r>
      <w:r>
        <w:t xml:space="preserve">в </w:t>
      </w:r>
      <w:r w:rsidRPr="009C34D1">
        <w:t xml:space="preserve">ПУР и </w:t>
      </w:r>
      <w:r>
        <w:t xml:space="preserve">на </w:t>
      </w:r>
      <w:r w:rsidRPr="009C34D1">
        <w:t>ЕПБС;</w:t>
      </w:r>
    </w:p>
    <w:p w:rsidR="00595249" w:rsidRPr="009C34D1" w:rsidRDefault="00595249" w:rsidP="002775E6">
      <w:pPr>
        <w:pStyle w:val="29"/>
      </w:pPr>
      <w:r w:rsidRPr="009C34D1">
        <w:t>Не соответствуют суммы соглашений в ПУР и суммы БО;</w:t>
      </w:r>
    </w:p>
    <w:p w:rsidR="00595249" w:rsidRDefault="00595249" w:rsidP="002775E6">
      <w:pPr>
        <w:pStyle w:val="29"/>
      </w:pPr>
      <w:r w:rsidRPr="009C34D1">
        <w:t>Не соответствуют перечисления в ПУР и на ЕПБС;</w:t>
      </w:r>
    </w:p>
    <w:p w:rsidR="00595249" w:rsidRDefault="00595249" w:rsidP="002775E6">
      <w:pPr>
        <w:pStyle w:val="29"/>
      </w:pPr>
      <w:r w:rsidRPr="00533C94">
        <w:t>Отсутствует вложение на ЕПБС</w:t>
      </w:r>
      <w:r>
        <w:t>;</w:t>
      </w:r>
    </w:p>
    <w:p w:rsidR="00595249" w:rsidRDefault="00595249" w:rsidP="002775E6">
      <w:pPr>
        <w:pStyle w:val="29"/>
      </w:pPr>
      <w:r w:rsidRPr="00533C94">
        <w:t>Отсутствует GUID документа на ЕПБС</w:t>
      </w:r>
      <w:r>
        <w:t>;</w:t>
      </w:r>
    </w:p>
    <w:p w:rsidR="00595249" w:rsidRDefault="00595249" w:rsidP="002775E6">
      <w:pPr>
        <w:pStyle w:val="29"/>
      </w:pPr>
      <w:r w:rsidRPr="00533C94">
        <w:t>Отсутствует вложение в ПУР</w:t>
      </w:r>
      <w:r>
        <w:t>;</w:t>
      </w:r>
    </w:p>
    <w:p w:rsidR="00595249" w:rsidRDefault="00595249" w:rsidP="002775E6">
      <w:pPr>
        <w:pStyle w:val="29"/>
      </w:pPr>
      <w:r w:rsidRPr="00533C94">
        <w:t>Дублирование вложения на ЕПБС</w:t>
      </w:r>
      <w:r>
        <w:t>;</w:t>
      </w:r>
    </w:p>
    <w:p w:rsidR="00595249" w:rsidRDefault="00595249" w:rsidP="002775E6">
      <w:pPr>
        <w:pStyle w:val="29"/>
      </w:pPr>
      <w:r w:rsidRPr="00533C94">
        <w:t>Не соответствует тип вложения в ПУР и на ЕПБС</w:t>
      </w:r>
      <w:r>
        <w:t>;</w:t>
      </w:r>
    </w:p>
    <w:p w:rsidR="00595249" w:rsidRDefault="00595249" w:rsidP="002775E6">
      <w:pPr>
        <w:pStyle w:val="29"/>
      </w:pPr>
      <w:r w:rsidRPr="00533C94">
        <w:t>Не соответствует сумма соглашения по графику ЕПБС сумме перечисления ЕПБС</w:t>
      </w:r>
      <w:r>
        <w:t>;</w:t>
      </w:r>
    </w:p>
    <w:p w:rsidR="00595249" w:rsidRDefault="00595249" w:rsidP="002775E6">
      <w:pPr>
        <w:pStyle w:val="29"/>
      </w:pPr>
      <w:r w:rsidRPr="00533C94">
        <w:t>Не соответствует сумма соглашения по графику ПУР сумме перечисления ПУР</w:t>
      </w:r>
      <w:r>
        <w:t>;</w:t>
      </w:r>
    </w:p>
    <w:p w:rsidR="00595249" w:rsidRPr="009C34D1" w:rsidRDefault="00595249" w:rsidP="002775E6">
      <w:pPr>
        <w:pStyle w:val="29"/>
      </w:pPr>
      <w:r w:rsidRPr="00533C94">
        <w:t>Не соответствует сумма БО по графику ПУР сумме перечисления ПУР</w:t>
      </w:r>
      <w:r>
        <w:t>.</w:t>
      </w:r>
    </w:p>
    <w:p w:rsidR="00595249" w:rsidRPr="009C34D1" w:rsidRDefault="00595249" w:rsidP="00DE1661">
      <w:pPr>
        <w:pStyle w:val="13"/>
      </w:pPr>
      <w:r w:rsidRPr="009C34D1">
        <w:rPr>
          <w:iCs/>
        </w:rPr>
        <w:t>Единицы измерения</w:t>
      </w:r>
      <w:r w:rsidRPr="009C34D1">
        <w:t xml:space="preserve"> – фильтр отображения разрядов суммовых значений показателей. Фильтр имеет параметры:</w:t>
      </w:r>
    </w:p>
    <w:p w:rsidR="00595249" w:rsidRPr="009C34D1" w:rsidRDefault="00595249" w:rsidP="002775E6">
      <w:pPr>
        <w:pStyle w:val="29"/>
      </w:pPr>
      <w:r w:rsidRPr="009C34D1">
        <w:t>руб = значение суммы;</w:t>
      </w:r>
    </w:p>
    <w:p w:rsidR="00595249" w:rsidRPr="009C34D1" w:rsidRDefault="00595249" w:rsidP="002775E6">
      <w:pPr>
        <w:pStyle w:val="29"/>
      </w:pPr>
      <w:r w:rsidRPr="009C34D1">
        <w:t>тыс руб = значение показателя / 1 000;</w:t>
      </w:r>
    </w:p>
    <w:p w:rsidR="00595249" w:rsidRPr="009C34D1" w:rsidRDefault="00595249" w:rsidP="002775E6">
      <w:pPr>
        <w:pStyle w:val="29"/>
      </w:pPr>
      <w:r w:rsidRPr="009C34D1">
        <w:t>млн руб = значение показателя / 1 000 000;</w:t>
      </w:r>
    </w:p>
    <w:p w:rsidR="00595249" w:rsidRPr="009C34D1" w:rsidRDefault="00595249" w:rsidP="002775E6">
      <w:pPr>
        <w:pStyle w:val="29"/>
      </w:pPr>
      <w:r w:rsidRPr="009C34D1">
        <w:t>млрд руб = значение показателя / 1 000 000 000.</w:t>
      </w:r>
    </w:p>
    <w:p w:rsidR="00595249" w:rsidRPr="009C34D1" w:rsidRDefault="00595249" w:rsidP="00DE1661">
      <w:pPr>
        <w:pStyle w:val="13"/>
      </w:pPr>
      <w:r w:rsidRPr="009C34D1">
        <w:rPr>
          <w:iCs/>
        </w:rPr>
        <w:t>ГРБС</w:t>
      </w:r>
      <w:r w:rsidRPr="009C34D1">
        <w:t xml:space="preserve"> – выпадающий список с перечнем ГРБС. В фильтре реализована возможность ввода кода и наименования ГРБС, а также множественный выбор параметров фильтрации. В перечне ГРБС отражены только те распорядители, по которым наличествуют соглашения в отчете.</w:t>
      </w:r>
    </w:p>
    <w:p w:rsidR="00595249" w:rsidRPr="009C34D1" w:rsidRDefault="00595249" w:rsidP="00DE1661">
      <w:pPr>
        <w:pStyle w:val="13"/>
      </w:pPr>
      <w:r w:rsidRPr="009C34D1">
        <w:rPr>
          <w:iCs/>
        </w:rPr>
        <w:t>Дата заключения</w:t>
      </w:r>
      <w:r w:rsidRPr="009C34D1">
        <w:t xml:space="preserve"> (параметр имеет два поля ввода, которые позволяют выбрать интервал дат заключения соглашений С: ДД.ММ.ГГГГ По: ДД.ММ.ГГГГ).</w:t>
      </w:r>
    </w:p>
    <w:p w:rsidR="00595249" w:rsidRPr="009C34D1" w:rsidRDefault="00595249" w:rsidP="00DE1661">
      <w:pPr>
        <w:pStyle w:val="13"/>
      </w:pPr>
      <w:r w:rsidRPr="009C34D1">
        <w:rPr>
          <w:iCs/>
        </w:rPr>
        <w:t>КБК</w:t>
      </w:r>
      <w:r w:rsidRPr="009C34D1">
        <w:t xml:space="preserve">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Реализован контекстный поиск.</w:t>
      </w:r>
    </w:p>
    <w:p w:rsidR="00595249" w:rsidRPr="009C34D1" w:rsidRDefault="00595249" w:rsidP="00DE1661">
      <w:pPr>
        <w:pStyle w:val="13"/>
      </w:pPr>
      <w:r w:rsidRPr="009C34D1">
        <w:rPr>
          <w:iCs/>
        </w:rPr>
        <w:t xml:space="preserve">Год </w:t>
      </w:r>
      <w:r>
        <w:rPr>
          <w:iCs/>
        </w:rPr>
        <w:t xml:space="preserve">последнего изменения </w:t>
      </w:r>
      <w:r w:rsidRPr="009C34D1">
        <w:rPr>
          <w:iCs/>
        </w:rPr>
        <w:t xml:space="preserve">БО </w:t>
      </w:r>
      <w:r w:rsidRPr="009C34D1">
        <w:t>–</w:t>
      </w:r>
      <w:r>
        <w:t xml:space="preserve"> </w:t>
      </w:r>
      <w:r w:rsidRPr="009C34D1">
        <w:t>год, в котором были внесены</w:t>
      </w:r>
      <w:r>
        <w:t xml:space="preserve"> последние</w:t>
      </w:r>
      <w:r w:rsidRPr="009C34D1">
        <w:t xml:space="preserve"> изменения в БО</w:t>
      </w:r>
      <w:r>
        <w:t xml:space="preserve"> (год актуализации БО</w:t>
      </w:r>
      <w:r w:rsidRPr="009C34D1">
        <w:t>.</w:t>
      </w:r>
    </w:p>
    <w:p w:rsidR="00595249" w:rsidRPr="009C34D1" w:rsidRDefault="00595249" w:rsidP="00DE1661">
      <w:pPr>
        <w:pStyle w:val="13"/>
      </w:pPr>
      <w:r w:rsidRPr="009C34D1">
        <w:rPr>
          <w:iCs/>
        </w:rPr>
        <w:t>Сумма соглашения</w:t>
      </w:r>
      <w:r w:rsidRPr="009C34D1">
        <w:t xml:space="preserve"> (параметр имеет два поля ввода, которые позволяют выбрать интервал значений От и До). В фильтре вводятся значения в руб.</w:t>
      </w:r>
    </w:p>
    <w:p w:rsidR="00595249" w:rsidRPr="009C34D1" w:rsidRDefault="00595249" w:rsidP="00DE1661">
      <w:pPr>
        <w:pStyle w:val="13"/>
      </w:pPr>
      <w:r w:rsidRPr="009C34D1">
        <w:rPr>
          <w:iCs/>
        </w:rPr>
        <w:t>Год по сроку действия соглашения</w:t>
      </w:r>
      <w:r w:rsidRPr="009C34D1">
        <w:t xml:space="preserve"> – отображает соглашения, которые попадают в интервал между датами начала и окончания действия соглашения, включая крайние границы.</w:t>
      </w:r>
    </w:p>
    <w:p w:rsidR="00595249" w:rsidRPr="009C34D1" w:rsidRDefault="00595249" w:rsidP="00DE1661">
      <w:pPr>
        <w:pStyle w:val="13"/>
      </w:pPr>
      <w:r w:rsidRPr="009C34D1">
        <w:rPr>
          <w:iCs/>
        </w:rPr>
        <w:t>Введите Уникальный реестровый номер / Номер договора</w:t>
      </w:r>
      <w:r>
        <w:rPr>
          <w:iCs/>
        </w:rPr>
        <w:t xml:space="preserve"> / Номер БО</w:t>
      </w:r>
      <w:r w:rsidRPr="009C34D1">
        <w:t xml:space="preserve"> – область ввода реестрового номера соглашения, а также номера соглашения (договора, НПА)</w:t>
      </w:r>
      <w:r>
        <w:t xml:space="preserve"> и номера БО</w:t>
      </w:r>
      <w:r w:rsidRPr="009C34D1">
        <w:t>.</w:t>
      </w:r>
    </w:p>
    <w:p w:rsidR="00595249" w:rsidRPr="009C34D1" w:rsidRDefault="00595249" w:rsidP="00DE1661">
      <w:pPr>
        <w:pStyle w:val="13"/>
      </w:pPr>
      <w:r w:rsidRPr="009C34D1">
        <w:rPr>
          <w:iCs/>
        </w:rPr>
        <w:t>Национальный проект</w:t>
      </w:r>
      <w:r w:rsidRPr="009C34D1">
        <w:t xml:space="preserve"> – в фильтре реализована возможность множественного выбора нескольких значений:</w:t>
      </w:r>
    </w:p>
    <w:p w:rsidR="00595249" w:rsidRPr="009C34D1" w:rsidRDefault="00595249" w:rsidP="002775E6">
      <w:pPr>
        <w:pStyle w:val="29"/>
      </w:pPr>
      <w:r w:rsidRPr="009C34D1">
        <w:t>Расходы вне рамок нац. проектов;</w:t>
      </w:r>
    </w:p>
    <w:p w:rsidR="00595249" w:rsidRPr="009C34D1" w:rsidRDefault="00595249" w:rsidP="002775E6">
      <w:pPr>
        <w:pStyle w:val="29"/>
      </w:pPr>
      <w:r w:rsidRPr="009C34D1">
        <w:t>Расходы в рамках нац. проектов;</w:t>
      </w:r>
    </w:p>
    <w:p w:rsidR="00595249" w:rsidRPr="009C34D1" w:rsidRDefault="00595249" w:rsidP="002775E6">
      <w:pPr>
        <w:pStyle w:val="29"/>
      </w:pPr>
      <w:r w:rsidRPr="009C34D1">
        <w:t>А – Культура;</w:t>
      </w:r>
    </w:p>
    <w:p w:rsidR="00595249" w:rsidRPr="009C34D1" w:rsidRDefault="00595249" w:rsidP="002775E6">
      <w:pPr>
        <w:pStyle w:val="3e"/>
      </w:pPr>
      <w:r w:rsidRPr="009C34D1">
        <w:t>А1 – Федеральный проект «Культурная среда»;</w:t>
      </w:r>
    </w:p>
    <w:p w:rsidR="00595249" w:rsidRPr="009C34D1" w:rsidRDefault="00595249" w:rsidP="002775E6">
      <w:pPr>
        <w:pStyle w:val="3e"/>
      </w:pPr>
      <w:r w:rsidRPr="009C34D1">
        <w:t>А2 – Федеральный проект «Творческие люди»;</w:t>
      </w:r>
    </w:p>
    <w:p w:rsidR="00595249" w:rsidRPr="009C34D1" w:rsidRDefault="00595249" w:rsidP="002775E6">
      <w:pPr>
        <w:pStyle w:val="3e"/>
      </w:pPr>
      <w:r w:rsidRPr="009C34D1">
        <w:t>А3 – Федеральный проект «Цифровая культура».</w:t>
      </w:r>
    </w:p>
    <w:p w:rsidR="00595249" w:rsidRPr="009C34D1" w:rsidRDefault="00595249" w:rsidP="002775E6">
      <w:pPr>
        <w:pStyle w:val="29"/>
      </w:pPr>
      <w:r w:rsidRPr="009C34D1">
        <w:t>D – Цифровая экономика;</w:t>
      </w:r>
    </w:p>
    <w:p w:rsidR="00595249" w:rsidRPr="009C34D1" w:rsidRDefault="00595249" w:rsidP="002775E6">
      <w:pPr>
        <w:pStyle w:val="3e"/>
      </w:pPr>
      <w:r w:rsidRPr="009C34D1">
        <w:t>D1 – Федеральный проект «Нормативное регулирование цифровой среды»;</w:t>
      </w:r>
    </w:p>
    <w:p w:rsidR="00595249" w:rsidRPr="009C34D1" w:rsidRDefault="00595249" w:rsidP="002775E6">
      <w:pPr>
        <w:pStyle w:val="3e"/>
      </w:pPr>
      <w:r w:rsidRPr="009C34D1">
        <w:t>D2 – Федеральный проект «Информационная инфраструктура»;</w:t>
      </w:r>
    </w:p>
    <w:p w:rsidR="00595249" w:rsidRPr="009C34D1" w:rsidRDefault="00595249" w:rsidP="002775E6">
      <w:pPr>
        <w:pStyle w:val="3e"/>
      </w:pPr>
      <w:r w:rsidRPr="009C34D1">
        <w:t>D3 – Федеральный проект «Кадры для цифровой экономики»;</w:t>
      </w:r>
    </w:p>
    <w:p w:rsidR="00595249" w:rsidRPr="009C34D1" w:rsidRDefault="00595249" w:rsidP="002775E6">
      <w:pPr>
        <w:pStyle w:val="3e"/>
      </w:pPr>
      <w:r w:rsidRPr="009C34D1">
        <w:t>D4 – Федеральный проект «Информационная безопасность»;</w:t>
      </w:r>
    </w:p>
    <w:p w:rsidR="00595249" w:rsidRPr="009C34D1" w:rsidRDefault="00595249" w:rsidP="002775E6">
      <w:pPr>
        <w:pStyle w:val="3e"/>
      </w:pPr>
      <w:r w:rsidRPr="009C34D1">
        <w:t>D5 – Федеральный проект «Цифровые технологии»;</w:t>
      </w:r>
    </w:p>
    <w:p w:rsidR="00595249" w:rsidRPr="009C34D1" w:rsidRDefault="00595249" w:rsidP="002775E6">
      <w:pPr>
        <w:pStyle w:val="3e"/>
      </w:pPr>
      <w:r w:rsidRPr="009C34D1">
        <w:t>D6 – Федеральный проект «Цифровое государственное управление».</w:t>
      </w:r>
    </w:p>
    <w:p w:rsidR="00595249" w:rsidRPr="009C34D1" w:rsidRDefault="00595249" w:rsidP="002775E6">
      <w:pPr>
        <w:pStyle w:val="29"/>
      </w:pPr>
      <w:r w:rsidRPr="009C34D1">
        <w:t>- E – Образование;</w:t>
      </w:r>
    </w:p>
    <w:p w:rsidR="00595249" w:rsidRPr="009C34D1" w:rsidRDefault="00595249" w:rsidP="002775E6">
      <w:pPr>
        <w:pStyle w:val="3e"/>
      </w:pPr>
      <w:r w:rsidRPr="009C34D1">
        <w:t>Е1 – Федеральный проект «Современная школа»;</w:t>
      </w:r>
    </w:p>
    <w:p w:rsidR="00595249" w:rsidRPr="009C34D1" w:rsidRDefault="00595249" w:rsidP="002775E6">
      <w:pPr>
        <w:pStyle w:val="3e"/>
      </w:pPr>
      <w:r w:rsidRPr="009C34D1">
        <w:t>Е2 – Федеральный проект «Успех каждого ребенка»;</w:t>
      </w:r>
    </w:p>
    <w:p w:rsidR="00595249" w:rsidRPr="009C34D1" w:rsidRDefault="00595249" w:rsidP="002775E6">
      <w:pPr>
        <w:pStyle w:val="3e"/>
      </w:pPr>
      <w:r w:rsidRPr="009C34D1">
        <w:t>Е3 – Федеральный проект «Поддержка семей, имеющих детей»;</w:t>
      </w:r>
    </w:p>
    <w:p w:rsidR="00595249" w:rsidRPr="009C34D1" w:rsidRDefault="00595249" w:rsidP="002775E6">
      <w:pPr>
        <w:pStyle w:val="3e"/>
      </w:pPr>
      <w:r w:rsidRPr="009C34D1">
        <w:t>Е4 – Федеральный проект «Цифровая образовательная среда»;</w:t>
      </w:r>
    </w:p>
    <w:p w:rsidR="00595249" w:rsidRPr="009C34D1" w:rsidRDefault="00595249" w:rsidP="002775E6">
      <w:pPr>
        <w:pStyle w:val="3e"/>
      </w:pPr>
      <w:r w:rsidRPr="009C34D1">
        <w:t>Е5 – Федеральный проект «Учитель будущего»;</w:t>
      </w:r>
    </w:p>
    <w:p w:rsidR="00595249" w:rsidRPr="009C34D1" w:rsidRDefault="00595249" w:rsidP="002775E6">
      <w:pPr>
        <w:pStyle w:val="3e"/>
      </w:pPr>
      <w:r w:rsidRPr="009C34D1">
        <w:t>Е6 – Федеральный проект «Молодые профессионалы (Повышение конкурентоспособности профессионального образования)»;</w:t>
      </w:r>
    </w:p>
    <w:p w:rsidR="00595249" w:rsidRPr="009C34D1" w:rsidRDefault="00595249" w:rsidP="002775E6">
      <w:pPr>
        <w:pStyle w:val="3e"/>
      </w:pPr>
      <w:r w:rsidRPr="009C34D1">
        <w:t>Е7 – Федеральный проект «Новые возможности для каждого»;</w:t>
      </w:r>
    </w:p>
    <w:p w:rsidR="00595249" w:rsidRPr="009C34D1" w:rsidRDefault="00595249" w:rsidP="002775E6">
      <w:pPr>
        <w:pStyle w:val="3e"/>
      </w:pPr>
      <w:r w:rsidRPr="009C34D1">
        <w:t>Е8 – Федеральный проект «Социальная активность»;</w:t>
      </w:r>
    </w:p>
    <w:p w:rsidR="00595249" w:rsidRPr="009C34D1" w:rsidRDefault="00595249" w:rsidP="002775E6">
      <w:pPr>
        <w:pStyle w:val="3e"/>
      </w:pPr>
      <w:r w:rsidRPr="009C34D1">
        <w:t>Е9 – Федеральный проект «Экспорт образования»;</w:t>
      </w:r>
    </w:p>
    <w:p w:rsidR="00595249" w:rsidRPr="009C34D1" w:rsidRDefault="00595249" w:rsidP="002775E6">
      <w:pPr>
        <w:pStyle w:val="3e"/>
      </w:pPr>
      <w:r w:rsidRPr="009C34D1">
        <w:t>ЕА – Федеральный проект «Социальные лифты для каждого».</w:t>
      </w:r>
    </w:p>
    <w:p w:rsidR="00595249" w:rsidRPr="009C34D1" w:rsidRDefault="00595249" w:rsidP="00E9460E">
      <w:pPr>
        <w:pStyle w:val="29"/>
      </w:pPr>
      <w:r w:rsidRPr="009C34D1">
        <w:t>- F – Жилье и городская среда;</w:t>
      </w:r>
    </w:p>
    <w:p w:rsidR="00595249" w:rsidRPr="009C34D1" w:rsidRDefault="00595249" w:rsidP="00E9460E">
      <w:pPr>
        <w:pStyle w:val="3e"/>
      </w:pPr>
      <w:r w:rsidRPr="009C34D1">
        <w:t>F1 – Федеральный проект «Жилье»;</w:t>
      </w:r>
    </w:p>
    <w:p w:rsidR="00595249" w:rsidRPr="009C34D1" w:rsidRDefault="00595249" w:rsidP="00E9460E">
      <w:pPr>
        <w:pStyle w:val="3e"/>
      </w:pPr>
      <w:r w:rsidRPr="009C34D1">
        <w:t>F2 – Федеральный проект «Формирование комфортной городской среды»;</w:t>
      </w:r>
    </w:p>
    <w:p w:rsidR="00595249" w:rsidRPr="009C34D1" w:rsidRDefault="00595249" w:rsidP="00E9460E">
      <w:pPr>
        <w:pStyle w:val="3e"/>
      </w:pPr>
      <w:r w:rsidRPr="009C34D1">
        <w:t>F3 – Федеральный проект «Обеспечение устойчивого сокращения непригодного для проживания жилищного фонда»;</w:t>
      </w:r>
    </w:p>
    <w:p w:rsidR="00595249" w:rsidRPr="009C34D1" w:rsidRDefault="00595249" w:rsidP="00E9460E">
      <w:pPr>
        <w:pStyle w:val="3e"/>
      </w:pPr>
      <w:r w:rsidRPr="009C34D1">
        <w:t>F4 – Федеральный проект «Ипотека».</w:t>
      </w:r>
    </w:p>
    <w:p w:rsidR="00595249" w:rsidRPr="009C34D1" w:rsidRDefault="00595249" w:rsidP="00E9460E">
      <w:pPr>
        <w:pStyle w:val="29"/>
      </w:pPr>
      <w:r w:rsidRPr="009C34D1">
        <w:t>G – Экология;</w:t>
      </w:r>
    </w:p>
    <w:p w:rsidR="00595249" w:rsidRPr="009C34D1" w:rsidRDefault="00595249" w:rsidP="00E9460E">
      <w:pPr>
        <w:pStyle w:val="3e"/>
      </w:pPr>
      <w:r w:rsidRPr="009C34D1">
        <w:t>G1 – Федеральный проект «Чистая страна»;</w:t>
      </w:r>
    </w:p>
    <w:p w:rsidR="00595249" w:rsidRPr="009C34D1" w:rsidRDefault="00595249" w:rsidP="00E9460E">
      <w:pPr>
        <w:pStyle w:val="3e"/>
      </w:pPr>
      <w:r w:rsidRPr="009C34D1">
        <w:t>G2 – Федеральный проект «Комплексная система обращения с твердыми коммунальными отходами»;</w:t>
      </w:r>
    </w:p>
    <w:p w:rsidR="00595249" w:rsidRPr="009C34D1" w:rsidRDefault="00595249" w:rsidP="00E9460E">
      <w:pPr>
        <w:pStyle w:val="3e"/>
      </w:pPr>
      <w:r w:rsidRPr="009C34D1">
        <w:t>G3 – Федеральный проект «Инфраструктура для обращения с отходами I-II классов опасности»;</w:t>
      </w:r>
    </w:p>
    <w:p w:rsidR="00595249" w:rsidRPr="009C34D1" w:rsidRDefault="00595249" w:rsidP="00E9460E">
      <w:pPr>
        <w:pStyle w:val="3e"/>
      </w:pPr>
      <w:r w:rsidRPr="009C34D1">
        <w:t>G4 – Федеральный проект «Чистый воздух»;</w:t>
      </w:r>
    </w:p>
    <w:p w:rsidR="00595249" w:rsidRPr="009C34D1" w:rsidRDefault="00595249" w:rsidP="00E9460E">
      <w:pPr>
        <w:pStyle w:val="3e"/>
      </w:pPr>
      <w:r w:rsidRPr="009C34D1">
        <w:t>G5 – Федеральный проект «Чистая вода»;</w:t>
      </w:r>
    </w:p>
    <w:p w:rsidR="00595249" w:rsidRPr="009C34D1" w:rsidRDefault="00595249" w:rsidP="00E9460E">
      <w:pPr>
        <w:pStyle w:val="3e"/>
      </w:pPr>
      <w:r w:rsidRPr="009C34D1">
        <w:t>G6 – Федеральный проект «Оздоровление Волги»;</w:t>
      </w:r>
    </w:p>
    <w:p w:rsidR="00595249" w:rsidRPr="009C34D1" w:rsidRDefault="00595249" w:rsidP="00E9460E">
      <w:pPr>
        <w:pStyle w:val="3e"/>
      </w:pPr>
      <w:r w:rsidRPr="009C34D1">
        <w:t>G7 – Федеральный проект «Сохранение озера Байкал»;</w:t>
      </w:r>
    </w:p>
    <w:p w:rsidR="00595249" w:rsidRPr="009C34D1" w:rsidRDefault="00595249" w:rsidP="00E9460E">
      <w:pPr>
        <w:pStyle w:val="3e"/>
      </w:pPr>
      <w:r w:rsidRPr="009C34D1">
        <w:t>G8 – Федеральный проект «Сохранение уникальных водных объектов»;</w:t>
      </w:r>
    </w:p>
    <w:p w:rsidR="00E9460E" w:rsidRPr="00DF0A2A" w:rsidRDefault="00595249" w:rsidP="00DF0A2A">
      <w:pPr>
        <w:pStyle w:val="3e"/>
      </w:pPr>
      <w:r w:rsidRPr="009C34D1">
        <w:t>G9 – Федеральный проект «Сохранение биологического разнообразия и развитие экологического туризма»;</w:t>
      </w:r>
    </w:p>
    <w:p w:rsidR="00595249" w:rsidRPr="00E9460E" w:rsidRDefault="00595249" w:rsidP="00E9460E">
      <w:pPr>
        <w:pStyle w:val="3e"/>
      </w:pPr>
      <w:r w:rsidRPr="00E9460E">
        <w:t>GA – Федеральный проект «Сохранение лесов»;</w:t>
      </w:r>
    </w:p>
    <w:p w:rsidR="00595249" w:rsidRPr="009C34D1" w:rsidRDefault="00595249" w:rsidP="00E9460E">
      <w:pPr>
        <w:pStyle w:val="3e"/>
      </w:pPr>
      <w:r w:rsidRPr="00E9460E">
        <w:t>GB – Федеральный проект «Внедрение наилучших доступных</w:t>
      </w:r>
      <w:r w:rsidRPr="009C34D1">
        <w:t xml:space="preserve"> технологий».</w:t>
      </w:r>
    </w:p>
    <w:p w:rsidR="00595249" w:rsidRPr="009C34D1" w:rsidRDefault="00595249" w:rsidP="00DF0A2A">
      <w:pPr>
        <w:pStyle w:val="29"/>
      </w:pPr>
      <w:r w:rsidRPr="009C34D1">
        <w:t>- I – Малое и среднее предпринимательство и поддержка индивидуальной предпринимательской инициативы;</w:t>
      </w:r>
    </w:p>
    <w:p w:rsidR="00595249" w:rsidRPr="009C34D1" w:rsidRDefault="00595249" w:rsidP="00DF0A2A">
      <w:pPr>
        <w:pStyle w:val="3e"/>
      </w:pPr>
      <w:r w:rsidRPr="009C34D1">
        <w:t>I1 – Федеральный проект «Улучшение условий ведения предпринимательской деятельности»;</w:t>
      </w:r>
    </w:p>
    <w:p w:rsidR="00595249" w:rsidRPr="009C34D1" w:rsidRDefault="00595249" w:rsidP="00DF0A2A">
      <w:pPr>
        <w:pStyle w:val="3e"/>
      </w:pPr>
      <w:r w:rsidRPr="009C34D1">
        <w:t>I4 – Федеральный проект «Расширение доступа субъектов малого и среднего предпринимательства к финансовым ресурсам, в том числе к льготному финансированию»;</w:t>
      </w:r>
    </w:p>
    <w:p w:rsidR="00595249" w:rsidRPr="009C34D1" w:rsidRDefault="00595249" w:rsidP="00DF0A2A">
      <w:pPr>
        <w:pStyle w:val="3e"/>
      </w:pPr>
      <w:r w:rsidRPr="009C34D1">
        <w:t>I5 – Федеральный проект «Акселерация субъектов малого и среднего предпринимательства»;</w:t>
      </w:r>
    </w:p>
    <w:p w:rsidR="00595249" w:rsidRPr="009C34D1" w:rsidRDefault="00595249" w:rsidP="00DF0A2A">
      <w:pPr>
        <w:pStyle w:val="3e"/>
      </w:pPr>
      <w:r w:rsidRPr="009C34D1">
        <w:t>I7 – Федеральный проект «Создание системы поддержки фермеров и развитие сельской кооперации»;</w:t>
      </w:r>
    </w:p>
    <w:p w:rsidR="00595249" w:rsidRPr="009C34D1" w:rsidRDefault="00595249" w:rsidP="00DF0A2A">
      <w:pPr>
        <w:pStyle w:val="3e"/>
      </w:pPr>
      <w:r w:rsidRPr="009C34D1">
        <w:t>I8 – Федеральный проект «Популяризация предпринимательства».</w:t>
      </w:r>
    </w:p>
    <w:p w:rsidR="00595249" w:rsidRPr="009C34D1" w:rsidRDefault="00595249" w:rsidP="00DF0A2A">
      <w:pPr>
        <w:pStyle w:val="29"/>
      </w:pPr>
      <w:r w:rsidRPr="009C34D1">
        <w:t>- L – Производительность труда и поддержка занятости;</w:t>
      </w:r>
    </w:p>
    <w:p w:rsidR="00595249" w:rsidRPr="009C34D1" w:rsidRDefault="00595249" w:rsidP="00DF0A2A">
      <w:pPr>
        <w:pStyle w:val="3e"/>
      </w:pPr>
      <w:r w:rsidRPr="009C34D1">
        <w:t>L1 – Федеральный проект «Системные меры по повышению производительности труда»;</w:t>
      </w:r>
    </w:p>
    <w:p w:rsidR="00595249" w:rsidRPr="009C34D1" w:rsidRDefault="00595249" w:rsidP="00DF0A2A">
      <w:pPr>
        <w:pStyle w:val="3e"/>
      </w:pPr>
      <w:r w:rsidRPr="009C34D1">
        <w:t>L2 – Федеральный проект «Адресная поддержка повышения производительности труда на предприятиях»;</w:t>
      </w:r>
    </w:p>
    <w:p w:rsidR="00595249" w:rsidRPr="009C34D1" w:rsidRDefault="00595249" w:rsidP="00DF0A2A">
      <w:pPr>
        <w:pStyle w:val="3e"/>
      </w:pPr>
      <w:r w:rsidRPr="009C34D1">
        <w:t>L3 – Федеральный проект «Поддержка занятости и повышение эффективности рынка труда для обеспечения роста производительности труда».</w:t>
      </w:r>
    </w:p>
    <w:p w:rsidR="00595249" w:rsidRPr="009C34D1" w:rsidRDefault="00595249" w:rsidP="007C68A0">
      <w:pPr>
        <w:pStyle w:val="29"/>
      </w:pPr>
      <w:r w:rsidRPr="009C34D1">
        <w:t>- N – Здравоохранение;</w:t>
      </w:r>
    </w:p>
    <w:p w:rsidR="00595249" w:rsidRPr="009C34D1" w:rsidRDefault="00595249" w:rsidP="007C68A0">
      <w:pPr>
        <w:pStyle w:val="3e"/>
      </w:pPr>
      <w:r w:rsidRPr="009C34D1">
        <w:t>N1 – Федеральный проект «Развитие системы оказания первичной медико-санитарной помощи»;</w:t>
      </w:r>
    </w:p>
    <w:p w:rsidR="00595249" w:rsidRPr="009C34D1" w:rsidRDefault="00595249" w:rsidP="007C68A0">
      <w:pPr>
        <w:pStyle w:val="3e"/>
      </w:pPr>
      <w:r w:rsidRPr="009C34D1">
        <w:t>N2 – Федеральный проект «Борьба с сердечно-сосудистыми заболеваниями»;</w:t>
      </w:r>
    </w:p>
    <w:p w:rsidR="00595249" w:rsidRPr="009C34D1" w:rsidRDefault="00595249" w:rsidP="007C68A0">
      <w:pPr>
        <w:pStyle w:val="3e"/>
      </w:pPr>
      <w:r w:rsidRPr="009C34D1">
        <w:t>N3 – Федеральный проект «Борьба с онкологическими заболеваниями»;</w:t>
      </w:r>
    </w:p>
    <w:p w:rsidR="00595249" w:rsidRPr="009C34D1" w:rsidRDefault="00595249" w:rsidP="007C68A0">
      <w:pPr>
        <w:pStyle w:val="3e"/>
      </w:pPr>
      <w:r w:rsidRPr="009C34D1">
        <w:t>N4 – Федеральный проект «Развитие детского здравоохранения, включая создание современной инфраструктуры оказания медицинской помощи детям»;</w:t>
      </w:r>
    </w:p>
    <w:p w:rsidR="00595249" w:rsidRPr="009C34D1" w:rsidRDefault="00595249" w:rsidP="007C68A0">
      <w:pPr>
        <w:pStyle w:val="3e"/>
      </w:pPr>
      <w:r w:rsidRPr="009C34D1">
        <w:t>N5 – Федеральный проект «Обеспечение медицинских организаций системы здравоохранения квалифицированными кадрами»;</w:t>
      </w:r>
    </w:p>
    <w:p w:rsidR="00595249" w:rsidRPr="009C34D1" w:rsidRDefault="00595249" w:rsidP="007C68A0">
      <w:pPr>
        <w:pStyle w:val="3e"/>
      </w:pPr>
      <w:r w:rsidRPr="009C34D1">
        <w:t>N6 – Федеральный проект «Развитие сети национальных медицинских исследовательских центров и внедрение инновационных медицинских технологий»;</w:t>
      </w:r>
    </w:p>
    <w:p w:rsidR="00595249" w:rsidRPr="009C34D1" w:rsidRDefault="00595249" w:rsidP="007C68A0">
      <w:pPr>
        <w:pStyle w:val="3e"/>
      </w:pPr>
      <w:r w:rsidRPr="009C34D1">
        <w:t>N7 – Федеральный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p w:rsidR="00595249" w:rsidRPr="009C34D1" w:rsidRDefault="00595249" w:rsidP="007C68A0">
      <w:pPr>
        <w:pStyle w:val="3e"/>
      </w:pPr>
      <w:r w:rsidRPr="009C34D1">
        <w:t>N8 – Федеральный проект «Развитие экспорта медицинских услуг».</w:t>
      </w:r>
    </w:p>
    <w:p w:rsidR="00595249" w:rsidRPr="009C34D1" w:rsidRDefault="00595249" w:rsidP="007C68A0">
      <w:pPr>
        <w:pStyle w:val="29"/>
      </w:pPr>
      <w:r w:rsidRPr="009C34D1">
        <w:t>Р – Демография;</w:t>
      </w:r>
    </w:p>
    <w:p w:rsidR="00595249" w:rsidRPr="009C34D1" w:rsidRDefault="00595249" w:rsidP="007C68A0">
      <w:pPr>
        <w:pStyle w:val="3e"/>
      </w:pPr>
      <w:r w:rsidRPr="009C34D1">
        <w:t>Р1 – Федеральный проект «Финансовая поддержка семей при рождении детей»;</w:t>
      </w:r>
    </w:p>
    <w:p w:rsidR="00595249" w:rsidRPr="009C34D1" w:rsidRDefault="00595249" w:rsidP="007C68A0">
      <w:pPr>
        <w:pStyle w:val="3e"/>
      </w:pPr>
      <w:r w:rsidRPr="009C34D1">
        <w:t>Р2 – Федеральный проект «Содействие занятости женщин – создание условий дошкольного образования для детей в возрасте до трех лет»;</w:t>
      </w:r>
    </w:p>
    <w:p w:rsidR="00595249" w:rsidRPr="009C34D1" w:rsidRDefault="00595249" w:rsidP="007C68A0">
      <w:pPr>
        <w:pStyle w:val="3e"/>
      </w:pPr>
      <w:r w:rsidRPr="009C34D1">
        <w:t>Р3 – Федеральный проект «Старшее поколение»;</w:t>
      </w:r>
    </w:p>
    <w:p w:rsidR="00595249" w:rsidRPr="009C34D1" w:rsidRDefault="00595249" w:rsidP="007C68A0">
      <w:pPr>
        <w:pStyle w:val="3e"/>
      </w:pPr>
      <w:r w:rsidRPr="009C34D1">
        <w:t>Р4 – Федеральный проект «Формирование системы мотивации граждан к здоровому образу жизни, включая здоровое питание и отказ от вредных привычек»;</w:t>
      </w:r>
    </w:p>
    <w:p w:rsidR="00595249" w:rsidRPr="009C34D1" w:rsidRDefault="00595249" w:rsidP="007C68A0">
      <w:pPr>
        <w:pStyle w:val="3e"/>
      </w:pPr>
      <w:r w:rsidRPr="009C34D1">
        <w:t>Р5 – Федеральный проект «Спорт – норма жизни».</w:t>
      </w:r>
    </w:p>
    <w:p w:rsidR="00595249" w:rsidRPr="009C34D1" w:rsidRDefault="00595249" w:rsidP="007C68A0">
      <w:pPr>
        <w:pStyle w:val="29"/>
      </w:pPr>
      <w:r w:rsidRPr="009C34D1">
        <w:t>R – Безопасные и качественные дороги;</w:t>
      </w:r>
    </w:p>
    <w:p w:rsidR="00595249" w:rsidRPr="009C34D1" w:rsidRDefault="00595249" w:rsidP="007C68A0">
      <w:pPr>
        <w:pStyle w:val="3e"/>
      </w:pPr>
      <w:r w:rsidRPr="009C34D1">
        <w:t>R1 – Федеральный проект «Дорожная сеть»;</w:t>
      </w:r>
    </w:p>
    <w:p w:rsidR="00595249" w:rsidRPr="009C34D1" w:rsidRDefault="00595249" w:rsidP="007C68A0">
      <w:pPr>
        <w:pStyle w:val="3e"/>
      </w:pPr>
      <w:r w:rsidRPr="009C34D1">
        <w:t>R2 – Федеральный проект «Общесистемные меры развития дорожного хозяйства»;</w:t>
      </w:r>
    </w:p>
    <w:p w:rsidR="00595249" w:rsidRPr="009C34D1" w:rsidRDefault="00595249" w:rsidP="007C68A0">
      <w:pPr>
        <w:pStyle w:val="3e"/>
      </w:pPr>
      <w:r w:rsidRPr="009C34D1">
        <w:t>R3 – Федеральный проект «Безопасность дорожного движения»;</w:t>
      </w:r>
    </w:p>
    <w:p w:rsidR="00595249" w:rsidRPr="009C34D1" w:rsidRDefault="00595249" w:rsidP="007C68A0">
      <w:pPr>
        <w:pStyle w:val="3e"/>
      </w:pPr>
      <w:r w:rsidRPr="009C34D1">
        <w:t>R4 – Федеральный проект «Автомобильные дороги Минобороны России»;</w:t>
      </w:r>
    </w:p>
    <w:p w:rsidR="00595249" w:rsidRPr="009C34D1" w:rsidRDefault="00595249" w:rsidP="007C68A0">
      <w:pPr>
        <w:pStyle w:val="29"/>
      </w:pPr>
      <w:r w:rsidRPr="009C34D1">
        <w:t>S – Наука;</w:t>
      </w:r>
    </w:p>
    <w:p w:rsidR="00595249" w:rsidRPr="009C34D1" w:rsidRDefault="00595249" w:rsidP="007C68A0">
      <w:pPr>
        <w:pStyle w:val="3e"/>
      </w:pPr>
      <w:r w:rsidRPr="009C34D1">
        <w:t>S1 – Федеральный проект «Развитие научной и научно-производственной кооперации»;</w:t>
      </w:r>
    </w:p>
    <w:p w:rsidR="00595249" w:rsidRPr="009C34D1" w:rsidRDefault="00595249" w:rsidP="007C68A0">
      <w:pPr>
        <w:pStyle w:val="3e"/>
      </w:pPr>
      <w:r w:rsidRPr="009C34D1">
        <w:t>S2 – Федеральный проект «Развитие передовой инфраструктуры для проведения исследований и разработок в Российской Федерации»;</w:t>
      </w:r>
    </w:p>
    <w:p w:rsidR="00595249" w:rsidRPr="009C34D1" w:rsidRDefault="00595249" w:rsidP="007C68A0">
      <w:pPr>
        <w:pStyle w:val="3e"/>
      </w:pPr>
      <w:r w:rsidRPr="009C34D1">
        <w:t>S3 – Федеральный проект «Развитие кадрового потенциала в сфере исследований и разработок».</w:t>
      </w:r>
    </w:p>
    <w:p w:rsidR="00595249" w:rsidRPr="009C34D1" w:rsidRDefault="00595249" w:rsidP="007C68A0">
      <w:pPr>
        <w:pStyle w:val="29"/>
      </w:pPr>
      <w:r w:rsidRPr="009C34D1">
        <w:t>Т – Международная кооперация и экспорт;</w:t>
      </w:r>
    </w:p>
    <w:p w:rsidR="00595249" w:rsidRPr="009C34D1" w:rsidRDefault="00595249" w:rsidP="007C68A0">
      <w:pPr>
        <w:pStyle w:val="3e"/>
      </w:pPr>
      <w:r w:rsidRPr="009C34D1">
        <w:t>Т1 – Федеральный проект «Промышленный экспорт»;</w:t>
      </w:r>
    </w:p>
    <w:p w:rsidR="00595249" w:rsidRPr="009C34D1" w:rsidRDefault="00595249" w:rsidP="007C68A0">
      <w:pPr>
        <w:pStyle w:val="3e"/>
      </w:pPr>
      <w:r w:rsidRPr="009C34D1">
        <w:t>Т2 – Федеральный проект «Экспорт продукции агропромышленного комплекса»;</w:t>
      </w:r>
    </w:p>
    <w:p w:rsidR="00595249" w:rsidRPr="009C34D1" w:rsidRDefault="00595249" w:rsidP="007C68A0">
      <w:pPr>
        <w:pStyle w:val="3e"/>
      </w:pPr>
      <w:r w:rsidRPr="009C34D1">
        <w:t>Т3 – Федеральный проект «Логистика международной торговли»;</w:t>
      </w:r>
    </w:p>
    <w:p w:rsidR="00595249" w:rsidRPr="009C34D1" w:rsidRDefault="00595249" w:rsidP="007C68A0">
      <w:pPr>
        <w:pStyle w:val="3e"/>
      </w:pPr>
      <w:r w:rsidRPr="009C34D1">
        <w:t>Т4 – Федеральный проект «Экспорт услуг»;</w:t>
      </w:r>
    </w:p>
    <w:p w:rsidR="00595249" w:rsidRPr="009C34D1" w:rsidRDefault="00595249" w:rsidP="007C68A0">
      <w:pPr>
        <w:pStyle w:val="3e"/>
      </w:pPr>
      <w:r w:rsidRPr="009C34D1">
        <w:t>Т6 – Федеральный проект «Системные меры развития международной кооперации и экспорта».</w:t>
      </w:r>
    </w:p>
    <w:p w:rsidR="00595249" w:rsidRPr="009C34D1" w:rsidRDefault="00595249" w:rsidP="007C68A0">
      <w:pPr>
        <w:pStyle w:val="29"/>
      </w:pPr>
      <w:r w:rsidRPr="009C34D1">
        <w:t>V – Комплексный план модернизации и расширения магистральной</w:t>
      </w:r>
      <w:r>
        <w:t xml:space="preserve"> </w:t>
      </w:r>
      <w:r w:rsidRPr="009C34D1">
        <w:t>инфраструктуры;</w:t>
      </w:r>
    </w:p>
    <w:p w:rsidR="00595249" w:rsidRPr="009C34D1" w:rsidRDefault="00595249" w:rsidP="007C68A0">
      <w:pPr>
        <w:pStyle w:val="3e"/>
      </w:pPr>
      <w:r w:rsidRPr="009C34D1">
        <w:t>V1 – Федеральный проект «Европа-Западный Китай»;</w:t>
      </w:r>
    </w:p>
    <w:p w:rsidR="00595249" w:rsidRPr="009C34D1" w:rsidRDefault="00595249" w:rsidP="007C68A0">
      <w:pPr>
        <w:pStyle w:val="3e"/>
      </w:pPr>
      <w:r w:rsidRPr="009C34D1">
        <w:t>V2 – Федеральный проект «Морские порты России»;</w:t>
      </w:r>
    </w:p>
    <w:p w:rsidR="00595249" w:rsidRPr="009C34D1" w:rsidRDefault="00595249" w:rsidP="007C68A0">
      <w:pPr>
        <w:pStyle w:val="3e"/>
      </w:pPr>
      <w:r w:rsidRPr="009C34D1">
        <w:t>V3 – Федеральный проект «Северный морской путь»</w:t>
      </w:r>
    </w:p>
    <w:p w:rsidR="00595249" w:rsidRPr="009C34D1" w:rsidRDefault="00595249" w:rsidP="007C68A0">
      <w:pPr>
        <w:pStyle w:val="3e"/>
      </w:pPr>
      <w:r w:rsidRPr="009C34D1">
        <w:t>V4 – Федеральный проект «Железнодорожный транспорт и транзит»;</w:t>
      </w:r>
    </w:p>
    <w:p w:rsidR="00595249" w:rsidRPr="009C34D1" w:rsidRDefault="00595249" w:rsidP="007C68A0">
      <w:pPr>
        <w:pStyle w:val="3e"/>
      </w:pPr>
      <w:r w:rsidRPr="009C34D1">
        <w:t>V5 – Федеральный проект «Транспортно-логистические центры»;</w:t>
      </w:r>
    </w:p>
    <w:p w:rsidR="00595249" w:rsidRPr="009C34D1" w:rsidRDefault="00595249" w:rsidP="007C68A0">
      <w:pPr>
        <w:pStyle w:val="3e"/>
      </w:pPr>
      <w:r w:rsidRPr="009C34D1">
        <w:t>V6 – Федеральный проект «Коммуникации между центрами экономического роста»;</w:t>
      </w:r>
    </w:p>
    <w:p w:rsidR="00595249" w:rsidRPr="009C34D1" w:rsidRDefault="00595249" w:rsidP="007C68A0">
      <w:pPr>
        <w:pStyle w:val="3e"/>
      </w:pPr>
      <w:r w:rsidRPr="009C34D1">
        <w:t>V7 – Федеральный проект «Развитие региональных аэропортов и маршрутов»;</w:t>
      </w:r>
    </w:p>
    <w:p w:rsidR="00595249" w:rsidRPr="009C34D1" w:rsidRDefault="00595249" w:rsidP="007C68A0">
      <w:pPr>
        <w:pStyle w:val="3e"/>
      </w:pPr>
      <w:r w:rsidRPr="009C34D1">
        <w:t>V8 – Федеральный проект «Высокоскоростное железнодорожное сообщение»;</w:t>
      </w:r>
    </w:p>
    <w:p w:rsidR="00595249" w:rsidRPr="009C34D1" w:rsidRDefault="00595249" w:rsidP="007C68A0">
      <w:pPr>
        <w:pStyle w:val="3e"/>
      </w:pPr>
      <w:r w:rsidRPr="009C34D1">
        <w:t>V9 – Федеральный проект «Внутренние водные пути»;</w:t>
      </w:r>
    </w:p>
    <w:p w:rsidR="00595249" w:rsidRPr="0043058C" w:rsidRDefault="00595249" w:rsidP="007C68A0">
      <w:pPr>
        <w:pStyle w:val="3e"/>
      </w:pPr>
      <w:r w:rsidRPr="009C34D1">
        <w:t xml:space="preserve">VА – Федеральный проект «Гарантированное обеспечение доступной </w:t>
      </w:r>
      <w:r w:rsidRPr="0043058C">
        <w:t>электроэнергией»;</w:t>
      </w:r>
    </w:p>
    <w:p w:rsidR="00595249" w:rsidRPr="0043058C" w:rsidRDefault="00595249" w:rsidP="007C68A0">
      <w:pPr>
        <w:pStyle w:val="3e"/>
      </w:pPr>
      <w:r w:rsidRPr="0043058C">
        <w:t>VБ – Федеральный проект «Гарантированное обеспечение транспорта нефти, нефтепродуктов, газа и газового конденсата».</w:t>
      </w:r>
    </w:p>
    <w:p w:rsidR="00157471" w:rsidRDefault="00595249" w:rsidP="00125F68">
      <w:pPr>
        <w:pStyle w:val="af0"/>
      </w:pPr>
      <w:r>
        <w:t>Макет отчета представлен на Р</w:t>
      </w:r>
      <w:r w:rsidRPr="009C34D1">
        <w:t>исунке</w:t>
      </w:r>
      <w:r w:rsidR="00575D4C">
        <w:t xml:space="preserve"> </w:t>
      </w:r>
      <w:r w:rsidR="00575D4C">
        <w:fldChar w:fldCharType="begin"/>
      </w:r>
      <w:r w:rsidR="00575D4C">
        <w:instrText xml:space="preserve"> REF _Ref70063936 \h </w:instrText>
      </w:r>
      <w:r w:rsidR="00575D4C">
        <w:fldChar w:fldCharType="separate"/>
      </w:r>
      <w:r w:rsidR="00BF0BEE">
        <w:rPr>
          <w:noProof/>
        </w:rPr>
        <w:t>203</w:t>
      </w:r>
      <w:r w:rsidR="00575D4C">
        <w:fldChar w:fldCharType="end"/>
      </w:r>
      <w:r w:rsidR="00575D4C">
        <w:t>.</w:t>
      </w:r>
    </w:p>
    <w:p w:rsidR="00575D4C" w:rsidRDefault="00575D4C" w:rsidP="00321FCA">
      <w:pPr>
        <w:pStyle w:val="afffff7"/>
      </w:pPr>
      <w:r>
        <w:rPr>
          <w:noProof/>
          <w:lang w:eastAsia="ru-RU"/>
        </w:rPr>
        <w:drawing>
          <wp:inline distT="0" distB="0" distL="0" distR="0" wp14:anchorId="6D1CBDD9" wp14:editId="02AC1F21">
            <wp:extent cx="5939790" cy="2892345"/>
            <wp:effectExtent l="0" t="0" r="3810" b="381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5939790" cy="2892345"/>
                    </a:xfrm>
                    <a:prstGeom prst="rect">
                      <a:avLst/>
                    </a:prstGeom>
                  </pic:spPr>
                </pic:pic>
              </a:graphicData>
            </a:graphic>
          </wp:inline>
        </w:drawing>
      </w:r>
    </w:p>
    <w:p w:rsidR="00575D4C" w:rsidRDefault="00575D4C" w:rsidP="006073E2">
      <w:pPr>
        <w:pStyle w:val="-0"/>
      </w:pPr>
      <w:bookmarkStart w:id="819" w:name="_Toc119584390"/>
      <w:r>
        <w:t xml:space="preserve">Рисунок </w:t>
      </w:r>
      <w:fldSimple w:instr=" SEQ Рисунок \* ARABIC ">
        <w:bookmarkStart w:id="820" w:name="_Ref70063936"/>
        <w:r w:rsidR="001860A9">
          <w:rPr>
            <w:noProof/>
          </w:rPr>
          <w:t>203</w:t>
        </w:r>
        <w:bookmarkEnd w:id="820"/>
      </w:fldSimple>
      <w:r>
        <w:t xml:space="preserve"> – Макет о</w:t>
      </w:r>
      <w:r w:rsidRPr="009C34D1">
        <w:t>тчет</w:t>
      </w:r>
      <w:r>
        <w:t>а</w:t>
      </w:r>
      <w:r w:rsidRPr="009C34D1">
        <w:t xml:space="preserve"> «Мониторинг качества распространения данных реестра соглашений на ЕПБС». Представление «По соглашениям»</w:t>
      </w:r>
      <w:bookmarkEnd w:id="819"/>
    </w:p>
    <w:p w:rsidR="007B018B" w:rsidRDefault="007B018B" w:rsidP="007B018B">
      <w:pPr>
        <w:pStyle w:val="afff8"/>
        <w:keepNext/>
      </w:pPr>
      <w:bookmarkStart w:id="821" w:name="_Toc119585178"/>
      <w:r>
        <w:t xml:space="preserve">Таблица </w:t>
      </w:r>
      <w:fldSimple w:instr=" SEQ Таблица \* ARABIC ">
        <w:bookmarkStart w:id="822" w:name="_Ref95207613"/>
        <w:r w:rsidR="00BF0BEE">
          <w:rPr>
            <w:noProof/>
          </w:rPr>
          <w:t>37</w:t>
        </w:r>
        <w:bookmarkEnd w:id="822"/>
      </w:fldSimple>
      <w:r>
        <w:t xml:space="preserve"> – Значение индикаторов по показателям</w:t>
      </w:r>
      <w:bookmarkEnd w:id="821"/>
    </w:p>
    <w:tbl>
      <w:tblPr>
        <w:tblW w:w="5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837"/>
        <w:gridCol w:w="921"/>
        <w:gridCol w:w="3560"/>
        <w:gridCol w:w="1891"/>
        <w:gridCol w:w="992"/>
        <w:gridCol w:w="1085"/>
      </w:tblGrid>
      <w:tr w:rsidR="007B018B" w:rsidRPr="00367F5B" w:rsidTr="007B018B">
        <w:trPr>
          <w:trHeight w:val="495"/>
          <w:tblHeader/>
        </w:trPr>
        <w:tc>
          <w:tcPr>
            <w:tcW w:w="414" w:type="pct"/>
            <w:shd w:val="clear" w:color="auto" w:fill="BFBFBF"/>
            <w:noWrap/>
            <w:vAlign w:val="center"/>
            <w:hideMark/>
          </w:tcPr>
          <w:p w:rsidR="007B018B" w:rsidRPr="00367F5B" w:rsidRDefault="007B018B" w:rsidP="007B018B">
            <w:pPr>
              <w:jc w:val="center"/>
              <w:rPr>
                <w:b/>
                <w:szCs w:val="24"/>
              </w:rPr>
            </w:pPr>
            <w:r w:rsidRPr="00367F5B">
              <w:rPr>
                <w:b/>
                <w:szCs w:val="24"/>
              </w:rPr>
              <w:t>Показатель</w:t>
            </w:r>
          </w:p>
        </w:tc>
        <w:tc>
          <w:tcPr>
            <w:tcW w:w="413" w:type="pct"/>
            <w:shd w:val="clear" w:color="auto" w:fill="BFBFBF"/>
            <w:noWrap/>
            <w:vAlign w:val="center"/>
            <w:hideMark/>
          </w:tcPr>
          <w:p w:rsidR="007B018B" w:rsidRPr="00367F5B" w:rsidRDefault="007B018B" w:rsidP="007B018B">
            <w:pPr>
              <w:jc w:val="center"/>
              <w:rPr>
                <w:b/>
                <w:szCs w:val="24"/>
              </w:rPr>
            </w:pPr>
            <w:r w:rsidRPr="00367F5B">
              <w:rPr>
                <w:b/>
                <w:szCs w:val="24"/>
                <w:highlight w:val="green"/>
              </w:rPr>
              <w:t>Зеленый</w:t>
            </w:r>
          </w:p>
        </w:tc>
        <w:tc>
          <w:tcPr>
            <w:tcW w:w="455" w:type="pct"/>
            <w:shd w:val="clear" w:color="auto" w:fill="BFBFBF"/>
            <w:noWrap/>
            <w:vAlign w:val="center"/>
            <w:hideMark/>
          </w:tcPr>
          <w:p w:rsidR="007B018B" w:rsidRPr="00367F5B" w:rsidRDefault="007B018B" w:rsidP="007B018B">
            <w:pPr>
              <w:jc w:val="center"/>
              <w:rPr>
                <w:b/>
                <w:szCs w:val="24"/>
              </w:rPr>
            </w:pPr>
            <w:r w:rsidRPr="00367F5B">
              <w:rPr>
                <w:b/>
                <w:szCs w:val="24"/>
                <w:highlight w:val="yellow"/>
              </w:rPr>
              <w:t>Желтый</w:t>
            </w:r>
          </w:p>
        </w:tc>
        <w:tc>
          <w:tcPr>
            <w:tcW w:w="1758" w:type="pct"/>
            <w:shd w:val="clear" w:color="auto" w:fill="BFBFBF"/>
            <w:noWrap/>
            <w:vAlign w:val="center"/>
            <w:hideMark/>
          </w:tcPr>
          <w:p w:rsidR="007B018B" w:rsidRPr="00367F5B" w:rsidRDefault="007B018B" w:rsidP="007B018B">
            <w:pPr>
              <w:jc w:val="center"/>
              <w:rPr>
                <w:b/>
                <w:szCs w:val="24"/>
              </w:rPr>
            </w:pPr>
            <w:r w:rsidRPr="00367F5B">
              <w:rPr>
                <w:b/>
                <w:szCs w:val="24"/>
                <w:highlight w:val="red"/>
              </w:rPr>
              <w:t>Красный</w:t>
            </w:r>
          </w:p>
        </w:tc>
        <w:tc>
          <w:tcPr>
            <w:tcW w:w="934" w:type="pct"/>
            <w:shd w:val="clear" w:color="auto" w:fill="BFBFBF"/>
            <w:noWrap/>
            <w:vAlign w:val="center"/>
            <w:hideMark/>
          </w:tcPr>
          <w:p w:rsidR="007B018B" w:rsidRPr="00367F5B" w:rsidRDefault="007B018B" w:rsidP="007B018B">
            <w:pPr>
              <w:jc w:val="center"/>
              <w:rPr>
                <w:b/>
                <w:szCs w:val="24"/>
              </w:rPr>
            </w:pPr>
            <w:r w:rsidRPr="00B36635">
              <w:rPr>
                <w:b/>
                <w:szCs w:val="24"/>
                <w:highlight w:val="lightGray"/>
              </w:rPr>
              <w:t>Серый</w:t>
            </w:r>
          </w:p>
        </w:tc>
        <w:tc>
          <w:tcPr>
            <w:tcW w:w="490" w:type="pct"/>
            <w:shd w:val="clear" w:color="auto" w:fill="BFBFBF"/>
            <w:vAlign w:val="center"/>
            <w:hideMark/>
          </w:tcPr>
          <w:p w:rsidR="007B018B" w:rsidRPr="00B36635" w:rsidRDefault="007B018B" w:rsidP="007B018B">
            <w:pPr>
              <w:jc w:val="center"/>
              <w:rPr>
                <w:b/>
                <w:szCs w:val="24"/>
                <w:highlight w:val="lightGray"/>
              </w:rPr>
            </w:pPr>
            <w:r w:rsidRPr="00367F5B">
              <w:rPr>
                <w:b/>
                <w:szCs w:val="24"/>
              </w:rPr>
              <w:t>Отсутствует индикатор</w:t>
            </w:r>
          </w:p>
        </w:tc>
        <w:tc>
          <w:tcPr>
            <w:tcW w:w="536" w:type="pct"/>
            <w:shd w:val="clear" w:color="auto" w:fill="BFBFBF"/>
          </w:tcPr>
          <w:p w:rsidR="007B018B" w:rsidRPr="00367F5B" w:rsidRDefault="007B018B" w:rsidP="007B018B">
            <w:pPr>
              <w:jc w:val="center"/>
              <w:rPr>
                <w:b/>
                <w:szCs w:val="24"/>
              </w:rPr>
            </w:pPr>
            <w:r>
              <w:rPr>
                <w:b/>
                <w:szCs w:val="24"/>
              </w:rPr>
              <w:t>Участник, ответственный за проведение анализа по индикатору</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количества соглашений в ПУР и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 xml:space="preserve">Указывает на отсутствие УНРЗ на ЕПБС. </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47"/>
              </w:numPr>
              <w:ind w:left="337" w:hanging="283"/>
              <w:contextualSpacing/>
              <w:rPr>
                <w:sz w:val="24"/>
                <w:szCs w:val="24"/>
              </w:rPr>
            </w:pPr>
            <w:r w:rsidRPr="00367F5B">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367F5B" w:rsidRDefault="007B018B" w:rsidP="007B018B">
            <w:pPr>
              <w:pStyle w:val="afff6"/>
              <w:numPr>
                <w:ilvl w:val="0"/>
                <w:numId w:val="147"/>
              </w:numPr>
              <w:ind w:left="337" w:hanging="283"/>
              <w:contextualSpacing/>
              <w:rPr>
                <w:sz w:val="24"/>
                <w:szCs w:val="24"/>
              </w:rPr>
            </w:pPr>
            <w:r w:rsidRPr="00367F5B">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367F5B" w:rsidRDefault="007B018B" w:rsidP="007B018B">
            <w:pPr>
              <w:pStyle w:val="afff6"/>
              <w:numPr>
                <w:ilvl w:val="0"/>
                <w:numId w:val="147"/>
              </w:numPr>
              <w:ind w:left="337" w:hanging="283"/>
              <w:contextualSpacing/>
              <w:rPr>
                <w:sz w:val="24"/>
                <w:szCs w:val="24"/>
              </w:rPr>
            </w:pPr>
            <w:r w:rsidRPr="00367F5B">
              <w:rPr>
                <w:sz w:val="24"/>
                <w:szCs w:val="24"/>
              </w:rPr>
              <w:t>Проверить размещение РЗ на ЕПБС.</w:t>
            </w:r>
          </w:p>
          <w:p w:rsidR="007B018B" w:rsidRPr="00367F5B" w:rsidRDefault="007B018B" w:rsidP="007B018B">
            <w:pPr>
              <w:ind w:left="1"/>
              <w:rPr>
                <w:szCs w:val="24"/>
              </w:rPr>
            </w:pPr>
            <w:r w:rsidRPr="00367F5B">
              <w:rPr>
                <w:szCs w:val="24"/>
              </w:rPr>
              <w:t>Решения:</w:t>
            </w:r>
          </w:p>
          <w:p w:rsidR="007B018B" w:rsidRPr="00367F5B" w:rsidRDefault="007B018B" w:rsidP="007B018B">
            <w:pPr>
              <w:pStyle w:val="afff6"/>
              <w:numPr>
                <w:ilvl w:val="0"/>
                <w:numId w:val="148"/>
              </w:numPr>
              <w:ind w:left="309" w:hanging="284"/>
              <w:contextualSpacing/>
              <w:rPr>
                <w:sz w:val="24"/>
                <w:szCs w:val="24"/>
              </w:rPr>
            </w:pPr>
            <w:r w:rsidRPr="00367F5B">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48"/>
              </w:numPr>
              <w:ind w:left="285" w:hanging="284"/>
              <w:contextualSpacing/>
              <w:rPr>
                <w:sz w:val="24"/>
                <w:szCs w:val="24"/>
              </w:rPr>
            </w:pPr>
            <w:r w:rsidRPr="00367F5B">
              <w:rPr>
                <w:sz w:val="24"/>
                <w:szCs w:val="24"/>
              </w:rPr>
              <w:t>Если РЗ размещено на ЕПБС – зарегистрировать обращение на ГП ПИАО.</w:t>
            </w:r>
          </w:p>
        </w:tc>
        <w:tc>
          <w:tcPr>
            <w:tcW w:w="934"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суммы соглашения в ПУР и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разницу между суммой соглашения в ПУР и 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49"/>
              </w:numPr>
              <w:ind w:left="309" w:hanging="284"/>
              <w:contextualSpacing/>
              <w:rPr>
                <w:sz w:val="24"/>
                <w:szCs w:val="24"/>
              </w:rPr>
            </w:pPr>
            <w:r w:rsidRPr="00367F5B">
              <w:rPr>
                <w:sz w:val="24"/>
                <w:szCs w:val="24"/>
              </w:rPr>
              <w:t>Выполнить переход в представление «Детализация по соглашениям». По конкретной РЗ переход реализован в представлении «По соглашениям» в гр.5 «Номер реестровой записи (ПУР)» =&gt; «Детализация по соглашениям».</w:t>
            </w:r>
          </w:p>
          <w:p w:rsidR="007B018B" w:rsidRPr="00367F5B" w:rsidRDefault="007B018B" w:rsidP="007B018B">
            <w:pPr>
              <w:pStyle w:val="afff6"/>
              <w:numPr>
                <w:ilvl w:val="0"/>
                <w:numId w:val="149"/>
              </w:numPr>
              <w:ind w:left="309" w:hanging="284"/>
              <w:contextualSpacing/>
              <w:rPr>
                <w:sz w:val="24"/>
                <w:szCs w:val="24"/>
              </w:rPr>
            </w:pPr>
            <w:r w:rsidRPr="00367F5B">
              <w:rPr>
                <w:sz w:val="24"/>
                <w:szCs w:val="24"/>
              </w:rPr>
              <w:t>В представлении «Детализация по соглашениям» сверить данные гр.3 «Сумма соглашения (ПУР)» и гр. 4 «Сумма соглашения (ЕПБС)».</w:t>
            </w:r>
          </w:p>
          <w:p w:rsidR="007B018B" w:rsidRPr="00367F5B" w:rsidRDefault="007B018B" w:rsidP="007B018B">
            <w:pPr>
              <w:pStyle w:val="afff6"/>
              <w:numPr>
                <w:ilvl w:val="0"/>
                <w:numId w:val="149"/>
              </w:numPr>
              <w:ind w:left="309" w:hanging="284"/>
              <w:contextualSpacing/>
              <w:rPr>
                <w:sz w:val="24"/>
                <w:szCs w:val="24"/>
              </w:rPr>
            </w:pPr>
            <w:r w:rsidRPr="00367F5B">
              <w:rPr>
                <w:sz w:val="24"/>
                <w:szCs w:val="24"/>
              </w:rPr>
              <w:t>Проверка гр. 3 «Сумма соглашения (ПУР)»:</w:t>
            </w:r>
          </w:p>
          <w:p w:rsidR="007B018B" w:rsidRPr="00367F5B" w:rsidRDefault="007B018B" w:rsidP="007B018B">
            <w:pPr>
              <w:pStyle w:val="afff6"/>
              <w:numPr>
                <w:ilvl w:val="1"/>
                <w:numId w:val="149"/>
              </w:numPr>
              <w:ind w:left="592"/>
              <w:contextualSpacing/>
              <w:rPr>
                <w:sz w:val="24"/>
                <w:szCs w:val="24"/>
              </w:rPr>
            </w:pPr>
            <w:r w:rsidRPr="00367F5B">
              <w:rPr>
                <w:sz w:val="24"/>
                <w:szCs w:val="24"/>
              </w:rPr>
              <w:t xml:space="preserve">Данные загружаются из ПУР АСС &gt; раздел «Реквизиты соглашения (договора), НПА» &gt; «Размер средств в рублевом эквиваленте». </w:t>
            </w:r>
          </w:p>
          <w:p w:rsidR="007B018B" w:rsidRPr="00367F5B" w:rsidRDefault="007B018B" w:rsidP="007B018B">
            <w:pPr>
              <w:pStyle w:val="afff6"/>
              <w:numPr>
                <w:ilvl w:val="1"/>
                <w:numId w:val="149"/>
              </w:numPr>
              <w:ind w:left="592"/>
              <w:contextualSpacing/>
              <w:rPr>
                <w:sz w:val="24"/>
                <w:szCs w:val="24"/>
              </w:rPr>
            </w:pPr>
            <w:r w:rsidRPr="00367F5B">
              <w:rPr>
                <w:sz w:val="24"/>
                <w:szCs w:val="24"/>
              </w:rPr>
              <w:t>В ПУР АСС переход реализован из гр.1 «Номер реестровой записи (ПУР)».</w:t>
            </w:r>
          </w:p>
          <w:p w:rsidR="007B018B" w:rsidRPr="00367F5B" w:rsidRDefault="007B018B" w:rsidP="007B018B">
            <w:pPr>
              <w:pStyle w:val="afff6"/>
              <w:numPr>
                <w:ilvl w:val="0"/>
                <w:numId w:val="149"/>
              </w:numPr>
              <w:ind w:left="309" w:hanging="284"/>
              <w:contextualSpacing/>
              <w:rPr>
                <w:sz w:val="24"/>
                <w:szCs w:val="24"/>
              </w:rPr>
            </w:pPr>
            <w:r w:rsidRPr="00367F5B">
              <w:rPr>
                <w:sz w:val="24"/>
                <w:szCs w:val="24"/>
              </w:rPr>
              <w:t>Проверка гр. 4 «Сумма соглашения (ЕПБС)»:</w:t>
            </w:r>
          </w:p>
          <w:p w:rsidR="007B018B" w:rsidRPr="00367F5B" w:rsidRDefault="007B018B" w:rsidP="007B018B">
            <w:pPr>
              <w:pStyle w:val="afff6"/>
              <w:numPr>
                <w:ilvl w:val="1"/>
                <w:numId w:val="149"/>
              </w:numPr>
              <w:ind w:left="592"/>
              <w:contextualSpacing/>
              <w:rPr>
                <w:sz w:val="24"/>
                <w:szCs w:val="24"/>
              </w:rPr>
            </w:pPr>
            <w:r w:rsidRPr="00367F5B">
              <w:rPr>
                <w:sz w:val="24"/>
                <w:szCs w:val="24"/>
              </w:rPr>
              <w:t>Данные загружаются из ЕПБС &gt; Реестр соглашений &gt; Общие сведения &gt; «Размер субсидии бюджетных инвестиций, межбюджетного трансферта (средств) в рублевом эквиваленте».</w:t>
            </w:r>
          </w:p>
          <w:p w:rsidR="007B018B" w:rsidRPr="00367F5B" w:rsidRDefault="007B018B" w:rsidP="007B018B">
            <w:pPr>
              <w:pStyle w:val="afff6"/>
              <w:numPr>
                <w:ilvl w:val="1"/>
                <w:numId w:val="149"/>
              </w:numPr>
              <w:ind w:left="592"/>
              <w:contextualSpacing/>
              <w:rPr>
                <w:sz w:val="24"/>
                <w:szCs w:val="24"/>
              </w:rPr>
            </w:pPr>
            <w:r w:rsidRPr="00367F5B">
              <w:rPr>
                <w:sz w:val="24"/>
                <w:szCs w:val="24"/>
              </w:rPr>
              <w:t>На ЕПБС переход реализован в представлении «По соглашениям» гр. 7 «Номер реестровой записи (ЕПБС)»</w:t>
            </w:r>
          </w:p>
          <w:p w:rsidR="007B018B" w:rsidRPr="00367F5B" w:rsidRDefault="007B018B" w:rsidP="007B018B">
            <w:pPr>
              <w:rPr>
                <w:szCs w:val="24"/>
              </w:rPr>
            </w:pPr>
            <w:r w:rsidRPr="00367F5B">
              <w:rPr>
                <w:szCs w:val="24"/>
              </w:rPr>
              <w:t>Решения:</w:t>
            </w:r>
          </w:p>
          <w:p w:rsidR="007B018B" w:rsidRPr="00367F5B" w:rsidRDefault="007B018B" w:rsidP="007B018B">
            <w:pPr>
              <w:pStyle w:val="afff6"/>
              <w:numPr>
                <w:ilvl w:val="0"/>
                <w:numId w:val="150"/>
              </w:numPr>
              <w:ind w:left="309" w:hanging="284"/>
              <w:contextualSpacing/>
              <w:rPr>
                <w:sz w:val="24"/>
                <w:szCs w:val="24"/>
              </w:rPr>
            </w:pPr>
            <w:r>
              <w:rPr>
                <w:sz w:val="24"/>
                <w:szCs w:val="24"/>
              </w:rPr>
              <w:t>При расхождении данных ПУР АСС с данными в реестре соглашений АСФК для реестровых записей, созданных до 01.01.2018 года -</w:t>
            </w:r>
            <w:r w:rsidRPr="00367F5B" w:rsidDel="002B67A9">
              <w:rPr>
                <w:sz w:val="24"/>
                <w:szCs w:val="24"/>
              </w:rPr>
              <w:t xml:space="preserve"> </w:t>
            </w:r>
            <w:r w:rsidRPr="00367F5B">
              <w:rPr>
                <w:sz w:val="24"/>
                <w:szCs w:val="24"/>
              </w:rPr>
              <w:t>зарегистрировать обращение на ГП ПУР</w:t>
            </w:r>
            <w:r>
              <w:rPr>
                <w:sz w:val="24"/>
                <w:szCs w:val="24"/>
              </w:rPr>
              <w:t xml:space="preserve">. </w:t>
            </w:r>
            <w:r w:rsidRPr="00367F5B">
              <w:rPr>
                <w:sz w:val="24"/>
                <w:szCs w:val="24"/>
              </w:rPr>
              <w:t>Если некорректные данные на ЕПБС – зарегистрировать обращение на ГП ЕПБС.</w:t>
            </w:r>
          </w:p>
          <w:p w:rsidR="007B018B" w:rsidRPr="00367F5B" w:rsidRDefault="007B018B" w:rsidP="007B018B">
            <w:pPr>
              <w:pStyle w:val="afff6"/>
              <w:numPr>
                <w:ilvl w:val="0"/>
                <w:numId w:val="150"/>
              </w:numPr>
              <w:ind w:left="309" w:hanging="284"/>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73"/>
              </w:numPr>
              <w:ind w:left="37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73"/>
              </w:numPr>
              <w:ind w:left="37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73"/>
              </w:numPr>
              <w:ind w:left="37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6D6BC5" w:rsidRDefault="007B018B" w:rsidP="007B018B">
            <w:pPr>
              <w:pStyle w:val="afff6"/>
              <w:numPr>
                <w:ilvl w:val="0"/>
                <w:numId w:val="174"/>
              </w:numPr>
              <w:ind w:left="374"/>
              <w:contextualSpacing/>
              <w:rPr>
                <w:sz w:val="24"/>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6D6BC5" w:rsidRDefault="007B018B" w:rsidP="007B018B">
            <w:pPr>
              <w:pStyle w:val="afff6"/>
              <w:numPr>
                <w:ilvl w:val="0"/>
                <w:numId w:val="174"/>
              </w:numPr>
              <w:ind w:left="37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Суммы соглашения (ПУР) и Суммы БО (ПУР)</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разницу между суммой соглашения в ПУР и суммой БО ПУР.</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51"/>
              </w:numPr>
              <w:ind w:left="330" w:hanging="283"/>
              <w:contextualSpacing/>
              <w:rPr>
                <w:sz w:val="24"/>
                <w:szCs w:val="24"/>
              </w:rPr>
            </w:pPr>
            <w:r w:rsidRPr="00367F5B">
              <w:rPr>
                <w:sz w:val="24"/>
                <w:szCs w:val="24"/>
              </w:rPr>
              <w:t>Выполнить переход в представление «Детализация по соглашениям». По конкретной РЗ переход реализован в представлении «По соглашениям» в гр.5 «Номер реестровой записи (ПУР)» =&gt; «Детализация по соглашениям».</w:t>
            </w:r>
          </w:p>
          <w:p w:rsidR="007B018B" w:rsidRPr="00367F5B" w:rsidRDefault="007B018B" w:rsidP="007B018B">
            <w:pPr>
              <w:pStyle w:val="afff6"/>
              <w:numPr>
                <w:ilvl w:val="0"/>
                <w:numId w:val="151"/>
              </w:numPr>
              <w:ind w:left="238" w:hanging="238"/>
              <w:contextualSpacing/>
              <w:rPr>
                <w:sz w:val="24"/>
                <w:szCs w:val="24"/>
              </w:rPr>
            </w:pPr>
            <w:r w:rsidRPr="00367F5B">
              <w:rPr>
                <w:sz w:val="24"/>
                <w:szCs w:val="24"/>
              </w:rPr>
              <w:t>В представлении «Детализация по соглашениям» сверить данные гр.3 «Сумма соглашения (ПУР)» и гр. 8 «Сумма БО (ПУР)».</w:t>
            </w:r>
          </w:p>
          <w:p w:rsidR="007B018B" w:rsidRPr="00367F5B" w:rsidRDefault="007B018B" w:rsidP="007B018B">
            <w:pPr>
              <w:pStyle w:val="afff6"/>
              <w:numPr>
                <w:ilvl w:val="0"/>
                <w:numId w:val="151"/>
              </w:numPr>
              <w:ind w:left="238" w:hanging="238"/>
              <w:contextualSpacing/>
              <w:rPr>
                <w:sz w:val="24"/>
                <w:szCs w:val="24"/>
              </w:rPr>
            </w:pPr>
            <w:r w:rsidRPr="00367F5B">
              <w:rPr>
                <w:sz w:val="24"/>
                <w:szCs w:val="24"/>
              </w:rPr>
              <w:t>Проверка гр. 3 «Сумма соглашения (ПУР)»:</w:t>
            </w:r>
          </w:p>
          <w:p w:rsidR="007B018B" w:rsidRPr="00367F5B" w:rsidRDefault="007B018B" w:rsidP="007B018B">
            <w:pPr>
              <w:pStyle w:val="afff6"/>
              <w:numPr>
                <w:ilvl w:val="1"/>
                <w:numId w:val="151"/>
              </w:numPr>
              <w:ind w:left="522"/>
              <w:contextualSpacing/>
              <w:rPr>
                <w:sz w:val="24"/>
                <w:szCs w:val="24"/>
              </w:rPr>
            </w:pPr>
            <w:r w:rsidRPr="00367F5B">
              <w:rPr>
                <w:sz w:val="24"/>
                <w:szCs w:val="24"/>
              </w:rPr>
              <w:t xml:space="preserve">Данные загружаются из ПУР АСС &gt; раздел «Реквизиты соглашения (договора), НПА» &gt; «Размер средств в рублевом эквиваленте». </w:t>
            </w:r>
          </w:p>
          <w:p w:rsidR="007B018B" w:rsidRPr="00367F5B" w:rsidRDefault="007B018B" w:rsidP="007B018B">
            <w:pPr>
              <w:pStyle w:val="afff6"/>
              <w:numPr>
                <w:ilvl w:val="1"/>
                <w:numId w:val="151"/>
              </w:numPr>
              <w:ind w:left="522"/>
              <w:contextualSpacing/>
              <w:rPr>
                <w:sz w:val="24"/>
                <w:szCs w:val="24"/>
              </w:rPr>
            </w:pPr>
            <w:r w:rsidRPr="00367F5B">
              <w:rPr>
                <w:sz w:val="24"/>
                <w:szCs w:val="24"/>
              </w:rPr>
              <w:t>В ПУР АСС переход реализован из гр.1 «Номер реестровой записи (ПУР)».</w:t>
            </w:r>
          </w:p>
          <w:p w:rsidR="007B018B" w:rsidRPr="00367F5B" w:rsidRDefault="007B018B" w:rsidP="007B018B">
            <w:pPr>
              <w:pStyle w:val="afff6"/>
              <w:numPr>
                <w:ilvl w:val="0"/>
                <w:numId w:val="151"/>
              </w:numPr>
              <w:ind w:left="238" w:hanging="238"/>
              <w:contextualSpacing/>
              <w:rPr>
                <w:sz w:val="24"/>
                <w:szCs w:val="24"/>
              </w:rPr>
            </w:pPr>
            <w:r w:rsidRPr="00367F5B">
              <w:rPr>
                <w:sz w:val="24"/>
                <w:szCs w:val="24"/>
              </w:rPr>
              <w:t>Проверка гр. 8 «Сумма БО (ПУР)»:</w:t>
            </w:r>
          </w:p>
          <w:p w:rsidR="007B018B" w:rsidRPr="00367F5B" w:rsidRDefault="007B018B" w:rsidP="007B018B">
            <w:pPr>
              <w:pStyle w:val="afff6"/>
              <w:numPr>
                <w:ilvl w:val="1"/>
                <w:numId w:val="151"/>
              </w:numPr>
              <w:ind w:left="522"/>
              <w:contextualSpacing/>
              <w:rPr>
                <w:sz w:val="24"/>
                <w:szCs w:val="24"/>
              </w:rPr>
            </w:pPr>
            <w:r w:rsidRPr="00367F5B">
              <w:rPr>
                <w:sz w:val="24"/>
                <w:szCs w:val="24"/>
              </w:rPr>
              <w:t>Данные загружаются из ПУР Формуляр БО &gt; раздел «Бюджетное обязательство» &gt; «Сумма БО (в валюте)».</w:t>
            </w:r>
          </w:p>
          <w:p w:rsidR="007B018B" w:rsidRPr="00367F5B" w:rsidRDefault="007B018B" w:rsidP="007B018B">
            <w:pPr>
              <w:pStyle w:val="afff6"/>
              <w:numPr>
                <w:ilvl w:val="1"/>
                <w:numId w:val="151"/>
              </w:numPr>
              <w:ind w:left="522"/>
              <w:contextualSpacing/>
              <w:rPr>
                <w:sz w:val="24"/>
                <w:szCs w:val="24"/>
              </w:rPr>
            </w:pPr>
            <w:r w:rsidRPr="00367F5B">
              <w:rPr>
                <w:sz w:val="24"/>
                <w:szCs w:val="24"/>
              </w:rPr>
              <w:t>В ПУР БО переход реализован из гр.7 «Номер БО (ПУР)»</w:t>
            </w:r>
          </w:p>
          <w:p w:rsidR="007B018B" w:rsidRPr="00367F5B" w:rsidRDefault="007B018B" w:rsidP="007B018B">
            <w:pPr>
              <w:rPr>
                <w:szCs w:val="24"/>
              </w:rPr>
            </w:pPr>
            <w:r w:rsidRPr="00367F5B">
              <w:rPr>
                <w:szCs w:val="24"/>
              </w:rPr>
              <w:t>Решения:</w:t>
            </w:r>
          </w:p>
          <w:p w:rsidR="007B018B" w:rsidRDefault="007B018B" w:rsidP="007B018B">
            <w:pPr>
              <w:pStyle w:val="afff6"/>
              <w:numPr>
                <w:ilvl w:val="0"/>
                <w:numId w:val="152"/>
              </w:numPr>
              <w:ind w:left="238" w:hanging="238"/>
              <w:contextualSpacing/>
              <w:rPr>
                <w:sz w:val="24"/>
                <w:szCs w:val="24"/>
              </w:rPr>
            </w:pPr>
            <w:r w:rsidRPr="00367F5B">
              <w:rPr>
                <w:sz w:val="24"/>
                <w:szCs w:val="24"/>
              </w:rPr>
              <w:t>Если некорректные данные в ПУР АСС и в ПУР БО – зарегистрировать обращение на ГП ПУР. Внимание: в ПУР БО &gt; раздел «Бюджетное обязательство» графы «Сумма БО (в валюте)» и «Сумма БО (в рублях)» должны совпадать</w:t>
            </w:r>
            <w:r>
              <w:rPr>
                <w:sz w:val="24"/>
                <w:szCs w:val="24"/>
              </w:rPr>
              <w:t>, если код валюты по ОКВ – 643 либо РУБ, за исключением случаев требующих внесение изменений со стороны Клиента ТОФК.</w:t>
            </w:r>
          </w:p>
          <w:p w:rsidR="007B018B" w:rsidRDefault="007B018B" w:rsidP="007B018B">
            <w:pPr>
              <w:pStyle w:val="afff6"/>
              <w:numPr>
                <w:ilvl w:val="0"/>
                <w:numId w:val="152"/>
              </w:numPr>
              <w:ind w:left="238" w:hanging="238"/>
              <w:contextualSpacing/>
              <w:rPr>
                <w:sz w:val="24"/>
                <w:szCs w:val="24"/>
              </w:rPr>
            </w:pPr>
            <w:r>
              <w:rPr>
                <w:sz w:val="24"/>
                <w:szCs w:val="24"/>
              </w:rPr>
              <w:t>В случаях требующих внесения изменений со стороны клиента ТОФК обращение не регистрируется.</w:t>
            </w:r>
            <w:r w:rsidRPr="00367F5B">
              <w:rPr>
                <w:sz w:val="24"/>
                <w:szCs w:val="24"/>
              </w:rPr>
              <w:t xml:space="preserve"> </w:t>
            </w:r>
          </w:p>
          <w:p w:rsidR="007B018B" w:rsidRPr="00367F5B" w:rsidRDefault="007B018B" w:rsidP="007B018B">
            <w:pPr>
              <w:pStyle w:val="afff6"/>
              <w:numPr>
                <w:ilvl w:val="0"/>
                <w:numId w:val="152"/>
              </w:numPr>
              <w:ind w:left="238" w:hanging="238"/>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Default="007B018B" w:rsidP="007B018B">
            <w:pPr>
              <w:rPr>
                <w:szCs w:val="24"/>
              </w:rPr>
            </w:pPr>
            <w:r>
              <w:rPr>
                <w:szCs w:val="24"/>
              </w:rPr>
              <w:t>УФК</w:t>
            </w:r>
          </w:p>
          <w:p w:rsidR="007B018B" w:rsidRDefault="007B018B" w:rsidP="007B018B">
            <w:pPr>
              <w:rPr>
                <w:szCs w:val="24"/>
              </w:rPr>
            </w:pPr>
            <w:r>
              <w:rPr>
                <w:szCs w:val="24"/>
              </w:rPr>
              <w:t>ОР МОУ ФК</w:t>
            </w:r>
          </w:p>
          <w:p w:rsidR="007B018B" w:rsidRPr="00367F5B" w:rsidRDefault="007B018B" w:rsidP="007B018B">
            <w:pPr>
              <w:rPr>
                <w:szCs w:val="24"/>
              </w:rPr>
            </w:pPr>
            <w:r>
              <w:rPr>
                <w:szCs w:val="24"/>
              </w:rPr>
              <w:t>ООСВ МОУ ФК</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Перечислено (ПУР) и Перечислено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разницу между суммами перечислений в ПУР и 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53"/>
              </w:numPr>
              <w:ind w:left="330" w:hanging="283"/>
              <w:contextualSpacing/>
              <w:rPr>
                <w:sz w:val="24"/>
                <w:szCs w:val="24"/>
              </w:rPr>
            </w:pPr>
            <w:r w:rsidRPr="00367F5B">
              <w:rPr>
                <w:sz w:val="24"/>
                <w:szCs w:val="24"/>
              </w:rPr>
              <w:t>Выполнить переход в представление «Расхождение в части кассового исполнения». По конкретной РЗ переход реализован в представлении «По соглашениям»  в гр.5 «Номер реестровой записи (ПУР)» =&gt; «Расхождение в части кассового исполнения».</w:t>
            </w:r>
          </w:p>
          <w:p w:rsidR="007B018B" w:rsidRPr="00367F5B" w:rsidRDefault="007B018B" w:rsidP="007B018B">
            <w:pPr>
              <w:pStyle w:val="afff6"/>
              <w:numPr>
                <w:ilvl w:val="0"/>
                <w:numId w:val="153"/>
              </w:numPr>
              <w:ind w:left="238" w:hanging="238"/>
              <w:contextualSpacing/>
              <w:rPr>
                <w:sz w:val="24"/>
                <w:szCs w:val="24"/>
              </w:rPr>
            </w:pPr>
            <w:r w:rsidRPr="00367F5B">
              <w:rPr>
                <w:sz w:val="24"/>
                <w:szCs w:val="24"/>
              </w:rPr>
              <w:t>В представлении «Расхождение в части кассового исполнения» сверить данные гр.3 «Перечислено (ПУР)» и гр. 4 «Перечислено (ЕПБС)».</w:t>
            </w:r>
          </w:p>
          <w:p w:rsidR="007B018B" w:rsidRPr="00367F5B" w:rsidRDefault="007B018B" w:rsidP="007B018B">
            <w:pPr>
              <w:pStyle w:val="afff6"/>
              <w:numPr>
                <w:ilvl w:val="0"/>
                <w:numId w:val="153"/>
              </w:numPr>
              <w:ind w:left="238" w:hanging="238"/>
              <w:contextualSpacing/>
              <w:rPr>
                <w:sz w:val="24"/>
                <w:szCs w:val="24"/>
              </w:rPr>
            </w:pPr>
            <w:r w:rsidRPr="00367F5B">
              <w:rPr>
                <w:sz w:val="24"/>
                <w:szCs w:val="24"/>
              </w:rPr>
              <w:t>Проверка гр.3 «Перечислено (ПУР)»:</w:t>
            </w:r>
          </w:p>
          <w:p w:rsidR="007B018B" w:rsidRPr="00367F5B" w:rsidRDefault="007B018B" w:rsidP="007B018B">
            <w:pPr>
              <w:pStyle w:val="afff6"/>
              <w:numPr>
                <w:ilvl w:val="1"/>
                <w:numId w:val="153"/>
              </w:numPr>
              <w:ind w:left="522"/>
              <w:contextualSpacing/>
              <w:rPr>
                <w:sz w:val="24"/>
                <w:szCs w:val="24"/>
              </w:rPr>
            </w:pPr>
            <w:r w:rsidRPr="00367F5B">
              <w:rPr>
                <w:sz w:val="24"/>
                <w:szCs w:val="24"/>
              </w:rPr>
              <w:t>Данные загружаются из ПУР АСС &gt; раздел «Перечень ИПС» &gt; «Сумма в рублях» (Итого).</w:t>
            </w:r>
          </w:p>
          <w:p w:rsidR="007B018B" w:rsidRPr="00367F5B" w:rsidRDefault="007B018B" w:rsidP="007B018B">
            <w:pPr>
              <w:pStyle w:val="afff6"/>
              <w:numPr>
                <w:ilvl w:val="1"/>
                <w:numId w:val="153"/>
              </w:numPr>
              <w:ind w:left="522"/>
              <w:contextualSpacing/>
              <w:rPr>
                <w:sz w:val="24"/>
                <w:szCs w:val="24"/>
              </w:rPr>
            </w:pPr>
            <w:r w:rsidRPr="00367F5B">
              <w:rPr>
                <w:sz w:val="24"/>
                <w:szCs w:val="24"/>
              </w:rPr>
              <w:t>В ПУР АСС переход реализован из гр.1 «Номер реестровой записи (ПУР)».</w:t>
            </w:r>
          </w:p>
          <w:p w:rsidR="007B018B" w:rsidRPr="00367F5B" w:rsidRDefault="007B018B" w:rsidP="007B018B">
            <w:pPr>
              <w:pStyle w:val="afff6"/>
              <w:numPr>
                <w:ilvl w:val="0"/>
                <w:numId w:val="153"/>
              </w:numPr>
              <w:ind w:left="238" w:hanging="238"/>
              <w:contextualSpacing/>
              <w:rPr>
                <w:sz w:val="24"/>
                <w:szCs w:val="24"/>
              </w:rPr>
            </w:pPr>
            <w:r w:rsidRPr="00367F5B">
              <w:rPr>
                <w:sz w:val="24"/>
                <w:szCs w:val="24"/>
              </w:rPr>
              <w:t>Проверка гр.4 «Перечислено (ЕПБС)»:</w:t>
            </w:r>
          </w:p>
          <w:p w:rsidR="007B018B" w:rsidRPr="00367F5B" w:rsidRDefault="007B018B" w:rsidP="007B018B">
            <w:pPr>
              <w:pStyle w:val="afff6"/>
              <w:numPr>
                <w:ilvl w:val="1"/>
                <w:numId w:val="153"/>
              </w:numPr>
              <w:ind w:left="522"/>
              <w:contextualSpacing/>
              <w:rPr>
                <w:sz w:val="24"/>
                <w:szCs w:val="24"/>
              </w:rPr>
            </w:pPr>
            <w:r w:rsidRPr="00367F5B">
              <w:rPr>
                <w:sz w:val="24"/>
                <w:szCs w:val="24"/>
              </w:rPr>
              <w:t>Данные загружаются из ЕПБС &gt; Реестр соглашений &gt; Общие сведения &gt; «Сведения о перечислении».</w:t>
            </w:r>
          </w:p>
          <w:p w:rsidR="007B018B" w:rsidRPr="00367F5B" w:rsidRDefault="007B018B" w:rsidP="007B018B">
            <w:pPr>
              <w:pStyle w:val="afff6"/>
              <w:numPr>
                <w:ilvl w:val="1"/>
                <w:numId w:val="153"/>
              </w:numPr>
              <w:ind w:left="522"/>
              <w:contextualSpacing/>
              <w:rPr>
                <w:sz w:val="24"/>
                <w:szCs w:val="24"/>
              </w:rPr>
            </w:pPr>
            <w:r w:rsidRPr="00367F5B">
              <w:rPr>
                <w:sz w:val="24"/>
                <w:szCs w:val="24"/>
              </w:rPr>
              <w:t>На ЕПБС переход реализован в представлении «По соглашениям» гр. 7 «Номер реестровой записи (ЕПБС)».</w:t>
            </w:r>
          </w:p>
          <w:p w:rsidR="007B018B" w:rsidRPr="00367F5B" w:rsidRDefault="007B018B" w:rsidP="007B018B">
            <w:pPr>
              <w:rPr>
                <w:szCs w:val="24"/>
              </w:rPr>
            </w:pPr>
            <w:r w:rsidRPr="00367F5B">
              <w:rPr>
                <w:szCs w:val="24"/>
              </w:rPr>
              <w:t>Решения:</w:t>
            </w:r>
          </w:p>
          <w:p w:rsidR="007B018B" w:rsidRPr="00367F5B" w:rsidRDefault="007B018B" w:rsidP="007B018B">
            <w:pPr>
              <w:pStyle w:val="afff6"/>
              <w:numPr>
                <w:ilvl w:val="0"/>
                <w:numId w:val="154"/>
              </w:numPr>
              <w:ind w:left="330" w:hanging="283"/>
              <w:contextualSpacing/>
              <w:rPr>
                <w:sz w:val="24"/>
                <w:szCs w:val="24"/>
              </w:rPr>
            </w:pPr>
            <w:r>
              <w:rPr>
                <w:sz w:val="24"/>
                <w:szCs w:val="24"/>
              </w:rPr>
              <w:t>Если некорректные данные на ЕПБС зарегистрировать обращение на ЕПБС.</w:t>
            </w:r>
          </w:p>
          <w:p w:rsidR="007B018B" w:rsidRPr="00F721B8" w:rsidRDefault="007B018B" w:rsidP="007B018B">
            <w:pPr>
              <w:pStyle w:val="afff6"/>
              <w:numPr>
                <w:ilvl w:val="0"/>
                <w:numId w:val="154"/>
              </w:numPr>
              <w:ind w:left="330" w:hanging="283"/>
              <w:contextualSpacing/>
              <w:rPr>
                <w:sz w:val="24"/>
                <w:szCs w:val="24"/>
              </w:rPr>
            </w:pPr>
            <w:r>
              <w:rPr>
                <w:sz w:val="24"/>
                <w:szCs w:val="24"/>
              </w:rPr>
              <w:t>Если некорректные данные в ПУР АСС зарегистрировать обращение на ГП ПУР, для реестровых записей, созданных до 01.01.2018 года.</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r>
              <w:rPr>
                <w:szCs w:val="24"/>
              </w:rPr>
              <w:t>.</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75"/>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75"/>
              </w:numPr>
              <w:ind w:left="37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75"/>
              </w:numPr>
              <w:ind w:left="37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B32C23" w:rsidRDefault="007B018B" w:rsidP="007B018B">
            <w:pPr>
              <w:pStyle w:val="afff6"/>
              <w:numPr>
                <w:ilvl w:val="0"/>
                <w:numId w:val="176"/>
              </w:numPr>
              <w:ind w:left="460" w:hanging="425"/>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76"/>
              </w:numPr>
              <w:ind w:left="460" w:hanging="425"/>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300"/>
        </w:trPr>
        <w:tc>
          <w:tcPr>
            <w:tcW w:w="414" w:type="pct"/>
            <w:hideMark/>
          </w:tcPr>
          <w:p w:rsidR="007B018B" w:rsidRPr="00367F5B" w:rsidRDefault="007B018B" w:rsidP="007B018B">
            <w:pPr>
              <w:rPr>
                <w:color w:val="333333"/>
                <w:szCs w:val="24"/>
              </w:rPr>
            </w:pPr>
            <w:r w:rsidRPr="00367F5B">
              <w:rPr>
                <w:color w:val="333333"/>
                <w:szCs w:val="24"/>
              </w:rPr>
              <w:t>Индикатор наличия вложений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разницу между наименованиями вложений в ПУР и 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55"/>
              </w:numPr>
              <w:ind w:left="330" w:hanging="283"/>
              <w:contextualSpacing/>
              <w:rPr>
                <w:sz w:val="24"/>
                <w:szCs w:val="24"/>
              </w:rPr>
            </w:pPr>
            <w:r w:rsidRPr="00367F5B">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 По конкретной РЗ переход реализован в представлении «По соглашениям»  в гр.7 «Номер реестровой записи (ЕПБС)»</w:t>
            </w:r>
            <w:r>
              <w:rPr>
                <w:sz w:val="24"/>
                <w:szCs w:val="24"/>
              </w:rPr>
              <w:t>=</w:t>
            </w:r>
            <w:r w:rsidRPr="008C5E29">
              <w:rPr>
                <w:sz w:val="24"/>
                <w:szCs w:val="24"/>
              </w:rPr>
              <w:t>&gt;</w:t>
            </w:r>
            <w:r>
              <w:rPr>
                <w:sz w:val="24"/>
                <w:szCs w:val="24"/>
              </w:rPr>
              <w:t xml:space="preserve"> «Реестр соглашений»</w:t>
            </w:r>
            <w:r w:rsidRPr="00367F5B">
              <w:rPr>
                <w:sz w:val="24"/>
                <w:szCs w:val="24"/>
              </w:rPr>
              <w:t xml:space="preserve">. </w:t>
            </w:r>
          </w:p>
          <w:p w:rsidR="007B018B" w:rsidRPr="00367F5B" w:rsidRDefault="007B018B" w:rsidP="007B018B">
            <w:pPr>
              <w:pStyle w:val="afff6"/>
              <w:numPr>
                <w:ilvl w:val="0"/>
                <w:numId w:val="155"/>
              </w:numPr>
              <w:ind w:left="330" w:hanging="283"/>
              <w:contextualSpacing/>
              <w:rPr>
                <w:sz w:val="24"/>
                <w:szCs w:val="24"/>
              </w:rPr>
            </w:pPr>
            <w:r w:rsidRPr="00367F5B">
              <w:rPr>
                <w:sz w:val="24"/>
                <w:szCs w:val="24"/>
              </w:rPr>
              <w:t>Выполнить переход в представление «Вложения по соглашениям». По конкретной РЗ переход реализован в представлении «По соглашениям»  в гр. 5 «Номер реестровой записи (ПУР)» =&gt; «Вложения по соглашениям».</w:t>
            </w:r>
          </w:p>
          <w:p w:rsidR="007B018B" w:rsidRPr="00367F5B" w:rsidRDefault="007B018B" w:rsidP="007B018B">
            <w:pPr>
              <w:pStyle w:val="afff6"/>
              <w:numPr>
                <w:ilvl w:val="0"/>
                <w:numId w:val="155"/>
              </w:numPr>
              <w:ind w:left="337" w:hanging="283"/>
              <w:contextualSpacing/>
              <w:rPr>
                <w:sz w:val="24"/>
                <w:szCs w:val="24"/>
              </w:rPr>
            </w:pPr>
            <w:r w:rsidRPr="00367F5B">
              <w:rPr>
                <w:sz w:val="24"/>
                <w:szCs w:val="24"/>
              </w:rPr>
              <w:t>Убедиться в наличии данных вложений на ЕПБС.</w:t>
            </w:r>
          </w:p>
          <w:p w:rsidR="007B018B" w:rsidRPr="00367F5B" w:rsidRDefault="007B018B" w:rsidP="007B018B">
            <w:pPr>
              <w:pStyle w:val="afff6"/>
              <w:numPr>
                <w:ilvl w:val="0"/>
                <w:numId w:val="155"/>
              </w:numPr>
              <w:ind w:left="337" w:hanging="283"/>
              <w:contextualSpacing/>
              <w:rPr>
                <w:sz w:val="24"/>
                <w:szCs w:val="24"/>
              </w:rPr>
            </w:pPr>
            <w:r w:rsidRPr="00367F5B">
              <w:rPr>
                <w:sz w:val="24"/>
                <w:szCs w:val="24"/>
              </w:rPr>
              <w:t>Если вложение на ЕПБС есть, проверить корректность наименования вложения (лишние пробелы, символы) с гр.1 «Наименование вложения (ПУР)».</w:t>
            </w:r>
          </w:p>
          <w:p w:rsidR="007B018B" w:rsidRPr="00367F5B" w:rsidRDefault="007B018B" w:rsidP="007B018B">
            <w:pPr>
              <w:ind w:left="337" w:hanging="283"/>
              <w:rPr>
                <w:szCs w:val="24"/>
              </w:rPr>
            </w:pPr>
            <w:r w:rsidRPr="00367F5B">
              <w:rPr>
                <w:szCs w:val="24"/>
              </w:rPr>
              <w:t>Решения:</w:t>
            </w:r>
          </w:p>
          <w:p w:rsidR="007B018B" w:rsidRPr="00367F5B" w:rsidRDefault="007B018B" w:rsidP="007B018B">
            <w:pPr>
              <w:pStyle w:val="afff6"/>
              <w:numPr>
                <w:ilvl w:val="0"/>
                <w:numId w:val="156"/>
              </w:numPr>
              <w:ind w:left="337" w:hanging="283"/>
              <w:contextualSpacing/>
              <w:rPr>
                <w:sz w:val="24"/>
                <w:szCs w:val="24"/>
              </w:rPr>
            </w:pPr>
            <w:r w:rsidRPr="00367F5B">
              <w:rPr>
                <w:sz w:val="24"/>
                <w:szCs w:val="24"/>
              </w:rPr>
              <w:t>Если нет вложений на ЕПБС – зарегистрировать обращение на ГП ЕПБС.</w:t>
            </w:r>
          </w:p>
          <w:p w:rsidR="007B018B" w:rsidRPr="00367F5B" w:rsidRDefault="007B018B" w:rsidP="007B018B">
            <w:pPr>
              <w:pStyle w:val="afff6"/>
              <w:numPr>
                <w:ilvl w:val="0"/>
                <w:numId w:val="156"/>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77"/>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77"/>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77"/>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305BBA" w:rsidRDefault="007B018B" w:rsidP="007B018B">
            <w:pPr>
              <w:pStyle w:val="afff6"/>
              <w:numPr>
                <w:ilvl w:val="0"/>
                <w:numId w:val="178"/>
              </w:numPr>
              <w:ind w:left="319" w:hanging="284"/>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78"/>
              </w:numPr>
              <w:ind w:left="319" w:hanging="28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Корректно. Данная ситуация характерна для индикаторов по вложениям к соглашениям, так как вложения представлены начиная с 2019 года по графику БО, а соглашения, начиная с 2018 года соответственно</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наличия GUID документа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color w:val="333333"/>
                <w:szCs w:val="24"/>
              </w:rPr>
            </w:pPr>
            <w:r w:rsidRPr="00367F5B">
              <w:rPr>
                <w:szCs w:val="24"/>
              </w:rPr>
              <w:t xml:space="preserve">Указывает на некорректную типизацию вложений </w:t>
            </w:r>
            <w:r w:rsidRPr="00367F5B">
              <w:rPr>
                <w:color w:val="333333"/>
                <w:szCs w:val="24"/>
              </w:rPr>
              <w:t>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57"/>
              </w:numPr>
              <w:ind w:left="337" w:hanging="283"/>
              <w:contextualSpacing/>
              <w:rPr>
                <w:sz w:val="24"/>
                <w:szCs w:val="24"/>
              </w:rPr>
            </w:pPr>
            <w:r w:rsidRPr="00367F5B">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 По конкретной РЗ переход реализован в гр.7 «Номер реестровой записи (ЕПБС)»</w:t>
            </w:r>
            <w:r>
              <w:rPr>
                <w:sz w:val="24"/>
                <w:szCs w:val="24"/>
              </w:rPr>
              <w:t>=</w:t>
            </w:r>
            <w:r w:rsidRPr="008C5E29">
              <w:rPr>
                <w:sz w:val="24"/>
                <w:szCs w:val="24"/>
              </w:rPr>
              <w:t xml:space="preserve">&gt; </w:t>
            </w:r>
            <w:r>
              <w:rPr>
                <w:sz w:val="24"/>
                <w:szCs w:val="24"/>
              </w:rPr>
              <w:t>«Реестр соглашений»</w:t>
            </w:r>
            <w:r w:rsidRPr="00367F5B">
              <w:rPr>
                <w:sz w:val="24"/>
                <w:szCs w:val="24"/>
              </w:rPr>
              <w:t xml:space="preserve">. </w:t>
            </w:r>
          </w:p>
          <w:p w:rsidR="007B018B" w:rsidRPr="00367F5B" w:rsidRDefault="007B018B" w:rsidP="007B018B">
            <w:pPr>
              <w:pStyle w:val="afff6"/>
              <w:numPr>
                <w:ilvl w:val="0"/>
                <w:numId w:val="157"/>
              </w:numPr>
              <w:ind w:left="337" w:hanging="283"/>
              <w:contextualSpacing/>
              <w:rPr>
                <w:sz w:val="24"/>
                <w:szCs w:val="24"/>
              </w:rPr>
            </w:pPr>
            <w:r w:rsidRPr="00367F5B">
              <w:rPr>
                <w:sz w:val="24"/>
                <w:szCs w:val="24"/>
              </w:rPr>
              <w:t>Выполнить переход в представление «Вложения по соглашениям». По конкретной РЗ переход реализован в представлении «По соглашениям»  в гр. 5 «Номер реестровой записи (ПУР)» =&gt; «Вложения по соглашениям».</w:t>
            </w:r>
          </w:p>
          <w:p w:rsidR="007B018B" w:rsidRPr="00367F5B" w:rsidRDefault="007B018B" w:rsidP="007B018B">
            <w:pPr>
              <w:pStyle w:val="afff6"/>
              <w:numPr>
                <w:ilvl w:val="0"/>
                <w:numId w:val="157"/>
              </w:numPr>
              <w:ind w:left="337" w:hanging="283"/>
              <w:contextualSpacing/>
              <w:rPr>
                <w:sz w:val="24"/>
                <w:szCs w:val="24"/>
              </w:rPr>
            </w:pPr>
            <w:r w:rsidRPr="00367F5B">
              <w:rPr>
                <w:sz w:val="24"/>
                <w:szCs w:val="24"/>
              </w:rPr>
              <w:t>Убедиться в размещении вложений в корректном блоке на ЕПБС.</w:t>
            </w:r>
          </w:p>
          <w:p w:rsidR="007B018B" w:rsidRPr="00367F5B" w:rsidRDefault="007B018B" w:rsidP="007B018B">
            <w:pPr>
              <w:rPr>
                <w:szCs w:val="24"/>
              </w:rPr>
            </w:pPr>
            <w:r w:rsidRPr="00367F5B">
              <w:rPr>
                <w:szCs w:val="24"/>
              </w:rPr>
              <w:t>Решение:</w:t>
            </w:r>
          </w:p>
          <w:p w:rsidR="007B018B" w:rsidRPr="00367F5B" w:rsidRDefault="007B018B" w:rsidP="007B018B">
            <w:pPr>
              <w:pStyle w:val="afff6"/>
              <w:numPr>
                <w:ilvl w:val="0"/>
                <w:numId w:val="158"/>
              </w:numPr>
              <w:ind w:left="337" w:hanging="283"/>
              <w:contextualSpacing/>
              <w:rPr>
                <w:sz w:val="24"/>
                <w:szCs w:val="24"/>
              </w:rPr>
            </w:pPr>
            <w:r w:rsidRPr="00367F5B">
              <w:rPr>
                <w:sz w:val="24"/>
                <w:szCs w:val="24"/>
              </w:rPr>
              <w:t>Если вложение размещено в некорректном блоке на ЕПБС – зарегистрировать обращение на ГП ЕПБС.</w:t>
            </w:r>
          </w:p>
          <w:p w:rsidR="007B018B" w:rsidRPr="00367F5B" w:rsidRDefault="007B018B" w:rsidP="007B018B">
            <w:pPr>
              <w:pStyle w:val="afff6"/>
              <w:numPr>
                <w:ilvl w:val="0"/>
                <w:numId w:val="158"/>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79"/>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79"/>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79"/>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305BBA" w:rsidRDefault="007B018B" w:rsidP="007B018B">
            <w:pPr>
              <w:pStyle w:val="afff6"/>
              <w:numPr>
                <w:ilvl w:val="0"/>
                <w:numId w:val="180"/>
              </w:numPr>
              <w:ind w:left="319" w:hanging="284"/>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80"/>
              </w:numPr>
              <w:ind w:left="319" w:hanging="28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Корректно. Данная ситуация характерна для индикаторов по вложениям к соглашениям, так как вложения представлены начиная с 2019 года по графику БО, а соглашения, начиная с 2018 года соответственно</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300"/>
        </w:trPr>
        <w:tc>
          <w:tcPr>
            <w:tcW w:w="414" w:type="pct"/>
            <w:hideMark/>
          </w:tcPr>
          <w:p w:rsidR="007B018B" w:rsidRPr="00367F5B" w:rsidRDefault="007B018B" w:rsidP="007B018B">
            <w:pPr>
              <w:rPr>
                <w:color w:val="333333"/>
                <w:szCs w:val="24"/>
              </w:rPr>
            </w:pPr>
            <w:r w:rsidRPr="00367F5B">
              <w:rPr>
                <w:color w:val="333333"/>
                <w:szCs w:val="24"/>
              </w:rPr>
              <w:t>Индикатор наличия вложений в ПУР</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A86F44">
              <w:rPr>
                <w:szCs w:val="24"/>
              </w:rPr>
              <w:t xml:space="preserve">Указывает на отсутствие вложения в ПУР </w:t>
            </w:r>
            <w:r>
              <w:rPr>
                <w:szCs w:val="24"/>
              </w:rPr>
              <w:t xml:space="preserve">АСС </w:t>
            </w:r>
            <w:r w:rsidRPr="00A86F44">
              <w:rPr>
                <w:szCs w:val="24"/>
              </w:rPr>
              <w:t xml:space="preserve">при его наличии на ЕПБС (сравнение </w:t>
            </w:r>
            <w:r>
              <w:rPr>
                <w:szCs w:val="24"/>
              </w:rPr>
              <w:t>происходит</w:t>
            </w:r>
            <w:r w:rsidRPr="00A86F44">
              <w:rPr>
                <w:szCs w:val="24"/>
              </w:rPr>
              <w:t xml:space="preserve"> по наименованию вложения)</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68"/>
              </w:numPr>
              <w:ind w:left="337" w:hanging="283"/>
              <w:contextualSpacing/>
              <w:rPr>
                <w:sz w:val="24"/>
                <w:szCs w:val="24"/>
              </w:rPr>
            </w:pPr>
            <w:r w:rsidRPr="00367F5B">
              <w:rPr>
                <w:sz w:val="24"/>
                <w:szCs w:val="24"/>
              </w:rPr>
              <w:t>Выполнить переход в ПУР АСС &gt; «Документы-основания». По конкретной РЗ переход реализован в представлении «По соглашениям» в гр.</w:t>
            </w:r>
            <w:r>
              <w:rPr>
                <w:sz w:val="24"/>
                <w:szCs w:val="24"/>
              </w:rPr>
              <w:t>5</w:t>
            </w:r>
            <w:r w:rsidRPr="00367F5B">
              <w:rPr>
                <w:sz w:val="24"/>
                <w:szCs w:val="24"/>
              </w:rPr>
              <w:t xml:space="preserve"> «Номер реестровой записи (ПУР)»</w:t>
            </w:r>
            <w:r>
              <w:rPr>
                <w:sz w:val="24"/>
                <w:szCs w:val="24"/>
              </w:rPr>
              <w:t>=</w:t>
            </w:r>
            <w:r w:rsidRPr="00CB41B3">
              <w:rPr>
                <w:sz w:val="24"/>
                <w:szCs w:val="24"/>
              </w:rPr>
              <w:t xml:space="preserve">&gt; </w:t>
            </w:r>
            <w:r>
              <w:rPr>
                <w:sz w:val="24"/>
                <w:szCs w:val="24"/>
              </w:rPr>
              <w:t>«Показать ПУР»</w:t>
            </w:r>
            <w:r w:rsidRPr="00367F5B">
              <w:rPr>
                <w:sz w:val="24"/>
                <w:szCs w:val="24"/>
              </w:rPr>
              <w:t>.</w:t>
            </w:r>
          </w:p>
          <w:p w:rsidR="007B018B" w:rsidRPr="00367F5B" w:rsidRDefault="007B018B" w:rsidP="007B018B">
            <w:pPr>
              <w:pStyle w:val="afff6"/>
              <w:numPr>
                <w:ilvl w:val="0"/>
                <w:numId w:val="168"/>
              </w:numPr>
              <w:ind w:left="337" w:hanging="283"/>
              <w:contextualSpacing/>
              <w:rPr>
                <w:sz w:val="24"/>
                <w:szCs w:val="24"/>
              </w:rPr>
            </w:pPr>
            <w:r w:rsidRPr="00367F5B">
              <w:rPr>
                <w:sz w:val="24"/>
                <w:szCs w:val="24"/>
              </w:rPr>
              <w:t>Убедиться в наличи</w:t>
            </w:r>
            <w:r>
              <w:rPr>
                <w:sz w:val="24"/>
                <w:szCs w:val="24"/>
              </w:rPr>
              <w:t>и</w:t>
            </w:r>
            <w:r w:rsidRPr="00367F5B">
              <w:rPr>
                <w:sz w:val="24"/>
                <w:szCs w:val="24"/>
              </w:rPr>
              <w:t xml:space="preserve"> вложения в ПУР АСС.</w:t>
            </w:r>
          </w:p>
          <w:p w:rsidR="007B018B" w:rsidRPr="00367F5B" w:rsidRDefault="007B018B" w:rsidP="007B018B">
            <w:pPr>
              <w:rPr>
                <w:szCs w:val="24"/>
              </w:rPr>
            </w:pPr>
            <w:r w:rsidRPr="00367F5B">
              <w:rPr>
                <w:szCs w:val="24"/>
              </w:rPr>
              <w:t>Решение:</w:t>
            </w:r>
          </w:p>
          <w:p w:rsidR="007B018B" w:rsidRDefault="007B018B" w:rsidP="007B018B">
            <w:pPr>
              <w:pStyle w:val="afff6"/>
              <w:numPr>
                <w:ilvl w:val="0"/>
                <w:numId w:val="169"/>
              </w:numPr>
              <w:ind w:left="337" w:hanging="283"/>
              <w:contextualSpacing/>
              <w:rPr>
                <w:sz w:val="24"/>
                <w:szCs w:val="24"/>
              </w:rPr>
            </w:pPr>
            <w:r>
              <w:rPr>
                <w:sz w:val="24"/>
                <w:szCs w:val="24"/>
              </w:rPr>
              <w:t>Если вложение размещено на ЕПБС, но удалено из ПУР АСС – зарегистрировать обращение на ГП ЕПБС.</w:t>
            </w:r>
          </w:p>
          <w:p w:rsidR="007B018B" w:rsidRPr="00367F5B" w:rsidRDefault="007B018B" w:rsidP="007B018B">
            <w:pPr>
              <w:pStyle w:val="afff6"/>
              <w:numPr>
                <w:ilvl w:val="0"/>
                <w:numId w:val="169"/>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81"/>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81"/>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81"/>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305BBA" w:rsidRDefault="007B018B" w:rsidP="007B018B">
            <w:pPr>
              <w:pStyle w:val="afff6"/>
              <w:numPr>
                <w:ilvl w:val="0"/>
                <w:numId w:val="182"/>
              </w:numPr>
              <w:ind w:left="319" w:hanging="284"/>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82"/>
              </w:numPr>
              <w:ind w:left="319" w:hanging="28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Корректно. Данная ситуация характерна для индикаторов по вложениям к соглашениям, так как вложения представлены начиная с 2019 года по графику БО, а соглашения, начиная с 2018 года соответственно</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дублирования вложений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дублирование вложений на ЕПБС в разных блоках.</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59"/>
              </w:numPr>
              <w:ind w:left="337" w:hanging="283"/>
              <w:contextualSpacing/>
              <w:rPr>
                <w:sz w:val="24"/>
                <w:szCs w:val="24"/>
              </w:rPr>
            </w:pPr>
            <w:r w:rsidRPr="00367F5B">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 По конкретной РЗ переход реализован в представлении «По соглашениям» в гр.7 «Номер реестровой записи (ЕПБС)»</w:t>
            </w:r>
            <w:r>
              <w:rPr>
                <w:sz w:val="24"/>
                <w:szCs w:val="24"/>
              </w:rPr>
              <w:t>=</w:t>
            </w:r>
            <w:r w:rsidRPr="00CB41B3">
              <w:rPr>
                <w:sz w:val="24"/>
                <w:szCs w:val="24"/>
              </w:rPr>
              <w:t xml:space="preserve">&gt; </w:t>
            </w:r>
            <w:r>
              <w:rPr>
                <w:sz w:val="24"/>
                <w:szCs w:val="24"/>
              </w:rPr>
              <w:t>«Реестр соглашений»</w:t>
            </w:r>
            <w:r w:rsidRPr="00367F5B">
              <w:rPr>
                <w:sz w:val="24"/>
                <w:szCs w:val="24"/>
              </w:rPr>
              <w:t xml:space="preserve">. </w:t>
            </w:r>
          </w:p>
          <w:p w:rsidR="007B018B" w:rsidRPr="00367F5B" w:rsidRDefault="007B018B" w:rsidP="007B018B">
            <w:pPr>
              <w:pStyle w:val="afff6"/>
              <w:numPr>
                <w:ilvl w:val="0"/>
                <w:numId w:val="159"/>
              </w:numPr>
              <w:ind w:left="337" w:hanging="283"/>
              <w:contextualSpacing/>
              <w:rPr>
                <w:sz w:val="24"/>
                <w:szCs w:val="24"/>
              </w:rPr>
            </w:pPr>
            <w:r w:rsidRPr="00367F5B">
              <w:rPr>
                <w:sz w:val="24"/>
                <w:szCs w:val="24"/>
              </w:rPr>
              <w:t xml:space="preserve">Выполнить переход в представление «Вложения по соглашениям». По конкретной РЗ переход реализован в представлении «По соглашениям» в гр. 5 «Номер реестровой записи (ПУР)» =&gt; «Вложения по соглашениям». </w:t>
            </w:r>
          </w:p>
          <w:p w:rsidR="007B018B" w:rsidRPr="00367F5B" w:rsidRDefault="007B018B" w:rsidP="007B018B">
            <w:pPr>
              <w:pStyle w:val="afff6"/>
              <w:numPr>
                <w:ilvl w:val="0"/>
                <w:numId w:val="159"/>
              </w:numPr>
              <w:ind w:left="337" w:hanging="283"/>
              <w:contextualSpacing/>
              <w:rPr>
                <w:sz w:val="24"/>
                <w:szCs w:val="24"/>
              </w:rPr>
            </w:pPr>
            <w:r w:rsidRPr="00367F5B">
              <w:rPr>
                <w:sz w:val="24"/>
                <w:szCs w:val="24"/>
              </w:rPr>
              <w:t>Убедиться в отсутствии дублирования вложений по всем блокам на ЕПБС.</w:t>
            </w:r>
          </w:p>
          <w:p w:rsidR="007B018B" w:rsidRPr="00367F5B" w:rsidRDefault="007B018B" w:rsidP="007B018B">
            <w:pPr>
              <w:ind w:left="337" w:hanging="283"/>
              <w:rPr>
                <w:szCs w:val="24"/>
              </w:rPr>
            </w:pPr>
            <w:r w:rsidRPr="00367F5B">
              <w:rPr>
                <w:szCs w:val="24"/>
              </w:rPr>
              <w:t>Решения:</w:t>
            </w:r>
          </w:p>
          <w:p w:rsidR="007B018B" w:rsidRPr="00367F5B" w:rsidRDefault="007B018B" w:rsidP="007B018B">
            <w:pPr>
              <w:pStyle w:val="afff6"/>
              <w:numPr>
                <w:ilvl w:val="0"/>
                <w:numId w:val="160"/>
              </w:numPr>
              <w:ind w:left="337" w:hanging="283"/>
              <w:contextualSpacing/>
              <w:rPr>
                <w:sz w:val="24"/>
                <w:szCs w:val="24"/>
              </w:rPr>
            </w:pPr>
            <w:r w:rsidRPr="00367F5B">
              <w:rPr>
                <w:sz w:val="24"/>
                <w:szCs w:val="24"/>
              </w:rPr>
              <w:t>Если вложение дублируется в разных блоках на ЕПБС – зарегистрировать обращение на ГП ЕПБС.</w:t>
            </w:r>
          </w:p>
          <w:p w:rsidR="007B018B" w:rsidRPr="00367F5B" w:rsidRDefault="007B018B" w:rsidP="007B018B">
            <w:pPr>
              <w:pStyle w:val="afff6"/>
              <w:numPr>
                <w:ilvl w:val="0"/>
                <w:numId w:val="160"/>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83"/>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83"/>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83"/>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843DCD" w:rsidRDefault="007B018B" w:rsidP="007B018B">
            <w:pPr>
              <w:pStyle w:val="afff6"/>
              <w:numPr>
                <w:ilvl w:val="0"/>
                <w:numId w:val="184"/>
              </w:numPr>
              <w:ind w:left="319" w:hanging="284"/>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84"/>
              </w:numPr>
              <w:ind w:left="319" w:hanging="28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Корректно. Данная ситуация характерна для индикаторов по вложениям к соглашениям, так как вложения представлены начиная с 2019 года по графику БО, а соглашения, начиная с 2018 года соответственно</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типов вложения в ПУР и на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1758" w:type="pct"/>
            <w:noWrap/>
            <w:hideMark/>
          </w:tcPr>
          <w:p w:rsidR="007B018B" w:rsidRPr="00367F5B" w:rsidRDefault="007B018B" w:rsidP="007B018B">
            <w:pPr>
              <w:rPr>
                <w:szCs w:val="24"/>
              </w:rPr>
            </w:pPr>
            <w:r w:rsidRPr="00367F5B">
              <w:rPr>
                <w:szCs w:val="24"/>
              </w:rPr>
              <w:t>Указывает на разницу типов вложений в ПУР и 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61"/>
              </w:numPr>
              <w:ind w:left="337" w:hanging="283"/>
              <w:contextualSpacing/>
              <w:rPr>
                <w:sz w:val="24"/>
                <w:szCs w:val="24"/>
              </w:rPr>
            </w:pPr>
            <w:r w:rsidRPr="00367F5B">
              <w:rPr>
                <w:sz w:val="24"/>
                <w:szCs w:val="24"/>
              </w:rPr>
              <w:t>Перейти на ЕПБС в раздел «Реестр соглашений (договоров) о предоставлении субсидий, бюджетных инвестиций, межбюджетных трансфертов». По конкретной РЗ переход реализован в представлении «По соглашениям» в гр.7 «Номер реестровой записи (ЕПБС)»</w:t>
            </w:r>
            <w:r>
              <w:rPr>
                <w:sz w:val="24"/>
                <w:szCs w:val="24"/>
              </w:rPr>
              <w:t xml:space="preserve"> =</w:t>
            </w:r>
            <w:r w:rsidRPr="00CB41B3">
              <w:rPr>
                <w:sz w:val="24"/>
                <w:szCs w:val="24"/>
              </w:rPr>
              <w:t xml:space="preserve">&gt; </w:t>
            </w:r>
            <w:r>
              <w:rPr>
                <w:sz w:val="24"/>
                <w:szCs w:val="24"/>
              </w:rPr>
              <w:t>«Реестр соглашений»</w:t>
            </w:r>
            <w:r w:rsidRPr="00367F5B">
              <w:rPr>
                <w:sz w:val="24"/>
                <w:szCs w:val="24"/>
              </w:rPr>
              <w:t xml:space="preserve">. </w:t>
            </w:r>
          </w:p>
          <w:p w:rsidR="007B018B" w:rsidRPr="00367F5B" w:rsidRDefault="007B018B" w:rsidP="007B018B">
            <w:pPr>
              <w:pStyle w:val="afff6"/>
              <w:numPr>
                <w:ilvl w:val="0"/>
                <w:numId w:val="161"/>
              </w:numPr>
              <w:ind w:left="337" w:hanging="283"/>
              <w:contextualSpacing/>
              <w:rPr>
                <w:sz w:val="24"/>
                <w:szCs w:val="24"/>
              </w:rPr>
            </w:pPr>
            <w:r w:rsidRPr="00367F5B">
              <w:rPr>
                <w:sz w:val="24"/>
                <w:szCs w:val="24"/>
              </w:rPr>
              <w:t xml:space="preserve">Выполнить переход в представление «Вложения по соглашениям». По конкретной РЗ переход реализован в представлении «По соглашениям» в гр. 5 «Номер реестровой записи (ПУР)» =&gt; «Вложения по соглашениям». </w:t>
            </w:r>
          </w:p>
          <w:p w:rsidR="007B018B" w:rsidRPr="00367F5B" w:rsidRDefault="007B018B" w:rsidP="007B018B">
            <w:pPr>
              <w:pStyle w:val="afff6"/>
              <w:numPr>
                <w:ilvl w:val="0"/>
                <w:numId w:val="161"/>
              </w:numPr>
              <w:ind w:left="337" w:hanging="283"/>
              <w:contextualSpacing/>
              <w:rPr>
                <w:sz w:val="24"/>
                <w:szCs w:val="24"/>
              </w:rPr>
            </w:pPr>
            <w:r w:rsidRPr="00367F5B">
              <w:rPr>
                <w:sz w:val="24"/>
                <w:szCs w:val="24"/>
              </w:rPr>
              <w:t>Убедиться</w:t>
            </w:r>
            <w:r>
              <w:rPr>
                <w:sz w:val="24"/>
                <w:szCs w:val="24"/>
              </w:rPr>
              <w:t xml:space="preserve">, что вложению присвоен корректный тип </w:t>
            </w:r>
            <w:r w:rsidRPr="00367F5B">
              <w:rPr>
                <w:sz w:val="24"/>
                <w:szCs w:val="24"/>
              </w:rPr>
              <w:t>на ЕПБС.</w:t>
            </w:r>
          </w:p>
          <w:p w:rsidR="007B018B" w:rsidRPr="00367F5B" w:rsidRDefault="007B018B" w:rsidP="007B018B">
            <w:pPr>
              <w:ind w:left="337" w:hanging="283"/>
              <w:rPr>
                <w:szCs w:val="24"/>
              </w:rPr>
            </w:pPr>
            <w:r w:rsidRPr="00367F5B">
              <w:rPr>
                <w:szCs w:val="24"/>
              </w:rPr>
              <w:t>Решения:</w:t>
            </w:r>
          </w:p>
          <w:p w:rsidR="007B018B" w:rsidRPr="00367F5B" w:rsidRDefault="007B018B" w:rsidP="007B018B">
            <w:pPr>
              <w:pStyle w:val="afff6"/>
              <w:numPr>
                <w:ilvl w:val="0"/>
                <w:numId w:val="167"/>
              </w:numPr>
              <w:ind w:left="337" w:hanging="283"/>
              <w:contextualSpacing/>
              <w:rPr>
                <w:sz w:val="24"/>
                <w:szCs w:val="24"/>
              </w:rPr>
            </w:pPr>
            <w:r w:rsidRPr="00367F5B">
              <w:rPr>
                <w:sz w:val="24"/>
                <w:szCs w:val="24"/>
              </w:rPr>
              <w:t>Если вложени</w:t>
            </w:r>
            <w:r>
              <w:rPr>
                <w:sz w:val="24"/>
                <w:szCs w:val="24"/>
              </w:rPr>
              <w:t>ю</w:t>
            </w:r>
            <w:r w:rsidRPr="00367F5B">
              <w:rPr>
                <w:sz w:val="24"/>
                <w:szCs w:val="24"/>
              </w:rPr>
              <w:t xml:space="preserve"> </w:t>
            </w:r>
            <w:r>
              <w:rPr>
                <w:sz w:val="24"/>
                <w:szCs w:val="24"/>
              </w:rPr>
              <w:t>присвоен некорректный тип</w:t>
            </w:r>
            <w:r w:rsidRPr="00367F5B">
              <w:rPr>
                <w:sz w:val="24"/>
                <w:szCs w:val="24"/>
              </w:rPr>
              <w:t xml:space="preserve"> на ЕПБС – зарегистрировать обращение на ГП ЕПБС.</w:t>
            </w:r>
          </w:p>
          <w:p w:rsidR="007B018B" w:rsidRPr="00367F5B" w:rsidRDefault="007B018B" w:rsidP="007B018B">
            <w:pPr>
              <w:pStyle w:val="afff6"/>
              <w:numPr>
                <w:ilvl w:val="0"/>
                <w:numId w:val="167"/>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85"/>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85"/>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85"/>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843DCD" w:rsidRDefault="007B018B" w:rsidP="007B018B">
            <w:pPr>
              <w:pStyle w:val="afff6"/>
              <w:numPr>
                <w:ilvl w:val="0"/>
                <w:numId w:val="186"/>
              </w:numPr>
              <w:ind w:left="319" w:hanging="284"/>
              <w:contextualSpacing/>
              <w:rPr>
                <w:szCs w:val="24"/>
              </w:rPr>
            </w:pPr>
            <w:r w:rsidRPr="006D6BC5">
              <w:rPr>
                <w:sz w:val="24"/>
                <w:szCs w:val="24"/>
              </w:rPr>
              <w:t>Если РЗ, подлежащая размещению на ЕПБС, отсутствует на ЕПБС – зарегистрировать обращение на ГП ЕПБС.</w:t>
            </w:r>
          </w:p>
          <w:p w:rsidR="007B018B" w:rsidRPr="00367F5B" w:rsidRDefault="007B018B" w:rsidP="007B018B">
            <w:pPr>
              <w:pStyle w:val="afff6"/>
              <w:numPr>
                <w:ilvl w:val="0"/>
                <w:numId w:val="186"/>
              </w:numPr>
              <w:ind w:left="319" w:hanging="284"/>
              <w:contextualSpacing/>
              <w:rPr>
                <w:szCs w:val="24"/>
              </w:rPr>
            </w:pPr>
            <w:r w:rsidRPr="006D6BC5">
              <w:rPr>
                <w:sz w:val="24"/>
                <w:szCs w:val="24"/>
              </w:rPr>
              <w:t>Если РЗ размещено на ЕПБС – зарегистрировать обращение на ГП ПИАО</w:t>
            </w:r>
            <w:r w:rsidRPr="00367F5B">
              <w:rPr>
                <w:sz w:val="24"/>
                <w:szCs w:val="24"/>
              </w:rPr>
              <w:t>.</w:t>
            </w:r>
          </w:p>
        </w:tc>
        <w:tc>
          <w:tcPr>
            <w:tcW w:w="490" w:type="pct"/>
            <w:hideMark/>
          </w:tcPr>
          <w:p w:rsidR="007B018B" w:rsidRPr="00367F5B" w:rsidRDefault="007B018B" w:rsidP="007B018B">
            <w:pPr>
              <w:rPr>
                <w:szCs w:val="24"/>
              </w:rPr>
            </w:pPr>
            <w:r w:rsidRPr="00367F5B">
              <w:rPr>
                <w:szCs w:val="24"/>
              </w:rPr>
              <w:t>Корректно. Данная ситуация характерна для индикаторов по вложениям к соглашениям, так как вложения представлены начиная с 2019 года по графику БО, а соглашения, начиная с 2018 года соответственно</w:t>
            </w:r>
          </w:p>
        </w:tc>
        <w:tc>
          <w:tcPr>
            <w:tcW w:w="536" w:type="pct"/>
          </w:tcPr>
          <w:p w:rsidR="007B018B" w:rsidRPr="00367F5B" w:rsidRDefault="007B018B" w:rsidP="007B018B">
            <w:pPr>
              <w:rPr>
                <w:szCs w:val="24"/>
              </w:rPr>
            </w:pPr>
            <w:r>
              <w:rPr>
                <w:szCs w:val="24"/>
              </w:rPr>
              <w:t>ОВРС (Д)</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суммы исполнения сумме соглашения (ЕПБС)</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Корректно. Соглашение в процессе исполнения</w:t>
            </w:r>
          </w:p>
        </w:tc>
        <w:tc>
          <w:tcPr>
            <w:tcW w:w="1758" w:type="pct"/>
            <w:noWrap/>
            <w:hideMark/>
          </w:tcPr>
          <w:p w:rsidR="007B018B" w:rsidRPr="00367F5B" w:rsidRDefault="007B018B" w:rsidP="007B018B">
            <w:pPr>
              <w:rPr>
                <w:szCs w:val="24"/>
              </w:rPr>
            </w:pPr>
            <w:r w:rsidRPr="00367F5B">
              <w:rPr>
                <w:szCs w:val="24"/>
              </w:rPr>
              <w:t>Указывает на разницу между суммой соглашения и суммой исполнения на ЕПБС.</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62"/>
              </w:numPr>
              <w:ind w:left="330" w:hanging="330"/>
              <w:contextualSpacing/>
              <w:rPr>
                <w:sz w:val="24"/>
                <w:szCs w:val="24"/>
              </w:rPr>
            </w:pPr>
            <w:r w:rsidRPr="00367F5B">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 По конкретной РЗ переход реализован в представлении «По соглашениям» в гр.7 «Номер реестровой записи (ЕПБС)»</w:t>
            </w:r>
            <w:r>
              <w:rPr>
                <w:sz w:val="24"/>
                <w:szCs w:val="24"/>
              </w:rPr>
              <w:t xml:space="preserve"> =</w:t>
            </w:r>
            <w:r w:rsidRPr="00CB41B3">
              <w:rPr>
                <w:sz w:val="24"/>
                <w:szCs w:val="24"/>
              </w:rPr>
              <w:t xml:space="preserve">&gt; </w:t>
            </w:r>
            <w:r>
              <w:rPr>
                <w:sz w:val="24"/>
                <w:szCs w:val="24"/>
              </w:rPr>
              <w:t>«Реестр соглашений»</w:t>
            </w:r>
            <w:r w:rsidRPr="00367F5B">
              <w:rPr>
                <w:sz w:val="24"/>
                <w:szCs w:val="24"/>
              </w:rPr>
              <w:t xml:space="preserve">. </w:t>
            </w:r>
          </w:p>
          <w:p w:rsidR="007B018B" w:rsidRPr="00367F5B" w:rsidRDefault="007B018B" w:rsidP="007B018B">
            <w:pPr>
              <w:pStyle w:val="afff6"/>
              <w:numPr>
                <w:ilvl w:val="0"/>
                <w:numId w:val="162"/>
              </w:numPr>
              <w:ind w:left="330" w:hanging="330"/>
              <w:contextualSpacing/>
              <w:rPr>
                <w:sz w:val="24"/>
                <w:szCs w:val="24"/>
              </w:rPr>
            </w:pPr>
            <w:r w:rsidRPr="00367F5B">
              <w:rPr>
                <w:sz w:val="24"/>
                <w:szCs w:val="24"/>
              </w:rPr>
              <w:t>Выполнить переход в представление «Расхождение между графиками и исполнением». По конкретной РЗ переход реализован в представлении «По соглашениям» в гр.5 «Номер реестровой записи (ПУР)» =&gt; «Расхождение между графиками и исполнением».</w:t>
            </w:r>
          </w:p>
          <w:p w:rsidR="007B018B" w:rsidRPr="00367F5B" w:rsidRDefault="007B018B" w:rsidP="007B018B">
            <w:pPr>
              <w:pStyle w:val="afff6"/>
              <w:numPr>
                <w:ilvl w:val="0"/>
                <w:numId w:val="162"/>
              </w:numPr>
              <w:ind w:left="330" w:hanging="330"/>
              <w:contextualSpacing/>
              <w:rPr>
                <w:sz w:val="24"/>
                <w:szCs w:val="24"/>
              </w:rPr>
            </w:pPr>
            <w:r w:rsidRPr="00367F5B">
              <w:rPr>
                <w:sz w:val="24"/>
                <w:szCs w:val="24"/>
              </w:rPr>
              <w:t>В представлении «Расхождение между графиками и исполнением» сверить данные гр.4 «Сумма соглашения по графику соглашения (ЕПБС)» и гр.5 «Сумма исполнения по ИПС (ЕПБС)».</w:t>
            </w:r>
            <w:r>
              <w:rPr>
                <w:sz w:val="24"/>
                <w:szCs w:val="24"/>
              </w:rPr>
              <w:t xml:space="preserve"> По графе 6 «Расхождение между Суммой соглашения (ЕПБС) и Суммой исполнения (ЕПБС)» не должно быть отрицательных значений. Допускается при красном значении индикатора положительное значение отклонения в случае соответствия такого расхождения фактическим данным. </w:t>
            </w:r>
          </w:p>
          <w:p w:rsidR="007B018B" w:rsidRPr="00367F5B" w:rsidRDefault="007B018B" w:rsidP="007B018B">
            <w:pPr>
              <w:pStyle w:val="afff6"/>
              <w:numPr>
                <w:ilvl w:val="0"/>
                <w:numId w:val="162"/>
              </w:numPr>
              <w:ind w:left="330" w:hanging="330"/>
              <w:contextualSpacing/>
              <w:rPr>
                <w:sz w:val="24"/>
                <w:szCs w:val="24"/>
              </w:rPr>
            </w:pPr>
            <w:r w:rsidRPr="00367F5B">
              <w:rPr>
                <w:sz w:val="24"/>
                <w:szCs w:val="24"/>
              </w:rPr>
              <w:t>Проверка гр. 4 «Сумма соглашения по графику соглашения (ЕПБС)»:</w:t>
            </w:r>
          </w:p>
          <w:p w:rsidR="007B018B" w:rsidRPr="00367F5B" w:rsidRDefault="007B018B" w:rsidP="007B018B">
            <w:pPr>
              <w:pStyle w:val="afff6"/>
              <w:numPr>
                <w:ilvl w:val="1"/>
                <w:numId w:val="162"/>
              </w:numPr>
              <w:ind w:left="479"/>
              <w:contextualSpacing/>
              <w:rPr>
                <w:sz w:val="24"/>
                <w:szCs w:val="24"/>
              </w:rPr>
            </w:pPr>
            <w:r w:rsidRPr="00367F5B">
              <w:rPr>
                <w:sz w:val="24"/>
                <w:szCs w:val="24"/>
              </w:rPr>
              <w:t>Данные загружаются с ЕПБС &gt; Реестр соглашений &gt; Общие сведения &gt; График перечисления субсидии, бюджетных инвестиций, межбюджетных трансфертов &gt; «Размер субсидии, подлежащей перечислению».</w:t>
            </w:r>
          </w:p>
          <w:p w:rsidR="007B018B" w:rsidRPr="00367F5B" w:rsidRDefault="007B018B" w:rsidP="007B018B">
            <w:pPr>
              <w:pStyle w:val="afff6"/>
              <w:numPr>
                <w:ilvl w:val="0"/>
                <w:numId w:val="162"/>
              </w:numPr>
              <w:ind w:left="337" w:hanging="283"/>
              <w:contextualSpacing/>
              <w:rPr>
                <w:sz w:val="24"/>
                <w:szCs w:val="24"/>
              </w:rPr>
            </w:pPr>
            <w:r w:rsidRPr="00367F5B">
              <w:rPr>
                <w:sz w:val="24"/>
                <w:szCs w:val="24"/>
              </w:rPr>
              <w:t>Проверка гр.5 «Сумма исполнения по ИПС (ЕПБС)»:</w:t>
            </w:r>
          </w:p>
          <w:p w:rsidR="007B018B" w:rsidRPr="00367F5B" w:rsidRDefault="007B018B" w:rsidP="007B018B">
            <w:pPr>
              <w:pStyle w:val="afff6"/>
              <w:numPr>
                <w:ilvl w:val="1"/>
                <w:numId w:val="162"/>
              </w:numPr>
              <w:ind w:left="479"/>
              <w:contextualSpacing/>
              <w:rPr>
                <w:sz w:val="24"/>
                <w:szCs w:val="24"/>
              </w:rPr>
            </w:pPr>
            <w:r w:rsidRPr="00367F5B">
              <w:rPr>
                <w:sz w:val="24"/>
                <w:szCs w:val="24"/>
              </w:rPr>
              <w:t>Данные загружаются с ЕПБС &gt; Реестр соглашений &gt; Общие сведения &gt; «Сведения о перечислении» (с учетом значения года в колонке «Дата платежного документа»).</w:t>
            </w:r>
          </w:p>
          <w:p w:rsidR="007B018B" w:rsidRPr="00367F5B" w:rsidRDefault="007B018B" w:rsidP="007B018B">
            <w:pPr>
              <w:ind w:left="337" w:hanging="283"/>
              <w:rPr>
                <w:szCs w:val="24"/>
              </w:rPr>
            </w:pPr>
            <w:r w:rsidRPr="00367F5B">
              <w:rPr>
                <w:szCs w:val="24"/>
              </w:rPr>
              <w:t>Решения:</w:t>
            </w:r>
          </w:p>
          <w:p w:rsidR="007B018B" w:rsidRPr="00086C7E" w:rsidRDefault="007B018B" w:rsidP="007B018B">
            <w:pPr>
              <w:pStyle w:val="afff6"/>
              <w:numPr>
                <w:ilvl w:val="0"/>
                <w:numId w:val="163"/>
              </w:numPr>
              <w:ind w:left="337" w:hanging="283"/>
              <w:contextualSpacing/>
              <w:rPr>
                <w:sz w:val="24"/>
                <w:szCs w:val="24"/>
              </w:rPr>
            </w:pPr>
            <w:r w:rsidRPr="00367F5B">
              <w:rPr>
                <w:sz w:val="24"/>
                <w:szCs w:val="24"/>
              </w:rPr>
              <w:t>Если некорректные данные на ЕПБС</w:t>
            </w:r>
            <w:r>
              <w:rPr>
                <w:sz w:val="24"/>
                <w:szCs w:val="24"/>
              </w:rPr>
              <w:t xml:space="preserve">, </w:t>
            </w:r>
            <w:r w:rsidRPr="00632242">
              <w:rPr>
                <w:sz w:val="24"/>
                <w:szCs w:val="24"/>
              </w:rPr>
              <w:t>для реестровых записей, созданных после 01.01.2018 года</w:t>
            </w:r>
            <w:r w:rsidRPr="00367F5B">
              <w:rPr>
                <w:sz w:val="24"/>
                <w:szCs w:val="24"/>
              </w:rPr>
              <w:t xml:space="preserve"> – зарегистрировать обращение на ГП ЕПБС. </w:t>
            </w:r>
          </w:p>
          <w:p w:rsidR="007B018B" w:rsidRPr="00367F5B" w:rsidRDefault="007B018B" w:rsidP="007B018B">
            <w:pPr>
              <w:pStyle w:val="afff6"/>
              <w:numPr>
                <w:ilvl w:val="0"/>
                <w:numId w:val="163"/>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Default="007B018B" w:rsidP="007B018B">
            <w:pPr>
              <w:rPr>
                <w:szCs w:val="24"/>
              </w:rPr>
            </w:pPr>
            <w:r w:rsidRPr="00367F5B">
              <w:rPr>
                <w:szCs w:val="24"/>
              </w:rPr>
              <w:t>Индикатор указывает на отсутствие УНРЗ на ЕПБС</w:t>
            </w:r>
          </w:p>
          <w:p w:rsidR="007B018B" w:rsidRPr="006D6BC5" w:rsidRDefault="007B018B" w:rsidP="007B018B">
            <w:pPr>
              <w:rPr>
                <w:szCs w:val="24"/>
              </w:rPr>
            </w:pPr>
            <w:r w:rsidRPr="006D6BC5">
              <w:rPr>
                <w:szCs w:val="24"/>
              </w:rPr>
              <w:t>Действия.</w:t>
            </w:r>
          </w:p>
          <w:p w:rsidR="007B018B" w:rsidRPr="006D6BC5" w:rsidRDefault="007B018B" w:rsidP="007B018B">
            <w:pPr>
              <w:rPr>
                <w:szCs w:val="24"/>
              </w:rPr>
            </w:pPr>
            <w:r w:rsidRPr="006D6BC5">
              <w:rPr>
                <w:szCs w:val="24"/>
              </w:rPr>
              <w:t>Проверка:</w:t>
            </w:r>
          </w:p>
          <w:p w:rsidR="007B018B" w:rsidRPr="006D6BC5" w:rsidRDefault="007B018B" w:rsidP="007B018B">
            <w:pPr>
              <w:pStyle w:val="afff6"/>
              <w:numPr>
                <w:ilvl w:val="0"/>
                <w:numId w:val="187"/>
              </w:numPr>
              <w:ind w:left="319" w:hanging="284"/>
              <w:contextualSpacing/>
              <w:rPr>
                <w:sz w:val="24"/>
                <w:szCs w:val="24"/>
              </w:rPr>
            </w:pPr>
            <w:r w:rsidRPr="006D6BC5">
              <w:rPr>
                <w:sz w:val="24"/>
                <w:szCs w:val="24"/>
              </w:rPr>
              <w:t>Убедиться, что соглашение подлежит размещению на ЕПБС (в фильтре «Показать соглашения» установлено значение «Подлежащие размещению на ЕПБС»).</w:t>
            </w:r>
          </w:p>
          <w:p w:rsidR="007B018B" w:rsidRPr="006D6BC5" w:rsidRDefault="007B018B" w:rsidP="007B018B">
            <w:pPr>
              <w:pStyle w:val="afff6"/>
              <w:numPr>
                <w:ilvl w:val="0"/>
                <w:numId w:val="187"/>
              </w:numPr>
              <w:ind w:left="319" w:hanging="284"/>
              <w:contextualSpacing/>
              <w:rPr>
                <w:sz w:val="24"/>
                <w:szCs w:val="24"/>
              </w:rPr>
            </w:pPr>
            <w:r w:rsidRPr="006D6BC5">
              <w:rPr>
                <w:sz w:val="24"/>
                <w:szCs w:val="24"/>
              </w:rPr>
              <w:t>Выполнить переход на ЕПБС в раздел «Реестр соглашений (договоров) о предоставлении субсидий, бюджетных инвестиций, межбюджетных трансфертов».</w:t>
            </w:r>
          </w:p>
          <w:p w:rsidR="007B018B" w:rsidRPr="006D6BC5" w:rsidRDefault="007B018B" w:rsidP="007B018B">
            <w:pPr>
              <w:pStyle w:val="afff6"/>
              <w:numPr>
                <w:ilvl w:val="0"/>
                <w:numId w:val="187"/>
              </w:numPr>
              <w:ind w:left="319" w:hanging="284"/>
              <w:contextualSpacing/>
              <w:rPr>
                <w:sz w:val="24"/>
                <w:szCs w:val="24"/>
              </w:rPr>
            </w:pPr>
            <w:r w:rsidRPr="006D6BC5">
              <w:rPr>
                <w:sz w:val="24"/>
                <w:szCs w:val="24"/>
              </w:rPr>
              <w:t>Проверить размещение РЗ на ЕПБС.</w:t>
            </w:r>
          </w:p>
          <w:p w:rsidR="007B018B" w:rsidRPr="006D6BC5" w:rsidRDefault="007B018B" w:rsidP="007B018B">
            <w:pPr>
              <w:ind w:left="1"/>
              <w:rPr>
                <w:szCs w:val="24"/>
              </w:rPr>
            </w:pPr>
            <w:r w:rsidRPr="006D6BC5">
              <w:rPr>
                <w:szCs w:val="24"/>
              </w:rPr>
              <w:t>Решения:</w:t>
            </w:r>
          </w:p>
          <w:p w:rsidR="007B018B" w:rsidRPr="00C60BDF" w:rsidRDefault="007B018B" w:rsidP="007B018B">
            <w:pPr>
              <w:pStyle w:val="afff6"/>
              <w:numPr>
                <w:ilvl w:val="0"/>
                <w:numId w:val="188"/>
              </w:numPr>
              <w:ind w:left="319" w:hanging="284"/>
              <w:contextualSpacing/>
              <w:rPr>
                <w:szCs w:val="24"/>
              </w:rPr>
            </w:pPr>
            <w:r w:rsidRPr="00C60BDF">
              <w:rPr>
                <w:sz w:val="24"/>
                <w:szCs w:val="24"/>
              </w:rPr>
              <w:t>Если РЗ, подлежащая размещению на ЕПБС, отсутствует на ЕПБС – зарегистрировать обращение на ГП ЕПБС.</w:t>
            </w:r>
          </w:p>
          <w:p w:rsidR="007B018B" w:rsidRPr="00C60BDF" w:rsidRDefault="007B018B" w:rsidP="007B018B">
            <w:pPr>
              <w:pStyle w:val="afff6"/>
              <w:numPr>
                <w:ilvl w:val="0"/>
                <w:numId w:val="188"/>
              </w:numPr>
              <w:ind w:left="319" w:hanging="284"/>
              <w:contextualSpacing/>
              <w:rPr>
                <w:szCs w:val="24"/>
              </w:rPr>
            </w:pPr>
            <w:r w:rsidRPr="00C60BDF">
              <w:rPr>
                <w:sz w:val="24"/>
                <w:szCs w:val="24"/>
              </w:rPr>
              <w:t>Если РЗ размещено на ЕПБС – зарегистрировать обращение на ГП ПИАО.</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Default="007B018B" w:rsidP="007B018B">
            <w:pPr>
              <w:rPr>
                <w:szCs w:val="24"/>
              </w:rPr>
            </w:pPr>
            <w:r>
              <w:rPr>
                <w:szCs w:val="24"/>
              </w:rPr>
              <w:t>УФК</w:t>
            </w:r>
          </w:p>
          <w:p w:rsidR="007B018B" w:rsidRDefault="007B018B" w:rsidP="007B018B">
            <w:pPr>
              <w:rPr>
                <w:szCs w:val="24"/>
              </w:rPr>
            </w:pPr>
            <w:r>
              <w:rPr>
                <w:szCs w:val="24"/>
              </w:rPr>
              <w:t>ОР МОУ ФК</w:t>
            </w:r>
          </w:p>
          <w:p w:rsidR="007B018B" w:rsidRPr="00367F5B" w:rsidRDefault="007B018B" w:rsidP="007B018B">
            <w:pPr>
              <w:rPr>
                <w:szCs w:val="24"/>
              </w:rPr>
            </w:pPr>
            <w:r>
              <w:rPr>
                <w:szCs w:val="24"/>
              </w:rPr>
              <w:t>ООСВ МОУ ФК</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суммы исполнения сумме соглашения (ПУР)</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Корректно. Соглашение в процессе исполнения</w:t>
            </w:r>
          </w:p>
        </w:tc>
        <w:tc>
          <w:tcPr>
            <w:tcW w:w="1758" w:type="pct"/>
            <w:noWrap/>
            <w:hideMark/>
          </w:tcPr>
          <w:p w:rsidR="007B018B" w:rsidRPr="00367F5B" w:rsidRDefault="007B018B" w:rsidP="007B018B">
            <w:pPr>
              <w:rPr>
                <w:szCs w:val="24"/>
              </w:rPr>
            </w:pPr>
            <w:r w:rsidRPr="00367F5B">
              <w:rPr>
                <w:szCs w:val="24"/>
              </w:rPr>
              <w:t>Указывает на разницу между Суммой соглашения (ПУР) и Суммой исполнения (ПУР).</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64"/>
              </w:numPr>
              <w:ind w:left="337" w:hanging="283"/>
              <w:contextualSpacing/>
              <w:rPr>
                <w:sz w:val="24"/>
                <w:szCs w:val="24"/>
              </w:rPr>
            </w:pPr>
            <w:r w:rsidRPr="00367F5B">
              <w:rPr>
                <w:sz w:val="24"/>
                <w:szCs w:val="24"/>
              </w:rPr>
              <w:t>Выполнить переход в представление «Расхождение между графиками и исполнением». По конкретной РЗ переход реализован в представлении «По соглашениям» в гр.5 «Номер реестровой записи (ПУР)» =&gt; «Расхождение между графиками и исполнением».</w:t>
            </w:r>
          </w:p>
          <w:p w:rsidR="007B018B" w:rsidRDefault="007B018B" w:rsidP="007B018B">
            <w:pPr>
              <w:pStyle w:val="afff6"/>
              <w:numPr>
                <w:ilvl w:val="0"/>
                <w:numId w:val="164"/>
              </w:numPr>
              <w:ind w:left="337" w:hanging="283"/>
              <w:contextualSpacing/>
              <w:rPr>
                <w:sz w:val="24"/>
                <w:szCs w:val="24"/>
              </w:rPr>
            </w:pPr>
            <w:r w:rsidRPr="00367F5B">
              <w:rPr>
                <w:sz w:val="24"/>
                <w:szCs w:val="24"/>
              </w:rPr>
              <w:t>В представлении «Расхождение между графиками и исполнением» сверить данные гр.8 «Сумма соглашения по графику соглашения (ПУР)» и гр.9 «Сумма исполнения (ПУР)».</w:t>
            </w:r>
            <w:r>
              <w:rPr>
                <w:sz w:val="24"/>
                <w:szCs w:val="24"/>
              </w:rPr>
              <w:t xml:space="preserve"> По графе 10 «Расхождение между Суммой соглашения (ПУР) и Суммой исполнения (ПУР)» не должно быть отрицательных значений. Допускается при красном значении индикатора положительное значение отклонения в случае соответствия такого расхождения фактическим данным.</w:t>
            </w:r>
          </w:p>
          <w:p w:rsidR="007B018B" w:rsidRPr="00367F5B" w:rsidRDefault="007B018B" w:rsidP="007B018B">
            <w:pPr>
              <w:pStyle w:val="afff6"/>
              <w:numPr>
                <w:ilvl w:val="0"/>
                <w:numId w:val="164"/>
              </w:numPr>
              <w:ind w:left="337" w:hanging="283"/>
              <w:contextualSpacing/>
              <w:rPr>
                <w:sz w:val="24"/>
                <w:szCs w:val="24"/>
              </w:rPr>
            </w:pPr>
            <w:r w:rsidRPr="00367F5B">
              <w:rPr>
                <w:sz w:val="24"/>
                <w:szCs w:val="24"/>
              </w:rPr>
              <w:t>Выполнить переход в АСС ПУР по конкретной РЗ переход реализован в представлении «Расхождение между графиками и исполнением» в гр.1 «Номер реестровой записи (ПУР)»</w:t>
            </w:r>
            <w:r>
              <w:rPr>
                <w:sz w:val="24"/>
                <w:szCs w:val="24"/>
              </w:rPr>
              <w:t xml:space="preserve"> =</w:t>
            </w:r>
            <w:r w:rsidRPr="008A522D">
              <w:rPr>
                <w:sz w:val="24"/>
                <w:szCs w:val="24"/>
              </w:rPr>
              <w:t>&gt;</w:t>
            </w:r>
            <w:r>
              <w:rPr>
                <w:sz w:val="24"/>
                <w:szCs w:val="24"/>
              </w:rPr>
              <w:t xml:space="preserve"> «Показать в ПУР»</w:t>
            </w:r>
            <w:r w:rsidRPr="00367F5B">
              <w:rPr>
                <w:sz w:val="24"/>
                <w:szCs w:val="24"/>
              </w:rPr>
              <w:t>.</w:t>
            </w:r>
          </w:p>
          <w:p w:rsidR="007B018B" w:rsidRPr="00367F5B" w:rsidRDefault="007B018B" w:rsidP="007B018B">
            <w:pPr>
              <w:pStyle w:val="afff6"/>
              <w:numPr>
                <w:ilvl w:val="0"/>
                <w:numId w:val="164"/>
              </w:numPr>
              <w:ind w:left="337" w:hanging="283"/>
              <w:contextualSpacing/>
              <w:rPr>
                <w:sz w:val="24"/>
                <w:szCs w:val="24"/>
              </w:rPr>
            </w:pPr>
            <w:r w:rsidRPr="00367F5B">
              <w:rPr>
                <w:sz w:val="24"/>
                <w:szCs w:val="24"/>
              </w:rPr>
              <w:t>Проверка гр. 8 «Сумма соглашения по графику соглашения (ПУР)»:</w:t>
            </w:r>
          </w:p>
          <w:p w:rsidR="007B018B" w:rsidRPr="00C86ABC" w:rsidRDefault="007B018B" w:rsidP="007B018B">
            <w:pPr>
              <w:pStyle w:val="afff6"/>
              <w:numPr>
                <w:ilvl w:val="0"/>
                <w:numId w:val="171"/>
              </w:numPr>
              <w:contextualSpacing/>
              <w:rPr>
                <w:sz w:val="24"/>
                <w:szCs w:val="24"/>
              </w:rPr>
            </w:pPr>
            <w:r w:rsidRPr="00367F5B">
              <w:rPr>
                <w:sz w:val="24"/>
                <w:szCs w:val="24"/>
              </w:rPr>
              <w:t>Данные загружаются из ПУР АСС &gt; раздел «График платежей»&gt; «Сумма в рублях» (с учетом значения года в колонке «Год осуществления платежа»).</w:t>
            </w:r>
            <w:r>
              <w:rPr>
                <w:sz w:val="24"/>
                <w:szCs w:val="24"/>
              </w:rPr>
              <w:t xml:space="preserve"> </w:t>
            </w:r>
            <w:r w:rsidRPr="00C86ABC">
              <w:rPr>
                <w:sz w:val="24"/>
                <w:szCs w:val="24"/>
              </w:rPr>
              <w:t>ВНИМАНИЕ! По соглашениям, заключаемым с 2021г, раздел «График платежей» отсутствует.</w:t>
            </w:r>
            <w:r>
              <w:rPr>
                <w:sz w:val="24"/>
                <w:szCs w:val="24"/>
              </w:rPr>
              <w:t xml:space="preserve"> График платежей расположен во вкладке «</w:t>
            </w:r>
            <w:r w:rsidRPr="00EA6A80">
              <w:rPr>
                <w:sz w:val="24"/>
                <w:szCs w:val="24"/>
              </w:rPr>
              <w:t>Реквизиты соглашения (договора), НПА</w:t>
            </w:r>
            <w:r>
              <w:rPr>
                <w:sz w:val="24"/>
                <w:szCs w:val="24"/>
              </w:rPr>
              <w:t>»</w:t>
            </w:r>
          </w:p>
          <w:p w:rsidR="007B018B" w:rsidRPr="00367F5B" w:rsidRDefault="007B018B" w:rsidP="007B018B">
            <w:pPr>
              <w:pStyle w:val="afff6"/>
              <w:numPr>
                <w:ilvl w:val="0"/>
                <w:numId w:val="164"/>
              </w:numPr>
              <w:ind w:left="337" w:hanging="283"/>
              <w:contextualSpacing/>
              <w:rPr>
                <w:sz w:val="24"/>
                <w:szCs w:val="24"/>
              </w:rPr>
            </w:pPr>
            <w:r w:rsidRPr="00367F5B">
              <w:rPr>
                <w:sz w:val="24"/>
                <w:szCs w:val="24"/>
              </w:rPr>
              <w:t>Проверка гр.9 «Сумма исполнения (ПУР)»:</w:t>
            </w:r>
          </w:p>
          <w:p w:rsidR="007B018B" w:rsidRPr="00367F5B" w:rsidRDefault="007B018B" w:rsidP="007B018B">
            <w:pPr>
              <w:pStyle w:val="afff6"/>
              <w:numPr>
                <w:ilvl w:val="0"/>
                <w:numId w:val="172"/>
              </w:numPr>
              <w:contextualSpacing/>
              <w:rPr>
                <w:sz w:val="24"/>
                <w:szCs w:val="24"/>
              </w:rPr>
            </w:pPr>
            <w:r w:rsidRPr="00367F5B">
              <w:rPr>
                <w:sz w:val="24"/>
                <w:szCs w:val="24"/>
              </w:rPr>
              <w:t>Данные загружаются из ПУР АСС &gt; раздел «Перечень ИПС» &gt; «Сумма в рублях» (с учетом значения года в колонке «Дата платежного документа»).</w:t>
            </w:r>
          </w:p>
          <w:p w:rsidR="007B018B" w:rsidRPr="00367F5B" w:rsidRDefault="007B018B" w:rsidP="007B018B">
            <w:pPr>
              <w:ind w:left="337" w:hanging="283"/>
              <w:rPr>
                <w:szCs w:val="24"/>
              </w:rPr>
            </w:pPr>
            <w:r w:rsidRPr="00367F5B">
              <w:rPr>
                <w:szCs w:val="24"/>
              </w:rPr>
              <w:t>Решения:</w:t>
            </w:r>
          </w:p>
          <w:p w:rsidR="007B018B" w:rsidRDefault="007B018B" w:rsidP="007B018B">
            <w:pPr>
              <w:pStyle w:val="afff6"/>
              <w:numPr>
                <w:ilvl w:val="0"/>
                <w:numId w:val="165"/>
              </w:numPr>
              <w:ind w:left="415"/>
              <w:contextualSpacing/>
              <w:rPr>
                <w:sz w:val="24"/>
                <w:szCs w:val="24"/>
              </w:rPr>
            </w:pPr>
            <w:r w:rsidRPr="00367F5B">
              <w:rPr>
                <w:sz w:val="24"/>
                <w:szCs w:val="24"/>
              </w:rPr>
              <w:t>Если некорректные данные в ПУР – зарегистрировать обращение на ГП ПУР</w:t>
            </w:r>
            <w:r w:rsidRPr="00EA6A80">
              <w:rPr>
                <w:sz w:val="24"/>
                <w:szCs w:val="24"/>
              </w:rPr>
              <w:t>, за исключением случаев требующих внесение изменений со стороны Клиента ТОФК.</w:t>
            </w:r>
          </w:p>
          <w:p w:rsidR="007B018B" w:rsidRPr="00F721B8" w:rsidRDefault="007B018B" w:rsidP="007B018B">
            <w:pPr>
              <w:pStyle w:val="afff6"/>
              <w:numPr>
                <w:ilvl w:val="0"/>
                <w:numId w:val="165"/>
              </w:numPr>
              <w:ind w:left="415"/>
              <w:contextualSpacing/>
              <w:rPr>
                <w:sz w:val="24"/>
                <w:szCs w:val="24"/>
              </w:rPr>
            </w:pPr>
            <w:r w:rsidRPr="00EA6A80">
              <w:rPr>
                <w:sz w:val="24"/>
                <w:szCs w:val="24"/>
              </w:rPr>
              <w:t>В случаях требующих внесения изме</w:t>
            </w:r>
            <w:r w:rsidRPr="00F721B8">
              <w:rPr>
                <w:sz w:val="24"/>
                <w:szCs w:val="24"/>
              </w:rPr>
              <w:t xml:space="preserve">нений со стороны клиента ТОФК обращение не регистрируется. </w:t>
            </w:r>
          </w:p>
          <w:p w:rsidR="007B018B" w:rsidRPr="00367F5B" w:rsidRDefault="007B018B" w:rsidP="007B018B">
            <w:pPr>
              <w:pStyle w:val="afff6"/>
              <w:numPr>
                <w:ilvl w:val="0"/>
                <w:numId w:val="165"/>
              </w:numPr>
              <w:ind w:left="337" w:hanging="283"/>
              <w:contextualSpacing/>
              <w:rPr>
                <w:sz w:val="24"/>
                <w:szCs w:val="24"/>
              </w:rPr>
            </w:pPr>
            <w:r w:rsidRPr="00367F5B">
              <w:rPr>
                <w:sz w:val="24"/>
                <w:szCs w:val="24"/>
              </w:rPr>
              <w:t>Если некорректно загружены данные в отчет – зарегистрировать обращение на ГП ПИАО.</w:t>
            </w:r>
          </w:p>
        </w:tc>
        <w:tc>
          <w:tcPr>
            <w:tcW w:w="934"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Default="007B018B" w:rsidP="007B018B">
            <w:pPr>
              <w:rPr>
                <w:szCs w:val="24"/>
              </w:rPr>
            </w:pPr>
            <w:r>
              <w:rPr>
                <w:szCs w:val="24"/>
              </w:rPr>
              <w:t>УФК</w:t>
            </w:r>
          </w:p>
          <w:p w:rsidR="007B018B" w:rsidRDefault="007B018B" w:rsidP="007B018B">
            <w:pPr>
              <w:rPr>
                <w:szCs w:val="24"/>
              </w:rPr>
            </w:pPr>
            <w:r>
              <w:rPr>
                <w:szCs w:val="24"/>
              </w:rPr>
              <w:t>ОР МОУ ФК</w:t>
            </w:r>
          </w:p>
          <w:p w:rsidR="007B018B" w:rsidRPr="00367F5B" w:rsidRDefault="007B018B" w:rsidP="007B018B">
            <w:pPr>
              <w:rPr>
                <w:szCs w:val="24"/>
              </w:rPr>
            </w:pPr>
            <w:r>
              <w:rPr>
                <w:szCs w:val="24"/>
              </w:rPr>
              <w:t>ООСВ МОУ ФК</w:t>
            </w:r>
          </w:p>
        </w:tc>
      </w:tr>
      <w:tr w:rsidR="007B018B" w:rsidRPr="00367F5B" w:rsidTr="007B018B">
        <w:trPr>
          <w:trHeight w:val="600"/>
        </w:trPr>
        <w:tc>
          <w:tcPr>
            <w:tcW w:w="414" w:type="pct"/>
            <w:hideMark/>
          </w:tcPr>
          <w:p w:rsidR="007B018B" w:rsidRPr="00367F5B" w:rsidRDefault="007B018B" w:rsidP="007B018B">
            <w:pPr>
              <w:rPr>
                <w:color w:val="333333"/>
                <w:szCs w:val="24"/>
              </w:rPr>
            </w:pPr>
            <w:r w:rsidRPr="00367F5B">
              <w:rPr>
                <w:color w:val="333333"/>
                <w:szCs w:val="24"/>
              </w:rPr>
              <w:t>Индикатор соответствия суммы БО (ПУР) сумме исполнения (ПУР)</w:t>
            </w:r>
          </w:p>
        </w:tc>
        <w:tc>
          <w:tcPr>
            <w:tcW w:w="413" w:type="pct"/>
            <w:noWrap/>
            <w:hideMark/>
          </w:tcPr>
          <w:p w:rsidR="007B018B" w:rsidRPr="00367F5B" w:rsidRDefault="007B018B" w:rsidP="007B018B">
            <w:pPr>
              <w:rPr>
                <w:szCs w:val="24"/>
              </w:rPr>
            </w:pPr>
            <w:r w:rsidRPr="00367F5B">
              <w:rPr>
                <w:szCs w:val="24"/>
              </w:rPr>
              <w:t>Корректно. Дополнительных действий не требуется.</w:t>
            </w:r>
          </w:p>
        </w:tc>
        <w:tc>
          <w:tcPr>
            <w:tcW w:w="455" w:type="pct"/>
            <w:noWrap/>
            <w:hideMark/>
          </w:tcPr>
          <w:p w:rsidR="007B018B" w:rsidRPr="00367F5B" w:rsidRDefault="007B018B" w:rsidP="007B018B">
            <w:pPr>
              <w:rPr>
                <w:szCs w:val="24"/>
              </w:rPr>
            </w:pPr>
            <w:r w:rsidRPr="00367F5B">
              <w:rPr>
                <w:szCs w:val="24"/>
              </w:rPr>
              <w:t>Корректно. Соглашение в процессе исполнения</w:t>
            </w:r>
          </w:p>
        </w:tc>
        <w:tc>
          <w:tcPr>
            <w:tcW w:w="1758" w:type="pct"/>
            <w:noWrap/>
            <w:hideMark/>
          </w:tcPr>
          <w:p w:rsidR="007B018B" w:rsidRPr="00367F5B" w:rsidRDefault="007B018B" w:rsidP="007B018B">
            <w:pPr>
              <w:rPr>
                <w:szCs w:val="24"/>
              </w:rPr>
            </w:pPr>
            <w:r w:rsidRPr="00367F5B">
              <w:rPr>
                <w:szCs w:val="24"/>
              </w:rPr>
              <w:t>Указывает на разницу между Суммой БО (ПУР) и Суммой исполнения (ПУР).</w:t>
            </w:r>
          </w:p>
          <w:p w:rsidR="007B018B" w:rsidRPr="00367F5B" w:rsidRDefault="007B018B" w:rsidP="007B018B">
            <w:pPr>
              <w:rPr>
                <w:szCs w:val="24"/>
              </w:rPr>
            </w:pPr>
            <w:r w:rsidRPr="00367F5B">
              <w:rPr>
                <w:szCs w:val="24"/>
              </w:rPr>
              <w:t>Действия.</w:t>
            </w:r>
          </w:p>
          <w:p w:rsidR="007B018B" w:rsidRPr="00367F5B" w:rsidRDefault="007B018B" w:rsidP="007B018B">
            <w:pPr>
              <w:rPr>
                <w:szCs w:val="24"/>
              </w:rPr>
            </w:pPr>
            <w:r w:rsidRPr="00367F5B">
              <w:rPr>
                <w:szCs w:val="24"/>
              </w:rPr>
              <w:t>Проверка:</w:t>
            </w:r>
          </w:p>
          <w:p w:rsidR="007B018B" w:rsidRPr="00367F5B" w:rsidRDefault="007B018B" w:rsidP="007B018B">
            <w:pPr>
              <w:pStyle w:val="afff6"/>
              <w:numPr>
                <w:ilvl w:val="0"/>
                <w:numId w:val="166"/>
              </w:numPr>
              <w:ind w:left="337" w:hanging="283"/>
              <w:contextualSpacing/>
              <w:rPr>
                <w:sz w:val="24"/>
                <w:szCs w:val="24"/>
              </w:rPr>
            </w:pPr>
            <w:r w:rsidRPr="00367F5B">
              <w:rPr>
                <w:sz w:val="24"/>
                <w:szCs w:val="24"/>
              </w:rPr>
              <w:t>Выполнить переход в представление «Расхождение между графиками и исполнением». По конкретной РЗ переход реализован в представлении «По соглашениям» в гр.5 «Номер реестровой записи (ПУР)» =&gt; «Расхождение между графиками и исполнением».</w:t>
            </w:r>
          </w:p>
          <w:p w:rsidR="007B018B" w:rsidRPr="004D0723" w:rsidRDefault="007B018B" w:rsidP="007B018B">
            <w:pPr>
              <w:pStyle w:val="afff6"/>
              <w:numPr>
                <w:ilvl w:val="0"/>
                <w:numId w:val="166"/>
              </w:numPr>
              <w:ind w:left="337" w:hanging="283"/>
              <w:contextualSpacing/>
              <w:rPr>
                <w:sz w:val="24"/>
                <w:szCs w:val="24"/>
              </w:rPr>
            </w:pPr>
            <w:r w:rsidRPr="00367F5B">
              <w:rPr>
                <w:sz w:val="24"/>
                <w:szCs w:val="24"/>
              </w:rPr>
              <w:t>В представлении «Расхождение между графиками и исполнением» сверить данные гр.14 «Сумма БО по графику БО (ПУР)» и гр.9 «Сумма исполнения (ПУР)».</w:t>
            </w:r>
            <w:r>
              <w:rPr>
                <w:sz w:val="24"/>
                <w:szCs w:val="24"/>
              </w:rPr>
              <w:t xml:space="preserve"> </w:t>
            </w:r>
            <w:r w:rsidRPr="004D0723">
              <w:rPr>
                <w:sz w:val="24"/>
                <w:szCs w:val="24"/>
              </w:rPr>
              <w:t>По графе 15 «Расхождение между Суммой БО (ПУР) и Суммой исполнения (ПУР)» не должно быть отрицательных значений. Допускается при красном значении индикатора положительное значение отклонения в случае соответствия такого расхождения фактическим данным.</w:t>
            </w:r>
          </w:p>
          <w:p w:rsidR="007B018B" w:rsidRPr="00367F5B" w:rsidRDefault="007B018B" w:rsidP="007B018B">
            <w:pPr>
              <w:pStyle w:val="afff6"/>
              <w:numPr>
                <w:ilvl w:val="0"/>
                <w:numId w:val="166"/>
              </w:numPr>
              <w:ind w:left="337" w:hanging="283"/>
              <w:contextualSpacing/>
              <w:rPr>
                <w:sz w:val="24"/>
                <w:szCs w:val="24"/>
              </w:rPr>
            </w:pPr>
            <w:r w:rsidRPr="00367F5B">
              <w:rPr>
                <w:sz w:val="24"/>
                <w:szCs w:val="24"/>
              </w:rPr>
              <w:t>Проверка гр. 14 «Сумма БО по графику БО (ПУР)»:</w:t>
            </w:r>
          </w:p>
          <w:p w:rsidR="007B018B" w:rsidRPr="00367F5B" w:rsidRDefault="007B018B" w:rsidP="007B018B">
            <w:pPr>
              <w:pStyle w:val="afff6"/>
              <w:numPr>
                <w:ilvl w:val="1"/>
                <w:numId w:val="166"/>
              </w:numPr>
              <w:ind w:left="479"/>
              <w:contextualSpacing/>
              <w:rPr>
                <w:sz w:val="24"/>
                <w:szCs w:val="24"/>
              </w:rPr>
            </w:pPr>
            <w:r w:rsidRPr="00367F5B">
              <w:rPr>
                <w:sz w:val="24"/>
                <w:szCs w:val="24"/>
              </w:rPr>
              <w:t>Данные загружаются из ПУР Формуляр БО &gt;  «График платежей». Значения сумм колонок в зависимости от года по БО: «Сумма на текущий финансовый год», «Сумма на первый год», «Сумма на второй год», «Сумма на третий год».</w:t>
            </w:r>
          </w:p>
          <w:p w:rsidR="007B018B" w:rsidRDefault="007B018B" w:rsidP="007B018B">
            <w:pPr>
              <w:pStyle w:val="afff6"/>
              <w:numPr>
                <w:ilvl w:val="1"/>
                <w:numId w:val="166"/>
              </w:numPr>
              <w:ind w:left="479"/>
              <w:contextualSpacing/>
              <w:rPr>
                <w:sz w:val="24"/>
                <w:szCs w:val="24"/>
              </w:rPr>
            </w:pPr>
            <w:r w:rsidRPr="00367F5B">
              <w:rPr>
                <w:sz w:val="24"/>
                <w:szCs w:val="24"/>
              </w:rPr>
              <w:t>В ПУР формуляр БО переход реализован из гр.12 «Номер БО»</w:t>
            </w:r>
          </w:p>
          <w:p w:rsidR="007B018B" w:rsidRPr="00367F5B" w:rsidRDefault="007B018B" w:rsidP="007B018B">
            <w:pPr>
              <w:pStyle w:val="afff6"/>
              <w:numPr>
                <w:ilvl w:val="1"/>
                <w:numId w:val="166"/>
              </w:numPr>
              <w:ind w:left="479"/>
              <w:contextualSpacing/>
              <w:rPr>
                <w:sz w:val="24"/>
                <w:szCs w:val="24"/>
              </w:rPr>
            </w:pPr>
            <w:r>
              <w:rPr>
                <w:sz w:val="24"/>
                <w:szCs w:val="24"/>
              </w:rPr>
              <w:t>О</w:t>
            </w:r>
            <w:r w:rsidRPr="004D0723">
              <w:rPr>
                <w:sz w:val="24"/>
                <w:szCs w:val="24"/>
              </w:rPr>
              <w:t xml:space="preserve">тсутствие какого-либо значения означает отсутствии суммы </w:t>
            </w:r>
            <w:r>
              <w:rPr>
                <w:sz w:val="24"/>
                <w:szCs w:val="24"/>
              </w:rPr>
              <w:t xml:space="preserve">БО </w:t>
            </w:r>
            <w:r w:rsidRPr="004D0723">
              <w:rPr>
                <w:sz w:val="24"/>
                <w:szCs w:val="24"/>
              </w:rPr>
              <w:t>за указанный год в ПУР формуляр БО&gt;"</w:t>
            </w:r>
            <w:r>
              <w:rPr>
                <w:sz w:val="24"/>
                <w:szCs w:val="24"/>
              </w:rPr>
              <w:t>Г</w:t>
            </w:r>
            <w:r w:rsidRPr="004D0723">
              <w:rPr>
                <w:sz w:val="24"/>
                <w:szCs w:val="24"/>
              </w:rPr>
              <w:t>рафик платежей", при этом сумма за указанный год в ПУР АСС&gt;"График платежей" присутствует.</w:t>
            </w:r>
          </w:p>
          <w:p w:rsidR="007B018B" w:rsidRPr="00367F5B" w:rsidRDefault="007B018B" w:rsidP="007B018B">
            <w:pPr>
              <w:pStyle w:val="afff6"/>
              <w:numPr>
                <w:ilvl w:val="0"/>
                <w:numId w:val="166"/>
              </w:numPr>
              <w:ind w:left="337" w:hanging="283"/>
              <w:contextualSpacing/>
              <w:rPr>
                <w:sz w:val="24"/>
                <w:szCs w:val="24"/>
              </w:rPr>
            </w:pPr>
            <w:r w:rsidRPr="00367F5B">
              <w:rPr>
                <w:sz w:val="24"/>
                <w:szCs w:val="24"/>
              </w:rPr>
              <w:t>Выполнить переход в АСС ПУР по конкретной РЗ</w:t>
            </w:r>
            <w:r>
              <w:rPr>
                <w:sz w:val="24"/>
                <w:szCs w:val="24"/>
              </w:rPr>
              <w:t>,</w:t>
            </w:r>
            <w:r w:rsidRPr="00367F5B">
              <w:rPr>
                <w:sz w:val="24"/>
                <w:szCs w:val="24"/>
              </w:rPr>
              <w:t xml:space="preserve"> переход реализован в представлении «Расхождение между графиками и исполнением» в гр.1 «Номер реестровой записи (ПУР)»</w:t>
            </w:r>
            <w:r w:rsidRPr="008A522D">
              <w:rPr>
                <w:sz w:val="24"/>
                <w:szCs w:val="24"/>
              </w:rPr>
              <w:t xml:space="preserve"> </w:t>
            </w:r>
            <w:r>
              <w:rPr>
                <w:sz w:val="24"/>
                <w:szCs w:val="24"/>
              </w:rPr>
              <w:t>=</w:t>
            </w:r>
            <w:r w:rsidRPr="008A522D">
              <w:rPr>
                <w:sz w:val="24"/>
                <w:szCs w:val="24"/>
              </w:rPr>
              <w:t>&gt;</w:t>
            </w:r>
            <w:r>
              <w:rPr>
                <w:sz w:val="24"/>
                <w:szCs w:val="24"/>
              </w:rPr>
              <w:t xml:space="preserve"> «Показать в ПУР»</w:t>
            </w:r>
            <w:r w:rsidRPr="00367F5B">
              <w:rPr>
                <w:sz w:val="24"/>
                <w:szCs w:val="24"/>
              </w:rPr>
              <w:t>.</w:t>
            </w:r>
          </w:p>
          <w:p w:rsidR="007B018B" w:rsidRPr="00367F5B" w:rsidRDefault="007B018B" w:rsidP="007B018B">
            <w:pPr>
              <w:pStyle w:val="afff6"/>
              <w:numPr>
                <w:ilvl w:val="0"/>
                <w:numId w:val="166"/>
              </w:numPr>
              <w:ind w:left="337" w:hanging="283"/>
              <w:contextualSpacing/>
              <w:rPr>
                <w:sz w:val="24"/>
                <w:szCs w:val="24"/>
              </w:rPr>
            </w:pPr>
            <w:r w:rsidRPr="00367F5B">
              <w:rPr>
                <w:sz w:val="24"/>
                <w:szCs w:val="24"/>
              </w:rPr>
              <w:t>Проверка гр.9 «Сумма исполнения (ПУР)»:</w:t>
            </w:r>
          </w:p>
          <w:p w:rsidR="007B018B" w:rsidRPr="00367F5B" w:rsidRDefault="007B018B" w:rsidP="007B018B">
            <w:pPr>
              <w:pStyle w:val="afff6"/>
              <w:numPr>
                <w:ilvl w:val="1"/>
                <w:numId w:val="166"/>
              </w:numPr>
              <w:ind w:left="479"/>
              <w:contextualSpacing/>
              <w:rPr>
                <w:sz w:val="24"/>
                <w:szCs w:val="24"/>
              </w:rPr>
            </w:pPr>
            <w:r w:rsidRPr="00367F5B">
              <w:rPr>
                <w:sz w:val="24"/>
                <w:szCs w:val="24"/>
              </w:rPr>
              <w:t>Данные загружаются из ПУР АСС &gt; раздел «Перечень ИПС» &gt; «Сумма в рублях» (с учетом значения года в колонке «Дата платежного документа»).</w:t>
            </w:r>
          </w:p>
          <w:p w:rsidR="007B018B" w:rsidRPr="00367F5B" w:rsidRDefault="007B018B" w:rsidP="007B018B">
            <w:pPr>
              <w:ind w:left="337" w:hanging="283"/>
              <w:rPr>
                <w:szCs w:val="24"/>
              </w:rPr>
            </w:pPr>
            <w:r w:rsidRPr="00367F5B">
              <w:rPr>
                <w:szCs w:val="24"/>
              </w:rPr>
              <w:t>Решения:</w:t>
            </w:r>
          </w:p>
          <w:p w:rsidR="007B018B" w:rsidRDefault="007B018B" w:rsidP="007B018B">
            <w:pPr>
              <w:pStyle w:val="afff6"/>
              <w:numPr>
                <w:ilvl w:val="0"/>
                <w:numId w:val="170"/>
              </w:numPr>
              <w:contextualSpacing/>
              <w:rPr>
                <w:sz w:val="24"/>
                <w:szCs w:val="24"/>
              </w:rPr>
            </w:pPr>
            <w:r w:rsidRPr="00367F5B">
              <w:rPr>
                <w:sz w:val="24"/>
                <w:szCs w:val="24"/>
              </w:rPr>
              <w:t>Если некорректные данные в ПУР – зарегистрировать обращение на ГП ПУР</w:t>
            </w:r>
            <w:r w:rsidRPr="00790A36">
              <w:rPr>
                <w:sz w:val="24"/>
                <w:szCs w:val="24"/>
              </w:rPr>
              <w:t>, за исключением случаев требующих внесение изменений со стороны Клиента ТОФК.</w:t>
            </w:r>
          </w:p>
          <w:p w:rsidR="007B018B" w:rsidRDefault="007B018B" w:rsidP="007B018B">
            <w:pPr>
              <w:pStyle w:val="afff6"/>
              <w:numPr>
                <w:ilvl w:val="0"/>
                <w:numId w:val="170"/>
              </w:numPr>
              <w:ind w:left="337" w:hanging="283"/>
              <w:contextualSpacing/>
              <w:rPr>
                <w:sz w:val="24"/>
                <w:szCs w:val="24"/>
              </w:rPr>
            </w:pPr>
            <w:r w:rsidRPr="00790A36">
              <w:rPr>
                <w:sz w:val="24"/>
                <w:szCs w:val="24"/>
              </w:rPr>
              <w:t>В случаях тр</w:t>
            </w:r>
            <w:r w:rsidRPr="00A86F44">
              <w:rPr>
                <w:szCs w:val="24"/>
              </w:rPr>
              <w:t>е</w:t>
            </w:r>
            <w:r w:rsidRPr="00790A36">
              <w:rPr>
                <w:sz w:val="24"/>
                <w:szCs w:val="24"/>
              </w:rPr>
              <w:t>бующих внесения изменений со стороны клиента ТОФК обращение не ре</w:t>
            </w:r>
            <w:r w:rsidRPr="00AE47C4">
              <w:rPr>
                <w:sz w:val="24"/>
                <w:szCs w:val="24"/>
              </w:rPr>
              <w:t>гистрируется.</w:t>
            </w:r>
            <w:r w:rsidRPr="009D1317">
              <w:rPr>
                <w:sz w:val="24"/>
                <w:szCs w:val="24"/>
              </w:rPr>
              <w:t xml:space="preserve"> </w:t>
            </w:r>
          </w:p>
          <w:p w:rsidR="007B018B" w:rsidRPr="009D1317" w:rsidRDefault="007B018B" w:rsidP="007B018B">
            <w:pPr>
              <w:pStyle w:val="afff6"/>
              <w:numPr>
                <w:ilvl w:val="0"/>
                <w:numId w:val="170"/>
              </w:numPr>
              <w:ind w:left="337" w:hanging="283"/>
              <w:contextualSpacing/>
              <w:rPr>
                <w:sz w:val="24"/>
                <w:szCs w:val="24"/>
              </w:rPr>
            </w:pPr>
            <w:r w:rsidRPr="009D1317">
              <w:rPr>
                <w:sz w:val="24"/>
                <w:szCs w:val="24"/>
              </w:rPr>
              <w:t>Если некорректно загружены данные в отчет – зарегистрировать обращение на ГП ПИАО.</w:t>
            </w:r>
          </w:p>
        </w:tc>
        <w:tc>
          <w:tcPr>
            <w:tcW w:w="934" w:type="pct"/>
            <w:noWrap/>
            <w:hideMark/>
          </w:tcPr>
          <w:p w:rsidR="007B018B" w:rsidRPr="00367F5B" w:rsidRDefault="007B018B" w:rsidP="007B018B">
            <w:pPr>
              <w:rPr>
                <w:szCs w:val="24"/>
              </w:rPr>
            </w:pPr>
            <w:r w:rsidRPr="00367F5B">
              <w:rPr>
                <w:szCs w:val="24"/>
              </w:rPr>
              <w:t>Данный индикатор для показателя не предусмотрен</w:t>
            </w:r>
          </w:p>
        </w:tc>
        <w:tc>
          <w:tcPr>
            <w:tcW w:w="490" w:type="pct"/>
            <w:hideMark/>
          </w:tcPr>
          <w:p w:rsidR="007B018B" w:rsidRPr="00367F5B" w:rsidRDefault="007B018B" w:rsidP="007B018B">
            <w:pPr>
              <w:rPr>
                <w:szCs w:val="24"/>
              </w:rPr>
            </w:pPr>
            <w:r w:rsidRPr="00367F5B">
              <w:rPr>
                <w:szCs w:val="24"/>
              </w:rPr>
              <w:t>Данная ситуация для показателя не предусмотрена</w:t>
            </w:r>
          </w:p>
        </w:tc>
        <w:tc>
          <w:tcPr>
            <w:tcW w:w="536" w:type="pct"/>
          </w:tcPr>
          <w:p w:rsidR="007B018B" w:rsidRDefault="007B018B" w:rsidP="007B018B">
            <w:pPr>
              <w:rPr>
                <w:szCs w:val="24"/>
              </w:rPr>
            </w:pPr>
            <w:r>
              <w:rPr>
                <w:szCs w:val="24"/>
              </w:rPr>
              <w:t>УФК</w:t>
            </w:r>
          </w:p>
          <w:p w:rsidR="007B018B" w:rsidRDefault="007B018B" w:rsidP="007B018B">
            <w:pPr>
              <w:rPr>
                <w:szCs w:val="24"/>
              </w:rPr>
            </w:pPr>
            <w:r>
              <w:rPr>
                <w:szCs w:val="24"/>
              </w:rPr>
              <w:t>ОР МОУ ФК</w:t>
            </w:r>
          </w:p>
          <w:p w:rsidR="007B018B" w:rsidRPr="00367F5B" w:rsidRDefault="007B018B" w:rsidP="007B018B">
            <w:pPr>
              <w:rPr>
                <w:szCs w:val="24"/>
              </w:rPr>
            </w:pPr>
            <w:r>
              <w:rPr>
                <w:szCs w:val="24"/>
              </w:rPr>
              <w:t>ООСВ МОУ ФК</w:t>
            </w:r>
          </w:p>
        </w:tc>
      </w:tr>
    </w:tbl>
    <w:p w:rsidR="007B018B" w:rsidRPr="00575D4C" w:rsidRDefault="007B018B" w:rsidP="006073E2">
      <w:pPr>
        <w:pStyle w:val="-0"/>
      </w:pPr>
    </w:p>
    <w:p w:rsidR="006073E2" w:rsidRDefault="006073E2" w:rsidP="00157471">
      <w:pPr>
        <w:pStyle w:val="42"/>
      </w:pPr>
      <w:bookmarkStart w:id="823" w:name="_Toc41637827"/>
      <w:r>
        <w:t>Представление «Вложения по соглашениям»:</w:t>
      </w:r>
    </w:p>
    <w:p w:rsidR="006073E2" w:rsidRPr="009C34D1" w:rsidRDefault="006073E2" w:rsidP="006073E2">
      <w:pPr>
        <w:pStyle w:val="af0"/>
      </w:pPr>
      <w:bookmarkStart w:id="824" w:name="_Toc40864473"/>
      <w:r w:rsidRPr="009C34D1">
        <w:t>Представление «Вложения по соглашениям» отража</w:t>
      </w:r>
      <w:r w:rsidR="007613BD">
        <w:t>е</w:t>
      </w:r>
      <w:r w:rsidRPr="009C34D1">
        <w:t xml:space="preserve">т информацию о документах-вложениях к соглашениям (договорам) о предоставлении субсидий, бюджетных инвестиций, межбюджетных трансфертов, которые размещены в ПУР и опубликованы на ЕПБС. Вложения типизированы по группам: платежные поручения, соглашения и доп.соглашения, отчетность, </w:t>
      </w:r>
      <w:r>
        <w:t>иные</w:t>
      </w:r>
      <w:r w:rsidRPr="009C34D1">
        <w:t>. Сведения представлены в разрезе соглашений.</w:t>
      </w:r>
      <w:bookmarkEnd w:id="824"/>
    </w:p>
    <w:p w:rsidR="006073E2" w:rsidRPr="009C34D1" w:rsidRDefault="006073E2" w:rsidP="006073E2">
      <w:pPr>
        <w:spacing w:line="360" w:lineRule="auto"/>
        <w:rPr>
          <w:sz w:val="28"/>
          <w:szCs w:val="28"/>
        </w:rPr>
      </w:pPr>
      <w:r w:rsidRPr="009C34D1">
        <w:rPr>
          <w:sz w:val="28"/>
          <w:szCs w:val="28"/>
        </w:rPr>
        <w:t>Атрибутный состав:</w:t>
      </w:r>
    </w:p>
    <w:p w:rsidR="006073E2" w:rsidRPr="009C34D1" w:rsidRDefault="006073E2" w:rsidP="00DE1661">
      <w:pPr>
        <w:pStyle w:val="13"/>
      </w:pPr>
      <w:r w:rsidRPr="009C34D1">
        <w:t>Наименование вложения (ПУР);</w:t>
      </w:r>
    </w:p>
    <w:p w:rsidR="006073E2" w:rsidRPr="009C34D1" w:rsidRDefault="006073E2" w:rsidP="00DE1661">
      <w:pPr>
        <w:pStyle w:val="13"/>
      </w:pPr>
      <w:r w:rsidRPr="009C34D1">
        <w:t>Тип вложения (ПУР);</w:t>
      </w:r>
    </w:p>
    <w:p w:rsidR="006073E2" w:rsidRPr="009C34D1" w:rsidRDefault="006073E2" w:rsidP="00DE1661">
      <w:pPr>
        <w:pStyle w:val="13"/>
      </w:pPr>
      <w:r w:rsidRPr="009C34D1">
        <w:t xml:space="preserve">GUID </w:t>
      </w:r>
      <w:r>
        <w:t>документа (ПУР)</w:t>
      </w:r>
      <w:r w:rsidRPr="009C34D1">
        <w:t>;</w:t>
      </w:r>
    </w:p>
    <w:p w:rsidR="006073E2" w:rsidRPr="009C34D1" w:rsidRDefault="006073E2" w:rsidP="00DE1661">
      <w:pPr>
        <w:pStyle w:val="13"/>
      </w:pPr>
      <w:r w:rsidRPr="009C34D1">
        <w:t>Наименование вложения (ЕПБС);</w:t>
      </w:r>
    </w:p>
    <w:p w:rsidR="006073E2" w:rsidRDefault="006073E2" w:rsidP="00DE1661">
      <w:pPr>
        <w:pStyle w:val="13"/>
      </w:pPr>
      <w:r w:rsidRPr="009C34D1">
        <w:t>Тип вложения (ЕПБС);</w:t>
      </w:r>
    </w:p>
    <w:p w:rsidR="006073E2" w:rsidRPr="00AB69B4" w:rsidRDefault="006073E2" w:rsidP="00DE1661">
      <w:pPr>
        <w:pStyle w:val="13"/>
      </w:pPr>
      <w:r>
        <w:rPr>
          <w:lang w:val="en-US"/>
        </w:rPr>
        <w:t>GUID</w:t>
      </w:r>
      <w:r w:rsidRPr="00AB69B4">
        <w:t xml:space="preserve"> </w:t>
      </w:r>
      <w:r>
        <w:t xml:space="preserve">документа (ЕПБС) </w:t>
      </w:r>
      <w:r w:rsidRPr="009C34D1">
        <w:t>–</w:t>
      </w:r>
      <w:r>
        <w:t xml:space="preserve"> (скрыта по умолчанию);</w:t>
      </w:r>
    </w:p>
    <w:p w:rsidR="006073E2" w:rsidRDefault="006073E2" w:rsidP="00DE1661">
      <w:pPr>
        <w:pStyle w:val="13"/>
      </w:pPr>
      <w:r w:rsidRPr="009C34D1">
        <w:t>Наличие вложения на ЕПБС (индикатор имеет два значения: зеленый индикатор – соответствует, красный индикатор – не соответствует);</w:t>
      </w:r>
    </w:p>
    <w:p w:rsidR="006073E2" w:rsidRDefault="006073E2" w:rsidP="00DE1661">
      <w:pPr>
        <w:pStyle w:val="13"/>
      </w:pPr>
      <w:r>
        <w:t xml:space="preserve">Наличие </w:t>
      </w:r>
      <w:r>
        <w:rPr>
          <w:lang w:val="en-US"/>
        </w:rPr>
        <w:t>GUID</w:t>
      </w:r>
      <w:r w:rsidRPr="00AB69B4">
        <w:t xml:space="preserve"> </w:t>
      </w:r>
      <w:r>
        <w:t xml:space="preserve">на ЕПБС </w:t>
      </w:r>
      <w:r w:rsidRPr="009C34D1">
        <w:t>(индикатор имеет два значения: зеленый индикатор – соответствует, красный индикатор – не соответствует);</w:t>
      </w:r>
    </w:p>
    <w:p w:rsidR="006073E2" w:rsidRDefault="006073E2" w:rsidP="00DE1661">
      <w:pPr>
        <w:pStyle w:val="13"/>
      </w:pPr>
      <w:r>
        <w:t xml:space="preserve">Наличие вложения в ПУР </w:t>
      </w:r>
      <w:r w:rsidRPr="009C34D1">
        <w:t>(индикатор имеет два значения: зеленый индикатор – соответствует, красный индикатор – не соответствует);</w:t>
      </w:r>
    </w:p>
    <w:p w:rsidR="006073E2" w:rsidRDefault="006073E2" w:rsidP="00DE1661">
      <w:pPr>
        <w:pStyle w:val="13"/>
      </w:pPr>
      <w:r>
        <w:t xml:space="preserve">Дубль вложения на ЕПБС </w:t>
      </w:r>
      <w:r w:rsidRPr="009C34D1">
        <w:t xml:space="preserve">(индикатор имеет два значения: зеленый индикатор – </w:t>
      </w:r>
      <w:r>
        <w:t>дубли отсутствуют</w:t>
      </w:r>
      <w:r w:rsidRPr="009C34D1">
        <w:t xml:space="preserve">, красный индикатор – </w:t>
      </w:r>
      <w:r>
        <w:t>дубли наличествуют</w:t>
      </w:r>
      <w:r w:rsidRPr="009C34D1">
        <w:t>)</w:t>
      </w:r>
      <w:r>
        <w:t>;</w:t>
      </w:r>
    </w:p>
    <w:p w:rsidR="006073E2" w:rsidRPr="00AB69B4" w:rsidRDefault="006073E2" w:rsidP="00DE1661">
      <w:pPr>
        <w:pStyle w:val="13"/>
      </w:pPr>
      <w:r>
        <w:t xml:space="preserve">Соответствие типов вложения </w:t>
      </w:r>
      <w:r w:rsidRPr="009C34D1">
        <w:t xml:space="preserve">(индикатор имеет </w:t>
      </w:r>
      <w:r>
        <w:t>три</w:t>
      </w:r>
      <w:r w:rsidRPr="009C34D1">
        <w:t xml:space="preserve"> значения: зеленый индикатор – соответствует, красный индикатор – не соответствует</w:t>
      </w:r>
      <w:r>
        <w:t>, серый – отсутствует на ЕПБС</w:t>
      </w:r>
      <w:r w:rsidRPr="009C34D1">
        <w:t>);</w:t>
      </w:r>
    </w:p>
    <w:p w:rsidR="006073E2" w:rsidRDefault="006073E2" w:rsidP="00DE1661">
      <w:pPr>
        <w:pStyle w:val="13"/>
      </w:pPr>
      <w:r w:rsidRPr="009C34D1">
        <w:t>Номер реестровой записи (ПУР).</w:t>
      </w:r>
    </w:p>
    <w:p w:rsidR="006073E2" w:rsidRPr="00AB69B4" w:rsidRDefault="006073E2" w:rsidP="006073E2">
      <w:pPr>
        <w:pStyle w:val="af0"/>
      </w:pPr>
      <w:r w:rsidRPr="009C34D1">
        <w:t>В таблице представлена Итоговая строка по атрибутам:</w:t>
      </w:r>
      <w:r>
        <w:t xml:space="preserve"> </w:t>
      </w:r>
      <w:r>
        <w:rPr>
          <w:lang w:val="en-US"/>
        </w:rPr>
        <w:t>GUID</w:t>
      </w:r>
      <w:r w:rsidRPr="00AB69B4">
        <w:t xml:space="preserve"> </w:t>
      </w:r>
      <w:r>
        <w:t xml:space="preserve">документа (ПУР), </w:t>
      </w:r>
      <w:r>
        <w:rPr>
          <w:lang w:val="en-US"/>
        </w:rPr>
        <w:t>GUID</w:t>
      </w:r>
      <w:r w:rsidRPr="00AB69B4">
        <w:t xml:space="preserve"> </w:t>
      </w:r>
      <w:r>
        <w:t xml:space="preserve">документа (ЕПБС), </w:t>
      </w:r>
      <w:r w:rsidRPr="009C34D1">
        <w:t>Наличие вложения на ЕПБС</w:t>
      </w:r>
      <w:r>
        <w:t xml:space="preserve"> – отображает количество нарушений, Наличие </w:t>
      </w:r>
      <w:r>
        <w:rPr>
          <w:lang w:val="en-US"/>
        </w:rPr>
        <w:t>GUID</w:t>
      </w:r>
      <w:r w:rsidRPr="00AB69B4">
        <w:t xml:space="preserve"> </w:t>
      </w:r>
      <w:r>
        <w:t>на ЕПБС – отображает количество нарушений, Наличие вложения в ПУР – отображает количество нарушений, Дубль вложения на ЕПБС – отображает количество нарушений, Соответствие типов вложения – отображает количество нарушений.</w:t>
      </w:r>
    </w:p>
    <w:p w:rsidR="006073E2" w:rsidRPr="006D1D78" w:rsidRDefault="006073E2" w:rsidP="006073E2">
      <w:pPr>
        <w:pStyle w:val="af0"/>
      </w:pPr>
      <w:r w:rsidRPr="006D1D78">
        <w:t>В представлении реализована возможность переход</w:t>
      </w:r>
      <w:r>
        <w:t>а</w:t>
      </w:r>
      <w:r w:rsidRPr="006D1D78">
        <w:t xml:space="preserve"> на внешние ресурсы:</w:t>
      </w:r>
    </w:p>
    <w:p w:rsidR="006073E2" w:rsidRPr="008E6312" w:rsidRDefault="006073E2" w:rsidP="006073E2">
      <w:pPr>
        <w:spacing w:line="360" w:lineRule="auto"/>
        <w:rPr>
          <w:sz w:val="28"/>
          <w:szCs w:val="28"/>
        </w:rPr>
      </w:pPr>
      <w:r w:rsidRPr="008E6312">
        <w:rPr>
          <w:sz w:val="28"/>
          <w:szCs w:val="28"/>
        </w:rPr>
        <w:t>- «Номер реестровой записи (ПУР)» → «Показать в ПУР».</w:t>
      </w:r>
    </w:p>
    <w:p w:rsidR="006073E2" w:rsidRPr="009C34D1" w:rsidRDefault="006073E2" w:rsidP="006073E2">
      <w:pPr>
        <w:pStyle w:val="af0"/>
      </w:pPr>
      <w:bookmarkStart w:id="825" w:name="_Toc40864474"/>
      <w:r w:rsidRPr="009C34D1">
        <w:t>Фильтры представления:</w:t>
      </w:r>
      <w:bookmarkEnd w:id="825"/>
    </w:p>
    <w:p w:rsidR="006073E2" w:rsidRPr="009C34D1" w:rsidRDefault="006073E2" w:rsidP="00DE1661">
      <w:pPr>
        <w:pStyle w:val="13"/>
      </w:pPr>
      <w:r w:rsidRPr="009C34D1">
        <w:rPr>
          <w:iCs/>
        </w:rPr>
        <w:t>ТОФК</w:t>
      </w:r>
      <w:r w:rsidRPr="009C34D1">
        <w:t xml:space="preserve"> – выпадающий список с перечнем территориальных отделений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6073E2" w:rsidRPr="009C34D1" w:rsidRDefault="006073E2" w:rsidP="00DE1661">
      <w:pPr>
        <w:pStyle w:val="13"/>
      </w:pPr>
      <w:r w:rsidRPr="009C34D1">
        <w:rPr>
          <w:iCs/>
        </w:rPr>
        <w:t>ИНН получателя</w:t>
      </w:r>
      <w:r w:rsidRPr="009C34D1">
        <w:t xml:space="preserve"> – фильтрация по идентификационному номеру налогоплательщика.</w:t>
      </w:r>
    </w:p>
    <w:p w:rsidR="006073E2" w:rsidRPr="009C34D1" w:rsidRDefault="006073E2" w:rsidP="00DE1661">
      <w:pPr>
        <w:pStyle w:val="13"/>
      </w:pPr>
      <w:r w:rsidRPr="009C34D1">
        <w:rPr>
          <w:iCs/>
        </w:rPr>
        <w:t>Показать проблемы</w:t>
      </w:r>
      <w:r w:rsidRPr="009C34D1">
        <w:t xml:space="preserve"> – выпадающий список с перечнем возможных проблем качества распространения данных реестра соглашений на ЕПБС</w:t>
      </w:r>
      <w:r>
        <w:t>. По умолчанию предустановлен в значение «Есть проблемы». Параметры фильтра</w:t>
      </w:r>
      <w:r w:rsidRPr="009C34D1">
        <w:t>:</w:t>
      </w:r>
    </w:p>
    <w:p w:rsidR="006073E2" w:rsidRPr="009C34D1" w:rsidRDefault="006073E2" w:rsidP="006073E2">
      <w:pPr>
        <w:pStyle w:val="29"/>
      </w:pPr>
      <w:r w:rsidRPr="009C34D1">
        <w:t>Все;</w:t>
      </w:r>
    </w:p>
    <w:p w:rsidR="006073E2" w:rsidRPr="009C34D1" w:rsidRDefault="006073E2" w:rsidP="006073E2">
      <w:pPr>
        <w:pStyle w:val="29"/>
      </w:pPr>
      <w:r w:rsidRPr="009C34D1">
        <w:t>Есть проблемы;</w:t>
      </w:r>
    </w:p>
    <w:p w:rsidR="006073E2" w:rsidRPr="009C34D1" w:rsidRDefault="006073E2" w:rsidP="006073E2">
      <w:pPr>
        <w:pStyle w:val="29"/>
      </w:pPr>
      <w:r w:rsidRPr="009C34D1">
        <w:t>Нет проблем;</w:t>
      </w:r>
    </w:p>
    <w:p w:rsidR="006073E2" w:rsidRPr="009C34D1" w:rsidRDefault="006073E2" w:rsidP="006073E2">
      <w:pPr>
        <w:pStyle w:val="29"/>
      </w:pPr>
      <w:r w:rsidRPr="008F6EE2">
        <w:t>Отсутствует вложение на ЕПБС</w:t>
      </w:r>
      <w:r w:rsidRPr="009C34D1">
        <w:t>;</w:t>
      </w:r>
    </w:p>
    <w:p w:rsidR="006073E2" w:rsidRDefault="006073E2" w:rsidP="006073E2">
      <w:pPr>
        <w:pStyle w:val="29"/>
      </w:pPr>
      <w:r w:rsidRPr="008F6EE2">
        <w:t>Отсутствует GUID документа на ЕПБС</w:t>
      </w:r>
      <w:r w:rsidRPr="009C34D1">
        <w:t>;</w:t>
      </w:r>
    </w:p>
    <w:p w:rsidR="006073E2" w:rsidRDefault="006073E2" w:rsidP="006073E2">
      <w:pPr>
        <w:pStyle w:val="29"/>
      </w:pPr>
      <w:r w:rsidRPr="008F6EE2">
        <w:t>Отсутствует вложение в ПУР</w:t>
      </w:r>
    </w:p>
    <w:p w:rsidR="006073E2" w:rsidRDefault="006073E2" w:rsidP="006073E2">
      <w:pPr>
        <w:pStyle w:val="29"/>
      </w:pPr>
      <w:r w:rsidRPr="008F6EE2">
        <w:t>Дублирование вложения на ЕПБС</w:t>
      </w:r>
    </w:p>
    <w:p w:rsidR="006073E2" w:rsidRPr="009C34D1" w:rsidRDefault="006073E2" w:rsidP="006073E2">
      <w:pPr>
        <w:pStyle w:val="29"/>
      </w:pPr>
      <w:r w:rsidRPr="008F6EE2">
        <w:t>Не соответствует тип вложения в ПУР и на ЕПБС</w:t>
      </w:r>
    </w:p>
    <w:p w:rsidR="006073E2" w:rsidRPr="009C34D1" w:rsidRDefault="006073E2" w:rsidP="00DE1661">
      <w:pPr>
        <w:pStyle w:val="13"/>
      </w:pPr>
      <w:r w:rsidRPr="009C34D1">
        <w:rPr>
          <w:iCs/>
        </w:rPr>
        <w:t>ГРБС</w:t>
      </w:r>
      <w:r w:rsidRPr="009C34D1">
        <w:t xml:space="preserve"> – выпадающий список с перечнем главных распорядителей бюджетных средств. В фильтре реализована возможность ввода кода и наименования ГРБС, а также множественный выбор параметров фильтрации. В перечне ГРБС отражены только те распорядители, по которым наличествуют соглашения в отчете.</w:t>
      </w:r>
    </w:p>
    <w:p w:rsidR="006073E2" w:rsidRPr="009C34D1" w:rsidRDefault="006073E2" w:rsidP="00DE1661">
      <w:pPr>
        <w:pStyle w:val="13"/>
      </w:pPr>
      <w:r w:rsidRPr="009C34D1">
        <w:rPr>
          <w:iCs/>
        </w:rPr>
        <w:t>Дата заключения</w:t>
      </w:r>
      <w:r w:rsidRPr="009C34D1">
        <w:t xml:space="preserve"> (параметр имеет два поля ввода, которые позволяют выбрать интервал дат заключения соглашений С: ДД.ММ.ГГГГ По: ДД.ММ.ГГГГ).</w:t>
      </w:r>
    </w:p>
    <w:p w:rsidR="006073E2" w:rsidRPr="009C34D1" w:rsidRDefault="006073E2" w:rsidP="00DE1661">
      <w:pPr>
        <w:pStyle w:val="13"/>
      </w:pPr>
      <w:r w:rsidRPr="009C34D1">
        <w:rPr>
          <w:iCs/>
        </w:rPr>
        <w:t xml:space="preserve">Год </w:t>
      </w:r>
      <w:r>
        <w:rPr>
          <w:iCs/>
        </w:rPr>
        <w:t xml:space="preserve">последнего изменения </w:t>
      </w:r>
      <w:r w:rsidRPr="009C34D1">
        <w:rPr>
          <w:iCs/>
        </w:rPr>
        <w:t xml:space="preserve">БО </w:t>
      </w:r>
      <w:r w:rsidRPr="009C34D1">
        <w:t>–</w:t>
      </w:r>
      <w:r>
        <w:t xml:space="preserve"> </w:t>
      </w:r>
      <w:r w:rsidRPr="009C34D1">
        <w:t>год, в котором были внесены</w:t>
      </w:r>
      <w:r>
        <w:t xml:space="preserve"> последние</w:t>
      </w:r>
      <w:r w:rsidRPr="009C34D1">
        <w:t xml:space="preserve"> изменения в БО</w:t>
      </w:r>
      <w:r>
        <w:t xml:space="preserve"> (год актуализации БО</w:t>
      </w:r>
      <w:r w:rsidRPr="009C34D1">
        <w:t>).</w:t>
      </w:r>
    </w:p>
    <w:p w:rsidR="006073E2" w:rsidRPr="009C34D1" w:rsidRDefault="006073E2" w:rsidP="00DE1661">
      <w:pPr>
        <w:pStyle w:val="13"/>
      </w:pPr>
      <w:r w:rsidRPr="009C34D1">
        <w:rPr>
          <w:iCs/>
        </w:rPr>
        <w:t>Сумма соглашения</w:t>
      </w:r>
      <w:r w:rsidRPr="009C34D1">
        <w:t xml:space="preserve"> (параметр имеет два поля ввода, которые позволяют выбрать интервал значений От и До). В фильтре вводятся значения в руб.</w:t>
      </w:r>
    </w:p>
    <w:p w:rsidR="006073E2" w:rsidRPr="009C34D1" w:rsidRDefault="006073E2" w:rsidP="00DE1661">
      <w:pPr>
        <w:pStyle w:val="13"/>
      </w:pPr>
      <w:r w:rsidRPr="009C34D1">
        <w:rPr>
          <w:iCs/>
        </w:rPr>
        <w:t>Год по сроку действия соглашения</w:t>
      </w:r>
      <w:r w:rsidRPr="009C34D1">
        <w:t xml:space="preserve"> – отображает соглашения, которые попадают в интервал между датами начала и окончания действия соглашения, включая крайние границы.</w:t>
      </w:r>
    </w:p>
    <w:p w:rsidR="006073E2" w:rsidRPr="009C34D1" w:rsidRDefault="006073E2" w:rsidP="00DE1661">
      <w:pPr>
        <w:pStyle w:val="13"/>
      </w:pPr>
      <w:r w:rsidRPr="009C34D1">
        <w:rPr>
          <w:iCs/>
        </w:rPr>
        <w:t>Введите Уникальный реестровый номер / Номер договора</w:t>
      </w:r>
      <w:r w:rsidRPr="009C34D1">
        <w:t xml:space="preserve"> – область ввода реестрового номера соглашения, а также номера соглашения (договора, НПА).</w:t>
      </w:r>
    </w:p>
    <w:p w:rsidR="006073E2" w:rsidRDefault="006073E2" w:rsidP="00DE1661">
      <w:pPr>
        <w:pStyle w:val="13"/>
      </w:pPr>
      <w:r w:rsidRPr="009C34D1">
        <w:t xml:space="preserve">Введите наименование/GUID вложения – область ввода наименования или </w:t>
      </w:r>
      <w:r w:rsidRPr="009C34D1">
        <w:rPr>
          <w:lang w:val="en-US"/>
        </w:rPr>
        <w:t>GUID</w:t>
      </w:r>
      <w:r w:rsidRPr="009C34D1">
        <w:t xml:space="preserve"> вложения.</w:t>
      </w:r>
    </w:p>
    <w:p w:rsidR="006073E2" w:rsidRPr="009C34D1" w:rsidRDefault="006073E2" w:rsidP="00DE1661">
      <w:pPr>
        <w:pStyle w:val="13"/>
      </w:pPr>
      <w:r>
        <w:t>Тип вложения: фильтр позволяет осуществить выборку данным по определенной группе типа вложения: Все, Соглашения, Отчетность, Платежные поручения, Иные.</w:t>
      </w:r>
    </w:p>
    <w:p w:rsidR="006073E2" w:rsidRDefault="006073E2" w:rsidP="006073E2">
      <w:pPr>
        <w:pStyle w:val="ac"/>
      </w:pPr>
      <w:r>
        <w:t>Макет отчета представлен на Р</w:t>
      </w:r>
      <w:r w:rsidRPr="009C34D1">
        <w:t>исунке</w:t>
      </w:r>
      <w:r w:rsidR="005246F7">
        <w:t xml:space="preserve"> </w:t>
      </w:r>
      <w:r w:rsidR="005246F7">
        <w:fldChar w:fldCharType="begin"/>
      </w:r>
      <w:r w:rsidR="005246F7">
        <w:instrText xml:space="preserve"> REF _Ref70064355 \h </w:instrText>
      </w:r>
      <w:r w:rsidR="005246F7">
        <w:fldChar w:fldCharType="separate"/>
      </w:r>
      <w:r w:rsidR="00BF0BEE">
        <w:rPr>
          <w:noProof/>
        </w:rPr>
        <w:t>204</w:t>
      </w:r>
      <w:r w:rsidR="005246F7">
        <w:fldChar w:fldCharType="end"/>
      </w:r>
      <w:r w:rsidR="005246F7">
        <w:t>.</w:t>
      </w:r>
    </w:p>
    <w:p w:rsidR="007B018B" w:rsidRDefault="007B018B" w:rsidP="006073E2">
      <w:pPr>
        <w:pStyle w:val="ac"/>
      </w:pPr>
    </w:p>
    <w:p w:rsidR="005246F7" w:rsidRDefault="005246F7" w:rsidP="00321FCA">
      <w:pPr>
        <w:pStyle w:val="afffff7"/>
      </w:pPr>
      <w:r>
        <w:rPr>
          <w:noProof/>
          <w:lang w:eastAsia="ru-RU"/>
        </w:rPr>
        <w:drawing>
          <wp:inline distT="0" distB="0" distL="0" distR="0" wp14:anchorId="2032DAAE" wp14:editId="59FC06B3">
            <wp:extent cx="5939790" cy="2892345"/>
            <wp:effectExtent l="0" t="0" r="3810" b="381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5939790" cy="2892345"/>
                    </a:xfrm>
                    <a:prstGeom prst="rect">
                      <a:avLst/>
                    </a:prstGeom>
                  </pic:spPr>
                </pic:pic>
              </a:graphicData>
            </a:graphic>
          </wp:inline>
        </w:drawing>
      </w:r>
    </w:p>
    <w:p w:rsidR="005246F7" w:rsidRPr="006073E2" w:rsidRDefault="005246F7" w:rsidP="005246F7">
      <w:pPr>
        <w:pStyle w:val="-0"/>
      </w:pPr>
      <w:bookmarkStart w:id="826" w:name="_Toc119584391"/>
      <w:r>
        <w:t xml:space="preserve">Рисунок </w:t>
      </w:r>
      <w:fldSimple w:instr=" SEQ Рисунок \* ARABIC ">
        <w:bookmarkStart w:id="827" w:name="_Ref70064355"/>
        <w:r w:rsidR="001860A9">
          <w:rPr>
            <w:noProof/>
          </w:rPr>
          <w:t>204</w:t>
        </w:r>
        <w:bookmarkEnd w:id="827"/>
      </w:fldSimple>
      <w:r>
        <w:rPr>
          <w:rFonts w:eastAsia="Calibri"/>
          <w:snapToGrid/>
          <w:lang w:eastAsia="en-US"/>
        </w:rPr>
        <w:t xml:space="preserve"> – Макет о</w:t>
      </w:r>
      <w:r w:rsidRPr="009C34D1">
        <w:t>тчет</w:t>
      </w:r>
      <w:r>
        <w:t>а</w:t>
      </w:r>
      <w:r w:rsidRPr="009C34D1">
        <w:t xml:space="preserve"> «Мониторинг качества распространения данных реестра соглашений на ЕПБС». Представление «</w:t>
      </w:r>
      <w:r>
        <w:t>Вложения по соглашениям</w:t>
      </w:r>
      <w:r w:rsidRPr="009C34D1">
        <w:t>».</w:t>
      </w:r>
      <w:bookmarkEnd w:id="826"/>
    </w:p>
    <w:p w:rsidR="00157471" w:rsidRDefault="00157471" w:rsidP="00157471">
      <w:pPr>
        <w:pStyle w:val="42"/>
      </w:pPr>
      <w:r w:rsidRPr="00733DE3">
        <w:t>Представление «Детализация по соглашениям»</w:t>
      </w:r>
      <w:r>
        <w:t>:</w:t>
      </w:r>
      <w:bookmarkEnd w:id="823"/>
      <w:r>
        <w:t xml:space="preserve"> </w:t>
      </w:r>
    </w:p>
    <w:p w:rsidR="00FF5465" w:rsidRPr="009C34D1" w:rsidRDefault="00FF5465" w:rsidP="00FF5465">
      <w:pPr>
        <w:pStyle w:val="af0"/>
      </w:pPr>
      <w:bookmarkStart w:id="828" w:name="_Toc40864466"/>
      <w:bookmarkStart w:id="829" w:name="_Toc41637828"/>
      <w:r w:rsidRPr="009C34D1">
        <w:t>Представление «Детализация по соглашениям» отража</w:t>
      </w:r>
      <w:r w:rsidR="001F7919">
        <w:t>е</w:t>
      </w:r>
      <w:r w:rsidRPr="009C34D1">
        <w:t>т сведения о сумме соглашений (договоров) о предоставлении субсидий, бюджетных инвестиций, межбюджетных трансфертов в ПУР и на ЕПБС, сумме БО в ПУР, а также информацию о расхождениях между данными ПУР и ЕПБС в части данных сумм. Сведения представлены в разрезе соглашений.</w:t>
      </w:r>
      <w:bookmarkEnd w:id="828"/>
      <w:r>
        <w:t xml:space="preserve"> Данные в отчете представлены по соглашениям, у которых год последнего внесения изменения в БО больше либо равен 2018 году.</w:t>
      </w:r>
    </w:p>
    <w:p w:rsidR="00FF5465" w:rsidRPr="009C34D1" w:rsidRDefault="00FF5465" w:rsidP="00125F68">
      <w:pPr>
        <w:pStyle w:val="af0"/>
      </w:pPr>
      <w:r w:rsidRPr="009C34D1">
        <w:t>Атрибутный состав:</w:t>
      </w:r>
    </w:p>
    <w:p w:rsidR="00FF5465" w:rsidRPr="009C34D1" w:rsidRDefault="00FF5465" w:rsidP="00125F68">
      <w:pPr>
        <w:pStyle w:val="13"/>
      </w:pPr>
      <w:r w:rsidRPr="009C34D1">
        <w:t>Номер реестровой записи (ПУР);</w:t>
      </w:r>
    </w:p>
    <w:p w:rsidR="00FF5465" w:rsidRPr="009C34D1" w:rsidRDefault="00FF5465" w:rsidP="00125F68">
      <w:pPr>
        <w:pStyle w:val="13"/>
      </w:pPr>
      <w:r w:rsidRPr="009C34D1">
        <w:t>Сумма соглашения (ПУР);</w:t>
      </w:r>
    </w:p>
    <w:p w:rsidR="00FF5465" w:rsidRPr="009C34D1" w:rsidRDefault="00FF5465" w:rsidP="00125F68">
      <w:pPr>
        <w:pStyle w:val="13"/>
      </w:pPr>
      <w:r w:rsidRPr="009C34D1">
        <w:t>Сумма соглашения (ЕПБС);</w:t>
      </w:r>
    </w:p>
    <w:p w:rsidR="00FF5465" w:rsidRPr="009C34D1" w:rsidRDefault="00FF5465" w:rsidP="00125F68">
      <w:pPr>
        <w:pStyle w:val="13"/>
      </w:pPr>
      <w:r w:rsidRPr="009C34D1">
        <w:t>Расхождение между Суммой соглашения (ПУР) и Суммой соглашения (ЕПБС);</w:t>
      </w:r>
    </w:p>
    <w:p w:rsidR="00FF5465" w:rsidRPr="009C34D1" w:rsidRDefault="00FF5465" w:rsidP="00125F68">
      <w:pPr>
        <w:pStyle w:val="13"/>
      </w:pPr>
      <w:r w:rsidRPr="009C34D1">
        <w:t>Индикатор соответствия суммы соглашения в ПУР и ЕПБС – индикатор имеет два значения: зеленый индикатор – соответствует, красный индикатор – не соответствует</w:t>
      </w:r>
      <w:r>
        <w:t>, серый – соглашение отсутствует на ЕПБС</w:t>
      </w:r>
      <w:r w:rsidRPr="009C34D1">
        <w:t>;</w:t>
      </w:r>
    </w:p>
    <w:p w:rsidR="00FF5465" w:rsidRPr="009C34D1" w:rsidRDefault="00FF5465" w:rsidP="00125F68">
      <w:pPr>
        <w:pStyle w:val="13"/>
      </w:pPr>
      <w:r w:rsidRPr="009C34D1">
        <w:t>Номер БО (ПУР);</w:t>
      </w:r>
    </w:p>
    <w:p w:rsidR="00FF5465" w:rsidRPr="009C34D1" w:rsidRDefault="00FF5465" w:rsidP="00125F68">
      <w:pPr>
        <w:pStyle w:val="13"/>
      </w:pPr>
      <w:r w:rsidRPr="009C34D1">
        <w:t>Сумма БО (ПУР);</w:t>
      </w:r>
    </w:p>
    <w:p w:rsidR="00FF5465" w:rsidRPr="009C34D1" w:rsidRDefault="00FF5465" w:rsidP="00125F68">
      <w:pPr>
        <w:pStyle w:val="13"/>
      </w:pPr>
      <w:r w:rsidRPr="009C34D1">
        <w:t>Расхождение Суммы соглашения (ПУР) и Суммы БО (ПУР);</w:t>
      </w:r>
    </w:p>
    <w:p w:rsidR="00FF5465" w:rsidRPr="009C34D1" w:rsidRDefault="00FF5465" w:rsidP="00125F68">
      <w:pPr>
        <w:pStyle w:val="13"/>
      </w:pPr>
      <w:r w:rsidRPr="009C34D1">
        <w:t>Индикатор соответствия Суммы соглашения (ПУР) и Суммы БО (ПУР): зеленый индикатор – соответствует, красный индикатор – не соответствует.</w:t>
      </w:r>
    </w:p>
    <w:p w:rsidR="00FF5465" w:rsidRDefault="00FF5465" w:rsidP="00FF5465">
      <w:pPr>
        <w:pStyle w:val="af0"/>
      </w:pPr>
      <w:bookmarkStart w:id="830" w:name="_Toc40864467"/>
      <w:r w:rsidRPr="009C34D1">
        <w:rPr>
          <w:szCs w:val="28"/>
        </w:rPr>
        <w:t>В таблице представлена Итоговая строка по атрибутам:</w:t>
      </w:r>
      <w:r w:rsidRPr="009C34D1">
        <w:t xml:space="preserve"> Номер реестровой записи (ПУР), Номер БО (ПУР) – отображает количество соглашений</w:t>
      </w:r>
      <w:r>
        <w:t>,</w:t>
      </w:r>
      <w:r w:rsidRPr="009C34D1">
        <w:t xml:space="preserve"> Сумма соглашения (ПУР), Сумма соглашения (ЕПБС), Расхождение между Суммой соглашения (ПУР) и Суммой соглашения (ЕПБС),</w:t>
      </w:r>
      <w:r>
        <w:t xml:space="preserve"> Индикатор соответствия суммы соглашения в ПУР и ЕПБС – отображает количество нарушений,</w:t>
      </w:r>
      <w:r w:rsidRPr="009C34D1">
        <w:t xml:space="preserve"> Сумма БО (ПУР), Расхождение Суммы соглашения (ПУР) и Суммы БО (ПУР) – отображает сумму соглашений</w:t>
      </w:r>
      <w:r>
        <w:t>, Индикатор соответствия Суммы соглашения (ПУР) и Суммы БО (ПУР) – отображает количество нарушений</w:t>
      </w:r>
      <w:r w:rsidRPr="009C34D1">
        <w:t>.</w:t>
      </w:r>
      <w:bookmarkEnd w:id="830"/>
    </w:p>
    <w:p w:rsidR="00FF5465" w:rsidRDefault="00FF5465" w:rsidP="00FF5465">
      <w:pPr>
        <w:pStyle w:val="af0"/>
      </w:pPr>
      <w:bookmarkStart w:id="831" w:name="_Hlk44436812"/>
      <w:r>
        <w:t>В представлении реализована возможность переходов на внешние ресурсы:</w:t>
      </w:r>
    </w:p>
    <w:p w:rsidR="00FF5465" w:rsidRPr="005F56CA" w:rsidRDefault="00FF5465" w:rsidP="00125F68">
      <w:pPr>
        <w:pStyle w:val="13"/>
      </w:pPr>
      <w:r w:rsidRPr="005F56CA">
        <w:t>«Номер реестровой записи (ПУР)» → «Показать в ПУР»;</w:t>
      </w:r>
    </w:p>
    <w:p w:rsidR="00FF5465" w:rsidRPr="005F56CA" w:rsidRDefault="00FF5465" w:rsidP="00125F68">
      <w:pPr>
        <w:pStyle w:val="13"/>
      </w:pPr>
      <w:r w:rsidRPr="005F56CA">
        <w:t>«Номер БО (ПУР)» → «Показать в ПУР».</w:t>
      </w:r>
      <w:bookmarkEnd w:id="831"/>
    </w:p>
    <w:p w:rsidR="00FF5465" w:rsidRPr="009C34D1" w:rsidRDefault="00FF5465" w:rsidP="00FF5465">
      <w:pPr>
        <w:pStyle w:val="af0"/>
      </w:pPr>
      <w:bookmarkStart w:id="832" w:name="_Toc40864468"/>
      <w:r w:rsidRPr="009C34D1">
        <w:t>Фильтры представления:</w:t>
      </w:r>
      <w:bookmarkEnd w:id="832"/>
    </w:p>
    <w:p w:rsidR="00FF5465" w:rsidRPr="009C34D1" w:rsidRDefault="00FF5465" w:rsidP="00DE1661">
      <w:pPr>
        <w:pStyle w:val="13"/>
      </w:pPr>
      <w:r w:rsidRPr="009C34D1">
        <w:rPr>
          <w:iCs/>
        </w:rPr>
        <w:t>ТОФК</w:t>
      </w:r>
      <w:r w:rsidRPr="009C34D1">
        <w:t xml:space="preserve"> – выпадающий список с перечнем территориальных отделений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FF5465" w:rsidRPr="009C34D1" w:rsidRDefault="00FF5465" w:rsidP="00DE1661">
      <w:pPr>
        <w:pStyle w:val="13"/>
      </w:pPr>
      <w:r w:rsidRPr="009C34D1">
        <w:rPr>
          <w:iCs/>
        </w:rPr>
        <w:t>ИНН получателя</w:t>
      </w:r>
      <w:r w:rsidRPr="009C34D1">
        <w:t xml:space="preserve"> – фильтрация по идентификационному номеру налогоплательщика.</w:t>
      </w:r>
    </w:p>
    <w:p w:rsidR="00FF5465" w:rsidRPr="009C34D1" w:rsidRDefault="00FF5465" w:rsidP="00DE1661">
      <w:pPr>
        <w:pStyle w:val="13"/>
      </w:pPr>
      <w:r w:rsidRPr="009C34D1">
        <w:rPr>
          <w:iCs/>
        </w:rPr>
        <w:t>Показать проблемы</w:t>
      </w:r>
      <w:r w:rsidRPr="009C34D1">
        <w:t xml:space="preserve"> – выпадающий список с перечнем возможных проблем качества распространения данных реестра соглашений на ЕПБС</w:t>
      </w:r>
      <w:r>
        <w:t>.</w:t>
      </w:r>
      <w:r w:rsidRPr="003F248F">
        <w:t xml:space="preserve"> </w:t>
      </w:r>
      <w:r>
        <w:t>По умолчанию предустановлен в значение «Есть проблемы». Параметры фильтра</w:t>
      </w:r>
      <w:r w:rsidRPr="009C34D1">
        <w:t>:</w:t>
      </w:r>
    </w:p>
    <w:p w:rsidR="00FF5465" w:rsidRPr="007265C7" w:rsidRDefault="00FF5465" w:rsidP="00125F68">
      <w:pPr>
        <w:pStyle w:val="29"/>
      </w:pPr>
      <w:r w:rsidRPr="007265C7">
        <w:t>Все;</w:t>
      </w:r>
    </w:p>
    <w:p w:rsidR="00FF5465" w:rsidRPr="007265C7" w:rsidRDefault="00FF5465" w:rsidP="00125F68">
      <w:pPr>
        <w:pStyle w:val="29"/>
      </w:pPr>
      <w:r w:rsidRPr="007265C7">
        <w:t>Есть проблемы;</w:t>
      </w:r>
    </w:p>
    <w:p w:rsidR="00FF5465" w:rsidRPr="007265C7" w:rsidRDefault="00FF5465" w:rsidP="00125F68">
      <w:pPr>
        <w:pStyle w:val="29"/>
      </w:pPr>
      <w:r w:rsidRPr="007265C7">
        <w:t>Нет проблем;</w:t>
      </w:r>
    </w:p>
    <w:p w:rsidR="00FF5465" w:rsidRPr="007265C7" w:rsidRDefault="00FF5465" w:rsidP="00125F68">
      <w:pPr>
        <w:pStyle w:val="29"/>
      </w:pPr>
      <w:r w:rsidRPr="007265C7">
        <w:t>Не соответствуют суммы соглашений</w:t>
      </w:r>
      <w:r>
        <w:t xml:space="preserve"> в</w:t>
      </w:r>
      <w:r w:rsidRPr="007265C7">
        <w:t xml:space="preserve"> ПУР и</w:t>
      </w:r>
      <w:r>
        <w:t xml:space="preserve"> на</w:t>
      </w:r>
      <w:r w:rsidRPr="007265C7">
        <w:t xml:space="preserve"> ЕПБС;</w:t>
      </w:r>
    </w:p>
    <w:p w:rsidR="00FF5465" w:rsidRPr="007265C7" w:rsidRDefault="00FF5465" w:rsidP="00125F68">
      <w:pPr>
        <w:pStyle w:val="29"/>
      </w:pPr>
      <w:r w:rsidRPr="007265C7">
        <w:t>Не соответствуют суммы соглашений в ПУР и суммы БО;</w:t>
      </w:r>
    </w:p>
    <w:p w:rsidR="00FF5465" w:rsidRPr="009C34D1" w:rsidRDefault="00FF5465" w:rsidP="00DE1661">
      <w:pPr>
        <w:pStyle w:val="13"/>
      </w:pPr>
      <w:r w:rsidRPr="009C34D1">
        <w:rPr>
          <w:iCs/>
        </w:rPr>
        <w:t>Единицы измерения</w:t>
      </w:r>
      <w:r w:rsidRPr="009C34D1">
        <w:t xml:space="preserve"> – фильтр отображения разрядов суммовых значений показателей. Фильтр имеет параметры:</w:t>
      </w:r>
    </w:p>
    <w:p w:rsidR="00FF5465" w:rsidRPr="009C34D1" w:rsidRDefault="00FF5465" w:rsidP="00125F68">
      <w:pPr>
        <w:pStyle w:val="29"/>
      </w:pPr>
      <w:r w:rsidRPr="009C34D1">
        <w:t>руб = значение суммы;</w:t>
      </w:r>
    </w:p>
    <w:p w:rsidR="00FF5465" w:rsidRPr="009C34D1" w:rsidRDefault="00FF5465" w:rsidP="00125F68">
      <w:pPr>
        <w:pStyle w:val="29"/>
      </w:pPr>
      <w:r w:rsidRPr="009C34D1">
        <w:t>тыс руб = значение показателя / 1 000;</w:t>
      </w:r>
    </w:p>
    <w:p w:rsidR="00FF5465" w:rsidRPr="009C34D1" w:rsidRDefault="00FF5465" w:rsidP="00125F68">
      <w:pPr>
        <w:pStyle w:val="29"/>
      </w:pPr>
      <w:r w:rsidRPr="009C34D1">
        <w:t>млн руб = значение показателя / 1 000 000;</w:t>
      </w:r>
    </w:p>
    <w:p w:rsidR="00FF5465" w:rsidRPr="009C34D1" w:rsidRDefault="00FF5465" w:rsidP="00125F68">
      <w:pPr>
        <w:pStyle w:val="29"/>
      </w:pPr>
      <w:r w:rsidRPr="009C34D1">
        <w:t>млрд руб = значение показателя / 1 000 000 000.</w:t>
      </w:r>
    </w:p>
    <w:p w:rsidR="00FF5465" w:rsidRPr="009C34D1" w:rsidRDefault="00FF5465" w:rsidP="00DE1661">
      <w:pPr>
        <w:pStyle w:val="13"/>
      </w:pPr>
      <w:r w:rsidRPr="009C34D1">
        <w:rPr>
          <w:iCs/>
        </w:rPr>
        <w:t>ГРБС</w:t>
      </w:r>
      <w:r w:rsidRPr="009C34D1">
        <w:t xml:space="preserve"> – выпадающий список с перечнем главных распорядителей бюджетных средств. В фильтре реализована возможность ввода кода и наименования ГРБС, а также множественный выбор параметров фильтрации. В перечне ГРБС отражены только те распорядители, по которым наличествуют соглашения в отчете.</w:t>
      </w:r>
    </w:p>
    <w:p w:rsidR="00FF5465" w:rsidRPr="009C34D1" w:rsidRDefault="00FF5465" w:rsidP="00DE1661">
      <w:pPr>
        <w:pStyle w:val="13"/>
      </w:pPr>
      <w:r w:rsidRPr="009C34D1">
        <w:rPr>
          <w:iCs/>
        </w:rPr>
        <w:t>Дата заключения</w:t>
      </w:r>
      <w:r w:rsidRPr="009C34D1">
        <w:t xml:space="preserve"> (параметр имеет два поля ввода, которые позволяют выбрать интервал дат заключения соглашений С: ДД.ММ.ГГГГ По: ДД.ММ.ГГГГ).</w:t>
      </w:r>
    </w:p>
    <w:p w:rsidR="00FF5465" w:rsidRPr="009C34D1" w:rsidRDefault="00FF5465" w:rsidP="00DE1661">
      <w:pPr>
        <w:pStyle w:val="13"/>
      </w:pPr>
      <w:r w:rsidRPr="009C34D1">
        <w:rPr>
          <w:iCs/>
        </w:rPr>
        <w:t>КБК</w:t>
      </w:r>
      <w:r w:rsidRPr="009C34D1">
        <w:t xml:space="preserve">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Реализован контекстный поиск.</w:t>
      </w:r>
    </w:p>
    <w:p w:rsidR="00FF5465" w:rsidRPr="009C34D1" w:rsidRDefault="00FF5465" w:rsidP="00DE1661">
      <w:pPr>
        <w:pStyle w:val="13"/>
      </w:pPr>
      <w:r w:rsidRPr="009C34D1">
        <w:rPr>
          <w:iCs/>
        </w:rPr>
        <w:t xml:space="preserve">Год </w:t>
      </w:r>
      <w:r>
        <w:rPr>
          <w:iCs/>
        </w:rPr>
        <w:t xml:space="preserve">последнего изменения </w:t>
      </w:r>
      <w:r w:rsidRPr="009C34D1">
        <w:rPr>
          <w:iCs/>
        </w:rPr>
        <w:t xml:space="preserve">БО </w:t>
      </w:r>
      <w:r w:rsidRPr="009C34D1">
        <w:t>–</w:t>
      </w:r>
      <w:r>
        <w:t xml:space="preserve"> </w:t>
      </w:r>
      <w:r w:rsidRPr="009C34D1">
        <w:t>год, в котором были внесены</w:t>
      </w:r>
      <w:r>
        <w:t xml:space="preserve"> последние</w:t>
      </w:r>
      <w:r w:rsidRPr="009C34D1">
        <w:t xml:space="preserve"> изменения в БО</w:t>
      </w:r>
      <w:r>
        <w:t xml:space="preserve"> (год актуализации БО</w:t>
      </w:r>
      <w:r w:rsidRPr="009C34D1">
        <w:t>).</w:t>
      </w:r>
    </w:p>
    <w:p w:rsidR="00FF5465" w:rsidRPr="009C34D1" w:rsidRDefault="00FF5465" w:rsidP="00DE1661">
      <w:pPr>
        <w:pStyle w:val="13"/>
      </w:pPr>
      <w:r w:rsidRPr="009C34D1">
        <w:rPr>
          <w:iCs/>
        </w:rPr>
        <w:t>Сумма соглашения</w:t>
      </w:r>
      <w:r w:rsidRPr="009C34D1">
        <w:t xml:space="preserve"> (параметр имеет два поля ввода, которые позволяют выбрать интервал значений От и До). В фильтре вводятся значения в руб.</w:t>
      </w:r>
    </w:p>
    <w:p w:rsidR="00FF5465" w:rsidRPr="009C34D1" w:rsidRDefault="00FF5465" w:rsidP="00DE1661">
      <w:pPr>
        <w:pStyle w:val="13"/>
      </w:pPr>
      <w:r w:rsidRPr="009C34D1">
        <w:rPr>
          <w:iCs/>
        </w:rPr>
        <w:t>Год по сроку действия соглашения</w:t>
      </w:r>
      <w:r w:rsidRPr="009C34D1">
        <w:t xml:space="preserve"> – отображает соглашения, которые попадают в интервал между датами начала и окончания действия соглашения, включая крайние границы.</w:t>
      </w:r>
    </w:p>
    <w:p w:rsidR="00FF5465" w:rsidRPr="009C34D1" w:rsidRDefault="00FF5465" w:rsidP="00DE1661">
      <w:pPr>
        <w:pStyle w:val="13"/>
      </w:pPr>
      <w:r w:rsidRPr="009C34D1">
        <w:rPr>
          <w:iCs/>
        </w:rPr>
        <w:t>Введите Уникальный реестровый номер / Номер договора</w:t>
      </w:r>
      <w:r w:rsidRPr="009C34D1">
        <w:t xml:space="preserve"> – область ввода реестрового номера соглашения, а также номера соглашения (договора, НПА).</w:t>
      </w:r>
    </w:p>
    <w:p w:rsidR="00FF5465" w:rsidRDefault="00FF5465" w:rsidP="00DE1661">
      <w:pPr>
        <w:pStyle w:val="13"/>
      </w:pPr>
      <w:r w:rsidRPr="009C34D1">
        <w:rPr>
          <w:iCs/>
        </w:rPr>
        <w:t>Национальный проект</w:t>
      </w:r>
      <w:r w:rsidRPr="009C34D1">
        <w:t xml:space="preserve"> – в фильтре реализована возможность множественного выбора нескольких значений</w:t>
      </w:r>
      <w:r>
        <w:t>.</w:t>
      </w:r>
    </w:p>
    <w:p w:rsidR="00FF5465" w:rsidRDefault="00FF5465" w:rsidP="00DE1661">
      <w:pPr>
        <w:pStyle w:val="13"/>
      </w:pPr>
      <w:r w:rsidRPr="00FF5465">
        <w:t>Макет отчета представлен на Рисунке</w:t>
      </w:r>
      <w:r w:rsidR="001F7919">
        <w:t xml:space="preserve"> </w:t>
      </w:r>
      <w:r w:rsidR="001F7919">
        <w:fldChar w:fldCharType="begin"/>
      </w:r>
      <w:r w:rsidR="001F7919">
        <w:instrText xml:space="preserve"> REF _Ref70064165 \h </w:instrText>
      </w:r>
      <w:r w:rsidR="001F7919">
        <w:fldChar w:fldCharType="separate"/>
      </w:r>
      <w:r w:rsidR="00BF0BEE">
        <w:rPr>
          <w:noProof/>
        </w:rPr>
        <w:t>205</w:t>
      </w:r>
      <w:r w:rsidR="001F7919">
        <w:fldChar w:fldCharType="end"/>
      </w:r>
      <w:r w:rsidR="001F7919">
        <w:t>.</w:t>
      </w:r>
    </w:p>
    <w:p w:rsidR="001F7919" w:rsidRDefault="001F7919" w:rsidP="00321FCA">
      <w:pPr>
        <w:pStyle w:val="afffff7"/>
      </w:pPr>
      <w:r>
        <w:rPr>
          <w:noProof/>
          <w:lang w:eastAsia="ru-RU"/>
        </w:rPr>
        <w:drawing>
          <wp:inline distT="0" distB="0" distL="0" distR="0" wp14:anchorId="3499E86E" wp14:editId="0F7690EA">
            <wp:extent cx="5939790" cy="2901541"/>
            <wp:effectExtent l="0" t="0" r="381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5939790" cy="2901541"/>
                    </a:xfrm>
                    <a:prstGeom prst="rect">
                      <a:avLst/>
                    </a:prstGeom>
                  </pic:spPr>
                </pic:pic>
              </a:graphicData>
            </a:graphic>
          </wp:inline>
        </w:drawing>
      </w:r>
    </w:p>
    <w:p w:rsidR="001F7919" w:rsidRPr="00FF5465" w:rsidRDefault="001F7919" w:rsidP="001F7919">
      <w:pPr>
        <w:pStyle w:val="-0"/>
      </w:pPr>
      <w:bookmarkStart w:id="833" w:name="_Toc119584392"/>
      <w:r>
        <w:t xml:space="preserve">Рисунок </w:t>
      </w:r>
      <w:fldSimple w:instr=" SEQ Рисунок \* ARABIC ">
        <w:bookmarkStart w:id="834" w:name="_Ref70064165"/>
        <w:r w:rsidR="001860A9">
          <w:rPr>
            <w:noProof/>
          </w:rPr>
          <w:t>205</w:t>
        </w:r>
        <w:bookmarkEnd w:id="834"/>
      </w:fldSimple>
      <w:r>
        <w:rPr>
          <w:noProof/>
        </w:rPr>
        <w:t xml:space="preserve"> –</w:t>
      </w:r>
      <w:r w:rsidRPr="009C34D1">
        <w:t xml:space="preserve"> </w:t>
      </w:r>
      <w:r>
        <w:t>Макет о</w:t>
      </w:r>
      <w:r w:rsidRPr="009C34D1">
        <w:t>тчет</w:t>
      </w:r>
      <w:r>
        <w:t>а</w:t>
      </w:r>
      <w:r w:rsidRPr="009C34D1">
        <w:t xml:space="preserve"> «Мониторинг качества распространения данных реестра соглашений на ЕПБС». Представление «Детализация по соглашениям»</w:t>
      </w:r>
      <w:bookmarkEnd w:id="833"/>
    </w:p>
    <w:p w:rsidR="00157471" w:rsidRDefault="00157471" w:rsidP="00FF5465">
      <w:pPr>
        <w:pStyle w:val="42"/>
      </w:pPr>
      <w:r>
        <w:t>Представление «Расхождение в части кассового исполнения»</w:t>
      </w:r>
      <w:bookmarkEnd w:id="829"/>
    </w:p>
    <w:p w:rsidR="00F07800" w:rsidRPr="009C34D1" w:rsidRDefault="00F07800" w:rsidP="00F07800">
      <w:pPr>
        <w:pStyle w:val="af0"/>
      </w:pPr>
      <w:bookmarkStart w:id="835" w:name="_Toc40864470"/>
      <w:r w:rsidRPr="009C34D1">
        <w:t>Представление «Расхождение в части кассового исполнения» отража</w:t>
      </w:r>
      <w:r>
        <w:t>е</w:t>
      </w:r>
      <w:r w:rsidRPr="009C34D1">
        <w:t>т сведения о сумме кассового исполнения соглашений (договоров) о предоставлении субсидий, бюджетных инвестиций, межбюджетных трансфертов в ПУР и на ЕПБС, сумме исполнения БО в ПУР, а также информацию о расхождениях между данными ПУР и ЕПБС в части данных сумм. Сведения представлены в разрезе соглашений.</w:t>
      </w:r>
      <w:bookmarkEnd w:id="835"/>
      <w:r>
        <w:t xml:space="preserve"> Данные в отчете представлены по соглашениям, у которых год последнего внесения изменения в БО больше либо равен 2018 году.</w:t>
      </w:r>
    </w:p>
    <w:p w:rsidR="00F07800" w:rsidRPr="009C34D1" w:rsidRDefault="00F07800" w:rsidP="00125F68">
      <w:pPr>
        <w:pStyle w:val="af0"/>
      </w:pPr>
      <w:r w:rsidRPr="009C34D1">
        <w:t>Атрибутный состав:</w:t>
      </w:r>
    </w:p>
    <w:p w:rsidR="00F07800" w:rsidRPr="009C34D1" w:rsidRDefault="00F07800" w:rsidP="00125F68">
      <w:pPr>
        <w:pStyle w:val="13"/>
      </w:pPr>
      <w:r w:rsidRPr="009C34D1">
        <w:t>Номер реестровой записи (ПУР);</w:t>
      </w:r>
    </w:p>
    <w:p w:rsidR="00F07800" w:rsidRPr="009C34D1" w:rsidRDefault="00F07800" w:rsidP="00125F68">
      <w:pPr>
        <w:pStyle w:val="13"/>
      </w:pPr>
      <w:r w:rsidRPr="009C34D1">
        <w:t>Перечислено (ПУР);</w:t>
      </w:r>
    </w:p>
    <w:p w:rsidR="00F07800" w:rsidRPr="009C34D1" w:rsidRDefault="00F07800" w:rsidP="00125F68">
      <w:pPr>
        <w:pStyle w:val="13"/>
      </w:pPr>
      <w:r w:rsidRPr="009C34D1">
        <w:t>Перечислено (ЕПБС);</w:t>
      </w:r>
    </w:p>
    <w:p w:rsidR="00F07800" w:rsidRPr="009C34D1" w:rsidRDefault="00F07800" w:rsidP="00125F68">
      <w:pPr>
        <w:pStyle w:val="13"/>
      </w:pPr>
      <w:r w:rsidRPr="009C34D1">
        <w:t>Расхождение между Перечислено (ПУР) и Перечислено (ЕПБС);</w:t>
      </w:r>
    </w:p>
    <w:p w:rsidR="00F07800" w:rsidRPr="009C34D1" w:rsidRDefault="00F07800" w:rsidP="00125F68">
      <w:pPr>
        <w:pStyle w:val="13"/>
      </w:pPr>
      <w:r w:rsidRPr="009C34D1">
        <w:t>Индикатор соответствия Перечислено (ПУР) и Перечислено (ЕПБС) – индикатор имеет два значения: зеленый индикатор – соответствует, красный индикатор – не соответствует;</w:t>
      </w:r>
    </w:p>
    <w:p w:rsidR="00F07800" w:rsidRPr="009C34D1" w:rsidRDefault="00F07800" w:rsidP="00125F68">
      <w:pPr>
        <w:pStyle w:val="13"/>
      </w:pPr>
      <w:r w:rsidRPr="009C34D1">
        <w:t>Номер БО (ПУР)</w:t>
      </w:r>
      <w:r>
        <w:t>.</w:t>
      </w:r>
    </w:p>
    <w:p w:rsidR="00F07800" w:rsidRPr="009C34D1" w:rsidRDefault="00F07800" w:rsidP="00125F68">
      <w:pPr>
        <w:pStyle w:val="af0"/>
      </w:pPr>
      <w:r w:rsidRPr="009C34D1">
        <w:t xml:space="preserve">В таблице представлена Итоговая строка по атрибутам: </w:t>
      </w:r>
      <w:r>
        <w:t xml:space="preserve">Номер реестровой записи (ПУР), </w:t>
      </w:r>
      <w:r w:rsidRPr="009C34D1">
        <w:t>Перечислено (ПУР), Перечислено (ЕПБС), Расхождение между Перечислено (ПУР) и Перечислено (ЕПБС), Расхождение между Перечислено (ПУР) и Исполнено БО (ПУР) – отображает сумму соглашений</w:t>
      </w:r>
      <w:r>
        <w:t>, Индикатор соответствия Перечислено (ПУР) и Перечислено (ЕПБС) – отображает количество нарушений</w:t>
      </w:r>
      <w:r w:rsidRPr="009C34D1">
        <w:t>.</w:t>
      </w:r>
    </w:p>
    <w:p w:rsidR="00F07800" w:rsidRPr="006D1D78" w:rsidRDefault="00F07800" w:rsidP="00125F68">
      <w:pPr>
        <w:pStyle w:val="af0"/>
      </w:pPr>
      <w:r w:rsidRPr="006D1D78">
        <w:t>В представлении реализована возможность переходов на внешние ресурсы:</w:t>
      </w:r>
    </w:p>
    <w:p w:rsidR="00F07800" w:rsidRPr="00C118C0" w:rsidRDefault="00F07800" w:rsidP="00125F68">
      <w:pPr>
        <w:pStyle w:val="13"/>
      </w:pPr>
      <w:r w:rsidRPr="00C118C0">
        <w:t>«Номер реестровой записи (ПУР)» → «Показать в ПУР»;</w:t>
      </w:r>
    </w:p>
    <w:p w:rsidR="00F07800" w:rsidRPr="00C118C0" w:rsidRDefault="00F07800" w:rsidP="00125F68">
      <w:pPr>
        <w:pStyle w:val="13"/>
      </w:pPr>
      <w:r w:rsidRPr="00C118C0">
        <w:t>«Номер БО (ПУР)» → «Показать в ПУР».</w:t>
      </w:r>
    </w:p>
    <w:p w:rsidR="00F07800" w:rsidRPr="009C34D1" w:rsidRDefault="00F07800" w:rsidP="00F07800">
      <w:pPr>
        <w:pStyle w:val="af0"/>
      </w:pPr>
      <w:bookmarkStart w:id="836" w:name="_Toc40864471"/>
      <w:r w:rsidRPr="009C34D1">
        <w:t>Фильтры представления:</w:t>
      </w:r>
      <w:bookmarkEnd w:id="836"/>
    </w:p>
    <w:p w:rsidR="00F07800" w:rsidRPr="009C34D1" w:rsidRDefault="00F07800" w:rsidP="00DE1661">
      <w:pPr>
        <w:pStyle w:val="13"/>
      </w:pPr>
      <w:r w:rsidRPr="009C34D1">
        <w:rPr>
          <w:iCs/>
        </w:rPr>
        <w:t>ТОФК</w:t>
      </w:r>
      <w:r w:rsidRPr="009C34D1">
        <w:t xml:space="preserve"> – выпадающий список с перечнем территориальных отделений федерального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F07800" w:rsidRPr="009C34D1" w:rsidRDefault="00F07800" w:rsidP="00DE1661">
      <w:pPr>
        <w:pStyle w:val="13"/>
      </w:pPr>
      <w:r w:rsidRPr="009C34D1">
        <w:rPr>
          <w:iCs/>
        </w:rPr>
        <w:t>ИНН получателя</w:t>
      </w:r>
      <w:r w:rsidRPr="009C34D1">
        <w:t xml:space="preserve"> – фильтрация по идентификационному номеру налогоплательщика.</w:t>
      </w:r>
    </w:p>
    <w:p w:rsidR="00F07800" w:rsidRPr="009C34D1" w:rsidRDefault="00F07800" w:rsidP="00DE1661">
      <w:pPr>
        <w:pStyle w:val="13"/>
      </w:pPr>
      <w:r w:rsidRPr="009C34D1">
        <w:rPr>
          <w:iCs/>
        </w:rPr>
        <w:t>Показать проблемы</w:t>
      </w:r>
      <w:r w:rsidRPr="009C34D1">
        <w:t xml:space="preserve"> – выпадающий список с перечнем возможных проблем качества распространения данных реестра соглашений на ЕПБС</w:t>
      </w:r>
      <w:r>
        <w:t>.</w:t>
      </w:r>
      <w:r w:rsidRPr="00040C7D">
        <w:t xml:space="preserve"> </w:t>
      </w:r>
      <w:r>
        <w:t>По умолчанию предустановлен в значение «Есть проблемы». Параметры фильтра</w:t>
      </w:r>
      <w:r w:rsidRPr="009C34D1">
        <w:t>:</w:t>
      </w:r>
    </w:p>
    <w:p w:rsidR="00F07800" w:rsidRPr="009C34D1" w:rsidRDefault="00F07800" w:rsidP="001C0C98">
      <w:pPr>
        <w:pStyle w:val="29"/>
      </w:pPr>
      <w:r w:rsidRPr="009C34D1">
        <w:t>Все;</w:t>
      </w:r>
    </w:p>
    <w:p w:rsidR="00F07800" w:rsidRPr="009C34D1" w:rsidRDefault="00F07800" w:rsidP="001C0C98">
      <w:pPr>
        <w:pStyle w:val="29"/>
      </w:pPr>
      <w:r w:rsidRPr="009C34D1">
        <w:t>Есть проблемы;</w:t>
      </w:r>
    </w:p>
    <w:p w:rsidR="00F07800" w:rsidRPr="009C34D1" w:rsidRDefault="00F07800" w:rsidP="001C0C98">
      <w:pPr>
        <w:pStyle w:val="29"/>
      </w:pPr>
      <w:r w:rsidRPr="009C34D1">
        <w:t>Нет проблем;</w:t>
      </w:r>
    </w:p>
    <w:p w:rsidR="00F07800" w:rsidRPr="009C34D1" w:rsidRDefault="00F07800" w:rsidP="001C0C98">
      <w:pPr>
        <w:pStyle w:val="29"/>
      </w:pPr>
      <w:r w:rsidRPr="009C34D1">
        <w:t>Не соответствуют перечисления в ПУР и на ЕПБС;</w:t>
      </w:r>
    </w:p>
    <w:p w:rsidR="00F07800" w:rsidRPr="009C34D1" w:rsidRDefault="00F07800" w:rsidP="00DE1661">
      <w:pPr>
        <w:pStyle w:val="13"/>
      </w:pPr>
      <w:r w:rsidRPr="009C34D1">
        <w:rPr>
          <w:iCs/>
        </w:rPr>
        <w:t>Единицы измерения</w:t>
      </w:r>
      <w:r w:rsidRPr="009C34D1">
        <w:t xml:space="preserve"> – фильтр отображения разрядов суммовых значений показателей. Фильтр имеет параметры:</w:t>
      </w:r>
    </w:p>
    <w:p w:rsidR="00F07800" w:rsidRPr="009C34D1" w:rsidRDefault="00F07800" w:rsidP="001C0C98">
      <w:pPr>
        <w:pStyle w:val="29"/>
      </w:pPr>
      <w:r w:rsidRPr="009C34D1">
        <w:t>руб = значение суммы;</w:t>
      </w:r>
    </w:p>
    <w:p w:rsidR="00F07800" w:rsidRPr="009C34D1" w:rsidRDefault="00F07800" w:rsidP="001C0C98">
      <w:pPr>
        <w:pStyle w:val="29"/>
      </w:pPr>
      <w:r w:rsidRPr="009C34D1">
        <w:t>тыс руб = значение показателя / 1 000;</w:t>
      </w:r>
    </w:p>
    <w:p w:rsidR="00F07800" w:rsidRPr="009C34D1" w:rsidRDefault="00F07800" w:rsidP="001C0C98">
      <w:pPr>
        <w:pStyle w:val="29"/>
      </w:pPr>
      <w:r w:rsidRPr="009C34D1">
        <w:t>млн руб = значение показателя / 1 000 000;</w:t>
      </w:r>
    </w:p>
    <w:p w:rsidR="00F07800" w:rsidRPr="009C34D1" w:rsidRDefault="00F07800" w:rsidP="001C0C98">
      <w:pPr>
        <w:pStyle w:val="29"/>
      </w:pPr>
      <w:r w:rsidRPr="009C34D1">
        <w:t>млрд руб = значение показателя / 1 000 000 000.</w:t>
      </w:r>
    </w:p>
    <w:p w:rsidR="00F07800" w:rsidRDefault="00F07800" w:rsidP="00DE1661">
      <w:pPr>
        <w:pStyle w:val="13"/>
      </w:pPr>
      <w:r w:rsidRPr="009C34D1">
        <w:rPr>
          <w:iCs/>
        </w:rPr>
        <w:t>ГРБС</w:t>
      </w:r>
      <w:r w:rsidRPr="009C34D1">
        <w:t xml:space="preserve"> – выпадающий список с перечнем главных распорядителей бюджетных средств. В фильтре реализована возможность ввода кода и наименования ГРБС, а также множественный выбор параметров фильтрации. В перечне ГРБС отражены только те распорядители, по которым наличествуют соглашения в отчете.</w:t>
      </w:r>
    </w:p>
    <w:p w:rsidR="00F07800" w:rsidRPr="009C34D1" w:rsidRDefault="00F07800" w:rsidP="00DE1661">
      <w:pPr>
        <w:pStyle w:val="13"/>
      </w:pPr>
      <w:r w:rsidRPr="00C118C0">
        <w:t>Дата заключения (параметр имеет два поля ввода, которые позволяют выбрать интервал дат заключения соглашений С: ДД.ММ.ГГГГ</w:t>
      </w:r>
      <w:r w:rsidRPr="009C34D1">
        <w:t xml:space="preserve"> По:</w:t>
      </w:r>
      <w:r>
        <w:t xml:space="preserve"> </w:t>
      </w:r>
      <w:r w:rsidRPr="009C34D1">
        <w:t>ДД.ММ.ГГГГ).</w:t>
      </w:r>
    </w:p>
    <w:p w:rsidR="00F07800" w:rsidRPr="009C34D1" w:rsidRDefault="00F07800" w:rsidP="00DE1661">
      <w:pPr>
        <w:pStyle w:val="13"/>
      </w:pPr>
      <w:r w:rsidRPr="009C34D1">
        <w:rPr>
          <w:iCs/>
        </w:rPr>
        <w:t>КБК</w:t>
      </w:r>
      <w:r w:rsidRPr="009C34D1">
        <w:t xml:space="preserve">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Реализован контекстный поиск.</w:t>
      </w:r>
    </w:p>
    <w:p w:rsidR="00F07800" w:rsidRPr="009C34D1" w:rsidRDefault="00F07800" w:rsidP="00DE1661">
      <w:pPr>
        <w:pStyle w:val="13"/>
      </w:pPr>
      <w:r w:rsidRPr="009C34D1">
        <w:rPr>
          <w:iCs/>
        </w:rPr>
        <w:t xml:space="preserve">Год </w:t>
      </w:r>
      <w:r>
        <w:rPr>
          <w:iCs/>
        </w:rPr>
        <w:t xml:space="preserve">последнего изменения </w:t>
      </w:r>
      <w:r w:rsidRPr="009C34D1">
        <w:rPr>
          <w:iCs/>
        </w:rPr>
        <w:t xml:space="preserve">БО </w:t>
      </w:r>
      <w:r w:rsidRPr="009C34D1">
        <w:t>–</w:t>
      </w:r>
      <w:r>
        <w:t xml:space="preserve"> </w:t>
      </w:r>
      <w:r w:rsidRPr="009C34D1">
        <w:t>год, в котором были внесены</w:t>
      </w:r>
      <w:r>
        <w:t xml:space="preserve"> последние</w:t>
      </w:r>
      <w:r w:rsidRPr="009C34D1">
        <w:t xml:space="preserve"> изменения в БО</w:t>
      </w:r>
      <w:r>
        <w:t xml:space="preserve"> (год актуализации БО</w:t>
      </w:r>
      <w:r w:rsidRPr="009C34D1">
        <w:t>).</w:t>
      </w:r>
    </w:p>
    <w:p w:rsidR="00F07800" w:rsidRPr="009C34D1" w:rsidRDefault="00F07800" w:rsidP="00DE1661">
      <w:pPr>
        <w:pStyle w:val="13"/>
      </w:pPr>
      <w:r w:rsidRPr="009C34D1">
        <w:rPr>
          <w:iCs/>
        </w:rPr>
        <w:t>Сумма соглашения</w:t>
      </w:r>
      <w:r w:rsidRPr="009C34D1">
        <w:t xml:space="preserve"> (параметр имеет два поля ввода, которые позволяют выбрать интервал значений От и До). В фильтре вводятся значения в руб.</w:t>
      </w:r>
    </w:p>
    <w:p w:rsidR="00F07800" w:rsidRPr="009C34D1" w:rsidRDefault="00F07800" w:rsidP="00DE1661">
      <w:pPr>
        <w:pStyle w:val="13"/>
      </w:pPr>
      <w:r w:rsidRPr="009C34D1">
        <w:rPr>
          <w:iCs/>
        </w:rPr>
        <w:t>Год по сроку действия соглашения</w:t>
      </w:r>
      <w:r w:rsidRPr="009C34D1">
        <w:t xml:space="preserve"> – отображает соглашения, которые попадают в интервал между датами начала и окончания действия соглашения, включая крайние границы.</w:t>
      </w:r>
    </w:p>
    <w:p w:rsidR="00F07800" w:rsidRPr="009C34D1" w:rsidRDefault="00F07800" w:rsidP="00DE1661">
      <w:pPr>
        <w:pStyle w:val="13"/>
      </w:pPr>
      <w:r w:rsidRPr="009C34D1">
        <w:rPr>
          <w:iCs/>
        </w:rPr>
        <w:t>Введите Уникальный реестровый номер / Номер договора</w:t>
      </w:r>
      <w:r w:rsidRPr="009C34D1">
        <w:t xml:space="preserve"> – область ввода реестрового номера соглашения, а также номера соглашения (договора, НПА).</w:t>
      </w:r>
    </w:p>
    <w:p w:rsidR="00F07800" w:rsidRPr="009C34D1" w:rsidRDefault="00F07800" w:rsidP="00DE1661">
      <w:pPr>
        <w:pStyle w:val="13"/>
      </w:pPr>
      <w:r w:rsidRPr="009C34D1">
        <w:rPr>
          <w:iCs/>
        </w:rPr>
        <w:t>Национальный проект</w:t>
      </w:r>
      <w:r w:rsidRPr="009C34D1">
        <w:t xml:space="preserve"> – в фильтре реализована возможность множественного выбора нескольких значений</w:t>
      </w:r>
    </w:p>
    <w:p w:rsidR="00157471" w:rsidRDefault="00F07800" w:rsidP="00F07800">
      <w:pPr>
        <w:pStyle w:val="af0"/>
      </w:pPr>
      <w:r>
        <w:t>Макет отчета представлен на Р</w:t>
      </w:r>
      <w:r w:rsidRPr="009C34D1">
        <w:t>исунке</w:t>
      </w:r>
      <w:r w:rsidR="000D2DE5">
        <w:t xml:space="preserve"> </w:t>
      </w:r>
      <w:r w:rsidR="000D2DE5">
        <w:fldChar w:fldCharType="begin"/>
      </w:r>
      <w:r w:rsidR="000D2DE5">
        <w:instrText xml:space="preserve"> REF _Ref70064512 \h </w:instrText>
      </w:r>
      <w:r w:rsidR="000D2DE5">
        <w:fldChar w:fldCharType="separate"/>
      </w:r>
      <w:r w:rsidR="00BF0BEE">
        <w:rPr>
          <w:noProof/>
        </w:rPr>
        <w:t>206</w:t>
      </w:r>
      <w:r w:rsidR="000D2DE5">
        <w:fldChar w:fldCharType="end"/>
      </w:r>
      <w:r w:rsidR="000D2DE5">
        <w:t>.</w:t>
      </w:r>
    </w:p>
    <w:p w:rsidR="000D2DE5" w:rsidRDefault="000D2DE5" w:rsidP="00321FCA">
      <w:pPr>
        <w:pStyle w:val="afffff7"/>
      </w:pPr>
      <w:r>
        <w:rPr>
          <w:noProof/>
          <w:lang w:eastAsia="ru-RU"/>
        </w:rPr>
        <w:drawing>
          <wp:inline distT="0" distB="0" distL="0" distR="0" wp14:anchorId="52A22963" wp14:editId="321AA6A3">
            <wp:extent cx="5939790" cy="2904606"/>
            <wp:effectExtent l="0" t="0" r="381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5939790" cy="2904606"/>
                    </a:xfrm>
                    <a:prstGeom prst="rect">
                      <a:avLst/>
                    </a:prstGeom>
                  </pic:spPr>
                </pic:pic>
              </a:graphicData>
            </a:graphic>
          </wp:inline>
        </w:drawing>
      </w:r>
    </w:p>
    <w:p w:rsidR="000D2DE5" w:rsidRDefault="000D2DE5" w:rsidP="000D2DE5">
      <w:pPr>
        <w:pStyle w:val="-0"/>
      </w:pPr>
      <w:bookmarkStart w:id="837" w:name="_Toc119584393"/>
      <w:r>
        <w:t xml:space="preserve">Рисунок </w:t>
      </w:r>
      <w:fldSimple w:instr=" SEQ Рисунок \* ARABIC ">
        <w:bookmarkStart w:id="838" w:name="_Ref70064512"/>
        <w:r w:rsidR="001860A9">
          <w:rPr>
            <w:noProof/>
          </w:rPr>
          <w:t>206</w:t>
        </w:r>
        <w:bookmarkEnd w:id="838"/>
      </w:fldSimple>
      <w:r>
        <w:rPr>
          <w:rFonts w:eastAsia="Calibri"/>
          <w:snapToGrid/>
          <w:lang w:eastAsia="en-US"/>
        </w:rPr>
        <w:t xml:space="preserve"> – Макет о</w:t>
      </w:r>
      <w:r w:rsidRPr="009C34D1">
        <w:t>тчет</w:t>
      </w:r>
      <w:r>
        <w:t>а</w:t>
      </w:r>
      <w:r w:rsidRPr="009C34D1">
        <w:t xml:space="preserve"> «Мониторинг качества распространения данных реестра соглашений на ЕПБС». Представление «</w:t>
      </w:r>
      <w:r>
        <w:t>Расхождение в части кассового исполнения</w:t>
      </w:r>
      <w:r w:rsidRPr="009C34D1">
        <w:t>».</w:t>
      </w:r>
      <w:bookmarkEnd w:id="837"/>
    </w:p>
    <w:p w:rsidR="005C7A89" w:rsidRDefault="005C7A89" w:rsidP="00157471">
      <w:pPr>
        <w:pStyle w:val="42"/>
      </w:pPr>
      <w:bookmarkStart w:id="839" w:name="_Toc41637829"/>
      <w:r>
        <w:t>Представление «Расхождение между графиками и исполнением»:</w:t>
      </w:r>
    </w:p>
    <w:p w:rsidR="005C7A89" w:rsidRPr="009C34D1" w:rsidRDefault="005C7A89" w:rsidP="005C7A89">
      <w:pPr>
        <w:pStyle w:val="af0"/>
      </w:pPr>
      <w:bookmarkStart w:id="840" w:name="_Toc40864476"/>
      <w:r w:rsidRPr="009C34D1">
        <w:t>Представление «Расхождение между графиками и исполнением» отража</w:t>
      </w:r>
      <w:r>
        <w:t>е</w:t>
      </w:r>
      <w:r w:rsidRPr="009C34D1">
        <w:t>т информацию о расхождении между графиком соглашения (договора) о предоставлении субсидий, бюджетных инвестиций, межбюджетных трансфертов в ПУР и на ЕПБС в разрезе лет, графиком</w:t>
      </w:r>
      <w:r>
        <w:t xml:space="preserve"> платежей</w:t>
      </w:r>
      <w:r w:rsidRPr="009C34D1">
        <w:t xml:space="preserve"> БО </w:t>
      </w:r>
      <w:r>
        <w:t xml:space="preserve"> </w:t>
      </w:r>
      <w:r w:rsidRPr="009C34D1">
        <w:t>в разрезе лет и информацией о кассовом исполнении по соглашению. Сведения представлены в разрезе соглашений.</w:t>
      </w:r>
      <w:bookmarkEnd w:id="840"/>
    </w:p>
    <w:p w:rsidR="005C7A89" w:rsidRPr="009C34D1" w:rsidRDefault="005C7A89" w:rsidP="005C7A89">
      <w:pPr>
        <w:pStyle w:val="af0"/>
      </w:pPr>
      <w:r w:rsidRPr="009C34D1">
        <w:t>Атрибутный состав:</w:t>
      </w:r>
    </w:p>
    <w:p w:rsidR="005C7A89" w:rsidRDefault="005C7A89" w:rsidP="00DE1661">
      <w:pPr>
        <w:pStyle w:val="13"/>
      </w:pPr>
      <w:r w:rsidRPr="009C34D1">
        <w:t>Номер реестровой записи (ПУР);</w:t>
      </w:r>
    </w:p>
    <w:p w:rsidR="005C7A89" w:rsidRPr="009C34D1" w:rsidRDefault="005C7A89" w:rsidP="00DE1661">
      <w:pPr>
        <w:pStyle w:val="13"/>
      </w:pPr>
      <w:r>
        <w:t>Год;</w:t>
      </w:r>
    </w:p>
    <w:p w:rsidR="005C7A89" w:rsidRPr="009C34D1" w:rsidRDefault="005C7A89" w:rsidP="00DE1661">
      <w:pPr>
        <w:pStyle w:val="13"/>
      </w:pPr>
      <w:r w:rsidRPr="009C34D1">
        <w:t>Сумма соглашения (ЕПБС);</w:t>
      </w:r>
    </w:p>
    <w:p w:rsidR="005C7A89" w:rsidRPr="009C34D1" w:rsidRDefault="005C7A89" w:rsidP="00DE1661">
      <w:pPr>
        <w:pStyle w:val="13"/>
      </w:pPr>
      <w:r w:rsidRPr="009C34D1">
        <w:t>Сумма исполнения (ЕПБС);</w:t>
      </w:r>
    </w:p>
    <w:p w:rsidR="005C7A89" w:rsidRPr="009C34D1" w:rsidRDefault="005C7A89" w:rsidP="00DE1661">
      <w:pPr>
        <w:pStyle w:val="13"/>
      </w:pPr>
      <w:r w:rsidRPr="009C34D1">
        <w:t>Расхождение между Суммой соглашения (ЕПБС) и Суммой исполнения (ЕПБС);</w:t>
      </w:r>
    </w:p>
    <w:p w:rsidR="005C7A89" w:rsidRPr="009C34D1" w:rsidRDefault="005C7A89" w:rsidP="00DE1661">
      <w:pPr>
        <w:pStyle w:val="13"/>
      </w:pPr>
      <w:r w:rsidRPr="009C34D1">
        <w:t xml:space="preserve">Индикатор соответствия суммы исполнения сумме соглашения (ЕПБС) (индикатор имеет </w:t>
      </w:r>
      <w:r>
        <w:t>четыре</w:t>
      </w:r>
      <w:r w:rsidRPr="009C34D1">
        <w:t xml:space="preserve"> значения: зеленый индикатор – соответствует, красный индикатор – не соответствует</w:t>
      </w:r>
      <w:r>
        <w:t>, желтый – в процессе исполнения, а также исполнение не начато для плановых периодов (лет), которые еще не наступили, серый –  запись на ЕПБС отсутствует</w:t>
      </w:r>
      <w:r w:rsidRPr="009C34D1">
        <w:t>);</w:t>
      </w:r>
    </w:p>
    <w:p w:rsidR="005C7A89" w:rsidRPr="009C34D1" w:rsidRDefault="005C7A89" w:rsidP="00DE1661">
      <w:pPr>
        <w:pStyle w:val="13"/>
      </w:pPr>
      <w:r w:rsidRPr="009C34D1">
        <w:t>Сумма соглашения (</w:t>
      </w:r>
      <w:r>
        <w:t>ПУР</w:t>
      </w:r>
      <w:r w:rsidRPr="009C34D1">
        <w:t>);</w:t>
      </w:r>
    </w:p>
    <w:p w:rsidR="005C7A89" w:rsidRPr="009C34D1" w:rsidRDefault="005C7A89" w:rsidP="00DE1661">
      <w:pPr>
        <w:pStyle w:val="13"/>
      </w:pPr>
      <w:r w:rsidRPr="009C34D1">
        <w:t>Сумма исполнения (</w:t>
      </w:r>
      <w:r>
        <w:t>ПУР</w:t>
      </w:r>
      <w:r w:rsidRPr="009C34D1">
        <w:t>);</w:t>
      </w:r>
    </w:p>
    <w:p w:rsidR="005C7A89" w:rsidRPr="009C34D1" w:rsidRDefault="005C7A89" w:rsidP="00DE1661">
      <w:pPr>
        <w:pStyle w:val="13"/>
      </w:pPr>
      <w:r w:rsidRPr="009C34D1">
        <w:t>Расхождение между Суммой соглашения (ПУР) и Суммой исполнения (ПУР);</w:t>
      </w:r>
    </w:p>
    <w:p w:rsidR="005C7A89" w:rsidRDefault="005C7A89" w:rsidP="00DE1661">
      <w:pPr>
        <w:pStyle w:val="13"/>
      </w:pPr>
      <w:r w:rsidRPr="009C34D1">
        <w:t xml:space="preserve">Индикатор соответствия суммы исполнения сумме соглашения (ПУР) (индикатор имеет </w:t>
      </w:r>
      <w:r>
        <w:t xml:space="preserve"> четыре</w:t>
      </w:r>
      <w:r w:rsidRPr="009C34D1">
        <w:t xml:space="preserve"> значения: </w:t>
      </w:r>
    </w:p>
    <w:p w:rsidR="005C7A89" w:rsidRDefault="005C7A89" w:rsidP="00DE1661">
      <w:pPr>
        <w:pStyle w:val="13"/>
      </w:pPr>
      <w:r w:rsidRPr="009C34D1">
        <w:t xml:space="preserve">зеленый индикатор – соответствует, </w:t>
      </w:r>
    </w:p>
    <w:p w:rsidR="005C7A89" w:rsidRDefault="005C7A89" w:rsidP="00DE1661">
      <w:pPr>
        <w:pStyle w:val="13"/>
      </w:pPr>
      <w:r w:rsidRPr="009C34D1">
        <w:t>красный индикатор – не соответствует</w:t>
      </w:r>
      <w:r>
        <w:t xml:space="preserve">, в том числе при условии, если «Год» принимает значение «Исполн. обяз. прошлых лет», а значения Суммы соглашения и Суммы исполнения не совпадают, </w:t>
      </w:r>
    </w:p>
    <w:p w:rsidR="005C7A89" w:rsidRPr="009C34D1" w:rsidRDefault="005C7A89" w:rsidP="00DE1661">
      <w:pPr>
        <w:pStyle w:val="13"/>
      </w:pPr>
      <w:r>
        <w:t>желтый индикатор – в процессе исполнения, когда Сумма исполнения меньше Суммы соглашения и «Год» принимает значение, отличное от «Исполн. обяз. прошлых лет», а также индикация для плановых периодов (лет), которые еще не наступили, серый индикатор – запись отсутствует</w:t>
      </w:r>
      <w:r w:rsidRPr="009C34D1">
        <w:t>);</w:t>
      </w:r>
    </w:p>
    <w:p w:rsidR="005C7A89" w:rsidRDefault="005C7A89" w:rsidP="00DE1661">
      <w:pPr>
        <w:pStyle w:val="13"/>
      </w:pPr>
      <w:r w:rsidRPr="009C34D1">
        <w:t>Номер БО;</w:t>
      </w:r>
    </w:p>
    <w:p w:rsidR="005C7A89" w:rsidRPr="009C34D1" w:rsidRDefault="005C7A89" w:rsidP="00DE1661">
      <w:pPr>
        <w:pStyle w:val="13"/>
      </w:pPr>
      <w:r>
        <w:t>Год по БО;</w:t>
      </w:r>
    </w:p>
    <w:p w:rsidR="005C7A89" w:rsidRPr="009C34D1" w:rsidRDefault="005C7A89" w:rsidP="00DE1661">
      <w:pPr>
        <w:pStyle w:val="13"/>
      </w:pPr>
      <w:r w:rsidRPr="009C34D1">
        <w:t>Сумма БО (ПУР);</w:t>
      </w:r>
    </w:p>
    <w:p w:rsidR="005C7A89" w:rsidRPr="009C34D1" w:rsidRDefault="005C7A89" w:rsidP="00DE1661">
      <w:pPr>
        <w:pStyle w:val="13"/>
      </w:pPr>
      <w:r w:rsidRPr="009C34D1">
        <w:t>Расхождение между Суммой БО (ПУР) и Суммой исполнения (ПУР);</w:t>
      </w:r>
    </w:p>
    <w:p w:rsidR="005C7A89" w:rsidRDefault="005C7A89" w:rsidP="00DE1661">
      <w:pPr>
        <w:pStyle w:val="13"/>
      </w:pPr>
      <w:r w:rsidRPr="009C34D1">
        <w:t xml:space="preserve">Индикатор соответствия суммы БО сумме исполнения (ПУР) (индикатор имеет </w:t>
      </w:r>
      <w:r>
        <w:t>четыре</w:t>
      </w:r>
      <w:r w:rsidRPr="009C34D1">
        <w:t xml:space="preserve"> значения:</w:t>
      </w:r>
      <w:r w:rsidRPr="00145F9C">
        <w:t xml:space="preserve"> </w:t>
      </w:r>
      <w:r w:rsidRPr="009C34D1">
        <w:t xml:space="preserve">зеленый индикатор – соответствует, </w:t>
      </w:r>
    </w:p>
    <w:p w:rsidR="005C7A89" w:rsidRDefault="005C7A89" w:rsidP="00DE1661">
      <w:pPr>
        <w:pStyle w:val="13"/>
      </w:pPr>
      <w:r w:rsidRPr="009C34D1">
        <w:t>красный индикатор – не соответствует</w:t>
      </w:r>
      <w:r>
        <w:t xml:space="preserve">, в том числе при условии, если «Год» принимает значение «Исполн. обяз. прошлых лет», а значения Суммы соглашения и Суммы исполнения не совпадают, </w:t>
      </w:r>
    </w:p>
    <w:p w:rsidR="005C7A89" w:rsidRDefault="005C7A89" w:rsidP="00DE1661">
      <w:pPr>
        <w:pStyle w:val="13"/>
      </w:pPr>
      <w:r>
        <w:t xml:space="preserve">желтый индикатор – в процессе исполнения, когда Сумма исполнения меньше Суммы соглашения и «Год» принимает значение, отличное от «Исполн. обяз. прошлых лет», а также индикация для плановых периодов (лет), которые еще не наступили, </w:t>
      </w:r>
      <w:r w:rsidRPr="00AD5269">
        <w:t xml:space="preserve"> </w:t>
      </w:r>
    </w:p>
    <w:p w:rsidR="005C7A89" w:rsidRPr="009C34D1" w:rsidRDefault="005C7A89" w:rsidP="00DE1661">
      <w:pPr>
        <w:pStyle w:val="13"/>
      </w:pPr>
      <w:r>
        <w:t>серый индикатор – запись отсутствует</w:t>
      </w:r>
      <w:r w:rsidRPr="009C34D1">
        <w:t>);</w:t>
      </w:r>
    </w:p>
    <w:p w:rsidR="005C7A89" w:rsidRPr="009C34D1" w:rsidRDefault="005C7A89" w:rsidP="005C7A89">
      <w:pPr>
        <w:pStyle w:val="af0"/>
      </w:pPr>
      <w:bookmarkStart w:id="841" w:name="_Toc40864477"/>
      <w:r w:rsidRPr="009C34D1">
        <w:t>Фильтры представления:</w:t>
      </w:r>
      <w:bookmarkEnd w:id="841"/>
    </w:p>
    <w:p w:rsidR="005C7A89" w:rsidRPr="009C34D1" w:rsidRDefault="005C7A89" w:rsidP="00DE1661">
      <w:pPr>
        <w:pStyle w:val="13"/>
      </w:pPr>
      <w:r w:rsidRPr="009C34D1">
        <w:rPr>
          <w:iCs/>
        </w:rPr>
        <w:t>ТОФК</w:t>
      </w:r>
      <w:r w:rsidRPr="009C34D1">
        <w:t xml:space="preserve"> – выпадающий список с перечнем территориальных органов </w:t>
      </w:r>
      <w:r>
        <w:t>Ф</w:t>
      </w:r>
      <w:r w:rsidRPr="009C34D1">
        <w:t>едерального казначейства. В фильтре реализована возможность ввода кода и наименования ТОФК, а также множественный выбор параметров фильтрации.</w:t>
      </w:r>
    </w:p>
    <w:p w:rsidR="005C7A89" w:rsidRPr="009C34D1" w:rsidRDefault="005C7A89" w:rsidP="00DE1661">
      <w:pPr>
        <w:pStyle w:val="13"/>
      </w:pPr>
      <w:r w:rsidRPr="009C34D1">
        <w:rPr>
          <w:iCs/>
        </w:rPr>
        <w:t>ИНН получателя</w:t>
      </w:r>
      <w:r w:rsidRPr="009C34D1">
        <w:t xml:space="preserve"> – фильтрация по идентификационному номеру налогоплательщика.</w:t>
      </w:r>
    </w:p>
    <w:p w:rsidR="005C7A89" w:rsidRPr="009C34D1" w:rsidRDefault="005C7A89" w:rsidP="00DE1661">
      <w:pPr>
        <w:pStyle w:val="13"/>
      </w:pPr>
      <w:r w:rsidRPr="009C34D1">
        <w:rPr>
          <w:iCs/>
        </w:rPr>
        <w:t>Показать проблемы</w:t>
      </w:r>
      <w:r w:rsidRPr="009C34D1">
        <w:t xml:space="preserve"> – выпадающий список с перечнем возможных проблем качества распространения данных реестра соглашений на ЕПБС:</w:t>
      </w:r>
    </w:p>
    <w:p w:rsidR="005C7A89" w:rsidRPr="009C34D1" w:rsidRDefault="005C7A89" w:rsidP="005C7A89">
      <w:pPr>
        <w:pStyle w:val="29"/>
      </w:pPr>
      <w:r w:rsidRPr="009C34D1">
        <w:t>Все;</w:t>
      </w:r>
    </w:p>
    <w:p w:rsidR="005C7A89" w:rsidRPr="009C34D1" w:rsidRDefault="005C7A89" w:rsidP="005C7A89">
      <w:pPr>
        <w:pStyle w:val="29"/>
      </w:pPr>
      <w:r w:rsidRPr="009C34D1">
        <w:t>Есть проблемы;</w:t>
      </w:r>
    </w:p>
    <w:p w:rsidR="005C7A89" w:rsidRPr="009C34D1" w:rsidRDefault="005C7A89" w:rsidP="005C7A89">
      <w:pPr>
        <w:pStyle w:val="29"/>
      </w:pPr>
      <w:r w:rsidRPr="009C34D1">
        <w:t>Нет проблем;</w:t>
      </w:r>
    </w:p>
    <w:p w:rsidR="005C7A89" w:rsidRPr="009C34D1" w:rsidRDefault="005C7A89" w:rsidP="005C7A89">
      <w:pPr>
        <w:pStyle w:val="29"/>
      </w:pPr>
      <w:r w:rsidRPr="009C34D1">
        <w:t>Не соответствует сумма соглашения по графику ЕПБС сумме перечисления ЕПБС;</w:t>
      </w:r>
    </w:p>
    <w:p w:rsidR="005C7A89" w:rsidRPr="009C34D1" w:rsidRDefault="005C7A89" w:rsidP="005C7A89">
      <w:pPr>
        <w:pStyle w:val="29"/>
      </w:pPr>
      <w:r w:rsidRPr="009C34D1">
        <w:t>Не соответствует сумма соглашения по графику ПУР сумме перечисления ПУР;</w:t>
      </w:r>
    </w:p>
    <w:p w:rsidR="005C7A89" w:rsidRPr="009C34D1" w:rsidRDefault="005C7A89" w:rsidP="005C7A89">
      <w:pPr>
        <w:pStyle w:val="29"/>
      </w:pPr>
      <w:r w:rsidRPr="009C34D1">
        <w:t>Не соответствует сумма БО по графику ПУР сумме перечисления ПУР.</w:t>
      </w:r>
    </w:p>
    <w:p w:rsidR="005C7A89" w:rsidRPr="009C34D1" w:rsidRDefault="005C7A89" w:rsidP="00DE1661">
      <w:pPr>
        <w:pStyle w:val="13"/>
      </w:pPr>
      <w:r w:rsidRPr="009C34D1">
        <w:rPr>
          <w:iCs/>
        </w:rPr>
        <w:t>Единицы измерения</w:t>
      </w:r>
      <w:r w:rsidRPr="009C34D1">
        <w:t xml:space="preserve"> – фильтр отображения разрядов суммовых значений показателей. Фильтр имеет параметры:</w:t>
      </w:r>
    </w:p>
    <w:p w:rsidR="005C7A89" w:rsidRPr="009C34D1" w:rsidRDefault="005C7A89" w:rsidP="00125F68">
      <w:pPr>
        <w:pStyle w:val="29"/>
      </w:pPr>
      <w:r w:rsidRPr="009C34D1">
        <w:t>руб = значение суммы;</w:t>
      </w:r>
    </w:p>
    <w:p w:rsidR="005C7A89" w:rsidRPr="009C34D1" w:rsidRDefault="005C7A89" w:rsidP="00125F68">
      <w:pPr>
        <w:pStyle w:val="29"/>
      </w:pPr>
      <w:r w:rsidRPr="009C34D1">
        <w:t>тыс руб = значение показателя / 1 000;</w:t>
      </w:r>
    </w:p>
    <w:p w:rsidR="005C7A89" w:rsidRPr="009C34D1" w:rsidRDefault="005C7A89" w:rsidP="00125F68">
      <w:pPr>
        <w:pStyle w:val="29"/>
      </w:pPr>
      <w:r w:rsidRPr="009C34D1">
        <w:t>млн руб = значение показателя / 1 000 000;</w:t>
      </w:r>
    </w:p>
    <w:p w:rsidR="005C7A89" w:rsidRPr="009C34D1" w:rsidRDefault="005C7A89" w:rsidP="00125F68">
      <w:pPr>
        <w:pStyle w:val="29"/>
      </w:pPr>
      <w:r w:rsidRPr="009C34D1">
        <w:t>млрд руб = значение показателя / 1 000 000 000.</w:t>
      </w:r>
    </w:p>
    <w:p w:rsidR="005C7A89" w:rsidRPr="009C34D1" w:rsidRDefault="005C7A89" w:rsidP="00DE1661">
      <w:pPr>
        <w:pStyle w:val="13"/>
      </w:pPr>
      <w:r w:rsidRPr="009C34D1">
        <w:rPr>
          <w:iCs/>
        </w:rPr>
        <w:t>ГРБС</w:t>
      </w:r>
      <w:r w:rsidRPr="009C34D1">
        <w:t xml:space="preserve"> – выпадающий список с перечнем ГРБС. В фильтре реализована возможность ввода кода и наименования ГРБС, а также множественный выбор параметров фильтрации. В перечне ГРБС отражены только те распорядители, по которым наличествуют соглашения в отчете.</w:t>
      </w:r>
    </w:p>
    <w:p w:rsidR="005C7A89" w:rsidRPr="009C34D1" w:rsidRDefault="005C7A89" w:rsidP="00DE1661">
      <w:pPr>
        <w:pStyle w:val="13"/>
      </w:pPr>
      <w:r w:rsidRPr="009C34D1">
        <w:rPr>
          <w:iCs/>
        </w:rPr>
        <w:t>Дата заключения</w:t>
      </w:r>
      <w:r w:rsidRPr="009C34D1">
        <w:t xml:space="preserve"> (параметр имеет два поля ввода, которые позволяют выбрать интервал дат заключения соглашений С: ДД.ММ.ГГГГ По: ДД.ММ.ГГГГ).</w:t>
      </w:r>
    </w:p>
    <w:p w:rsidR="005C7A89" w:rsidRPr="009C34D1" w:rsidRDefault="005C7A89" w:rsidP="00DE1661">
      <w:pPr>
        <w:pStyle w:val="13"/>
      </w:pPr>
      <w:r w:rsidRPr="009C34D1">
        <w:rPr>
          <w:iCs/>
        </w:rPr>
        <w:t>КБК</w:t>
      </w:r>
      <w:r w:rsidRPr="009C34D1">
        <w:t xml:space="preserve"> – по данному параметру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Реализован контекстный поиск.</w:t>
      </w:r>
    </w:p>
    <w:p w:rsidR="005C7A89" w:rsidRPr="009C34D1" w:rsidRDefault="005C7A89" w:rsidP="00DE1661">
      <w:pPr>
        <w:pStyle w:val="13"/>
      </w:pPr>
      <w:r w:rsidRPr="009C34D1">
        <w:rPr>
          <w:iCs/>
        </w:rPr>
        <w:t xml:space="preserve">Год </w:t>
      </w:r>
      <w:r>
        <w:rPr>
          <w:iCs/>
        </w:rPr>
        <w:t xml:space="preserve"> последнего изменения </w:t>
      </w:r>
      <w:r w:rsidRPr="009C34D1">
        <w:rPr>
          <w:iCs/>
        </w:rPr>
        <w:t xml:space="preserve">БО </w:t>
      </w:r>
      <w:r w:rsidRPr="009C34D1">
        <w:t>–</w:t>
      </w:r>
      <w:r w:rsidRPr="00CA3262">
        <w:t xml:space="preserve"> </w:t>
      </w:r>
      <w:r w:rsidRPr="009C34D1">
        <w:t>год, в котором были внесены</w:t>
      </w:r>
      <w:r>
        <w:t xml:space="preserve"> последние</w:t>
      </w:r>
      <w:r w:rsidRPr="009C34D1">
        <w:t xml:space="preserve"> изменения в БО</w:t>
      </w:r>
      <w:r>
        <w:t xml:space="preserve"> (год актуализации БО</w:t>
      </w:r>
      <w:r w:rsidRPr="009C34D1">
        <w:t>).</w:t>
      </w:r>
    </w:p>
    <w:p w:rsidR="005C7A89" w:rsidRPr="009C34D1" w:rsidRDefault="005C7A89" w:rsidP="00DE1661">
      <w:pPr>
        <w:pStyle w:val="13"/>
      </w:pPr>
      <w:r w:rsidRPr="009C34D1">
        <w:rPr>
          <w:iCs/>
        </w:rPr>
        <w:t>Сумма соглашения</w:t>
      </w:r>
      <w:r w:rsidRPr="009C34D1">
        <w:t xml:space="preserve"> (параметр имеет два поля ввода, которые позволяют выбрать интервал значений От и До). В фильтре вводятся значения в руб.</w:t>
      </w:r>
    </w:p>
    <w:p w:rsidR="005C7A89" w:rsidRPr="009C34D1" w:rsidRDefault="005C7A89" w:rsidP="00DE1661">
      <w:pPr>
        <w:pStyle w:val="13"/>
      </w:pPr>
      <w:r w:rsidRPr="009C34D1">
        <w:rPr>
          <w:iCs/>
        </w:rPr>
        <w:t>Год по сроку действия соглашения</w:t>
      </w:r>
      <w:r w:rsidRPr="009C34D1">
        <w:t xml:space="preserve"> – отображает соглашения, которые попадают в интервал между датами начала и окончания действия соглашения, включая крайние границы.</w:t>
      </w:r>
    </w:p>
    <w:p w:rsidR="005C7A89" w:rsidRPr="009C34D1" w:rsidRDefault="005C7A89" w:rsidP="00DE1661">
      <w:pPr>
        <w:pStyle w:val="13"/>
      </w:pPr>
      <w:r w:rsidRPr="009C34D1">
        <w:rPr>
          <w:iCs/>
        </w:rPr>
        <w:t>Введите Уникальный реестровый номер / Номер договора</w:t>
      </w:r>
      <w:r w:rsidRPr="009C34D1">
        <w:t xml:space="preserve"> – область ввода реестрового номера соглашения, а также номера соглашения (договора, НПА).</w:t>
      </w:r>
    </w:p>
    <w:p w:rsidR="005C7A89" w:rsidRPr="009C34D1" w:rsidRDefault="005C7A89" w:rsidP="00DE1661">
      <w:pPr>
        <w:pStyle w:val="13"/>
      </w:pPr>
      <w:r w:rsidRPr="009C34D1">
        <w:rPr>
          <w:iCs/>
        </w:rPr>
        <w:t>Национальный проект</w:t>
      </w:r>
      <w:r w:rsidRPr="009C34D1">
        <w:t xml:space="preserve"> – в фильтре реализована возможность множественного выбора нескольких значений</w:t>
      </w:r>
    </w:p>
    <w:p w:rsidR="005C7A89" w:rsidRDefault="005C7A89" w:rsidP="005C7A89">
      <w:pPr>
        <w:pStyle w:val="ac"/>
      </w:pPr>
      <w:r w:rsidRPr="009C34D1">
        <w:t xml:space="preserve">Макет отчета </w:t>
      </w:r>
      <w:r>
        <w:t>представлен на Р</w:t>
      </w:r>
      <w:r w:rsidRPr="009C34D1">
        <w:t>исунке</w:t>
      </w:r>
      <w:r>
        <w:t xml:space="preserve"> </w:t>
      </w:r>
      <w:r>
        <w:fldChar w:fldCharType="begin"/>
      </w:r>
      <w:r>
        <w:instrText xml:space="preserve"> REF _Ref70064700 \h </w:instrText>
      </w:r>
      <w:r>
        <w:fldChar w:fldCharType="separate"/>
      </w:r>
      <w:r w:rsidR="00BF0BEE">
        <w:rPr>
          <w:noProof/>
        </w:rPr>
        <w:t>207</w:t>
      </w:r>
      <w:r>
        <w:fldChar w:fldCharType="end"/>
      </w:r>
      <w:r>
        <w:t>.</w:t>
      </w:r>
    </w:p>
    <w:p w:rsidR="005C7A89" w:rsidRDefault="005C7A89" w:rsidP="00321FCA">
      <w:pPr>
        <w:pStyle w:val="afffff7"/>
      </w:pPr>
      <w:r>
        <w:rPr>
          <w:noProof/>
          <w:lang w:eastAsia="ru-RU"/>
        </w:rPr>
        <w:drawing>
          <wp:inline distT="0" distB="0" distL="0" distR="0" wp14:anchorId="437795BA" wp14:editId="5DB7EA98">
            <wp:extent cx="5939790" cy="2898475"/>
            <wp:effectExtent l="0" t="0" r="381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5939790" cy="2898475"/>
                    </a:xfrm>
                    <a:prstGeom prst="rect">
                      <a:avLst/>
                    </a:prstGeom>
                  </pic:spPr>
                </pic:pic>
              </a:graphicData>
            </a:graphic>
          </wp:inline>
        </w:drawing>
      </w:r>
    </w:p>
    <w:p w:rsidR="005C7A89" w:rsidRPr="005C7A89" w:rsidRDefault="005C7A89" w:rsidP="005C7A89">
      <w:pPr>
        <w:pStyle w:val="-0"/>
      </w:pPr>
      <w:bookmarkStart w:id="842" w:name="_Toc119584394"/>
      <w:r>
        <w:t xml:space="preserve">Рисунок </w:t>
      </w:r>
      <w:fldSimple w:instr=" SEQ Рисунок \* ARABIC ">
        <w:bookmarkStart w:id="843" w:name="_Ref70064700"/>
        <w:r w:rsidR="001860A9">
          <w:rPr>
            <w:noProof/>
          </w:rPr>
          <w:t>207</w:t>
        </w:r>
        <w:bookmarkEnd w:id="843"/>
      </w:fldSimple>
      <w:r>
        <w:rPr>
          <w:noProof/>
        </w:rPr>
        <w:t xml:space="preserve"> –</w:t>
      </w:r>
      <w:r w:rsidRPr="009C34D1">
        <w:t xml:space="preserve"> </w:t>
      </w:r>
      <w:r>
        <w:t>Макет о</w:t>
      </w:r>
      <w:r w:rsidRPr="009C34D1">
        <w:t>тчет</w:t>
      </w:r>
      <w:r>
        <w:t>а</w:t>
      </w:r>
      <w:r w:rsidRPr="009C34D1">
        <w:t xml:space="preserve"> «Мониторинг качества распространения данных реестра соглашений на ЕПБС». Представление «</w:t>
      </w:r>
      <w:r>
        <w:t>Расхождение между графиками и исполнением</w:t>
      </w:r>
      <w:r w:rsidRPr="009C34D1">
        <w:t>»</w:t>
      </w:r>
      <w:bookmarkEnd w:id="842"/>
    </w:p>
    <w:p w:rsidR="00157471" w:rsidRDefault="00157471" w:rsidP="00157471">
      <w:pPr>
        <w:pStyle w:val="42"/>
      </w:pPr>
      <w:r w:rsidRPr="0098516E">
        <w:t>Принц</w:t>
      </w:r>
      <w:r>
        <w:t>ип</w:t>
      </w:r>
      <w:r w:rsidRPr="0098516E">
        <w:t>ы работы фильтров отчета</w:t>
      </w:r>
      <w:bookmarkEnd w:id="839"/>
    </w:p>
    <w:p w:rsidR="00157471" w:rsidRDefault="00157471" w:rsidP="00157471">
      <w:pPr>
        <w:pStyle w:val="af0"/>
      </w:pPr>
      <w:bookmarkStart w:id="844" w:name="_Toc41637830"/>
      <w:r>
        <w:t>При выборе определенных значений фильтров в одном представлении в случае перехода в другие представления значения по выбранным фильтрам транслируются и в другие представления, то есть не сбрасываются до значений по умолчанию.</w:t>
      </w:r>
    </w:p>
    <w:p w:rsidR="00157471" w:rsidRDefault="00157471" w:rsidP="00157471">
      <w:pPr>
        <w:pStyle w:val="53"/>
      </w:pPr>
      <w:bookmarkStart w:id="845" w:name="_Toc41637831"/>
      <w:bookmarkEnd w:id="844"/>
      <w:r>
        <w:t>Фильтр «Показать проблемы»</w:t>
      </w:r>
      <w:bookmarkEnd w:id="845"/>
    </w:p>
    <w:p w:rsidR="00157471" w:rsidRDefault="00157471" w:rsidP="00157471">
      <w:pPr>
        <w:pStyle w:val="af0"/>
      </w:pPr>
      <w:r>
        <w:t>Фильтр «Показать проблемы»: выпадающий список с перечнем возможных проблем качества распространения данных реестра соглашений на ЕПБС:</w:t>
      </w:r>
    </w:p>
    <w:p w:rsidR="00157471" w:rsidRDefault="00157471" w:rsidP="00DE1661">
      <w:pPr>
        <w:pStyle w:val="13"/>
      </w:pPr>
      <w:r>
        <w:t>Все;</w:t>
      </w:r>
    </w:p>
    <w:p w:rsidR="00157471" w:rsidRDefault="00157471" w:rsidP="00DE1661">
      <w:pPr>
        <w:pStyle w:val="13"/>
      </w:pPr>
      <w:r>
        <w:t>Есть проблемы;</w:t>
      </w:r>
    </w:p>
    <w:p w:rsidR="00157471" w:rsidRDefault="00157471" w:rsidP="00DE1661">
      <w:pPr>
        <w:pStyle w:val="13"/>
      </w:pPr>
      <w:r>
        <w:t>Нет проблем;</w:t>
      </w:r>
    </w:p>
    <w:p w:rsidR="00157471" w:rsidRDefault="00157471" w:rsidP="00DE1661">
      <w:pPr>
        <w:pStyle w:val="13"/>
      </w:pPr>
      <w:r>
        <w:t>Не соответствует количество соглашений в ПУР и ЕПБС;</w:t>
      </w:r>
    </w:p>
    <w:p w:rsidR="00157471" w:rsidRDefault="00157471" w:rsidP="00DE1661">
      <w:pPr>
        <w:pStyle w:val="13"/>
      </w:pPr>
      <w:r>
        <w:t>Не соответствуют суммы соглашений ПУР и ЕПБС;</w:t>
      </w:r>
    </w:p>
    <w:p w:rsidR="00157471" w:rsidRDefault="00157471" w:rsidP="00DE1661">
      <w:pPr>
        <w:pStyle w:val="13"/>
      </w:pPr>
      <w:r>
        <w:t>Не соответствуют суммы соглашений в ПУР и суммы БО;</w:t>
      </w:r>
    </w:p>
    <w:p w:rsidR="00157471" w:rsidRDefault="00157471" w:rsidP="00DE1661">
      <w:pPr>
        <w:pStyle w:val="13"/>
      </w:pPr>
      <w:r>
        <w:t>Не соответствует перечисление в ПУР и на ЕПБС;</w:t>
      </w:r>
    </w:p>
    <w:p w:rsidR="00E50723" w:rsidRDefault="00E50723" w:rsidP="00E50723">
      <w:pPr>
        <w:pStyle w:val="afffff7"/>
        <w:keepNext/>
      </w:pPr>
      <w:r>
        <w:rPr>
          <w:noProof/>
          <w:lang w:eastAsia="ru-RU"/>
        </w:rPr>
        <w:drawing>
          <wp:inline distT="0" distB="0" distL="0" distR="0" wp14:anchorId="73AFA3E1" wp14:editId="342EE6B3">
            <wp:extent cx="5939790" cy="2894184"/>
            <wp:effectExtent l="0" t="0" r="3810" b="1905"/>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5939790" cy="2894184"/>
                    </a:xfrm>
                    <a:prstGeom prst="rect">
                      <a:avLst/>
                    </a:prstGeom>
                  </pic:spPr>
                </pic:pic>
              </a:graphicData>
            </a:graphic>
          </wp:inline>
        </w:drawing>
      </w:r>
    </w:p>
    <w:p w:rsidR="00157471" w:rsidRDefault="00E50723" w:rsidP="00E50723">
      <w:pPr>
        <w:pStyle w:val="-0"/>
      </w:pPr>
      <w:bookmarkStart w:id="846" w:name="_Toc119584395"/>
      <w:r>
        <w:t xml:space="preserve">Рисунок </w:t>
      </w:r>
      <w:fldSimple w:instr=" SEQ Рисунок \* ARABIC ">
        <w:r w:rsidR="001860A9">
          <w:rPr>
            <w:noProof/>
          </w:rPr>
          <w:t>208</w:t>
        </w:r>
      </w:fldSimple>
      <w:r>
        <w:t xml:space="preserve"> – Фильтр «Показать проблемы»</w:t>
      </w:r>
      <w:bookmarkEnd w:id="846"/>
    </w:p>
    <w:p w:rsidR="00157471" w:rsidRDefault="00157471" w:rsidP="00157471">
      <w:pPr>
        <w:pStyle w:val="af0"/>
      </w:pPr>
      <w:r>
        <w:t>В представлениях «ТОФК» и «ГРБС» при выборе определенной проблемы несоответствия реализована автоматическая функция скрытия колонок по не выбранным проблемам.</w:t>
      </w:r>
    </w:p>
    <w:p w:rsidR="00683086" w:rsidRDefault="00683086" w:rsidP="00683086">
      <w:pPr>
        <w:pStyle w:val="afffff7"/>
        <w:keepNext/>
      </w:pPr>
      <w:r>
        <w:rPr>
          <w:noProof/>
          <w:lang w:eastAsia="ru-RU"/>
        </w:rPr>
        <w:drawing>
          <wp:inline distT="0" distB="0" distL="0" distR="0" wp14:anchorId="06553387" wp14:editId="0DA674FF">
            <wp:extent cx="5939790" cy="2895410"/>
            <wp:effectExtent l="0" t="0" r="3810" b="635"/>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5939790" cy="2895410"/>
                    </a:xfrm>
                    <a:prstGeom prst="rect">
                      <a:avLst/>
                    </a:prstGeom>
                  </pic:spPr>
                </pic:pic>
              </a:graphicData>
            </a:graphic>
          </wp:inline>
        </w:drawing>
      </w:r>
    </w:p>
    <w:p w:rsidR="00157471" w:rsidRDefault="00683086" w:rsidP="00683086">
      <w:pPr>
        <w:pStyle w:val="-0"/>
      </w:pPr>
      <w:bookmarkStart w:id="847" w:name="_Toc119584396"/>
      <w:r>
        <w:t xml:space="preserve">Рисунок </w:t>
      </w:r>
      <w:fldSimple w:instr=" SEQ Рисунок \* ARABIC ">
        <w:r w:rsidR="001860A9">
          <w:rPr>
            <w:noProof/>
          </w:rPr>
          <w:t>209</w:t>
        </w:r>
      </w:fldSimple>
      <w:r>
        <w:t xml:space="preserve"> – «Не соответствует количество соглашений ПУР и ЕПБС»</w:t>
      </w:r>
      <w:bookmarkEnd w:id="847"/>
    </w:p>
    <w:p w:rsidR="00157471" w:rsidRDefault="00157471" w:rsidP="00157471">
      <w:pPr>
        <w:pStyle w:val="af0"/>
      </w:pPr>
      <w:r>
        <w:t>Необходимо выбрать параметр «Не соответствует количество соглашений ПУР и ЕПБС» в фильтре «Показать проблемы».</w:t>
      </w:r>
    </w:p>
    <w:p w:rsidR="00683086" w:rsidRDefault="00683086" w:rsidP="00683086">
      <w:pPr>
        <w:pStyle w:val="afffff7"/>
        <w:keepNext/>
      </w:pPr>
      <w:r>
        <w:rPr>
          <w:noProof/>
          <w:lang w:eastAsia="ru-RU"/>
        </w:rPr>
        <w:drawing>
          <wp:inline distT="0" distB="0" distL="0" distR="0" wp14:anchorId="45E321E5" wp14:editId="35981E11">
            <wp:extent cx="5939790" cy="2898475"/>
            <wp:effectExtent l="0" t="0" r="381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5939790" cy="2898475"/>
                    </a:xfrm>
                    <a:prstGeom prst="rect">
                      <a:avLst/>
                    </a:prstGeom>
                  </pic:spPr>
                </pic:pic>
              </a:graphicData>
            </a:graphic>
          </wp:inline>
        </w:drawing>
      </w:r>
    </w:p>
    <w:p w:rsidR="00157471" w:rsidRDefault="00683086" w:rsidP="00683086">
      <w:pPr>
        <w:pStyle w:val="-0"/>
      </w:pPr>
      <w:bookmarkStart w:id="848" w:name="_Toc119584397"/>
      <w:r>
        <w:t xml:space="preserve">Рисунок </w:t>
      </w:r>
      <w:fldSimple w:instr=" SEQ Рисунок \* ARABIC ">
        <w:r w:rsidR="001860A9">
          <w:rPr>
            <w:noProof/>
          </w:rPr>
          <w:t>210</w:t>
        </w:r>
      </w:fldSimple>
      <w:r>
        <w:t xml:space="preserve"> – Скрытие проблемных колонок</w:t>
      </w:r>
      <w:bookmarkEnd w:id="848"/>
    </w:p>
    <w:p w:rsidR="00157471" w:rsidRDefault="00157471" w:rsidP="00157471">
      <w:pPr>
        <w:pStyle w:val="af0"/>
      </w:pPr>
      <w:r>
        <w:t>При срабатывании по фильтру автоматически скрылись все колонки с проблемами, кроме колонки «Количество соглашений в ПУР и на ЕПБС» по выбранной проблеме «Не соответствует количество соглашений ПУР и ЕПБС». Аналогично фильтр работает и по остальным проблемам.</w:t>
      </w:r>
    </w:p>
    <w:p w:rsidR="00157471" w:rsidRDefault="00157471" w:rsidP="00157471">
      <w:pPr>
        <w:pStyle w:val="53"/>
      </w:pPr>
      <w:bookmarkStart w:id="849" w:name="_Toc41637832"/>
      <w:r>
        <w:t>Фильтр «ТОФК»</w:t>
      </w:r>
      <w:bookmarkEnd w:id="849"/>
    </w:p>
    <w:p w:rsidR="00157471" w:rsidRDefault="00157471" w:rsidP="00157471">
      <w:pPr>
        <w:pStyle w:val="af0"/>
      </w:pPr>
      <w:r>
        <w:t xml:space="preserve">Фильтр «ТОФК»: </w:t>
      </w:r>
      <w:r w:rsidRPr="00BD0D8E">
        <w:t>выпадающий список с перечнем территориальных органов федерального казначейства. В фильтре реализована возможность ввода кода и наименования ТОФК, а также множественный выбор параметров фильтрации</w:t>
      </w:r>
      <w:r>
        <w:t>.</w:t>
      </w:r>
    </w:p>
    <w:p w:rsidR="00683086" w:rsidRDefault="00683086" w:rsidP="00683086">
      <w:pPr>
        <w:pStyle w:val="afffff7"/>
        <w:keepNext/>
      </w:pPr>
      <w:r>
        <w:rPr>
          <w:noProof/>
          <w:lang w:eastAsia="ru-RU"/>
        </w:rPr>
        <w:drawing>
          <wp:inline distT="0" distB="0" distL="0" distR="0" wp14:anchorId="27C63DC8" wp14:editId="7B3CDFB2">
            <wp:extent cx="5939790" cy="2895410"/>
            <wp:effectExtent l="0" t="0" r="3810" b="635"/>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5939790" cy="2895410"/>
                    </a:xfrm>
                    <a:prstGeom prst="rect">
                      <a:avLst/>
                    </a:prstGeom>
                  </pic:spPr>
                </pic:pic>
              </a:graphicData>
            </a:graphic>
          </wp:inline>
        </w:drawing>
      </w:r>
    </w:p>
    <w:p w:rsidR="00157471" w:rsidRDefault="00683086" w:rsidP="00683086">
      <w:pPr>
        <w:pStyle w:val="-0"/>
      </w:pPr>
      <w:bookmarkStart w:id="850" w:name="_Toc119584398"/>
      <w:r>
        <w:t xml:space="preserve">Рисунок </w:t>
      </w:r>
      <w:fldSimple w:instr=" SEQ Рисунок \* ARABIC ">
        <w:r w:rsidR="001860A9">
          <w:rPr>
            <w:noProof/>
          </w:rPr>
          <w:t>211</w:t>
        </w:r>
      </w:fldSimple>
      <w:r>
        <w:t xml:space="preserve"> – Фильтр «ТОФК»</w:t>
      </w:r>
      <w:bookmarkEnd w:id="850"/>
    </w:p>
    <w:p w:rsidR="00157471" w:rsidRDefault="00157471" w:rsidP="00157471">
      <w:pPr>
        <w:pStyle w:val="af0"/>
      </w:pPr>
      <w:r>
        <w:t>Начнем ввод кода ТОФК «17..»:</w:t>
      </w:r>
    </w:p>
    <w:p w:rsidR="00683086" w:rsidRDefault="00683086" w:rsidP="00683086">
      <w:pPr>
        <w:pStyle w:val="afffff7"/>
        <w:keepNext/>
      </w:pPr>
      <w:r>
        <w:rPr>
          <w:noProof/>
          <w:lang w:eastAsia="ru-RU"/>
        </w:rPr>
        <w:drawing>
          <wp:inline distT="0" distB="0" distL="0" distR="0" wp14:anchorId="695E98C9" wp14:editId="6D18513A">
            <wp:extent cx="5939790" cy="2895410"/>
            <wp:effectExtent l="0" t="0" r="3810" b="635"/>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5939790" cy="2895410"/>
                    </a:xfrm>
                    <a:prstGeom prst="rect">
                      <a:avLst/>
                    </a:prstGeom>
                  </pic:spPr>
                </pic:pic>
              </a:graphicData>
            </a:graphic>
          </wp:inline>
        </w:drawing>
      </w:r>
    </w:p>
    <w:p w:rsidR="00157471" w:rsidRDefault="00683086" w:rsidP="00683086">
      <w:pPr>
        <w:pStyle w:val="-0"/>
      </w:pPr>
      <w:bookmarkStart w:id="851" w:name="_Toc119584399"/>
      <w:r>
        <w:t xml:space="preserve">Рисунок </w:t>
      </w:r>
      <w:fldSimple w:instr=" SEQ Рисунок \* ARABIC ">
        <w:r w:rsidR="001860A9">
          <w:rPr>
            <w:noProof/>
          </w:rPr>
          <w:t>212</w:t>
        </w:r>
      </w:fldSimple>
      <w:r>
        <w:t xml:space="preserve"> – Ввод кода в фильтр «ТОФК»</w:t>
      </w:r>
      <w:bookmarkEnd w:id="851"/>
    </w:p>
    <w:p w:rsidR="00157471" w:rsidRPr="00C21CB3" w:rsidRDefault="00157471" w:rsidP="00157471">
      <w:pPr>
        <w:pStyle w:val="af0"/>
      </w:pPr>
      <w:r w:rsidRPr="00C21CB3">
        <w:t>Таким же образом начнем ввод наименования ТОФК «Яро…»:</w:t>
      </w:r>
    </w:p>
    <w:p w:rsidR="004F7A30" w:rsidRDefault="004F7A30" w:rsidP="004F7A30">
      <w:pPr>
        <w:pStyle w:val="afffff7"/>
        <w:keepNext/>
      </w:pPr>
      <w:r>
        <w:rPr>
          <w:noProof/>
          <w:lang w:eastAsia="ru-RU"/>
        </w:rPr>
        <w:drawing>
          <wp:inline distT="0" distB="0" distL="0" distR="0" wp14:anchorId="58F101B9" wp14:editId="30DC0687">
            <wp:extent cx="5939790" cy="2895410"/>
            <wp:effectExtent l="0" t="0" r="3810" b="635"/>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5939790" cy="2895410"/>
                    </a:xfrm>
                    <a:prstGeom prst="rect">
                      <a:avLst/>
                    </a:prstGeom>
                  </pic:spPr>
                </pic:pic>
              </a:graphicData>
            </a:graphic>
          </wp:inline>
        </w:drawing>
      </w:r>
    </w:p>
    <w:p w:rsidR="00157471" w:rsidRDefault="004F7A30" w:rsidP="004F7A30">
      <w:pPr>
        <w:pStyle w:val="-0"/>
      </w:pPr>
      <w:bookmarkStart w:id="852" w:name="_Toc119584400"/>
      <w:r>
        <w:t xml:space="preserve">Рисунок </w:t>
      </w:r>
      <w:fldSimple w:instr=" SEQ Рисунок \* ARABIC ">
        <w:r w:rsidR="001860A9">
          <w:rPr>
            <w:noProof/>
          </w:rPr>
          <w:t>213</w:t>
        </w:r>
      </w:fldSimple>
      <w:r>
        <w:t xml:space="preserve"> – Ввод наименования в фильтр «ТОФК»</w:t>
      </w:r>
      <w:bookmarkEnd w:id="852"/>
    </w:p>
    <w:p w:rsidR="00157471" w:rsidRDefault="00157471" w:rsidP="00157471">
      <w:pPr>
        <w:pStyle w:val="af0"/>
      </w:pPr>
      <w:r>
        <w:t>Из выпадающего списка выберем несколько ТОФК:</w:t>
      </w:r>
    </w:p>
    <w:p w:rsidR="00F4315C" w:rsidRDefault="00F4315C" w:rsidP="00F4315C">
      <w:pPr>
        <w:pStyle w:val="-0"/>
        <w:keepNext/>
      </w:pPr>
      <w:r>
        <w:rPr>
          <w:noProof/>
          <w:snapToGrid/>
        </w:rPr>
        <w:drawing>
          <wp:inline distT="0" distB="0" distL="0" distR="0" wp14:anchorId="03F3273D" wp14:editId="2234F97F">
            <wp:extent cx="5939790" cy="2898475"/>
            <wp:effectExtent l="0" t="0" r="381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5939790" cy="2898475"/>
                    </a:xfrm>
                    <a:prstGeom prst="rect">
                      <a:avLst/>
                    </a:prstGeom>
                  </pic:spPr>
                </pic:pic>
              </a:graphicData>
            </a:graphic>
          </wp:inline>
        </w:drawing>
      </w:r>
    </w:p>
    <w:p w:rsidR="00157471" w:rsidRDefault="00F4315C" w:rsidP="00F4315C">
      <w:pPr>
        <w:pStyle w:val="-0"/>
      </w:pPr>
      <w:bookmarkStart w:id="853" w:name="_Toc119584401"/>
      <w:r>
        <w:t xml:space="preserve">Рисунок </w:t>
      </w:r>
      <w:fldSimple w:instr=" SEQ Рисунок \* ARABIC ">
        <w:r w:rsidR="001860A9">
          <w:rPr>
            <w:noProof/>
          </w:rPr>
          <w:t>214</w:t>
        </w:r>
      </w:fldSimple>
      <w:r>
        <w:t xml:space="preserve"> – Множественный выбор фильтра «ТОФК»</w:t>
      </w:r>
      <w:bookmarkEnd w:id="853"/>
    </w:p>
    <w:p w:rsidR="00157471" w:rsidRDefault="00157471" w:rsidP="00157471">
      <w:pPr>
        <w:pStyle w:val="af0"/>
      </w:pPr>
      <w:r w:rsidRPr="00C21CB3">
        <w:rPr>
          <w:rStyle w:val="af1"/>
        </w:rPr>
        <w:t>После выбора необходимых пунктов фильтра необходимо нажать левой кнопкой мыши по «пустой» области представления для того, чтобы отобразить результаты фильтрации</w:t>
      </w:r>
      <w:r>
        <w:t>:</w:t>
      </w:r>
    </w:p>
    <w:p w:rsidR="00F4315C" w:rsidRDefault="00F4315C" w:rsidP="00F4315C">
      <w:pPr>
        <w:pStyle w:val="afffff7"/>
        <w:keepNext/>
      </w:pPr>
      <w:r>
        <w:rPr>
          <w:noProof/>
          <w:lang w:eastAsia="ru-RU"/>
        </w:rPr>
        <w:drawing>
          <wp:inline distT="0" distB="0" distL="0" distR="0" wp14:anchorId="655448AA" wp14:editId="6D747F31">
            <wp:extent cx="5939790" cy="2901541"/>
            <wp:effectExtent l="0" t="0" r="381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5939790" cy="2901541"/>
                    </a:xfrm>
                    <a:prstGeom prst="rect">
                      <a:avLst/>
                    </a:prstGeom>
                  </pic:spPr>
                </pic:pic>
              </a:graphicData>
            </a:graphic>
          </wp:inline>
        </w:drawing>
      </w:r>
    </w:p>
    <w:p w:rsidR="00157471" w:rsidRDefault="00F4315C" w:rsidP="00F4315C">
      <w:pPr>
        <w:pStyle w:val="-0"/>
      </w:pPr>
      <w:bookmarkStart w:id="854" w:name="_Toc119584402"/>
      <w:r>
        <w:t xml:space="preserve">Рисунок </w:t>
      </w:r>
      <w:fldSimple w:instr=" SEQ Рисунок \* ARABIC ">
        <w:r w:rsidR="001860A9">
          <w:rPr>
            <w:noProof/>
          </w:rPr>
          <w:t>215</w:t>
        </w:r>
      </w:fldSimple>
      <w:r>
        <w:t xml:space="preserve"> – Результат работы фильтра «ТОФК»</w:t>
      </w:r>
      <w:bookmarkEnd w:id="854"/>
    </w:p>
    <w:p w:rsidR="00157471" w:rsidRDefault="00157471" w:rsidP="00157471">
      <w:pPr>
        <w:pStyle w:val="53"/>
      </w:pPr>
      <w:bookmarkStart w:id="855" w:name="_Toc41637833"/>
      <w:r>
        <w:t>Фильтр «ГРБС»</w:t>
      </w:r>
      <w:bookmarkEnd w:id="855"/>
    </w:p>
    <w:p w:rsidR="00157471" w:rsidRDefault="00157471" w:rsidP="00157471">
      <w:pPr>
        <w:pStyle w:val="af0"/>
      </w:pPr>
      <w:r>
        <w:t>Фильтр «ГРБС»:</w:t>
      </w:r>
      <w:r w:rsidRPr="00C87772">
        <w:t xml:space="preserve"> выпадающий список с перечнем ГРБС. В фильтре реализована возможность ввода кода и наименования ГРБС, а также множественный выбор параметров фильтрации</w:t>
      </w:r>
      <w:r>
        <w:t xml:space="preserve"> (Рисунок</w:t>
      </w:r>
      <w:r w:rsidR="008E2A60">
        <w:t xml:space="preserve"> </w:t>
      </w:r>
      <w:r w:rsidR="008E2A60">
        <w:fldChar w:fldCharType="begin"/>
      </w:r>
      <w:r w:rsidR="008E2A60">
        <w:instrText xml:space="preserve"> REF _Ref70066367 \h </w:instrText>
      </w:r>
      <w:r w:rsidR="008E2A60">
        <w:fldChar w:fldCharType="separate"/>
      </w:r>
      <w:r w:rsidR="00BF0BEE">
        <w:rPr>
          <w:noProof/>
        </w:rPr>
        <w:t>216</w:t>
      </w:r>
      <w:r w:rsidR="008E2A60">
        <w:fldChar w:fldCharType="end"/>
      </w:r>
      <w:r>
        <w:t>)</w:t>
      </w:r>
      <w:r w:rsidRPr="00C87772">
        <w:t>.</w:t>
      </w:r>
    </w:p>
    <w:p w:rsidR="008E2A60" w:rsidRDefault="009F4D77" w:rsidP="008E2A60">
      <w:pPr>
        <w:pStyle w:val="afffff7"/>
        <w:keepNext/>
      </w:pPr>
      <w:r>
        <w:rPr>
          <w:noProof/>
          <w:lang w:eastAsia="ru-RU"/>
        </w:rPr>
        <w:drawing>
          <wp:inline distT="0" distB="0" distL="0" distR="0" wp14:anchorId="2940680C" wp14:editId="26E467E8">
            <wp:extent cx="5939790" cy="2889280"/>
            <wp:effectExtent l="0" t="0" r="3810" b="635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5939790" cy="2889280"/>
                    </a:xfrm>
                    <a:prstGeom prst="rect">
                      <a:avLst/>
                    </a:prstGeom>
                  </pic:spPr>
                </pic:pic>
              </a:graphicData>
            </a:graphic>
          </wp:inline>
        </w:drawing>
      </w:r>
    </w:p>
    <w:p w:rsidR="00157471" w:rsidRDefault="008E2A60" w:rsidP="008E2A60">
      <w:pPr>
        <w:pStyle w:val="-0"/>
      </w:pPr>
      <w:bookmarkStart w:id="856" w:name="_Toc119584403"/>
      <w:r>
        <w:t xml:space="preserve">Рисунок </w:t>
      </w:r>
      <w:fldSimple w:instr=" SEQ Рисунок \* ARABIC ">
        <w:bookmarkStart w:id="857" w:name="_Ref70066367"/>
        <w:r w:rsidR="001860A9">
          <w:rPr>
            <w:noProof/>
          </w:rPr>
          <w:t>216</w:t>
        </w:r>
        <w:bookmarkEnd w:id="857"/>
      </w:fldSimple>
      <w:r>
        <w:t xml:space="preserve"> – Фильтр «ГРБС»</w:t>
      </w:r>
      <w:bookmarkEnd w:id="856"/>
    </w:p>
    <w:p w:rsidR="00157471" w:rsidRDefault="00157471" w:rsidP="00157471">
      <w:pPr>
        <w:pStyle w:val="af0"/>
      </w:pPr>
      <w:r>
        <w:t>В фильтре отображаются ГРБС, по которым в отчете присутствуют соглашения.</w:t>
      </w:r>
    </w:p>
    <w:p w:rsidR="00157471" w:rsidRDefault="00157471" w:rsidP="00157471">
      <w:pPr>
        <w:pStyle w:val="af0"/>
      </w:pPr>
      <w:r>
        <w:t>Принцип работы фильтр «ГРБС» аналогичен принципу работы фильтры «ТОФК».</w:t>
      </w:r>
    </w:p>
    <w:p w:rsidR="00157471" w:rsidRDefault="00157471" w:rsidP="00157471">
      <w:pPr>
        <w:pStyle w:val="53"/>
      </w:pPr>
      <w:bookmarkStart w:id="858" w:name="_Toc41637834"/>
      <w:r>
        <w:t>Поле ввода «ИНН получателя»</w:t>
      </w:r>
      <w:bookmarkEnd w:id="858"/>
    </w:p>
    <w:p w:rsidR="00157471" w:rsidRDefault="00157471" w:rsidP="00157471">
      <w:pPr>
        <w:pStyle w:val="af0"/>
      </w:pPr>
      <w:r>
        <w:t xml:space="preserve">Поле ввода «ИНН получателя»: </w:t>
      </w:r>
      <w:r w:rsidRPr="005E55AB">
        <w:t>фильтрация по идентификационному номеру налогоплательщика</w:t>
      </w:r>
      <w:r>
        <w:t xml:space="preserve"> (Рисунок </w:t>
      </w:r>
      <w:r w:rsidR="008E2A60">
        <w:fldChar w:fldCharType="begin"/>
      </w:r>
      <w:r w:rsidR="008E2A60">
        <w:instrText xml:space="preserve"> REF _Ref70066431 \h </w:instrText>
      </w:r>
      <w:r w:rsidR="008E2A60">
        <w:fldChar w:fldCharType="separate"/>
      </w:r>
      <w:r w:rsidR="00BF0BEE">
        <w:rPr>
          <w:noProof/>
        </w:rPr>
        <w:t>217</w:t>
      </w:r>
      <w:r w:rsidR="008E2A60">
        <w:fldChar w:fldCharType="end"/>
      </w:r>
      <w:r>
        <w:t>)</w:t>
      </w:r>
      <w:r w:rsidRPr="005E55AB">
        <w:t>.</w:t>
      </w:r>
    </w:p>
    <w:p w:rsidR="008E2A60" w:rsidRDefault="008E2A60" w:rsidP="008E2A60">
      <w:pPr>
        <w:pStyle w:val="afffff7"/>
        <w:keepNext/>
      </w:pPr>
      <w:r>
        <w:rPr>
          <w:noProof/>
          <w:lang w:eastAsia="ru-RU"/>
        </w:rPr>
        <w:drawing>
          <wp:inline distT="0" distB="0" distL="0" distR="0" wp14:anchorId="2372F711" wp14:editId="0C7CFB1B">
            <wp:extent cx="5939790" cy="2894184"/>
            <wp:effectExtent l="0" t="0" r="3810" b="1905"/>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5939790" cy="2894184"/>
                    </a:xfrm>
                    <a:prstGeom prst="rect">
                      <a:avLst/>
                    </a:prstGeom>
                  </pic:spPr>
                </pic:pic>
              </a:graphicData>
            </a:graphic>
          </wp:inline>
        </w:drawing>
      </w:r>
    </w:p>
    <w:p w:rsidR="00157471" w:rsidRDefault="008E2A60" w:rsidP="008E2A60">
      <w:pPr>
        <w:pStyle w:val="-0"/>
      </w:pPr>
      <w:bookmarkStart w:id="859" w:name="_Toc119584404"/>
      <w:r>
        <w:t xml:space="preserve">Рисунок </w:t>
      </w:r>
      <w:fldSimple w:instr=" SEQ Рисунок \* ARABIC ">
        <w:bookmarkStart w:id="860" w:name="_Ref70066431"/>
        <w:r w:rsidR="001860A9">
          <w:rPr>
            <w:noProof/>
          </w:rPr>
          <w:t>217</w:t>
        </w:r>
        <w:bookmarkEnd w:id="860"/>
      </w:fldSimple>
      <w:r>
        <w:t xml:space="preserve"> – Поле ввода «ИНН получателя»</w:t>
      </w:r>
      <w:bookmarkEnd w:id="859"/>
    </w:p>
    <w:p w:rsidR="00157471" w:rsidRDefault="00157471" w:rsidP="00157471">
      <w:pPr>
        <w:pStyle w:val="af0"/>
      </w:pPr>
      <w:r>
        <w:t>Введем часть ИНН получателя «540…»:</w:t>
      </w:r>
    </w:p>
    <w:p w:rsidR="008E2A60" w:rsidRDefault="008E2A60" w:rsidP="008E2A60">
      <w:pPr>
        <w:pStyle w:val="-0"/>
        <w:keepNext/>
      </w:pPr>
      <w:r>
        <w:rPr>
          <w:noProof/>
          <w:snapToGrid/>
        </w:rPr>
        <w:drawing>
          <wp:inline distT="0" distB="0" distL="0" distR="0" wp14:anchorId="31B9E991" wp14:editId="44422057">
            <wp:extent cx="5939790" cy="2898475"/>
            <wp:effectExtent l="0" t="0" r="381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5939790" cy="2898475"/>
                    </a:xfrm>
                    <a:prstGeom prst="rect">
                      <a:avLst/>
                    </a:prstGeom>
                  </pic:spPr>
                </pic:pic>
              </a:graphicData>
            </a:graphic>
          </wp:inline>
        </w:drawing>
      </w:r>
    </w:p>
    <w:p w:rsidR="00157471" w:rsidRDefault="008E2A60" w:rsidP="008E2A60">
      <w:pPr>
        <w:pStyle w:val="-0"/>
      </w:pPr>
      <w:bookmarkStart w:id="861" w:name="_Toc119584405"/>
      <w:r>
        <w:t xml:space="preserve">Рисунок </w:t>
      </w:r>
      <w:fldSimple w:instr=" SEQ Рисунок \* ARABIC ">
        <w:r w:rsidR="001860A9">
          <w:rPr>
            <w:noProof/>
          </w:rPr>
          <w:t>218</w:t>
        </w:r>
      </w:fldSimple>
      <w:r>
        <w:t xml:space="preserve"> – Результат работы фильтра «ИНН получателя»</w:t>
      </w:r>
      <w:bookmarkEnd w:id="861"/>
    </w:p>
    <w:p w:rsidR="00157471" w:rsidRDefault="00157471" w:rsidP="00157471">
      <w:pPr>
        <w:pStyle w:val="af0"/>
      </w:pPr>
      <w:r>
        <w:t>При вводе значений автоматически происходит фильтрация соглашений по ИНН получателя.</w:t>
      </w:r>
    </w:p>
    <w:p w:rsidR="00157471" w:rsidRDefault="00157471" w:rsidP="00157471">
      <w:pPr>
        <w:pStyle w:val="af0"/>
      </w:pPr>
      <w:r>
        <w:t>Для сброса параметров фильтра необходимо удалить введенное значение.</w:t>
      </w:r>
    </w:p>
    <w:p w:rsidR="00157471" w:rsidRDefault="00157471" w:rsidP="00157471">
      <w:pPr>
        <w:pStyle w:val="53"/>
      </w:pPr>
      <w:bookmarkStart w:id="862" w:name="_Toc41637835"/>
      <w:r>
        <w:t>Фильтр «Год по графику БО»</w:t>
      </w:r>
      <w:bookmarkEnd w:id="862"/>
    </w:p>
    <w:p w:rsidR="00157471" w:rsidRDefault="00157471" w:rsidP="00157471">
      <w:pPr>
        <w:pStyle w:val="af0"/>
      </w:pPr>
      <w:r>
        <w:t xml:space="preserve">Фильтр «Год </w:t>
      </w:r>
      <w:r w:rsidR="004233A8">
        <w:t>последнего изменения</w:t>
      </w:r>
      <w:r>
        <w:t xml:space="preserve"> БО»:</w:t>
      </w:r>
      <w:r w:rsidRPr="00452ECE">
        <w:t xml:space="preserve"> </w:t>
      </w:r>
      <w:r>
        <w:t>выпадающий список с перечнем годов</w:t>
      </w:r>
      <w:r w:rsidRPr="00452ECE">
        <w:t xml:space="preserve"> действия соглашения по графику </w:t>
      </w:r>
      <w:r>
        <w:t>бюджетного обязательства (Рисунок</w:t>
      </w:r>
      <w:r w:rsidR="004233A8">
        <w:t xml:space="preserve"> </w:t>
      </w:r>
      <w:r w:rsidR="004233A8">
        <w:fldChar w:fldCharType="begin"/>
      </w:r>
      <w:r w:rsidR="004233A8">
        <w:instrText xml:space="preserve"> REF _Ref70067011 \h </w:instrText>
      </w:r>
      <w:r w:rsidR="004233A8">
        <w:fldChar w:fldCharType="separate"/>
      </w:r>
      <w:r w:rsidR="00BF0BEE">
        <w:rPr>
          <w:noProof/>
        </w:rPr>
        <w:t>219</w:t>
      </w:r>
      <w:r w:rsidR="004233A8">
        <w:fldChar w:fldCharType="end"/>
      </w:r>
      <w:r>
        <w:t>).</w:t>
      </w:r>
    </w:p>
    <w:p w:rsidR="004233A8" w:rsidRDefault="004233A8" w:rsidP="004233A8">
      <w:pPr>
        <w:pStyle w:val="afffff7"/>
        <w:keepNext/>
      </w:pPr>
      <w:r>
        <w:rPr>
          <w:noProof/>
          <w:lang w:eastAsia="ru-RU"/>
        </w:rPr>
        <w:drawing>
          <wp:inline distT="0" distB="0" distL="0" distR="0" wp14:anchorId="37DF7A14" wp14:editId="135B2E41">
            <wp:extent cx="5939790" cy="2901541"/>
            <wp:effectExtent l="0" t="0" r="381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5939790" cy="2901541"/>
                    </a:xfrm>
                    <a:prstGeom prst="rect">
                      <a:avLst/>
                    </a:prstGeom>
                  </pic:spPr>
                </pic:pic>
              </a:graphicData>
            </a:graphic>
          </wp:inline>
        </w:drawing>
      </w:r>
    </w:p>
    <w:p w:rsidR="00157471" w:rsidRDefault="004233A8" w:rsidP="004233A8">
      <w:pPr>
        <w:pStyle w:val="-0"/>
      </w:pPr>
      <w:bookmarkStart w:id="863" w:name="_Toc119584406"/>
      <w:r>
        <w:t xml:space="preserve">Рисунок </w:t>
      </w:r>
      <w:fldSimple w:instr=" SEQ Рисунок \* ARABIC ">
        <w:bookmarkStart w:id="864" w:name="_Ref70067011"/>
        <w:r w:rsidR="001860A9">
          <w:rPr>
            <w:noProof/>
          </w:rPr>
          <w:t>219</w:t>
        </w:r>
        <w:bookmarkEnd w:id="864"/>
      </w:fldSimple>
      <w:r>
        <w:t xml:space="preserve"> – Фильтр «Год последнего изменения БО»</w:t>
      </w:r>
      <w:bookmarkEnd w:id="863"/>
    </w:p>
    <w:p w:rsidR="00157471" w:rsidRDefault="00157471" w:rsidP="00157471">
      <w:pPr>
        <w:pStyle w:val="53"/>
      </w:pPr>
      <w:bookmarkStart w:id="865" w:name="_Toc41637836"/>
      <w:r>
        <w:t>Фильтр «Год по сроку действия соглашения»</w:t>
      </w:r>
      <w:bookmarkEnd w:id="865"/>
    </w:p>
    <w:p w:rsidR="00157471" w:rsidRDefault="00157471" w:rsidP="00157471">
      <w:pPr>
        <w:pStyle w:val="af0"/>
      </w:pPr>
      <w:r>
        <w:t xml:space="preserve">Фильтр «Год по сроку действия соглашения»: </w:t>
      </w:r>
      <w:r w:rsidRPr="00DE33F7">
        <w:t>отображает соглашения, которые попадают в интервал между датами начала и окончания действия соглашения, включая крайние границы</w:t>
      </w:r>
      <w:r>
        <w:t xml:space="preserve"> (Рисунок</w:t>
      </w:r>
      <w:r w:rsidR="00C77C2F">
        <w:t xml:space="preserve"> </w:t>
      </w:r>
      <w:r w:rsidR="00C77C2F">
        <w:fldChar w:fldCharType="begin"/>
      </w:r>
      <w:r w:rsidR="00C77C2F">
        <w:instrText xml:space="preserve"> REF _Ref70067099 \h </w:instrText>
      </w:r>
      <w:r w:rsidR="00C77C2F">
        <w:fldChar w:fldCharType="separate"/>
      </w:r>
      <w:r w:rsidR="00BF0BEE">
        <w:rPr>
          <w:noProof/>
        </w:rPr>
        <w:t>220</w:t>
      </w:r>
      <w:r w:rsidR="00C77C2F">
        <w:fldChar w:fldCharType="end"/>
      </w:r>
      <w:r>
        <w:t>)</w:t>
      </w:r>
    </w:p>
    <w:p w:rsidR="00C77C2F" w:rsidRDefault="00C77C2F" w:rsidP="00C77C2F">
      <w:pPr>
        <w:pStyle w:val="afffff7"/>
        <w:keepNext/>
      </w:pPr>
      <w:r>
        <w:rPr>
          <w:noProof/>
          <w:lang w:eastAsia="ru-RU"/>
        </w:rPr>
        <w:drawing>
          <wp:inline distT="0" distB="0" distL="0" distR="0" wp14:anchorId="2C0A370D" wp14:editId="1EEEB37C">
            <wp:extent cx="5939790" cy="2892345"/>
            <wp:effectExtent l="0" t="0" r="3810" b="3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5939790" cy="2892345"/>
                    </a:xfrm>
                    <a:prstGeom prst="rect">
                      <a:avLst/>
                    </a:prstGeom>
                  </pic:spPr>
                </pic:pic>
              </a:graphicData>
            </a:graphic>
          </wp:inline>
        </w:drawing>
      </w:r>
    </w:p>
    <w:p w:rsidR="00157471" w:rsidRDefault="00C77C2F" w:rsidP="00C77C2F">
      <w:pPr>
        <w:pStyle w:val="afff8"/>
        <w:jc w:val="center"/>
      </w:pPr>
      <w:bookmarkStart w:id="866" w:name="_Toc119584407"/>
      <w:r>
        <w:t xml:space="preserve">Рисунок </w:t>
      </w:r>
      <w:fldSimple w:instr=" SEQ Рисунок \* ARABIC ">
        <w:bookmarkStart w:id="867" w:name="_Ref70067099"/>
        <w:r w:rsidR="001860A9">
          <w:rPr>
            <w:noProof/>
          </w:rPr>
          <w:t>220</w:t>
        </w:r>
        <w:bookmarkEnd w:id="867"/>
      </w:fldSimple>
      <w:r>
        <w:t xml:space="preserve"> – Фильтр «Год по сроку действия соглашения»</w:t>
      </w:r>
      <w:bookmarkEnd w:id="866"/>
    </w:p>
    <w:p w:rsidR="00157471" w:rsidRDefault="00157471" w:rsidP="00157471">
      <w:pPr>
        <w:pStyle w:val="53"/>
      </w:pPr>
      <w:bookmarkStart w:id="868" w:name="_Toc41637837"/>
      <w:r>
        <w:t>Фильтр «Дата заключения с: ДД.ММ.ГГГГ по: ДД.ММ.ГГГГ»:</w:t>
      </w:r>
      <w:bookmarkEnd w:id="868"/>
      <w:r>
        <w:t xml:space="preserve"> </w:t>
      </w:r>
    </w:p>
    <w:p w:rsidR="00157471" w:rsidRDefault="00157471" w:rsidP="00157471">
      <w:pPr>
        <w:pStyle w:val="af0"/>
      </w:pPr>
      <w:r>
        <w:t>П</w:t>
      </w:r>
      <w:r w:rsidRPr="00D85D0E">
        <w:t>араметр имеет два поля ввода, которые позволяют выбрать интервал дат заключения соглашений С: ДД.ММ.ГГГГ По: ДД.ММ.ГГГГ</w:t>
      </w:r>
      <w:r>
        <w:t>, тем самым ограничив выборку соглашений в отчете (Рисунок</w:t>
      </w:r>
      <w:r w:rsidR="00C77C2F">
        <w:t xml:space="preserve"> </w:t>
      </w:r>
      <w:r w:rsidR="00C77C2F">
        <w:fldChar w:fldCharType="begin"/>
      </w:r>
      <w:r w:rsidR="00C77C2F">
        <w:instrText xml:space="preserve"> REF _Ref70067162 \h </w:instrText>
      </w:r>
      <w:r w:rsidR="00C77C2F">
        <w:fldChar w:fldCharType="separate"/>
      </w:r>
      <w:r w:rsidR="00BF0BEE">
        <w:rPr>
          <w:noProof/>
        </w:rPr>
        <w:t>221</w:t>
      </w:r>
      <w:r w:rsidR="00C77C2F">
        <w:fldChar w:fldCharType="end"/>
      </w:r>
      <w:r>
        <w:t>).</w:t>
      </w:r>
    </w:p>
    <w:p w:rsidR="00C77C2F" w:rsidRDefault="00C77C2F" w:rsidP="00C77C2F">
      <w:pPr>
        <w:pStyle w:val="afffff7"/>
        <w:keepNext/>
      </w:pPr>
      <w:r>
        <w:rPr>
          <w:noProof/>
          <w:lang w:eastAsia="ru-RU"/>
        </w:rPr>
        <w:drawing>
          <wp:inline distT="0" distB="0" distL="0" distR="0" wp14:anchorId="466853A5" wp14:editId="2B5DB23D">
            <wp:extent cx="5939790" cy="2894184"/>
            <wp:effectExtent l="0" t="0" r="381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5939790" cy="2894184"/>
                    </a:xfrm>
                    <a:prstGeom prst="rect">
                      <a:avLst/>
                    </a:prstGeom>
                  </pic:spPr>
                </pic:pic>
              </a:graphicData>
            </a:graphic>
          </wp:inline>
        </w:drawing>
      </w:r>
    </w:p>
    <w:p w:rsidR="00157471" w:rsidRDefault="00C77C2F" w:rsidP="00C77C2F">
      <w:pPr>
        <w:pStyle w:val="-0"/>
      </w:pPr>
      <w:bookmarkStart w:id="869" w:name="_Toc119584408"/>
      <w:r>
        <w:t xml:space="preserve">Рисунок </w:t>
      </w:r>
      <w:fldSimple w:instr=" SEQ Рисунок \* ARABIC ">
        <w:bookmarkStart w:id="870" w:name="_Ref70067162"/>
        <w:r w:rsidR="001860A9">
          <w:rPr>
            <w:noProof/>
          </w:rPr>
          <w:t>221</w:t>
        </w:r>
        <w:bookmarkEnd w:id="870"/>
      </w:fldSimple>
      <w:r>
        <w:t xml:space="preserve"> – </w:t>
      </w:r>
      <w:r w:rsidRPr="00DF00AE">
        <w:t>Фильтр «Дата заключения с: ДД.ММ.ГГГГ по: ДД.ММ.ГГГГ»</w:t>
      </w:r>
      <w:bookmarkEnd w:id="869"/>
    </w:p>
    <w:p w:rsidR="00157471" w:rsidRDefault="00157471" w:rsidP="00157471">
      <w:pPr>
        <w:pStyle w:val="53"/>
      </w:pPr>
      <w:bookmarkStart w:id="871" w:name="_Toc41637838"/>
      <w:r>
        <w:t>Фильтр «Сумма соглашения, руб. От: … До: …»</w:t>
      </w:r>
      <w:bookmarkEnd w:id="871"/>
    </w:p>
    <w:p w:rsidR="00157471" w:rsidRDefault="00157471" w:rsidP="00157471">
      <w:pPr>
        <w:pStyle w:val="af0"/>
      </w:pPr>
      <w:r>
        <w:t>П</w:t>
      </w:r>
      <w:r w:rsidRPr="007C1AAA">
        <w:t xml:space="preserve">араметр имеет два поля ввода, которые позволяют выбрать интервал значений От и До </w:t>
      </w:r>
      <w:r>
        <w:t>для отсечения соглашений по суммам, не входящих в заданный интервал (Рисунок</w:t>
      </w:r>
      <w:r w:rsidR="00EF7656">
        <w:t xml:space="preserve"> </w:t>
      </w:r>
      <w:r w:rsidR="00EF7656">
        <w:fldChar w:fldCharType="begin"/>
      </w:r>
      <w:r w:rsidR="00EF7656">
        <w:instrText xml:space="preserve"> REF _Ref70067262 \h </w:instrText>
      </w:r>
      <w:r w:rsidR="00EF7656">
        <w:fldChar w:fldCharType="separate"/>
      </w:r>
      <w:r w:rsidR="00BF0BEE">
        <w:rPr>
          <w:noProof/>
        </w:rPr>
        <w:t>222</w:t>
      </w:r>
      <w:r w:rsidR="00EF7656">
        <w:fldChar w:fldCharType="end"/>
      </w:r>
      <w:r>
        <w:t>).</w:t>
      </w:r>
    </w:p>
    <w:p w:rsidR="00EF7656" w:rsidRDefault="00EF7656" w:rsidP="00EF7656">
      <w:pPr>
        <w:pStyle w:val="afffff7"/>
        <w:keepNext/>
      </w:pPr>
      <w:r>
        <w:rPr>
          <w:noProof/>
          <w:lang w:eastAsia="ru-RU"/>
        </w:rPr>
        <w:drawing>
          <wp:inline distT="0" distB="0" distL="0" distR="0" wp14:anchorId="448BAB12" wp14:editId="3D2EB45F">
            <wp:extent cx="5939790" cy="2892345"/>
            <wp:effectExtent l="0" t="0" r="3810" b="381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5939790" cy="2892345"/>
                    </a:xfrm>
                    <a:prstGeom prst="rect">
                      <a:avLst/>
                    </a:prstGeom>
                  </pic:spPr>
                </pic:pic>
              </a:graphicData>
            </a:graphic>
          </wp:inline>
        </w:drawing>
      </w:r>
    </w:p>
    <w:p w:rsidR="00157471" w:rsidRDefault="00EF7656" w:rsidP="00EF7656">
      <w:pPr>
        <w:pStyle w:val="-0"/>
      </w:pPr>
      <w:bookmarkStart w:id="872" w:name="_Toc119584409"/>
      <w:r>
        <w:t xml:space="preserve">Рисунок </w:t>
      </w:r>
      <w:fldSimple w:instr=" SEQ Рисунок \* ARABIC ">
        <w:bookmarkStart w:id="873" w:name="_Ref70067262"/>
        <w:r w:rsidR="001860A9">
          <w:rPr>
            <w:noProof/>
          </w:rPr>
          <w:t>222</w:t>
        </w:r>
        <w:bookmarkEnd w:id="873"/>
      </w:fldSimple>
      <w:r>
        <w:t xml:space="preserve"> – </w:t>
      </w:r>
      <w:r w:rsidRPr="00451307">
        <w:t>Фильтр «Сумма соглашения, руб. От: … До: …»</w:t>
      </w:r>
      <w:bookmarkEnd w:id="872"/>
    </w:p>
    <w:p w:rsidR="00157471" w:rsidRDefault="00157471" w:rsidP="00157471">
      <w:pPr>
        <w:pStyle w:val="af0"/>
      </w:pPr>
      <w:r>
        <w:t>При вводе значений в данный фильтр автоматически происходит отсечение из выборки соглашений, не входящих в заданный интервал.</w:t>
      </w:r>
    </w:p>
    <w:p w:rsidR="00157471" w:rsidRDefault="00157471" w:rsidP="00157471">
      <w:pPr>
        <w:pStyle w:val="af0"/>
      </w:pPr>
      <w:r>
        <w:t>Для сброса настроек фильтра необходимо ввести значения 0 в поля ввода (Рисунок</w:t>
      </w:r>
      <w:r w:rsidR="00EF7656">
        <w:t xml:space="preserve"> </w:t>
      </w:r>
      <w:r w:rsidR="00EF7656">
        <w:fldChar w:fldCharType="begin"/>
      </w:r>
      <w:r w:rsidR="00EF7656">
        <w:instrText xml:space="preserve"> REF _Ref70067332 \h </w:instrText>
      </w:r>
      <w:r w:rsidR="00EF7656">
        <w:fldChar w:fldCharType="separate"/>
      </w:r>
      <w:r w:rsidR="00BF0BEE">
        <w:rPr>
          <w:noProof/>
        </w:rPr>
        <w:t>223</w:t>
      </w:r>
      <w:r w:rsidR="00EF7656">
        <w:fldChar w:fldCharType="end"/>
      </w:r>
      <w:r>
        <w:t>)</w:t>
      </w:r>
    </w:p>
    <w:p w:rsidR="00EF7656" w:rsidRDefault="00EF7656" w:rsidP="00EF7656">
      <w:pPr>
        <w:pStyle w:val="afffff7"/>
        <w:keepNext/>
      </w:pPr>
      <w:r>
        <w:rPr>
          <w:noProof/>
          <w:lang w:eastAsia="ru-RU"/>
        </w:rPr>
        <w:drawing>
          <wp:inline distT="0" distB="0" distL="0" distR="0" wp14:anchorId="43CA6A64" wp14:editId="47605BEA">
            <wp:extent cx="5939790" cy="2894184"/>
            <wp:effectExtent l="0" t="0" r="3810" b="190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5939790" cy="2894184"/>
                    </a:xfrm>
                    <a:prstGeom prst="rect">
                      <a:avLst/>
                    </a:prstGeom>
                  </pic:spPr>
                </pic:pic>
              </a:graphicData>
            </a:graphic>
          </wp:inline>
        </w:drawing>
      </w:r>
    </w:p>
    <w:p w:rsidR="00157471" w:rsidRDefault="00EF7656" w:rsidP="00EF7656">
      <w:pPr>
        <w:pStyle w:val="-0"/>
      </w:pPr>
      <w:bookmarkStart w:id="874" w:name="_Toc119584410"/>
      <w:r>
        <w:t xml:space="preserve">Рисунок </w:t>
      </w:r>
      <w:fldSimple w:instr=" SEQ Рисунок \* ARABIC ">
        <w:bookmarkStart w:id="875" w:name="_Ref70067332"/>
        <w:r w:rsidR="001860A9">
          <w:rPr>
            <w:noProof/>
          </w:rPr>
          <w:t>223</w:t>
        </w:r>
        <w:bookmarkEnd w:id="875"/>
      </w:fldSimple>
      <w:r>
        <w:t xml:space="preserve"> – Сброс настроек фильтра </w:t>
      </w:r>
      <w:r w:rsidRPr="00451307">
        <w:t>«Сумма соглашения, руб. От: … До: …»</w:t>
      </w:r>
      <w:bookmarkEnd w:id="874"/>
    </w:p>
    <w:p w:rsidR="00157471" w:rsidRDefault="00157471" w:rsidP="00157471">
      <w:pPr>
        <w:pStyle w:val="53"/>
      </w:pPr>
      <w:bookmarkStart w:id="876" w:name="_Toc41637839"/>
      <w:r>
        <w:t>Фильтр «Единицы измерения»</w:t>
      </w:r>
      <w:bookmarkEnd w:id="876"/>
    </w:p>
    <w:p w:rsidR="00157471" w:rsidRDefault="00157471" w:rsidP="00157471">
      <w:pPr>
        <w:pStyle w:val="af0"/>
      </w:pPr>
      <w:r>
        <w:t>Фильтр «Единицы измерения»: фильтр отображения разрядов суммовых значений показателей. Фильтр имеет параметры:</w:t>
      </w:r>
    </w:p>
    <w:p w:rsidR="00157471" w:rsidRDefault="00157471" w:rsidP="00DE1661">
      <w:pPr>
        <w:pStyle w:val="13"/>
      </w:pPr>
      <w:r>
        <w:t>руб. = значение суммы;</w:t>
      </w:r>
    </w:p>
    <w:p w:rsidR="00157471" w:rsidRDefault="00157471" w:rsidP="00DE1661">
      <w:pPr>
        <w:pStyle w:val="13"/>
      </w:pPr>
      <w:r>
        <w:t>тыс. руб. = значение показателя / 1 000;</w:t>
      </w:r>
    </w:p>
    <w:p w:rsidR="00157471" w:rsidRDefault="00157471" w:rsidP="00DE1661">
      <w:pPr>
        <w:pStyle w:val="13"/>
      </w:pPr>
      <w:r>
        <w:t>млн руб. = значение показателя / 1 000 000;</w:t>
      </w:r>
    </w:p>
    <w:p w:rsidR="00157471" w:rsidRDefault="00157471" w:rsidP="00DE1661">
      <w:pPr>
        <w:pStyle w:val="13"/>
      </w:pPr>
      <w:r>
        <w:t>млрд руб. = значение показателя / 1 000 000 000.</w:t>
      </w:r>
    </w:p>
    <w:p w:rsidR="00157471" w:rsidRDefault="00157471" w:rsidP="00157471">
      <w:pPr>
        <w:pStyle w:val="af0"/>
      </w:pPr>
      <w:r>
        <w:t>По умолчанию во всех представлениях фильтр установлен в «млн руб.»:</w:t>
      </w:r>
    </w:p>
    <w:p w:rsidR="004A52C5" w:rsidRDefault="004A52C5" w:rsidP="004A52C5">
      <w:pPr>
        <w:pStyle w:val="afffff7"/>
        <w:keepNext/>
      </w:pPr>
      <w:r>
        <w:rPr>
          <w:noProof/>
          <w:lang w:eastAsia="ru-RU"/>
        </w:rPr>
        <w:drawing>
          <wp:inline distT="0" distB="0" distL="0" distR="0" wp14:anchorId="56B2F4D3" wp14:editId="2A67342C">
            <wp:extent cx="5939790" cy="2897249"/>
            <wp:effectExtent l="0" t="0" r="381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5939790" cy="2897249"/>
                    </a:xfrm>
                    <a:prstGeom prst="rect">
                      <a:avLst/>
                    </a:prstGeom>
                  </pic:spPr>
                </pic:pic>
              </a:graphicData>
            </a:graphic>
          </wp:inline>
        </w:drawing>
      </w:r>
    </w:p>
    <w:p w:rsidR="00157471" w:rsidRDefault="004A52C5" w:rsidP="004A52C5">
      <w:pPr>
        <w:pStyle w:val="-0"/>
      </w:pPr>
      <w:bookmarkStart w:id="877" w:name="_Toc119584411"/>
      <w:r>
        <w:t xml:space="preserve">Рисунок </w:t>
      </w:r>
      <w:fldSimple w:instr=" SEQ Рисунок \* ARABIC ">
        <w:r w:rsidR="001860A9">
          <w:rPr>
            <w:noProof/>
          </w:rPr>
          <w:t>224</w:t>
        </w:r>
      </w:fldSimple>
      <w:r>
        <w:t xml:space="preserve"> – Фильтр «Единицы измерения»</w:t>
      </w:r>
      <w:bookmarkEnd w:id="877"/>
    </w:p>
    <w:p w:rsidR="00157471" w:rsidRDefault="00157471" w:rsidP="00157471">
      <w:pPr>
        <w:pStyle w:val="af0"/>
      </w:pPr>
      <w:r>
        <w:t>Сменим значение параметра фильтра на «руб.»:</w:t>
      </w:r>
    </w:p>
    <w:p w:rsidR="00747D5E" w:rsidRDefault="00747D5E" w:rsidP="00747D5E">
      <w:pPr>
        <w:pStyle w:val="afffff7"/>
        <w:keepNext/>
      </w:pPr>
      <w:r>
        <w:rPr>
          <w:noProof/>
          <w:lang w:eastAsia="ru-RU"/>
        </w:rPr>
        <w:drawing>
          <wp:inline distT="0" distB="0" distL="0" distR="0" wp14:anchorId="54493694" wp14:editId="17BFA741">
            <wp:extent cx="5939790" cy="2895410"/>
            <wp:effectExtent l="0" t="0" r="3810" b="635"/>
            <wp:docPr id="5737" name="Рисунок 5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5939790" cy="2895410"/>
                    </a:xfrm>
                    <a:prstGeom prst="rect">
                      <a:avLst/>
                    </a:prstGeom>
                  </pic:spPr>
                </pic:pic>
              </a:graphicData>
            </a:graphic>
          </wp:inline>
        </w:drawing>
      </w:r>
    </w:p>
    <w:p w:rsidR="00157471" w:rsidRDefault="00747D5E" w:rsidP="00747D5E">
      <w:pPr>
        <w:pStyle w:val="-0"/>
      </w:pPr>
      <w:bookmarkStart w:id="878" w:name="_Toc119584412"/>
      <w:r>
        <w:t xml:space="preserve">Рисунок </w:t>
      </w:r>
      <w:fldSimple w:instr=" SEQ Рисунок \* ARABIC ">
        <w:r w:rsidR="001860A9">
          <w:rPr>
            <w:noProof/>
          </w:rPr>
          <w:t>225</w:t>
        </w:r>
      </w:fldSimple>
      <w:r>
        <w:t xml:space="preserve"> – Изменение параметра фильтра «Единицы измерения»</w:t>
      </w:r>
      <w:bookmarkEnd w:id="878"/>
    </w:p>
    <w:p w:rsidR="00157471" w:rsidRDefault="00157471" w:rsidP="00157471">
      <w:pPr>
        <w:pStyle w:val="53"/>
      </w:pPr>
      <w:bookmarkStart w:id="879" w:name="_Toc41637840"/>
      <w:r>
        <w:t>Поле ввода «Введите Уникальный реестровый номер / Номер соглашения»</w:t>
      </w:r>
      <w:bookmarkEnd w:id="879"/>
    </w:p>
    <w:p w:rsidR="00157471" w:rsidRDefault="00157471" w:rsidP="00157471">
      <w:pPr>
        <w:pStyle w:val="af0"/>
      </w:pPr>
      <w:r>
        <w:t xml:space="preserve">Поле ввода «Введите Уникальный реестровый номер / Номер соглашения»: </w:t>
      </w:r>
      <w:r w:rsidRPr="001B2B88">
        <w:t>область ввода реестрового номера соглашения, а также номера соглашения (договора, НПА)</w:t>
      </w:r>
      <w:r>
        <w:t>:</w:t>
      </w:r>
    </w:p>
    <w:p w:rsidR="00157471" w:rsidRDefault="00157471" w:rsidP="00157471">
      <w:pPr>
        <w:pStyle w:val="af0"/>
      </w:pPr>
      <w:r>
        <w:t>Введем часть значения Уникального реестрового номера «074…»:</w:t>
      </w:r>
    </w:p>
    <w:p w:rsidR="00747D5E" w:rsidRDefault="00747D5E" w:rsidP="00747D5E">
      <w:pPr>
        <w:pStyle w:val="afffff7"/>
        <w:keepNext/>
      </w:pPr>
      <w:r>
        <w:rPr>
          <w:noProof/>
          <w:lang w:eastAsia="ru-RU"/>
        </w:rPr>
        <w:drawing>
          <wp:inline distT="0" distB="0" distL="0" distR="0" wp14:anchorId="2E803A23" wp14:editId="08431C2C">
            <wp:extent cx="5939790" cy="2897249"/>
            <wp:effectExtent l="0" t="0" r="3810" b="0"/>
            <wp:docPr id="5739" name="Рисунок 5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5939790" cy="2897249"/>
                    </a:xfrm>
                    <a:prstGeom prst="rect">
                      <a:avLst/>
                    </a:prstGeom>
                  </pic:spPr>
                </pic:pic>
              </a:graphicData>
            </a:graphic>
          </wp:inline>
        </w:drawing>
      </w:r>
    </w:p>
    <w:p w:rsidR="00157471" w:rsidRDefault="00747D5E" w:rsidP="00747D5E">
      <w:pPr>
        <w:pStyle w:val="-0"/>
      </w:pPr>
      <w:bookmarkStart w:id="880" w:name="_Toc119584413"/>
      <w:r>
        <w:t xml:space="preserve">Рисунок </w:t>
      </w:r>
      <w:fldSimple w:instr=" SEQ Рисунок \* ARABIC ">
        <w:r w:rsidR="001860A9">
          <w:rPr>
            <w:noProof/>
          </w:rPr>
          <w:t>226</w:t>
        </w:r>
      </w:fldSimple>
      <w:r>
        <w:t xml:space="preserve"> – Поле ввода «Введите Уникальный реестровый номер / Номер соглашения»</w:t>
      </w:r>
      <w:bookmarkEnd w:id="880"/>
    </w:p>
    <w:p w:rsidR="00157471" w:rsidRDefault="00157471" w:rsidP="00157471">
      <w:pPr>
        <w:pStyle w:val="af0"/>
      </w:pPr>
      <w:r>
        <w:t>Происходит автоматическая фильтрация соглашений по заданному параметру. Стоит отметить, что в выборку попали как соглашения, у которых Уникальный реестровый номер содержит значение «074», так и соглашения, у которых в номере соглашения (договора, НПА) содержится значение «074».</w:t>
      </w:r>
    </w:p>
    <w:p w:rsidR="00157471" w:rsidRDefault="00157471" w:rsidP="00157471">
      <w:pPr>
        <w:pStyle w:val="af0"/>
      </w:pPr>
      <w:r>
        <w:t>Для сброса параметров фильтра необходимо удалить введенное значение.</w:t>
      </w:r>
    </w:p>
    <w:p w:rsidR="00157471" w:rsidRDefault="00157471" w:rsidP="00157471">
      <w:pPr>
        <w:pStyle w:val="53"/>
      </w:pPr>
      <w:bookmarkStart w:id="881" w:name="_Toc41637841"/>
      <w:r>
        <w:t>Фильтр «КБК»</w:t>
      </w:r>
      <w:bookmarkEnd w:id="881"/>
    </w:p>
    <w:p w:rsidR="00157471" w:rsidRDefault="00157471" w:rsidP="00157471">
      <w:pPr>
        <w:pStyle w:val="af0"/>
      </w:pPr>
      <w:r>
        <w:t xml:space="preserve">Фильтр «КБК»: </w:t>
      </w:r>
      <w:r w:rsidRPr="0043022B">
        <w:t xml:space="preserve">по данному </w:t>
      </w:r>
      <w:r>
        <w:t>фильтру</w:t>
      </w:r>
      <w:r w:rsidRPr="0043022B">
        <w:t xml:space="preserve"> реализована возможность указания нескольких вариантов значений. В поле для ввода номера реализована маска ввода в формате 20-тизначного кода (000-0000-0000000000-000).</w:t>
      </w:r>
      <w:r>
        <w:t xml:space="preserve"> Фильтр имеет возможность ввода отдельных сегментов кода бюджетной классификации.</w:t>
      </w:r>
    </w:p>
    <w:p w:rsidR="00157471" w:rsidRDefault="00157471" w:rsidP="00157471">
      <w:pPr>
        <w:pStyle w:val="af0"/>
      </w:pPr>
      <w:r>
        <w:t xml:space="preserve">Введем первые 3 значения кода «020», отражающие код ГРБС </w:t>
      </w:r>
      <w:r w:rsidRPr="00CE3C4B">
        <w:t xml:space="preserve">→ для срабатывания </w:t>
      </w:r>
      <w:r>
        <w:t>фильтра необходимо нажать на «</w:t>
      </w:r>
      <w:r w:rsidRPr="00A323D2">
        <w:rPr>
          <w:b/>
          <w:bCs/>
        </w:rPr>
        <w:t>+</w:t>
      </w:r>
      <w:r>
        <w:t>».</w:t>
      </w:r>
    </w:p>
    <w:p w:rsidR="00747D5E" w:rsidRDefault="00747D5E" w:rsidP="00747D5E">
      <w:pPr>
        <w:pStyle w:val="afff6"/>
        <w:keepNext/>
        <w:ind w:left="0"/>
      </w:pPr>
      <w:r>
        <w:rPr>
          <w:noProof/>
          <w:snapToGrid/>
        </w:rPr>
        <w:drawing>
          <wp:inline distT="0" distB="0" distL="0" distR="0" wp14:anchorId="119C7417" wp14:editId="3A1E615C">
            <wp:extent cx="5939790" cy="2898475"/>
            <wp:effectExtent l="0" t="0" r="3810" b="0"/>
            <wp:docPr id="5757" name="Рисунок 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5939790" cy="2898475"/>
                    </a:xfrm>
                    <a:prstGeom prst="rect">
                      <a:avLst/>
                    </a:prstGeom>
                  </pic:spPr>
                </pic:pic>
              </a:graphicData>
            </a:graphic>
          </wp:inline>
        </w:drawing>
      </w:r>
    </w:p>
    <w:p w:rsidR="00157471" w:rsidRDefault="00747D5E" w:rsidP="00747D5E">
      <w:pPr>
        <w:pStyle w:val="-0"/>
      </w:pPr>
      <w:bookmarkStart w:id="882" w:name="_Toc119584414"/>
      <w:r>
        <w:t xml:space="preserve">Рисунок </w:t>
      </w:r>
      <w:fldSimple w:instr=" SEQ Рисунок \* ARABIC ">
        <w:r w:rsidR="001860A9">
          <w:rPr>
            <w:noProof/>
          </w:rPr>
          <w:t>227</w:t>
        </w:r>
      </w:fldSimple>
      <w:r>
        <w:t xml:space="preserve"> – Фильтр «КБК». Ввод первых значений</w:t>
      </w:r>
      <w:bookmarkEnd w:id="882"/>
    </w:p>
    <w:p w:rsidR="00157471" w:rsidRDefault="00157471" w:rsidP="00157471">
      <w:pPr>
        <w:pStyle w:val="af0"/>
      </w:pPr>
      <w:r>
        <w:t>Таким же образом можно добавить еще одну часть кода, например, последние 3 значения кода «521», отражающие Код видов расходов:</w:t>
      </w:r>
    </w:p>
    <w:p w:rsidR="00747D5E" w:rsidRDefault="00747D5E" w:rsidP="00747D5E">
      <w:pPr>
        <w:pStyle w:val="afffff7"/>
        <w:keepNext/>
      </w:pPr>
      <w:r>
        <w:rPr>
          <w:noProof/>
          <w:lang w:eastAsia="ru-RU"/>
        </w:rPr>
        <w:drawing>
          <wp:inline distT="0" distB="0" distL="0" distR="0" wp14:anchorId="3A89D971" wp14:editId="5567A7C8">
            <wp:extent cx="5939790" cy="2897249"/>
            <wp:effectExtent l="0" t="0" r="3810" b="0"/>
            <wp:docPr id="5783" name="Рисунок 5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5939790" cy="2897249"/>
                    </a:xfrm>
                    <a:prstGeom prst="rect">
                      <a:avLst/>
                    </a:prstGeom>
                  </pic:spPr>
                </pic:pic>
              </a:graphicData>
            </a:graphic>
          </wp:inline>
        </w:drawing>
      </w:r>
    </w:p>
    <w:p w:rsidR="00157471" w:rsidRDefault="00747D5E" w:rsidP="00747D5E">
      <w:pPr>
        <w:pStyle w:val="-0"/>
      </w:pPr>
      <w:bookmarkStart w:id="883" w:name="_Toc119584415"/>
      <w:r>
        <w:t xml:space="preserve">Рисунок </w:t>
      </w:r>
      <w:fldSimple w:instr=" SEQ Рисунок \* ARABIC ">
        <w:r w:rsidR="001860A9">
          <w:rPr>
            <w:noProof/>
          </w:rPr>
          <w:t>228</w:t>
        </w:r>
      </w:fldSimple>
      <w:r>
        <w:t xml:space="preserve"> – Фильтр «КБК». Ввод последних значений</w:t>
      </w:r>
      <w:bookmarkEnd w:id="883"/>
    </w:p>
    <w:p w:rsidR="00157471" w:rsidRDefault="00157471" w:rsidP="00157471">
      <w:pPr>
        <w:pStyle w:val="af0"/>
      </w:pPr>
      <w:r>
        <w:t>Для удаления введенных значений необходимо нажать на «</w:t>
      </w:r>
      <w:r w:rsidRPr="00DC479F">
        <w:rPr>
          <w:b/>
          <w:bCs/>
          <w:i/>
          <w:iCs/>
        </w:rPr>
        <w:t>-</w:t>
      </w:r>
      <w:r>
        <w:t>»:</w:t>
      </w:r>
    </w:p>
    <w:p w:rsidR="00747D5E" w:rsidRDefault="00747D5E" w:rsidP="00747D5E">
      <w:pPr>
        <w:pStyle w:val="afffff7"/>
        <w:keepNext/>
      </w:pPr>
      <w:r>
        <w:rPr>
          <w:noProof/>
          <w:lang w:eastAsia="ru-RU"/>
        </w:rPr>
        <w:drawing>
          <wp:inline distT="0" distB="0" distL="0" distR="0" wp14:anchorId="049C746F" wp14:editId="012B7276">
            <wp:extent cx="5939790" cy="2906445"/>
            <wp:effectExtent l="0" t="0" r="3810" b="825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5939790" cy="2906445"/>
                    </a:xfrm>
                    <a:prstGeom prst="rect">
                      <a:avLst/>
                    </a:prstGeom>
                  </pic:spPr>
                </pic:pic>
              </a:graphicData>
            </a:graphic>
          </wp:inline>
        </w:drawing>
      </w:r>
    </w:p>
    <w:p w:rsidR="00157471" w:rsidRDefault="00747D5E" w:rsidP="00747D5E">
      <w:pPr>
        <w:pStyle w:val="-0"/>
      </w:pPr>
      <w:bookmarkStart w:id="884" w:name="_Toc119584416"/>
      <w:r>
        <w:t xml:space="preserve">Рисунок </w:t>
      </w:r>
      <w:fldSimple w:instr=" SEQ Рисунок \* ARABIC ">
        <w:r w:rsidR="001860A9">
          <w:rPr>
            <w:noProof/>
          </w:rPr>
          <w:t>229</w:t>
        </w:r>
      </w:fldSimple>
      <w:r>
        <w:t xml:space="preserve"> – Фильтр «КБК». Удаление значений</w:t>
      </w:r>
      <w:bookmarkEnd w:id="884"/>
    </w:p>
    <w:p w:rsidR="00157471" w:rsidRPr="00042A8C" w:rsidRDefault="00157471" w:rsidP="00157471">
      <w:pPr>
        <w:pStyle w:val="af0"/>
      </w:pPr>
      <w:r>
        <w:t>Удаление будет происходить последовательно, начиная с последнего введенного значения до первоначально введенного значения.</w:t>
      </w:r>
    </w:p>
    <w:p w:rsidR="00157471" w:rsidRDefault="00157471" w:rsidP="00157471">
      <w:pPr>
        <w:pStyle w:val="53"/>
      </w:pPr>
      <w:bookmarkStart w:id="885" w:name="_Toc41637842"/>
      <w:r>
        <w:t>Фильтр «Национальный проект»</w:t>
      </w:r>
      <w:bookmarkEnd w:id="885"/>
    </w:p>
    <w:p w:rsidR="00157471" w:rsidRDefault="00157471" w:rsidP="00157471">
      <w:pPr>
        <w:pStyle w:val="af0"/>
      </w:pPr>
      <w:r>
        <w:t>В</w:t>
      </w:r>
      <w:r w:rsidRPr="00115D57">
        <w:t xml:space="preserve"> фильтре </w:t>
      </w:r>
      <w:r>
        <w:t xml:space="preserve">«Национальный проект» </w:t>
      </w:r>
      <w:r w:rsidRPr="00115D57">
        <w:t>реализована возможность множественного выбора несколь</w:t>
      </w:r>
      <w:r>
        <w:t>ких значений (Рисунок</w:t>
      </w:r>
      <w:r w:rsidR="00747D5E" w:rsidRPr="00747D5E">
        <w:t xml:space="preserve"> </w:t>
      </w:r>
      <w:r w:rsidR="00747D5E">
        <w:fldChar w:fldCharType="begin"/>
      </w:r>
      <w:r w:rsidR="00747D5E">
        <w:instrText xml:space="preserve"> REF _Ref70068207 \h </w:instrText>
      </w:r>
      <w:r w:rsidR="00747D5E">
        <w:fldChar w:fldCharType="separate"/>
      </w:r>
      <w:r w:rsidR="00BF0BEE">
        <w:rPr>
          <w:noProof/>
        </w:rPr>
        <w:t>230</w:t>
      </w:r>
      <w:r w:rsidR="00747D5E">
        <w:fldChar w:fldCharType="end"/>
      </w:r>
      <w:r>
        <w:t>)</w:t>
      </w:r>
    </w:p>
    <w:p w:rsidR="00747D5E" w:rsidRDefault="00747D5E" w:rsidP="00747D5E">
      <w:pPr>
        <w:pStyle w:val="afffff7"/>
        <w:keepNext/>
      </w:pPr>
      <w:r>
        <w:rPr>
          <w:noProof/>
          <w:lang w:eastAsia="ru-RU"/>
        </w:rPr>
        <w:drawing>
          <wp:inline distT="0" distB="0" distL="0" distR="0" wp14:anchorId="7AD2CBD1" wp14:editId="03E1FE8D">
            <wp:extent cx="5939790" cy="2898475"/>
            <wp:effectExtent l="0" t="0" r="381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5939790" cy="2898475"/>
                    </a:xfrm>
                    <a:prstGeom prst="rect">
                      <a:avLst/>
                    </a:prstGeom>
                  </pic:spPr>
                </pic:pic>
              </a:graphicData>
            </a:graphic>
          </wp:inline>
        </w:drawing>
      </w:r>
    </w:p>
    <w:p w:rsidR="00157471" w:rsidRDefault="00747D5E" w:rsidP="00747D5E">
      <w:pPr>
        <w:pStyle w:val="-0"/>
      </w:pPr>
      <w:bookmarkStart w:id="886" w:name="_Toc119584417"/>
      <w:r>
        <w:t xml:space="preserve">Рисунок </w:t>
      </w:r>
      <w:fldSimple w:instr=" SEQ Рисунок \* ARABIC ">
        <w:bookmarkStart w:id="887" w:name="_Ref70068207"/>
        <w:r w:rsidR="001860A9">
          <w:rPr>
            <w:noProof/>
          </w:rPr>
          <w:t>230</w:t>
        </w:r>
        <w:bookmarkEnd w:id="887"/>
      </w:fldSimple>
      <w:r>
        <w:t xml:space="preserve"> – Фильтр</w:t>
      </w:r>
      <w:r w:rsidRPr="00115D57">
        <w:t xml:space="preserve"> </w:t>
      </w:r>
      <w:r>
        <w:t>«Национальный проект»</w:t>
      </w:r>
      <w:bookmarkEnd w:id="886"/>
    </w:p>
    <w:p w:rsidR="00157471" w:rsidRDefault="00157471" w:rsidP="00157471">
      <w:pPr>
        <w:pStyle w:val="af0"/>
      </w:pPr>
      <w:r w:rsidRPr="00290850">
        <w:rPr>
          <w:rStyle w:val="af1"/>
        </w:rPr>
        <w:t>Для срабатывания фильтра после выбора необходимых параметров необходимо нажать левой кнопкой мыши на «пустую» область отчета</w:t>
      </w:r>
      <w:r>
        <w:t>.</w:t>
      </w:r>
    </w:p>
    <w:p w:rsidR="004D2938" w:rsidRDefault="004D2938" w:rsidP="004D2938">
      <w:pPr>
        <w:pStyle w:val="35"/>
      </w:pPr>
      <w:bookmarkStart w:id="888" w:name="_Toc37845328"/>
      <w:bookmarkStart w:id="889" w:name="_Toc69290129"/>
      <w:bookmarkStart w:id="890" w:name="_Toc119585094"/>
      <w:bookmarkEnd w:id="806"/>
      <w:r>
        <w:t>Отчет «</w:t>
      </w:r>
      <w:r w:rsidRPr="004D2938">
        <w:t>Реестр соглашений о предоставлении субсидий из федерального бюджета (бюджетов субъектов Российской Федерации, местных бюджетов)</w:t>
      </w:r>
      <w:r>
        <w:t>»</w:t>
      </w:r>
      <w:r w:rsidR="00001537">
        <w:t xml:space="preserve"> (</w:t>
      </w:r>
      <w:r w:rsidR="00001537">
        <w:rPr>
          <w:lang w:val="en-US"/>
        </w:rPr>
        <w:t>PIAO</w:t>
      </w:r>
      <w:r w:rsidR="00001537" w:rsidRPr="00001537">
        <w:t>_107_009_</w:t>
      </w:r>
      <w:r w:rsidR="00001537">
        <w:rPr>
          <w:lang w:val="en-US"/>
        </w:rPr>
        <w:t>report</w:t>
      </w:r>
      <w:r w:rsidR="00001537">
        <w:t>)</w:t>
      </w:r>
      <w:bookmarkEnd w:id="890"/>
    </w:p>
    <w:p w:rsidR="00335AA9" w:rsidRDefault="00335AA9" w:rsidP="00335AA9">
      <w:pPr>
        <w:pStyle w:val="af0"/>
        <w:rPr>
          <w:rStyle w:val="af1"/>
        </w:rPr>
      </w:pPr>
      <w:r w:rsidRPr="00233E44">
        <w:rPr>
          <w:rStyle w:val="af1"/>
        </w:rPr>
        <w:t>Для перехода к отчету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rsidRPr="00233E44">
        <w:rPr>
          <w:rStyle w:val="af1"/>
        </w:rPr>
        <w:t>» необходимо перейти к витрине «Ведение перечней и реестров» и раскрыть каталог «Реестр соглашений», как показано на рисунке</w:t>
      </w:r>
      <w:r>
        <w:rPr>
          <w:rStyle w:val="af1"/>
        </w:rPr>
        <w:t xml:space="preserve"> </w:t>
      </w:r>
      <w:r>
        <w:rPr>
          <w:rStyle w:val="af1"/>
        </w:rPr>
        <w:fldChar w:fldCharType="begin"/>
      </w:r>
      <w:r>
        <w:rPr>
          <w:rStyle w:val="af1"/>
        </w:rPr>
        <w:instrText xml:space="preserve"> REF _Ref70005665 \h </w:instrText>
      </w:r>
      <w:r>
        <w:rPr>
          <w:rStyle w:val="af1"/>
        </w:rPr>
      </w:r>
      <w:r>
        <w:rPr>
          <w:rStyle w:val="af1"/>
        </w:rPr>
        <w:fldChar w:fldCharType="separate"/>
      </w:r>
      <w:r w:rsidR="00BF0BEE">
        <w:rPr>
          <w:noProof/>
        </w:rPr>
        <w:t>188</w:t>
      </w:r>
      <w:r>
        <w:rPr>
          <w:rStyle w:val="af1"/>
        </w:rPr>
        <w:fldChar w:fldCharType="end"/>
      </w:r>
      <w:r>
        <w:rPr>
          <w:rStyle w:val="af1"/>
        </w:rPr>
        <w:t>.</w:t>
      </w:r>
    </w:p>
    <w:p w:rsidR="00335AA9" w:rsidRDefault="00335AA9" w:rsidP="00335AA9">
      <w:pPr>
        <w:pStyle w:val="af0"/>
        <w:rPr>
          <w:rStyle w:val="af1"/>
        </w:rPr>
      </w:pPr>
      <w:r w:rsidRPr="00233E44">
        <w:rPr>
          <w:rStyle w:val="af1"/>
        </w:rPr>
        <w:t>В результате отобразится список аналитических отчетов, входящих в каталог «Реестр соглашений»</w:t>
      </w:r>
      <w:r>
        <w:rPr>
          <w:rStyle w:val="af1"/>
        </w:rPr>
        <w:t xml:space="preserve"> (Рисунок </w:t>
      </w:r>
      <w:r>
        <w:rPr>
          <w:rStyle w:val="af1"/>
        </w:rPr>
        <w:fldChar w:fldCharType="begin"/>
      </w:r>
      <w:r>
        <w:rPr>
          <w:rStyle w:val="af1"/>
        </w:rPr>
        <w:instrText xml:space="preserve"> REF _Ref70005717 \h </w:instrText>
      </w:r>
      <w:r>
        <w:rPr>
          <w:rStyle w:val="af1"/>
        </w:rPr>
      </w:r>
      <w:r>
        <w:rPr>
          <w:rStyle w:val="af1"/>
        </w:rPr>
        <w:fldChar w:fldCharType="separate"/>
      </w:r>
      <w:r w:rsidR="00BF0BEE">
        <w:rPr>
          <w:noProof/>
        </w:rPr>
        <w:t>189</w:t>
      </w:r>
      <w:r>
        <w:rPr>
          <w:rStyle w:val="af1"/>
        </w:rPr>
        <w:fldChar w:fldCharType="end"/>
      </w:r>
      <w:r>
        <w:rPr>
          <w:rStyle w:val="af1"/>
        </w:rPr>
        <w:t>).</w:t>
      </w:r>
    </w:p>
    <w:p w:rsidR="00335AA9" w:rsidRDefault="00335AA9" w:rsidP="00335AA9">
      <w:pPr>
        <w:pStyle w:val="af0"/>
        <w:rPr>
          <w:rStyle w:val="af1"/>
        </w:rPr>
      </w:pPr>
      <w:r>
        <w:rPr>
          <w:rStyle w:val="af1"/>
        </w:rPr>
        <w:t>Для перехода к отчету «</w:t>
      </w:r>
      <w:r w:rsidRPr="00335AA9">
        <w:rPr>
          <w:snapToGrid/>
        </w:rPr>
        <w:t>Реестр соглашений о предоставлении субсидий из федерального бюджета (бюджетов субъектов Российской Федерации, местных бюджетов)</w:t>
      </w:r>
      <w:r>
        <w:rPr>
          <w:rStyle w:val="af1"/>
        </w:rPr>
        <w:t>» кликнуть мышью по плашке «</w:t>
      </w:r>
      <w:r w:rsidRPr="00335AA9">
        <w:rPr>
          <w:snapToGrid/>
        </w:rPr>
        <w:t>Реестр соглашений о предоставлении субсидий из федерального бюджета (бюджетов субъектов Российской Федерации, местных бюджетов)</w:t>
      </w:r>
      <w:r>
        <w:rPr>
          <w:rStyle w:val="af1"/>
        </w:rPr>
        <w:t xml:space="preserve">», как показано на рисунке </w:t>
      </w:r>
      <w:r>
        <w:rPr>
          <w:rStyle w:val="af1"/>
        </w:rPr>
        <w:fldChar w:fldCharType="begin"/>
      </w:r>
      <w:r>
        <w:rPr>
          <w:rStyle w:val="af1"/>
        </w:rPr>
        <w:instrText xml:space="preserve"> REF _Ref70070539 \h </w:instrText>
      </w:r>
      <w:r>
        <w:rPr>
          <w:rStyle w:val="af1"/>
        </w:rPr>
      </w:r>
      <w:r>
        <w:rPr>
          <w:rStyle w:val="af1"/>
        </w:rPr>
        <w:fldChar w:fldCharType="separate"/>
      </w:r>
      <w:r w:rsidR="00BF0BEE">
        <w:rPr>
          <w:rStyle w:val="af1"/>
          <w:noProof/>
        </w:rPr>
        <w:t>231</w:t>
      </w:r>
      <w:r>
        <w:rPr>
          <w:rStyle w:val="af1"/>
        </w:rPr>
        <w:fldChar w:fldCharType="end"/>
      </w:r>
      <w:r>
        <w:rPr>
          <w:rStyle w:val="af1"/>
        </w:rPr>
        <w:t>.</w:t>
      </w:r>
    </w:p>
    <w:p w:rsidR="00335AA9" w:rsidRDefault="00335AA9" w:rsidP="00321FCA">
      <w:pPr>
        <w:pStyle w:val="afffff7"/>
      </w:pPr>
      <w:r>
        <w:rPr>
          <w:noProof/>
          <w:lang w:eastAsia="ru-RU"/>
        </w:rPr>
        <w:drawing>
          <wp:inline distT="0" distB="0" distL="0" distR="0" wp14:anchorId="0FEF1C5A" wp14:editId="631F53DA">
            <wp:extent cx="5939790" cy="2890506"/>
            <wp:effectExtent l="0" t="0" r="3810" b="5715"/>
            <wp:docPr id="5794" name="Рисунок 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5939790" cy="2890506"/>
                    </a:xfrm>
                    <a:prstGeom prst="rect">
                      <a:avLst/>
                    </a:prstGeom>
                  </pic:spPr>
                </pic:pic>
              </a:graphicData>
            </a:graphic>
          </wp:inline>
        </w:drawing>
      </w:r>
    </w:p>
    <w:p w:rsidR="00335AA9" w:rsidRDefault="00335AA9" w:rsidP="00335AA9">
      <w:pPr>
        <w:pStyle w:val="-0"/>
        <w:rPr>
          <w:rStyle w:val="af1"/>
        </w:rPr>
      </w:pPr>
      <w:bookmarkStart w:id="891" w:name="_Toc119584418"/>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bookmarkStart w:id="892" w:name="_Ref70070539"/>
      <w:r w:rsidR="001860A9">
        <w:rPr>
          <w:rStyle w:val="af1"/>
          <w:noProof/>
        </w:rPr>
        <w:t>231</w:t>
      </w:r>
      <w:bookmarkEnd w:id="892"/>
      <w:r>
        <w:rPr>
          <w:rStyle w:val="af1"/>
        </w:rPr>
        <w:fldChar w:fldCharType="end"/>
      </w:r>
      <w:r>
        <w:rPr>
          <w:rStyle w:val="af1"/>
        </w:rP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rPr>
          <w:rStyle w:val="af1"/>
        </w:rPr>
        <w:t>»</w:t>
      </w:r>
      <w:bookmarkEnd w:id="891"/>
    </w:p>
    <w:p w:rsidR="009345B5" w:rsidRPr="009C34D1" w:rsidRDefault="009345B5" w:rsidP="009345B5">
      <w:pPr>
        <w:pStyle w:val="af0"/>
        <w:spacing w:line="360" w:lineRule="exact"/>
        <w:ind w:firstLine="709"/>
      </w:pPr>
      <w:r>
        <w:t xml:space="preserve">Отчет предназначен для </w:t>
      </w:r>
      <w:r w:rsidRPr="00877ADB">
        <w:t>предоставление информации в части заключения соглашений (договоров) о предоставлении субсидий, бюджетных инвестиций, межбюджетных трансфертов по уровням бюджета: федеральный бюджет, бюджеты субъектов РФ, бюджеты муниципальных образований.</w:t>
      </w:r>
    </w:p>
    <w:p w:rsidR="006F7CD3" w:rsidRPr="00D84966" w:rsidRDefault="006F7CD3" w:rsidP="006F7CD3">
      <w:pPr>
        <w:pStyle w:val="42"/>
        <w:rPr>
          <w:szCs w:val="28"/>
        </w:rPr>
      </w:pPr>
      <w:r w:rsidRPr="00D84966">
        <w:rPr>
          <w:szCs w:val="28"/>
        </w:rPr>
        <w:t>Представление «Федеральный бюджет» - «По соглашениям».</w:t>
      </w:r>
    </w:p>
    <w:p w:rsidR="006F7CD3" w:rsidRDefault="006F7CD3" w:rsidP="006F7CD3">
      <w:pPr>
        <w:pStyle w:val="-0"/>
      </w:pPr>
    </w:p>
    <w:p w:rsidR="006F7CD3" w:rsidRDefault="006F7CD3" w:rsidP="00321FCA">
      <w:pPr>
        <w:pStyle w:val="afffff7"/>
      </w:pPr>
      <w:bookmarkStart w:id="893" w:name="_Toc69230306"/>
      <w:r>
        <w:rPr>
          <w:noProof/>
          <w:lang w:eastAsia="ru-RU"/>
        </w:rPr>
        <w:drawing>
          <wp:inline distT="0" distB="0" distL="0" distR="0" wp14:anchorId="43E0C403" wp14:editId="20CC7D8F">
            <wp:extent cx="5939790" cy="2886214"/>
            <wp:effectExtent l="0" t="0" r="3810" b="9525"/>
            <wp:docPr id="5815" name="Рисунок 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5939790" cy="2886214"/>
                    </a:xfrm>
                    <a:prstGeom prst="rect">
                      <a:avLst/>
                    </a:prstGeom>
                  </pic:spPr>
                </pic:pic>
              </a:graphicData>
            </a:graphic>
          </wp:inline>
        </w:drawing>
      </w:r>
    </w:p>
    <w:p w:rsidR="006F7CD3" w:rsidRPr="00DA4FE0" w:rsidRDefault="006F7CD3" w:rsidP="00321FCA">
      <w:pPr>
        <w:pStyle w:val="-0"/>
      </w:pPr>
      <w:bookmarkStart w:id="894" w:name="_Toc119584419"/>
      <w:r>
        <w:t xml:space="preserve">Рисунок </w:t>
      </w:r>
      <w:fldSimple w:instr=" SEQ Рисунок \* ARABIC ">
        <w:r w:rsidR="001860A9">
          <w:rPr>
            <w:noProof/>
          </w:rPr>
          <w:t>232</w:t>
        </w:r>
      </w:fldSimple>
      <w:r>
        <w:t xml:space="preserve"> – Макет отчета «</w:t>
      </w:r>
      <w:r w:rsidRPr="00335AA9">
        <w:rPr>
          <w:rStyle w:val="af1"/>
        </w:rPr>
        <w:t xml:space="preserve">Реестр соглашений о предоставлении субсидий из федерального бюджета (бюджетов субъектов </w:t>
      </w:r>
      <w:r w:rsidRPr="00321FCA">
        <w:rPr>
          <w:rStyle w:val="af1"/>
          <w:snapToGrid w:val="0"/>
        </w:rPr>
        <w:t>Российской</w:t>
      </w:r>
      <w:r w:rsidRPr="00335AA9">
        <w:rPr>
          <w:rStyle w:val="af1"/>
        </w:rPr>
        <w:t xml:space="preserve"> Федерации, местных бюджетов)</w:t>
      </w:r>
      <w:r>
        <w:t>». Представление</w:t>
      </w:r>
      <w:r w:rsidRPr="00D84966">
        <w:t xml:space="preserve"> «Федеральный бюджет»</w:t>
      </w:r>
      <w:r>
        <w:t xml:space="preserve"> -</w:t>
      </w:r>
      <w:r w:rsidRPr="00D84966">
        <w:t xml:space="preserve"> «По соглашениям»</w:t>
      </w:r>
      <w:bookmarkEnd w:id="894"/>
    </w:p>
    <w:p w:rsidR="00383778" w:rsidRPr="00F8278D" w:rsidRDefault="00383778" w:rsidP="00383778">
      <w:pPr>
        <w:ind w:firstLine="709"/>
        <w:rPr>
          <w:sz w:val="28"/>
          <w:szCs w:val="28"/>
        </w:rPr>
      </w:pPr>
      <w:r w:rsidRPr="00F8278D">
        <w:rPr>
          <w:sz w:val="28"/>
          <w:szCs w:val="28"/>
        </w:rPr>
        <w:t>Область таблицы: в таблице могут быть представлены соглашения с разбивкой по признаку национального и федерального проектов, однако на строке «Итого» отображаются общие значения только по уникальным реестровым записям. Также в таблице представлена итоговая строка с суммовыми значениями по всем уникальным соглашениям в рамках конкретной колонки.</w:t>
      </w:r>
    </w:p>
    <w:tbl>
      <w:tblPr>
        <w:tblStyle w:val="affe"/>
        <w:tblW w:w="10207" w:type="dxa"/>
        <w:tblInd w:w="-176" w:type="dxa"/>
        <w:tblLayout w:type="fixed"/>
        <w:tblLook w:val="04A0" w:firstRow="1" w:lastRow="0" w:firstColumn="1" w:lastColumn="0" w:noHBand="0" w:noVBand="1"/>
      </w:tblPr>
      <w:tblGrid>
        <w:gridCol w:w="534"/>
        <w:gridCol w:w="1275"/>
        <w:gridCol w:w="992"/>
        <w:gridCol w:w="3436"/>
        <w:gridCol w:w="3970"/>
      </w:tblGrid>
      <w:tr w:rsidR="00383778" w:rsidRPr="004A3865" w:rsidTr="00DE7AE6">
        <w:trPr>
          <w:tblHeader/>
        </w:trPr>
        <w:tc>
          <w:tcPr>
            <w:tcW w:w="534" w:type="dxa"/>
            <w:shd w:val="clear" w:color="auto" w:fill="F2F2F2" w:themeFill="background1" w:themeFillShade="F2"/>
            <w:vAlign w:val="center"/>
          </w:tcPr>
          <w:p w:rsidR="00383778" w:rsidRPr="004A3865" w:rsidRDefault="00383778" w:rsidP="00383778">
            <w:pPr>
              <w:ind w:right="-7" w:firstLine="0"/>
              <w:jc w:val="center"/>
              <w:rPr>
                <w:b/>
                <w:szCs w:val="24"/>
              </w:rPr>
            </w:pPr>
            <w:r w:rsidRPr="004A3865">
              <w:rPr>
                <w:b/>
                <w:szCs w:val="24"/>
              </w:rPr>
              <w:t>№ колонки</w:t>
            </w:r>
          </w:p>
        </w:tc>
        <w:tc>
          <w:tcPr>
            <w:tcW w:w="1275" w:type="dxa"/>
            <w:shd w:val="clear" w:color="auto" w:fill="F2F2F2" w:themeFill="background1" w:themeFillShade="F2"/>
            <w:vAlign w:val="center"/>
          </w:tcPr>
          <w:p w:rsidR="00383778" w:rsidRPr="004A3865" w:rsidRDefault="00383778" w:rsidP="00383778">
            <w:pPr>
              <w:ind w:firstLine="0"/>
              <w:jc w:val="center"/>
              <w:rPr>
                <w:b/>
                <w:szCs w:val="24"/>
              </w:rPr>
            </w:pPr>
            <w:r w:rsidRPr="004A3865">
              <w:rPr>
                <w:b/>
                <w:szCs w:val="24"/>
              </w:rPr>
              <w:t>Наименование</w:t>
            </w:r>
          </w:p>
        </w:tc>
        <w:tc>
          <w:tcPr>
            <w:tcW w:w="992" w:type="dxa"/>
            <w:shd w:val="clear" w:color="auto" w:fill="F2F2F2" w:themeFill="background1" w:themeFillShade="F2"/>
            <w:vAlign w:val="center"/>
          </w:tcPr>
          <w:p w:rsidR="00383778" w:rsidRPr="004A3865" w:rsidRDefault="00383778" w:rsidP="00383778">
            <w:pPr>
              <w:ind w:left="34" w:firstLine="0"/>
              <w:jc w:val="center"/>
              <w:rPr>
                <w:b/>
                <w:szCs w:val="24"/>
              </w:rPr>
            </w:pPr>
            <w:r w:rsidRPr="004A3865">
              <w:rPr>
                <w:b/>
                <w:szCs w:val="24"/>
              </w:rPr>
              <w:t>Колонка по умолчанию</w:t>
            </w:r>
          </w:p>
        </w:tc>
        <w:tc>
          <w:tcPr>
            <w:tcW w:w="3436" w:type="dxa"/>
            <w:shd w:val="clear" w:color="auto" w:fill="F2F2F2" w:themeFill="background1" w:themeFillShade="F2"/>
            <w:vAlign w:val="center"/>
          </w:tcPr>
          <w:p w:rsidR="00383778" w:rsidRPr="004A3865" w:rsidRDefault="00383778" w:rsidP="00383778">
            <w:pPr>
              <w:ind w:left="34" w:firstLine="0"/>
              <w:jc w:val="center"/>
              <w:rPr>
                <w:b/>
                <w:szCs w:val="24"/>
              </w:rPr>
            </w:pPr>
            <w:r w:rsidRPr="004A3865">
              <w:rPr>
                <w:b/>
                <w:szCs w:val="24"/>
              </w:rPr>
              <w:t>Алгоритмы и переходы</w:t>
            </w:r>
          </w:p>
        </w:tc>
        <w:tc>
          <w:tcPr>
            <w:tcW w:w="3970" w:type="dxa"/>
            <w:shd w:val="clear" w:color="auto" w:fill="F2F2F2" w:themeFill="background1" w:themeFillShade="F2"/>
            <w:vAlign w:val="center"/>
          </w:tcPr>
          <w:p w:rsidR="00383778" w:rsidRPr="004A3865" w:rsidRDefault="00383778" w:rsidP="00383778">
            <w:pPr>
              <w:ind w:left="34" w:firstLine="0"/>
              <w:jc w:val="center"/>
              <w:rPr>
                <w:b/>
                <w:szCs w:val="24"/>
              </w:rPr>
            </w:pPr>
            <w:r w:rsidRPr="004A3865">
              <w:rPr>
                <w:b/>
                <w:szCs w:val="24"/>
              </w:rPr>
              <w:t>Источник данных</w:t>
            </w:r>
          </w:p>
        </w:tc>
      </w:tr>
      <w:tr w:rsidR="00383778" w:rsidRPr="004A3865" w:rsidTr="00DE7AE6">
        <w:tc>
          <w:tcPr>
            <w:tcW w:w="10207" w:type="dxa"/>
            <w:gridSpan w:val="5"/>
            <w:shd w:val="clear" w:color="auto" w:fill="D9D9D9" w:themeFill="background1" w:themeFillShade="D9"/>
          </w:tcPr>
          <w:p w:rsidR="00383778" w:rsidRPr="004A3865" w:rsidRDefault="00383778" w:rsidP="00383778">
            <w:pPr>
              <w:ind w:left="34" w:firstLine="0"/>
              <w:jc w:val="center"/>
              <w:rPr>
                <w:szCs w:val="24"/>
              </w:rPr>
            </w:pPr>
            <w:r w:rsidRPr="004A3865">
              <w:rPr>
                <w:szCs w:val="24"/>
              </w:rPr>
              <w:t>Блок реквизитов соглашения</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w:t>
            </w:r>
          </w:p>
        </w:tc>
        <w:tc>
          <w:tcPr>
            <w:tcW w:w="1275" w:type="dxa"/>
          </w:tcPr>
          <w:p w:rsidR="00383778" w:rsidRPr="004A3865" w:rsidRDefault="00383778" w:rsidP="00383778">
            <w:pPr>
              <w:ind w:firstLine="0"/>
              <w:jc w:val="left"/>
              <w:rPr>
                <w:szCs w:val="24"/>
              </w:rPr>
            </w:pPr>
            <w:r w:rsidRPr="004A3865">
              <w:rPr>
                <w:szCs w:val="24"/>
              </w:rPr>
              <w:t>Уникальный реестровый номер записи</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r w:rsidRPr="004A3865">
              <w:rPr>
                <w:szCs w:val="24"/>
              </w:rPr>
              <w:t>Реализованы переходы:</w:t>
            </w:r>
          </w:p>
          <w:p w:rsidR="00383778" w:rsidRPr="004A3865" w:rsidRDefault="00383778" w:rsidP="00383778">
            <w:pPr>
              <w:ind w:left="34" w:firstLine="0"/>
              <w:jc w:val="left"/>
              <w:rPr>
                <w:szCs w:val="24"/>
              </w:rPr>
            </w:pPr>
            <w:r w:rsidRPr="004A3865">
              <w:rPr>
                <w:szCs w:val="24"/>
              </w:rPr>
              <w:t>- «Показать в ПУР»;</w:t>
            </w:r>
          </w:p>
          <w:p w:rsidR="00383778" w:rsidRPr="004A3865" w:rsidRDefault="00383778" w:rsidP="00383778">
            <w:pPr>
              <w:ind w:left="34" w:firstLine="0"/>
              <w:jc w:val="left"/>
              <w:rPr>
                <w:szCs w:val="24"/>
              </w:rPr>
            </w:pPr>
            <w:r w:rsidRPr="004A3865">
              <w:rPr>
                <w:szCs w:val="24"/>
              </w:rPr>
              <w:t>- «Реестр соглашений (ЕПБС)» (Вкладка «Общие сведения»);</w:t>
            </w:r>
          </w:p>
          <w:p w:rsidR="00383778" w:rsidRPr="004A3865" w:rsidRDefault="00383778" w:rsidP="00383778">
            <w:pPr>
              <w:ind w:left="34" w:firstLine="0"/>
              <w:jc w:val="left"/>
              <w:rPr>
                <w:szCs w:val="24"/>
              </w:rPr>
            </w:pPr>
            <w:r w:rsidRPr="004A3865">
              <w:rPr>
                <w:szCs w:val="24"/>
              </w:rPr>
              <w:t>- «По значениям результатов (Федеральный бюджет)».</w:t>
            </w:r>
          </w:p>
        </w:tc>
        <w:tc>
          <w:tcPr>
            <w:tcW w:w="3970" w:type="dxa"/>
          </w:tcPr>
          <w:p w:rsidR="00383778" w:rsidRPr="004A3865" w:rsidRDefault="00383778" w:rsidP="00383778">
            <w:pPr>
              <w:ind w:left="34" w:firstLine="0"/>
              <w:jc w:val="left"/>
              <w:rPr>
                <w:szCs w:val="24"/>
              </w:rPr>
            </w:pPr>
            <w:r w:rsidRPr="004A3865">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w:t>
            </w:r>
          </w:p>
        </w:tc>
        <w:tc>
          <w:tcPr>
            <w:tcW w:w="1275" w:type="dxa"/>
          </w:tcPr>
          <w:p w:rsidR="00383778" w:rsidRPr="004A3865" w:rsidRDefault="00383778" w:rsidP="00383778">
            <w:pPr>
              <w:ind w:firstLine="0"/>
              <w:jc w:val="left"/>
              <w:rPr>
                <w:szCs w:val="24"/>
              </w:rPr>
            </w:pPr>
            <w:r w:rsidRPr="004A3865">
              <w:rPr>
                <w:szCs w:val="24"/>
              </w:rPr>
              <w:t>Количество дочерних соглашений,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7"/>
              </w:numPr>
              <w:ind w:left="34" w:firstLine="0"/>
              <w:contextualSpacing/>
              <w:jc w:val="left"/>
              <w:rPr>
                <w:sz w:val="24"/>
                <w:szCs w:val="24"/>
              </w:rPr>
            </w:pPr>
            <w:r w:rsidRPr="004A3865">
              <w:rPr>
                <w:sz w:val="24"/>
                <w:szCs w:val="24"/>
              </w:rPr>
              <w:t>Подсчет количества соглашений уровней «02 - Бюджет субъекта Российской Федерации» и «14 - Бюджет города федерального значения», имеющих одинаковое значение первых 11 знаков УНРЗ с соглашением федерального уровня. Также учитывается значение выбранного года в фильтре «Год».</w:t>
            </w:r>
          </w:p>
          <w:p w:rsidR="00383778" w:rsidRPr="004A3865" w:rsidRDefault="00383778" w:rsidP="005C6E50">
            <w:pPr>
              <w:pStyle w:val="afff6"/>
              <w:numPr>
                <w:ilvl w:val="0"/>
                <w:numId w:val="97"/>
              </w:numPr>
              <w:ind w:left="34" w:firstLine="0"/>
              <w:contextualSpacing/>
              <w:jc w:val="left"/>
              <w:rPr>
                <w:sz w:val="24"/>
                <w:szCs w:val="24"/>
              </w:rPr>
            </w:pPr>
            <w:r w:rsidRPr="004A3865">
              <w:rPr>
                <w:sz w:val="24"/>
                <w:szCs w:val="24"/>
              </w:rPr>
              <w:t>Реализованы переходы</w:t>
            </w:r>
          </w:p>
          <w:p w:rsidR="00383778" w:rsidRPr="004A3865" w:rsidRDefault="00383778" w:rsidP="00383778">
            <w:pPr>
              <w:pStyle w:val="afff6"/>
              <w:ind w:left="34" w:firstLine="0"/>
              <w:jc w:val="left"/>
              <w:rPr>
                <w:sz w:val="24"/>
                <w:szCs w:val="24"/>
              </w:rPr>
            </w:pPr>
            <w:r w:rsidRPr="004A3865">
              <w:rPr>
                <w:sz w:val="24"/>
                <w:szCs w:val="24"/>
              </w:rPr>
              <w:t>- «По соглашениям (Бюджеты субъектов РФ)»;</w:t>
            </w:r>
          </w:p>
          <w:p w:rsidR="00383778" w:rsidRPr="004A3865" w:rsidRDefault="00383778" w:rsidP="00383778">
            <w:pPr>
              <w:pStyle w:val="afff6"/>
              <w:ind w:left="34" w:firstLine="0"/>
              <w:jc w:val="left"/>
              <w:rPr>
                <w:sz w:val="24"/>
                <w:szCs w:val="24"/>
              </w:rPr>
            </w:pPr>
            <w:r w:rsidRPr="004A3865">
              <w:rPr>
                <w:sz w:val="24"/>
                <w:szCs w:val="24"/>
              </w:rPr>
              <w:t xml:space="preserve">- «По регионам (Бюджеты субъектов РФ)». </w:t>
            </w:r>
          </w:p>
        </w:tc>
        <w:tc>
          <w:tcPr>
            <w:tcW w:w="3970" w:type="dxa"/>
            <w:shd w:val="clear" w:color="auto" w:fill="auto"/>
          </w:tcPr>
          <w:p w:rsidR="00383778" w:rsidRPr="004A3865" w:rsidRDefault="00383778" w:rsidP="00383778">
            <w:pPr>
              <w:ind w:left="34" w:firstLine="0"/>
              <w:jc w:val="left"/>
              <w:rPr>
                <w:szCs w:val="24"/>
              </w:rPr>
            </w:pPr>
            <w:r w:rsidRPr="004A3865">
              <w:rPr>
                <w:szCs w:val="24"/>
              </w:rPr>
              <w:t>ПУР АСС =&gt; Реквизиты соглашения (договора), НПА =&gt; Уникальный номер реестровой записи (без учета номера версии, т.е. последних 3-х символов)</w:t>
            </w:r>
          </w:p>
          <w:p w:rsidR="00383778" w:rsidRPr="004A3865" w:rsidRDefault="00383778" w:rsidP="00383778">
            <w:pPr>
              <w:ind w:left="34" w:firstLine="0"/>
              <w:jc w:val="left"/>
              <w:rPr>
                <w:szCs w:val="24"/>
              </w:rPr>
            </w:pPr>
            <w:r w:rsidRPr="004A3865">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уровня бюджета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w:t>
            </w:r>
          </w:p>
        </w:tc>
        <w:tc>
          <w:tcPr>
            <w:tcW w:w="1275" w:type="dxa"/>
          </w:tcPr>
          <w:p w:rsidR="00383778" w:rsidRPr="004A3865" w:rsidRDefault="00383778" w:rsidP="00383778">
            <w:pPr>
              <w:ind w:firstLine="0"/>
              <w:jc w:val="left"/>
              <w:rPr>
                <w:szCs w:val="24"/>
              </w:rPr>
            </w:pPr>
            <w:r w:rsidRPr="004A3865">
              <w:rPr>
                <w:szCs w:val="24"/>
              </w:rPr>
              <w:t>Номер соглашения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соглашения (договора), НПА =&gt; Номер соглашения (договора)/нормативного правового акта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w:t>
            </w:r>
          </w:p>
        </w:tc>
        <w:tc>
          <w:tcPr>
            <w:tcW w:w="1275" w:type="dxa"/>
          </w:tcPr>
          <w:p w:rsidR="00383778" w:rsidRPr="004A3865" w:rsidRDefault="00383778" w:rsidP="00383778">
            <w:pPr>
              <w:ind w:firstLine="0"/>
              <w:jc w:val="left"/>
              <w:rPr>
                <w:szCs w:val="24"/>
              </w:rPr>
            </w:pPr>
            <w:r w:rsidRPr="004A3865">
              <w:rPr>
                <w:szCs w:val="24"/>
              </w:rPr>
              <w:t>Дата заключения соглашения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соглашения (договора), НПА =&gt; Дата заключения соглашения (договора), дата принятия нормативного правового акта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5</w:t>
            </w:r>
          </w:p>
        </w:tc>
        <w:tc>
          <w:tcPr>
            <w:tcW w:w="1275" w:type="dxa"/>
          </w:tcPr>
          <w:p w:rsidR="00383778" w:rsidRPr="004A3865" w:rsidRDefault="00383778" w:rsidP="00383778">
            <w:pPr>
              <w:ind w:firstLine="0"/>
              <w:jc w:val="left"/>
              <w:rPr>
                <w:szCs w:val="24"/>
              </w:rPr>
            </w:pPr>
            <w:r w:rsidRPr="004A3865">
              <w:rPr>
                <w:szCs w:val="24"/>
              </w:rPr>
              <w:t>Дата вступления в силу соглашения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соглашения (договора), НПА =&gt; Дата вступления в силу соглашения (договора), дата регистрации нормативного правового акта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6</w:t>
            </w:r>
          </w:p>
        </w:tc>
        <w:tc>
          <w:tcPr>
            <w:tcW w:w="1275" w:type="dxa"/>
          </w:tcPr>
          <w:p w:rsidR="00383778" w:rsidRPr="004A3865" w:rsidRDefault="00383778" w:rsidP="00383778">
            <w:pPr>
              <w:ind w:firstLine="0"/>
              <w:jc w:val="left"/>
              <w:rPr>
                <w:szCs w:val="24"/>
              </w:rPr>
            </w:pPr>
            <w:r w:rsidRPr="004A3865">
              <w:rPr>
                <w:szCs w:val="24"/>
              </w:rPr>
              <w:t>Дата окончания действия соглашения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соглашения (договора), НПА =&gt; Дата окончания срока действия соглашения (договора)/нормативного правового акта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7</w:t>
            </w:r>
          </w:p>
        </w:tc>
        <w:tc>
          <w:tcPr>
            <w:tcW w:w="1275" w:type="dxa"/>
          </w:tcPr>
          <w:p w:rsidR="00383778" w:rsidRPr="004A3865" w:rsidRDefault="00383778" w:rsidP="00383778">
            <w:pPr>
              <w:ind w:firstLine="0"/>
              <w:jc w:val="left"/>
              <w:rPr>
                <w:szCs w:val="24"/>
              </w:rPr>
            </w:pPr>
            <w:r w:rsidRPr="004A3865">
              <w:rPr>
                <w:szCs w:val="24"/>
              </w:rPr>
              <w:t>Сумма соглашения (всего), ‘динамическое значение единиц измерения, зависящее от значения в фильтре «Единицы измерения»’ – сумма по графику соглашения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shd w:val="clear" w:color="auto" w:fill="auto"/>
          </w:tcPr>
          <w:p w:rsidR="00383778" w:rsidRPr="004A3865" w:rsidRDefault="00383778" w:rsidP="00383778">
            <w:pPr>
              <w:ind w:left="34" w:firstLine="0"/>
              <w:jc w:val="left"/>
              <w:rPr>
                <w:szCs w:val="24"/>
              </w:rPr>
            </w:pPr>
            <w:r w:rsidRPr="004A3865">
              <w:rPr>
                <w:szCs w:val="24"/>
              </w:rPr>
              <w:t>ПУР АСС =&gt; Реквизиты соглашения (договора), НПА =&gt; Размер средств в рублевом эквиваленте</w:t>
            </w:r>
          </w:p>
        </w:tc>
      </w:tr>
      <w:tr w:rsidR="00383778" w:rsidRPr="004A3865" w:rsidTr="00DE7AE6">
        <w:tc>
          <w:tcPr>
            <w:tcW w:w="10207" w:type="dxa"/>
            <w:gridSpan w:val="5"/>
            <w:shd w:val="clear" w:color="auto" w:fill="D9D9D9" w:themeFill="background1" w:themeFillShade="D9"/>
          </w:tcPr>
          <w:p w:rsidR="00383778" w:rsidRPr="004A3865" w:rsidRDefault="00383778" w:rsidP="00383778">
            <w:pPr>
              <w:ind w:left="34" w:firstLine="0"/>
              <w:jc w:val="center"/>
              <w:rPr>
                <w:szCs w:val="24"/>
              </w:rPr>
            </w:pPr>
            <w:r w:rsidRPr="004A3865">
              <w:rPr>
                <w:szCs w:val="24"/>
              </w:rPr>
              <w:t>Блок по суммам соглашения по графику соглашения и по кассовому исполнению по ИПС</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8</w:t>
            </w:r>
          </w:p>
        </w:tc>
        <w:tc>
          <w:tcPr>
            <w:tcW w:w="1275" w:type="dxa"/>
          </w:tcPr>
          <w:p w:rsidR="00383778" w:rsidRPr="004A3865" w:rsidRDefault="00383778" w:rsidP="00383778">
            <w:pPr>
              <w:ind w:firstLine="0"/>
              <w:jc w:val="left"/>
              <w:rPr>
                <w:szCs w:val="24"/>
              </w:rPr>
            </w:pPr>
            <w:r w:rsidRPr="004A3865">
              <w:rPr>
                <w:szCs w:val="24"/>
              </w:rPr>
              <w:t>Исполнено в прошлых периодах,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Сумма по ИПС на годы, предшествующие значению в фильтре «Год»</w:t>
            </w:r>
          </w:p>
        </w:tc>
        <w:tc>
          <w:tcPr>
            <w:tcW w:w="3970" w:type="dxa"/>
            <w:shd w:val="clear" w:color="auto" w:fill="auto"/>
          </w:tcPr>
          <w:p w:rsidR="00383778" w:rsidRPr="004A3865" w:rsidRDefault="00383778" w:rsidP="005C6E50">
            <w:pPr>
              <w:pStyle w:val="afff6"/>
              <w:numPr>
                <w:ilvl w:val="0"/>
                <w:numId w:val="98"/>
              </w:numPr>
              <w:ind w:left="34" w:firstLine="0"/>
              <w:contextualSpacing/>
              <w:jc w:val="left"/>
              <w:rPr>
                <w:sz w:val="24"/>
                <w:szCs w:val="24"/>
              </w:rPr>
            </w:pPr>
            <w:r w:rsidRPr="004A3865">
              <w:rPr>
                <w:sz w:val="24"/>
                <w:szCs w:val="24"/>
              </w:rPr>
              <w:t>ПУР АСС =&gt; Перечень ИПС =&gt;</w:t>
            </w:r>
          </w:p>
          <w:p w:rsidR="00383778" w:rsidRPr="004A3865" w:rsidRDefault="00383778" w:rsidP="00383778">
            <w:pPr>
              <w:pStyle w:val="afff6"/>
              <w:ind w:left="34" w:firstLine="0"/>
              <w:jc w:val="left"/>
              <w:rPr>
                <w:sz w:val="24"/>
                <w:szCs w:val="24"/>
              </w:rPr>
            </w:pPr>
            <w:r w:rsidRPr="004A3865">
              <w:rPr>
                <w:sz w:val="24"/>
                <w:szCs w:val="24"/>
              </w:rPr>
              <w:t>- Дата платежного документа</w:t>
            </w:r>
          </w:p>
          <w:p w:rsidR="00383778" w:rsidRPr="004A3865" w:rsidRDefault="00383778" w:rsidP="00383778">
            <w:pPr>
              <w:pStyle w:val="afff6"/>
              <w:ind w:left="34" w:firstLine="0"/>
              <w:jc w:val="left"/>
              <w:rPr>
                <w:sz w:val="24"/>
                <w:szCs w:val="24"/>
              </w:rPr>
            </w:pPr>
            <w:r w:rsidRPr="004A3865">
              <w:rPr>
                <w:sz w:val="24"/>
                <w:szCs w:val="24"/>
              </w:rPr>
              <w:t>- Сумма в рублях</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9</w:t>
            </w:r>
          </w:p>
        </w:tc>
        <w:tc>
          <w:tcPr>
            <w:tcW w:w="1275" w:type="dxa"/>
          </w:tcPr>
          <w:p w:rsidR="00383778" w:rsidRPr="004A3865" w:rsidRDefault="00383778" w:rsidP="00383778">
            <w:pPr>
              <w:ind w:firstLine="0"/>
              <w:jc w:val="left"/>
              <w:rPr>
                <w:szCs w:val="24"/>
              </w:rPr>
            </w:pPr>
            <w:r w:rsidRPr="004A3865">
              <w:rPr>
                <w:szCs w:val="24"/>
              </w:rPr>
              <w:t>Сумма соглашения на ‘выбранное значение в фильтре «Год»’ год,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r w:rsidRPr="004A3865">
              <w:rPr>
                <w:szCs w:val="24"/>
              </w:rPr>
              <w:t>Сумма соглашения по графику соглашения на выбранное значение года в фильтре «Год»</w:t>
            </w:r>
          </w:p>
        </w:tc>
        <w:tc>
          <w:tcPr>
            <w:tcW w:w="3970" w:type="dxa"/>
            <w:shd w:val="clear" w:color="auto" w:fill="auto"/>
          </w:tcPr>
          <w:p w:rsidR="00383778" w:rsidRPr="004A3865" w:rsidRDefault="00383778" w:rsidP="005C6E50">
            <w:pPr>
              <w:pStyle w:val="afff6"/>
              <w:numPr>
                <w:ilvl w:val="0"/>
                <w:numId w:val="99"/>
              </w:numPr>
              <w:ind w:left="34" w:firstLine="0"/>
              <w:contextualSpacing/>
              <w:jc w:val="left"/>
              <w:rPr>
                <w:sz w:val="24"/>
                <w:szCs w:val="24"/>
              </w:rPr>
            </w:pPr>
            <w:r w:rsidRPr="004A3865">
              <w:rPr>
                <w:sz w:val="24"/>
                <w:szCs w:val="24"/>
              </w:rPr>
              <w:t xml:space="preserve">ПУР АСС =&gt; График платежей =&gt; </w:t>
            </w:r>
          </w:p>
          <w:p w:rsidR="00383778" w:rsidRPr="004A3865" w:rsidRDefault="00383778" w:rsidP="00383778">
            <w:pPr>
              <w:pStyle w:val="afff6"/>
              <w:ind w:left="34" w:firstLine="0"/>
              <w:jc w:val="left"/>
              <w:rPr>
                <w:sz w:val="24"/>
                <w:szCs w:val="24"/>
              </w:rPr>
            </w:pPr>
            <w:r w:rsidRPr="004A3865">
              <w:rPr>
                <w:sz w:val="24"/>
                <w:szCs w:val="24"/>
              </w:rPr>
              <w:t>- Сумма в рублях</w:t>
            </w:r>
          </w:p>
          <w:p w:rsidR="00383778" w:rsidRPr="004A3865" w:rsidRDefault="00383778" w:rsidP="00383778">
            <w:pPr>
              <w:pStyle w:val="afff6"/>
              <w:ind w:left="34" w:firstLine="0"/>
              <w:jc w:val="left"/>
              <w:rPr>
                <w:sz w:val="24"/>
                <w:szCs w:val="24"/>
              </w:rPr>
            </w:pPr>
            <w:r w:rsidRPr="004A3865">
              <w:rPr>
                <w:sz w:val="24"/>
                <w:szCs w:val="24"/>
              </w:rPr>
              <w:t>- Год осуществления платежа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10</w:t>
            </w:r>
          </w:p>
        </w:tc>
        <w:tc>
          <w:tcPr>
            <w:tcW w:w="1275" w:type="dxa"/>
          </w:tcPr>
          <w:p w:rsidR="00383778" w:rsidRPr="004A3865" w:rsidRDefault="00383778" w:rsidP="00383778">
            <w:pPr>
              <w:ind w:firstLine="0"/>
              <w:jc w:val="left"/>
              <w:rPr>
                <w:szCs w:val="24"/>
              </w:rPr>
            </w:pPr>
            <w:r w:rsidRPr="004A3865">
              <w:rPr>
                <w:szCs w:val="24"/>
              </w:rPr>
              <w:t>Сумма соглашения на ‘выбранное значение в фильтре «Год» +1’ год,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Сумма соглашения по графику соглашения на выбранное значение года в фильтре «Год»+1</w:t>
            </w:r>
          </w:p>
        </w:tc>
        <w:tc>
          <w:tcPr>
            <w:tcW w:w="3970" w:type="dxa"/>
            <w:shd w:val="clear" w:color="auto" w:fill="auto"/>
          </w:tcPr>
          <w:p w:rsidR="00383778" w:rsidRPr="004A3865" w:rsidRDefault="00383778" w:rsidP="005C6E50">
            <w:pPr>
              <w:pStyle w:val="afff6"/>
              <w:numPr>
                <w:ilvl w:val="0"/>
                <w:numId w:val="100"/>
              </w:numPr>
              <w:ind w:left="34" w:firstLine="0"/>
              <w:contextualSpacing/>
              <w:jc w:val="left"/>
              <w:rPr>
                <w:sz w:val="24"/>
                <w:szCs w:val="24"/>
              </w:rPr>
            </w:pPr>
            <w:r w:rsidRPr="004A3865">
              <w:rPr>
                <w:sz w:val="24"/>
                <w:szCs w:val="24"/>
              </w:rPr>
              <w:t>ПУР АСС =&gt; График платежей =&gt;</w:t>
            </w:r>
          </w:p>
          <w:p w:rsidR="00383778" w:rsidRPr="004A3865" w:rsidRDefault="00383778" w:rsidP="00383778">
            <w:pPr>
              <w:pStyle w:val="afff6"/>
              <w:ind w:left="34" w:firstLine="0"/>
              <w:jc w:val="left"/>
              <w:rPr>
                <w:sz w:val="24"/>
                <w:szCs w:val="24"/>
              </w:rPr>
            </w:pPr>
            <w:r w:rsidRPr="004A3865">
              <w:rPr>
                <w:sz w:val="24"/>
                <w:szCs w:val="24"/>
              </w:rPr>
              <w:t>- Сумма в рублях</w:t>
            </w:r>
          </w:p>
          <w:p w:rsidR="00383778" w:rsidRPr="004A3865" w:rsidRDefault="00383778" w:rsidP="00383778">
            <w:pPr>
              <w:pStyle w:val="afff6"/>
              <w:ind w:left="34" w:firstLine="0"/>
              <w:jc w:val="left"/>
              <w:rPr>
                <w:sz w:val="24"/>
                <w:szCs w:val="24"/>
              </w:rPr>
            </w:pPr>
            <w:r w:rsidRPr="004A3865">
              <w:rPr>
                <w:sz w:val="24"/>
                <w:szCs w:val="24"/>
              </w:rPr>
              <w:t>- Год осуществления платежа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11</w:t>
            </w:r>
          </w:p>
        </w:tc>
        <w:tc>
          <w:tcPr>
            <w:tcW w:w="1275" w:type="dxa"/>
          </w:tcPr>
          <w:p w:rsidR="00383778" w:rsidRPr="004A3865" w:rsidRDefault="00383778" w:rsidP="00383778">
            <w:pPr>
              <w:ind w:firstLine="0"/>
              <w:jc w:val="left"/>
              <w:rPr>
                <w:szCs w:val="24"/>
              </w:rPr>
            </w:pPr>
            <w:r w:rsidRPr="004A3865">
              <w:rPr>
                <w:szCs w:val="24"/>
              </w:rPr>
              <w:t>Сумма соглашения на ‘выбранное значение в фильтре «Год» +2’ год,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Сумма соглашения по графику соглашения на выбранное значение года в фильтре «Год»+2</w:t>
            </w:r>
          </w:p>
        </w:tc>
        <w:tc>
          <w:tcPr>
            <w:tcW w:w="3970" w:type="dxa"/>
            <w:shd w:val="clear" w:color="auto" w:fill="auto"/>
          </w:tcPr>
          <w:p w:rsidR="00383778" w:rsidRPr="004A3865" w:rsidRDefault="00383778" w:rsidP="005C6E50">
            <w:pPr>
              <w:pStyle w:val="afff6"/>
              <w:numPr>
                <w:ilvl w:val="0"/>
                <w:numId w:val="101"/>
              </w:numPr>
              <w:ind w:left="34" w:firstLine="0"/>
              <w:contextualSpacing/>
              <w:jc w:val="left"/>
              <w:rPr>
                <w:sz w:val="24"/>
                <w:szCs w:val="24"/>
              </w:rPr>
            </w:pPr>
            <w:r w:rsidRPr="004A3865">
              <w:rPr>
                <w:sz w:val="24"/>
                <w:szCs w:val="24"/>
              </w:rPr>
              <w:t>ПУР АСС =&gt; График платежей =&gt;</w:t>
            </w:r>
          </w:p>
          <w:p w:rsidR="00383778" w:rsidRPr="004A3865" w:rsidRDefault="00383778" w:rsidP="00383778">
            <w:pPr>
              <w:pStyle w:val="afff6"/>
              <w:ind w:left="34" w:firstLine="0"/>
              <w:jc w:val="left"/>
              <w:rPr>
                <w:sz w:val="24"/>
                <w:szCs w:val="24"/>
              </w:rPr>
            </w:pPr>
            <w:r w:rsidRPr="004A3865">
              <w:rPr>
                <w:sz w:val="24"/>
                <w:szCs w:val="24"/>
              </w:rPr>
              <w:t>- Сумма в рублях</w:t>
            </w:r>
          </w:p>
          <w:p w:rsidR="00383778" w:rsidRPr="004A3865" w:rsidRDefault="00383778" w:rsidP="00383778">
            <w:pPr>
              <w:pStyle w:val="afff6"/>
              <w:ind w:left="34" w:firstLine="0"/>
              <w:jc w:val="left"/>
              <w:rPr>
                <w:sz w:val="24"/>
                <w:szCs w:val="24"/>
              </w:rPr>
            </w:pPr>
            <w:r w:rsidRPr="004A3865">
              <w:rPr>
                <w:sz w:val="24"/>
                <w:szCs w:val="24"/>
              </w:rPr>
              <w:t>- Год осуществления платежа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12</w:t>
            </w:r>
          </w:p>
        </w:tc>
        <w:tc>
          <w:tcPr>
            <w:tcW w:w="1275" w:type="dxa"/>
          </w:tcPr>
          <w:p w:rsidR="00383778" w:rsidRPr="004A3865" w:rsidRDefault="00383778" w:rsidP="00383778">
            <w:pPr>
              <w:ind w:firstLine="0"/>
              <w:jc w:val="left"/>
              <w:rPr>
                <w:szCs w:val="24"/>
              </w:rPr>
            </w:pPr>
            <w:r w:rsidRPr="004A3865">
              <w:rPr>
                <w:szCs w:val="24"/>
              </w:rPr>
              <w:t>Сумма соглашения на будущие года,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Суммовое значение сумм соглашения по графику соглашения на годы, имеющие значение большее, чем значение в фильтре «Год»+2</w:t>
            </w:r>
          </w:p>
        </w:tc>
        <w:tc>
          <w:tcPr>
            <w:tcW w:w="3970" w:type="dxa"/>
            <w:shd w:val="clear" w:color="auto" w:fill="auto"/>
          </w:tcPr>
          <w:p w:rsidR="00383778" w:rsidRPr="004A3865" w:rsidRDefault="00383778" w:rsidP="005C6E50">
            <w:pPr>
              <w:pStyle w:val="afff6"/>
              <w:numPr>
                <w:ilvl w:val="0"/>
                <w:numId w:val="102"/>
              </w:numPr>
              <w:ind w:left="34" w:firstLine="0"/>
              <w:contextualSpacing/>
              <w:jc w:val="left"/>
              <w:rPr>
                <w:sz w:val="24"/>
                <w:szCs w:val="24"/>
              </w:rPr>
            </w:pPr>
            <w:r w:rsidRPr="004A3865">
              <w:rPr>
                <w:sz w:val="24"/>
                <w:szCs w:val="24"/>
              </w:rPr>
              <w:t>ПУР АСС =&gt; График платежей =&gt;</w:t>
            </w:r>
          </w:p>
          <w:p w:rsidR="00383778" w:rsidRPr="004A3865" w:rsidRDefault="00383778" w:rsidP="00383778">
            <w:pPr>
              <w:pStyle w:val="afff6"/>
              <w:ind w:left="34" w:firstLine="0"/>
              <w:jc w:val="left"/>
              <w:rPr>
                <w:sz w:val="24"/>
                <w:szCs w:val="24"/>
              </w:rPr>
            </w:pPr>
            <w:r w:rsidRPr="004A3865">
              <w:rPr>
                <w:sz w:val="24"/>
                <w:szCs w:val="24"/>
              </w:rPr>
              <w:t>- Сумма в рублях</w:t>
            </w:r>
          </w:p>
          <w:p w:rsidR="00383778" w:rsidRPr="004A3865" w:rsidRDefault="00383778" w:rsidP="00383778">
            <w:pPr>
              <w:pStyle w:val="afff6"/>
              <w:ind w:left="34" w:firstLine="0"/>
              <w:jc w:val="left"/>
              <w:rPr>
                <w:sz w:val="24"/>
                <w:szCs w:val="24"/>
              </w:rPr>
            </w:pPr>
            <w:r w:rsidRPr="004A3865">
              <w:rPr>
                <w:sz w:val="24"/>
                <w:szCs w:val="24"/>
              </w:rPr>
              <w:t>- Год осуществления платежа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13</w:t>
            </w:r>
          </w:p>
        </w:tc>
        <w:tc>
          <w:tcPr>
            <w:tcW w:w="1275" w:type="dxa"/>
          </w:tcPr>
          <w:p w:rsidR="00383778" w:rsidRPr="004A3865" w:rsidRDefault="00383778" w:rsidP="00383778">
            <w:pPr>
              <w:ind w:firstLine="0"/>
              <w:jc w:val="left"/>
              <w:rPr>
                <w:szCs w:val="24"/>
              </w:rPr>
            </w:pPr>
            <w:r w:rsidRPr="004A3865">
              <w:rPr>
                <w:szCs w:val="24"/>
              </w:rPr>
              <w:t>Исполнено всего,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Сумма по ИПС с верхним ограничением года выбранного в фильтре «Год» включительно</w:t>
            </w:r>
          </w:p>
        </w:tc>
        <w:tc>
          <w:tcPr>
            <w:tcW w:w="3970" w:type="dxa"/>
            <w:shd w:val="clear" w:color="auto" w:fill="auto"/>
          </w:tcPr>
          <w:p w:rsidR="00383778" w:rsidRPr="004A3865" w:rsidRDefault="00383778" w:rsidP="005C6E50">
            <w:pPr>
              <w:pStyle w:val="afff6"/>
              <w:numPr>
                <w:ilvl w:val="0"/>
                <w:numId w:val="103"/>
              </w:numPr>
              <w:ind w:left="34" w:firstLine="0"/>
              <w:contextualSpacing/>
              <w:jc w:val="left"/>
              <w:rPr>
                <w:sz w:val="24"/>
                <w:szCs w:val="24"/>
              </w:rPr>
            </w:pPr>
            <w:r w:rsidRPr="004A3865">
              <w:rPr>
                <w:sz w:val="24"/>
                <w:szCs w:val="24"/>
              </w:rPr>
              <w:t>ПУР АСС =&gt; Перечень ИПС =&gt;</w:t>
            </w:r>
          </w:p>
          <w:p w:rsidR="00383778" w:rsidRPr="004A3865" w:rsidRDefault="00383778" w:rsidP="00383778">
            <w:pPr>
              <w:pStyle w:val="afff6"/>
              <w:ind w:left="34" w:firstLine="0"/>
              <w:jc w:val="left"/>
              <w:rPr>
                <w:sz w:val="24"/>
                <w:szCs w:val="24"/>
              </w:rPr>
            </w:pPr>
            <w:r w:rsidRPr="004A3865">
              <w:rPr>
                <w:sz w:val="24"/>
                <w:szCs w:val="24"/>
              </w:rPr>
              <w:t>- Дата платежного документа</w:t>
            </w:r>
          </w:p>
          <w:p w:rsidR="00383778" w:rsidRPr="004A3865" w:rsidRDefault="00383778" w:rsidP="00383778">
            <w:pPr>
              <w:pStyle w:val="afff6"/>
              <w:ind w:left="34" w:firstLine="0"/>
              <w:jc w:val="left"/>
              <w:rPr>
                <w:sz w:val="24"/>
                <w:szCs w:val="24"/>
              </w:rPr>
            </w:pPr>
            <w:r w:rsidRPr="004A3865">
              <w:rPr>
                <w:sz w:val="24"/>
                <w:szCs w:val="24"/>
              </w:rPr>
              <w:t>- Сумма в рублях</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14</w:t>
            </w:r>
          </w:p>
        </w:tc>
        <w:tc>
          <w:tcPr>
            <w:tcW w:w="1275" w:type="dxa"/>
          </w:tcPr>
          <w:p w:rsidR="00383778" w:rsidRPr="004A3865" w:rsidRDefault="00383778" w:rsidP="00383778">
            <w:pPr>
              <w:ind w:firstLine="0"/>
              <w:jc w:val="left"/>
              <w:rPr>
                <w:szCs w:val="24"/>
              </w:rPr>
            </w:pPr>
            <w:r w:rsidRPr="004A3865">
              <w:rPr>
                <w:szCs w:val="24"/>
              </w:rPr>
              <w:t>Исполнено в ‘выбранное значение в фильтре «Год»’ году, ‘динамическое значение единиц измерения, зависящее от значения в фильтре «Единицы измерения»’</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r w:rsidRPr="004A3865">
              <w:rPr>
                <w:szCs w:val="24"/>
              </w:rPr>
              <w:t>Сумма по ИПС на выбранное значение года в фильтре «Год»</w:t>
            </w:r>
          </w:p>
        </w:tc>
        <w:tc>
          <w:tcPr>
            <w:tcW w:w="3970" w:type="dxa"/>
            <w:shd w:val="clear" w:color="auto" w:fill="auto"/>
          </w:tcPr>
          <w:p w:rsidR="00383778" w:rsidRPr="004A3865" w:rsidRDefault="00383778" w:rsidP="005C6E50">
            <w:pPr>
              <w:pStyle w:val="afff6"/>
              <w:numPr>
                <w:ilvl w:val="0"/>
                <w:numId w:val="104"/>
              </w:numPr>
              <w:ind w:left="34" w:firstLine="0"/>
              <w:contextualSpacing/>
              <w:jc w:val="left"/>
              <w:rPr>
                <w:sz w:val="24"/>
                <w:szCs w:val="24"/>
              </w:rPr>
            </w:pPr>
            <w:r w:rsidRPr="004A3865">
              <w:rPr>
                <w:sz w:val="24"/>
                <w:szCs w:val="24"/>
              </w:rPr>
              <w:t>ПУР АСС =&gt; Перечень ИПС =&gt;</w:t>
            </w:r>
          </w:p>
          <w:p w:rsidR="00383778" w:rsidRPr="004A3865" w:rsidRDefault="00383778" w:rsidP="00383778">
            <w:pPr>
              <w:pStyle w:val="afff6"/>
              <w:ind w:left="34" w:firstLine="0"/>
              <w:jc w:val="left"/>
              <w:rPr>
                <w:sz w:val="24"/>
                <w:szCs w:val="24"/>
              </w:rPr>
            </w:pPr>
            <w:r w:rsidRPr="004A3865">
              <w:rPr>
                <w:sz w:val="24"/>
                <w:szCs w:val="24"/>
              </w:rPr>
              <w:t>- Дата платежного документа</w:t>
            </w:r>
          </w:p>
          <w:p w:rsidR="00383778" w:rsidRPr="004A3865" w:rsidRDefault="00383778" w:rsidP="00383778">
            <w:pPr>
              <w:pStyle w:val="afff6"/>
              <w:ind w:left="34" w:firstLine="0"/>
              <w:jc w:val="left"/>
              <w:rPr>
                <w:sz w:val="24"/>
                <w:szCs w:val="24"/>
              </w:rPr>
            </w:pPr>
            <w:r w:rsidRPr="004A3865">
              <w:rPr>
                <w:sz w:val="24"/>
                <w:szCs w:val="24"/>
              </w:rPr>
              <w:t>- Сумма в рублях</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15</w:t>
            </w:r>
          </w:p>
        </w:tc>
        <w:tc>
          <w:tcPr>
            <w:tcW w:w="1275" w:type="dxa"/>
          </w:tcPr>
          <w:p w:rsidR="00383778" w:rsidRPr="004A3865" w:rsidRDefault="00383778" w:rsidP="00383778">
            <w:pPr>
              <w:ind w:firstLine="0"/>
              <w:jc w:val="left"/>
              <w:rPr>
                <w:szCs w:val="24"/>
              </w:rPr>
            </w:pPr>
            <w:r w:rsidRPr="004A3865">
              <w:rPr>
                <w:szCs w:val="24"/>
              </w:rPr>
              <w:t>% исполнения в ‘выбранное значение в фильтре «Год»’ году</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r w:rsidRPr="004A3865">
              <w:rPr>
                <w:szCs w:val="24"/>
              </w:rPr>
              <w:t>Расчетный показатель, равный отношению значения в колонке 14 к значению в колонке 9, имеющий процентный формат отображения</w:t>
            </w:r>
          </w:p>
        </w:tc>
        <w:tc>
          <w:tcPr>
            <w:tcW w:w="3970" w:type="dxa"/>
          </w:tcPr>
          <w:p w:rsidR="00383778" w:rsidRPr="004A3865" w:rsidRDefault="00383778" w:rsidP="00383778">
            <w:pPr>
              <w:ind w:left="34" w:firstLine="0"/>
              <w:jc w:val="left"/>
              <w:rPr>
                <w:szCs w:val="24"/>
              </w:rPr>
            </w:pP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16</w:t>
            </w:r>
          </w:p>
        </w:tc>
        <w:tc>
          <w:tcPr>
            <w:tcW w:w="1275" w:type="dxa"/>
          </w:tcPr>
          <w:p w:rsidR="00383778" w:rsidRPr="004A3865" w:rsidRDefault="00383778" w:rsidP="00383778">
            <w:pPr>
              <w:ind w:firstLine="0"/>
              <w:jc w:val="left"/>
              <w:rPr>
                <w:szCs w:val="24"/>
              </w:rPr>
            </w:pPr>
            <w:r w:rsidRPr="004A3865">
              <w:rPr>
                <w:szCs w:val="24"/>
              </w:rPr>
              <w:t>% исполнения всего</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Расчетный показатель, равный отношению значения в колонке 13 к значению в колонке 7, имеющий процентный формат отображения</w:t>
            </w:r>
          </w:p>
        </w:tc>
        <w:tc>
          <w:tcPr>
            <w:tcW w:w="3970" w:type="dxa"/>
          </w:tcPr>
          <w:p w:rsidR="00383778" w:rsidRPr="004A3865" w:rsidRDefault="00383778" w:rsidP="00383778">
            <w:pPr>
              <w:ind w:left="34" w:firstLine="0"/>
              <w:jc w:val="left"/>
              <w:rPr>
                <w:szCs w:val="24"/>
              </w:rPr>
            </w:pPr>
          </w:p>
        </w:tc>
      </w:tr>
      <w:tr w:rsidR="00383778" w:rsidRPr="004A3865" w:rsidTr="00DE7AE6">
        <w:tc>
          <w:tcPr>
            <w:tcW w:w="10207" w:type="dxa"/>
            <w:gridSpan w:val="5"/>
            <w:shd w:val="clear" w:color="auto" w:fill="D9D9D9" w:themeFill="background1" w:themeFillShade="D9"/>
          </w:tcPr>
          <w:p w:rsidR="00383778" w:rsidRPr="004A3865" w:rsidRDefault="00383778" w:rsidP="00383778">
            <w:pPr>
              <w:ind w:left="34" w:firstLine="0"/>
              <w:jc w:val="center"/>
              <w:rPr>
                <w:szCs w:val="24"/>
              </w:rPr>
            </w:pPr>
            <w:r w:rsidRPr="004A3865">
              <w:rPr>
                <w:szCs w:val="24"/>
              </w:rPr>
              <w:t>Блок реквизитов распорядителей и получателей бюджетных средств</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17</w:t>
            </w:r>
          </w:p>
        </w:tc>
        <w:tc>
          <w:tcPr>
            <w:tcW w:w="1275" w:type="dxa"/>
          </w:tcPr>
          <w:p w:rsidR="00383778" w:rsidRPr="004A3865" w:rsidRDefault="00383778" w:rsidP="00383778">
            <w:pPr>
              <w:ind w:firstLine="0"/>
              <w:jc w:val="left"/>
              <w:rPr>
                <w:szCs w:val="24"/>
              </w:rPr>
            </w:pPr>
            <w:r w:rsidRPr="004A3865">
              <w:rPr>
                <w:szCs w:val="24"/>
              </w:rPr>
              <w:t>Код ГРБС</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18</w:t>
            </w:r>
          </w:p>
        </w:tc>
        <w:tc>
          <w:tcPr>
            <w:tcW w:w="1275" w:type="dxa"/>
          </w:tcPr>
          <w:p w:rsidR="00383778" w:rsidRPr="004A3865" w:rsidRDefault="00383778" w:rsidP="00383778">
            <w:pPr>
              <w:ind w:firstLine="0"/>
              <w:jc w:val="left"/>
              <w:rPr>
                <w:szCs w:val="24"/>
              </w:rPr>
            </w:pPr>
            <w:r w:rsidRPr="004A3865">
              <w:rPr>
                <w:szCs w:val="24"/>
              </w:rPr>
              <w:t>Наименование ГРБС</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19</w:t>
            </w:r>
          </w:p>
        </w:tc>
        <w:tc>
          <w:tcPr>
            <w:tcW w:w="1275" w:type="dxa"/>
          </w:tcPr>
          <w:p w:rsidR="00383778" w:rsidRPr="004A3865" w:rsidRDefault="00383778" w:rsidP="00383778">
            <w:pPr>
              <w:ind w:firstLine="0"/>
              <w:jc w:val="left"/>
              <w:rPr>
                <w:szCs w:val="24"/>
              </w:rPr>
            </w:pPr>
            <w:r w:rsidRPr="004A3865">
              <w:rPr>
                <w:szCs w:val="24"/>
              </w:rPr>
              <w:t>Наименование получателя</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получателя субсидии =&gt; Полное наименование юридического лица/ФИО физического лица на русском языке</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20</w:t>
            </w:r>
          </w:p>
        </w:tc>
        <w:tc>
          <w:tcPr>
            <w:tcW w:w="1275" w:type="dxa"/>
          </w:tcPr>
          <w:p w:rsidR="00383778" w:rsidRPr="004A3865" w:rsidRDefault="00383778" w:rsidP="00383778">
            <w:pPr>
              <w:ind w:firstLine="0"/>
              <w:jc w:val="left"/>
              <w:rPr>
                <w:szCs w:val="24"/>
              </w:rPr>
            </w:pPr>
            <w:r w:rsidRPr="004A3865">
              <w:rPr>
                <w:szCs w:val="24"/>
              </w:rPr>
              <w:t>Код получателя по СвР</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получателя субсидии =&gt; Код по сводному реестру</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21</w:t>
            </w:r>
          </w:p>
        </w:tc>
        <w:tc>
          <w:tcPr>
            <w:tcW w:w="1275" w:type="dxa"/>
          </w:tcPr>
          <w:p w:rsidR="00383778" w:rsidRPr="004A3865" w:rsidRDefault="00383778" w:rsidP="00383778">
            <w:pPr>
              <w:ind w:firstLine="0"/>
              <w:jc w:val="left"/>
              <w:rPr>
                <w:szCs w:val="24"/>
              </w:rPr>
            </w:pPr>
            <w:r w:rsidRPr="004A3865">
              <w:rPr>
                <w:szCs w:val="24"/>
              </w:rPr>
              <w:t>ИНН получателя</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получателя субсидии =&gt; ИНН</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22</w:t>
            </w:r>
          </w:p>
        </w:tc>
        <w:tc>
          <w:tcPr>
            <w:tcW w:w="1275" w:type="dxa"/>
          </w:tcPr>
          <w:p w:rsidR="00383778" w:rsidRPr="004A3865" w:rsidRDefault="00383778" w:rsidP="00383778">
            <w:pPr>
              <w:ind w:firstLine="0"/>
              <w:jc w:val="left"/>
              <w:rPr>
                <w:szCs w:val="24"/>
              </w:rPr>
            </w:pPr>
            <w:r w:rsidRPr="004A3865">
              <w:rPr>
                <w:szCs w:val="24"/>
              </w:rPr>
              <w:t>КПП получателя</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Реквизиты получателя субсидии =&gt; КПП</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23</w:t>
            </w:r>
          </w:p>
        </w:tc>
        <w:tc>
          <w:tcPr>
            <w:tcW w:w="1275" w:type="dxa"/>
          </w:tcPr>
          <w:p w:rsidR="00383778" w:rsidRPr="004A3865" w:rsidRDefault="00383778" w:rsidP="00383778">
            <w:pPr>
              <w:ind w:firstLine="0"/>
              <w:jc w:val="left"/>
              <w:rPr>
                <w:szCs w:val="24"/>
              </w:rPr>
            </w:pPr>
            <w:r w:rsidRPr="004A3865">
              <w:rPr>
                <w:szCs w:val="24"/>
              </w:rPr>
              <w:t>Местоположение получателя</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r w:rsidRPr="004A3865">
              <w:rPr>
                <w:szCs w:val="24"/>
              </w:rPr>
              <w:t>Разыменовка по первым 8-ми символам ОКТМО местоположения получателя</w:t>
            </w:r>
          </w:p>
        </w:tc>
        <w:tc>
          <w:tcPr>
            <w:tcW w:w="3970" w:type="dxa"/>
          </w:tcPr>
          <w:p w:rsidR="00383778" w:rsidRPr="004A3865" w:rsidRDefault="00383778" w:rsidP="00383778">
            <w:pPr>
              <w:ind w:left="34" w:firstLine="0"/>
              <w:jc w:val="left"/>
              <w:rPr>
                <w:szCs w:val="24"/>
              </w:rPr>
            </w:pPr>
            <w:r w:rsidRPr="004A3865">
              <w:rPr>
                <w:szCs w:val="24"/>
              </w:rPr>
              <w:t>ПУР АСС =&gt; Реквизиты получателя субсидии =&gt; Место нахождения юридического/физического  лица получателя субсидии, получателя средств =&gt; Код территории населенного пункта по ОКТМО</w:t>
            </w:r>
          </w:p>
        </w:tc>
      </w:tr>
      <w:tr w:rsidR="00383778" w:rsidRPr="004A3865" w:rsidTr="00DE7AE6">
        <w:tc>
          <w:tcPr>
            <w:tcW w:w="10207" w:type="dxa"/>
            <w:gridSpan w:val="5"/>
          </w:tcPr>
          <w:p w:rsidR="00383778" w:rsidRPr="004A3865" w:rsidRDefault="00383778" w:rsidP="00383778">
            <w:pPr>
              <w:shd w:val="clear" w:color="auto" w:fill="D9D9D9" w:themeFill="background1" w:themeFillShade="D9"/>
              <w:ind w:left="34" w:firstLine="0"/>
              <w:jc w:val="center"/>
              <w:rPr>
                <w:szCs w:val="24"/>
              </w:rPr>
            </w:pPr>
            <w:r w:rsidRPr="004A3865">
              <w:rPr>
                <w:szCs w:val="24"/>
              </w:rPr>
              <w:t>Блок по отчетам о достижении результатов (по календарю предоставления отчетности)</w:t>
            </w:r>
          </w:p>
          <w:p w:rsidR="00383778" w:rsidRPr="004A3865" w:rsidRDefault="00383778" w:rsidP="00383778">
            <w:pPr>
              <w:ind w:left="34" w:firstLine="0"/>
              <w:jc w:val="left"/>
              <w:rPr>
                <w:szCs w:val="24"/>
              </w:rPr>
            </w:pPr>
            <w:r w:rsidRPr="004A3865">
              <w:rPr>
                <w:szCs w:val="24"/>
              </w:rPr>
              <w:t>Общая логика проверки корректности формирования значений в колонках:</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Колонка 24 = Колонка 25 + Колонка 26</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Колонка 26 = Колонка 27 + Колонка 28 + Колонка 29</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24</w:t>
            </w:r>
          </w:p>
        </w:tc>
        <w:tc>
          <w:tcPr>
            <w:tcW w:w="1275" w:type="dxa"/>
          </w:tcPr>
          <w:p w:rsidR="00383778" w:rsidRPr="004A3865" w:rsidRDefault="00383778" w:rsidP="00383778">
            <w:pPr>
              <w:ind w:firstLine="0"/>
              <w:jc w:val="left"/>
              <w:rPr>
                <w:szCs w:val="24"/>
              </w:rPr>
            </w:pPr>
            <w:r w:rsidRPr="004A3865">
              <w:rPr>
                <w:szCs w:val="24"/>
              </w:rPr>
              <w:t>Плановое количество отчетов,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8"/>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383778" w:rsidRPr="004A3865" w:rsidRDefault="00383778" w:rsidP="005C6E50">
            <w:pPr>
              <w:pStyle w:val="afff6"/>
              <w:numPr>
                <w:ilvl w:val="0"/>
                <w:numId w:val="108"/>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383778">
            <w:pPr>
              <w:ind w:left="34" w:firstLine="0"/>
              <w:jc w:val="left"/>
              <w:rPr>
                <w:szCs w:val="24"/>
              </w:rPr>
            </w:pPr>
            <w:r w:rsidRPr="004A3865">
              <w:rPr>
                <w:szCs w:val="24"/>
              </w:rPr>
              <w:t>ПУР АСС =&gt; Календарь предоставления отчетности =&gt; Тип отчета =&gt; отчет о достижении значений показателей результативности =&gt; Дата на которую сформирован отчет</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25</w:t>
            </w:r>
          </w:p>
        </w:tc>
        <w:tc>
          <w:tcPr>
            <w:tcW w:w="1275" w:type="dxa"/>
          </w:tcPr>
          <w:p w:rsidR="00383778" w:rsidRPr="004A3865" w:rsidRDefault="00383778" w:rsidP="00383778">
            <w:pPr>
              <w:ind w:firstLine="0"/>
              <w:jc w:val="left"/>
              <w:rPr>
                <w:szCs w:val="24"/>
              </w:rPr>
            </w:pPr>
            <w:r w:rsidRPr="004A3865">
              <w:rPr>
                <w:szCs w:val="24"/>
              </w:rPr>
              <w:t>Срок сдачи отчета не наступил,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5"/>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26</w:t>
            </w:r>
          </w:p>
        </w:tc>
        <w:tc>
          <w:tcPr>
            <w:tcW w:w="1275" w:type="dxa"/>
          </w:tcPr>
          <w:p w:rsidR="00383778" w:rsidRPr="004A3865" w:rsidRDefault="00383778" w:rsidP="00383778">
            <w:pPr>
              <w:ind w:firstLine="0"/>
              <w:jc w:val="left"/>
              <w:rPr>
                <w:szCs w:val="24"/>
              </w:rPr>
            </w:pPr>
            <w:r w:rsidRPr="004A3865">
              <w:rPr>
                <w:szCs w:val="24"/>
              </w:rPr>
              <w:t>Срок сдачи отчета наступил,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27</w:t>
            </w:r>
          </w:p>
        </w:tc>
        <w:tc>
          <w:tcPr>
            <w:tcW w:w="1275" w:type="dxa"/>
          </w:tcPr>
          <w:p w:rsidR="00383778" w:rsidRPr="004A3865" w:rsidRDefault="00383778" w:rsidP="00383778">
            <w:pPr>
              <w:ind w:firstLine="0"/>
              <w:jc w:val="left"/>
              <w:rPr>
                <w:szCs w:val="24"/>
              </w:rPr>
            </w:pPr>
            <w:r w:rsidRPr="004A3865">
              <w:rPr>
                <w:szCs w:val="24"/>
              </w:rPr>
              <w:t>Отчеты сданы в срок,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6"/>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28</w:t>
            </w:r>
          </w:p>
        </w:tc>
        <w:tc>
          <w:tcPr>
            <w:tcW w:w="1275" w:type="dxa"/>
          </w:tcPr>
          <w:p w:rsidR="00383778" w:rsidRPr="004A3865" w:rsidRDefault="00383778" w:rsidP="00383778">
            <w:pPr>
              <w:ind w:firstLine="0"/>
              <w:jc w:val="left"/>
              <w:rPr>
                <w:szCs w:val="24"/>
              </w:rPr>
            </w:pPr>
            <w:r w:rsidRPr="004A3865">
              <w:rPr>
                <w:szCs w:val="24"/>
              </w:rPr>
              <w:t>Отчеты сданы с нарушением срока,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29</w:t>
            </w:r>
          </w:p>
        </w:tc>
        <w:tc>
          <w:tcPr>
            <w:tcW w:w="1275" w:type="dxa"/>
          </w:tcPr>
          <w:p w:rsidR="00383778" w:rsidRPr="004A3865" w:rsidRDefault="00383778" w:rsidP="00383778">
            <w:pPr>
              <w:ind w:firstLine="0"/>
              <w:jc w:val="left"/>
              <w:rPr>
                <w:szCs w:val="24"/>
              </w:rPr>
            </w:pPr>
            <w:r w:rsidRPr="004A3865">
              <w:rPr>
                <w:szCs w:val="24"/>
              </w:rPr>
              <w:t>Не представлены отчеты о достижении результатов,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9"/>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10207" w:type="dxa"/>
            <w:gridSpan w:val="5"/>
          </w:tcPr>
          <w:p w:rsidR="00383778" w:rsidRPr="004A3865" w:rsidRDefault="00383778" w:rsidP="00383778">
            <w:pPr>
              <w:shd w:val="clear" w:color="auto" w:fill="D9D9D9" w:themeFill="background1" w:themeFillShade="D9"/>
              <w:ind w:left="34" w:firstLine="0"/>
              <w:jc w:val="center"/>
              <w:rPr>
                <w:szCs w:val="24"/>
              </w:rPr>
            </w:pPr>
            <w:r w:rsidRPr="004A3865">
              <w:rPr>
                <w:szCs w:val="24"/>
              </w:rPr>
              <w:t>Блок по количеству значений результатов</w:t>
            </w:r>
          </w:p>
          <w:p w:rsidR="00383778" w:rsidRPr="004A3865" w:rsidRDefault="00383778" w:rsidP="00383778">
            <w:pPr>
              <w:ind w:left="34" w:firstLine="0"/>
              <w:jc w:val="left"/>
              <w:rPr>
                <w:szCs w:val="24"/>
              </w:rPr>
            </w:pPr>
            <w:r w:rsidRPr="004A3865">
              <w:rPr>
                <w:szCs w:val="24"/>
              </w:rPr>
              <w:t>При подсчете значений результатов учитывается лишь последний сданный отчет (актуальный).</w:t>
            </w:r>
          </w:p>
          <w:p w:rsidR="00383778" w:rsidRPr="004A3865" w:rsidRDefault="00383778" w:rsidP="00383778">
            <w:pPr>
              <w:ind w:left="34" w:firstLine="0"/>
              <w:jc w:val="left"/>
              <w:rPr>
                <w:szCs w:val="24"/>
              </w:rPr>
            </w:pPr>
            <w:r w:rsidRPr="004A3865">
              <w:rPr>
                <w:szCs w:val="24"/>
              </w:rPr>
              <w:t>Отчеты, сданные первого числа нового года, относятся к предыдущему.</w:t>
            </w:r>
          </w:p>
          <w:p w:rsidR="00383778" w:rsidRPr="004A3865" w:rsidRDefault="00383778" w:rsidP="00383778">
            <w:pPr>
              <w:ind w:left="34" w:firstLine="0"/>
              <w:jc w:val="left"/>
              <w:rPr>
                <w:szCs w:val="24"/>
              </w:rPr>
            </w:pPr>
            <w:r w:rsidRPr="004A3865">
              <w:rPr>
                <w:szCs w:val="24"/>
              </w:rPr>
              <w:t>Общая логика проверки корректности формирования значений в колонках:</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Колонка 30 = Колонка 31 + Колонка 34 + Колонка 35</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Колонка 31 = Колонка 32 + Колонка 33</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30</w:t>
            </w:r>
          </w:p>
        </w:tc>
        <w:tc>
          <w:tcPr>
            <w:tcW w:w="1275" w:type="dxa"/>
          </w:tcPr>
          <w:p w:rsidR="00383778" w:rsidRPr="004A3865" w:rsidRDefault="00383778" w:rsidP="00383778">
            <w:pPr>
              <w:ind w:firstLine="0"/>
              <w:jc w:val="left"/>
              <w:rPr>
                <w:szCs w:val="24"/>
              </w:rPr>
            </w:pPr>
            <w:r w:rsidRPr="004A3865">
              <w:rPr>
                <w:szCs w:val="24"/>
              </w:rPr>
              <w:t>Запланированных,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Значение показателя по годам достижения =&gt; Срок (год), на который запланировано достижение показателя результативности (результата)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31</w:t>
            </w:r>
          </w:p>
        </w:tc>
        <w:tc>
          <w:tcPr>
            <w:tcW w:w="1275" w:type="dxa"/>
          </w:tcPr>
          <w:p w:rsidR="00383778" w:rsidRPr="004A3865" w:rsidRDefault="00383778" w:rsidP="00383778">
            <w:pPr>
              <w:ind w:firstLine="0"/>
              <w:jc w:val="left"/>
              <w:rPr>
                <w:szCs w:val="24"/>
              </w:rPr>
            </w:pPr>
            <w:r w:rsidRPr="004A3865">
              <w:rPr>
                <w:szCs w:val="24"/>
              </w:rPr>
              <w:t>Достигнутых в полном объеме,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pStyle w:val="afff6"/>
              <w:ind w:left="34" w:firstLine="0"/>
              <w:jc w:val="left"/>
              <w:rPr>
                <w:sz w:val="24"/>
                <w:szCs w:val="24"/>
              </w:rPr>
            </w:pPr>
            <w:r w:rsidRPr="004A3865">
              <w:rPr>
                <w:sz w:val="24"/>
                <w:szCs w:val="24"/>
              </w:rPr>
              <w:t>- Значение показателя результативности</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32</w:t>
            </w:r>
          </w:p>
        </w:tc>
        <w:tc>
          <w:tcPr>
            <w:tcW w:w="1275" w:type="dxa"/>
          </w:tcPr>
          <w:p w:rsidR="00383778" w:rsidRPr="004A3865" w:rsidRDefault="00383778" w:rsidP="00383778">
            <w:pPr>
              <w:ind w:firstLine="0"/>
              <w:jc w:val="left"/>
              <w:rPr>
                <w:szCs w:val="24"/>
              </w:rPr>
            </w:pPr>
            <w:r w:rsidRPr="004A3865">
              <w:rPr>
                <w:szCs w:val="24"/>
              </w:rPr>
              <w:t>Достигнутых в полном объеме в срок,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достижения меньше либо равна «Плановой дате»</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ind w:left="34" w:firstLine="0"/>
              <w:jc w:val="left"/>
              <w:rPr>
                <w:szCs w:val="24"/>
              </w:rPr>
            </w:pPr>
            <w:r w:rsidRPr="004A3865">
              <w:rPr>
                <w:szCs w:val="24"/>
              </w:rPr>
              <w:t>- Значение показателя результативности</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33</w:t>
            </w:r>
          </w:p>
        </w:tc>
        <w:tc>
          <w:tcPr>
            <w:tcW w:w="1275" w:type="dxa"/>
          </w:tcPr>
          <w:p w:rsidR="00383778" w:rsidRPr="004A3865" w:rsidRDefault="00383778" w:rsidP="00383778">
            <w:pPr>
              <w:ind w:firstLine="0"/>
              <w:jc w:val="left"/>
              <w:rPr>
                <w:szCs w:val="24"/>
              </w:rPr>
            </w:pPr>
            <w:r w:rsidRPr="004A3865">
              <w:rPr>
                <w:szCs w:val="24"/>
              </w:rPr>
              <w:t>Достигнутых в полном объеме с нарушением срока,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больше «Плановой даты»</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ind w:left="34" w:firstLine="0"/>
              <w:jc w:val="left"/>
              <w:rPr>
                <w:szCs w:val="24"/>
              </w:rPr>
            </w:pPr>
            <w:r w:rsidRPr="004A3865">
              <w:rPr>
                <w:szCs w:val="24"/>
              </w:rPr>
              <w:t>- Значение показателя результативности</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34</w:t>
            </w:r>
          </w:p>
        </w:tc>
        <w:tc>
          <w:tcPr>
            <w:tcW w:w="1275" w:type="dxa"/>
          </w:tcPr>
          <w:p w:rsidR="00383778" w:rsidRPr="004A3865" w:rsidRDefault="00383778" w:rsidP="00383778">
            <w:pPr>
              <w:ind w:firstLine="0"/>
              <w:jc w:val="left"/>
              <w:rPr>
                <w:szCs w:val="24"/>
              </w:rPr>
            </w:pPr>
            <w:r w:rsidRPr="004A3865">
              <w:rPr>
                <w:szCs w:val="24"/>
              </w:rPr>
              <w:t>Не достигнутых в полном объеме (в срок),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больше «Плановой даты» сдачи отчета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ind w:left="34" w:firstLine="0"/>
              <w:jc w:val="left"/>
              <w:rPr>
                <w:szCs w:val="24"/>
              </w:rPr>
            </w:pPr>
            <w:r w:rsidRPr="004A3865">
              <w:rPr>
                <w:szCs w:val="24"/>
              </w:rPr>
              <w:t>- Значение показателя результативности</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35</w:t>
            </w:r>
          </w:p>
        </w:tc>
        <w:tc>
          <w:tcPr>
            <w:tcW w:w="1275" w:type="dxa"/>
          </w:tcPr>
          <w:p w:rsidR="00383778" w:rsidRPr="004A3865" w:rsidRDefault="00383778" w:rsidP="00383778">
            <w:pPr>
              <w:ind w:firstLine="0"/>
              <w:jc w:val="left"/>
              <w:rPr>
                <w:szCs w:val="24"/>
              </w:rPr>
            </w:pPr>
            <w:r w:rsidRPr="004A3865">
              <w:rPr>
                <w:szCs w:val="24"/>
              </w:rPr>
              <w:t>Не достигнутых в полном объеме (срок не наступил),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меньше либо равна «Плановой дате» сдачи отчета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ind w:left="34" w:firstLine="0"/>
              <w:jc w:val="left"/>
              <w:rPr>
                <w:szCs w:val="24"/>
              </w:rPr>
            </w:pPr>
            <w:r w:rsidRPr="004A3865">
              <w:rPr>
                <w:szCs w:val="24"/>
              </w:rPr>
              <w:t>- Значение показателя результативности</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36</w:t>
            </w:r>
          </w:p>
        </w:tc>
        <w:tc>
          <w:tcPr>
            <w:tcW w:w="1275" w:type="dxa"/>
          </w:tcPr>
          <w:p w:rsidR="00383778" w:rsidRPr="004A3865" w:rsidRDefault="00383778" w:rsidP="00383778">
            <w:pPr>
              <w:ind w:firstLine="0"/>
              <w:jc w:val="left"/>
              <w:rPr>
                <w:szCs w:val="24"/>
              </w:rPr>
            </w:pPr>
            <w:r w:rsidRPr="004A3865">
              <w:rPr>
                <w:szCs w:val="24"/>
              </w:rPr>
              <w:t>% достижения результатов</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Расчетный показатель, равный отношению фактического значения результата к плановому, и последующему расчету среднеарифметического значения по всем значениям результатов в рамках соглашения на выбранное значение года в фильтре «Год»</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 xml:space="preserve">ПУР АСС =&gt; Реквизиты соглашения (договора), НПА =&gt; Плановые показатели результативности =&gt; </w:t>
            </w:r>
          </w:p>
          <w:p w:rsidR="00383778" w:rsidRPr="004A3865" w:rsidRDefault="00383778" w:rsidP="00383778">
            <w:pPr>
              <w:pStyle w:val="afff6"/>
              <w:ind w:left="34" w:firstLine="0"/>
              <w:jc w:val="left"/>
              <w:rPr>
                <w:sz w:val="24"/>
                <w:szCs w:val="24"/>
              </w:rPr>
            </w:pPr>
            <w:r w:rsidRPr="004A3865">
              <w:rPr>
                <w:sz w:val="24"/>
                <w:szCs w:val="24"/>
              </w:rPr>
              <w:t>- Номер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результативности/результата федерального (регионального) проекта</w:t>
            </w:r>
          </w:p>
          <w:p w:rsidR="00383778" w:rsidRPr="004A3865" w:rsidRDefault="00383778" w:rsidP="00383778">
            <w:pPr>
              <w:pStyle w:val="afff6"/>
              <w:ind w:left="34" w:firstLine="0"/>
              <w:jc w:val="left"/>
              <w:rPr>
                <w:sz w:val="24"/>
                <w:szCs w:val="24"/>
              </w:rPr>
            </w:pPr>
            <w:r w:rsidRPr="004A3865">
              <w:rPr>
                <w:sz w:val="24"/>
                <w:szCs w:val="24"/>
              </w:rPr>
              <w:t xml:space="preserve">- Значение показателя по годам достижения =&gt; </w:t>
            </w:r>
          </w:p>
          <w:p w:rsidR="00383778" w:rsidRPr="004A3865" w:rsidRDefault="00383778" w:rsidP="00383778">
            <w:pPr>
              <w:pStyle w:val="afff6"/>
              <w:ind w:left="34" w:firstLine="0"/>
              <w:jc w:val="left"/>
              <w:rPr>
                <w:sz w:val="24"/>
                <w:szCs w:val="24"/>
              </w:rPr>
            </w:pPr>
            <w:r w:rsidRPr="004A3865">
              <w:rPr>
                <w:sz w:val="24"/>
                <w:szCs w:val="24"/>
              </w:rPr>
              <w:t xml:space="preserve">        - Срок (год), на который запланировано достижение показателя результативности (результата)</w:t>
            </w:r>
          </w:p>
          <w:p w:rsidR="00383778" w:rsidRPr="004A3865" w:rsidRDefault="00383778" w:rsidP="00383778">
            <w:pPr>
              <w:pStyle w:val="afff6"/>
              <w:ind w:left="34" w:firstLine="0"/>
              <w:jc w:val="left"/>
              <w:rPr>
                <w:sz w:val="24"/>
                <w:szCs w:val="24"/>
              </w:rPr>
            </w:pPr>
            <w:r w:rsidRPr="004A3865">
              <w:rPr>
                <w:sz w:val="24"/>
                <w:szCs w:val="24"/>
              </w:rPr>
              <w:t xml:space="preserve">        - Плановое значение показателя результативности (результата)</w:t>
            </w:r>
          </w:p>
          <w:p w:rsidR="00383778" w:rsidRPr="004A3865" w:rsidRDefault="00383778" w:rsidP="005C6E50">
            <w:pPr>
              <w:pStyle w:val="afff6"/>
              <w:numPr>
                <w:ilvl w:val="0"/>
                <w:numId w:val="96"/>
              </w:numPr>
              <w:ind w:left="34" w:firstLine="0"/>
              <w:contextualSpacing/>
              <w:jc w:val="left"/>
              <w:rPr>
                <w:sz w:val="24"/>
                <w:szCs w:val="24"/>
              </w:rPr>
            </w:pPr>
            <w:r w:rsidRPr="004A386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383778" w:rsidRPr="004A3865" w:rsidRDefault="00383778" w:rsidP="00383778">
            <w:pPr>
              <w:pStyle w:val="afff6"/>
              <w:ind w:left="34" w:firstLine="0"/>
              <w:jc w:val="left"/>
              <w:rPr>
                <w:sz w:val="24"/>
                <w:szCs w:val="24"/>
              </w:rPr>
            </w:pPr>
            <w:r w:rsidRPr="004A3865">
              <w:rPr>
                <w:sz w:val="24"/>
                <w:szCs w:val="24"/>
              </w:rPr>
              <w:t>- Номер показателя</w:t>
            </w:r>
          </w:p>
          <w:p w:rsidR="00383778" w:rsidRPr="004A3865" w:rsidRDefault="00383778" w:rsidP="00383778">
            <w:pPr>
              <w:pStyle w:val="afff6"/>
              <w:ind w:left="34" w:firstLine="0"/>
              <w:jc w:val="left"/>
              <w:rPr>
                <w:sz w:val="24"/>
                <w:szCs w:val="24"/>
              </w:rPr>
            </w:pPr>
            <w:r w:rsidRPr="004A3865">
              <w:rPr>
                <w:sz w:val="24"/>
                <w:szCs w:val="24"/>
              </w:rPr>
              <w:t>- Наименование показателя результативности</w:t>
            </w:r>
          </w:p>
          <w:p w:rsidR="00383778" w:rsidRPr="004A3865" w:rsidRDefault="00383778" w:rsidP="00383778">
            <w:pPr>
              <w:pStyle w:val="afff6"/>
              <w:ind w:left="34" w:firstLine="0"/>
              <w:jc w:val="left"/>
              <w:rPr>
                <w:sz w:val="24"/>
                <w:szCs w:val="24"/>
              </w:rPr>
            </w:pPr>
            <w:r w:rsidRPr="004A3865">
              <w:rPr>
                <w:sz w:val="24"/>
                <w:szCs w:val="24"/>
              </w:rPr>
              <w:t>- Дата, на которую предоставляется информация</w:t>
            </w:r>
          </w:p>
          <w:p w:rsidR="00383778" w:rsidRPr="004A3865" w:rsidRDefault="00383778" w:rsidP="00383778">
            <w:pPr>
              <w:ind w:left="34" w:firstLine="0"/>
              <w:jc w:val="left"/>
              <w:rPr>
                <w:szCs w:val="24"/>
              </w:rPr>
            </w:pPr>
            <w:r w:rsidRPr="004A3865">
              <w:rPr>
                <w:szCs w:val="24"/>
              </w:rPr>
              <w:t>- Значение показателя результативности</w:t>
            </w:r>
          </w:p>
        </w:tc>
      </w:tr>
      <w:tr w:rsidR="00383778" w:rsidRPr="004A3865" w:rsidTr="00DE7AE6">
        <w:tc>
          <w:tcPr>
            <w:tcW w:w="10207" w:type="dxa"/>
            <w:gridSpan w:val="5"/>
          </w:tcPr>
          <w:p w:rsidR="00383778" w:rsidRPr="004A3865" w:rsidRDefault="00383778" w:rsidP="00383778">
            <w:pPr>
              <w:shd w:val="clear" w:color="auto" w:fill="D9D9D9" w:themeFill="background1" w:themeFillShade="D9"/>
              <w:ind w:left="34" w:firstLine="0"/>
              <w:jc w:val="center"/>
              <w:rPr>
                <w:szCs w:val="24"/>
              </w:rPr>
            </w:pPr>
            <w:r w:rsidRPr="004A3865">
              <w:rPr>
                <w:szCs w:val="24"/>
              </w:rPr>
              <w:t>Блок по отчетам об осуществлении расходов (по календарю предоставления отчетности)</w:t>
            </w:r>
          </w:p>
          <w:p w:rsidR="00383778" w:rsidRPr="004A3865" w:rsidRDefault="00383778" w:rsidP="00383778">
            <w:pPr>
              <w:ind w:left="34" w:firstLine="0"/>
              <w:jc w:val="left"/>
              <w:rPr>
                <w:szCs w:val="24"/>
              </w:rPr>
            </w:pPr>
            <w:r w:rsidRPr="004A3865">
              <w:rPr>
                <w:szCs w:val="24"/>
              </w:rPr>
              <w:t>Общая логика проверки корректности формирования значений в колонках:</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Колонка 37 = Колонка 38 + Колонка 39</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Колонка 39 = Колонка 40 + Колонка 41 + Колонка 42</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37</w:t>
            </w:r>
          </w:p>
        </w:tc>
        <w:tc>
          <w:tcPr>
            <w:tcW w:w="1275" w:type="dxa"/>
          </w:tcPr>
          <w:p w:rsidR="00383778" w:rsidRPr="004A3865" w:rsidRDefault="00383778" w:rsidP="00383778">
            <w:pPr>
              <w:ind w:firstLine="0"/>
              <w:jc w:val="left"/>
              <w:rPr>
                <w:szCs w:val="24"/>
              </w:rPr>
            </w:pPr>
            <w:r w:rsidRPr="004A3865">
              <w:rPr>
                <w:szCs w:val="24"/>
              </w:rPr>
              <w:t>Плановое количество отчетов,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383778">
            <w:pPr>
              <w:ind w:left="34" w:firstLine="0"/>
              <w:jc w:val="left"/>
              <w:rPr>
                <w:szCs w:val="24"/>
              </w:rPr>
            </w:pPr>
            <w:r w:rsidRPr="004A3865">
              <w:rPr>
                <w:szCs w:val="24"/>
              </w:rPr>
              <w:t>ПУР АСС =&gt; Календарь предоставления отчетности =&gt; Тип отчета =&gt; отчет о расходах =&gt; Дата на которую сформирован отчет</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38</w:t>
            </w:r>
          </w:p>
        </w:tc>
        <w:tc>
          <w:tcPr>
            <w:tcW w:w="1275" w:type="dxa"/>
          </w:tcPr>
          <w:p w:rsidR="00383778" w:rsidRPr="004A3865" w:rsidRDefault="00383778" w:rsidP="00383778">
            <w:pPr>
              <w:ind w:firstLine="0"/>
              <w:jc w:val="left"/>
              <w:rPr>
                <w:szCs w:val="24"/>
              </w:rPr>
            </w:pPr>
            <w:r w:rsidRPr="004A3865">
              <w:rPr>
                <w:szCs w:val="24"/>
              </w:rPr>
              <w:t>Срок сдачи отчета не наступил,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7"/>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расходах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39</w:t>
            </w:r>
          </w:p>
        </w:tc>
        <w:tc>
          <w:tcPr>
            <w:tcW w:w="1275" w:type="dxa"/>
          </w:tcPr>
          <w:p w:rsidR="00383778" w:rsidRPr="004A3865" w:rsidRDefault="00383778" w:rsidP="00383778">
            <w:pPr>
              <w:ind w:firstLine="0"/>
              <w:jc w:val="left"/>
              <w:rPr>
                <w:szCs w:val="24"/>
              </w:rPr>
            </w:pPr>
            <w:r w:rsidRPr="004A3865">
              <w:rPr>
                <w:szCs w:val="24"/>
              </w:rPr>
              <w:t>Срок сдачи отчета наступил,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7"/>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расходах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40</w:t>
            </w:r>
          </w:p>
        </w:tc>
        <w:tc>
          <w:tcPr>
            <w:tcW w:w="1275" w:type="dxa"/>
          </w:tcPr>
          <w:p w:rsidR="00383778" w:rsidRPr="004A3865" w:rsidRDefault="00383778" w:rsidP="00383778">
            <w:pPr>
              <w:ind w:firstLine="0"/>
              <w:jc w:val="left"/>
              <w:rPr>
                <w:szCs w:val="24"/>
              </w:rPr>
            </w:pPr>
            <w:r w:rsidRPr="004A3865">
              <w:rPr>
                <w:szCs w:val="24"/>
              </w:rPr>
              <w:t>Отчеты сданы в срок,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7"/>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расходах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41</w:t>
            </w:r>
          </w:p>
        </w:tc>
        <w:tc>
          <w:tcPr>
            <w:tcW w:w="1275" w:type="dxa"/>
          </w:tcPr>
          <w:p w:rsidR="00383778" w:rsidRPr="004A3865" w:rsidRDefault="00383778" w:rsidP="00383778">
            <w:pPr>
              <w:ind w:firstLine="0"/>
              <w:jc w:val="left"/>
              <w:rPr>
                <w:szCs w:val="24"/>
              </w:rPr>
            </w:pPr>
            <w:r w:rsidRPr="004A3865">
              <w:rPr>
                <w:szCs w:val="24"/>
              </w:rPr>
              <w:t>Отчеты сданы с нарушением срока,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7"/>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расходах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42</w:t>
            </w:r>
          </w:p>
        </w:tc>
        <w:tc>
          <w:tcPr>
            <w:tcW w:w="1275" w:type="dxa"/>
          </w:tcPr>
          <w:p w:rsidR="00383778" w:rsidRPr="004A3865" w:rsidRDefault="00383778" w:rsidP="00383778">
            <w:pPr>
              <w:ind w:firstLine="0"/>
              <w:jc w:val="left"/>
              <w:rPr>
                <w:szCs w:val="24"/>
              </w:rPr>
            </w:pPr>
            <w:r w:rsidRPr="004A3865">
              <w:rPr>
                <w:szCs w:val="24"/>
              </w:rPr>
              <w:t>Не представлены отчеты об осуществлении расходов, ед.</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383778" w:rsidRPr="004A3865" w:rsidRDefault="00383778" w:rsidP="005C6E50">
            <w:pPr>
              <w:pStyle w:val="afff6"/>
              <w:numPr>
                <w:ilvl w:val="0"/>
                <w:numId w:val="95"/>
              </w:numPr>
              <w:ind w:left="34" w:firstLine="0"/>
              <w:contextualSpacing/>
              <w:jc w:val="left"/>
              <w:rPr>
                <w:sz w:val="24"/>
                <w:szCs w:val="24"/>
              </w:rPr>
            </w:pPr>
            <w:r w:rsidRPr="004A3865">
              <w:rPr>
                <w:sz w:val="24"/>
                <w:szCs w:val="24"/>
              </w:rPr>
              <w:t>Реализован переход в «Реестр соглашений (ЕПБС)» (Вкладка «Отчетность»)</w:t>
            </w:r>
          </w:p>
        </w:tc>
        <w:tc>
          <w:tcPr>
            <w:tcW w:w="3970" w:type="dxa"/>
          </w:tcPr>
          <w:p w:rsidR="00383778" w:rsidRPr="004A3865" w:rsidRDefault="00383778" w:rsidP="005C6E50">
            <w:pPr>
              <w:pStyle w:val="afff6"/>
              <w:numPr>
                <w:ilvl w:val="0"/>
                <w:numId w:val="107"/>
              </w:numPr>
              <w:ind w:left="34" w:firstLine="0"/>
              <w:contextualSpacing/>
              <w:jc w:val="left"/>
              <w:rPr>
                <w:sz w:val="24"/>
                <w:szCs w:val="24"/>
              </w:rPr>
            </w:pPr>
            <w:r w:rsidRPr="004A3865">
              <w:rPr>
                <w:sz w:val="24"/>
                <w:szCs w:val="24"/>
              </w:rPr>
              <w:t>ПУР АСС =&gt; Календарь предоставления отчетности =&gt; Тип отчета =&gt; отчет о расходах =&gt;</w:t>
            </w:r>
          </w:p>
          <w:p w:rsidR="00383778" w:rsidRPr="004A3865" w:rsidRDefault="00383778" w:rsidP="00383778">
            <w:pPr>
              <w:pStyle w:val="afff6"/>
              <w:ind w:left="34" w:firstLine="0"/>
              <w:jc w:val="left"/>
              <w:rPr>
                <w:sz w:val="24"/>
                <w:szCs w:val="24"/>
              </w:rPr>
            </w:pPr>
            <w:r w:rsidRPr="004A3865">
              <w:rPr>
                <w:sz w:val="24"/>
                <w:szCs w:val="24"/>
              </w:rPr>
              <w:t>- Дата на которую сформирован отчет</w:t>
            </w:r>
          </w:p>
          <w:p w:rsidR="00383778" w:rsidRPr="004A3865" w:rsidRDefault="00383778" w:rsidP="00383778">
            <w:pPr>
              <w:pStyle w:val="afff6"/>
              <w:ind w:left="34" w:firstLine="0"/>
              <w:jc w:val="left"/>
              <w:rPr>
                <w:sz w:val="24"/>
                <w:szCs w:val="24"/>
              </w:rPr>
            </w:pPr>
            <w:r w:rsidRPr="004A3865">
              <w:rPr>
                <w:sz w:val="24"/>
                <w:szCs w:val="24"/>
              </w:rPr>
              <w:t>- Плановая дата предоставления отчета</w:t>
            </w:r>
          </w:p>
          <w:p w:rsidR="00383778" w:rsidRPr="004A3865" w:rsidRDefault="00383778" w:rsidP="00383778">
            <w:pPr>
              <w:pStyle w:val="afff6"/>
              <w:ind w:left="34" w:firstLine="0"/>
              <w:jc w:val="left"/>
              <w:rPr>
                <w:sz w:val="24"/>
                <w:szCs w:val="24"/>
              </w:rPr>
            </w:pPr>
            <w:r w:rsidRPr="004A3865">
              <w:rPr>
                <w:sz w:val="24"/>
                <w:szCs w:val="24"/>
              </w:rPr>
              <w:t>- Фактическая дата предоставления первого отчета</w:t>
            </w:r>
          </w:p>
        </w:tc>
      </w:tr>
      <w:tr w:rsidR="00383778" w:rsidRPr="004A3865" w:rsidTr="00DE7AE6">
        <w:tc>
          <w:tcPr>
            <w:tcW w:w="10207" w:type="dxa"/>
            <w:gridSpan w:val="5"/>
            <w:shd w:val="clear" w:color="auto" w:fill="D9D9D9" w:themeFill="background1" w:themeFillShade="D9"/>
          </w:tcPr>
          <w:p w:rsidR="00383778" w:rsidRPr="004A3865" w:rsidRDefault="00383778" w:rsidP="00383778">
            <w:pPr>
              <w:ind w:left="34" w:firstLine="0"/>
              <w:jc w:val="center"/>
              <w:rPr>
                <w:szCs w:val="24"/>
              </w:rPr>
            </w:pPr>
            <w:r w:rsidRPr="004A3865">
              <w:rPr>
                <w:szCs w:val="24"/>
              </w:rPr>
              <w:t>Информация по БО</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43</w:t>
            </w:r>
          </w:p>
        </w:tc>
        <w:tc>
          <w:tcPr>
            <w:tcW w:w="1275" w:type="dxa"/>
          </w:tcPr>
          <w:p w:rsidR="00383778" w:rsidRPr="004A3865" w:rsidRDefault="00383778" w:rsidP="00383778">
            <w:pPr>
              <w:ind w:firstLine="0"/>
              <w:jc w:val="left"/>
              <w:rPr>
                <w:szCs w:val="24"/>
                <w:lang w:val="en-US"/>
              </w:rPr>
            </w:pPr>
            <w:r w:rsidRPr="004A3865">
              <w:rPr>
                <w:szCs w:val="24"/>
              </w:rPr>
              <w:t>Учетный номер БО</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Отметка органа ФК =&gt; Номер БО</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44</w:t>
            </w:r>
          </w:p>
        </w:tc>
        <w:tc>
          <w:tcPr>
            <w:tcW w:w="1275" w:type="dxa"/>
          </w:tcPr>
          <w:p w:rsidR="00383778" w:rsidRPr="004A3865" w:rsidRDefault="00383778" w:rsidP="00383778">
            <w:pPr>
              <w:ind w:firstLine="0"/>
              <w:jc w:val="left"/>
              <w:rPr>
                <w:szCs w:val="24"/>
              </w:rPr>
            </w:pPr>
            <w:r w:rsidRPr="004A3865">
              <w:rPr>
                <w:szCs w:val="24"/>
              </w:rPr>
              <w:t>Дата постановки на учет БО</w:t>
            </w:r>
          </w:p>
        </w:tc>
        <w:tc>
          <w:tcPr>
            <w:tcW w:w="992" w:type="dxa"/>
          </w:tcPr>
          <w:p w:rsidR="00383778" w:rsidRPr="004A3865" w:rsidRDefault="00383778" w:rsidP="00383778">
            <w:pPr>
              <w:ind w:left="34" w:firstLine="0"/>
              <w:jc w:val="left"/>
              <w:rPr>
                <w:szCs w:val="24"/>
              </w:rPr>
            </w:pPr>
            <w:r w:rsidRPr="004A3865">
              <w:rPr>
                <w:szCs w:val="24"/>
              </w:rPr>
              <w:t>Раскрыта</w:t>
            </w:r>
          </w:p>
        </w:tc>
        <w:tc>
          <w:tcPr>
            <w:tcW w:w="3436" w:type="dxa"/>
          </w:tcPr>
          <w:p w:rsidR="00383778" w:rsidRPr="004A3865" w:rsidRDefault="00383778" w:rsidP="00383778">
            <w:pPr>
              <w:ind w:left="34" w:firstLine="0"/>
              <w:jc w:val="left"/>
              <w:rPr>
                <w:szCs w:val="24"/>
              </w:rPr>
            </w:pPr>
          </w:p>
        </w:tc>
        <w:tc>
          <w:tcPr>
            <w:tcW w:w="3970" w:type="dxa"/>
          </w:tcPr>
          <w:p w:rsidR="00383778" w:rsidRPr="004A3865" w:rsidRDefault="00383778" w:rsidP="00383778">
            <w:pPr>
              <w:ind w:left="34" w:firstLine="0"/>
              <w:jc w:val="left"/>
              <w:rPr>
                <w:szCs w:val="24"/>
              </w:rPr>
            </w:pPr>
            <w:r w:rsidRPr="004A3865">
              <w:rPr>
                <w:szCs w:val="24"/>
              </w:rPr>
              <w:t>ПУР АСС =&gt; Отметка органа ФК =&gt; Дата отражения на Л/С</w:t>
            </w:r>
          </w:p>
        </w:tc>
      </w:tr>
      <w:tr w:rsidR="00383778" w:rsidRPr="004A3865" w:rsidTr="00DE7AE6">
        <w:tc>
          <w:tcPr>
            <w:tcW w:w="10207" w:type="dxa"/>
            <w:gridSpan w:val="5"/>
            <w:shd w:val="clear" w:color="auto" w:fill="D9D9D9" w:themeFill="background1" w:themeFillShade="D9"/>
          </w:tcPr>
          <w:p w:rsidR="00383778" w:rsidRPr="004A3865" w:rsidRDefault="00383778" w:rsidP="00383778">
            <w:pPr>
              <w:ind w:left="34" w:firstLine="0"/>
              <w:jc w:val="center"/>
              <w:rPr>
                <w:szCs w:val="24"/>
              </w:rPr>
            </w:pPr>
            <w:r w:rsidRPr="004A3865">
              <w:rPr>
                <w:szCs w:val="24"/>
              </w:rPr>
              <w:t>Блок по признакам национального и федерального проектов</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45</w:t>
            </w:r>
          </w:p>
        </w:tc>
        <w:tc>
          <w:tcPr>
            <w:tcW w:w="1275" w:type="dxa"/>
          </w:tcPr>
          <w:p w:rsidR="00383778" w:rsidRPr="004A3865" w:rsidRDefault="00383778" w:rsidP="00383778">
            <w:pPr>
              <w:ind w:firstLine="0"/>
              <w:jc w:val="left"/>
              <w:rPr>
                <w:szCs w:val="24"/>
              </w:rPr>
            </w:pPr>
            <w:r w:rsidRPr="004A3865">
              <w:rPr>
                <w:szCs w:val="24"/>
              </w:rPr>
              <w:t>Код национального проекта</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11-й символ КБК</w:t>
            </w:r>
          </w:p>
        </w:tc>
        <w:tc>
          <w:tcPr>
            <w:tcW w:w="3970" w:type="dxa"/>
          </w:tcPr>
          <w:p w:rsidR="00383778" w:rsidRPr="004A3865" w:rsidRDefault="00383778" w:rsidP="00383778">
            <w:pPr>
              <w:ind w:left="34" w:firstLine="0"/>
              <w:jc w:val="left"/>
              <w:rPr>
                <w:szCs w:val="24"/>
              </w:rPr>
            </w:pPr>
            <w:r w:rsidRPr="004A3865">
              <w:rPr>
                <w:szCs w:val="24"/>
              </w:rPr>
              <w:t>ПУР АСС =&gt; График платежей =&gt; КБК</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46</w:t>
            </w:r>
          </w:p>
        </w:tc>
        <w:tc>
          <w:tcPr>
            <w:tcW w:w="1275" w:type="dxa"/>
          </w:tcPr>
          <w:p w:rsidR="00383778" w:rsidRPr="004A3865" w:rsidRDefault="00383778" w:rsidP="00383778">
            <w:pPr>
              <w:ind w:firstLine="0"/>
              <w:jc w:val="left"/>
              <w:rPr>
                <w:szCs w:val="24"/>
              </w:rPr>
            </w:pPr>
            <w:r w:rsidRPr="004A3865">
              <w:rPr>
                <w:szCs w:val="24"/>
              </w:rPr>
              <w:t>Наименование национального проекта</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Разыменовка в соответствии со значением 11-го символа КБК по справочнику</w:t>
            </w:r>
          </w:p>
        </w:tc>
        <w:tc>
          <w:tcPr>
            <w:tcW w:w="3970" w:type="dxa"/>
          </w:tcPr>
          <w:p w:rsidR="00383778" w:rsidRPr="004A3865" w:rsidRDefault="00383778" w:rsidP="00383778">
            <w:pPr>
              <w:ind w:left="34" w:firstLine="0"/>
              <w:jc w:val="left"/>
              <w:rPr>
                <w:szCs w:val="24"/>
              </w:rPr>
            </w:pP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47</w:t>
            </w:r>
          </w:p>
        </w:tc>
        <w:tc>
          <w:tcPr>
            <w:tcW w:w="1275" w:type="dxa"/>
          </w:tcPr>
          <w:p w:rsidR="00383778" w:rsidRPr="004A3865" w:rsidRDefault="00383778" w:rsidP="00383778">
            <w:pPr>
              <w:ind w:firstLine="0"/>
              <w:jc w:val="left"/>
              <w:rPr>
                <w:szCs w:val="24"/>
              </w:rPr>
            </w:pPr>
            <w:r w:rsidRPr="004A3865">
              <w:rPr>
                <w:szCs w:val="24"/>
              </w:rPr>
              <w:t>Код федерального проекта</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11-12 символы КБК</w:t>
            </w:r>
          </w:p>
        </w:tc>
        <w:tc>
          <w:tcPr>
            <w:tcW w:w="3970" w:type="dxa"/>
          </w:tcPr>
          <w:p w:rsidR="00383778" w:rsidRPr="004A3865" w:rsidRDefault="00383778" w:rsidP="00383778">
            <w:pPr>
              <w:ind w:left="34" w:firstLine="0"/>
              <w:jc w:val="left"/>
              <w:rPr>
                <w:szCs w:val="24"/>
              </w:rPr>
            </w:pPr>
            <w:r w:rsidRPr="004A3865">
              <w:rPr>
                <w:szCs w:val="24"/>
              </w:rPr>
              <w:t>ПУР АСС =&gt; График платежей =&gt; КБК</w:t>
            </w:r>
          </w:p>
        </w:tc>
      </w:tr>
      <w:tr w:rsidR="00383778" w:rsidRPr="004A3865" w:rsidTr="00DE7AE6">
        <w:tc>
          <w:tcPr>
            <w:tcW w:w="534" w:type="dxa"/>
          </w:tcPr>
          <w:p w:rsidR="00383778" w:rsidRPr="004A3865" w:rsidRDefault="00383778" w:rsidP="00383778">
            <w:pPr>
              <w:ind w:right="-7" w:firstLine="0"/>
              <w:jc w:val="left"/>
              <w:rPr>
                <w:szCs w:val="24"/>
              </w:rPr>
            </w:pPr>
            <w:r w:rsidRPr="004A3865">
              <w:rPr>
                <w:szCs w:val="24"/>
              </w:rPr>
              <w:t>48</w:t>
            </w:r>
          </w:p>
        </w:tc>
        <w:tc>
          <w:tcPr>
            <w:tcW w:w="1275" w:type="dxa"/>
          </w:tcPr>
          <w:p w:rsidR="00383778" w:rsidRPr="004A3865" w:rsidRDefault="00383778" w:rsidP="00383778">
            <w:pPr>
              <w:ind w:firstLine="0"/>
              <w:jc w:val="left"/>
              <w:rPr>
                <w:szCs w:val="24"/>
              </w:rPr>
            </w:pPr>
            <w:r w:rsidRPr="004A3865">
              <w:rPr>
                <w:szCs w:val="24"/>
              </w:rPr>
              <w:t>Наименование федерального проекта</w:t>
            </w:r>
          </w:p>
        </w:tc>
        <w:tc>
          <w:tcPr>
            <w:tcW w:w="992" w:type="dxa"/>
          </w:tcPr>
          <w:p w:rsidR="00383778" w:rsidRPr="004A3865" w:rsidRDefault="00383778" w:rsidP="00383778">
            <w:pPr>
              <w:ind w:left="34" w:firstLine="0"/>
              <w:jc w:val="left"/>
              <w:rPr>
                <w:szCs w:val="24"/>
              </w:rPr>
            </w:pPr>
            <w:r w:rsidRPr="004A3865">
              <w:rPr>
                <w:szCs w:val="24"/>
              </w:rPr>
              <w:t>Скрыта</w:t>
            </w:r>
          </w:p>
        </w:tc>
        <w:tc>
          <w:tcPr>
            <w:tcW w:w="3436" w:type="dxa"/>
          </w:tcPr>
          <w:p w:rsidR="00383778" w:rsidRPr="004A3865" w:rsidRDefault="00383778" w:rsidP="00383778">
            <w:pPr>
              <w:ind w:left="34" w:firstLine="0"/>
              <w:jc w:val="left"/>
              <w:rPr>
                <w:szCs w:val="24"/>
              </w:rPr>
            </w:pPr>
            <w:r w:rsidRPr="004A3865">
              <w:rPr>
                <w:szCs w:val="24"/>
              </w:rPr>
              <w:t>Разыменовка в соответствии со значением 11-12-го символов КБК по справочнику</w:t>
            </w:r>
          </w:p>
        </w:tc>
        <w:tc>
          <w:tcPr>
            <w:tcW w:w="3970" w:type="dxa"/>
          </w:tcPr>
          <w:p w:rsidR="00383778" w:rsidRPr="004A3865" w:rsidRDefault="00383778" w:rsidP="00383778">
            <w:pPr>
              <w:ind w:left="34" w:firstLine="0"/>
              <w:jc w:val="left"/>
              <w:rPr>
                <w:szCs w:val="24"/>
              </w:rPr>
            </w:pPr>
          </w:p>
        </w:tc>
      </w:tr>
    </w:tbl>
    <w:p w:rsidR="00383778" w:rsidRPr="002D1FAC" w:rsidRDefault="00383778" w:rsidP="00383778"/>
    <w:p w:rsidR="00383778" w:rsidRPr="004435FA" w:rsidRDefault="00383778" w:rsidP="00383778">
      <w:pPr>
        <w:ind w:firstLine="709"/>
        <w:rPr>
          <w:sz w:val="28"/>
          <w:szCs w:val="28"/>
        </w:rPr>
      </w:pPr>
      <w:r w:rsidRPr="004435FA">
        <w:rPr>
          <w:sz w:val="28"/>
          <w:szCs w:val="28"/>
        </w:rPr>
        <w:t>Область фильтров:</w:t>
      </w:r>
    </w:p>
    <w:tbl>
      <w:tblPr>
        <w:tblStyle w:val="affe"/>
        <w:tblW w:w="10348" w:type="dxa"/>
        <w:tblInd w:w="-459" w:type="dxa"/>
        <w:tblLayout w:type="fixed"/>
        <w:tblLook w:val="04A0" w:firstRow="1" w:lastRow="0" w:firstColumn="1" w:lastColumn="0" w:noHBand="0" w:noVBand="1"/>
      </w:tblPr>
      <w:tblGrid>
        <w:gridCol w:w="567"/>
        <w:gridCol w:w="1701"/>
        <w:gridCol w:w="3828"/>
        <w:gridCol w:w="4252"/>
      </w:tblGrid>
      <w:tr w:rsidR="00383778" w:rsidRPr="004435FA" w:rsidTr="00383778">
        <w:trPr>
          <w:tblHeader/>
        </w:trPr>
        <w:tc>
          <w:tcPr>
            <w:tcW w:w="567" w:type="dxa"/>
            <w:shd w:val="clear" w:color="auto" w:fill="F2F2F2" w:themeFill="background1" w:themeFillShade="F2"/>
          </w:tcPr>
          <w:p w:rsidR="00383778" w:rsidRPr="004435FA" w:rsidRDefault="00383778" w:rsidP="00383778">
            <w:pPr>
              <w:ind w:firstLine="0"/>
              <w:jc w:val="center"/>
              <w:rPr>
                <w:b/>
                <w:szCs w:val="24"/>
              </w:rPr>
            </w:pPr>
            <w:r w:rsidRPr="004435FA">
              <w:rPr>
                <w:b/>
                <w:szCs w:val="24"/>
              </w:rPr>
              <w:t>№ п/п</w:t>
            </w:r>
          </w:p>
        </w:tc>
        <w:tc>
          <w:tcPr>
            <w:tcW w:w="1701" w:type="dxa"/>
            <w:shd w:val="clear" w:color="auto" w:fill="F2F2F2" w:themeFill="background1" w:themeFillShade="F2"/>
          </w:tcPr>
          <w:p w:rsidR="00383778" w:rsidRPr="004435FA" w:rsidRDefault="00383778" w:rsidP="00383778">
            <w:pPr>
              <w:ind w:firstLine="0"/>
              <w:jc w:val="center"/>
              <w:rPr>
                <w:b/>
                <w:szCs w:val="24"/>
              </w:rPr>
            </w:pPr>
            <w:r w:rsidRPr="004435FA">
              <w:rPr>
                <w:b/>
                <w:szCs w:val="24"/>
              </w:rPr>
              <w:t>Наименование фильтра</w:t>
            </w:r>
          </w:p>
        </w:tc>
        <w:tc>
          <w:tcPr>
            <w:tcW w:w="3828" w:type="dxa"/>
            <w:shd w:val="clear" w:color="auto" w:fill="F2F2F2" w:themeFill="background1" w:themeFillShade="F2"/>
          </w:tcPr>
          <w:p w:rsidR="00383778" w:rsidRPr="004435FA" w:rsidRDefault="00383778" w:rsidP="00383778">
            <w:pPr>
              <w:ind w:firstLine="0"/>
              <w:jc w:val="center"/>
              <w:rPr>
                <w:b/>
                <w:szCs w:val="24"/>
              </w:rPr>
            </w:pPr>
            <w:r w:rsidRPr="004435FA">
              <w:rPr>
                <w:b/>
                <w:szCs w:val="24"/>
              </w:rPr>
              <w:t>Алгоритм</w:t>
            </w:r>
          </w:p>
        </w:tc>
        <w:tc>
          <w:tcPr>
            <w:tcW w:w="4252" w:type="dxa"/>
            <w:shd w:val="clear" w:color="auto" w:fill="F2F2F2" w:themeFill="background1" w:themeFillShade="F2"/>
          </w:tcPr>
          <w:p w:rsidR="00383778" w:rsidRPr="004435FA" w:rsidRDefault="00383778" w:rsidP="00383778">
            <w:pPr>
              <w:ind w:firstLine="0"/>
              <w:jc w:val="center"/>
              <w:rPr>
                <w:b/>
                <w:szCs w:val="24"/>
              </w:rPr>
            </w:pPr>
            <w:r w:rsidRPr="004435FA">
              <w:rPr>
                <w:b/>
                <w:szCs w:val="24"/>
              </w:rPr>
              <w:t>Источник данных</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w:t>
            </w:r>
          </w:p>
        </w:tc>
        <w:tc>
          <w:tcPr>
            <w:tcW w:w="1701" w:type="dxa"/>
          </w:tcPr>
          <w:p w:rsidR="00383778" w:rsidRPr="004435FA" w:rsidRDefault="00383778" w:rsidP="00383778">
            <w:pPr>
              <w:ind w:firstLine="0"/>
              <w:jc w:val="left"/>
              <w:rPr>
                <w:szCs w:val="24"/>
              </w:rPr>
            </w:pPr>
            <w:r w:rsidRPr="004435FA">
              <w:rPr>
                <w:szCs w:val="24"/>
              </w:rPr>
              <w:t xml:space="preserve">Обновить </w:t>
            </w:r>
            <w:r w:rsidRPr="004435FA">
              <w:rPr>
                <w:noProof/>
                <w:szCs w:val="24"/>
              </w:rPr>
              <w:drawing>
                <wp:inline distT="0" distB="0" distL="0" distR="0" wp14:anchorId="5FF9A1F3" wp14:editId="06C6E0AA">
                  <wp:extent cx="476190" cy="476190"/>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828" w:type="dxa"/>
          </w:tcPr>
          <w:p w:rsidR="00383778" w:rsidRPr="004435FA" w:rsidRDefault="00383778" w:rsidP="00383778">
            <w:pPr>
              <w:ind w:firstLine="0"/>
              <w:jc w:val="left"/>
              <w:rPr>
                <w:szCs w:val="24"/>
              </w:rPr>
            </w:pPr>
            <w:r w:rsidRPr="004435FA">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383778" w:rsidRPr="004435FA" w:rsidRDefault="00383778" w:rsidP="00383778">
            <w:pPr>
              <w:pStyle w:val="afff6"/>
              <w:ind w:left="34" w:firstLine="0"/>
              <w:jc w:val="left"/>
              <w:rPr>
                <w:sz w:val="24"/>
                <w:szCs w:val="24"/>
              </w:rPr>
            </w:pP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2</w:t>
            </w:r>
          </w:p>
        </w:tc>
        <w:tc>
          <w:tcPr>
            <w:tcW w:w="1701" w:type="dxa"/>
          </w:tcPr>
          <w:p w:rsidR="00383778" w:rsidRPr="004435FA" w:rsidRDefault="00383778" w:rsidP="00383778">
            <w:pPr>
              <w:ind w:firstLine="0"/>
              <w:jc w:val="left"/>
              <w:rPr>
                <w:szCs w:val="24"/>
              </w:rPr>
            </w:pPr>
            <w:r w:rsidRPr="004435FA">
              <w:rPr>
                <w:szCs w:val="24"/>
              </w:rPr>
              <w:t>Год</w:t>
            </w:r>
          </w:p>
        </w:tc>
        <w:tc>
          <w:tcPr>
            <w:tcW w:w="3828" w:type="dxa"/>
          </w:tcPr>
          <w:p w:rsidR="00383778" w:rsidRPr="004435FA" w:rsidRDefault="00383778" w:rsidP="00383778">
            <w:pPr>
              <w:ind w:firstLine="0"/>
              <w:jc w:val="left"/>
              <w:rPr>
                <w:szCs w:val="24"/>
              </w:rPr>
            </w:pPr>
            <w:r w:rsidRPr="004435FA">
              <w:rPr>
                <w:szCs w:val="24"/>
              </w:rPr>
              <w:t>Фильтрация по году из графика соглашения</w:t>
            </w:r>
          </w:p>
          <w:p w:rsidR="00383778" w:rsidRPr="004435FA" w:rsidRDefault="00383778" w:rsidP="00383778">
            <w:pPr>
              <w:ind w:firstLine="0"/>
              <w:jc w:val="left"/>
              <w:rPr>
                <w:szCs w:val="24"/>
              </w:rPr>
            </w:pPr>
            <w:r w:rsidRPr="004435FA">
              <w:rPr>
                <w:szCs w:val="24"/>
              </w:rPr>
              <w:t>Возможность выбора только одного значения параметра из выпадающего списка, отсутствует возможность контекстного поиска</w:t>
            </w:r>
          </w:p>
          <w:p w:rsidR="00383778" w:rsidRPr="004435FA" w:rsidRDefault="00383778" w:rsidP="00383778">
            <w:pPr>
              <w:ind w:firstLine="0"/>
              <w:jc w:val="left"/>
              <w:rPr>
                <w:szCs w:val="24"/>
              </w:rPr>
            </w:pPr>
            <w:r w:rsidRPr="004435FA">
              <w:rPr>
                <w:szCs w:val="24"/>
              </w:rPr>
              <w:t>По умолчанию установлено значение текущего календарного года</w:t>
            </w:r>
          </w:p>
        </w:tc>
        <w:tc>
          <w:tcPr>
            <w:tcW w:w="4252" w:type="dxa"/>
          </w:tcPr>
          <w:p w:rsidR="00383778" w:rsidRPr="004435FA" w:rsidRDefault="00383778" w:rsidP="00383778">
            <w:pPr>
              <w:pStyle w:val="afff6"/>
              <w:ind w:left="34" w:firstLine="0"/>
              <w:jc w:val="left"/>
              <w:rPr>
                <w:sz w:val="24"/>
                <w:szCs w:val="24"/>
              </w:rPr>
            </w:pPr>
            <w:r w:rsidRPr="004435FA">
              <w:rPr>
                <w:sz w:val="24"/>
                <w:szCs w:val="24"/>
              </w:rPr>
              <w:t>ПУР АСС =&gt; График платежей =&gt; Год осуществления платежа</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3</w:t>
            </w:r>
          </w:p>
        </w:tc>
        <w:tc>
          <w:tcPr>
            <w:tcW w:w="1701" w:type="dxa"/>
          </w:tcPr>
          <w:p w:rsidR="00383778" w:rsidRPr="004435FA" w:rsidRDefault="00383778" w:rsidP="00383778">
            <w:pPr>
              <w:ind w:firstLine="0"/>
              <w:jc w:val="left"/>
              <w:rPr>
                <w:szCs w:val="24"/>
              </w:rPr>
            </w:pPr>
            <w:r w:rsidRPr="004435FA">
              <w:rPr>
                <w:szCs w:val="24"/>
              </w:rPr>
              <w:t>Код ГРБС</w:t>
            </w:r>
          </w:p>
        </w:tc>
        <w:tc>
          <w:tcPr>
            <w:tcW w:w="3828" w:type="dxa"/>
          </w:tcPr>
          <w:p w:rsidR="00383778" w:rsidRPr="004435FA" w:rsidRDefault="00383778" w:rsidP="00383778">
            <w:pPr>
              <w:ind w:firstLine="0"/>
              <w:jc w:val="left"/>
              <w:rPr>
                <w:szCs w:val="24"/>
              </w:rPr>
            </w:pPr>
            <w:r w:rsidRPr="004435FA">
              <w:rPr>
                <w:szCs w:val="24"/>
              </w:rPr>
              <w:t>Фильтрация по коду ГРБС</w:t>
            </w:r>
          </w:p>
          <w:p w:rsidR="00383778" w:rsidRPr="004435FA" w:rsidRDefault="00383778" w:rsidP="00383778">
            <w:pPr>
              <w:ind w:firstLine="0"/>
              <w:jc w:val="left"/>
              <w:rPr>
                <w:szCs w:val="24"/>
              </w:rPr>
            </w:pPr>
            <w:r w:rsidRPr="004435FA">
              <w:rPr>
                <w:szCs w:val="24"/>
              </w:rPr>
              <w:t>Реализована возможность множественного выбора и контекстного поиска</w:t>
            </w:r>
          </w:p>
          <w:p w:rsidR="00383778" w:rsidRPr="004435FA" w:rsidRDefault="00383778" w:rsidP="00383778">
            <w:pPr>
              <w:ind w:firstLine="0"/>
              <w:jc w:val="left"/>
              <w:rPr>
                <w:szCs w:val="24"/>
              </w:rPr>
            </w:pPr>
            <w:r w:rsidRPr="004435FA">
              <w:rPr>
                <w:szCs w:val="24"/>
              </w:rPr>
              <w:t>По умолчанию установлено значение «Все»</w:t>
            </w:r>
          </w:p>
        </w:tc>
        <w:tc>
          <w:tcPr>
            <w:tcW w:w="4252" w:type="dxa"/>
          </w:tcPr>
          <w:p w:rsidR="00383778" w:rsidRPr="004435FA" w:rsidRDefault="00383778" w:rsidP="00383778">
            <w:pPr>
              <w:ind w:firstLine="0"/>
              <w:jc w:val="left"/>
              <w:rPr>
                <w:szCs w:val="24"/>
              </w:rPr>
            </w:pPr>
            <w:r w:rsidRPr="004435FA">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4</w:t>
            </w:r>
          </w:p>
        </w:tc>
        <w:tc>
          <w:tcPr>
            <w:tcW w:w="1701" w:type="dxa"/>
          </w:tcPr>
          <w:p w:rsidR="00383778" w:rsidRPr="004435FA" w:rsidRDefault="00383778" w:rsidP="00383778">
            <w:pPr>
              <w:ind w:firstLine="0"/>
              <w:jc w:val="left"/>
              <w:rPr>
                <w:szCs w:val="24"/>
              </w:rPr>
            </w:pPr>
            <w:r w:rsidRPr="004435FA">
              <w:rPr>
                <w:szCs w:val="24"/>
              </w:rPr>
              <w:t>РЗПР</w:t>
            </w:r>
          </w:p>
        </w:tc>
        <w:tc>
          <w:tcPr>
            <w:tcW w:w="3828" w:type="dxa"/>
          </w:tcPr>
          <w:p w:rsidR="00383778" w:rsidRPr="004435FA" w:rsidRDefault="00383778" w:rsidP="00383778">
            <w:pPr>
              <w:ind w:firstLine="0"/>
              <w:jc w:val="left"/>
              <w:rPr>
                <w:szCs w:val="24"/>
              </w:rPr>
            </w:pPr>
            <w:r w:rsidRPr="004435FA">
              <w:rPr>
                <w:szCs w:val="24"/>
              </w:rPr>
              <w:t>Фильтрация по 4-7 символам КБК</w:t>
            </w:r>
          </w:p>
          <w:p w:rsidR="00383778" w:rsidRPr="004435FA" w:rsidRDefault="00383778" w:rsidP="00383778">
            <w:pPr>
              <w:ind w:firstLine="0"/>
              <w:jc w:val="left"/>
              <w:rPr>
                <w:szCs w:val="24"/>
              </w:rPr>
            </w:pPr>
            <w:r w:rsidRPr="004435FA">
              <w:rPr>
                <w:szCs w:val="24"/>
              </w:rPr>
              <w:t>Иерархический фильтр с возможностью выбора только одного параметра единовременно, а также с возможностью контекстного поиска</w:t>
            </w:r>
          </w:p>
          <w:p w:rsidR="00383778" w:rsidRPr="004435FA" w:rsidRDefault="00383778" w:rsidP="00383778">
            <w:pPr>
              <w:ind w:firstLine="0"/>
              <w:jc w:val="left"/>
              <w:rPr>
                <w:szCs w:val="24"/>
              </w:rPr>
            </w:pPr>
            <w:r w:rsidRPr="004435FA">
              <w:rPr>
                <w:szCs w:val="24"/>
              </w:rPr>
              <w:t>По умолчанию установлено значение «Все»</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5</w:t>
            </w:r>
          </w:p>
        </w:tc>
        <w:tc>
          <w:tcPr>
            <w:tcW w:w="1701" w:type="dxa"/>
          </w:tcPr>
          <w:p w:rsidR="00383778" w:rsidRPr="004435FA" w:rsidRDefault="00383778" w:rsidP="00383778">
            <w:pPr>
              <w:ind w:firstLine="0"/>
              <w:jc w:val="left"/>
              <w:rPr>
                <w:szCs w:val="24"/>
              </w:rPr>
            </w:pPr>
            <w:r w:rsidRPr="004435FA">
              <w:rPr>
                <w:szCs w:val="24"/>
              </w:rPr>
              <w:t>КЦСР</w:t>
            </w:r>
          </w:p>
        </w:tc>
        <w:tc>
          <w:tcPr>
            <w:tcW w:w="3828" w:type="dxa"/>
          </w:tcPr>
          <w:p w:rsidR="00383778" w:rsidRPr="004435FA" w:rsidRDefault="00383778" w:rsidP="00383778">
            <w:pPr>
              <w:ind w:firstLine="0"/>
              <w:jc w:val="left"/>
              <w:rPr>
                <w:szCs w:val="24"/>
              </w:rPr>
            </w:pPr>
            <w:r w:rsidRPr="004435FA">
              <w:rPr>
                <w:szCs w:val="24"/>
              </w:rPr>
              <w:t>Фильтрация по 8-17 символам КБК</w:t>
            </w:r>
          </w:p>
          <w:p w:rsidR="00383778" w:rsidRPr="004435FA" w:rsidRDefault="00383778" w:rsidP="00383778">
            <w:pPr>
              <w:ind w:firstLine="0"/>
              <w:jc w:val="left"/>
              <w:rPr>
                <w:szCs w:val="24"/>
              </w:rPr>
            </w:pPr>
            <w:r w:rsidRPr="004435FA">
              <w:rPr>
                <w:szCs w:val="24"/>
              </w:rPr>
              <w:t>Реализована возможность множественного выбора и контекстного поиска</w:t>
            </w:r>
          </w:p>
          <w:p w:rsidR="00383778" w:rsidRPr="004435FA" w:rsidRDefault="00383778" w:rsidP="00383778">
            <w:pPr>
              <w:ind w:firstLine="0"/>
              <w:jc w:val="left"/>
              <w:rPr>
                <w:szCs w:val="24"/>
              </w:rPr>
            </w:pPr>
            <w:r w:rsidRPr="004435FA">
              <w:rPr>
                <w:szCs w:val="24"/>
              </w:rPr>
              <w:t>По умолчанию установлено значение «Все»</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6</w:t>
            </w:r>
          </w:p>
        </w:tc>
        <w:tc>
          <w:tcPr>
            <w:tcW w:w="1701" w:type="dxa"/>
          </w:tcPr>
          <w:p w:rsidR="00383778" w:rsidRPr="004435FA" w:rsidRDefault="00383778" w:rsidP="00383778">
            <w:pPr>
              <w:ind w:firstLine="0"/>
              <w:jc w:val="left"/>
              <w:rPr>
                <w:szCs w:val="24"/>
              </w:rPr>
            </w:pPr>
            <w:r w:rsidRPr="004435FA">
              <w:rPr>
                <w:szCs w:val="24"/>
              </w:rPr>
              <w:t>КВР</w:t>
            </w:r>
          </w:p>
        </w:tc>
        <w:tc>
          <w:tcPr>
            <w:tcW w:w="3828" w:type="dxa"/>
          </w:tcPr>
          <w:p w:rsidR="00383778" w:rsidRPr="004435FA" w:rsidRDefault="00383778" w:rsidP="00383778">
            <w:pPr>
              <w:ind w:firstLine="0"/>
              <w:jc w:val="left"/>
              <w:rPr>
                <w:szCs w:val="24"/>
              </w:rPr>
            </w:pPr>
            <w:r w:rsidRPr="004435FA">
              <w:rPr>
                <w:szCs w:val="24"/>
              </w:rPr>
              <w:t>Фильтрация по 18-20 символам КБК</w:t>
            </w:r>
          </w:p>
          <w:p w:rsidR="00383778" w:rsidRPr="004435FA" w:rsidRDefault="00383778" w:rsidP="00383778">
            <w:pPr>
              <w:ind w:firstLine="0"/>
              <w:jc w:val="left"/>
              <w:rPr>
                <w:szCs w:val="24"/>
              </w:rPr>
            </w:pPr>
            <w:r w:rsidRPr="004435FA">
              <w:rPr>
                <w:szCs w:val="24"/>
              </w:rPr>
              <w:t>Иерархический фильтр с возможностью множественного выбора и контекстного поиска</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7</w:t>
            </w:r>
          </w:p>
        </w:tc>
        <w:tc>
          <w:tcPr>
            <w:tcW w:w="1701" w:type="dxa"/>
          </w:tcPr>
          <w:p w:rsidR="00383778" w:rsidRPr="004435FA" w:rsidRDefault="00383778" w:rsidP="00383778">
            <w:pPr>
              <w:ind w:firstLine="0"/>
              <w:jc w:val="left"/>
              <w:rPr>
                <w:szCs w:val="24"/>
              </w:rPr>
            </w:pPr>
            <w:r w:rsidRPr="004435FA">
              <w:rPr>
                <w:szCs w:val="24"/>
              </w:rPr>
              <w:t>Единицы измерения</w:t>
            </w:r>
          </w:p>
        </w:tc>
        <w:tc>
          <w:tcPr>
            <w:tcW w:w="3828" w:type="dxa"/>
          </w:tcPr>
          <w:p w:rsidR="00383778" w:rsidRPr="004435FA" w:rsidRDefault="00383778" w:rsidP="00383778">
            <w:pPr>
              <w:ind w:firstLine="0"/>
              <w:jc w:val="left"/>
              <w:rPr>
                <w:szCs w:val="24"/>
              </w:rPr>
            </w:pPr>
            <w:r w:rsidRPr="004435FA">
              <w:rPr>
                <w:szCs w:val="24"/>
              </w:rPr>
              <w:t>Фильтр имеет значения: руб; тыс руб; млн руб; млрд руб.</w:t>
            </w:r>
          </w:p>
          <w:p w:rsidR="00383778" w:rsidRPr="004435FA" w:rsidRDefault="00383778" w:rsidP="00383778">
            <w:pPr>
              <w:ind w:firstLine="0"/>
              <w:jc w:val="left"/>
              <w:rPr>
                <w:szCs w:val="24"/>
              </w:rPr>
            </w:pPr>
            <w:r w:rsidRPr="004435FA">
              <w:rPr>
                <w:szCs w:val="24"/>
              </w:rPr>
              <w:t>руб = ()</w:t>
            </w:r>
          </w:p>
          <w:p w:rsidR="00383778" w:rsidRPr="004435FA" w:rsidRDefault="00383778" w:rsidP="00383778">
            <w:pPr>
              <w:ind w:firstLine="0"/>
              <w:jc w:val="left"/>
              <w:rPr>
                <w:szCs w:val="24"/>
              </w:rPr>
            </w:pPr>
            <w:r w:rsidRPr="004435FA">
              <w:rPr>
                <w:szCs w:val="24"/>
              </w:rPr>
              <w:t>тыс руб = ()/1000</w:t>
            </w:r>
          </w:p>
          <w:p w:rsidR="00383778" w:rsidRPr="004435FA" w:rsidRDefault="00383778" w:rsidP="00383778">
            <w:pPr>
              <w:ind w:firstLine="0"/>
              <w:jc w:val="left"/>
              <w:rPr>
                <w:szCs w:val="24"/>
              </w:rPr>
            </w:pPr>
            <w:r w:rsidRPr="004435FA">
              <w:rPr>
                <w:szCs w:val="24"/>
              </w:rPr>
              <w:t>млн руб = ()/1000000</w:t>
            </w:r>
          </w:p>
          <w:p w:rsidR="00383778" w:rsidRPr="004435FA" w:rsidRDefault="00383778" w:rsidP="00383778">
            <w:pPr>
              <w:ind w:firstLine="0"/>
              <w:jc w:val="left"/>
              <w:rPr>
                <w:szCs w:val="24"/>
              </w:rPr>
            </w:pPr>
            <w:r w:rsidRPr="004435FA">
              <w:rPr>
                <w:szCs w:val="24"/>
              </w:rPr>
              <w:t>млрд руб = ()/1000000000</w:t>
            </w:r>
          </w:p>
          <w:p w:rsidR="00383778" w:rsidRPr="004435FA" w:rsidRDefault="00383778" w:rsidP="00383778">
            <w:pPr>
              <w:ind w:firstLine="0"/>
              <w:jc w:val="left"/>
              <w:rPr>
                <w:szCs w:val="24"/>
              </w:rPr>
            </w:pPr>
            <w:r w:rsidRPr="004435FA">
              <w:rPr>
                <w:szCs w:val="24"/>
              </w:rPr>
              <w:t>Фильтр работает по колонкам: Сумма соглашения (всего); Исполнено в прошлых периодах; Сумма соглашения на 2020 год; Сумма соглашения на 2021 год; Сумма соглашения на 2022 год; Сумма соглашения на будущие года; Исполнено всего; Исполнено в 2020 году.</w:t>
            </w:r>
          </w:p>
        </w:tc>
        <w:tc>
          <w:tcPr>
            <w:tcW w:w="4252" w:type="dxa"/>
          </w:tcPr>
          <w:p w:rsidR="00383778" w:rsidRPr="004435FA" w:rsidRDefault="00383778" w:rsidP="00383778">
            <w:pPr>
              <w:ind w:firstLine="0"/>
              <w:jc w:val="left"/>
              <w:rPr>
                <w:szCs w:val="24"/>
              </w:rPr>
            </w:pP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8</w:t>
            </w:r>
          </w:p>
        </w:tc>
        <w:tc>
          <w:tcPr>
            <w:tcW w:w="1701" w:type="dxa"/>
          </w:tcPr>
          <w:p w:rsidR="00383778" w:rsidRPr="004435FA" w:rsidRDefault="00383778" w:rsidP="00383778">
            <w:pPr>
              <w:ind w:firstLine="0"/>
              <w:jc w:val="left"/>
              <w:rPr>
                <w:szCs w:val="24"/>
              </w:rPr>
            </w:pPr>
            <w:r w:rsidRPr="004435FA">
              <w:rPr>
                <w:szCs w:val="24"/>
              </w:rPr>
              <w:t>Поле ввода «Номер соглашения, РЗ»</w:t>
            </w:r>
          </w:p>
        </w:tc>
        <w:tc>
          <w:tcPr>
            <w:tcW w:w="3828" w:type="dxa"/>
          </w:tcPr>
          <w:p w:rsidR="00383778" w:rsidRPr="004435FA" w:rsidRDefault="00383778" w:rsidP="00383778">
            <w:pPr>
              <w:ind w:firstLine="0"/>
              <w:jc w:val="left"/>
              <w:rPr>
                <w:szCs w:val="24"/>
              </w:rPr>
            </w:pPr>
            <w:r w:rsidRPr="004435FA">
              <w:rPr>
                <w:szCs w:val="24"/>
              </w:rPr>
              <w:t>Фильтрация по уникальному номеру реестровой записи и по номеру соглашения (договора)/НПА</w:t>
            </w:r>
          </w:p>
          <w:p w:rsidR="00383778" w:rsidRPr="004435FA" w:rsidRDefault="00383778" w:rsidP="00383778">
            <w:pPr>
              <w:ind w:firstLine="0"/>
              <w:jc w:val="left"/>
              <w:rPr>
                <w:szCs w:val="24"/>
              </w:rPr>
            </w:pPr>
            <w:r w:rsidRPr="004435FA">
              <w:rPr>
                <w:szCs w:val="24"/>
              </w:rPr>
              <w:t>Возможность ввода одного значения единовременно</w:t>
            </w:r>
          </w:p>
        </w:tc>
        <w:tc>
          <w:tcPr>
            <w:tcW w:w="4252" w:type="dxa"/>
          </w:tcPr>
          <w:p w:rsidR="00383778" w:rsidRPr="004435FA" w:rsidRDefault="00383778" w:rsidP="00383778">
            <w:pPr>
              <w:ind w:firstLine="0"/>
              <w:jc w:val="left"/>
              <w:rPr>
                <w:szCs w:val="24"/>
              </w:rPr>
            </w:pPr>
            <w:r w:rsidRPr="004435FA">
              <w:rPr>
                <w:szCs w:val="24"/>
              </w:rPr>
              <w:t xml:space="preserve">ПУР АСС =&gt; Реквизиты соглашения (договора), НПА =&gt; </w:t>
            </w:r>
          </w:p>
          <w:p w:rsidR="00383778" w:rsidRPr="004435FA" w:rsidRDefault="00383778" w:rsidP="00383778">
            <w:pPr>
              <w:ind w:firstLine="0"/>
              <w:jc w:val="left"/>
              <w:rPr>
                <w:szCs w:val="24"/>
              </w:rPr>
            </w:pPr>
            <w:r w:rsidRPr="004435FA">
              <w:rPr>
                <w:szCs w:val="24"/>
              </w:rPr>
              <w:t>- Уникальный номер реестровой записи (без учета номера версии, т.е. последних 3-х символов)</w:t>
            </w:r>
          </w:p>
          <w:p w:rsidR="00383778" w:rsidRPr="004435FA" w:rsidRDefault="00383778" w:rsidP="00383778">
            <w:pPr>
              <w:ind w:firstLine="0"/>
              <w:jc w:val="left"/>
              <w:rPr>
                <w:szCs w:val="24"/>
              </w:rPr>
            </w:pPr>
            <w:r w:rsidRPr="004435FA">
              <w:rPr>
                <w:szCs w:val="24"/>
              </w:rPr>
              <w:t>- Номер соглашения (договора)/нормативного правового акта</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9</w:t>
            </w:r>
          </w:p>
        </w:tc>
        <w:tc>
          <w:tcPr>
            <w:tcW w:w="1701" w:type="dxa"/>
          </w:tcPr>
          <w:p w:rsidR="00383778" w:rsidRPr="004435FA" w:rsidRDefault="00383778" w:rsidP="00383778">
            <w:pPr>
              <w:ind w:firstLine="0"/>
              <w:jc w:val="left"/>
              <w:rPr>
                <w:szCs w:val="24"/>
              </w:rPr>
            </w:pPr>
            <w:r w:rsidRPr="004435FA">
              <w:rPr>
                <w:szCs w:val="24"/>
              </w:rPr>
              <w:t>Поле ввода «Наименование, ИНН, КПП получателя, код СвР»</w:t>
            </w:r>
          </w:p>
        </w:tc>
        <w:tc>
          <w:tcPr>
            <w:tcW w:w="3828" w:type="dxa"/>
          </w:tcPr>
          <w:p w:rsidR="00383778" w:rsidRPr="004435FA" w:rsidRDefault="00383778" w:rsidP="00383778">
            <w:pPr>
              <w:ind w:firstLine="0"/>
              <w:jc w:val="left"/>
              <w:rPr>
                <w:szCs w:val="24"/>
              </w:rPr>
            </w:pPr>
            <w:r w:rsidRPr="004435FA">
              <w:rPr>
                <w:szCs w:val="24"/>
              </w:rPr>
              <w:t>Фильтрация по наименованию, ИНН, КПП получателя, коду СвР</w:t>
            </w:r>
          </w:p>
          <w:p w:rsidR="00383778" w:rsidRPr="004435FA" w:rsidRDefault="00383778" w:rsidP="00383778">
            <w:pPr>
              <w:ind w:firstLine="0"/>
              <w:jc w:val="left"/>
              <w:rPr>
                <w:szCs w:val="24"/>
              </w:rPr>
            </w:pPr>
            <w:r w:rsidRPr="004435FA">
              <w:rPr>
                <w:szCs w:val="24"/>
              </w:rPr>
              <w:t>Возможность ввода одного значения единовременно</w:t>
            </w:r>
          </w:p>
        </w:tc>
        <w:tc>
          <w:tcPr>
            <w:tcW w:w="4252" w:type="dxa"/>
          </w:tcPr>
          <w:p w:rsidR="00383778" w:rsidRPr="004435FA" w:rsidRDefault="00383778" w:rsidP="00383778">
            <w:pPr>
              <w:ind w:firstLine="0"/>
              <w:jc w:val="left"/>
              <w:rPr>
                <w:szCs w:val="24"/>
              </w:rPr>
            </w:pPr>
            <w:r w:rsidRPr="004435FA">
              <w:rPr>
                <w:szCs w:val="24"/>
              </w:rPr>
              <w:t>ПУР АСС =&gt; Реквизиты получателя субсидии =&gt;</w:t>
            </w:r>
          </w:p>
          <w:p w:rsidR="00383778" w:rsidRPr="004435FA" w:rsidRDefault="00383778" w:rsidP="00383778">
            <w:pPr>
              <w:ind w:firstLine="0"/>
              <w:jc w:val="left"/>
              <w:rPr>
                <w:szCs w:val="24"/>
              </w:rPr>
            </w:pPr>
            <w:r w:rsidRPr="004435FA">
              <w:rPr>
                <w:szCs w:val="24"/>
              </w:rPr>
              <w:t>- Полное наименование юридического лица/ФИО физического лица на русском языке</w:t>
            </w:r>
          </w:p>
          <w:p w:rsidR="00383778" w:rsidRPr="004435FA" w:rsidRDefault="00383778" w:rsidP="00383778">
            <w:pPr>
              <w:ind w:firstLine="0"/>
              <w:jc w:val="left"/>
              <w:rPr>
                <w:szCs w:val="24"/>
              </w:rPr>
            </w:pPr>
            <w:r w:rsidRPr="004435FA">
              <w:rPr>
                <w:szCs w:val="24"/>
              </w:rPr>
              <w:t>- ИНН</w:t>
            </w:r>
          </w:p>
          <w:p w:rsidR="00383778" w:rsidRPr="004435FA" w:rsidRDefault="00383778" w:rsidP="00383778">
            <w:pPr>
              <w:ind w:firstLine="0"/>
              <w:jc w:val="left"/>
              <w:rPr>
                <w:szCs w:val="24"/>
              </w:rPr>
            </w:pPr>
            <w:r w:rsidRPr="004435FA">
              <w:rPr>
                <w:szCs w:val="24"/>
              </w:rPr>
              <w:t>- КПП</w:t>
            </w:r>
          </w:p>
          <w:p w:rsidR="00383778" w:rsidRPr="004435FA" w:rsidRDefault="00383778" w:rsidP="00383778">
            <w:pPr>
              <w:ind w:firstLine="0"/>
              <w:jc w:val="left"/>
              <w:rPr>
                <w:szCs w:val="24"/>
              </w:rPr>
            </w:pPr>
            <w:r w:rsidRPr="004435FA">
              <w:rPr>
                <w:szCs w:val="24"/>
              </w:rPr>
              <w:t>- Код по сводному реестру</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10</w:t>
            </w:r>
          </w:p>
        </w:tc>
        <w:tc>
          <w:tcPr>
            <w:tcW w:w="1701" w:type="dxa"/>
          </w:tcPr>
          <w:p w:rsidR="00383778" w:rsidRPr="004435FA" w:rsidRDefault="00383778" w:rsidP="00383778">
            <w:pPr>
              <w:ind w:firstLine="0"/>
              <w:jc w:val="left"/>
              <w:rPr>
                <w:szCs w:val="24"/>
              </w:rPr>
            </w:pPr>
            <w:r w:rsidRPr="004435FA">
              <w:rPr>
                <w:szCs w:val="24"/>
              </w:rPr>
              <w:t>КБК</w:t>
            </w:r>
          </w:p>
        </w:tc>
        <w:tc>
          <w:tcPr>
            <w:tcW w:w="3828" w:type="dxa"/>
          </w:tcPr>
          <w:p w:rsidR="00383778" w:rsidRPr="004435FA" w:rsidRDefault="00383778" w:rsidP="00383778">
            <w:pPr>
              <w:ind w:firstLine="0"/>
              <w:jc w:val="left"/>
              <w:rPr>
                <w:szCs w:val="24"/>
              </w:rPr>
            </w:pPr>
            <w:r w:rsidRPr="004435FA">
              <w:rPr>
                <w:szCs w:val="24"/>
              </w:rPr>
              <w:t>Фильтрация по маске КБК</w:t>
            </w:r>
          </w:p>
          <w:p w:rsidR="00383778" w:rsidRPr="004435FA" w:rsidRDefault="00383778" w:rsidP="00383778">
            <w:pPr>
              <w:ind w:firstLine="0"/>
              <w:jc w:val="left"/>
              <w:rPr>
                <w:szCs w:val="24"/>
              </w:rPr>
            </w:pPr>
            <w:r w:rsidRPr="004435FA">
              <w:rPr>
                <w:szCs w:val="24"/>
              </w:rPr>
              <w:t>Возможность ввода необходимых сегментов КБК в несколько шагов</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11</w:t>
            </w:r>
          </w:p>
        </w:tc>
        <w:tc>
          <w:tcPr>
            <w:tcW w:w="1701" w:type="dxa"/>
          </w:tcPr>
          <w:p w:rsidR="00383778" w:rsidRPr="004435FA" w:rsidRDefault="00383778" w:rsidP="00383778">
            <w:pPr>
              <w:ind w:firstLine="0"/>
              <w:jc w:val="left"/>
              <w:rPr>
                <w:szCs w:val="24"/>
              </w:rPr>
            </w:pPr>
            <w:r w:rsidRPr="004435FA">
              <w:rPr>
                <w:szCs w:val="24"/>
              </w:rPr>
              <w:t>Национальный проект</w:t>
            </w:r>
          </w:p>
        </w:tc>
        <w:tc>
          <w:tcPr>
            <w:tcW w:w="3828" w:type="dxa"/>
          </w:tcPr>
          <w:p w:rsidR="00383778" w:rsidRPr="004435FA" w:rsidRDefault="00383778" w:rsidP="00383778">
            <w:pPr>
              <w:ind w:firstLine="0"/>
              <w:jc w:val="left"/>
              <w:rPr>
                <w:szCs w:val="24"/>
              </w:rPr>
            </w:pPr>
            <w:r w:rsidRPr="004435FA">
              <w:rPr>
                <w:szCs w:val="24"/>
              </w:rPr>
              <w:t>Фильтрация по 11-12 символам КБК</w:t>
            </w:r>
          </w:p>
          <w:p w:rsidR="00383778" w:rsidRPr="004435FA" w:rsidRDefault="00383778" w:rsidP="00383778">
            <w:pPr>
              <w:ind w:firstLine="0"/>
              <w:jc w:val="left"/>
              <w:rPr>
                <w:szCs w:val="24"/>
              </w:rPr>
            </w:pPr>
            <w:r w:rsidRPr="004435FA">
              <w:rPr>
                <w:szCs w:val="24"/>
              </w:rPr>
              <w:t>Иерархический фильтр с возможностью множественного выбора и контекстного поиска</w:t>
            </w:r>
          </w:p>
          <w:p w:rsidR="00383778" w:rsidRPr="004435FA" w:rsidRDefault="00383778" w:rsidP="00383778">
            <w:pPr>
              <w:ind w:firstLine="0"/>
              <w:jc w:val="left"/>
              <w:rPr>
                <w:szCs w:val="24"/>
              </w:rPr>
            </w:pPr>
            <w:r w:rsidRPr="004435FA">
              <w:rPr>
                <w:szCs w:val="24"/>
              </w:rPr>
              <w:t>По умолчанию установлено значение «Все»</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12</w:t>
            </w:r>
          </w:p>
        </w:tc>
        <w:tc>
          <w:tcPr>
            <w:tcW w:w="1701" w:type="dxa"/>
          </w:tcPr>
          <w:p w:rsidR="00383778" w:rsidRPr="004435FA" w:rsidRDefault="00383778" w:rsidP="00383778">
            <w:pPr>
              <w:ind w:firstLine="0"/>
              <w:jc w:val="left"/>
              <w:rPr>
                <w:szCs w:val="24"/>
              </w:rPr>
            </w:pPr>
            <w:r w:rsidRPr="004435FA">
              <w:rPr>
                <w:szCs w:val="24"/>
              </w:rPr>
              <w:t>Вице-премьер</w:t>
            </w:r>
          </w:p>
        </w:tc>
        <w:tc>
          <w:tcPr>
            <w:tcW w:w="3828" w:type="dxa"/>
          </w:tcPr>
          <w:p w:rsidR="00383778" w:rsidRPr="004435FA" w:rsidRDefault="00383778" w:rsidP="00383778">
            <w:pPr>
              <w:ind w:firstLine="0"/>
              <w:jc w:val="left"/>
              <w:rPr>
                <w:szCs w:val="24"/>
              </w:rPr>
            </w:pPr>
            <w:r w:rsidRPr="004435FA">
              <w:rPr>
                <w:szCs w:val="24"/>
              </w:rPr>
              <w:t>Идентификация вице-премьера по КБК 20 знаков</w:t>
            </w:r>
          </w:p>
        </w:tc>
        <w:tc>
          <w:tcPr>
            <w:tcW w:w="4252" w:type="dxa"/>
          </w:tcPr>
          <w:p w:rsidR="00383778" w:rsidRPr="004435FA" w:rsidRDefault="00383778" w:rsidP="00383778">
            <w:pPr>
              <w:ind w:firstLine="0"/>
              <w:jc w:val="left"/>
              <w:rPr>
                <w:szCs w:val="24"/>
              </w:rPr>
            </w:pPr>
            <w:r w:rsidRPr="004435FA">
              <w:rPr>
                <w:szCs w:val="24"/>
              </w:rPr>
              <w:t xml:space="preserve">Сведения о соотнесении КБК и вице-премьера предоставляются в наборе «мониторинг </w:t>
            </w:r>
            <w:r w:rsidRPr="004435FA">
              <w:rPr>
                <w:szCs w:val="24"/>
                <w:lang w:val="en-US"/>
              </w:rPr>
              <w:t>BA</w:t>
            </w:r>
            <w:r w:rsidRPr="004435FA">
              <w:rPr>
                <w:szCs w:val="24"/>
              </w:rPr>
              <w:t>» из ПУНП</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13</w:t>
            </w:r>
          </w:p>
        </w:tc>
        <w:tc>
          <w:tcPr>
            <w:tcW w:w="1701" w:type="dxa"/>
          </w:tcPr>
          <w:p w:rsidR="00383778" w:rsidRPr="004435FA" w:rsidRDefault="00383778" w:rsidP="00383778">
            <w:pPr>
              <w:ind w:firstLine="0"/>
              <w:jc w:val="left"/>
              <w:rPr>
                <w:szCs w:val="24"/>
              </w:rPr>
            </w:pPr>
            <w:r w:rsidRPr="004435FA">
              <w:rPr>
                <w:szCs w:val="24"/>
              </w:rPr>
              <w:t>Мероприятия</w:t>
            </w:r>
          </w:p>
        </w:tc>
        <w:tc>
          <w:tcPr>
            <w:tcW w:w="3828" w:type="dxa"/>
          </w:tcPr>
          <w:p w:rsidR="00383778" w:rsidRPr="004435FA" w:rsidRDefault="00383778" w:rsidP="00383778">
            <w:pPr>
              <w:ind w:firstLine="0"/>
              <w:jc w:val="left"/>
              <w:rPr>
                <w:szCs w:val="24"/>
              </w:rPr>
            </w:pPr>
            <w:r w:rsidRPr="004435FA">
              <w:rPr>
                <w:szCs w:val="24"/>
              </w:rPr>
              <w:t>Перечень мероприятий по КЦСР, отнесенных к каждому мероприятию</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sidRPr="004435FA">
              <w:rPr>
                <w:szCs w:val="24"/>
              </w:rPr>
              <w:t>14</w:t>
            </w:r>
          </w:p>
        </w:tc>
        <w:tc>
          <w:tcPr>
            <w:tcW w:w="1701" w:type="dxa"/>
          </w:tcPr>
          <w:p w:rsidR="00383778" w:rsidRPr="004435FA" w:rsidRDefault="00383778" w:rsidP="00383778">
            <w:pPr>
              <w:ind w:firstLine="0"/>
              <w:jc w:val="left"/>
              <w:rPr>
                <w:szCs w:val="24"/>
              </w:rPr>
            </w:pPr>
            <w:r w:rsidRPr="004435FA">
              <w:rPr>
                <w:szCs w:val="24"/>
              </w:rPr>
              <w:t>Тип субсидии</w:t>
            </w:r>
          </w:p>
        </w:tc>
        <w:tc>
          <w:tcPr>
            <w:tcW w:w="3828" w:type="dxa"/>
          </w:tcPr>
          <w:p w:rsidR="00383778" w:rsidRPr="004435FA" w:rsidRDefault="00383778" w:rsidP="00383778">
            <w:pPr>
              <w:ind w:firstLine="0"/>
              <w:jc w:val="left"/>
              <w:rPr>
                <w:szCs w:val="24"/>
              </w:rPr>
            </w:pPr>
            <w:r w:rsidRPr="004435FA">
              <w:rPr>
                <w:szCs w:val="24"/>
              </w:rPr>
              <w:t>Перечень типов субсидий по КВР, закрепленных за каждой группой</w:t>
            </w:r>
          </w:p>
        </w:tc>
        <w:tc>
          <w:tcPr>
            <w:tcW w:w="4252" w:type="dxa"/>
          </w:tcPr>
          <w:p w:rsidR="00383778" w:rsidRPr="004435FA" w:rsidRDefault="00383778" w:rsidP="00383778">
            <w:pPr>
              <w:ind w:firstLine="0"/>
              <w:jc w:val="left"/>
              <w:rPr>
                <w:szCs w:val="24"/>
              </w:rPr>
            </w:pPr>
            <w:r w:rsidRPr="004435FA">
              <w:rPr>
                <w:szCs w:val="24"/>
              </w:rPr>
              <w:t>ПУР АСС =&gt; График платежей =&gt; КБК</w:t>
            </w:r>
          </w:p>
        </w:tc>
      </w:tr>
      <w:tr w:rsidR="00383778" w:rsidRPr="004435FA" w:rsidTr="00383778">
        <w:tc>
          <w:tcPr>
            <w:tcW w:w="567" w:type="dxa"/>
          </w:tcPr>
          <w:p w:rsidR="00383778" w:rsidRPr="004435FA" w:rsidRDefault="00383778" w:rsidP="00383778">
            <w:pPr>
              <w:ind w:firstLine="0"/>
              <w:jc w:val="left"/>
              <w:rPr>
                <w:szCs w:val="24"/>
              </w:rPr>
            </w:pPr>
            <w:r>
              <w:rPr>
                <w:szCs w:val="24"/>
              </w:rPr>
              <w:t>15</w:t>
            </w:r>
          </w:p>
        </w:tc>
        <w:tc>
          <w:tcPr>
            <w:tcW w:w="1701" w:type="dxa"/>
          </w:tcPr>
          <w:p w:rsidR="00383778" w:rsidRPr="004435FA" w:rsidRDefault="00383778" w:rsidP="00383778">
            <w:pPr>
              <w:ind w:firstLine="0"/>
              <w:jc w:val="left"/>
              <w:rPr>
                <w:szCs w:val="24"/>
              </w:rPr>
            </w:pPr>
            <w:r w:rsidRPr="004435FA">
              <w:rPr>
                <w:szCs w:val="24"/>
              </w:rPr>
              <w:t>Субъект получателя</w:t>
            </w:r>
          </w:p>
        </w:tc>
        <w:tc>
          <w:tcPr>
            <w:tcW w:w="3828" w:type="dxa"/>
          </w:tcPr>
          <w:p w:rsidR="00383778" w:rsidRPr="004435FA" w:rsidRDefault="00383778" w:rsidP="00383778">
            <w:pPr>
              <w:ind w:firstLine="0"/>
              <w:jc w:val="left"/>
              <w:rPr>
                <w:szCs w:val="24"/>
              </w:rPr>
            </w:pPr>
            <w:r w:rsidRPr="004435FA">
              <w:rPr>
                <w:szCs w:val="24"/>
              </w:rPr>
              <w:t>Фильтрация по ОКТМО получателя</w:t>
            </w:r>
          </w:p>
          <w:p w:rsidR="00383778" w:rsidRPr="004435FA" w:rsidRDefault="00383778" w:rsidP="00383778">
            <w:pPr>
              <w:ind w:firstLine="0"/>
              <w:jc w:val="left"/>
              <w:rPr>
                <w:szCs w:val="24"/>
              </w:rPr>
            </w:pPr>
            <w:r w:rsidRPr="004435FA">
              <w:rPr>
                <w:szCs w:val="24"/>
              </w:rPr>
              <w:t>Учитываются символы ОКТМО, указывающие на регион – первые 2 символа кода ОКТМО, за исключением значений 118, 718 и 719</w:t>
            </w:r>
          </w:p>
        </w:tc>
        <w:tc>
          <w:tcPr>
            <w:tcW w:w="4252" w:type="dxa"/>
          </w:tcPr>
          <w:p w:rsidR="00383778" w:rsidRPr="004435FA" w:rsidRDefault="00383778" w:rsidP="00383778">
            <w:pPr>
              <w:ind w:firstLine="0"/>
              <w:jc w:val="left"/>
              <w:rPr>
                <w:szCs w:val="24"/>
              </w:rPr>
            </w:pPr>
            <w:r w:rsidRPr="004435FA">
              <w:rPr>
                <w:szCs w:val="24"/>
              </w:rPr>
              <w:t>ПУР АСС =&gt; Реквизиты получателя субсидии =&gt; Место нахождения юридического/физического  лица получателя субсидии, получателя средств =&gt; Код территории населенного пункта по ОКТМО</w:t>
            </w:r>
          </w:p>
        </w:tc>
      </w:tr>
    </w:tbl>
    <w:p w:rsidR="00383778" w:rsidRPr="00383778" w:rsidRDefault="00383778" w:rsidP="006F7CD3">
      <w:pPr>
        <w:pStyle w:val="-0"/>
      </w:pPr>
    </w:p>
    <w:bookmarkEnd w:id="893"/>
    <w:p w:rsidR="00DA4FE0" w:rsidRDefault="00383778" w:rsidP="00321FCA">
      <w:pPr>
        <w:pStyle w:val="afffff7"/>
      </w:pPr>
      <w:r w:rsidRPr="00383778">
        <w:t>Представление «Федеральный бюджет» - «По значениям результатов»</w:t>
      </w:r>
      <w:r w:rsidR="00DA4FE0">
        <w:rPr>
          <w:noProof/>
          <w:lang w:eastAsia="ru-RU"/>
        </w:rPr>
        <w:drawing>
          <wp:inline distT="0" distB="0" distL="0" distR="0" wp14:anchorId="16A59720" wp14:editId="69A37765">
            <wp:extent cx="5939790" cy="2889280"/>
            <wp:effectExtent l="0" t="0" r="3810" b="6350"/>
            <wp:docPr id="5816" name="Рисунок 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5939790" cy="2889280"/>
                    </a:xfrm>
                    <a:prstGeom prst="rect">
                      <a:avLst/>
                    </a:prstGeom>
                  </pic:spPr>
                </pic:pic>
              </a:graphicData>
            </a:graphic>
          </wp:inline>
        </w:drawing>
      </w:r>
    </w:p>
    <w:p w:rsidR="00DA4FE0" w:rsidRDefault="00DA4FE0" w:rsidP="00DA4FE0">
      <w:pPr>
        <w:pStyle w:val="-0"/>
      </w:pPr>
      <w:bookmarkStart w:id="895" w:name="_Toc119584420"/>
      <w:r>
        <w:t xml:space="preserve">Рисунок </w:t>
      </w:r>
      <w:fldSimple w:instr=" SEQ Рисунок \* ARABIC ">
        <w:r w:rsidR="001860A9">
          <w:rPr>
            <w:noProof/>
          </w:rPr>
          <w:t>233</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«Федеральный бюджет»</w:t>
      </w:r>
      <w:r>
        <w:t xml:space="preserve"> -</w:t>
      </w:r>
      <w:r w:rsidRPr="00D84966">
        <w:t xml:space="preserve"> «По </w:t>
      </w:r>
      <w:r>
        <w:t>значениям результатов</w:t>
      </w:r>
      <w:r w:rsidRPr="00D84966">
        <w:t>»</w:t>
      </w:r>
      <w:bookmarkEnd w:id="895"/>
    </w:p>
    <w:p w:rsidR="00737084" w:rsidRPr="00663AD9" w:rsidRDefault="00737084" w:rsidP="00737084">
      <w:pPr>
        <w:ind w:firstLine="709"/>
        <w:rPr>
          <w:sz w:val="28"/>
          <w:szCs w:val="28"/>
        </w:rPr>
      </w:pPr>
      <w:r w:rsidRPr="00663AD9">
        <w:rPr>
          <w:sz w:val="28"/>
          <w:szCs w:val="28"/>
        </w:rPr>
        <w:t>Область таблицы: на строке «Итого» отображаются общие значения только по уникальным реестровым записям.</w:t>
      </w:r>
    </w:p>
    <w:tbl>
      <w:tblPr>
        <w:tblStyle w:val="affe"/>
        <w:tblW w:w="10065" w:type="dxa"/>
        <w:tblInd w:w="-34" w:type="dxa"/>
        <w:tblLayout w:type="fixed"/>
        <w:tblLook w:val="04A0" w:firstRow="1" w:lastRow="0" w:firstColumn="1" w:lastColumn="0" w:noHBand="0" w:noVBand="1"/>
      </w:tblPr>
      <w:tblGrid>
        <w:gridCol w:w="567"/>
        <w:gridCol w:w="1276"/>
        <w:gridCol w:w="992"/>
        <w:gridCol w:w="3402"/>
        <w:gridCol w:w="3828"/>
      </w:tblGrid>
      <w:tr w:rsidR="00737084" w:rsidRPr="00D078DD" w:rsidTr="00DE7AE6">
        <w:trPr>
          <w:tblHeader/>
        </w:trPr>
        <w:tc>
          <w:tcPr>
            <w:tcW w:w="567" w:type="dxa"/>
            <w:shd w:val="clear" w:color="auto" w:fill="F2F2F2" w:themeFill="background1" w:themeFillShade="F2"/>
            <w:vAlign w:val="center"/>
          </w:tcPr>
          <w:p w:rsidR="00737084" w:rsidRPr="00D078DD" w:rsidRDefault="00737084" w:rsidP="00737084">
            <w:pPr>
              <w:ind w:firstLine="0"/>
              <w:jc w:val="center"/>
              <w:rPr>
                <w:b/>
                <w:szCs w:val="24"/>
              </w:rPr>
            </w:pPr>
            <w:r w:rsidRPr="00D078DD">
              <w:rPr>
                <w:b/>
                <w:szCs w:val="24"/>
              </w:rPr>
              <w:t>№ колонки</w:t>
            </w:r>
          </w:p>
        </w:tc>
        <w:tc>
          <w:tcPr>
            <w:tcW w:w="1276" w:type="dxa"/>
            <w:shd w:val="clear" w:color="auto" w:fill="F2F2F2" w:themeFill="background1" w:themeFillShade="F2"/>
            <w:vAlign w:val="center"/>
          </w:tcPr>
          <w:p w:rsidR="00737084" w:rsidRPr="00D078DD" w:rsidRDefault="00737084" w:rsidP="00737084">
            <w:pPr>
              <w:ind w:firstLine="0"/>
              <w:jc w:val="center"/>
              <w:rPr>
                <w:b/>
                <w:szCs w:val="24"/>
              </w:rPr>
            </w:pPr>
            <w:r w:rsidRPr="00D078DD">
              <w:rPr>
                <w:b/>
                <w:szCs w:val="24"/>
              </w:rPr>
              <w:t>Наименование</w:t>
            </w:r>
          </w:p>
        </w:tc>
        <w:tc>
          <w:tcPr>
            <w:tcW w:w="992" w:type="dxa"/>
            <w:shd w:val="clear" w:color="auto" w:fill="F2F2F2" w:themeFill="background1" w:themeFillShade="F2"/>
            <w:vAlign w:val="center"/>
          </w:tcPr>
          <w:p w:rsidR="00737084" w:rsidRPr="00D078DD" w:rsidRDefault="00737084" w:rsidP="00737084">
            <w:pPr>
              <w:ind w:firstLine="34"/>
              <w:jc w:val="center"/>
              <w:rPr>
                <w:b/>
                <w:szCs w:val="24"/>
              </w:rPr>
            </w:pPr>
            <w:r w:rsidRPr="00D078DD">
              <w:rPr>
                <w:b/>
                <w:szCs w:val="24"/>
              </w:rPr>
              <w:t>Колонка по умолчанию</w:t>
            </w:r>
          </w:p>
        </w:tc>
        <w:tc>
          <w:tcPr>
            <w:tcW w:w="3402" w:type="dxa"/>
            <w:shd w:val="clear" w:color="auto" w:fill="F2F2F2" w:themeFill="background1" w:themeFillShade="F2"/>
            <w:vAlign w:val="center"/>
          </w:tcPr>
          <w:p w:rsidR="00737084" w:rsidRPr="00D078DD" w:rsidRDefault="00737084" w:rsidP="00737084">
            <w:pPr>
              <w:ind w:firstLine="0"/>
              <w:jc w:val="center"/>
              <w:rPr>
                <w:b/>
                <w:szCs w:val="24"/>
              </w:rPr>
            </w:pPr>
            <w:r w:rsidRPr="00D078DD">
              <w:rPr>
                <w:b/>
                <w:szCs w:val="24"/>
              </w:rPr>
              <w:t>Алгоритмы и переходы</w:t>
            </w:r>
          </w:p>
        </w:tc>
        <w:tc>
          <w:tcPr>
            <w:tcW w:w="3828" w:type="dxa"/>
            <w:shd w:val="clear" w:color="auto" w:fill="F2F2F2" w:themeFill="background1" w:themeFillShade="F2"/>
            <w:vAlign w:val="center"/>
          </w:tcPr>
          <w:p w:rsidR="00737084" w:rsidRPr="00D078DD" w:rsidRDefault="00737084" w:rsidP="00737084">
            <w:pPr>
              <w:ind w:firstLine="0"/>
              <w:jc w:val="center"/>
              <w:rPr>
                <w:b/>
                <w:szCs w:val="24"/>
              </w:rPr>
            </w:pPr>
            <w:r w:rsidRPr="00D078DD">
              <w:rPr>
                <w:b/>
                <w:szCs w:val="24"/>
              </w:rPr>
              <w:t>Источник данных</w:t>
            </w:r>
          </w:p>
        </w:tc>
      </w:tr>
      <w:tr w:rsidR="00737084" w:rsidRPr="00D078DD" w:rsidTr="00DE7AE6">
        <w:tc>
          <w:tcPr>
            <w:tcW w:w="10065" w:type="dxa"/>
            <w:gridSpan w:val="5"/>
            <w:shd w:val="clear" w:color="auto" w:fill="D9D9D9" w:themeFill="background1" w:themeFillShade="D9"/>
          </w:tcPr>
          <w:p w:rsidR="00737084" w:rsidRPr="00D078DD" w:rsidRDefault="00737084" w:rsidP="00737084">
            <w:pPr>
              <w:ind w:firstLine="0"/>
              <w:jc w:val="center"/>
              <w:rPr>
                <w:szCs w:val="24"/>
              </w:rPr>
            </w:pPr>
            <w:r w:rsidRPr="00D078DD">
              <w:rPr>
                <w:szCs w:val="24"/>
              </w:rPr>
              <w:t>Блок реквизитов соглашения, распорядителя и получателя</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w:t>
            </w:r>
          </w:p>
        </w:tc>
        <w:tc>
          <w:tcPr>
            <w:tcW w:w="1276" w:type="dxa"/>
          </w:tcPr>
          <w:p w:rsidR="00737084" w:rsidRPr="00D078DD" w:rsidRDefault="00737084" w:rsidP="00737084">
            <w:pPr>
              <w:ind w:firstLine="0"/>
              <w:jc w:val="left"/>
              <w:rPr>
                <w:szCs w:val="24"/>
              </w:rPr>
            </w:pPr>
            <w:r w:rsidRPr="00D078DD">
              <w:rPr>
                <w:szCs w:val="24"/>
              </w:rPr>
              <w:t>Уникальный реестровый номер записи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Реализованы переходы:</w:t>
            </w:r>
          </w:p>
          <w:p w:rsidR="00737084" w:rsidRPr="00D078DD" w:rsidRDefault="00737084" w:rsidP="00737084">
            <w:pPr>
              <w:ind w:firstLine="0"/>
              <w:jc w:val="left"/>
              <w:rPr>
                <w:szCs w:val="24"/>
              </w:rPr>
            </w:pPr>
            <w:r w:rsidRPr="00D078DD">
              <w:rPr>
                <w:szCs w:val="24"/>
              </w:rPr>
              <w:t>- «Показать в ПУР»;</w:t>
            </w:r>
          </w:p>
          <w:p w:rsidR="00737084" w:rsidRPr="00D078DD" w:rsidRDefault="00737084" w:rsidP="00737084">
            <w:pPr>
              <w:ind w:firstLine="0"/>
              <w:jc w:val="left"/>
              <w:rPr>
                <w:szCs w:val="24"/>
              </w:rPr>
            </w:pPr>
            <w:r w:rsidRPr="00D078DD">
              <w:rPr>
                <w:szCs w:val="24"/>
              </w:rPr>
              <w:t>- «Реестр соглашений (ЕПБС)» (Вкладка «Общие сведения»);</w:t>
            </w:r>
          </w:p>
          <w:p w:rsidR="00737084" w:rsidRPr="00D078DD" w:rsidRDefault="00737084" w:rsidP="00737084">
            <w:pPr>
              <w:ind w:firstLine="0"/>
              <w:jc w:val="left"/>
              <w:rPr>
                <w:szCs w:val="24"/>
              </w:rPr>
            </w:pPr>
            <w:r w:rsidRPr="00D078DD">
              <w:rPr>
                <w:szCs w:val="24"/>
              </w:rPr>
              <w:t>- «По соглашениям (Федеральный бюджет)».</w:t>
            </w:r>
          </w:p>
        </w:tc>
        <w:tc>
          <w:tcPr>
            <w:tcW w:w="3828" w:type="dxa"/>
          </w:tcPr>
          <w:p w:rsidR="00737084" w:rsidRPr="00D078DD" w:rsidRDefault="00737084" w:rsidP="00737084">
            <w:pPr>
              <w:ind w:firstLine="0"/>
              <w:jc w:val="left"/>
              <w:rPr>
                <w:szCs w:val="24"/>
              </w:rPr>
            </w:pPr>
            <w:r w:rsidRPr="00D078DD">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2</w:t>
            </w:r>
          </w:p>
        </w:tc>
        <w:tc>
          <w:tcPr>
            <w:tcW w:w="1276" w:type="dxa"/>
          </w:tcPr>
          <w:p w:rsidR="00737084" w:rsidRPr="00D078DD" w:rsidRDefault="00737084" w:rsidP="00737084">
            <w:pPr>
              <w:ind w:firstLine="0"/>
              <w:jc w:val="left"/>
              <w:rPr>
                <w:szCs w:val="24"/>
              </w:rPr>
            </w:pPr>
            <w:r w:rsidRPr="00D078DD">
              <w:rPr>
                <w:szCs w:val="24"/>
              </w:rPr>
              <w:t>Код ГРБС</w:t>
            </w:r>
          </w:p>
        </w:tc>
        <w:tc>
          <w:tcPr>
            <w:tcW w:w="992" w:type="dxa"/>
          </w:tcPr>
          <w:p w:rsidR="00737084" w:rsidRPr="00D078DD" w:rsidRDefault="00737084" w:rsidP="00737084">
            <w:pPr>
              <w:ind w:firstLine="34"/>
              <w:jc w:val="left"/>
              <w:rPr>
                <w:szCs w:val="24"/>
              </w:rPr>
            </w:pPr>
            <w:r w:rsidRPr="00D078DD">
              <w:rPr>
                <w:szCs w:val="24"/>
              </w:rPr>
              <w:t>Скрыта</w:t>
            </w:r>
          </w:p>
        </w:tc>
        <w:tc>
          <w:tcPr>
            <w:tcW w:w="3402" w:type="dxa"/>
          </w:tcPr>
          <w:p w:rsidR="00737084" w:rsidRPr="00D078DD" w:rsidRDefault="00737084" w:rsidP="00737084">
            <w:pPr>
              <w:pStyle w:val="afff6"/>
              <w:ind w:left="0" w:firstLine="0"/>
              <w:jc w:val="left"/>
              <w:rPr>
                <w:sz w:val="24"/>
                <w:szCs w:val="24"/>
              </w:rPr>
            </w:pPr>
          </w:p>
        </w:tc>
        <w:tc>
          <w:tcPr>
            <w:tcW w:w="3828" w:type="dxa"/>
            <w:shd w:val="clear" w:color="auto" w:fill="auto"/>
          </w:tcPr>
          <w:p w:rsidR="00737084" w:rsidRPr="00D078DD" w:rsidRDefault="00737084" w:rsidP="00737084">
            <w:pPr>
              <w:ind w:firstLine="0"/>
              <w:jc w:val="left"/>
              <w:rPr>
                <w:szCs w:val="24"/>
              </w:rPr>
            </w:pPr>
            <w:r w:rsidRPr="00D078DD">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3</w:t>
            </w:r>
          </w:p>
        </w:tc>
        <w:tc>
          <w:tcPr>
            <w:tcW w:w="1276" w:type="dxa"/>
          </w:tcPr>
          <w:p w:rsidR="00737084" w:rsidRPr="00D078DD" w:rsidRDefault="00737084" w:rsidP="00737084">
            <w:pPr>
              <w:ind w:firstLine="0"/>
              <w:jc w:val="left"/>
              <w:rPr>
                <w:szCs w:val="24"/>
              </w:rPr>
            </w:pPr>
            <w:r w:rsidRPr="00D078DD">
              <w:rPr>
                <w:szCs w:val="24"/>
              </w:rPr>
              <w:t>Наименование ГРБС</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4</w:t>
            </w:r>
          </w:p>
        </w:tc>
        <w:tc>
          <w:tcPr>
            <w:tcW w:w="1276" w:type="dxa"/>
          </w:tcPr>
          <w:p w:rsidR="00737084" w:rsidRPr="00D078DD" w:rsidRDefault="00737084" w:rsidP="00737084">
            <w:pPr>
              <w:ind w:firstLine="0"/>
              <w:jc w:val="left"/>
              <w:rPr>
                <w:szCs w:val="24"/>
              </w:rPr>
            </w:pPr>
            <w:r w:rsidRPr="00D078DD">
              <w:rPr>
                <w:szCs w:val="24"/>
              </w:rPr>
              <w:t>Наименование получателя</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Реквизиты получателя субсидии =&gt; Полное наименование юридического лица/ФИО физического лица на русском языке</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5</w:t>
            </w:r>
          </w:p>
        </w:tc>
        <w:tc>
          <w:tcPr>
            <w:tcW w:w="1276" w:type="dxa"/>
          </w:tcPr>
          <w:p w:rsidR="00737084" w:rsidRPr="00D078DD" w:rsidRDefault="00737084" w:rsidP="00737084">
            <w:pPr>
              <w:ind w:firstLine="0"/>
              <w:jc w:val="left"/>
              <w:rPr>
                <w:szCs w:val="24"/>
              </w:rPr>
            </w:pPr>
            <w:r w:rsidRPr="00D078DD">
              <w:rPr>
                <w:szCs w:val="24"/>
              </w:rPr>
              <w:t>Код получателя по СвР</w:t>
            </w:r>
          </w:p>
        </w:tc>
        <w:tc>
          <w:tcPr>
            <w:tcW w:w="992" w:type="dxa"/>
          </w:tcPr>
          <w:p w:rsidR="00737084" w:rsidRPr="00D078DD" w:rsidRDefault="00737084" w:rsidP="00737084">
            <w:pPr>
              <w:ind w:firstLine="34"/>
              <w:jc w:val="left"/>
              <w:rPr>
                <w:szCs w:val="24"/>
              </w:rPr>
            </w:pPr>
            <w:r w:rsidRPr="00D078DD">
              <w:rPr>
                <w:szCs w:val="24"/>
              </w:rPr>
              <w:t>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Реквизиты получателя субсидии =&gt; Код по сводному реестру</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6</w:t>
            </w:r>
          </w:p>
        </w:tc>
        <w:tc>
          <w:tcPr>
            <w:tcW w:w="1276" w:type="dxa"/>
          </w:tcPr>
          <w:p w:rsidR="00737084" w:rsidRPr="00D078DD" w:rsidRDefault="00737084" w:rsidP="00737084">
            <w:pPr>
              <w:ind w:firstLine="0"/>
              <w:jc w:val="left"/>
              <w:rPr>
                <w:szCs w:val="24"/>
              </w:rPr>
            </w:pPr>
            <w:r w:rsidRPr="00D078DD">
              <w:rPr>
                <w:szCs w:val="24"/>
              </w:rPr>
              <w:t>ИНН получателя</w:t>
            </w:r>
          </w:p>
        </w:tc>
        <w:tc>
          <w:tcPr>
            <w:tcW w:w="992" w:type="dxa"/>
          </w:tcPr>
          <w:p w:rsidR="00737084" w:rsidRPr="00D078DD" w:rsidRDefault="00737084" w:rsidP="00737084">
            <w:pPr>
              <w:ind w:firstLine="34"/>
              <w:jc w:val="left"/>
              <w:rPr>
                <w:szCs w:val="24"/>
              </w:rPr>
            </w:pPr>
            <w:r w:rsidRPr="00D078DD">
              <w:rPr>
                <w:szCs w:val="24"/>
              </w:rPr>
              <w:t>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Реквизиты получателя субсидии =&gt; ИНН</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7</w:t>
            </w:r>
          </w:p>
        </w:tc>
        <w:tc>
          <w:tcPr>
            <w:tcW w:w="1276" w:type="dxa"/>
          </w:tcPr>
          <w:p w:rsidR="00737084" w:rsidRPr="00D078DD" w:rsidRDefault="00737084" w:rsidP="00737084">
            <w:pPr>
              <w:ind w:firstLine="0"/>
              <w:jc w:val="left"/>
              <w:rPr>
                <w:szCs w:val="24"/>
              </w:rPr>
            </w:pPr>
            <w:r w:rsidRPr="00D078DD">
              <w:rPr>
                <w:szCs w:val="24"/>
              </w:rPr>
              <w:t>КПП получателя</w:t>
            </w:r>
          </w:p>
        </w:tc>
        <w:tc>
          <w:tcPr>
            <w:tcW w:w="992" w:type="dxa"/>
          </w:tcPr>
          <w:p w:rsidR="00737084" w:rsidRPr="00D078DD" w:rsidRDefault="00737084" w:rsidP="00737084">
            <w:pPr>
              <w:ind w:firstLine="34"/>
              <w:jc w:val="left"/>
              <w:rPr>
                <w:szCs w:val="24"/>
              </w:rPr>
            </w:pPr>
            <w:r w:rsidRPr="00D078DD">
              <w:rPr>
                <w:szCs w:val="24"/>
              </w:rPr>
              <w:t>Скрыта</w:t>
            </w:r>
          </w:p>
        </w:tc>
        <w:tc>
          <w:tcPr>
            <w:tcW w:w="3402" w:type="dxa"/>
          </w:tcPr>
          <w:p w:rsidR="00737084" w:rsidRPr="00D078DD" w:rsidRDefault="00737084" w:rsidP="00737084">
            <w:pPr>
              <w:ind w:firstLine="0"/>
              <w:jc w:val="left"/>
              <w:rPr>
                <w:szCs w:val="24"/>
              </w:rPr>
            </w:pPr>
          </w:p>
        </w:tc>
        <w:tc>
          <w:tcPr>
            <w:tcW w:w="3828" w:type="dxa"/>
            <w:shd w:val="clear" w:color="auto" w:fill="auto"/>
          </w:tcPr>
          <w:p w:rsidR="00737084" w:rsidRPr="00D078DD" w:rsidRDefault="00737084" w:rsidP="00737084">
            <w:pPr>
              <w:ind w:firstLine="0"/>
              <w:jc w:val="left"/>
              <w:rPr>
                <w:szCs w:val="24"/>
              </w:rPr>
            </w:pPr>
            <w:r w:rsidRPr="00D078DD">
              <w:rPr>
                <w:szCs w:val="24"/>
              </w:rPr>
              <w:t>ПУР АСС =&gt; Реквизиты получателя субсидии =&gt; КПП</w:t>
            </w:r>
          </w:p>
        </w:tc>
      </w:tr>
      <w:tr w:rsidR="00737084" w:rsidRPr="00D078DD" w:rsidTr="00DE7AE6">
        <w:tc>
          <w:tcPr>
            <w:tcW w:w="10065" w:type="dxa"/>
            <w:gridSpan w:val="5"/>
            <w:shd w:val="clear" w:color="auto" w:fill="D9D9D9" w:themeFill="background1" w:themeFillShade="D9"/>
          </w:tcPr>
          <w:p w:rsidR="00737084" w:rsidRPr="00D078DD" w:rsidRDefault="00737084" w:rsidP="00737084">
            <w:pPr>
              <w:ind w:firstLine="0"/>
              <w:jc w:val="center"/>
              <w:rPr>
                <w:szCs w:val="24"/>
              </w:rPr>
            </w:pPr>
            <w:r w:rsidRPr="00D078DD">
              <w:rPr>
                <w:szCs w:val="24"/>
              </w:rPr>
              <w:t>Блок по значениям результатов</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8</w:t>
            </w:r>
          </w:p>
        </w:tc>
        <w:tc>
          <w:tcPr>
            <w:tcW w:w="1276" w:type="dxa"/>
          </w:tcPr>
          <w:p w:rsidR="00737084" w:rsidRPr="00D078DD" w:rsidRDefault="00737084" w:rsidP="00737084">
            <w:pPr>
              <w:ind w:firstLine="0"/>
              <w:jc w:val="left"/>
              <w:rPr>
                <w:szCs w:val="24"/>
              </w:rPr>
            </w:pPr>
            <w:r w:rsidRPr="00D078DD">
              <w:rPr>
                <w:szCs w:val="24"/>
              </w:rPr>
              <w:t>Уникальный код показателя результативности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Сопоставление планового и фактического значения</w:t>
            </w: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 xml:space="preserve">ПУР АСС =&gt; </w:t>
            </w:r>
          </w:p>
          <w:p w:rsidR="00737084" w:rsidRPr="00D078DD" w:rsidRDefault="00737084" w:rsidP="00737084">
            <w:pPr>
              <w:pStyle w:val="afff6"/>
              <w:ind w:left="0" w:firstLine="0"/>
              <w:jc w:val="left"/>
              <w:rPr>
                <w:sz w:val="24"/>
                <w:szCs w:val="24"/>
              </w:rPr>
            </w:pPr>
            <w:r w:rsidRPr="00D078DD">
              <w:rPr>
                <w:sz w:val="24"/>
                <w:szCs w:val="24"/>
              </w:rPr>
              <w:t>- Реквизиты соглашения (договора), НПА =&gt; Плановые показатели результативности =&gt; Код результата федерального(регионального) проекта</w:t>
            </w:r>
          </w:p>
          <w:p w:rsidR="00737084" w:rsidRPr="00D078DD" w:rsidRDefault="00737084" w:rsidP="00737084">
            <w:pPr>
              <w:pStyle w:val="afff6"/>
              <w:ind w:left="0" w:firstLine="0"/>
              <w:jc w:val="left"/>
              <w:rPr>
                <w:sz w:val="24"/>
                <w:szCs w:val="24"/>
              </w:rPr>
            </w:pPr>
            <w:r w:rsidRPr="00D078DD">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Уникальный код показателя</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9</w:t>
            </w:r>
          </w:p>
        </w:tc>
        <w:tc>
          <w:tcPr>
            <w:tcW w:w="1276" w:type="dxa"/>
          </w:tcPr>
          <w:p w:rsidR="00737084" w:rsidRPr="00D078DD" w:rsidRDefault="00737084" w:rsidP="00737084">
            <w:pPr>
              <w:ind w:firstLine="0"/>
              <w:jc w:val="left"/>
              <w:rPr>
                <w:szCs w:val="24"/>
              </w:rPr>
            </w:pPr>
            <w:r w:rsidRPr="00D078DD">
              <w:rPr>
                <w:szCs w:val="24"/>
              </w:rPr>
              <w:t>№ показателя</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Сопоставление планового и фактического значения</w:t>
            </w: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w:t>
            </w:r>
          </w:p>
          <w:p w:rsidR="00737084" w:rsidRPr="00D078DD" w:rsidRDefault="00737084" w:rsidP="00737084">
            <w:pPr>
              <w:pStyle w:val="afff6"/>
              <w:ind w:left="0" w:firstLine="0"/>
              <w:jc w:val="left"/>
              <w:rPr>
                <w:sz w:val="24"/>
                <w:szCs w:val="24"/>
              </w:rPr>
            </w:pPr>
            <w:r w:rsidRPr="00D078DD">
              <w:rPr>
                <w:sz w:val="24"/>
                <w:szCs w:val="24"/>
              </w:rPr>
              <w:t>- Реквизиты соглашения (договора), НПА =&gt; Плановые показатели результативности =&gt; Номер показателя результативности/ результата федерального (регионального) проекта</w:t>
            </w:r>
          </w:p>
          <w:p w:rsidR="00737084" w:rsidRPr="00D078DD" w:rsidRDefault="00737084" w:rsidP="00737084">
            <w:pPr>
              <w:pStyle w:val="afff6"/>
              <w:ind w:left="0" w:firstLine="0"/>
              <w:jc w:val="left"/>
              <w:rPr>
                <w:sz w:val="24"/>
                <w:szCs w:val="24"/>
              </w:rPr>
            </w:pPr>
            <w:r w:rsidRPr="00D078DD">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Номер показателя</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10</w:t>
            </w:r>
          </w:p>
        </w:tc>
        <w:tc>
          <w:tcPr>
            <w:tcW w:w="1276" w:type="dxa"/>
          </w:tcPr>
          <w:p w:rsidR="00737084" w:rsidRPr="00D078DD" w:rsidRDefault="00737084" w:rsidP="00737084">
            <w:pPr>
              <w:ind w:firstLine="0"/>
              <w:jc w:val="left"/>
              <w:rPr>
                <w:szCs w:val="24"/>
              </w:rPr>
            </w:pPr>
            <w:r w:rsidRPr="00D078DD">
              <w:rPr>
                <w:szCs w:val="24"/>
              </w:rPr>
              <w:t>Наименование показателя результативности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Сопоставление планового и фактического значения</w:t>
            </w: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w:t>
            </w:r>
          </w:p>
          <w:p w:rsidR="00737084" w:rsidRPr="00D078DD" w:rsidRDefault="00737084" w:rsidP="00737084">
            <w:pPr>
              <w:pStyle w:val="afff6"/>
              <w:ind w:left="0" w:firstLine="0"/>
              <w:jc w:val="left"/>
              <w:rPr>
                <w:sz w:val="24"/>
                <w:szCs w:val="24"/>
              </w:rPr>
            </w:pPr>
            <w:r w:rsidRPr="00D078DD">
              <w:rPr>
                <w:sz w:val="24"/>
                <w:szCs w:val="24"/>
              </w:rPr>
              <w:t>- Реквизиты соглашения (договора), НПА =&gt; Плановые показатели результативности =&gt; Наименование показателя результативности/результата федерального(регионального) проекта</w:t>
            </w:r>
          </w:p>
          <w:p w:rsidR="00737084" w:rsidRPr="00D078DD" w:rsidRDefault="00737084" w:rsidP="00737084">
            <w:pPr>
              <w:pStyle w:val="afff6"/>
              <w:ind w:left="0" w:firstLine="0"/>
              <w:jc w:val="left"/>
              <w:rPr>
                <w:sz w:val="24"/>
                <w:szCs w:val="24"/>
              </w:rPr>
            </w:pPr>
            <w:r w:rsidRPr="00D078DD">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Наименование показателя результативности</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11</w:t>
            </w:r>
          </w:p>
        </w:tc>
        <w:tc>
          <w:tcPr>
            <w:tcW w:w="1276" w:type="dxa"/>
          </w:tcPr>
          <w:p w:rsidR="00737084" w:rsidRPr="00D078DD" w:rsidRDefault="00737084" w:rsidP="00737084">
            <w:pPr>
              <w:ind w:firstLine="0"/>
              <w:jc w:val="left"/>
              <w:rPr>
                <w:szCs w:val="24"/>
              </w:rPr>
            </w:pPr>
            <w:r w:rsidRPr="00D078DD">
              <w:rPr>
                <w:szCs w:val="24"/>
              </w:rPr>
              <w:t>Единицы измерения показателя результативности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Сопоставление планового и фактического значения</w:t>
            </w: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w:t>
            </w:r>
          </w:p>
          <w:p w:rsidR="00737084" w:rsidRPr="00D078DD" w:rsidRDefault="00737084" w:rsidP="00737084">
            <w:pPr>
              <w:pStyle w:val="afff6"/>
              <w:ind w:left="0" w:firstLine="0"/>
              <w:jc w:val="left"/>
              <w:rPr>
                <w:sz w:val="24"/>
                <w:szCs w:val="24"/>
              </w:rPr>
            </w:pPr>
            <w:r w:rsidRPr="00D078DD">
              <w:rPr>
                <w:sz w:val="24"/>
                <w:szCs w:val="24"/>
              </w:rPr>
              <w:t>- Реквизиты соглашения (договора), НПА =&gt; Плановые показатели результативности =&gt; Единица измерения значения показателя результативности/ результата федерального (регионального) проекта</w:t>
            </w:r>
          </w:p>
          <w:p w:rsidR="00737084" w:rsidRPr="00D078DD" w:rsidRDefault="00737084" w:rsidP="00737084">
            <w:pPr>
              <w:pStyle w:val="afff6"/>
              <w:ind w:left="0" w:firstLine="0"/>
              <w:jc w:val="left"/>
              <w:rPr>
                <w:sz w:val="24"/>
                <w:szCs w:val="24"/>
              </w:rPr>
            </w:pPr>
            <w:r w:rsidRPr="00D078DD">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Единица измерения показателя результативности</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12</w:t>
            </w:r>
          </w:p>
        </w:tc>
        <w:tc>
          <w:tcPr>
            <w:tcW w:w="1276" w:type="dxa"/>
          </w:tcPr>
          <w:p w:rsidR="00737084" w:rsidRPr="00D078DD" w:rsidRDefault="00737084" w:rsidP="00737084">
            <w:pPr>
              <w:ind w:firstLine="0"/>
              <w:jc w:val="left"/>
              <w:rPr>
                <w:szCs w:val="24"/>
              </w:rPr>
            </w:pPr>
            <w:r w:rsidRPr="00D078DD">
              <w:rPr>
                <w:szCs w:val="24"/>
              </w:rPr>
              <w:t>Плановая дата достижения результата</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 Реквизиты соглашения (договора), НПА =&gt; Плановые показатели результативности =&gt; Значение показателя по годам достижения =&gt; Срок (год), на который запланировано достижение показателя результативности (результата)</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13</w:t>
            </w:r>
          </w:p>
        </w:tc>
        <w:tc>
          <w:tcPr>
            <w:tcW w:w="1276" w:type="dxa"/>
          </w:tcPr>
          <w:p w:rsidR="00737084" w:rsidRPr="00D078DD" w:rsidRDefault="00737084" w:rsidP="00737084">
            <w:pPr>
              <w:ind w:firstLine="0"/>
              <w:jc w:val="left"/>
              <w:rPr>
                <w:szCs w:val="24"/>
              </w:rPr>
            </w:pPr>
            <w:r w:rsidRPr="00D078DD">
              <w:rPr>
                <w:szCs w:val="24"/>
              </w:rPr>
              <w:t>Фактическая дата предоставления отчета о достижении результата</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Дата, на которую предоставляется информация</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14</w:t>
            </w:r>
          </w:p>
        </w:tc>
        <w:tc>
          <w:tcPr>
            <w:tcW w:w="1276" w:type="dxa"/>
          </w:tcPr>
          <w:p w:rsidR="00737084" w:rsidRPr="00D078DD" w:rsidRDefault="00737084" w:rsidP="00737084">
            <w:pPr>
              <w:ind w:firstLine="0"/>
              <w:jc w:val="left"/>
              <w:rPr>
                <w:szCs w:val="24"/>
              </w:rPr>
            </w:pPr>
            <w:r w:rsidRPr="00D078DD">
              <w:rPr>
                <w:szCs w:val="24"/>
              </w:rPr>
              <w:t>Плановые значения показателей результативности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shd w:val="clear" w:color="auto" w:fill="auto"/>
          </w:tcPr>
          <w:p w:rsidR="00737084" w:rsidRPr="00D078DD" w:rsidRDefault="00737084" w:rsidP="00737084">
            <w:pPr>
              <w:pStyle w:val="afff6"/>
              <w:ind w:left="0" w:firstLine="0"/>
              <w:jc w:val="left"/>
              <w:rPr>
                <w:sz w:val="24"/>
                <w:szCs w:val="24"/>
              </w:rPr>
            </w:pPr>
            <w:r w:rsidRPr="00D078DD">
              <w:rPr>
                <w:sz w:val="24"/>
                <w:szCs w:val="24"/>
              </w:rPr>
              <w:t>ПУР АСС =&gt; Реквизиты соглашения (договора), НПА =&gt; Плановые показатели результативности =&gt; Значение показателя по годам достижения =&gt; Плановое значение показателя результативности (результата)</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15</w:t>
            </w:r>
          </w:p>
        </w:tc>
        <w:tc>
          <w:tcPr>
            <w:tcW w:w="1276" w:type="dxa"/>
          </w:tcPr>
          <w:p w:rsidR="00737084" w:rsidRPr="00D078DD" w:rsidRDefault="00737084" w:rsidP="00737084">
            <w:pPr>
              <w:ind w:firstLine="0"/>
              <w:jc w:val="left"/>
              <w:rPr>
                <w:szCs w:val="24"/>
              </w:rPr>
            </w:pPr>
            <w:r w:rsidRPr="00D078DD">
              <w:rPr>
                <w:szCs w:val="24"/>
              </w:rPr>
              <w:t>Фактические значения показателей результативности</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Значение показателя результативности</w:t>
            </w: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16</w:t>
            </w:r>
          </w:p>
        </w:tc>
        <w:tc>
          <w:tcPr>
            <w:tcW w:w="1276" w:type="dxa"/>
          </w:tcPr>
          <w:p w:rsidR="00737084" w:rsidRPr="00D078DD" w:rsidRDefault="00737084" w:rsidP="00737084">
            <w:pPr>
              <w:ind w:firstLine="0"/>
              <w:jc w:val="left"/>
              <w:rPr>
                <w:szCs w:val="24"/>
              </w:rPr>
            </w:pPr>
            <w:r w:rsidRPr="00D078DD">
              <w:rPr>
                <w:szCs w:val="24"/>
              </w:rPr>
              <w:t>Отклонение планового значения показателя результативности от фактического</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Расчетный показатель: фактическое значение минус плановое</w:t>
            </w:r>
          </w:p>
        </w:tc>
        <w:tc>
          <w:tcPr>
            <w:tcW w:w="3828" w:type="dxa"/>
          </w:tcPr>
          <w:p w:rsidR="00737084" w:rsidRPr="00D078DD" w:rsidRDefault="00737084" w:rsidP="00737084">
            <w:pPr>
              <w:ind w:firstLine="0"/>
              <w:jc w:val="left"/>
              <w:rPr>
                <w:szCs w:val="24"/>
              </w:rPr>
            </w:pP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17</w:t>
            </w:r>
          </w:p>
        </w:tc>
        <w:tc>
          <w:tcPr>
            <w:tcW w:w="1276" w:type="dxa"/>
          </w:tcPr>
          <w:p w:rsidR="00737084" w:rsidRPr="00D078DD" w:rsidRDefault="00737084" w:rsidP="00737084">
            <w:pPr>
              <w:ind w:firstLine="0"/>
              <w:jc w:val="left"/>
              <w:rPr>
                <w:szCs w:val="24"/>
              </w:rPr>
            </w:pPr>
            <w:r w:rsidRPr="00D078DD">
              <w:rPr>
                <w:szCs w:val="24"/>
              </w:rPr>
              <w:t>% достижения</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r w:rsidRPr="00D078DD">
              <w:rPr>
                <w:szCs w:val="24"/>
              </w:rPr>
              <w:t>Расчетный показатель: отношение фактического значения к плановому в процентном формате</w:t>
            </w:r>
          </w:p>
        </w:tc>
        <w:tc>
          <w:tcPr>
            <w:tcW w:w="3828" w:type="dxa"/>
          </w:tcPr>
          <w:p w:rsidR="00737084" w:rsidRPr="00D078DD" w:rsidRDefault="00737084" w:rsidP="00737084">
            <w:pPr>
              <w:ind w:firstLine="0"/>
              <w:jc w:val="left"/>
              <w:rPr>
                <w:szCs w:val="24"/>
              </w:rPr>
            </w:pPr>
          </w:p>
        </w:tc>
      </w:tr>
      <w:tr w:rsidR="00737084" w:rsidRPr="00D078DD" w:rsidTr="00DE7AE6">
        <w:tc>
          <w:tcPr>
            <w:tcW w:w="567" w:type="dxa"/>
          </w:tcPr>
          <w:p w:rsidR="00737084" w:rsidRPr="00D078DD" w:rsidRDefault="00737084" w:rsidP="00737084">
            <w:pPr>
              <w:ind w:firstLine="0"/>
              <w:jc w:val="left"/>
              <w:rPr>
                <w:szCs w:val="24"/>
              </w:rPr>
            </w:pPr>
            <w:r w:rsidRPr="00D078DD">
              <w:rPr>
                <w:szCs w:val="24"/>
              </w:rPr>
              <w:t>18</w:t>
            </w:r>
          </w:p>
        </w:tc>
        <w:tc>
          <w:tcPr>
            <w:tcW w:w="1276" w:type="dxa"/>
          </w:tcPr>
          <w:p w:rsidR="00737084" w:rsidRPr="00D078DD" w:rsidRDefault="00737084" w:rsidP="00737084">
            <w:pPr>
              <w:ind w:firstLine="0"/>
              <w:jc w:val="left"/>
              <w:rPr>
                <w:szCs w:val="24"/>
              </w:rPr>
            </w:pPr>
            <w:r w:rsidRPr="00D078DD">
              <w:rPr>
                <w:szCs w:val="24"/>
              </w:rPr>
              <w:t>Причина отклонения достигнутых значений результатов</w:t>
            </w:r>
          </w:p>
        </w:tc>
        <w:tc>
          <w:tcPr>
            <w:tcW w:w="992" w:type="dxa"/>
          </w:tcPr>
          <w:p w:rsidR="00737084" w:rsidRPr="00D078DD" w:rsidRDefault="00737084" w:rsidP="00737084">
            <w:pPr>
              <w:ind w:firstLine="34"/>
              <w:jc w:val="left"/>
              <w:rPr>
                <w:szCs w:val="24"/>
              </w:rPr>
            </w:pPr>
            <w:r w:rsidRPr="00D078DD">
              <w:rPr>
                <w:szCs w:val="24"/>
              </w:rPr>
              <w:t>Раскрыта</w:t>
            </w:r>
          </w:p>
        </w:tc>
        <w:tc>
          <w:tcPr>
            <w:tcW w:w="3402" w:type="dxa"/>
          </w:tcPr>
          <w:p w:rsidR="00737084" w:rsidRPr="00D078DD" w:rsidRDefault="00737084" w:rsidP="00737084">
            <w:pPr>
              <w:ind w:firstLine="0"/>
              <w:jc w:val="left"/>
              <w:rPr>
                <w:szCs w:val="24"/>
              </w:rPr>
            </w:pPr>
          </w:p>
        </w:tc>
        <w:tc>
          <w:tcPr>
            <w:tcW w:w="3828" w:type="dxa"/>
          </w:tcPr>
          <w:p w:rsidR="00737084" w:rsidRPr="00D078DD" w:rsidRDefault="00737084" w:rsidP="00737084">
            <w:pPr>
              <w:ind w:firstLine="0"/>
              <w:jc w:val="left"/>
              <w:rPr>
                <w:szCs w:val="24"/>
              </w:rPr>
            </w:pPr>
            <w:r w:rsidRPr="00D078DD">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Причина отклонения достигнутых значений показателей результативности</w:t>
            </w:r>
          </w:p>
        </w:tc>
      </w:tr>
    </w:tbl>
    <w:p w:rsidR="00737084" w:rsidRPr="002D1FAC" w:rsidRDefault="00737084" w:rsidP="00737084"/>
    <w:p w:rsidR="00737084" w:rsidRPr="00B7607C" w:rsidRDefault="00737084" w:rsidP="00737084">
      <w:pPr>
        <w:ind w:firstLine="709"/>
        <w:rPr>
          <w:sz w:val="28"/>
          <w:szCs w:val="28"/>
        </w:rPr>
      </w:pPr>
      <w:r w:rsidRPr="00B7607C">
        <w:rPr>
          <w:sz w:val="28"/>
          <w:szCs w:val="28"/>
        </w:rPr>
        <w:t>Область фильтров:</w:t>
      </w:r>
    </w:p>
    <w:tbl>
      <w:tblPr>
        <w:tblStyle w:val="affe"/>
        <w:tblW w:w="10348" w:type="dxa"/>
        <w:tblInd w:w="-459" w:type="dxa"/>
        <w:tblLook w:val="04A0" w:firstRow="1" w:lastRow="0" w:firstColumn="1" w:lastColumn="0" w:noHBand="0" w:noVBand="1"/>
      </w:tblPr>
      <w:tblGrid>
        <w:gridCol w:w="567"/>
        <w:gridCol w:w="1895"/>
        <w:gridCol w:w="3634"/>
        <w:gridCol w:w="4252"/>
      </w:tblGrid>
      <w:tr w:rsidR="00737084" w:rsidRPr="00D078DD" w:rsidTr="00737084">
        <w:trPr>
          <w:tblHeader/>
        </w:trPr>
        <w:tc>
          <w:tcPr>
            <w:tcW w:w="567" w:type="dxa"/>
            <w:shd w:val="clear" w:color="auto" w:fill="F2F2F2" w:themeFill="background1" w:themeFillShade="F2"/>
          </w:tcPr>
          <w:p w:rsidR="00737084" w:rsidRPr="00D078DD" w:rsidRDefault="00737084" w:rsidP="00737084">
            <w:pPr>
              <w:ind w:firstLine="0"/>
              <w:jc w:val="center"/>
              <w:rPr>
                <w:b/>
                <w:szCs w:val="24"/>
              </w:rPr>
            </w:pPr>
            <w:r w:rsidRPr="00D078DD">
              <w:rPr>
                <w:b/>
                <w:szCs w:val="24"/>
              </w:rPr>
              <w:t>№ п/п</w:t>
            </w:r>
          </w:p>
        </w:tc>
        <w:tc>
          <w:tcPr>
            <w:tcW w:w="1895" w:type="dxa"/>
            <w:shd w:val="clear" w:color="auto" w:fill="F2F2F2" w:themeFill="background1" w:themeFillShade="F2"/>
          </w:tcPr>
          <w:p w:rsidR="00737084" w:rsidRPr="00D078DD" w:rsidRDefault="00737084" w:rsidP="00737084">
            <w:pPr>
              <w:ind w:firstLine="0"/>
              <w:jc w:val="center"/>
              <w:rPr>
                <w:b/>
                <w:szCs w:val="24"/>
              </w:rPr>
            </w:pPr>
            <w:r w:rsidRPr="00D078DD">
              <w:rPr>
                <w:b/>
                <w:szCs w:val="24"/>
              </w:rPr>
              <w:t>Наименование фильтра</w:t>
            </w:r>
          </w:p>
        </w:tc>
        <w:tc>
          <w:tcPr>
            <w:tcW w:w="3634" w:type="dxa"/>
            <w:shd w:val="clear" w:color="auto" w:fill="F2F2F2" w:themeFill="background1" w:themeFillShade="F2"/>
          </w:tcPr>
          <w:p w:rsidR="00737084" w:rsidRPr="00D078DD" w:rsidRDefault="00737084" w:rsidP="00737084">
            <w:pPr>
              <w:ind w:firstLine="0"/>
              <w:jc w:val="center"/>
              <w:rPr>
                <w:b/>
                <w:szCs w:val="24"/>
              </w:rPr>
            </w:pPr>
            <w:r w:rsidRPr="00D078DD">
              <w:rPr>
                <w:b/>
                <w:szCs w:val="24"/>
              </w:rPr>
              <w:t>Алгоритм</w:t>
            </w:r>
          </w:p>
        </w:tc>
        <w:tc>
          <w:tcPr>
            <w:tcW w:w="4252" w:type="dxa"/>
            <w:shd w:val="clear" w:color="auto" w:fill="F2F2F2" w:themeFill="background1" w:themeFillShade="F2"/>
          </w:tcPr>
          <w:p w:rsidR="00737084" w:rsidRPr="00D078DD" w:rsidRDefault="00737084" w:rsidP="00737084">
            <w:pPr>
              <w:ind w:firstLine="0"/>
              <w:jc w:val="center"/>
              <w:rPr>
                <w:b/>
                <w:szCs w:val="24"/>
              </w:rPr>
            </w:pPr>
            <w:r w:rsidRPr="00D078DD">
              <w:rPr>
                <w:b/>
                <w:szCs w:val="24"/>
              </w:rPr>
              <w:t>Источник данных</w:t>
            </w: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1</w:t>
            </w:r>
          </w:p>
        </w:tc>
        <w:tc>
          <w:tcPr>
            <w:tcW w:w="1895" w:type="dxa"/>
          </w:tcPr>
          <w:p w:rsidR="00737084" w:rsidRPr="00D078DD" w:rsidRDefault="00737084" w:rsidP="00737084">
            <w:pPr>
              <w:ind w:firstLine="0"/>
              <w:jc w:val="left"/>
              <w:rPr>
                <w:szCs w:val="24"/>
              </w:rPr>
            </w:pPr>
            <w:r w:rsidRPr="00D078DD">
              <w:rPr>
                <w:szCs w:val="24"/>
              </w:rPr>
              <w:t xml:space="preserve">Обновить </w:t>
            </w:r>
            <w:r w:rsidRPr="00D078DD">
              <w:rPr>
                <w:noProof/>
                <w:szCs w:val="24"/>
              </w:rPr>
              <w:drawing>
                <wp:inline distT="0" distB="0" distL="0" distR="0" wp14:anchorId="3F28568D" wp14:editId="098D388A">
                  <wp:extent cx="476190" cy="476190"/>
                  <wp:effectExtent l="0" t="0" r="63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34" w:type="dxa"/>
          </w:tcPr>
          <w:p w:rsidR="00737084" w:rsidRPr="00D078DD" w:rsidRDefault="00737084" w:rsidP="00737084">
            <w:pPr>
              <w:ind w:firstLine="0"/>
              <w:jc w:val="left"/>
              <w:rPr>
                <w:szCs w:val="24"/>
              </w:rPr>
            </w:pPr>
            <w:r w:rsidRPr="00D078DD">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737084" w:rsidRPr="00D078DD" w:rsidRDefault="00737084" w:rsidP="00737084">
            <w:pPr>
              <w:pStyle w:val="afff6"/>
              <w:ind w:left="0" w:firstLine="0"/>
              <w:jc w:val="left"/>
              <w:rPr>
                <w:sz w:val="24"/>
                <w:szCs w:val="24"/>
              </w:rPr>
            </w:pP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2</w:t>
            </w:r>
          </w:p>
        </w:tc>
        <w:tc>
          <w:tcPr>
            <w:tcW w:w="1895" w:type="dxa"/>
          </w:tcPr>
          <w:p w:rsidR="00737084" w:rsidRPr="00D078DD" w:rsidRDefault="00737084" w:rsidP="00737084">
            <w:pPr>
              <w:ind w:firstLine="0"/>
              <w:jc w:val="left"/>
              <w:rPr>
                <w:szCs w:val="24"/>
              </w:rPr>
            </w:pPr>
            <w:r w:rsidRPr="00D078DD">
              <w:rPr>
                <w:szCs w:val="24"/>
              </w:rPr>
              <w:t>Год</w:t>
            </w:r>
          </w:p>
        </w:tc>
        <w:tc>
          <w:tcPr>
            <w:tcW w:w="3634" w:type="dxa"/>
          </w:tcPr>
          <w:p w:rsidR="00737084" w:rsidRPr="00D078DD" w:rsidRDefault="00737084" w:rsidP="00737084">
            <w:pPr>
              <w:ind w:firstLine="0"/>
              <w:jc w:val="left"/>
              <w:rPr>
                <w:szCs w:val="24"/>
              </w:rPr>
            </w:pPr>
            <w:r w:rsidRPr="00D078DD">
              <w:rPr>
                <w:szCs w:val="24"/>
              </w:rPr>
              <w:t>Фильтрация по году из графика соглашения</w:t>
            </w:r>
          </w:p>
          <w:p w:rsidR="00737084" w:rsidRPr="00D078DD" w:rsidRDefault="00737084" w:rsidP="00737084">
            <w:pPr>
              <w:ind w:firstLine="0"/>
              <w:jc w:val="left"/>
              <w:rPr>
                <w:szCs w:val="24"/>
              </w:rPr>
            </w:pPr>
            <w:r w:rsidRPr="00D078DD">
              <w:rPr>
                <w:szCs w:val="24"/>
              </w:rPr>
              <w:t>Возможность выбора только одного значения параметра из выпадающего списка, отсутствует возможность контекстного поиска</w:t>
            </w:r>
          </w:p>
          <w:p w:rsidR="00737084" w:rsidRPr="00D078DD" w:rsidRDefault="00737084" w:rsidP="00737084">
            <w:pPr>
              <w:ind w:firstLine="0"/>
              <w:jc w:val="left"/>
              <w:rPr>
                <w:szCs w:val="24"/>
              </w:rPr>
            </w:pPr>
            <w:r w:rsidRPr="00D078DD">
              <w:rPr>
                <w:szCs w:val="24"/>
              </w:rPr>
              <w:t>По умолчанию установлено значение текущего календарного года</w:t>
            </w:r>
          </w:p>
        </w:tc>
        <w:tc>
          <w:tcPr>
            <w:tcW w:w="4252" w:type="dxa"/>
          </w:tcPr>
          <w:p w:rsidR="00737084" w:rsidRPr="00D078DD" w:rsidRDefault="00737084" w:rsidP="00737084">
            <w:pPr>
              <w:pStyle w:val="afff6"/>
              <w:ind w:left="0" w:firstLine="0"/>
              <w:jc w:val="left"/>
              <w:rPr>
                <w:sz w:val="24"/>
                <w:szCs w:val="24"/>
              </w:rPr>
            </w:pPr>
            <w:r w:rsidRPr="00D078DD">
              <w:rPr>
                <w:sz w:val="24"/>
                <w:szCs w:val="24"/>
              </w:rPr>
              <w:t>ПУР АСС =&gt; График платежей =&gt; Год осуществления платежа</w:t>
            </w: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3</w:t>
            </w:r>
          </w:p>
        </w:tc>
        <w:tc>
          <w:tcPr>
            <w:tcW w:w="1895" w:type="dxa"/>
          </w:tcPr>
          <w:p w:rsidR="00737084" w:rsidRPr="00D078DD" w:rsidRDefault="00737084" w:rsidP="00737084">
            <w:pPr>
              <w:ind w:firstLine="0"/>
              <w:jc w:val="left"/>
              <w:rPr>
                <w:szCs w:val="24"/>
              </w:rPr>
            </w:pPr>
            <w:r w:rsidRPr="00D078DD">
              <w:rPr>
                <w:szCs w:val="24"/>
              </w:rPr>
              <w:t>Код ГРБС</w:t>
            </w:r>
          </w:p>
        </w:tc>
        <w:tc>
          <w:tcPr>
            <w:tcW w:w="3634" w:type="dxa"/>
          </w:tcPr>
          <w:p w:rsidR="00737084" w:rsidRPr="00D078DD" w:rsidRDefault="00737084" w:rsidP="00737084">
            <w:pPr>
              <w:ind w:firstLine="0"/>
              <w:jc w:val="left"/>
              <w:rPr>
                <w:szCs w:val="24"/>
              </w:rPr>
            </w:pPr>
            <w:r w:rsidRPr="00D078DD">
              <w:rPr>
                <w:szCs w:val="24"/>
              </w:rPr>
              <w:t>Фильтрация по коду ГРБС</w:t>
            </w:r>
          </w:p>
          <w:p w:rsidR="00737084" w:rsidRPr="00D078DD" w:rsidRDefault="00737084" w:rsidP="00737084">
            <w:pPr>
              <w:ind w:firstLine="0"/>
              <w:jc w:val="left"/>
              <w:rPr>
                <w:szCs w:val="24"/>
              </w:rPr>
            </w:pPr>
            <w:r w:rsidRPr="00D078DD">
              <w:rPr>
                <w:szCs w:val="24"/>
              </w:rPr>
              <w:t>Реализована возможность множественного выбора и контекстного поиска</w:t>
            </w:r>
          </w:p>
          <w:p w:rsidR="00737084" w:rsidRPr="00D078DD" w:rsidRDefault="00737084" w:rsidP="00737084">
            <w:pPr>
              <w:ind w:firstLine="0"/>
              <w:jc w:val="left"/>
              <w:rPr>
                <w:szCs w:val="24"/>
              </w:rPr>
            </w:pPr>
            <w:r w:rsidRPr="00D078DD">
              <w:rPr>
                <w:szCs w:val="24"/>
              </w:rPr>
              <w:t>По умолчанию установлено значение «Все»</w:t>
            </w:r>
          </w:p>
        </w:tc>
        <w:tc>
          <w:tcPr>
            <w:tcW w:w="4252" w:type="dxa"/>
          </w:tcPr>
          <w:p w:rsidR="00737084" w:rsidRPr="00D078DD" w:rsidRDefault="00737084" w:rsidP="00737084">
            <w:pPr>
              <w:ind w:firstLine="0"/>
              <w:jc w:val="left"/>
              <w:rPr>
                <w:szCs w:val="24"/>
              </w:rPr>
            </w:pPr>
            <w:r w:rsidRPr="00D078DD">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4</w:t>
            </w:r>
          </w:p>
        </w:tc>
        <w:tc>
          <w:tcPr>
            <w:tcW w:w="1895" w:type="dxa"/>
          </w:tcPr>
          <w:p w:rsidR="00737084" w:rsidRPr="00D078DD" w:rsidRDefault="00737084" w:rsidP="00737084">
            <w:pPr>
              <w:ind w:firstLine="0"/>
              <w:jc w:val="left"/>
              <w:rPr>
                <w:szCs w:val="24"/>
              </w:rPr>
            </w:pPr>
            <w:r w:rsidRPr="00D078DD">
              <w:rPr>
                <w:szCs w:val="24"/>
              </w:rPr>
              <w:t>РЗПР</w:t>
            </w:r>
          </w:p>
        </w:tc>
        <w:tc>
          <w:tcPr>
            <w:tcW w:w="3634" w:type="dxa"/>
          </w:tcPr>
          <w:p w:rsidR="00737084" w:rsidRPr="00D078DD" w:rsidRDefault="00737084" w:rsidP="00737084">
            <w:pPr>
              <w:ind w:firstLine="0"/>
              <w:jc w:val="left"/>
              <w:rPr>
                <w:szCs w:val="24"/>
              </w:rPr>
            </w:pPr>
            <w:r w:rsidRPr="00D078DD">
              <w:rPr>
                <w:szCs w:val="24"/>
              </w:rPr>
              <w:t>Фильтрация по 4-7 символам КБК</w:t>
            </w:r>
          </w:p>
          <w:p w:rsidR="00737084" w:rsidRPr="00D078DD" w:rsidRDefault="00737084" w:rsidP="00737084">
            <w:pPr>
              <w:ind w:firstLine="0"/>
              <w:jc w:val="left"/>
              <w:rPr>
                <w:szCs w:val="24"/>
              </w:rPr>
            </w:pPr>
            <w:r w:rsidRPr="00D078DD">
              <w:rPr>
                <w:szCs w:val="24"/>
              </w:rPr>
              <w:t>Иерархический фильтр с возможностью выбора только одного параметра единовременно, а также с возможностью контекстного поиска</w:t>
            </w:r>
          </w:p>
          <w:p w:rsidR="00737084" w:rsidRPr="00D078DD" w:rsidRDefault="00737084" w:rsidP="00737084">
            <w:pPr>
              <w:ind w:firstLine="0"/>
              <w:jc w:val="left"/>
              <w:rPr>
                <w:szCs w:val="24"/>
              </w:rPr>
            </w:pPr>
            <w:r w:rsidRPr="00D078DD">
              <w:rPr>
                <w:szCs w:val="24"/>
              </w:rPr>
              <w:t>По умолчанию установлено значение «Все»</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5</w:t>
            </w:r>
          </w:p>
        </w:tc>
        <w:tc>
          <w:tcPr>
            <w:tcW w:w="1895" w:type="dxa"/>
          </w:tcPr>
          <w:p w:rsidR="00737084" w:rsidRPr="00D078DD" w:rsidRDefault="00737084" w:rsidP="00737084">
            <w:pPr>
              <w:ind w:firstLine="0"/>
              <w:jc w:val="left"/>
              <w:rPr>
                <w:szCs w:val="24"/>
              </w:rPr>
            </w:pPr>
            <w:r w:rsidRPr="00D078DD">
              <w:rPr>
                <w:szCs w:val="24"/>
              </w:rPr>
              <w:t>КЦСР</w:t>
            </w:r>
          </w:p>
        </w:tc>
        <w:tc>
          <w:tcPr>
            <w:tcW w:w="3634" w:type="dxa"/>
          </w:tcPr>
          <w:p w:rsidR="00737084" w:rsidRPr="00D078DD" w:rsidRDefault="00737084" w:rsidP="00737084">
            <w:pPr>
              <w:ind w:firstLine="0"/>
              <w:jc w:val="left"/>
              <w:rPr>
                <w:szCs w:val="24"/>
              </w:rPr>
            </w:pPr>
            <w:r w:rsidRPr="00D078DD">
              <w:rPr>
                <w:szCs w:val="24"/>
              </w:rPr>
              <w:t>Фильтрация по 8-17 символам КБК</w:t>
            </w:r>
          </w:p>
          <w:p w:rsidR="00737084" w:rsidRPr="00D078DD" w:rsidRDefault="00737084" w:rsidP="00737084">
            <w:pPr>
              <w:ind w:firstLine="0"/>
              <w:jc w:val="left"/>
              <w:rPr>
                <w:szCs w:val="24"/>
              </w:rPr>
            </w:pPr>
            <w:r w:rsidRPr="00D078DD">
              <w:rPr>
                <w:szCs w:val="24"/>
              </w:rPr>
              <w:t>Реализована возможность множественного выбора и контекстного поиска</w:t>
            </w:r>
          </w:p>
          <w:p w:rsidR="00737084" w:rsidRPr="00D078DD" w:rsidRDefault="00737084" w:rsidP="00737084">
            <w:pPr>
              <w:ind w:firstLine="0"/>
              <w:jc w:val="left"/>
              <w:rPr>
                <w:szCs w:val="24"/>
              </w:rPr>
            </w:pPr>
            <w:r w:rsidRPr="00D078DD">
              <w:rPr>
                <w:szCs w:val="24"/>
              </w:rPr>
              <w:t>По умолчанию установлено значение «Все»</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rPr>
            </w:pPr>
            <w:r w:rsidRPr="00D078DD">
              <w:rPr>
                <w:szCs w:val="24"/>
              </w:rPr>
              <w:t>6</w:t>
            </w:r>
          </w:p>
        </w:tc>
        <w:tc>
          <w:tcPr>
            <w:tcW w:w="1895" w:type="dxa"/>
          </w:tcPr>
          <w:p w:rsidR="00737084" w:rsidRPr="00D078DD" w:rsidRDefault="00737084" w:rsidP="00737084">
            <w:pPr>
              <w:ind w:firstLine="0"/>
              <w:jc w:val="left"/>
              <w:rPr>
                <w:szCs w:val="24"/>
              </w:rPr>
            </w:pPr>
            <w:r w:rsidRPr="00D078DD">
              <w:rPr>
                <w:szCs w:val="24"/>
              </w:rPr>
              <w:t>КВР</w:t>
            </w:r>
          </w:p>
        </w:tc>
        <w:tc>
          <w:tcPr>
            <w:tcW w:w="3634" w:type="dxa"/>
          </w:tcPr>
          <w:p w:rsidR="00737084" w:rsidRPr="00D078DD" w:rsidRDefault="00737084" w:rsidP="00737084">
            <w:pPr>
              <w:ind w:firstLine="0"/>
              <w:jc w:val="left"/>
              <w:rPr>
                <w:szCs w:val="24"/>
              </w:rPr>
            </w:pPr>
            <w:r w:rsidRPr="00D078DD">
              <w:rPr>
                <w:szCs w:val="24"/>
              </w:rPr>
              <w:t>Фильтрация по 18-20 символам КБК</w:t>
            </w:r>
          </w:p>
          <w:p w:rsidR="00737084" w:rsidRPr="00D078DD" w:rsidRDefault="00737084" w:rsidP="00737084">
            <w:pPr>
              <w:ind w:firstLine="0"/>
              <w:jc w:val="left"/>
              <w:rPr>
                <w:szCs w:val="24"/>
              </w:rPr>
            </w:pPr>
            <w:r w:rsidRPr="00D078DD">
              <w:rPr>
                <w:szCs w:val="24"/>
              </w:rPr>
              <w:t>Иерархический фильтр с возможностью множественного выбора и контекстного поиска</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7</w:t>
            </w:r>
          </w:p>
        </w:tc>
        <w:tc>
          <w:tcPr>
            <w:tcW w:w="1895" w:type="dxa"/>
          </w:tcPr>
          <w:p w:rsidR="00737084" w:rsidRPr="00D078DD" w:rsidRDefault="00737084" w:rsidP="00737084">
            <w:pPr>
              <w:ind w:firstLine="0"/>
              <w:jc w:val="left"/>
              <w:rPr>
                <w:szCs w:val="24"/>
              </w:rPr>
            </w:pPr>
            <w:r w:rsidRPr="00D078DD">
              <w:rPr>
                <w:szCs w:val="24"/>
              </w:rPr>
              <w:t>Поле ввода «Номер соглашения, РЗ»</w:t>
            </w:r>
          </w:p>
        </w:tc>
        <w:tc>
          <w:tcPr>
            <w:tcW w:w="3634" w:type="dxa"/>
          </w:tcPr>
          <w:p w:rsidR="00737084" w:rsidRPr="00D078DD" w:rsidRDefault="00737084" w:rsidP="00737084">
            <w:pPr>
              <w:ind w:firstLine="0"/>
              <w:jc w:val="left"/>
              <w:rPr>
                <w:szCs w:val="24"/>
              </w:rPr>
            </w:pPr>
            <w:r w:rsidRPr="00D078DD">
              <w:rPr>
                <w:szCs w:val="24"/>
              </w:rPr>
              <w:t>Фильтрация по уникальному номеру реестровой записи и по номеру соглашения (договора)/НПА</w:t>
            </w:r>
          </w:p>
          <w:p w:rsidR="00737084" w:rsidRPr="00D078DD" w:rsidRDefault="00737084" w:rsidP="00737084">
            <w:pPr>
              <w:ind w:firstLine="0"/>
              <w:jc w:val="left"/>
              <w:rPr>
                <w:szCs w:val="24"/>
              </w:rPr>
            </w:pPr>
            <w:r w:rsidRPr="00D078DD">
              <w:rPr>
                <w:szCs w:val="24"/>
              </w:rPr>
              <w:t>Возможность ввода одного значения единовременно</w:t>
            </w:r>
          </w:p>
        </w:tc>
        <w:tc>
          <w:tcPr>
            <w:tcW w:w="4252" w:type="dxa"/>
          </w:tcPr>
          <w:p w:rsidR="00737084" w:rsidRPr="00D078DD" w:rsidRDefault="00737084" w:rsidP="00737084">
            <w:pPr>
              <w:ind w:firstLine="0"/>
              <w:jc w:val="left"/>
              <w:rPr>
                <w:szCs w:val="24"/>
              </w:rPr>
            </w:pPr>
            <w:r w:rsidRPr="00D078DD">
              <w:rPr>
                <w:szCs w:val="24"/>
              </w:rPr>
              <w:t xml:space="preserve">ПУР АСС =&gt; Реквизиты соглашения (договора), НПА =&gt; </w:t>
            </w:r>
          </w:p>
          <w:p w:rsidR="00737084" w:rsidRPr="00D078DD" w:rsidRDefault="00737084" w:rsidP="00737084">
            <w:pPr>
              <w:ind w:firstLine="0"/>
              <w:jc w:val="left"/>
              <w:rPr>
                <w:szCs w:val="24"/>
              </w:rPr>
            </w:pPr>
            <w:r w:rsidRPr="00D078DD">
              <w:rPr>
                <w:szCs w:val="24"/>
              </w:rPr>
              <w:t>- Уникальный номер реестровой записи (без учета номера версии, т.е. последних 3-х символов)</w:t>
            </w:r>
          </w:p>
          <w:p w:rsidR="00737084" w:rsidRPr="00D078DD" w:rsidRDefault="00737084" w:rsidP="00737084">
            <w:pPr>
              <w:ind w:firstLine="0"/>
              <w:jc w:val="left"/>
              <w:rPr>
                <w:szCs w:val="24"/>
              </w:rPr>
            </w:pPr>
            <w:r w:rsidRPr="00D078DD">
              <w:rPr>
                <w:szCs w:val="24"/>
              </w:rPr>
              <w:t>- Номер соглашения (договора)/нормативного правового акта</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8</w:t>
            </w:r>
          </w:p>
        </w:tc>
        <w:tc>
          <w:tcPr>
            <w:tcW w:w="1895" w:type="dxa"/>
          </w:tcPr>
          <w:p w:rsidR="00737084" w:rsidRPr="00D078DD" w:rsidRDefault="00737084" w:rsidP="00737084">
            <w:pPr>
              <w:ind w:firstLine="0"/>
              <w:jc w:val="left"/>
              <w:rPr>
                <w:szCs w:val="24"/>
              </w:rPr>
            </w:pPr>
            <w:r w:rsidRPr="00D078DD">
              <w:rPr>
                <w:szCs w:val="24"/>
              </w:rPr>
              <w:t>Поле ввода «Наименование, ИНН, КПП получателя, код СвР»</w:t>
            </w:r>
          </w:p>
        </w:tc>
        <w:tc>
          <w:tcPr>
            <w:tcW w:w="3634" w:type="dxa"/>
          </w:tcPr>
          <w:p w:rsidR="00737084" w:rsidRPr="00D078DD" w:rsidRDefault="00737084" w:rsidP="00737084">
            <w:pPr>
              <w:ind w:firstLine="0"/>
              <w:jc w:val="left"/>
              <w:rPr>
                <w:szCs w:val="24"/>
              </w:rPr>
            </w:pPr>
            <w:r w:rsidRPr="00D078DD">
              <w:rPr>
                <w:szCs w:val="24"/>
              </w:rPr>
              <w:t>Фильтрация по наименованию, ИНН, КПП получателя, коду СвР</w:t>
            </w:r>
          </w:p>
          <w:p w:rsidR="00737084" w:rsidRPr="00D078DD" w:rsidRDefault="00737084" w:rsidP="00737084">
            <w:pPr>
              <w:ind w:firstLine="0"/>
              <w:jc w:val="left"/>
              <w:rPr>
                <w:szCs w:val="24"/>
              </w:rPr>
            </w:pPr>
            <w:r w:rsidRPr="00D078DD">
              <w:rPr>
                <w:szCs w:val="24"/>
              </w:rPr>
              <w:t>Возможность ввода одного значения единовременно</w:t>
            </w:r>
          </w:p>
        </w:tc>
        <w:tc>
          <w:tcPr>
            <w:tcW w:w="4252" w:type="dxa"/>
          </w:tcPr>
          <w:p w:rsidR="00737084" w:rsidRPr="00D078DD" w:rsidRDefault="00737084" w:rsidP="00737084">
            <w:pPr>
              <w:ind w:firstLine="0"/>
              <w:jc w:val="left"/>
              <w:rPr>
                <w:szCs w:val="24"/>
              </w:rPr>
            </w:pPr>
            <w:r w:rsidRPr="00D078DD">
              <w:rPr>
                <w:szCs w:val="24"/>
              </w:rPr>
              <w:t>ПУР АСС =&gt; Реквизиты получателя субсидии =&gt;</w:t>
            </w:r>
          </w:p>
          <w:p w:rsidR="00737084" w:rsidRPr="00D078DD" w:rsidRDefault="00737084" w:rsidP="00737084">
            <w:pPr>
              <w:ind w:firstLine="0"/>
              <w:jc w:val="left"/>
              <w:rPr>
                <w:szCs w:val="24"/>
              </w:rPr>
            </w:pPr>
            <w:r w:rsidRPr="00D078DD">
              <w:rPr>
                <w:szCs w:val="24"/>
              </w:rPr>
              <w:t>- Полное наименование юридического лица/ФИО физического лица на русском языке</w:t>
            </w:r>
          </w:p>
          <w:p w:rsidR="00737084" w:rsidRPr="00D078DD" w:rsidRDefault="00737084" w:rsidP="00737084">
            <w:pPr>
              <w:ind w:firstLine="0"/>
              <w:jc w:val="left"/>
              <w:rPr>
                <w:szCs w:val="24"/>
              </w:rPr>
            </w:pPr>
            <w:r w:rsidRPr="00D078DD">
              <w:rPr>
                <w:szCs w:val="24"/>
              </w:rPr>
              <w:t>- ИНН</w:t>
            </w:r>
          </w:p>
          <w:p w:rsidR="00737084" w:rsidRPr="00D078DD" w:rsidRDefault="00737084" w:rsidP="00737084">
            <w:pPr>
              <w:ind w:firstLine="0"/>
              <w:jc w:val="left"/>
              <w:rPr>
                <w:szCs w:val="24"/>
              </w:rPr>
            </w:pPr>
            <w:r w:rsidRPr="00D078DD">
              <w:rPr>
                <w:szCs w:val="24"/>
              </w:rPr>
              <w:t>- КПП</w:t>
            </w:r>
          </w:p>
          <w:p w:rsidR="00737084" w:rsidRPr="00D078DD" w:rsidRDefault="00737084" w:rsidP="00737084">
            <w:pPr>
              <w:ind w:firstLine="0"/>
              <w:jc w:val="left"/>
              <w:rPr>
                <w:szCs w:val="24"/>
              </w:rPr>
            </w:pPr>
            <w:r w:rsidRPr="00D078DD">
              <w:rPr>
                <w:szCs w:val="24"/>
              </w:rPr>
              <w:t>- Код по сводному реестру</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9</w:t>
            </w:r>
          </w:p>
        </w:tc>
        <w:tc>
          <w:tcPr>
            <w:tcW w:w="1895" w:type="dxa"/>
          </w:tcPr>
          <w:p w:rsidR="00737084" w:rsidRPr="00D078DD" w:rsidRDefault="00737084" w:rsidP="00737084">
            <w:pPr>
              <w:ind w:firstLine="0"/>
              <w:jc w:val="left"/>
              <w:rPr>
                <w:szCs w:val="24"/>
              </w:rPr>
            </w:pPr>
            <w:r w:rsidRPr="00D078DD">
              <w:rPr>
                <w:szCs w:val="24"/>
              </w:rPr>
              <w:t>КБК</w:t>
            </w:r>
          </w:p>
        </w:tc>
        <w:tc>
          <w:tcPr>
            <w:tcW w:w="3634" w:type="dxa"/>
          </w:tcPr>
          <w:p w:rsidR="00737084" w:rsidRPr="00D078DD" w:rsidRDefault="00737084" w:rsidP="00737084">
            <w:pPr>
              <w:ind w:firstLine="0"/>
              <w:jc w:val="left"/>
              <w:rPr>
                <w:szCs w:val="24"/>
              </w:rPr>
            </w:pPr>
            <w:r w:rsidRPr="00D078DD">
              <w:rPr>
                <w:szCs w:val="24"/>
              </w:rPr>
              <w:t>Фильтрация по маске КБК</w:t>
            </w:r>
          </w:p>
          <w:p w:rsidR="00737084" w:rsidRPr="00D078DD" w:rsidRDefault="00737084" w:rsidP="00737084">
            <w:pPr>
              <w:ind w:firstLine="0"/>
              <w:jc w:val="left"/>
              <w:rPr>
                <w:szCs w:val="24"/>
              </w:rPr>
            </w:pPr>
            <w:r w:rsidRPr="00D078DD">
              <w:rPr>
                <w:szCs w:val="24"/>
              </w:rPr>
              <w:t>Возможность ввода необходимых сегментов КБК в несколько шагов</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10</w:t>
            </w:r>
          </w:p>
        </w:tc>
        <w:tc>
          <w:tcPr>
            <w:tcW w:w="1895" w:type="dxa"/>
          </w:tcPr>
          <w:p w:rsidR="00737084" w:rsidRPr="00D078DD" w:rsidRDefault="00737084" w:rsidP="00737084">
            <w:pPr>
              <w:ind w:firstLine="0"/>
              <w:jc w:val="left"/>
              <w:rPr>
                <w:szCs w:val="24"/>
              </w:rPr>
            </w:pPr>
            <w:r w:rsidRPr="00D078DD">
              <w:rPr>
                <w:szCs w:val="24"/>
              </w:rPr>
              <w:t>Национальный проект</w:t>
            </w:r>
          </w:p>
        </w:tc>
        <w:tc>
          <w:tcPr>
            <w:tcW w:w="3634" w:type="dxa"/>
          </w:tcPr>
          <w:p w:rsidR="00737084" w:rsidRPr="00D078DD" w:rsidRDefault="00737084" w:rsidP="00737084">
            <w:pPr>
              <w:ind w:firstLine="0"/>
              <w:jc w:val="left"/>
              <w:rPr>
                <w:szCs w:val="24"/>
              </w:rPr>
            </w:pPr>
            <w:r w:rsidRPr="00D078DD">
              <w:rPr>
                <w:szCs w:val="24"/>
              </w:rPr>
              <w:t>Фильтрация по 11-12 символам КБК</w:t>
            </w:r>
          </w:p>
          <w:p w:rsidR="00737084" w:rsidRPr="00D078DD" w:rsidRDefault="00737084" w:rsidP="00737084">
            <w:pPr>
              <w:ind w:firstLine="0"/>
              <w:jc w:val="left"/>
              <w:rPr>
                <w:szCs w:val="24"/>
              </w:rPr>
            </w:pPr>
            <w:r w:rsidRPr="00D078DD">
              <w:rPr>
                <w:szCs w:val="24"/>
              </w:rPr>
              <w:t>Иерархический фильтр с возможностью множественного выбора и контекстного поиска</w:t>
            </w:r>
          </w:p>
          <w:p w:rsidR="00737084" w:rsidRPr="00D078DD" w:rsidRDefault="00737084" w:rsidP="00737084">
            <w:pPr>
              <w:ind w:firstLine="0"/>
              <w:jc w:val="left"/>
              <w:rPr>
                <w:szCs w:val="24"/>
              </w:rPr>
            </w:pPr>
            <w:r w:rsidRPr="00D078DD">
              <w:rPr>
                <w:szCs w:val="24"/>
              </w:rPr>
              <w:t>По умолчанию установлено значение «Все»</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11</w:t>
            </w:r>
          </w:p>
        </w:tc>
        <w:tc>
          <w:tcPr>
            <w:tcW w:w="1895" w:type="dxa"/>
          </w:tcPr>
          <w:p w:rsidR="00737084" w:rsidRPr="00D078DD" w:rsidRDefault="00737084" w:rsidP="00737084">
            <w:pPr>
              <w:ind w:firstLine="0"/>
              <w:jc w:val="left"/>
              <w:rPr>
                <w:szCs w:val="24"/>
              </w:rPr>
            </w:pPr>
            <w:r w:rsidRPr="00D078DD">
              <w:rPr>
                <w:szCs w:val="24"/>
              </w:rPr>
              <w:t>Вице-премьер</w:t>
            </w:r>
          </w:p>
        </w:tc>
        <w:tc>
          <w:tcPr>
            <w:tcW w:w="3634" w:type="dxa"/>
          </w:tcPr>
          <w:p w:rsidR="00737084" w:rsidRPr="00D078DD" w:rsidRDefault="00737084" w:rsidP="00737084">
            <w:pPr>
              <w:ind w:firstLine="0"/>
              <w:jc w:val="left"/>
              <w:rPr>
                <w:szCs w:val="24"/>
              </w:rPr>
            </w:pPr>
            <w:r w:rsidRPr="00D078DD">
              <w:rPr>
                <w:szCs w:val="24"/>
              </w:rPr>
              <w:t>Идентификация вице-премьера по КБК 20 знаков</w:t>
            </w:r>
          </w:p>
        </w:tc>
        <w:tc>
          <w:tcPr>
            <w:tcW w:w="4252" w:type="dxa"/>
          </w:tcPr>
          <w:p w:rsidR="00737084" w:rsidRPr="00D078DD" w:rsidRDefault="00737084" w:rsidP="00737084">
            <w:pPr>
              <w:ind w:firstLine="0"/>
              <w:jc w:val="left"/>
              <w:rPr>
                <w:szCs w:val="24"/>
              </w:rPr>
            </w:pPr>
            <w:r w:rsidRPr="00D078DD">
              <w:rPr>
                <w:szCs w:val="24"/>
              </w:rPr>
              <w:t xml:space="preserve">Сведения о соотнесении КБК и вице-премьера предоставляются в наборе «мониторинг </w:t>
            </w:r>
            <w:r w:rsidRPr="00D078DD">
              <w:rPr>
                <w:szCs w:val="24"/>
                <w:lang w:val="en-US"/>
              </w:rPr>
              <w:t>BA</w:t>
            </w:r>
            <w:r w:rsidRPr="00D078DD">
              <w:rPr>
                <w:szCs w:val="24"/>
              </w:rPr>
              <w:t>» из ПУНП</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12</w:t>
            </w:r>
          </w:p>
        </w:tc>
        <w:tc>
          <w:tcPr>
            <w:tcW w:w="1895" w:type="dxa"/>
          </w:tcPr>
          <w:p w:rsidR="00737084" w:rsidRPr="00D078DD" w:rsidRDefault="00737084" w:rsidP="00737084">
            <w:pPr>
              <w:ind w:firstLine="0"/>
              <w:jc w:val="left"/>
              <w:rPr>
                <w:szCs w:val="24"/>
              </w:rPr>
            </w:pPr>
            <w:r w:rsidRPr="00D078DD">
              <w:rPr>
                <w:szCs w:val="24"/>
              </w:rPr>
              <w:t>Мероприятия</w:t>
            </w:r>
          </w:p>
        </w:tc>
        <w:tc>
          <w:tcPr>
            <w:tcW w:w="3634" w:type="dxa"/>
          </w:tcPr>
          <w:p w:rsidR="00737084" w:rsidRPr="00D078DD" w:rsidRDefault="00737084" w:rsidP="00737084">
            <w:pPr>
              <w:ind w:firstLine="0"/>
              <w:jc w:val="left"/>
              <w:rPr>
                <w:szCs w:val="24"/>
              </w:rPr>
            </w:pPr>
            <w:r w:rsidRPr="00D078DD">
              <w:rPr>
                <w:szCs w:val="24"/>
              </w:rPr>
              <w:t>Перечень мероприятий по КЦСР, отнесенных к каждому мероприятию</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13</w:t>
            </w:r>
          </w:p>
        </w:tc>
        <w:tc>
          <w:tcPr>
            <w:tcW w:w="1895" w:type="dxa"/>
          </w:tcPr>
          <w:p w:rsidR="00737084" w:rsidRPr="00D078DD" w:rsidRDefault="00737084" w:rsidP="00737084">
            <w:pPr>
              <w:ind w:firstLine="0"/>
              <w:jc w:val="left"/>
              <w:rPr>
                <w:szCs w:val="24"/>
              </w:rPr>
            </w:pPr>
            <w:r w:rsidRPr="00D078DD">
              <w:rPr>
                <w:szCs w:val="24"/>
              </w:rPr>
              <w:t>Тип субсидии</w:t>
            </w:r>
          </w:p>
        </w:tc>
        <w:tc>
          <w:tcPr>
            <w:tcW w:w="3634" w:type="dxa"/>
          </w:tcPr>
          <w:p w:rsidR="00737084" w:rsidRPr="00D078DD" w:rsidRDefault="00737084" w:rsidP="00737084">
            <w:pPr>
              <w:ind w:firstLine="0"/>
              <w:jc w:val="left"/>
              <w:rPr>
                <w:szCs w:val="24"/>
              </w:rPr>
            </w:pPr>
            <w:r w:rsidRPr="00D078DD">
              <w:rPr>
                <w:szCs w:val="24"/>
              </w:rPr>
              <w:t>Перечень типов субсидий по КВР, закрепленных за каждой группой</w:t>
            </w:r>
          </w:p>
        </w:tc>
        <w:tc>
          <w:tcPr>
            <w:tcW w:w="4252" w:type="dxa"/>
          </w:tcPr>
          <w:p w:rsidR="00737084" w:rsidRPr="00D078DD" w:rsidRDefault="00737084" w:rsidP="00737084">
            <w:pPr>
              <w:ind w:firstLine="0"/>
              <w:jc w:val="left"/>
              <w:rPr>
                <w:szCs w:val="24"/>
              </w:rPr>
            </w:pPr>
            <w:r w:rsidRPr="00D078DD">
              <w:rPr>
                <w:szCs w:val="24"/>
              </w:rPr>
              <w:t>ПУР АСС =&gt; График платежей =&gt; КБК</w:t>
            </w:r>
          </w:p>
        </w:tc>
      </w:tr>
      <w:tr w:rsidR="00737084" w:rsidRPr="00D078DD" w:rsidTr="00737084">
        <w:tc>
          <w:tcPr>
            <w:tcW w:w="567" w:type="dxa"/>
          </w:tcPr>
          <w:p w:rsidR="00737084" w:rsidRPr="00D078DD" w:rsidRDefault="00737084" w:rsidP="00737084">
            <w:pPr>
              <w:ind w:firstLine="0"/>
              <w:jc w:val="left"/>
              <w:rPr>
                <w:szCs w:val="24"/>
                <w:lang w:val="en-US"/>
              </w:rPr>
            </w:pPr>
            <w:r w:rsidRPr="00D078DD">
              <w:rPr>
                <w:szCs w:val="24"/>
                <w:lang w:val="en-US"/>
              </w:rPr>
              <w:t>14</w:t>
            </w:r>
          </w:p>
        </w:tc>
        <w:tc>
          <w:tcPr>
            <w:tcW w:w="1895" w:type="dxa"/>
          </w:tcPr>
          <w:p w:rsidR="00737084" w:rsidRPr="00D078DD" w:rsidRDefault="00737084" w:rsidP="00737084">
            <w:pPr>
              <w:ind w:firstLine="0"/>
              <w:jc w:val="left"/>
              <w:rPr>
                <w:szCs w:val="24"/>
              </w:rPr>
            </w:pPr>
            <w:r w:rsidRPr="00D078DD">
              <w:rPr>
                <w:szCs w:val="24"/>
              </w:rPr>
              <w:t>Чек-бокс «Показать не достигнутых в полном объеме в срок»</w:t>
            </w:r>
          </w:p>
        </w:tc>
        <w:tc>
          <w:tcPr>
            <w:tcW w:w="3634" w:type="dxa"/>
          </w:tcPr>
          <w:p w:rsidR="00737084" w:rsidRPr="00D078DD" w:rsidRDefault="00737084" w:rsidP="00737084">
            <w:pPr>
              <w:ind w:firstLine="0"/>
              <w:jc w:val="left"/>
              <w:rPr>
                <w:szCs w:val="24"/>
              </w:rPr>
            </w:pPr>
            <w:r w:rsidRPr="00D078DD">
              <w:rPr>
                <w:szCs w:val="24"/>
              </w:rPr>
              <w:t>% достижения &lt; 100%</w:t>
            </w:r>
          </w:p>
          <w:p w:rsidR="00737084" w:rsidRPr="00D078DD" w:rsidRDefault="00737084" w:rsidP="00737084">
            <w:pPr>
              <w:ind w:firstLine="0"/>
              <w:jc w:val="left"/>
              <w:rPr>
                <w:szCs w:val="24"/>
              </w:rPr>
            </w:pPr>
            <w:r w:rsidRPr="00D078DD">
              <w:rPr>
                <w:szCs w:val="24"/>
              </w:rPr>
              <w:t>Плановая дата достижения результата &lt; текущей даты</w:t>
            </w:r>
          </w:p>
        </w:tc>
        <w:tc>
          <w:tcPr>
            <w:tcW w:w="4252" w:type="dxa"/>
          </w:tcPr>
          <w:p w:rsidR="00737084" w:rsidRPr="00D078DD" w:rsidRDefault="00737084" w:rsidP="00737084">
            <w:pPr>
              <w:ind w:firstLine="0"/>
              <w:jc w:val="left"/>
              <w:rPr>
                <w:szCs w:val="24"/>
              </w:rPr>
            </w:pPr>
          </w:p>
        </w:tc>
      </w:tr>
    </w:tbl>
    <w:p w:rsidR="00A1691E" w:rsidRDefault="00A1691E" w:rsidP="00A1691E">
      <w:pPr>
        <w:pStyle w:val="46"/>
      </w:pPr>
      <w:r w:rsidRPr="00A1691E">
        <w:t>Представление «Бюджеты субъектов РФ» - «По регионам»</w:t>
      </w:r>
    </w:p>
    <w:p w:rsidR="00A1691E" w:rsidRDefault="00A1691E" w:rsidP="00321FCA">
      <w:pPr>
        <w:pStyle w:val="afffff7"/>
      </w:pPr>
      <w:r w:rsidRPr="00B7607C">
        <w:rPr>
          <w:bCs/>
        </w:rPr>
        <w:t>Представление имеет два формата отображения: Таблица|Карта</w:t>
      </w:r>
      <w:r>
        <w:rPr>
          <w:noProof/>
          <w:lang w:eastAsia="ru-RU"/>
        </w:rPr>
        <w:drawing>
          <wp:inline distT="0" distB="0" distL="0" distR="0" wp14:anchorId="09BECD65" wp14:editId="77DA4533">
            <wp:extent cx="5939790" cy="2892345"/>
            <wp:effectExtent l="0" t="0" r="3810" b="3810"/>
            <wp:docPr id="5817" name="Рисунок 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5939790" cy="2892345"/>
                    </a:xfrm>
                    <a:prstGeom prst="rect">
                      <a:avLst/>
                    </a:prstGeom>
                  </pic:spPr>
                </pic:pic>
              </a:graphicData>
            </a:graphic>
          </wp:inline>
        </w:drawing>
      </w:r>
    </w:p>
    <w:p w:rsidR="00A1691E" w:rsidRDefault="00A1691E" w:rsidP="00A1691E">
      <w:pPr>
        <w:pStyle w:val="-0"/>
      </w:pPr>
      <w:bookmarkStart w:id="896" w:name="_Toc119584421"/>
      <w:r>
        <w:t xml:space="preserve">Рисунок </w:t>
      </w:r>
      <w:fldSimple w:instr=" SEQ Рисунок \* ARABIC ">
        <w:r w:rsidR="001860A9">
          <w:rPr>
            <w:noProof/>
          </w:rPr>
          <w:t>234</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ы субъектов РФ</w:t>
      </w:r>
      <w:r w:rsidRPr="00D84966">
        <w:t>»</w:t>
      </w:r>
      <w:r>
        <w:t xml:space="preserve"> -</w:t>
      </w:r>
      <w:r w:rsidRPr="00D84966">
        <w:t xml:space="preserve"> «По</w:t>
      </w:r>
      <w:r>
        <w:t xml:space="preserve"> регионам</w:t>
      </w:r>
      <w:r w:rsidRPr="00D84966">
        <w:t>»</w:t>
      </w:r>
      <w:bookmarkEnd w:id="896"/>
    </w:p>
    <w:p w:rsidR="00A1691E" w:rsidRPr="00B7607C" w:rsidRDefault="00A1691E" w:rsidP="00A1691E">
      <w:pPr>
        <w:ind w:firstLine="709"/>
        <w:rPr>
          <w:sz w:val="28"/>
        </w:rPr>
      </w:pPr>
      <w:r w:rsidRPr="00B7607C">
        <w:rPr>
          <w:sz w:val="28"/>
        </w:rPr>
        <w:t>Область таблицы: в таблице представлены субъекты Российской Федерации построчно, отсортированные в алфавитном порядке, а также итоговая строка с суммовыми значениями по всем субъектам РФ.</w:t>
      </w:r>
    </w:p>
    <w:p w:rsidR="004A3AA2" w:rsidRDefault="004A3AA2" w:rsidP="00321FCA">
      <w:pPr>
        <w:pStyle w:val="afffff7"/>
      </w:pPr>
      <w:r>
        <w:rPr>
          <w:noProof/>
          <w:lang w:eastAsia="ru-RU"/>
        </w:rPr>
        <w:drawing>
          <wp:inline distT="0" distB="0" distL="0" distR="0" wp14:anchorId="0B9DA77F" wp14:editId="3A2F7141">
            <wp:extent cx="5939790" cy="2997388"/>
            <wp:effectExtent l="0" t="0" r="3810" b="0"/>
            <wp:docPr id="5818" name="Рисунок 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5939790" cy="2997388"/>
                    </a:xfrm>
                    <a:prstGeom prst="rect">
                      <a:avLst/>
                    </a:prstGeom>
                  </pic:spPr>
                </pic:pic>
              </a:graphicData>
            </a:graphic>
          </wp:inline>
        </w:drawing>
      </w:r>
    </w:p>
    <w:p w:rsidR="00A1691E" w:rsidRDefault="004A3AA2" w:rsidP="004A3AA2">
      <w:pPr>
        <w:pStyle w:val="-0"/>
      </w:pPr>
      <w:bookmarkStart w:id="897" w:name="_Toc119584422"/>
      <w:r>
        <w:t xml:space="preserve">Рисунок </w:t>
      </w:r>
      <w:r>
        <w:rPr>
          <w:lang w:val="en-US"/>
        </w:rPr>
        <w:fldChar w:fldCharType="begin"/>
      </w:r>
      <w:r w:rsidRPr="004A3AA2">
        <w:instrText xml:space="preserve"> </w:instrText>
      </w:r>
      <w:r>
        <w:rPr>
          <w:lang w:val="en-US"/>
        </w:rPr>
        <w:instrText>SEQ</w:instrText>
      </w:r>
      <w:r w:rsidRPr="004A3AA2">
        <w:instrText xml:space="preserve"> Рисунок \* </w:instrText>
      </w:r>
      <w:r>
        <w:rPr>
          <w:lang w:val="en-US"/>
        </w:rPr>
        <w:instrText>ARABIC</w:instrText>
      </w:r>
      <w:r w:rsidRPr="004A3AA2">
        <w:instrText xml:space="preserve"> </w:instrText>
      </w:r>
      <w:r>
        <w:rPr>
          <w:lang w:val="en-US"/>
        </w:rPr>
        <w:fldChar w:fldCharType="separate"/>
      </w:r>
      <w:r w:rsidR="001860A9" w:rsidRPr="001860A9">
        <w:rPr>
          <w:noProof/>
        </w:rPr>
        <w:t>235</w:t>
      </w:r>
      <w:r>
        <w:rPr>
          <w:lang w:val="en-US"/>
        </w:rPr>
        <w:fldChar w:fldCharType="end"/>
      </w:r>
      <w:r>
        <w:t xml:space="preserve"> – Макет отчета «</w:t>
      </w:r>
      <w:r w:rsidRPr="00335AA9">
        <w:rPr>
          <w:rStyle w:val="af1"/>
        </w:rPr>
        <w:t xml:space="preserve">Реестр соглашений о предоставлении субсидий из федерального бюджета (бюджетов </w:t>
      </w:r>
      <w:r w:rsidRPr="004A3AA2">
        <w:rPr>
          <w:rStyle w:val="af1"/>
          <w:snapToGrid w:val="0"/>
        </w:rPr>
        <w:t>субъектов</w:t>
      </w:r>
      <w:r w:rsidRPr="00335AA9">
        <w:rPr>
          <w:rStyle w:val="af1"/>
        </w:rPr>
        <w:t xml:space="preserve"> Российской Федерации, местных бюджетов)</w:t>
      </w:r>
      <w:r>
        <w:t>». Представление</w:t>
      </w:r>
      <w:r w:rsidRPr="00D84966">
        <w:t xml:space="preserve"> «</w:t>
      </w:r>
      <w:r>
        <w:t>Б</w:t>
      </w:r>
      <w:r w:rsidRPr="00D84966">
        <w:t>юджет</w:t>
      </w:r>
      <w:r>
        <w:t>ы субъектов РФ</w:t>
      </w:r>
      <w:r w:rsidRPr="00D84966">
        <w:t>»</w:t>
      </w:r>
      <w:r>
        <w:t xml:space="preserve"> -</w:t>
      </w:r>
      <w:r w:rsidRPr="00D84966">
        <w:t xml:space="preserve"> «</w:t>
      </w:r>
      <w:r>
        <w:t>Карта</w:t>
      </w:r>
      <w:r w:rsidRPr="00D84966">
        <w:t>»</w:t>
      </w:r>
      <w:bookmarkEnd w:id="897"/>
    </w:p>
    <w:p w:rsidR="004A3AA2" w:rsidRPr="00A341CC" w:rsidRDefault="004A3AA2" w:rsidP="004A3AA2">
      <w:pPr>
        <w:ind w:firstLine="709"/>
        <w:rPr>
          <w:bCs/>
          <w:sz w:val="28"/>
        </w:rPr>
      </w:pPr>
      <w:r w:rsidRPr="00A341CC">
        <w:rPr>
          <w:bCs/>
          <w:sz w:val="28"/>
        </w:rPr>
        <w:t>Область карты: отображены субъекты РФ на карте соответственно своему местоположению. Значения, отображаемые на карте, а также в легенде, определяются выбранным параметром в фильтре «Показатель» (показатели соответствуют колонкам таблицы с 3-й по 33-ю). Также, имеется возможность масштабирования карты до определенных округов при помощи предложенных вариантов. Также есть возможность пользовательского масштабирования при помощи колеса мыши. При нажатии на интересующую территорию субъекта РФ будет отображаться «выпадающее окно», в котором реализована возможность перехода по заданным параметрам в фильтрах в представление уровня бюджетов субъектов РФ «По соглашениям». Переход подсвечен «синим» и называется «По соглашениям (Бюджеты субъектов РФ)».</w:t>
      </w:r>
    </w:p>
    <w:tbl>
      <w:tblPr>
        <w:tblStyle w:val="affe"/>
        <w:tblW w:w="10348" w:type="dxa"/>
        <w:jc w:val="center"/>
        <w:tblInd w:w="-459" w:type="dxa"/>
        <w:tblLayout w:type="fixed"/>
        <w:tblLook w:val="04A0" w:firstRow="1" w:lastRow="0" w:firstColumn="1" w:lastColumn="0" w:noHBand="0" w:noVBand="1"/>
      </w:tblPr>
      <w:tblGrid>
        <w:gridCol w:w="567"/>
        <w:gridCol w:w="1276"/>
        <w:gridCol w:w="992"/>
        <w:gridCol w:w="3402"/>
        <w:gridCol w:w="4111"/>
      </w:tblGrid>
      <w:tr w:rsidR="004A3AA2" w:rsidRPr="00A341CC" w:rsidTr="00D91E7F">
        <w:trPr>
          <w:tblHeader/>
          <w:jc w:val="center"/>
        </w:trPr>
        <w:tc>
          <w:tcPr>
            <w:tcW w:w="567" w:type="dxa"/>
            <w:shd w:val="clear" w:color="auto" w:fill="F2F2F2" w:themeFill="background1" w:themeFillShade="F2"/>
            <w:vAlign w:val="center"/>
          </w:tcPr>
          <w:p w:rsidR="004A3AA2" w:rsidRPr="00A341CC" w:rsidRDefault="004A3AA2" w:rsidP="004A3AA2">
            <w:pPr>
              <w:ind w:firstLine="0"/>
              <w:jc w:val="center"/>
              <w:rPr>
                <w:b/>
                <w:szCs w:val="24"/>
              </w:rPr>
            </w:pPr>
            <w:r w:rsidRPr="00A341CC">
              <w:rPr>
                <w:b/>
                <w:szCs w:val="24"/>
              </w:rPr>
              <w:t>№ колонки</w:t>
            </w:r>
          </w:p>
        </w:tc>
        <w:tc>
          <w:tcPr>
            <w:tcW w:w="1276" w:type="dxa"/>
            <w:shd w:val="clear" w:color="auto" w:fill="F2F2F2" w:themeFill="background1" w:themeFillShade="F2"/>
            <w:vAlign w:val="center"/>
          </w:tcPr>
          <w:p w:rsidR="004A3AA2" w:rsidRPr="00A341CC" w:rsidRDefault="004A3AA2" w:rsidP="004A3AA2">
            <w:pPr>
              <w:ind w:firstLine="0"/>
              <w:jc w:val="center"/>
              <w:rPr>
                <w:b/>
                <w:szCs w:val="24"/>
              </w:rPr>
            </w:pPr>
            <w:r w:rsidRPr="00A341CC">
              <w:rPr>
                <w:b/>
                <w:szCs w:val="24"/>
              </w:rPr>
              <w:t>Наименование</w:t>
            </w:r>
          </w:p>
        </w:tc>
        <w:tc>
          <w:tcPr>
            <w:tcW w:w="992" w:type="dxa"/>
            <w:shd w:val="clear" w:color="auto" w:fill="F2F2F2" w:themeFill="background1" w:themeFillShade="F2"/>
            <w:vAlign w:val="center"/>
          </w:tcPr>
          <w:p w:rsidR="004A3AA2" w:rsidRPr="00A341CC" w:rsidRDefault="004A3AA2" w:rsidP="004A3AA2">
            <w:pPr>
              <w:ind w:left="34" w:firstLine="0"/>
              <w:jc w:val="center"/>
              <w:rPr>
                <w:b/>
                <w:szCs w:val="24"/>
              </w:rPr>
            </w:pPr>
            <w:r w:rsidRPr="00A341CC">
              <w:rPr>
                <w:b/>
                <w:szCs w:val="24"/>
              </w:rPr>
              <w:t>Колонка по умолчанию</w:t>
            </w:r>
          </w:p>
        </w:tc>
        <w:tc>
          <w:tcPr>
            <w:tcW w:w="3402" w:type="dxa"/>
            <w:shd w:val="clear" w:color="auto" w:fill="F2F2F2" w:themeFill="background1" w:themeFillShade="F2"/>
            <w:vAlign w:val="center"/>
          </w:tcPr>
          <w:p w:rsidR="004A3AA2" w:rsidRPr="00A341CC" w:rsidRDefault="004A3AA2" w:rsidP="004A3AA2">
            <w:pPr>
              <w:ind w:left="34" w:firstLine="0"/>
              <w:jc w:val="center"/>
              <w:rPr>
                <w:b/>
                <w:szCs w:val="24"/>
              </w:rPr>
            </w:pPr>
            <w:r w:rsidRPr="00A341CC">
              <w:rPr>
                <w:b/>
                <w:szCs w:val="24"/>
              </w:rPr>
              <w:t>Алгоритмы и переходы</w:t>
            </w:r>
          </w:p>
        </w:tc>
        <w:tc>
          <w:tcPr>
            <w:tcW w:w="4111" w:type="dxa"/>
            <w:shd w:val="clear" w:color="auto" w:fill="F2F2F2" w:themeFill="background1" w:themeFillShade="F2"/>
            <w:vAlign w:val="center"/>
          </w:tcPr>
          <w:p w:rsidR="004A3AA2" w:rsidRPr="00A341CC" w:rsidRDefault="004A3AA2" w:rsidP="004A3AA2">
            <w:pPr>
              <w:ind w:firstLine="0"/>
              <w:jc w:val="center"/>
              <w:rPr>
                <w:b/>
                <w:szCs w:val="24"/>
              </w:rPr>
            </w:pPr>
            <w:r w:rsidRPr="00A341CC">
              <w:rPr>
                <w:b/>
                <w:szCs w:val="24"/>
              </w:rPr>
              <w:t>Источник данных</w:t>
            </w:r>
          </w:p>
        </w:tc>
      </w:tr>
      <w:tr w:rsidR="004A3AA2" w:rsidRPr="00A341CC" w:rsidTr="00D91E7F">
        <w:trPr>
          <w:jc w:val="center"/>
        </w:trPr>
        <w:tc>
          <w:tcPr>
            <w:tcW w:w="10348" w:type="dxa"/>
            <w:gridSpan w:val="5"/>
            <w:shd w:val="clear" w:color="auto" w:fill="D9D9D9" w:themeFill="background1" w:themeFillShade="D9"/>
          </w:tcPr>
          <w:p w:rsidR="004A3AA2" w:rsidRPr="00A341CC" w:rsidRDefault="004A3AA2" w:rsidP="004A3AA2">
            <w:pPr>
              <w:ind w:firstLine="0"/>
              <w:jc w:val="center"/>
              <w:rPr>
                <w:szCs w:val="24"/>
              </w:rPr>
            </w:pPr>
            <w:r w:rsidRPr="00A341CC">
              <w:rPr>
                <w:szCs w:val="24"/>
              </w:rPr>
              <w:t>Блок по количеству соглашений в разрезе регионов</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w:t>
            </w:r>
          </w:p>
        </w:tc>
        <w:tc>
          <w:tcPr>
            <w:tcW w:w="1276" w:type="dxa"/>
          </w:tcPr>
          <w:p w:rsidR="004A3AA2" w:rsidRPr="00A341CC" w:rsidRDefault="004A3AA2" w:rsidP="004A3AA2">
            <w:pPr>
              <w:ind w:firstLine="0"/>
              <w:jc w:val="left"/>
              <w:rPr>
                <w:szCs w:val="24"/>
              </w:rPr>
            </w:pPr>
            <w:r w:rsidRPr="00A341CC">
              <w:rPr>
                <w:szCs w:val="24"/>
              </w:rPr>
              <w:t>Наименование субъекта</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Разыменование по справочнику соответствующих значений кодов ОКТМО</w:t>
            </w:r>
          </w:p>
          <w:p w:rsidR="004A3AA2" w:rsidRPr="00A341CC" w:rsidRDefault="004A3AA2" w:rsidP="004A3AA2">
            <w:pPr>
              <w:ind w:left="34" w:firstLine="0"/>
              <w:jc w:val="left"/>
              <w:rPr>
                <w:szCs w:val="24"/>
              </w:rPr>
            </w:pPr>
            <w:r w:rsidRPr="00A341CC">
              <w:rPr>
                <w:szCs w:val="24"/>
              </w:rPr>
              <w:t>Сортировка в алфавитном порядке</w:t>
            </w:r>
          </w:p>
          <w:p w:rsidR="004A3AA2" w:rsidRPr="00A341CC" w:rsidRDefault="004A3AA2" w:rsidP="004A3AA2">
            <w:pPr>
              <w:ind w:left="34" w:firstLine="0"/>
              <w:jc w:val="left"/>
              <w:rPr>
                <w:szCs w:val="24"/>
              </w:rPr>
            </w:pPr>
            <w:r w:rsidRPr="00A341CC">
              <w:rPr>
                <w:szCs w:val="24"/>
              </w:rPr>
              <w:t>Реализован переход на уровень бюджетов муниципальных образований в представление «По муниципальным образованиям»:</w:t>
            </w:r>
          </w:p>
          <w:p w:rsidR="004A3AA2" w:rsidRPr="00A341CC" w:rsidRDefault="004A3AA2" w:rsidP="004A3AA2">
            <w:pPr>
              <w:ind w:left="34" w:firstLine="0"/>
              <w:jc w:val="left"/>
              <w:rPr>
                <w:szCs w:val="24"/>
              </w:rPr>
            </w:pPr>
            <w:r w:rsidRPr="00A341CC">
              <w:rPr>
                <w:szCs w:val="24"/>
              </w:rPr>
              <w:t>- «По муниципальным образованиям (Бюджеты муниципальных образований)».</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w:t>
            </w:r>
          </w:p>
        </w:tc>
        <w:tc>
          <w:tcPr>
            <w:tcW w:w="1276" w:type="dxa"/>
          </w:tcPr>
          <w:p w:rsidR="004A3AA2" w:rsidRPr="00A341CC" w:rsidRDefault="004A3AA2" w:rsidP="004A3AA2">
            <w:pPr>
              <w:ind w:firstLine="0"/>
              <w:jc w:val="left"/>
              <w:rPr>
                <w:szCs w:val="24"/>
              </w:rPr>
            </w:pPr>
            <w:r w:rsidRPr="00A341CC">
              <w:rPr>
                <w:szCs w:val="24"/>
              </w:rPr>
              <w:t>Код ОКТМО</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pStyle w:val="afff6"/>
              <w:ind w:left="34" w:firstLine="0"/>
              <w:jc w:val="left"/>
              <w:rPr>
                <w:sz w:val="24"/>
                <w:szCs w:val="24"/>
              </w:rPr>
            </w:pPr>
          </w:p>
        </w:tc>
        <w:tc>
          <w:tcPr>
            <w:tcW w:w="4111" w:type="dxa"/>
            <w:shd w:val="clear" w:color="auto" w:fill="auto"/>
          </w:tcPr>
          <w:p w:rsidR="004A3AA2" w:rsidRPr="00A341CC" w:rsidRDefault="004A3AA2" w:rsidP="004A3AA2">
            <w:pPr>
              <w:ind w:firstLine="0"/>
              <w:jc w:val="left"/>
              <w:rPr>
                <w:szCs w:val="24"/>
              </w:rPr>
            </w:pPr>
            <w:r w:rsidRPr="00A341CC">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3</w:t>
            </w:r>
          </w:p>
        </w:tc>
        <w:tc>
          <w:tcPr>
            <w:tcW w:w="1276" w:type="dxa"/>
          </w:tcPr>
          <w:p w:rsidR="004A3AA2" w:rsidRPr="00A341CC" w:rsidRDefault="004A3AA2" w:rsidP="004A3AA2">
            <w:pPr>
              <w:ind w:firstLine="0"/>
              <w:jc w:val="left"/>
              <w:rPr>
                <w:szCs w:val="24"/>
              </w:rPr>
            </w:pPr>
            <w:r w:rsidRPr="00A341CC">
              <w:rPr>
                <w:szCs w:val="24"/>
              </w:rPr>
              <w:t>Количество соглашений, заключенных с субъектами РФ,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Подсчет количества соглашений федерального уровня, код ОКТМО получателя которых соответствует приведенному в списке коду ОКТМО субъекта РФ</w:t>
            </w:r>
          </w:p>
          <w:p w:rsidR="004A3AA2" w:rsidRPr="00A341CC" w:rsidRDefault="004A3AA2" w:rsidP="004A3AA2">
            <w:pPr>
              <w:ind w:left="34" w:firstLine="0"/>
              <w:jc w:val="left"/>
              <w:rPr>
                <w:szCs w:val="24"/>
              </w:rPr>
            </w:pPr>
            <w:r w:rsidRPr="00A341CC">
              <w:rPr>
                <w:szCs w:val="24"/>
              </w:rPr>
              <w:t>Реализован переход на уровень федерального бюджета в представление «По соглашениям (Федеральный бюджет)» с автоматической преднастройкой параметра фильтра «Субъект получателя» в соответствии с выбранным для перехода субъектом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4</w:t>
            </w:r>
          </w:p>
        </w:tc>
        <w:tc>
          <w:tcPr>
            <w:tcW w:w="1276" w:type="dxa"/>
          </w:tcPr>
          <w:p w:rsidR="004A3AA2" w:rsidRPr="00A341CC" w:rsidRDefault="004A3AA2" w:rsidP="004A3AA2">
            <w:pPr>
              <w:ind w:firstLine="0"/>
              <w:jc w:val="left"/>
              <w:rPr>
                <w:szCs w:val="24"/>
              </w:rPr>
            </w:pPr>
            <w:r w:rsidRPr="00A341CC">
              <w:rPr>
                <w:szCs w:val="24"/>
              </w:rPr>
              <w:t>Количество соглашений, заключенных субъектом РФ,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Подсчет количества соглашений уровня бюджетов субъектов РФ, код ОКТМО распорядителя которых соответствует приведенному в списке коду ОКТМО субъекта РФ</w:t>
            </w:r>
          </w:p>
          <w:p w:rsidR="004A3AA2" w:rsidRPr="00A341CC" w:rsidRDefault="004A3AA2" w:rsidP="004A3AA2">
            <w:pPr>
              <w:ind w:left="34" w:firstLine="0"/>
              <w:jc w:val="left"/>
              <w:rPr>
                <w:szCs w:val="24"/>
              </w:rPr>
            </w:pPr>
            <w:r w:rsidRPr="00A341CC">
              <w:rPr>
                <w:szCs w:val="24"/>
              </w:rPr>
              <w:t>Реализован переход в представление «По соглашениям (Бюджеты субъектов РФ)» с автоматической преднастройкой параметра фильтра «Субъект РФ» в соответствии с выбранным для перехода субъектом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10348" w:type="dxa"/>
            <w:gridSpan w:val="5"/>
            <w:shd w:val="clear" w:color="auto" w:fill="D9D9D9" w:themeFill="background1" w:themeFillShade="D9"/>
          </w:tcPr>
          <w:p w:rsidR="004A3AA2" w:rsidRPr="00A341CC" w:rsidRDefault="004A3AA2" w:rsidP="004A3AA2">
            <w:pPr>
              <w:ind w:firstLine="0"/>
              <w:jc w:val="center"/>
              <w:rPr>
                <w:szCs w:val="24"/>
              </w:rPr>
            </w:pPr>
            <w:r w:rsidRPr="00A341CC">
              <w:rPr>
                <w:szCs w:val="24"/>
              </w:rPr>
              <w:t>Блок по суммам соглашения, по графику соглашения и по кассовому исполнению по ИПС в разрезе регионов</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5</w:t>
            </w:r>
          </w:p>
        </w:tc>
        <w:tc>
          <w:tcPr>
            <w:tcW w:w="1276" w:type="dxa"/>
          </w:tcPr>
          <w:p w:rsidR="004A3AA2" w:rsidRPr="00A341CC" w:rsidRDefault="004A3AA2" w:rsidP="004A3AA2">
            <w:pPr>
              <w:ind w:firstLine="0"/>
              <w:jc w:val="left"/>
              <w:rPr>
                <w:szCs w:val="24"/>
              </w:rPr>
            </w:pPr>
            <w:r w:rsidRPr="00A341CC">
              <w:rPr>
                <w:szCs w:val="24"/>
              </w:rPr>
              <w:t>Сумма соглашения (всего), ‘динамическое значение единиц измерения, зависящее от значения в фильтре «Единицы измерения»’ – сумма по графику соглашения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Сумма по суммам соглашений (всего),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6</w:t>
            </w:r>
          </w:p>
        </w:tc>
        <w:tc>
          <w:tcPr>
            <w:tcW w:w="1276" w:type="dxa"/>
          </w:tcPr>
          <w:p w:rsidR="004A3AA2" w:rsidRPr="00A341CC" w:rsidRDefault="004A3AA2" w:rsidP="004A3AA2">
            <w:pPr>
              <w:ind w:firstLine="0"/>
              <w:jc w:val="left"/>
              <w:rPr>
                <w:szCs w:val="24"/>
              </w:rPr>
            </w:pPr>
            <w:r w:rsidRPr="00A341CC">
              <w:rPr>
                <w:szCs w:val="24"/>
              </w:rPr>
              <w:t>Исполнено в прошлых периодах,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Сумма по суммам по ИПС на годы, предшествующие значению в фильтре «Год»,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7</w:t>
            </w:r>
          </w:p>
        </w:tc>
        <w:tc>
          <w:tcPr>
            <w:tcW w:w="1276" w:type="dxa"/>
          </w:tcPr>
          <w:p w:rsidR="004A3AA2" w:rsidRPr="00A341CC" w:rsidRDefault="004A3AA2" w:rsidP="004A3AA2">
            <w:pPr>
              <w:ind w:firstLine="0"/>
              <w:jc w:val="left"/>
              <w:rPr>
                <w:szCs w:val="24"/>
              </w:rPr>
            </w:pPr>
            <w:r w:rsidRPr="00A341CC">
              <w:rPr>
                <w:szCs w:val="24"/>
              </w:rPr>
              <w:t>Сумма соглашения на ‘выбранное значение в фильтре «Год»’ год,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Сумма по суммам соглашений по графику соглашения на выбранное значение года в фильтре «Год»,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8</w:t>
            </w:r>
          </w:p>
        </w:tc>
        <w:tc>
          <w:tcPr>
            <w:tcW w:w="1276" w:type="dxa"/>
          </w:tcPr>
          <w:p w:rsidR="004A3AA2" w:rsidRPr="00A341CC" w:rsidRDefault="004A3AA2" w:rsidP="004A3AA2">
            <w:pPr>
              <w:ind w:firstLine="0"/>
              <w:jc w:val="left"/>
              <w:rPr>
                <w:szCs w:val="24"/>
              </w:rPr>
            </w:pPr>
            <w:r w:rsidRPr="00A341CC">
              <w:rPr>
                <w:szCs w:val="24"/>
              </w:rPr>
              <w:t>Сумма соглашения на ‘выбранное значение в фильтре «Год» +1’ год,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Сумма по суммам соглашений по графику соглашения на выбранное значение года в фильтре «Год»+1,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9</w:t>
            </w:r>
          </w:p>
        </w:tc>
        <w:tc>
          <w:tcPr>
            <w:tcW w:w="1276" w:type="dxa"/>
          </w:tcPr>
          <w:p w:rsidR="004A3AA2" w:rsidRPr="00A341CC" w:rsidRDefault="004A3AA2" w:rsidP="004A3AA2">
            <w:pPr>
              <w:ind w:firstLine="0"/>
              <w:jc w:val="left"/>
              <w:rPr>
                <w:szCs w:val="24"/>
              </w:rPr>
            </w:pPr>
            <w:r w:rsidRPr="00A341CC">
              <w:rPr>
                <w:szCs w:val="24"/>
              </w:rPr>
              <w:t>Сумма соглашения на ‘выбранное значение в фильтре «Год» +2’ год,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Сумма по суммам соглашений по графику соглашения на выбранное значение года в фильтре «Год»+2,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10</w:t>
            </w:r>
          </w:p>
        </w:tc>
        <w:tc>
          <w:tcPr>
            <w:tcW w:w="1276" w:type="dxa"/>
          </w:tcPr>
          <w:p w:rsidR="004A3AA2" w:rsidRPr="00A341CC" w:rsidRDefault="004A3AA2" w:rsidP="004A3AA2">
            <w:pPr>
              <w:ind w:firstLine="0"/>
              <w:jc w:val="left"/>
              <w:rPr>
                <w:szCs w:val="24"/>
              </w:rPr>
            </w:pPr>
            <w:r w:rsidRPr="00A341CC">
              <w:rPr>
                <w:szCs w:val="24"/>
              </w:rPr>
              <w:t>Сумма соглашения на будущие года,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Суммовое значение сумм соглашений по графику соглашения на годы, имеющие значение большее, чем значение в фильтре «Год»+2,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11</w:t>
            </w:r>
          </w:p>
        </w:tc>
        <w:tc>
          <w:tcPr>
            <w:tcW w:w="1276" w:type="dxa"/>
          </w:tcPr>
          <w:p w:rsidR="004A3AA2" w:rsidRPr="00A341CC" w:rsidRDefault="004A3AA2" w:rsidP="004A3AA2">
            <w:pPr>
              <w:ind w:firstLine="0"/>
              <w:jc w:val="left"/>
              <w:rPr>
                <w:szCs w:val="24"/>
              </w:rPr>
            </w:pPr>
            <w:r w:rsidRPr="00A341CC">
              <w:rPr>
                <w:szCs w:val="24"/>
              </w:rPr>
              <w:t>Исполнено всего,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Сумма по ИПС соглашений с верхним ограничением года выбранного в фильтре «Год» включительно,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12</w:t>
            </w:r>
          </w:p>
        </w:tc>
        <w:tc>
          <w:tcPr>
            <w:tcW w:w="1276" w:type="dxa"/>
          </w:tcPr>
          <w:p w:rsidR="004A3AA2" w:rsidRPr="00A341CC" w:rsidRDefault="004A3AA2" w:rsidP="004A3AA2">
            <w:pPr>
              <w:ind w:firstLine="0"/>
              <w:jc w:val="left"/>
              <w:rPr>
                <w:szCs w:val="24"/>
              </w:rPr>
            </w:pPr>
            <w:r w:rsidRPr="00A341CC">
              <w:rPr>
                <w:szCs w:val="24"/>
              </w:rPr>
              <w:t>Исполнено в ‘выбранное значение в фильтре «Год»’ году, ‘динамическое значение единиц измерения, зависящее от значения в фильтре «Единицы измерения»’</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Сумма по ИПС соглашений на выбранное значение года в фильтре «Год», код ОКТМО распорядителя которых соответствует приведенному в списке коду ОКТМО субъекта РФ</w:t>
            </w:r>
          </w:p>
        </w:tc>
        <w:tc>
          <w:tcPr>
            <w:tcW w:w="4111" w:type="dxa"/>
            <w:shd w:val="clear" w:color="auto" w:fill="auto"/>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13</w:t>
            </w:r>
          </w:p>
        </w:tc>
        <w:tc>
          <w:tcPr>
            <w:tcW w:w="1276" w:type="dxa"/>
          </w:tcPr>
          <w:p w:rsidR="004A3AA2" w:rsidRPr="00A341CC" w:rsidRDefault="004A3AA2" w:rsidP="004A3AA2">
            <w:pPr>
              <w:ind w:firstLine="0"/>
              <w:jc w:val="left"/>
              <w:rPr>
                <w:szCs w:val="24"/>
              </w:rPr>
            </w:pPr>
            <w:r w:rsidRPr="00A341CC">
              <w:rPr>
                <w:szCs w:val="24"/>
              </w:rPr>
              <w:t>% исполнения в ‘выбранное значение в фильтре «Год»’ году</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ind w:left="34" w:firstLine="0"/>
              <w:jc w:val="left"/>
              <w:rPr>
                <w:szCs w:val="24"/>
              </w:rPr>
            </w:pPr>
            <w:r w:rsidRPr="00A341CC">
              <w:rPr>
                <w:szCs w:val="24"/>
              </w:rPr>
              <w:t>Расчетный показатель, равный отношению значения в колонке 12 к значению в колонке 7, имеющий процентный формат отображения</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14</w:t>
            </w:r>
          </w:p>
        </w:tc>
        <w:tc>
          <w:tcPr>
            <w:tcW w:w="1276" w:type="dxa"/>
          </w:tcPr>
          <w:p w:rsidR="004A3AA2" w:rsidRPr="00A341CC" w:rsidRDefault="004A3AA2" w:rsidP="004A3AA2">
            <w:pPr>
              <w:ind w:firstLine="0"/>
              <w:jc w:val="left"/>
              <w:rPr>
                <w:szCs w:val="24"/>
              </w:rPr>
            </w:pPr>
            <w:r w:rsidRPr="00A341CC">
              <w:rPr>
                <w:szCs w:val="24"/>
              </w:rPr>
              <w:t>% исполнения всего</w:t>
            </w:r>
          </w:p>
        </w:tc>
        <w:tc>
          <w:tcPr>
            <w:tcW w:w="992" w:type="dxa"/>
          </w:tcPr>
          <w:p w:rsidR="004A3AA2" w:rsidRPr="00A341CC" w:rsidRDefault="004A3AA2" w:rsidP="004A3AA2">
            <w:pPr>
              <w:ind w:left="34" w:firstLine="0"/>
              <w:jc w:val="left"/>
              <w:rPr>
                <w:szCs w:val="24"/>
              </w:rPr>
            </w:pPr>
            <w:r w:rsidRPr="00A341CC">
              <w:rPr>
                <w:szCs w:val="24"/>
              </w:rPr>
              <w:t>Скрыта</w:t>
            </w:r>
          </w:p>
        </w:tc>
        <w:tc>
          <w:tcPr>
            <w:tcW w:w="3402" w:type="dxa"/>
          </w:tcPr>
          <w:p w:rsidR="004A3AA2" w:rsidRPr="00A341CC" w:rsidRDefault="004A3AA2" w:rsidP="004A3AA2">
            <w:pPr>
              <w:ind w:left="34" w:firstLine="0"/>
              <w:jc w:val="left"/>
              <w:rPr>
                <w:szCs w:val="24"/>
              </w:rPr>
            </w:pPr>
            <w:r w:rsidRPr="00A341CC">
              <w:rPr>
                <w:szCs w:val="24"/>
              </w:rPr>
              <w:t>Расчетный показатель, равный отношению значения в колонке 11 к значению в колонке 5, имеющий процентный формат отображения</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10348" w:type="dxa"/>
            <w:gridSpan w:val="5"/>
          </w:tcPr>
          <w:p w:rsidR="004A3AA2" w:rsidRPr="00A341CC" w:rsidRDefault="004A3AA2" w:rsidP="004A3AA2">
            <w:pPr>
              <w:shd w:val="clear" w:color="auto" w:fill="D9D9D9" w:themeFill="background1" w:themeFillShade="D9"/>
              <w:ind w:firstLine="0"/>
              <w:jc w:val="center"/>
              <w:rPr>
                <w:szCs w:val="24"/>
              </w:rPr>
            </w:pPr>
            <w:r w:rsidRPr="00A341CC">
              <w:rPr>
                <w:szCs w:val="24"/>
              </w:rPr>
              <w:t>Блок по отчетам о достижении результатов (по календарю предоставления отчетности) в разрезе регионов</w:t>
            </w:r>
          </w:p>
          <w:p w:rsidR="004A3AA2" w:rsidRPr="00A341CC" w:rsidRDefault="004A3AA2" w:rsidP="004A3AA2">
            <w:pPr>
              <w:ind w:firstLine="0"/>
              <w:jc w:val="left"/>
              <w:rPr>
                <w:szCs w:val="24"/>
              </w:rPr>
            </w:pPr>
            <w:r w:rsidRPr="00A341CC">
              <w:rPr>
                <w:szCs w:val="24"/>
              </w:rPr>
              <w:t>Общая логика проверки корректности формирования значений в колонках:</w:t>
            </w:r>
          </w:p>
          <w:p w:rsidR="004A3AA2" w:rsidRPr="00A341CC" w:rsidRDefault="004A3AA2" w:rsidP="005C6E50">
            <w:pPr>
              <w:pStyle w:val="afff6"/>
              <w:numPr>
                <w:ilvl w:val="0"/>
                <w:numId w:val="95"/>
              </w:numPr>
              <w:ind w:left="0" w:firstLine="0"/>
              <w:contextualSpacing/>
              <w:jc w:val="left"/>
              <w:rPr>
                <w:sz w:val="24"/>
                <w:szCs w:val="24"/>
              </w:rPr>
            </w:pPr>
            <w:r w:rsidRPr="00A341CC">
              <w:rPr>
                <w:sz w:val="24"/>
                <w:szCs w:val="24"/>
              </w:rPr>
              <w:t>Колонка 15 = Колонка 16 + Колонка 17</w:t>
            </w:r>
          </w:p>
          <w:p w:rsidR="004A3AA2" w:rsidRPr="00A341CC" w:rsidRDefault="004A3AA2" w:rsidP="005C6E50">
            <w:pPr>
              <w:pStyle w:val="afff6"/>
              <w:numPr>
                <w:ilvl w:val="0"/>
                <w:numId w:val="95"/>
              </w:numPr>
              <w:ind w:left="0" w:firstLine="0"/>
              <w:contextualSpacing/>
              <w:jc w:val="left"/>
              <w:rPr>
                <w:sz w:val="24"/>
                <w:szCs w:val="24"/>
              </w:rPr>
            </w:pPr>
            <w:r w:rsidRPr="00A341CC">
              <w:rPr>
                <w:sz w:val="24"/>
                <w:szCs w:val="24"/>
              </w:rPr>
              <w:t>Колонка 17 = Колонка 18 + Колонка 19 + Колонка 20</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15</w:t>
            </w:r>
          </w:p>
        </w:tc>
        <w:tc>
          <w:tcPr>
            <w:tcW w:w="1276" w:type="dxa"/>
          </w:tcPr>
          <w:p w:rsidR="004A3AA2" w:rsidRPr="00A341CC" w:rsidRDefault="004A3AA2" w:rsidP="004A3AA2">
            <w:pPr>
              <w:ind w:firstLine="0"/>
              <w:jc w:val="left"/>
              <w:rPr>
                <w:szCs w:val="24"/>
              </w:rPr>
            </w:pPr>
            <w:r w:rsidRPr="00A341CC">
              <w:rPr>
                <w:szCs w:val="24"/>
              </w:rPr>
              <w:t>Плановое количество отчетов,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с учетом отнесения первого числа нового года к предыдущему,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16</w:t>
            </w:r>
          </w:p>
        </w:tc>
        <w:tc>
          <w:tcPr>
            <w:tcW w:w="1276" w:type="dxa"/>
          </w:tcPr>
          <w:p w:rsidR="004A3AA2" w:rsidRPr="00A341CC" w:rsidRDefault="004A3AA2" w:rsidP="004A3AA2">
            <w:pPr>
              <w:ind w:firstLine="0"/>
              <w:jc w:val="left"/>
              <w:rPr>
                <w:szCs w:val="24"/>
              </w:rPr>
            </w:pPr>
            <w:r w:rsidRPr="00A341CC">
              <w:rPr>
                <w:szCs w:val="24"/>
              </w:rPr>
              <w:t>Срок сдачи отчета не наступил,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больше либо равны значению текущей даты, и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17</w:t>
            </w:r>
          </w:p>
        </w:tc>
        <w:tc>
          <w:tcPr>
            <w:tcW w:w="1276" w:type="dxa"/>
          </w:tcPr>
          <w:p w:rsidR="004A3AA2" w:rsidRPr="00A341CC" w:rsidRDefault="004A3AA2" w:rsidP="004A3AA2">
            <w:pPr>
              <w:ind w:firstLine="0"/>
              <w:jc w:val="left"/>
              <w:rPr>
                <w:szCs w:val="24"/>
              </w:rPr>
            </w:pPr>
            <w:r w:rsidRPr="00A341CC">
              <w:rPr>
                <w:szCs w:val="24"/>
              </w:rPr>
              <w:t>Срок сдачи отчета наступил,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и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18</w:t>
            </w:r>
          </w:p>
        </w:tc>
        <w:tc>
          <w:tcPr>
            <w:tcW w:w="1276" w:type="dxa"/>
          </w:tcPr>
          <w:p w:rsidR="004A3AA2" w:rsidRPr="00A341CC" w:rsidRDefault="004A3AA2" w:rsidP="004A3AA2">
            <w:pPr>
              <w:ind w:firstLine="0"/>
              <w:jc w:val="left"/>
              <w:rPr>
                <w:szCs w:val="24"/>
              </w:rPr>
            </w:pPr>
            <w:r w:rsidRPr="00A341CC">
              <w:rPr>
                <w:szCs w:val="24"/>
              </w:rPr>
              <w:t>Отчеты сданы в срок,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 и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19</w:t>
            </w:r>
          </w:p>
        </w:tc>
        <w:tc>
          <w:tcPr>
            <w:tcW w:w="1276" w:type="dxa"/>
          </w:tcPr>
          <w:p w:rsidR="004A3AA2" w:rsidRPr="00A341CC" w:rsidRDefault="004A3AA2" w:rsidP="004A3AA2">
            <w:pPr>
              <w:ind w:firstLine="0"/>
              <w:jc w:val="left"/>
              <w:rPr>
                <w:szCs w:val="24"/>
              </w:rPr>
            </w:pPr>
            <w:r w:rsidRPr="00A341CC">
              <w:rPr>
                <w:szCs w:val="24"/>
              </w:rPr>
              <w:t>Отчеты сданы с нарушением срока,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больше «Плановой даты», и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20</w:t>
            </w:r>
          </w:p>
        </w:tc>
        <w:tc>
          <w:tcPr>
            <w:tcW w:w="1276" w:type="dxa"/>
          </w:tcPr>
          <w:p w:rsidR="004A3AA2" w:rsidRPr="00A341CC" w:rsidRDefault="004A3AA2" w:rsidP="004A3AA2">
            <w:pPr>
              <w:ind w:firstLine="0"/>
              <w:jc w:val="left"/>
              <w:rPr>
                <w:szCs w:val="24"/>
              </w:rPr>
            </w:pPr>
            <w:r w:rsidRPr="00A341CC">
              <w:rPr>
                <w:szCs w:val="24"/>
              </w:rPr>
              <w:t>Не представлены отчеты о достижении результатов,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отсутствует, и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10348" w:type="dxa"/>
            <w:gridSpan w:val="5"/>
          </w:tcPr>
          <w:p w:rsidR="004A3AA2" w:rsidRPr="00A341CC" w:rsidRDefault="004A3AA2" w:rsidP="004A3AA2">
            <w:pPr>
              <w:shd w:val="clear" w:color="auto" w:fill="D9D9D9" w:themeFill="background1" w:themeFillShade="D9"/>
              <w:ind w:firstLine="0"/>
              <w:jc w:val="center"/>
              <w:rPr>
                <w:szCs w:val="24"/>
              </w:rPr>
            </w:pPr>
            <w:r w:rsidRPr="00A341CC">
              <w:rPr>
                <w:szCs w:val="24"/>
              </w:rPr>
              <w:t>Блок по количеству значений результатов в разрезе регионов</w:t>
            </w:r>
          </w:p>
          <w:p w:rsidR="004A3AA2" w:rsidRPr="00A341CC" w:rsidRDefault="004A3AA2" w:rsidP="004A3AA2">
            <w:pPr>
              <w:ind w:firstLine="0"/>
              <w:jc w:val="left"/>
              <w:rPr>
                <w:szCs w:val="24"/>
              </w:rPr>
            </w:pPr>
            <w:r w:rsidRPr="00A341CC">
              <w:rPr>
                <w:szCs w:val="24"/>
              </w:rPr>
              <w:t>При подсчете значений результатов учитывается лишь последний сданный отчет (актуальный).</w:t>
            </w:r>
          </w:p>
          <w:p w:rsidR="004A3AA2" w:rsidRPr="00A341CC" w:rsidRDefault="004A3AA2" w:rsidP="004A3AA2">
            <w:pPr>
              <w:ind w:firstLine="0"/>
              <w:jc w:val="left"/>
              <w:rPr>
                <w:szCs w:val="24"/>
              </w:rPr>
            </w:pPr>
            <w:r w:rsidRPr="00A341CC">
              <w:rPr>
                <w:szCs w:val="24"/>
              </w:rPr>
              <w:t>Отчеты, сданные первого числа нового года, относятся к предыдущему.</w:t>
            </w:r>
          </w:p>
          <w:p w:rsidR="004A3AA2" w:rsidRPr="00A341CC" w:rsidRDefault="004A3AA2" w:rsidP="004A3AA2">
            <w:pPr>
              <w:ind w:firstLine="0"/>
              <w:jc w:val="left"/>
              <w:rPr>
                <w:szCs w:val="24"/>
              </w:rPr>
            </w:pPr>
            <w:r w:rsidRPr="00A341CC">
              <w:rPr>
                <w:szCs w:val="24"/>
              </w:rPr>
              <w:t>Общая логика проверки корректности формирования значений в колонках:</w:t>
            </w:r>
          </w:p>
          <w:p w:rsidR="004A3AA2" w:rsidRPr="00A341CC" w:rsidRDefault="004A3AA2" w:rsidP="005C6E50">
            <w:pPr>
              <w:pStyle w:val="afff6"/>
              <w:numPr>
                <w:ilvl w:val="0"/>
                <w:numId w:val="96"/>
              </w:numPr>
              <w:ind w:left="0" w:firstLine="0"/>
              <w:contextualSpacing/>
              <w:jc w:val="left"/>
              <w:rPr>
                <w:sz w:val="24"/>
                <w:szCs w:val="24"/>
              </w:rPr>
            </w:pPr>
            <w:r w:rsidRPr="00A341CC">
              <w:rPr>
                <w:sz w:val="24"/>
                <w:szCs w:val="24"/>
              </w:rPr>
              <w:t>Колонка 21 = Колонка 22 + Колонка 25 + Колонка 26</w:t>
            </w:r>
          </w:p>
          <w:p w:rsidR="004A3AA2" w:rsidRPr="00A341CC" w:rsidRDefault="004A3AA2" w:rsidP="005C6E50">
            <w:pPr>
              <w:pStyle w:val="afff6"/>
              <w:numPr>
                <w:ilvl w:val="0"/>
                <w:numId w:val="96"/>
              </w:numPr>
              <w:ind w:left="0" w:firstLine="0"/>
              <w:contextualSpacing/>
              <w:jc w:val="left"/>
              <w:rPr>
                <w:sz w:val="24"/>
                <w:szCs w:val="24"/>
              </w:rPr>
            </w:pPr>
            <w:r w:rsidRPr="00A341CC">
              <w:rPr>
                <w:sz w:val="24"/>
                <w:szCs w:val="24"/>
              </w:rPr>
              <w:t>Колонка 22 = Колонка 23 + Колонка 24</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21</w:t>
            </w:r>
          </w:p>
        </w:tc>
        <w:tc>
          <w:tcPr>
            <w:tcW w:w="1276" w:type="dxa"/>
          </w:tcPr>
          <w:p w:rsidR="004A3AA2" w:rsidRPr="00A341CC" w:rsidRDefault="004A3AA2" w:rsidP="004A3AA2">
            <w:pPr>
              <w:ind w:firstLine="0"/>
              <w:jc w:val="left"/>
              <w:rPr>
                <w:szCs w:val="24"/>
              </w:rPr>
            </w:pPr>
            <w:r w:rsidRPr="00A341CC">
              <w:rPr>
                <w:szCs w:val="24"/>
              </w:rPr>
              <w:t>Запланированных,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код ОКТМО распорядителя которых соответствует приведенному в списке коду ОКТМО субъекта РФ</w:t>
            </w:r>
          </w:p>
          <w:p w:rsidR="004A3AA2" w:rsidRPr="00A341CC" w:rsidRDefault="004A3AA2" w:rsidP="004A3AA2">
            <w:pPr>
              <w:pStyle w:val="afff6"/>
              <w:ind w:left="34" w:firstLine="0"/>
              <w:jc w:val="left"/>
              <w:rPr>
                <w:sz w:val="24"/>
                <w:szCs w:val="24"/>
              </w:rPr>
            </w:pP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22</w:t>
            </w:r>
          </w:p>
        </w:tc>
        <w:tc>
          <w:tcPr>
            <w:tcW w:w="1276" w:type="dxa"/>
          </w:tcPr>
          <w:p w:rsidR="004A3AA2" w:rsidRPr="00A341CC" w:rsidRDefault="004A3AA2" w:rsidP="004A3AA2">
            <w:pPr>
              <w:ind w:firstLine="0"/>
              <w:jc w:val="left"/>
              <w:rPr>
                <w:szCs w:val="24"/>
              </w:rPr>
            </w:pPr>
            <w:r w:rsidRPr="00A341CC">
              <w:rPr>
                <w:szCs w:val="24"/>
              </w:rPr>
              <w:t>Достигнутых в полном объеме,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23</w:t>
            </w:r>
          </w:p>
        </w:tc>
        <w:tc>
          <w:tcPr>
            <w:tcW w:w="1276" w:type="dxa"/>
          </w:tcPr>
          <w:p w:rsidR="004A3AA2" w:rsidRPr="00A341CC" w:rsidRDefault="004A3AA2" w:rsidP="004A3AA2">
            <w:pPr>
              <w:ind w:firstLine="0"/>
              <w:jc w:val="left"/>
              <w:rPr>
                <w:szCs w:val="24"/>
              </w:rPr>
            </w:pPr>
            <w:r w:rsidRPr="00A341CC">
              <w:rPr>
                <w:szCs w:val="24"/>
              </w:rPr>
              <w:t>Достигнутых в полном объеме в срок,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а также «Фактическая дата» достижения меньше либо равна «Плановой дате»,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24</w:t>
            </w:r>
          </w:p>
        </w:tc>
        <w:tc>
          <w:tcPr>
            <w:tcW w:w="1276" w:type="dxa"/>
          </w:tcPr>
          <w:p w:rsidR="004A3AA2" w:rsidRPr="00A341CC" w:rsidRDefault="004A3AA2" w:rsidP="004A3AA2">
            <w:pPr>
              <w:ind w:firstLine="0"/>
              <w:jc w:val="left"/>
              <w:rPr>
                <w:szCs w:val="24"/>
              </w:rPr>
            </w:pPr>
            <w:r w:rsidRPr="00A341CC">
              <w:rPr>
                <w:szCs w:val="24"/>
              </w:rPr>
              <w:t>Достигнутых в полном объеме с нарушением срока,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а также «Фактическая дата» больше «Плановой даты»,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25</w:t>
            </w:r>
          </w:p>
        </w:tc>
        <w:tc>
          <w:tcPr>
            <w:tcW w:w="1276" w:type="dxa"/>
          </w:tcPr>
          <w:p w:rsidR="004A3AA2" w:rsidRPr="00A341CC" w:rsidRDefault="004A3AA2" w:rsidP="004A3AA2">
            <w:pPr>
              <w:ind w:firstLine="0"/>
              <w:jc w:val="left"/>
              <w:rPr>
                <w:szCs w:val="24"/>
              </w:rPr>
            </w:pPr>
            <w:r w:rsidRPr="00A341CC">
              <w:rPr>
                <w:szCs w:val="24"/>
              </w:rPr>
              <w:t>Не достигнутых в полном объеме (в срок),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меньше 100%, а также текущая дата больше «Плановой даты» сдачи отчета,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26</w:t>
            </w:r>
          </w:p>
        </w:tc>
        <w:tc>
          <w:tcPr>
            <w:tcW w:w="1276" w:type="dxa"/>
          </w:tcPr>
          <w:p w:rsidR="004A3AA2" w:rsidRPr="00A341CC" w:rsidRDefault="004A3AA2" w:rsidP="004A3AA2">
            <w:pPr>
              <w:ind w:firstLine="0"/>
              <w:jc w:val="left"/>
              <w:rPr>
                <w:szCs w:val="24"/>
              </w:rPr>
            </w:pPr>
            <w:r w:rsidRPr="00A341CC">
              <w:rPr>
                <w:szCs w:val="24"/>
              </w:rPr>
              <w:t>Не достигнутых в полном объеме (срок не наступил),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меньше 100%, а также текущая дата меньше либо равна «Плановой дате» сдачи отчета,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27</w:t>
            </w:r>
          </w:p>
        </w:tc>
        <w:tc>
          <w:tcPr>
            <w:tcW w:w="1276" w:type="dxa"/>
          </w:tcPr>
          <w:p w:rsidR="004A3AA2" w:rsidRPr="00A341CC" w:rsidRDefault="004A3AA2" w:rsidP="004A3AA2">
            <w:pPr>
              <w:ind w:firstLine="0"/>
              <w:jc w:val="left"/>
              <w:rPr>
                <w:szCs w:val="24"/>
              </w:rPr>
            </w:pPr>
            <w:r w:rsidRPr="00A341CC">
              <w:rPr>
                <w:szCs w:val="24"/>
              </w:rPr>
              <w:t>% достижения результатов</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Расчетный показатель, равный отношению фактического значения результата к плановому, и последующему расчету среднеарифметического значения по всем значениям результатов в рамках соглашений на выбранное значение года в фильтре «Год»,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10348" w:type="dxa"/>
            <w:gridSpan w:val="5"/>
          </w:tcPr>
          <w:p w:rsidR="004A3AA2" w:rsidRPr="00A341CC" w:rsidRDefault="004A3AA2" w:rsidP="004A3AA2">
            <w:pPr>
              <w:shd w:val="clear" w:color="auto" w:fill="D9D9D9" w:themeFill="background1" w:themeFillShade="D9"/>
              <w:ind w:firstLine="0"/>
              <w:jc w:val="center"/>
              <w:rPr>
                <w:szCs w:val="24"/>
              </w:rPr>
            </w:pPr>
            <w:r w:rsidRPr="00A341CC">
              <w:rPr>
                <w:szCs w:val="24"/>
              </w:rPr>
              <w:t>Блок по отчетам об осуществлении расходов (по календарю предоставления отчетности) в разрезе регионов</w:t>
            </w:r>
          </w:p>
          <w:p w:rsidR="004A3AA2" w:rsidRPr="00A341CC" w:rsidRDefault="004A3AA2" w:rsidP="004A3AA2">
            <w:pPr>
              <w:ind w:firstLine="0"/>
              <w:jc w:val="left"/>
              <w:rPr>
                <w:szCs w:val="24"/>
              </w:rPr>
            </w:pPr>
            <w:r w:rsidRPr="00A341CC">
              <w:rPr>
                <w:szCs w:val="24"/>
              </w:rPr>
              <w:t>Общая логика проверки корректности формирования значений в колонках:</w:t>
            </w:r>
          </w:p>
          <w:p w:rsidR="004A3AA2" w:rsidRPr="00A341CC" w:rsidRDefault="004A3AA2" w:rsidP="005C6E50">
            <w:pPr>
              <w:pStyle w:val="afff6"/>
              <w:numPr>
                <w:ilvl w:val="0"/>
                <w:numId w:val="95"/>
              </w:numPr>
              <w:ind w:left="0" w:firstLine="0"/>
              <w:contextualSpacing/>
              <w:jc w:val="left"/>
              <w:rPr>
                <w:sz w:val="24"/>
                <w:szCs w:val="24"/>
              </w:rPr>
            </w:pPr>
            <w:r w:rsidRPr="00A341CC">
              <w:rPr>
                <w:sz w:val="24"/>
                <w:szCs w:val="24"/>
              </w:rPr>
              <w:t>Колонка 28 = Колонка 29 + Колонка 30</w:t>
            </w:r>
          </w:p>
          <w:p w:rsidR="004A3AA2" w:rsidRPr="00A341CC" w:rsidRDefault="004A3AA2" w:rsidP="005C6E50">
            <w:pPr>
              <w:pStyle w:val="afff6"/>
              <w:numPr>
                <w:ilvl w:val="0"/>
                <w:numId w:val="95"/>
              </w:numPr>
              <w:ind w:left="0" w:firstLine="0"/>
              <w:contextualSpacing/>
              <w:jc w:val="left"/>
              <w:rPr>
                <w:sz w:val="24"/>
                <w:szCs w:val="24"/>
              </w:rPr>
            </w:pPr>
            <w:r w:rsidRPr="00A341CC">
              <w:rPr>
                <w:sz w:val="24"/>
                <w:szCs w:val="24"/>
              </w:rPr>
              <w:t>Колонка 30 = Колонка 31 + Колонка 32 + Колонка 33</w:t>
            </w: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28</w:t>
            </w:r>
          </w:p>
        </w:tc>
        <w:tc>
          <w:tcPr>
            <w:tcW w:w="1276" w:type="dxa"/>
          </w:tcPr>
          <w:p w:rsidR="004A3AA2" w:rsidRPr="00A341CC" w:rsidRDefault="004A3AA2" w:rsidP="004A3AA2">
            <w:pPr>
              <w:ind w:firstLine="0"/>
              <w:jc w:val="left"/>
              <w:rPr>
                <w:szCs w:val="24"/>
              </w:rPr>
            </w:pPr>
            <w:r w:rsidRPr="00A341CC">
              <w:rPr>
                <w:szCs w:val="24"/>
              </w:rPr>
              <w:t>Плановое количество отчетов,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с учетом отнесения первого числа нового года к предыдущему,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ind w:firstLine="0"/>
              <w:jc w:val="left"/>
              <w:rPr>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29</w:t>
            </w:r>
          </w:p>
        </w:tc>
        <w:tc>
          <w:tcPr>
            <w:tcW w:w="1276" w:type="dxa"/>
          </w:tcPr>
          <w:p w:rsidR="004A3AA2" w:rsidRPr="00A341CC" w:rsidRDefault="004A3AA2" w:rsidP="004A3AA2">
            <w:pPr>
              <w:ind w:firstLine="0"/>
              <w:jc w:val="left"/>
              <w:rPr>
                <w:szCs w:val="24"/>
              </w:rPr>
            </w:pPr>
            <w:r w:rsidRPr="00A341CC">
              <w:rPr>
                <w:szCs w:val="24"/>
              </w:rPr>
              <w:t>Срок сдачи отчета не наступил,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больше либо равны значению текущей даты,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30</w:t>
            </w:r>
          </w:p>
        </w:tc>
        <w:tc>
          <w:tcPr>
            <w:tcW w:w="1276" w:type="dxa"/>
          </w:tcPr>
          <w:p w:rsidR="004A3AA2" w:rsidRPr="00A341CC" w:rsidRDefault="004A3AA2" w:rsidP="004A3AA2">
            <w:pPr>
              <w:ind w:firstLine="0"/>
              <w:jc w:val="left"/>
              <w:rPr>
                <w:szCs w:val="24"/>
              </w:rPr>
            </w:pPr>
            <w:r w:rsidRPr="00A341CC">
              <w:rPr>
                <w:szCs w:val="24"/>
              </w:rPr>
              <w:t>Срок сдачи отчета наступил,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31</w:t>
            </w:r>
          </w:p>
        </w:tc>
        <w:tc>
          <w:tcPr>
            <w:tcW w:w="1276" w:type="dxa"/>
          </w:tcPr>
          <w:p w:rsidR="004A3AA2" w:rsidRPr="00A341CC" w:rsidRDefault="004A3AA2" w:rsidP="004A3AA2">
            <w:pPr>
              <w:ind w:firstLine="0"/>
              <w:jc w:val="left"/>
              <w:rPr>
                <w:szCs w:val="24"/>
              </w:rPr>
            </w:pPr>
            <w:r w:rsidRPr="00A341CC">
              <w:rPr>
                <w:szCs w:val="24"/>
              </w:rPr>
              <w:t>Отчеты сданы в срок,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32</w:t>
            </w:r>
          </w:p>
        </w:tc>
        <w:tc>
          <w:tcPr>
            <w:tcW w:w="1276" w:type="dxa"/>
          </w:tcPr>
          <w:p w:rsidR="004A3AA2" w:rsidRPr="00A341CC" w:rsidRDefault="004A3AA2" w:rsidP="004A3AA2">
            <w:pPr>
              <w:ind w:firstLine="0"/>
              <w:jc w:val="left"/>
              <w:rPr>
                <w:szCs w:val="24"/>
              </w:rPr>
            </w:pPr>
            <w:r w:rsidRPr="00A341CC">
              <w:rPr>
                <w:szCs w:val="24"/>
              </w:rPr>
              <w:t>Отчеты сданы с нарушением срока,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больше «Плановой даты»,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r w:rsidR="004A3AA2" w:rsidRPr="00A341CC" w:rsidTr="00D91E7F">
        <w:trPr>
          <w:jc w:val="center"/>
        </w:trPr>
        <w:tc>
          <w:tcPr>
            <w:tcW w:w="567" w:type="dxa"/>
          </w:tcPr>
          <w:p w:rsidR="004A3AA2" w:rsidRPr="00A341CC" w:rsidRDefault="004A3AA2" w:rsidP="004A3AA2">
            <w:pPr>
              <w:ind w:firstLine="0"/>
              <w:jc w:val="left"/>
              <w:rPr>
                <w:szCs w:val="24"/>
              </w:rPr>
            </w:pPr>
            <w:r w:rsidRPr="00A341CC">
              <w:rPr>
                <w:szCs w:val="24"/>
              </w:rPr>
              <w:t>33</w:t>
            </w:r>
          </w:p>
        </w:tc>
        <w:tc>
          <w:tcPr>
            <w:tcW w:w="1276" w:type="dxa"/>
          </w:tcPr>
          <w:p w:rsidR="004A3AA2" w:rsidRPr="00A341CC" w:rsidRDefault="004A3AA2" w:rsidP="004A3AA2">
            <w:pPr>
              <w:ind w:firstLine="0"/>
              <w:jc w:val="left"/>
              <w:rPr>
                <w:szCs w:val="24"/>
              </w:rPr>
            </w:pPr>
            <w:r w:rsidRPr="00A341CC">
              <w:rPr>
                <w:szCs w:val="24"/>
              </w:rPr>
              <w:t>Не представлены отчеты об осуществлении расходов, ед.</w:t>
            </w:r>
          </w:p>
        </w:tc>
        <w:tc>
          <w:tcPr>
            <w:tcW w:w="992" w:type="dxa"/>
          </w:tcPr>
          <w:p w:rsidR="004A3AA2" w:rsidRPr="00A341CC" w:rsidRDefault="004A3AA2" w:rsidP="004A3AA2">
            <w:pPr>
              <w:ind w:left="34" w:firstLine="0"/>
              <w:jc w:val="left"/>
              <w:rPr>
                <w:szCs w:val="24"/>
              </w:rPr>
            </w:pPr>
            <w:r w:rsidRPr="00A341CC">
              <w:rPr>
                <w:szCs w:val="24"/>
              </w:rPr>
              <w:t>Раскрыта</w:t>
            </w:r>
          </w:p>
        </w:tc>
        <w:tc>
          <w:tcPr>
            <w:tcW w:w="3402" w:type="dxa"/>
          </w:tcPr>
          <w:p w:rsidR="004A3AA2" w:rsidRPr="00A341CC" w:rsidRDefault="004A3AA2" w:rsidP="004A3AA2">
            <w:pPr>
              <w:pStyle w:val="afff6"/>
              <w:ind w:left="34" w:firstLine="0"/>
              <w:jc w:val="left"/>
              <w:rPr>
                <w:sz w:val="24"/>
                <w:szCs w:val="24"/>
              </w:rPr>
            </w:pPr>
            <w:r w:rsidRPr="00A341CC">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отсутствует, код ОКТМО распорядителя которых соответствует приведенному в списке коду ОКТМО субъекта РФ</w:t>
            </w:r>
          </w:p>
        </w:tc>
        <w:tc>
          <w:tcPr>
            <w:tcW w:w="4111" w:type="dxa"/>
          </w:tcPr>
          <w:p w:rsidR="004A3AA2" w:rsidRPr="00A341CC" w:rsidRDefault="004A3AA2" w:rsidP="004A3AA2">
            <w:pPr>
              <w:pStyle w:val="afff6"/>
              <w:ind w:left="0" w:firstLine="0"/>
              <w:jc w:val="left"/>
              <w:rPr>
                <w:sz w:val="24"/>
                <w:szCs w:val="24"/>
              </w:rPr>
            </w:pPr>
          </w:p>
        </w:tc>
      </w:tr>
    </w:tbl>
    <w:p w:rsidR="004A3AA2" w:rsidRPr="002D1FAC" w:rsidRDefault="004A3AA2" w:rsidP="004A3AA2"/>
    <w:p w:rsidR="004A3AA2" w:rsidRDefault="004A3AA2" w:rsidP="004A3AA2">
      <w:r>
        <w:t>Область фильтров:</w:t>
      </w:r>
    </w:p>
    <w:tbl>
      <w:tblPr>
        <w:tblStyle w:val="affe"/>
        <w:tblW w:w="10348" w:type="dxa"/>
        <w:tblInd w:w="-459" w:type="dxa"/>
        <w:tblLook w:val="04A0" w:firstRow="1" w:lastRow="0" w:firstColumn="1" w:lastColumn="0" w:noHBand="0" w:noVBand="1"/>
      </w:tblPr>
      <w:tblGrid>
        <w:gridCol w:w="567"/>
        <w:gridCol w:w="1843"/>
        <w:gridCol w:w="3686"/>
        <w:gridCol w:w="4252"/>
      </w:tblGrid>
      <w:tr w:rsidR="004A3AA2" w:rsidRPr="00A341CC" w:rsidTr="004A3AA2">
        <w:trPr>
          <w:tblHeader/>
        </w:trPr>
        <w:tc>
          <w:tcPr>
            <w:tcW w:w="567" w:type="dxa"/>
            <w:shd w:val="clear" w:color="auto" w:fill="F2F2F2" w:themeFill="background1" w:themeFillShade="F2"/>
          </w:tcPr>
          <w:p w:rsidR="004A3AA2" w:rsidRPr="00A341CC" w:rsidRDefault="004A3AA2" w:rsidP="004A3AA2">
            <w:pPr>
              <w:ind w:firstLine="0"/>
              <w:jc w:val="center"/>
              <w:rPr>
                <w:b/>
                <w:szCs w:val="24"/>
              </w:rPr>
            </w:pPr>
            <w:r w:rsidRPr="00A341CC">
              <w:rPr>
                <w:b/>
                <w:szCs w:val="24"/>
              </w:rPr>
              <w:t>№ п/п</w:t>
            </w:r>
          </w:p>
        </w:tc>
        <w:tc>
          <w:tcPr>
            <w:tcW w:w="1843" w:type="dxa"/>
            <w:shd w:val="clear" w:color="auto" w:fill="F2F2F2" w:themeFill="background1" w:themeFillShade="F2"/>
          </w:tcPr>
          <w:p w:rsidR="004A3AA2" w:rsidRPr="00A341CC" w:rsidRDefault="004A3AA2" w:rsidP="004A3AA2">
            <w:pPr>
              <w:ind w:firstLine="0"/>
              <w:jc w:val="center"/>
              <w:rPr>
                <w:b/>
                <w:szCs w:val="24"/>
              </w:rPr>
            </w:pPr>
            <w:r w:rsidRPr="00A341CC">
              <w:rPr>
                <w:b/>
                <w:szCs w:val="24"/>
              </w:rPr>
              <w:t>Наименование фильтра</w:t>
            </w:r>
          </w:p>
        </w:tc>
        <w:tc>
          <w:tcPr>
            <w:tcW w:w="3686" w:type="dxa"/>
            <w:shd w:val="clear" w:color="auto" w:fill="F2F2F2" w:themeFill="background1" w:themeFillShade="F2"/>
          </w:tcPr>
          <w:p w:rsidR="004A3AA2" w:rsidRPr="00A341CC" w:rsidRDefault="004A3AA2" w:rsidP="004A3AA2">
            <w:pPr>
              <w:ind w:firstLine="10"/>
              <w:jc w:val="center"/>
              <w:rPr>
                <w:b/>
                <w:szCs w:val="24"/>
              </w:rPr>
            </w:pPr>
            <w:r w:rsidRPr="00A341CC">
              <w:rPr>
                <w:b/>
                <w:szCs w:val="24"/>
              </w:rPr>
              <w:t>Алгоритм</w:t>
            </w:r>
          </w:p>
        </w:tc>
        <w:tc>
          <w:tcPr>
            <w:tcW w:w="4252" w:type="dxa"/>
            <w:shd w:val="clear" w:color="auto" w:fill="F2F2F2" w:themeFill="background1" w:themeFillShade="F2"/>
          </w:tcPr>
          <w:p w:rsidR="004A3AA2" w:rsidRPr="00A341CC" w:rsidRDefault="004A3AA2" w:rsidP="004A3AA2">
            <w:pPr>
              <w:ind w:firstLine="0"/>
              <w:jc w:val="center"/>
              <w:rPr>
                <w:b/>
                <w:szCs w:val="24"/>
              </w:rPr>
            </w:pPr>
            <w:r w:rsidRPr="00A341CC">
              <w:rPr>
                <w:b/>
                <w:szCs w:val="24"/>
              </w:rPr>
              <w:t>Источник данных</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1</w:t>
            </w:r>
          </w:p>
        </w:tc>
        <w:tc>
          <w:tcPr>
            <w:tcW w:w="1843" w:type="dxa"/>
          </w:tcPr>
          <w:p w:rsidR="004A3AA2" w:rsidRPr="00A341CC" w:rsidRDefault="004A3AA2" w:rsidP="004A3AA2">
            <w:pPr>
              <w:ind w:firstLine="0"/>
              <w:jc w:val="left"/>
              <w:rPr>
                <w:szCs w:val="24"/>
              </w:rPr>
            </w:pPr>
            <w:r w:rsidRPr="00A341CC">
              <w:rPr>
                <w:szCs w:val="24"/>
              </w:rPr>
              <w:t xml:space="preserve">Обновить </w:t>
            </w:r>
            <w:r w:rsidRPr="00A341CC">
              <w:rPr>
                <w:noProof/>
                <w:szCs w:val="24"/>
              </w:rPr>
              <w:drawing>
                <wp:inline distT="0" distB="0" distL="0" distR="0" wp14:anchorId="49189458" wp14:editId="4EFFC39E">
                  <wp:extent cx="476190" cy="476190"/>
                  <wp:effectExtent l="0" t="0" r="635"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86" w:type="dxa"/>
          </w:tcPr>
          <w:p w:rsidR="004A3AA2" w:rsidRPr="00A341CC" w:rsidRDefault="004A3AA2" w:rsidP="004A3AA2">
            <w:pPr>
              <w:ind w:firstLine="10"/>
              <w:jc w:val="left"/>
              <w:rPr>
                <w:szCs w:val="24"/>
              </w:rPr>
            </w:pPr>
            <w:r w:rsidRPr="00A341CC">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4A3AA2" w:rsidRPr="00A341CC" w:rsidRDefault="004A3AA2" w:rsidP="004A3AA2">
            <w:pPr>
              <w:pStyle w:val="afff6"/>
              <w:ind w:left="0" w:firstLine="0"/>
              <w:jc w:val="left"/>
              <w:rPr>
                <w:sz w:val="24"/>
                <w:szCs w:val="24"/>
              </w:rPr>
            </w:pP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2</w:t>
            </w:r>
          </w:p>
        </w:tc>
        <w:tc>
          <w:tcPr>
            <w:tcW w:w="1843" w:type="dxa"/>
          </w:tcPr>
          <w:p w:rsidR="004A3AA2" w:rsidRPr="00A341CC" w:rsidRDefault="004A3AA2" w:rsidP="004A3AA2">
            <w:pPr>
              <w:ind w:firstLine="0"/>
              <w:jc w:val="left"/>
              <w:rPr>
                <w:szCs w:val="24"/>
              </w:rPr>
            </w:pPr>
            <w:r w:rsidRPr="00A341CC">
              <w:rPr>
                <w:szCs w:val="24"/>
              </w:rPr>
              <w:t>Год</w:t>
            </w:r>
          </w:p>
        </w:tc>
        <w:tc>
          <w:tcPr>
            <w:tcW w:w="3686" w:type="dxa"/>
          </w:tcPr>
          <w:p w:rsidR="004A3AA2" w:rsidRPr="00A341CC" w:rsidRDefault="004A3AA2" w:rsidP="004A3AA2">
            <w:pPr>
              <w:ind w:firstLine="10"/>
              <w:jc w:val="left"/>
              <w:rPr>
                <w:szCs w:val="24"/>
              </w:rPr>
            </w:pPr>
            <w:r w:rsidRPr="00A341CC">
              <w:rPr>
                <w:szCs w:val="24"/>
              </w:rPr>
              <w:t>Фильтрация по году из графика соглашения</w:t>
            </w:r>
          </w:p>
          <w:p w:rsidR="004A3AA2" w:rsidRPr="00A341CC" w:rsidRDefault="004A3AA2" w:rsidP="004A3AA2">
            <w:pPr>
              <w:ind w:firstLine="10"/>
              <w:jc w:val="left"/>
              <w:rPr>
                <w:szCs w:val="24"/>
              </w:rPr>
            </w:pPr>
            <w:r w:rsidRPr="00A341CC">
              <w:rPr>
                <w:szCs w:val="24"/>
              </w:rPr>
              <w:t>Возможность выбора только одного значения параметра из выпадающего списка, отсутствует возможность контекстного поиска</w:t>
            </w:r>
          </w:p>
          <w:p w:rsidR="004A3AA2" w:rsidRPr="00A341CC" w:rsidRDefault="004A3AA2" w:rsidP="004A3AA2">
            <w:pPr>
              <w:ind w:firstLine="10"/>
              <w:jc w:val="left"/>
              <w:rPr>
                <w:szCs w:val="24"/>
              </w:rPr>
            </w:pPr>
            <w:r w:rsidRPr="00A341CC">
              <w:rPr>
                <w:szCs w:val="24"/>
              </w:rPr>
              <w:t>По умолчанию установлено значение текущего календарного года</w:t>
            </w:r>
          </w:p>
        </w:tc>
        <w:tc>
          <w:tcPr>
            <w:tcW w:w="4252" w:type="dxa"/>
          </w:tcPr>
          <w:p w:rsidR="004A3AA2" w:rsidRPr="00A341CC" w:rsidRDefault="004A3AA2" w:rsidP="004A3AA2">
            <w:pPr>
              <w:pStyle w:val="afff6"/>
              <w:ind w:left="0" w:firstLine="0"/>
              <w:jc w:val="left"/>
              <w:rPr>
                <w:sz w:val="24"/>
                <w:szCs w:val="24"/>
              </w:rPr>
            </w:pPr>
            <w:r w:rsidRPr="00A341CC">
              <w:rPr>
                <w:sz w:val="24"/>
                <w:szCs w:val="24"/>
              </w:rPr>
              <w:t>ПУР АСС =&gt; График платежей =&gt; Год осуществления платежа</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3</w:t>
            </w:r>
          </w:p>
        </w:tc>
        <w:tc>
          <w:tcPr>
            <w:tcW w:w="1843" w:type="dxa"/>
          </w:tcPr>
          <w:p w:rsidR="004A3AA2" w:rsidRPr="00A341CC" w:rsidRDefault="004A3AA2" w:rsidP="004A3AA2">
            <w:pPr>
              <w:ind w:firstLine="0"/>
              <w:jc w:val="left"/>
              <w:rPr>
                <w:szCs w:val="24"/>
              </w:rPr>
            </w:pPr>
            <w:r w:rsidRPr="00A341CC">
              <w:rPr>
                <w:szCs w:val="24"/>
              </w:rPr>
              <w:t>РЗПР</w:t>
            </w:r>
          </w:p>
        </w:tc>
        <w:tc>
          <w:tcPr>
            <w:tcW w:w="3686" w:type="dxa"/>
          </w:tcPr>
          <w:p w:rsidR="004A3AA2" w:rsidRPr="00A341CC" w:rsidRDefault="004A3AA2" w:rsidP="004A3AA2">
            <w:pPr>
              <w:ind w:firstLine="10"/>
              <w:jc w:val="left"/>
              <w:rPr>
                <w:szCs w:val="24"/>
              </w:rPr>
            </w:pPr>
            <w:r w:rsidRPr="00A341CC">
              <w:rPr>
                <w:szCs w:val="24"/>
              </w:rPr>
              <w:t>Фильтрация по 4-7 символам КБК</w:t>
            </w:r>
          </w:p>
          <w:p w:rsidR="004A3AA2" w:rsidRPr="00A341CC" w:rsidRDefault="004A3AA2" w:rsidP="004A3AA2">
            <w:pPr>
              <w:ind w:firstLine="10"/>
              <w:jc w:val="left"/>
              <w:rPr>
                <w:szCs w:val="24"/>
              </w:rPr>
            </w:pPr>
            <w:r w:rsidRPr="00A341CC">
              <w:rPr>
                <w:szCs w:val="24"/>
              </w:rPr>
              <w:t>Иерархический фильтр с возможностью выбора только одного параметра единовременно, а также с возможностью контекстного поиска</w:t>
            </w:r>
          </w:p>
          <w:p w:rsidR="004A3AA2" w:rsidRPr="00A341CC" w:rsidRDefault="004A3AA2" w:rsidP="004A3AA2">
            <w:pPr>
              <w:ind w:firstLine="10"/>
              <w:jc w:val="left"/>
              <w:rPr>
                <w:szCs w:val="24"/>
              </w:rPr>
            </w:pPr>
            <w:r w:rsidRPr="00A341CC">
              <w:rPr>
                <w:szCs w:val="24"/>
              </w:rPr>
              <w:t>По умолчанию установлено значение «Все»</w:t>
            </w:r>
          </w:p>
        </w:tc>
        <w:tc>
          <w:tcPr>
            <w:tcW w:w="4252" w:type="dxa"/>
          </w:tcPr>
          <w:p w:rsidR="004A3AA2" w:rsidRPr="00A341CC" w:rsidRDefault="004A3AA2" w:rsidP="004A3AA2">
            <w:pPr>
              <w:ind w:firstLine="0"/>
              <w:jc w:val="left"/>
              <w:rPr>
                <w:szCs w:val="24"/>
              </w:rPr>
            </w:pPr>
            <w:r w:rsidRPr="00A341CC">
              <w:rPr>
                <w:szCs w:val="24"/>
              </w:rPr>
              <w:t>ПУР АСС =&gt; График платежей =&gt; КБК</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4</w:t>
            </w:r>
          </w:p>
        </w:tc>
        <w:tc>
          <w:tcPr>
            <w:tcW w:w="1843" w:type="dxa"/>
          </w:tcPr>
          <w:p w:rsidR="004A3AA2" w:rsidRPr="00A341CC" w:rsidRDefault="004A3AA2" w:rsidP="004A3AA2">
            <w:pPr>
              <w:ind w:firstLine="0"/>
              <w:jc w:val="left"/>
              <w:rPr>
                <w:szCs w:val="24"/>
              </w:rPr>
            </w:pPr>
            <w:r w:rsidRPr="00A341CC">
              <w:rPr>
                <w:szCs w:val="24"/>
              </w:rPr>
              <w:t>КВР</w:t>
            </w:r>
          </w:p>
        </w:tc>
        <w:tc>
          <w:tcPr>
            <w:tcW w:w="3686" w:type="dxa"/>
          </w:tcPr>
          <w:p w:rsidR="004A3AA2" w:rsidRPr="00A341CC" w:rsidRDefault="004A3AA2" w:rsidP="004A3AA2">
            <w:pPr>
              <w:ind w:firstLine="10"/>
              <w:jc w:val="left"/>
              <w:rPr>
                <w:szCs w:val="24"/>
              </w:rPr>
            </w:pPr>
            <w:r w:rsidRPr="00A341CC">
              <w:rPr>
                <w:szCs w:val="24"/>
              </w:rPr>
              <w:t>Фильтрация по 18-20 символам КБК</w:t>
            </w:r>
          </w:p>
          <w:p w:rsidR="004A3AA2" w:rsidRPr="00A341CC" w:rsidRDefault="004A3AA2" w:rsidP="004A3AA2">
            <w:pPr>
              <w:ind w:firstLine="10"/>
              <w:jc w:val="left"/>
              <w:rPr>
                <w:szCs w:val="24"/>
              </w:rPr>
            </w:pPr>
            <w:r w:rsidRPr="00A341CC">
              <w:rPr>
                <w:szCs w:val="24"/>
              </w:rPr>
              <w:t>Иерархический фильтр с возможностью множественного выбора и контекстного поиска</w:t>
            </w:r>
          </w:p>
        </w:tc>
        <w:tc>
          <w:tcPr>
            <w:tcW w:w="4252" w:type="dxa"/>
          </w:tcPr>
          <w:p w:rsidR="004A3AA2" w:rsidRPr="00A341CC" w:rsidRDefault="004A3AA2" w:rsidP="004A3AA2">
            <w:pPr>
              <w:ind w:firstLine="0"/>
              <w:jc w:val="left"/>
              <w:rPr>
                <w:szCs w:val="24"/>
              </w:rPr>
            </w:pPr>
            <w:r w:rsidRPr="00A341CC">
              <w:rPr>
                <w:szCs w:val="24"/>
              </w:rPr>
              <w:t>ПУР АСС =&gt; График платежей =&gt; КБК</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5</w:t>
            </w:r>
          </w:p>
        </w:tc>
        <w:tc>
          <w:tcPr>
            <w:tcW w:w="1843" w:type="dxa"/>
          </w:tcPr>
          <w:p w:rsidR="004A3AA2" w:rsidRPr="00A341CC" w:rsidRDefault="004A3AA2" w:rsidP="004A3AA2">
            <w:pPr>
              <w:ind w:firstLine="0"/>
              <w:jc w:val="left"/>
              <w:rPr>
                <w:szCs w:val="24"/>
              </w:rPr>
            </w:pPr>
            <w:r w:rsidRPr="00A341CC">
              <w:rPr>
                <w:szCs w:val="24"/>
              </w:rPr>
              <w:t>Единицы измерения</w:t>
            </w:r>
          </w:p>
        </w:tc>
        <w:tc>
          <w:tcPr>
            <w:tcW w:w="3686" w:type="dxa"/>
          </w:tcPr>
          <w:p w:rsidR="004A3AA2" w:rsidRPr="00A341CC" w:rsidRDefault="004A3AA2" w:rsidP="004A3AA2">
            <w:pPr>
              <w:ind w:firstLine="10"/>
              <w:jc w:val="left"/>
              <w:rPr>
                <w:szCs w:val="24"/>
              </w:rPr>
            </w:pPr>
            <w:r w:rsidRPr="00A341CC">
              <w:rPr>
                <w:szCs w:val="24"/>
              </w:rPr>
              <w:t>Фильтр имеет значения: руб; тыс руб; млн руб; млрд руб.</w:t>
            </w:r>
          </w:p>
          <w:p w:rsidR="004A3AA2" w:rsidRPr="00A341CC" w:rsidRDefault="004A3AA2" w:rsidP="004A3AA2">
            <w:pPr>
              <w:ind w:firstLine="10"/>
              <w:jc w:val="left"/>
              <w:rPr>
                <w:szCs w:val="24"/>
              </w:rPr>
            </w:pPr>
            <w:r w:rsidRPr="00A341CC">
              <w:rPr>
                <w:szCs w:val="24"/>
              </w:rPr>
              <w:t>руб = ()</w:t>
            </w:r>
          </w:p>
          <w:p w:rsidR="004A3AA2" w:rsidRPr="00A341CC" w:rsidRDefault="004A3AA2" w:rsidP="004A3AA2">
            <w:pPr>
              <w:ind w:firstLine="10"/>
              <w:jc w:val="left"/>
              <w:rPr>
                <w:szCs w:val="24"/>
              </w:rPr>
            </w:pPr>
            <w:r w:rsidRPr="00A341CC">
              <w:rPr>
                <w:szCs w:val="24"/>
              </w:rPr>
              <w:t>тыс руб = ()/1000</w:t>
            </w:r>
          </w:p>
          <w:p w:rsidR="004A3AA2" w:rsidRPr="00A341CC" w:rsidRDefault="004A3AA2" w:rsidP="004A3AA2">
            <w:pPr>
              <w:ind w:firstLine="10"/>
              <w:jc w:val="left"/>
              <w:rPr>
                <w:szCs w:val="24"/>
              </w:rPr>
            </w:pPr>
            <w:r w:rsidRPr="00A341CC">
              <w:rPr>
                <w:szCs w:val="24"/>
              </w:rPr>
              <w:t>млн руб = ()/1000000</w:t>
            </w:r>
          </w:p>
          <w:p w:rsidR="004A3AA2" w:rsidRPr="00A341CC" w:rsidRDefault="004A3AA2" w:rsidP="004A3AA2">
            <w:pPr>
              <w:ind w:firstLine="10"/>
              <w:jc w:val="left"/>
              <w:rPr>
                <w:szCs w:val="24"/>
              </w:rPr>
            </w:pPr>
            <w:r w:rsidRPr="00A341CC">
              <w:rPr>
                <w:szCs w:val="24"/>
              </w:rPr>
              <w:t>млрд руб = ()/1000000000</w:t>
            </w:r>
          </w:p>
          <w:p w:rsidR="004A3AA2" w:rsidRPr="00A341CC" w:rsidRDefault="004A3AA2" w:rsidP="004A3AA2">
            <w:pPr>
              <w:ind w:firstLine="10"/>
              <w:jc w:val="left"/>
              <w:rPr>
                <w:szCs w:val="24"/>
              </w:rPr>
            </w:pPr>
            <w:r w:rsidRPr="00A341CC">
              <w:rPr>
                <w:szCs w:val="24"/>
              </w:rPr>
              <w:t>Фильтр работает по колонкам: Сумма соглашения (всего); Исполнено в прошлых периодах; Сумма соглашения на 2020 год; Сумма соглашения на 2021 год; Сумма соглашения на 2022 год; Сумма соглашения на будущие года; Исполнено всего; Исполнено в 2020 году.</w:t>
            </w:r>
          </w:p>
        </w:tc>
        <w:tc>
          <w:tcPr>
            <w:tcW w:w="4252" w:type="dxa"/>
          </w:tcPr>
          <w:p w:rsidR="004A3AA2" w:rsidRPr="00A341CC" w:rsidRDefault="004A3AA2" w:rsidP="004A3AA2">
            <w:pPr>
              <w:ind w:firstLine="0"/>
              <w:jc w:val="left"/>
              <w:rPr>
                <w:szCs w:val="24"/>
              </w:rPr>
            </w:pP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6</w:t>
            </w:r>
          </w:p>
        </w:tc>
        <w:tc>
          <w:tcPr>
            <w:tcW w:w="1843" w:type="dxa"/>
          </w:tcPr>
          <w:p w:rsidR="004A3AA2" w:rsidRPr="00A341CC" w:rsidRDefault="004A3AA2" w:rsidP="004A3AA2">
            <w:pPr>
              <w:ind w:firstLine="0"/>
              <w:jc w:val="left"/>
              <w:rPr>
                <w:szCs w:val="24"/>
              </w:rPr>
            </w:pPr>
            <w:r w:rsidRPr="00A341CC">
              <w:rPr>
                <w:szCs w:val="24"/>
              </w:rPr>
              <w:t>Национальный проект</w:t>
            </w:r>
          </w:p>
        </w:tc>
        <w:tc>
          <w:tcPr>
            <w:tcW w:w="3686" w:type="dxa"/>
          </w:tcPr>
          <w:p w:rsidR="004A3AA2" w:rsidRPr="00A341CC" w:rsidRDefault="004A3AA2" w:rsidP="004A3AA2">
            <w:pPr>
              <w:ind w:firstLine="10"/>
              <w:jc w:val="left"/>
              <w:rPr>
                <w:szCs w:val="24"/>
              </w:rPr>
            </w:pPr>
            <w:r w:rsidRPr="00A341CC">
              <w:rPr>
                <w:szCs w:val="24"/>
              </w:rPr>
              <w:t>Фильтрация по 11-12 символам КБК</w:t>
            </w:r>
          </w:p>
          <w:p w:rsidR="004A3AA2" w:rsidRPr="00A341CC" w:rsidRDefault="004A3AA2" w:rsidP="004A3AA2">
            <w:pPr>
              <w:ind w:firstLine="10"/>
              <w:jc w:val="left"/>
              <w:rPr>
                <w:szCs w:val="24"/>
              </w:rPr>
            </w:pPr>
            <w:r w:rsidRPr="00A341CC">
              <w:rPr>
                <w:szCs w:val="24"/>
              </w:rPr>
              <w:t>Иерархический фильтр с возможностью множественного выбора и контекстного поиска</w:t>
            </w:r>
          </w:p>
          <w:p w:rsidR="004A3AA2" w:rsidRPr="00A341CC" w:rsidRDefault="004A3AA2" w:rsidP="004A3AA2">
            <w:pPr>
              <w:ind w:firstLine="10"/>
              <w:jc w:val="left"/>
              <w:rPr>
                <w:szCs w:val="24"/>
              </w:rPr>
            </w:pPr>
            <w:r w:rsidRPr="00A341CC">
              <w:rPr>
                <w:szCs w:val="24"/>
              </w:rPr>
              <w:t>По умолчанию установлено значение «Все»</w:t>
            </w:r>
          </w:p>
        </w:tc>
        <w:tc>
          <w:tcPr>
            <w:tcW w:w="4252" w:type="dxa"/>
          </w:tcPr>
          <w:p w:rsidR="004A3AA2" w:rsidRPr="00A341CC" w:rsidRDefault="004A3AA2" w:rsidP="004A3AA2">
            <w:pPr>
              <w:ind w:firstLine="0"/>
              <w:jc w:val="left"/>
              <w:rPr>
                <w:szCs w:val="24"/>
              </w:rPr>
            </w:pPr>
            <w:r w:rsidRPr="00A341CC">
              <w:rPr>
                <w:szCs w:val="24"/>
              </w:rPr>
              <w:t>ПУР АСС =&gt; График платежей =&gt; КБК</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7</w:t>
            </w:r>
          </w:p>
        </w:tc>
        <w:tc>
          <w:tcPr>
            <w:tcW w:w="1843" w:type="dxa"/>
          </w:tcPr>
          <w:p w:rsidR="004A3AA2" w:rsidRPr="00A341CC" w:rsidRDefault="004A3AA2" w:rsidP="004A3AA2">
            <w:pPr>
              <w:ind w:firstLine="0"/>
              <w:jc w:val="left"/>
              <w:rPr>
                <w:szCs w:val="24"/>
              </w:rPr>
            </w:pPr>
            <w:r w:rsidRPr="00A341CC">
              <w:rPr>
                <w:szCs w:val="24"/>
              </w:rPr>
              <w:t>КЦСР федерального соглашения</w:t>
            </w:r>
          </w:p>
        </w:tc>
        <w:tc>
          <w:tcPr>
            <w:tcW w:w="3686" w:type="dxa"/>
          </w:tcPr>
          <w:p w:rsidR="004A3AA2" w:rsidRPr="00A341CC" w:rsidRDefault="004A3AA2" w:rsidP="004A3AA2">
            <w:pPr>
              <w:ind w:firstLine="10"/>
              <w:jc w:val="left"/>
              <w:rPr>
                <w:szCs w:val="24"/>
              </w:rPr>
            </w:pPr>
            <w:r w:rsidRPr="00A341CC">
              <w:rPr>
                <w:szCs w:val="24"/>
              </w:rPr>
              <w:t>Фильтрация по 8-17 символам КБК соглашения федерального уровня</w:t>
            </w:r>
          </w:p>
          <w:p w:rsidR="004A3AA2" w:rsidRPr="00A341CC" w:rsidRDefault="004A3AA2" w:rsidP="004A3AA2">
            <w:pPr>
              <w:ind w:firstLine="10"/>
              <w:jc w:val="left"/>
              <w:rPr>
                <w:szCs w:val="24"/>
              </w:rPr>
            </w:pPr>
            <w:r w:rsidRPr="00A341CC">
              <w:rPr>
                <w:szCs w:val="24"/>
              </w:rPr>
              <w:t>Реализована возможность множественного выбора и контекстного поиска</w:t>
            </w:r>
          </w:p>
          <w:p w:rsidR="004A3AA2" w:rsidRPr="00A341CC" w:rsidRDefault="004A3AA2" w:rsidP="004A3AA2">
            <w:pPr>
              <w:ind w:firstLine="10"/>
              <w:jc w:val="left"/>
              <w:rPr>
                <w:szCs w:val="24"/>
              </w:rPr>
            </w:pPr>
            <w:r w:rsidRPr="00A341CC">
              <w:rPr>
                <w:szCs w:val="24"/>
              </w:rPr>
              <w:t>По умолчанию установлено значение «Все»</w:t>
            </w:r>
          </w:p>
          <w:p w:rsidR="004A3AA2" w:rsidRPr="00A341CC" w:rsidRDefault="004A3AA2" w:rsidP="004A3AA2">
            <w:pPr>
              <w:ind w:firstLine="10"/>
              <w:jc w:val="left"/>
              <w:rPr>
                <w:szCs w:val="24"/>
              </w:rPr>
            </w:pPr>
            <w:r w:rsidRPr="00A341CC">
              <w:rPr>
                <w:szCs w:val="24"/>
              </w:rPr>
              <w:t>Реализована автоматическая передача выбранного значения данного фильтра между представлениями</w:t>
            </w:r>
          </w:p>
        </w:tc>
        <w:tc>
          <w:tcPr>
            <w:tcW w:w="4252" w:type="dxa"/>
          </w:tcPr>
          <w:p w:rsidR="004A3AA2" w:rsidRPr="00A341CC" w:rsidRDefault="004A3AA2" w:rsidP="004A3AA2">
            <w:pPr>
              <w:ind w:firstLine="0"/>
              <w:jc w:val="left"/>
              <w:rPr>
                <w:szCs w:val="24"/>
              </w:rPr>
            </w:pPr>
            <w:r w:rsidRPr="00A341CC">
              <w:rPr>
                <w:szCs w:val="24"/>
              </w:rPr>
              <w:t>ПУР АСС =&gt; График платежей =&gt; КБК</w:t>
            </w:r>
          </w:p>
        </w:tc>
      </w:tr>
      <w:tr w:rsidR="004A3AA2" w:rsidRPr="00A341CC" w:rsidTr="004A3AA2">
        <w:tc>
          <w:tcPr>
            <w:tcW w:w="567" w:type="dxa"/>
          </w:tcPr>
          <w:p w:rsidR="004A3AA2" w:rsidRPr="00A341CC" w:rsidRDefault="004A3AA2" w:rsidP="004A3AA2">
            <w:pPr>
              <w:ind w:firstLine="0"/>
              <w:jc w:val="left"/>
              <w:rPr>
                <w:szCs w:val="24"/>
              </w:rPr>
            </w:pPr>
            <w:r w:rsidRPr="00A341CC">
              <w:rPr>
                <w:szCs w:val="24"/>
              </w:rPr>
              <w:t>12</w:t>
            </w:r>
          </w:p>
        </w:tc>
        <w:tc>
          <w:tcPr>
            <w:tcW w:w="1843" w:type="dxa"/>
          </w:tcPr>
          <w:p w:rsidR="004A3AA2" w:rsidRPr="00A341CC" w:rsidRDefault="004A3AA2" w:rsidP="004A3AA2">
            <w:pPr>
              <w:ind w:firstLine="0"/>
              <w:jc w:val="left"/>
              <w:rPr>
                <w:szCs w:val="24"/>
              </w:rPr>
            </w:pPr>
            <w:r w:rsidRPr="00A341CC">
              <w:rPr>
                <w:szCs w:val="24"/>
              </w:rPr>
              <w:t>Поле ввода «Номер РЗ федерального соглашения»</w:t>
            </w:r>
          </w:p>
        </w:tc>
        <w:tc>
          <w:tcPr>
            <w:tcW w:w="3686" w:type="dxa"/>
          </w:tcPr>
          <w:p w:rsidR="004A3AA2" w:rsidRPr="00A341CC" w:rsidRDefault="004A3AA2" w:rsidP="004A3AA2">
            <w:pPr>
              <w:ind w:firstLine="10"/>
              <w:jc w:val="left"/>
              <w:rPr>
                <w:szCs w:val="24"/>
              </w:rPr>
            </w:pPr>
            <w:r w:rsidRPr="00A341CC">
              <w:rPr>
                <w:szCs w:val="24"/>
              </w:rPr>
              <w:t>Фильтрация по уникальному номеру реестровой записи родительского федерального соглашения</w:t>
            </w:r>
          </w:p>
          <w:p w:rsidR="004A3AA2" w:rsidRPr="00A341CC" w:rsidRDefault="004A3AA2" w:rsidP="004A3AA2">
            <w:pPr>
              <w:ind w:firstLine="10"/>
              <w:jc w:val="left"/>
              <w:rPr>
                <w:szCs w:val="24"/>
              </w:rPr>
            </w:pPr>
            <w:r w:rsidRPr="00A341CC">
              <w:rPr>
                <w:szCs w:val="24"/>
              </w:rPr>
              <w:t>Возможность ввода одного значения единовременно</w:t>
            </w:r>
          </w:p>
          <w:p w:rsidR="004A3AA2" w:rsidRPr="00A341CC" w:rsidRDefault="004A3AA2" w:rsidP="004A3AA2">
            <w:pPr>
              <w:ind w:firstLine="10"/>
              <w:jc w:val="left"/>
              <w:rPr>
                <w:szCs w:val="24"/>
              </w:rPr>
            </w:pPr>
            <w:r w:rsidRPr="00A341CC">
              <w:rPr>
                <w:szCs w:val="24"/>
              </w:rPr>
              <w:t>Реализована автоматическая передача выбранного значения данного фильтра между представлениями</w:t>
            </w:r>
          </w:p>
        </w:tc>
        <w:tc>
          <w:tcPr>
            <w:tcW w:w="4252" w:type="dxa"/>
          </w:tcPr>
          <w:p w:rsidR="004A3AA2" w:rsidRPr="00A341CC" w:rsidRDefault="004A3AA2" w:rsidP="004A3AA2">
            <w:pPr>
              <w:ind w:firstLine="0"/>
              <w:jc w:val="left"/>
              <w:rPr>
                <w:szCs w:val="24"/>
              </w:rPr>
            </w:pPr>
            <w:r w:rsidRPr="00A341CC">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bl>
    <w:p w:rsidR="004A3AA2" w:rsidRPr="004A3AA2" w:rsidRDefault="004A3AA2" w:rsidP="004A3AA2">
      <w:pPr>
        <w:pStyle w:val="-0"/>
      </w:pPr>
    </w:p>
    <w:p w:rsidR="00C13CA5" w:rsidRDefault="004A3AA2" w:rsidP="00321FCA">
      <w:pPr>
        <w:pStyle w:val="afffff7"/>
      </w:pPr>
      <w:r w:rsidRPr="004A3AA2">
        <w:t>Представление «Бюджеты субъектов РФ» - «По соглашениям».</w:t>
      </w:r>
      <w:r w:rsidR="00C13CA5">
        <w:rPr>
          <w:noProof/>
          <w:lang w:eastAsia="ru-RU"/>
        </w:rPr>
        <w:drawing>
          <wp:inline distT="0" distB="0" distL="0" distR="0" wp14:anchorId="45006176" wp14:editId="3AA7B646">
            <wp:extent cx="5939790" cy="2997388"/>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315" cstate="print">
                      <a:extLst>
                        <a:ext uri="{28A0092B-C50C-407E-A947-70E740481C1C}">
                          <a14:useLocalDpi xmlns:a14="http://schemas.microsoft.com/office/drawing/2010/main" val="0"/>
                        </a:ext>
                      </a:extLst>
                    </a:blip>
                    <a:stretch>
                      <a:fillRect/>
                    </a:stretch>
                  </pic:blipFill>
                  <pic:spPr>
                    <a:xfrm>
                      <a:off x="0" y="0"/>
                      <a:ext cx="5939790" cy="2997388"/>
                    </a:xfrm>
                    <a:prstGeom prst="rect">
                      <a:avLst/>
                    </a:prstGeom>
                  </pic:spPr>
                </pic:pic>
              </a:graphicData>
            </a:graphic>
          </wp:inline>
        </w:drawing>
      </w:r>
    </w:p>
    <w:p w:rsidR="00C13CA5" w:rsidRDefault="00C13CA5" w:rsidP="00C13CA5">
      <w:pPr>
        <w:pStyle w:val="-0"/>
      </w:pPr>
      <w:bookmarkStart w:id="898" w:name="_Toc119584423"/>
      <w:r>
        <w:t xml:space="preserve">Рисунок </w:t>
      </w:r>
      <w:fldSimple w:instr=" SEQ Рисунок \* ARABIC ">
        <w:r w:rsidR="001860A9">
          <w:rPr>
            <w:noProof/>
          </w:rPr>
          <w:t>236</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ы субъектов РФ</w:t>
      </w:r>
      <w:r w:rsidRPr="00D84966">
        <w:t>»</w:t>
      </w:r>
      <w:r>
        <w:t xml:space="preserve"> -</w:t>
      </w:r>
      <w:r w:rsidRPr="00D84966">
        <w:t xml:space="preserve"> «По</w:t>
      </w:r>
      <w:r>
        <w:t xml:space="preserve"> соглашениям</w:t>
      </w:r>
      <w:r w:rsidRPr="00D84966">
        <w:t>»</w:t>
      </w:r>
      <w:bookmarkEnd w:id="898"/>
    </w:p>
    <w:p w:rsidR="00C13CA5" w:rsidRPr="002206F5" w:rsidRDefault="00C13CA5" w:rsidP="00C13CA5">
      <w:pPr>
        <w:ind w:firstLine="709"/>
        <w:rPr>
          <w:sz w:val="28"/>
          <w:szCs w:val="28"/>
        </w:rPr>
      </w:pPr>
      <w:r w:rsidRPr="002206F5">
        <w:rPr>
          <w:sz w:val="28"/>
          <w:szCs w:val="28"/>
        </w:rPr>
        <w:t>Область таблицы: в таблице могут быть представлены соглашения с разбивкой по признаку национального и федерального проектов, однако на строке «Итого» отображаются общие значения только по уникальным реестровым записям. Также в таблице представлена итоговая строка с суммовыми значениями по всем уникальным соглашениям в рамках конкретной колонки.</w:t>
      </w:r>
    </w:p>
    <w:tbl>
      <w:tblPr>
        <w:tblStyle w:val="affe"/>
        <w:tblW w:w="10348" w:type="dxa"/>
        <w:tblInd w:w="108" w:type="dxa"/>
        <w:tblLayout w:type="fixed"/>
        <w:tblLook w:val="04A0" w:firstRow="1" w:lastRow="0" w:firstColumn="1" w:lastColumn="0" w:noHBand="0" w:noVBand="1"/>
      </w:tblPr>
      <w:tblGrid>
        <w:gridCol w:w="567"/>
        <w:gridCol w:w="1276"/>
        <w:gridCol w:w="992"/>
        <w:gridCol w:w="3402"/>
        <w:gridCol w:w="4111"/>
      </w:tblGrid>
      <w:tr w:rsidR="00C13CA5" w:rsidRPr="002206F5" w:rsidTr="005C0BB5">
        <w:trPr>
          <w:tblHeader/>
        </w:trPr>
        <w:tc>
          <w:tcPr>
            <w:tcW w:w="567"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 колонки</w:t>
            </w:r>
          </w:p>
        </w:tc>
        <w:tc>
          <w:tcPr>
            <w:tcW w:w="1276"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Наименование</w:t>
            </w:r>
          </w:p>
        </w:tc>
        <w:tc>
          <w:tcPr>
            <w:tcW w:w="992" w:type="dxa"/>
            <w:shd w:val="clear" w:color="auto" w:fill="F2F2F2" w:themeFill="background1" w:themeFillShade="F2"/>
            <w:vAlign w:val="center"/>
          </w:tcPr>
          <w:p w:rsidR="00C13CA5" w:rsidRPr="002206F5" w:rsidRDefault="00C13CA5" w:rsidP="00C13CA5">
            <w:pPr>
              <w:ind w:left="34" w:firstLine="0"/>
              <w:jc w:val="center"/>
              <w:rPr>
                <w:b/>
                <w:szCs w:val="24"/>
              </w:rPr>
            </w:pPr>
            <w:r w:rsidRPr="002206F5">
              <w:rPr>
                <w:b/>
                <w:szCs w:val="24"/>
              </w:rPr>
              <w:t>Колонка по умолчанию</w:t>
            </w:r>
          </w:p>
        </w:tc>
        <w:tc>
          <w:tcPr>
            <w:tcW w:w="3402" w:type="dxa"/>
            <w:shd w:val="clear" w:color="auto" w:fill="F2F2F2" w:themeFill="background1" w:themeFillShade="F2"/>
            <w:vAlign w:val="center"/>
          </w:tcPr>
          <w:p w:rsidR="00C13CA5" w:rsidRPr="002206F5" w:rsidRDefault="00C13CA5" w:rsidP="00C13CA5">
            <w:pPr>
              <w:ind w:left="34" w:firstLine="0"/>
              <w:jc w:val="center"/>
              <w:rPr>
                <w:b/>
                <w:szCs w:val="24"/>
              </w:rPr>
            </w:pPr>
            <w:r w:rsidRPr="002206F5">
              <w:rPr>
                <w:b/>
                <w:szCs w:val="24"/>
              </w:rPr>
              <w:t>Алгоритмы и переходы</w:t>
            </w:r>
          </w:p>
        </w:tc>
        <w:tc>
          <w:tcPr>
            <w:tcW w:w="4111" w:type="dxa"/>
            <w:shd w:val="clear" w:color="auto" w:fill="F2F2F2" w:themeFill="background1" w:themeFillShade="F2"/>
            <w:vAlign w:val="center"/>
          </w:tcPr>
          <w:p w:rsidR="00C13CA5" w:rsidRPr="002206F5" w:rsidRDefault="00C13CA5" w:rsidP="00C13CA5">
            <w:pPr>
              <w:ind w:left="34" w:firstLine="0"/>
              <w:jc w:val="center"/>
              <w:rPr>
                <w:b/>
                <w:szCs w:val="24"/>
              </w:rPr>
            </w:pPr>
            <w:r w:rsidRPr="002206F5">
              <w:rPr>
                <w:b/>
                <w:szCs w:val="24"/>
              </w:rPr>
              <w:t>Источник данных</w:t>
            </w:r>
          </w:p>
        </w:tc>
      </w:tr>
      <w:tr w:rsidR="00C13CA5" w:rsidRPr="002206F5" w:rsidTr="005C0BB5">
        <w:tc>
          <w:tcPr>
            <w:tcW w:w="10348" w:type="dxa"/>
            <w:gridSpan w:val="5"/>
            <w:shd w:val="clear" w:color="auto" w:fill="D9D9D9" w:themeFill="background1" w:themeFillShade="D9"/>
          </w:tcPr>
          <w:p w:rsidR="00C13CA5" w:rsidRPr="002206F5" w:rsidRDefault="00C13CA5" w:rsidP="00C13CA5">
            <w:pPr>
              <w:ind w:left="34" w:firstLine="0"/>
              <w:jc w:val="center"/>
              <w:rPr>
                <w:szCs w:val="24"/>
              </w:rPr>
            </w:pPr>
            <w:r w:rsidRPr="002206F5">
              <w:rPr>
                <w:szCs w:val="24"/>
              </w:rPr>
              <w:t>Блок реквизитов соглашения</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w:t>
            </w:r>
          </w:p>
        </w:tc>
        <w:tc>
          <w:tcPr>
            <w:tcW w:w="1276" w:type="dxa"/>
          </w:tcPr>
          <w:p w:rsidR="00C13CA5" w:rsidRPr="002206F5" w:rsidRDefault="00C13CA5" w:rsidP="00C13CA5">
            <w:pPr>
              <w:ind w:firstLine="0"/>
              <w:jc w:val="left"/>
              <w:rPr>
                <w:szCs w:val="24"/>
              </w:rPr>
            </w:pPr>
            <w:r w:rsidRPr="002206F5">
              <w:rPr>
                <w:szCs w:val="24"/>
              </w:rPr>
              <w:t>Уникальный номер реестровой записи</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r w:rsidRPr="002206F5">
              <w:rPr>
                <w:szCs w:val="24"/>
              </w:rPr>
              <w:t>Реализованы переходы:</w:t>
            </w:r>
          </w:p>
          <w:p w:rsidR="00C13CA5" w:rsidRPr="002206F5" w:rsidRDefault="00C13CA5" w:rsidP="00C13CA5">
            <w:pPr>
              <w:ind w:left="34" w:firstLine="0"/>
              <w:jc w:val="left"/>
              <w:rPr>
                <w:szCs w:val="24"/>
              </w:rPr>
            </w:pPr>
            <w:r w:rsidRPr="002206F5">
              <w:rPr>
                <w:szCs w:val="24"/>
              </w:rPr>
              <w:t>- «Показать в ПУР»</w:t>
            </w:r>
          </w:p>
          <w:p w:rsidR="00C13CA5" w:rsidRPr="002206F5" w:rsidRDefault="00C13CA5" w:rsidP="00C13CA5">
            <w:pPr>
              <w:ind w:left="34" w:firstLine="0"/>
              <w:jc w:val="left"/>
              <w:rPr>
                <w:szCs w:val="24"/>
              </w:rPr>
            </w:pPr>
            <w:r w:rsidRPr="002206F5">
              <w:rPr>
                <w:szCs w:val="24"/>
              </w:rPr>
              <w:t>- «Реестр соглашений (ЕПБС)» (Вкладка «Общие сведения»)</w:t>
            </w:r>
          </w:p>
          <w:p w:rsidR="00C13CA5" w:rsidRPr="002206F5" w:rsidRDefault="00C13CA5" w:rsidP="00C13CA5">
            <w:pPr>
              <w:ind w:left="34" w:firstLine="0"/>
              <w:jc w:val="left"/>
              <w:rPr>
                <w:szCs w:val="24"/>
              </w:rPr>
            </w:pPr>
            <w:r w:rsidRPr="002206F5">
              <w:rPr>
                <w:szCs w:val="24"/>
              </w:rPr>
              <w:t>- «По значениям результатов (Бюджеты субъектов РФ»</w:t>
            </w:r>
          </w:p>
        </w:tc>
        <w:tc>
          <w:tcPr>
            <w:tcW w:w="4111" w:type="dxa"/>
          </w:tcPr>
          <w:p w:rsidR="00C13CA5" w:rsidRPr="002206F5" w:rsidRDefault="00C13CA5" w:rsidP="00C13CA5">
            <w:pPr>
              <w:ind w:left="34" w:firstLine="0"/>
              <w:jc w:val="left"/>
              <w:rPr>
                <w:szCs w:val="24"/>
              </w:rPr>
            </w:pPr>
            <w:r w:rsidRPr="002206F5">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C13CA5" w:rsidRPr="002206F5" w:rsidTr="005C0BB5">
        <w:tc>
          <w:tcPr>
            <w:tcW w:w="567" w:type="dxa"/>
          </w:tcPr>
          <w:p w:rsidR="00C13CA5" w:rsidRPr="002206F5" w:rsidRDefault="00C13CA5" w:rsidP="00C13CA5">
            <w:pPr>
              <w:ind w:firstLine="0"/>
              <w:jc w:val="left"/>
              <w:rPr>
                <w:szCs w:val="24"/>
                <w:lang w:val="en-US"/>
              </w:rPr>
            </w:pPr>
            <w:r w:rsidRPr="002206F5">
              <w:rPr>
                <w:szCs w:val="24"/>
                <w:lang w:val="en-US"/>
              </w:rPr>
              <w:t>2</w:t>
            </w:r>
          </w:p>
        </w:tc>
        <w:tc>
          <w:tcPr>
            <w:tcW w:w="1276" w:type="dxa"/>
          </w:tcPr>
          <w:p w:rsidR="00C13CA5" w:rsidRPr="002206F5" w:rsidRDefault="00C13CA5" w:rsidP="00C13CA5">
            <w:pPr>
              <w:ind w:firstLine="0"/>
              <w:jc w:val="left"/>
              <w:rPr>
                <w:szCs w:val="24"/>
              </w:rPr>
            </w:pPr>
            <w:r w:rsidRPr="002206F5">
              <w:rPr>
                <w:szCs w:val="24"/>
              </w:rPr>
              <w:t>Уникальный номер реестровой записи соглашения федерального уровня</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r w:rsidRPr="002206F5">
              <w:rPr>
                <w:szCs w:val="24"/>
              </w:rPr>
              <w:t>Реализованы переходы:</w:t>
            </w:r>
          </w:p>
          <w:p w:rsidR="00C13CA5" w:rsidRPr="002206F5" w:rsidRDefault="00C13CA5" w:rsidP="00C13CA5">
            <w:pPr>
              <w:ind w:left="34" w:firstLine="0"/>
              <w:jc w:val="left"/>
              <w:rPr>
                <w:szCs w:val="24"/>
              </w:rPr>
            </w:pPr>
            <w:r w:rsidRPr="002206F5">
              <w:rPr>
                <w:szCs w:val="24"/>
              </w:rPr>
              <w:t>- «Показать в ПУР»;</w:t>
            </w:r>
          </w:p>
          <w:p w:rsidR="00C13CA5" w:rsidRPr="002206F5" w:rsidRDefault="00C13CA5" w:rsidP="00C13CA5">
            <w:pPr>
              <w:ind w:left="34" w:firstLine="0"/>
              <w:jc w:val="left"/>
              <w:rPr>
                <w:szCs w:val="24"/>
              </w:rPr>
            </w:pPr>
            <w:r w:rsidRPr="002206F5">
              <w:rPr>
                <w:szCs w:val="24"/>
              </w:rPr>
              <w:t>- «По соглашениям (Федеральный бюджет)» с автоматической преднастройкой поля ввода «Номер соглашения, РЗ» выбранным реестровым номером</w:t>
            </w:r>
          </w:p>
        </w:tc>
        <w:tc>
          <w:tcPr>
            <w:tcW w:w="4111" w:type="dxa"/>
          </w:tcPr>
          <w:p w:rsidR="00C13CA5" w:rsidRPr="002206F5" w:rsidRDefault="00C13CA5" w:rsidP="00C13CA5">
            <w:pPr>
              <w:ind w:left="34" w:firstLine="0"/>
              <w:jc w:val="left"/>
              <w:rPr>
                <w:szCs w:val="24"/>
              </w:rPr>
            </w:pPr>
            <w:r w:rsidRPr="002206F5">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w:t>
            </w:r>
          </w:p>
        </w:tc>
        <w:tc>
          <w:tcPr>
            <w:tcW w:w="1276" w:type="dxa"/>
          </w:tcPr>
          <w:p w:rsidR="00C13CA5" w:rsidRPr="002206F5" w:rsidRDefault="00C13CA5" w:rsidP="00C13CA5">
            <w:pPr>
              <w:ind w:firstLine="0"/>
              <w:jc w:val="left"/>
              <w:rPr>
                <w:szCs w:val="24"/>
              </w:rPr>
            </w:pPr>
            <w:r w:rsidRPr="002206F5">
              <w:rPr>
                <w:szCs w:val="24"/>
              </w:rPr>
              <w:t>Количество дочерних соглашений,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7"/>
              </w:numPr>
              <w:ind w:left="34" w:firstLine="0"/>
              <w:contextualSpacing/>
              <w:jc w:val="left"/>
              <w:rPr>
                <w:sz w:val="24"/>
                <w:szCs w:val="24"/>
              </w:rPr>
            </w:pPr>
            <w:r w:rsidRPr="002206F5">
              <w:rPr>
                <w:sz w:val="24"/>
                <w:szCs w:val="24"/>
              </w:rPr>
              <w:t>Подсчет количества соглашений уровней бюджетов 03, 04, 05, 10, 11, 12, 13, 15, имеющих одинаковое значение первых 14 знаков УНРЗ с соглашением уровня бюджетов субъектов РФ. Также учитывается значение выбранного года в фильтре «Год».</w:t>
            </w:r>
          </w:p>
          <w:p w:rsidR="00C13CA5" w:rsidRPr="002206F5" w:rsidRDefault="00C13CA5" w:rsidP="005C6E50">
            <w:pPr>
              <w:pStyle w:val="afff6"/>
              <w:numPr>
                <w:ilvl w:val="0"/>
                <w:numId w:val="97"/>
              </w:numPr>
              <w:ind w:left="34" w:firstLine="0"/>
              <w:contextualSpacing/>
              <w:jc w:val="left"/>
              <w:rPr>
                <w:sz w:val="24"/>
                <w:szCs w:val="24"/>
              </w:rPr>
            </w:pPr>
            <w:r w:rsidRPr="002206F5">
              <w:rPr>
                <w:sz w:val="24"/>
                <w:szCs w:val="24"/>
              </w:rPr>
              <w:t>Реализован переход в представления «По муниципальным образованиям (Бюджеты муниципальных образований)» и «По соглашениям (Бюджеты муниципальных образований)»</w:t>
            </w:r>
          </w:p>
        </w:tc>
        <w:tc>
          <w:tcPr>
            <w:tcW w:w="4111" w:type="dxa"/>
            <w:shd w:val="clear" w:color="auto" w:fill="auto"/>
          </w:tcPr>
          <w:p w:rsidR="00C13CA5" w:rsidRPr="002206F5" w:rsidRDefault="00C13CA5" w:rsidP="00C13CA5">
            <w:pPr>
              <w:ind w:left="34" w:firstLine="0"/>
              <w:jc w:val="left"/>
              <w:rPr>
                <w:szCs w:val="24"/>
              </w:rPr>
            </w:pPr>
            <w:r w:rsidRPr="002206F5">
              <w:rPr>
                <w:szCs w:val="24"/>
              </w:rPr>
              <w:t>ПУР АСС =&gt; Реквизиты соглашения (договора), НПА =&gt; Уникальный номер реестровой записи (без учета номера версии, т.е. последних 3-х символов)</w:t>
            </w:r>
          </w:p>
          <w:p w:rsidR="00C13CA5" w:rsidRPr="002206F5" w:rsidRDefault="00C13CA5" w:rsidP="00C13CA5">
            <w:pPr>
              <w:ind w:left="34" w:firstLine="0"/>
              <w:jc w:val="left"/>
              <w:rPr>
                <w:szCs w:val="24"/>
              </w:rPr>
            </w:pPr>
            <w:r w:rsidRPr="002206F5">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уровня бюджета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w:t>
            </w:r>
          </w:p>
        </w:tc>
        <w:tc>
          <w:tcPr>
            <w:tcW w:w="1276" w:type="dxa"/>
          </w:tcPr>
          <w:p w:rsidR="00C13CA5" w:rsidRPr="002206F5" w:rsidRDefault="00C13CA5" w:rsidP="00C13CA5">
            <w:pPr>
              <w:ind w:firstLine="0"/>
              <w:jc w:val="left"/>
              <w:rPr>
                <w:szCs w:val="24"/>
              </w:rPr>
            </w:pPr>
            <w:r w:rsidRPr="002206F5">
              <w:rPr>
                <w:szCs w:val="24"/>
              </w:rPr>
              <w:t>Номер соглашения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соглашения (договора), НПА =&gt; Номер соглашения (договора)/нормативного правового акта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5</w:t>
            </w:r>
          </w:p>
        </w:tc>
        <w:tc>
          <w:tcPr>
            <w:tcW w:w="1276" w:type="dxa"/>
          </w:tcPr>
          <w:p w:rsidR="00C13CA5" w:rsidRPr="002206F5" w:rsidRDefault="00C13CA5" w:rsidP="00C13CA5">
            <w:pPr>
              <w:ind w:firstLine="0"/>
              <w:jc w:val="left"/>
              <w:rPr>
                <w:szCs w:val="24"/>
              </w:rPr>
            </w:pPr>
            <w:r w:rsidRPr="002206F5">
              <w:rPr>
                <w:szCs w:val="24"/>
              </w:rPr>
              <w:t>Дата заключения соглашения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соглашения (договора), НПА =&gt; Дата заключения соглашения (договора), дата принятия нормативного правового акта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6</w:t>
            </w:r>
          </w:p>
        </w:tc>
        <w:tc>
          <w:tcPr>
            <w:tcW w:w="1276" w:type="dxa"/>
          </w:tcPr>
          <w:p w:rsidR="00C13CA5" w:rsidRPr="002206F5" w:rsidRDefault="00C13CA5" w:rsidP="00C13CA5">
            <w:pPr>
              <w:ind w:firstLine="0"/>
              <w:jc w:val="left"/>
              <w:rPr>
                <w:szCs w:val="24"/>
              </w:rPr>
            </w:pPr>
            <w:r w:rsidRPr="002206F5">
              <w:rPr>
                <w:szCs w:val="24"/>
              </w:rPr>
              <w:t>Дата вступления в силу соглашения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соглашения (договора), НПА =&gt; Дата вступления в силу соглашения (договора), дата регистрации нормативного правового акта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7</w:t>
            </w:r>
          </w:p>
        </w:tc>
        <w:tc>
          <w:tcPr>
            <w:tcW w:w="1276" w:type="dxa"/>
          </w:tcPr>
          <w:p w:rsidR="00C13CA5" w:rsidRPr="002206F5" w:rsidRDefault="00C13CA5" w:rsidP="00C13CA5">
            <w:pPr>
              <w:ind w:firstLine="0"/>
              <w:jc w:val="left"/>
              <w:rPr>
                <w:szCs w:val="24"/>
              </w:rPr>
            </w:pPr>
            <w:r w:rsidRPr="002206F5">
              <w:rPr>
                <w:szCs w:val="24"/>
              </w:rPr>
              <w:t>Дата окончания действия соглашения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соглашения (договора), НПА =&gt; Дата окончания срока действия соглашения (договора)/нормативного правового акта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8</w:t>
            </w:r>
          </w:p>
        </w:tc>
        <w:tc>
          <w:tcPr>
            <w:tcW w:w="1276" w:type="dxa"/>
          </w:tcPr>
          <w:p w:rsidR="00C13CA5" w:rsidRPr="002206F5" w:rsidRDefault="00C13CA5" w:rsidP="00C13CA5">
            <w:pPr>
              <w:ind w:firstLine="0"/>
              <w:jc w:val="left"/>
              <w:rPr>
                <w:szCs w:val="24"/>
              </w:rPr>
            </w:pPr>
            <w:r w:rsidRPr="002206F5">
              <w:rPr>
                <w:szCs w:val="24"/>
              </w:rPr>
              <w:t>Сумма соглашения (всего), ‘динамическое значение единиц измерения, зависящее от значения в фильтре «Единицы измерения»’ – сумма по графику соглашения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shd w:val="clear" w:color="auto" w:fill="auto"/>
          </w:tcPr>
          <w:p w:rsidR="00C13CA5" w:rsidRPr="002206F5" w:rsidRDefault="00C13CA5" w:rsidP="00C13CA5">
            <w:pPr>
              <w:ind w:left="34" w:firstLine="0"/>
              <w:jc w:val="left"/>
              <w:rPr>
                <w:szCs w:val="24"/>
              </w:rPr>
            </w:pPr>
            <w:r w:rsidRPr="002206F5">
              <w:rPr>
                <w:szCs w:val="24"/>
              </w:rPr>
              <w:t>ПУР АСС =&gt; Реквизиты соглашения (договора), НПА =&gt; Размер средств в рублевом эквиваленте</w:t>
            </w:r>
          </w:p>
        </w:tc>
      </w:tr>
      <w:tr w:rsidR="00C13CA5" w:rsidRPr="002206F5" w:rsidTr="005C0BB5">
        <w:tc>
          <w:tcPr>
            <w:tcW w:w="10348" w:type="dxa"/>
            <w:gridSpan w:val="5"/>
            <w:shd w:val="clear" w:color="auto" w:fill="D9D9D9" w:themeFill="background1" w:themeFillShade="D9"/>
          </w:tcPr>
          <w:p w:rsidR="00C13CA5" w:rsidRPr="002206F5" w:rsidRDefault="00C13CA5" w:rsidP="00C13CA5">
            <w:pPr>
              <w:ind w:left="34" w:firstLine="0"/>
              <w:jc w:val="center"/>
              <w:rPr>
                <w:szCs w:val="24"/>
              </w:rPr>
            </w:pPr>
            <w:r w:rsidRPr="002206F5">
              <w:rPr>
                <w:szCs w:val="24"/>
              </w:rPr>
              <w:t>Блок по суммам соглашения по графику соглашения и по кассовому исполнению по ИПС</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9</w:t>
            </w:r>
          </w:p>
        </w:tc>
        <w:tc>
          <w:tcPr>
            <w:tcW w:w="1276" w:type="dxa"/>
          </w:tcPr>
          <w:p w:rsidR="00C13CA5" w:rsidRPr="002206F5" w:rsidRDefault="00C13CA5" w:rsidP="00C13CA5">
            <w:pPr>
              <w:ind w:firstLine="0"/>
              <w:jc w:val="left"/>
              <w:rPr>
                <w:szCs w:val="24"/>
              </w:rPr>
            </w:pPr>
            <w:r w:rsidRPr="002206F5">
              <w:rPr>
                <w:szCs w:val="24"/>
              </w:rPr>
              <w:t>Исполнено в прошлых периодах,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Сумма по ИПС на годы, предшествующие значению в фильтре «Год»</w:t>
            </w:r>
          </w:p>
        </w:tc>
        <w:tc>
          <w:tcPr>
            <w:tcW w:w="4111" w:type="dxa"/>
            <w:shd w:val="clear" w:color="auto" w:fill="auto"/>
          </w:tcPr>
          <w:p w:rsidR="00C13CA5" w:rsidRPr="002206F5" w:rsidRDefault="00C13CA5" w:rsidP="005C6E50">
            <w:pPr>
              <w:pStyle w:val="afff6"/>
              <w:numPr>
                <w:ilvl w:val="0"/>
                <w:numId w:val="98"/>
              </w:numPr>
              <w:ind w:left="34" w:firstLine="0"/>
              <w:contextualSpacing/>
              <w:jc w:val="left"/>
              <w:rPr>
                <w:sz w:val="24"/>
                <w:szCs w:val="24"/>
              </w:rPr>
            </w:pPr>
            <w:r w:rsidRPr="002206F5">
              <w:rPr>
                <w:sz w:val="24"/>
                <w:szCs w:val="24"/>
              </w:rPr>
              <w:t>ПУР АСС =&gt; Перечень ИПС =&gt;</w:t>
            </w:r>
          </w:p>
          <w:p w:rsidR="00C13CA5" w:rsidRPr="002206F5" w:rsidRDefault="00C13CA5" w:rsidP="00C13CA5">
            <w:pPr>
              <w:pStyle w:val="afff6"/>
              <w:ind w:left="34" w:firstLine="0"/>
              <w:jc w:val="left"/>
              <w:rPr>
                <w:sz w:val="24"/>
                <w:szCs w:val="24"/>
              </w:rPr>
            </w:pPr>
            <w:r w:rsidRPr="002206F5">
              <w:rPr>
                <w:sz w:val="24"/>
                <w:szCs w:val="24"/>
              </w:rPr>
              <w:t>- Дата платежного документа</w:t>
            </w:r>
          </w:p>
          <w:p w:rsidR="00C13CA5" w:rsidRPr="002206F5" w:rsidRDefault="00C13CA5" w:rsidP="00C13CA5">
            <w:pPr>
              <w:pStyle w:val="afff6"/>
              <w:ind w:left="34" w:firstLine="0"/>
              <w:jc w:val="left"/>
              <w:rPr>
                <w:sz w:val="24"/>
                <w:szCs w:val="24"/>
              </w:rPr>
            </w:pPr>
            <w:r w:rsidRPr="002206F5">
              <w:rPr>
                <w:sz w:val="24"/>
                <w:szCs w:val="24"/>
              </w:rPr>
              <w:t>- Сумма в рублях</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10</w:t>
            </w:r>
          </w:p>
        </w:tc>
        <w:tc>
          <w:tcPr>
            <w:tcW w:w="1276" w:type="dxa"/>
          </w:tcPr>
          <w:p w:rsidR="00C13CA5" w:rsidRPr="002206F5" w:rsidRDefault="00C13CA5" w:rsidP="00C13CA5">
            <w:pPr>
              <w:ind w:firstLine="0"/>
              <w:jc w:val="left"/>
              <w:rPr>
                <w:szCs w:val="24"/>
              </w:rPr>
            </w:pPr>
            <w:r w:rsidRPr="002206F5">
              <w:rPr>
                <w:szCs w:val="24"/>
              </w:rPr>
              <w:t>Сумма соглашения на ‘выбранное значение в фильтре «Год»’ год,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r w:rsidRPr="002206F5">
              <w:rPr>
                <w:szCs w:val="24"/>
              </w:rPr>
              <w:t>Сумма соглашения по графику соглашения на выбранное значение года в фильтре «Год»</w:t>
            </w:r>
          </w:p>
        </w:tc>
        <w:tc>
          <w:tcPr>
            <w:tcW w:w="4111" w:type="dxa"/>
            <w:shd w:val="clear" w:color="auto" w:fill="auto"/>
          </w:tcPr>
          <w:p w:rsidR="00C13CA5" w:rsidRPr="002206F5" w:rsidRDefault="00C13CA5" w:rsidP="005C6E50">
            <w:pPr>
              <w:pStyle w:val="afff6"/>
              <w:numPr>
                <w:ilvl w:val="0"/>
                <w:numId w:val="99"/>
              </w:numPr>
              <w:ind w:left="34" w:firstLine="0"/>
              <w:contextualSpacing/>
              <w:jc w:val="left"/>
              <w:rPr>
                <w:sz w:val="24"/>
                <w:szCs w:val="24"/>
              </w:rPr>
            </w:pPr>
            <w:r w:rsidRPr="002206F5">
              <w:rPr>
                <w:sz w:val="24"/>
                <w:szCs w:val="24"/>
              </w:rPr>
              <w:t xml:space="preserve">ПУР АСС =&gt; График платежей =&gt; </w:t>
            </w:r>
          </w:p>
          <w:p w:rsidR="00C13CA5" w:rsidRPr="002206F5" w:rsidRDefault="00C13CA5" w:rsidP="00C13CA5">
            <w:pPr>
              <w:pStyle w:val="afff6"/>
              <w:ind w:left="34" w:firstLine="0"/>
              <w:jc w:val="left"/>
              <w:rPr>
                <w:sz w:val="24"/>
                <w:szCs w:val="24"/>
              </w:rPr>
            </w:pPr>
            <w:r w:rsidRPr="002206F5">
              <w:rPr>
                <w:sz w:val="24"/>
                <w:szCs w:val="24"/>
              </w:rPr>
              <w:t>- Сумма в рублях</w:t>
            </w:r>
          </w:p>
          <w:p w:rsidR="00C13CA5" w:rsidRPr="002206F5" w:rsidRDefault="00C13CA5" w:rsidP="00C13CA5">
            <w:pPr>
              <w:pStyle w:val="afff6"/>
              <w:ind w:left="34" w:firstLine="0"/>
              <w:jc w:val="left"/>
              <w:rPr>
                <w:sz w:val="24"/>
                <w:szCs w:val="24"/>
              </w:rPr>
            </w:pPr>
            <w:r w:rsidRPr="002206F5">
              <w:rPr>
                <w:sz w:val="24"/>
                <w:szCs w:val="24"/>
              </w:rPr>
              <w:t>- Год осуществления платежа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11</w:t>
            </w:r>
          </w:p>
        </w:tc>
        <w:tc>
          <w:tcPr>
            <w:tcW w:w="1276" w:type="dxa"/>
          </w:tcPr>
          <w:p w:rsidR="00C13CA5" w:rsidRPr="002206F5" w:rsidRDefault="00C13CA5" w:rsidP="00C13CA5">
            <w:pPr>
              <w:ind w:firstLine="0"/>
              <w:jc w:val="left"/>
              <w:rPr>
                <w:szCs w:val="24"/>
              </w:rPr>
            </w:pPr>
            <w:r w:rsidRPr="002206F5">
              <w:rPr>
                <w:szCs w:val="24"/>
              </w:rPr>
              <w:t>Сумма соглашения на ‘выбранное значение в фильтре «Год» +1’ год,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Сумма соглашения по графику соглашения на выбранное значение года в фильтре «Год»+1</w:t>
            </w:r>
          </w:p>
        </w:tc>
        <w:tc>
          <w:tcPr>
            <w:tcW w:w="4111" w:type="dxa"/>
            <w:shd w:val="clear" w:color="auto" w:fill="auto"/>
          </w:tcPr>
          <w:p w:rsidR="00C13CA5" w:rsidRPr="002206F5" w:rsidRDefault="00C13CA5" w:rsidP="005C6E50">
            <w:pPr>
              <w:pStyle w:val="afff6"/>
              <w:numPr>
                <w:ilvl w:val="0"/>
                <w:numId w:val="100"/>
              </w:numPr>
              <w:ind w:left="34" w:firstLine="0"/>
              <w:contextualSpacing/>
              <w:jc w:val="left"/>
              <w:rPr>
                <w:sz w:val="24"/>
                <w:szCs w:val="24"/>
              </w:rPr>
            </w:pPr>
            <w:r w:rsidRPr="002206F5">
              <w:rPr>
                <w:sz w:val="24"/>
                <w:szCs w:val="24"/>
              </w:rPr>
              <w:t>ПУР АСС =&gt; График платежей =&gt;</w:t>
            </w:r>
          </w:p>
          <w:p w:rsidR="00C13CA5" w:rsidRPr="002206F5" w:rsidRDefault="00C13CA5" w:rsidP="00C13CA5">
            <w:pPr>
              <w:pStyle w:val="afff6"/>
              <w:ind w:left="34" w:firstLine="0"/>
              <w:jc w:val="left"/>
              <w:rPr>
                <w:sz w:val="24"/>
                <w:szCs w:val="24"/>
              </w:rPr>
            </w:pPr>
            <w:r w:rsidRPr="002206F5">
              <w:rPr>
                <w:sz w:val="24"/>
                <w:szCs w:val="24"/>
              </w:rPr>
              <w:t>- Сумма в рублях</w:t>
            </w:r>
          </w:p>
          <w:p w:rsidR="00C13CA5" w:rsidRPr="002206F5" w:rsidRDefault="00C13CA5" w:rsidP="00C13CA5">
            <w:pPr>
              <w:pStyle w:val="afff6"/>
              <w:ind w:left="34" w:firstLine="0"/>
              <w:jc w:val="left"/>
              <w:rPr>
                <w:sz w:val="24"/>
                <w:szCs w:val="24"/>
              </w:rPr>
            </w:pPr>
            <w:r w:rsidRPr="002206F5">
              <w:rPr>
                <w:sz w:val="24"/>
                <w:szCs w:val="24"/>
              </w:rPr>
              <w:t>- Год осуществления платежа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12</w:t>
            </w:r>
          </w:p>
        </w:tc>
        <w:tc>
          <w:tcPr>
            <w:tcW w:w="1276" w:type="dxa"/>
          </w:tcPr>
          <w:p w:rsidR="00C13CA5" w:rsidRPr="002206F5" w:rsidRDefault="00C13CA5" w:rsidP="00C13CA5">
            <w:pPr>
              <w:ind w:firstLine="0"/>
              <w:jc w:val="left"/>
              <w:rPr>
                <w:szCs w:val="24"/>
              </w:rPr>
            </w:pPr>
            <w:r w:rsidRPr="002206F5">
              <w:rPr>
                <w:szCs w:val="24"/>
              </w:rPr>
              <w:t>Сумма соглашения на ‘выбранное значение в фильтре «Год» +2’ год,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Сумма соглашения по графику соглашения на выбранное значение года в фильтре «Год»+2</w:t>
            </w:r>
          </w:p>
        </w:tc>
        <w:tc>
          <w:tcPr>
            <w:tcW w:w="4111" w:type="dxa"/>
            <w:shd w:val="clear" w:color="auto" w:fill="auto"/>
          </w:tcPr>
          <w:p w:rsidR="00C13CA5" w:rsidRPr="002206F5" w:rsidRDefault="00C13CA5" w:rsidP="005C6E50">
            <w:pPr>
              <w:pStyle w:val="afff6"/>
              <w:numPr>
                <w:ilvl w:val="0"/>
                <w:numId w:val="101"/>
              </w:numPr>
              <w:ind w:left="34" w:firstLine="0"/>
              <w:contextualSpacing/>
              <w:jc w:val="left"/>
              <w:rPr>
                <w:sz w:val="24"/>
                <w:szCs w:val="24"/>
              </w:rPr>
            </w:pPr>
            <w:r w:rsidRPr="002206F5">
              <w:rPr>
                <w:sz w:val="24"/>
                <w:szCs w:val="24"/>
              </w:rPr>
              <w:t>ПУР АСС =&gt; График платежей =&gt;</w:t>
            </w:r>
          </w:p>
          <w:p w:rsidR="00C13CA5" w:rsidRPr="002206F5" w:rsidRDefault="00C13CA5" w:rsidP="00C13CA5">
            <w:pPr>
              <w:pStyle w:val="afff6"/>
              <w:ind w:left="34" w:firstLine="0"/>
              <w:jc w:val="left"/>
              <w:rPr>
                <w:sz w:val="24"/>
                <w:szCs w:val="24"/>
              </w:rPr>
            </w:pPr>
            <w:r w:rsidRPr="002206F5">
              <w:rPr>
                <w:sz w:val="24"/>
                <w:szCs w:val="24"/>
              </w:rPr>
              <w:t>- Сумма в рублях</w:t>
            </w:r>
          </w:p>
          <w:p w:rsidR="00C13CA5" w:rsidRPr="002206F5" w:rsidRDefault="00C13CA5" w:rsidP="00C13CA5">
            <w:pPr>
              <w:pStyle w:val="afff6"/>
              <w:ind w:left="34" w:firstLine="0"/>
              <w:jc w:val="left"/>
              <w:rPr>
                <w:sz w:val="24"/>
                <w:szCs w:val="24"/>
              </w:rPr>
            </w:pPr>
            <w:r w:rsidRPr="002206F5">
              <w:rPr>
                <w:sz w:val="24"/>
                <w:szCs w:val="24"/>
              </w:rPr>
              <w:t>- Год осуществления платежа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13</w:t>
            </w:r>
          </w:p>
        </w:tc>
        <w:tc>
          <w:tcPr>
            <w:tcW w:w="1276" w:type="dxa"/>
          </w:tcPr>
          <w:p w:rsidR="00C13CA5" w:rsidRPr="002206F5" w:rsidRDefault="00C13CA5" w:rsidP="00C13CA5">
            <w:pPr>
              <w:ind w:firstLine="0"/>
              <w:jc w:val="left"/>
              <w:rPr>
                <w:szCs w:val="24"/>
              </w:rPr>
            </w:pPr>
            <w:r w:rsidRPr="002206F5">
              <w:rPr>
                <w:szCs w:val="24"/>
              </w:rPr>
              <w:t>Сумма соглашения на будущие года,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Суммовое значение сумм соглашения по графику соглашения на годы, имеющие значение большее, чем значение в фильтре «Год»+2</w:t>
            </w:r>
          </w:p>
        </w:tc>
        <w:tc>
          <w:tcPr>
            <w:tcW w:w="4111" w:type="dxa"/>
            <w:shd w:val="clear" w:color="auto" w:fill="auto"/>
          </w:tcPr>
          <w:p w:rsidR="00C13CA5" w:rsidRPr="002206F5" w:rsidRDefault="00C13CA5" w:rsidP="005C6E50">
            <w:pPr>
              <w:pStyle w:val="afff6"/>
              <w:numPr>
                <w:ilvl w:val="0"/>
                <w:numId w:val="102"/>
              </w:numPr>
              <w:ind w:left="34" w:firstLine="0"/>
              <w:contextualSpacing/>
              <w:jc w:val="left"/>
              <w:rPr>
                <w:sz w:val="24"/>
                <w:szCs w:val="24"/>
              </w:rPr>
            </w:pPr>
            <w:r w:rsidRPr="002206F5">
              <w:rPr>
                <w:sz w:val="24"/>
                <w:szCs w:val="24"/>
              </w:rPr>
              <w:t>ПУР АСС =&gt; График платежей =&gt;</w:t>
            </w:r>
          </w:p>
          <w:p w:rsidR="00C13CA5" w:rsidRPr="002206F5" w:rsidRDefault="00C13CA5" w:rsidP="00C13CA5">
            <w:pPr>
              <w:pStyle w:val="afff6"/>
              <w:ind w:left="34" w:firstLine="0"/>
              <w:jc w:val="left"/>
              <w:rPr>
                <w:sz w:val="24"/>
                <w:szCs w:val="24"/>
              </w:rPr>
            </w:pPr>
            <w:r w:rsidRPr="002206F5">
              <w:rPr>
                <w:sz w:val="24"/>
                <w:szCs w:val="24"/>
              </w:rPr>
              <w:t>- Сумма в рублях</w:t>
            </w:r>
          </w:p>
          <w:p w:rsidR="00C13CA5" w:rsidRPr="002206F5" w:rsidRDefault="00C13CA5" w:rsidP="00C13CA5">
            <w:pPr>
              <w:pStyle w:val="afff6"/>
              <w:ind w:left="34" w:firstLine="0"/>
              <w:jc w:val="left"/>
              <w:rPr>
                <w:sz w:val="24"/>
                <w:szCs w:val="24"/>
              </w:rPr>
            </w:pPr>
            <w:r w:rsidRPr="002206F5">
              <w:rPr>
                <w:sz w:val="24"/>
                <w:szCs w:val="24"/>
              </w:rPr>
              <w:t>- Год осуществления платежа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14</w:t>
            </w:r>
          </w:p>
        </w:tc>
        <w:tc>
          <w:tcPr>
            <w:tcW w:w="1276" w:type="dxa"/>
          </w:tcPr>
          <w:p w:rsidR="00C13CA5" w:rsidRPr="002206F5" w:rsidRDefault="00C13CA5" w:rsidP="00C13CA5">
            <w:pPr>
              <w:ind w:firstLine="0"/>
              <w:jc w:val="left"/>
              <w:rPr>
                <w:szCs w:val="24"/>
              </w:rPr>
            </w:pPr>
            <w:r w:rsidRPr="002206F5">
              <w:rPr>
                <w:szCs w:val="24"/>
              </w:rPr>
              <w:t>Исполнено всего,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Сумма по ИПС с верхним ограничением года выбранного в фильтре «Год» включительно</w:t>
            </w:r>
          </w:p>
        </w:tc>
        <w:tc>
          <w:tcPr>
            <w:tcW w:w="4111" w:type="dxa"/>
            <w:shd w:val="clear" w:color="auto" w:fill="auto"/>
          </w:tcPr>
          <w:p w:rsidR="00C13CA5" w:rsidRPr="002206F5" w:rsidRDefault="00C13CA5" w:rsidP="005C6E50">
            <w:pPr>
              <w:pStyle w:val="afff6"/>
              <w:numPr>
                <w:ilvl w:val="0"/>
                <w:numId w:val="103"/>
              </w:numPr>
              <w:ind w:left="34" w:firstLine="0"/>
              <w:contextualSpacing/>
              <w:jc w:val="left"/>
              <w:rPr>
                <w:sz w:val="24"/>
                <w:szCs w:val="24"/>
              </w:rPr>
            </w:pPr>
            <w:r w:rsidRPr="002206F5">
              <w:rPr>
                <w:sz w:val="24"/>
                <w:szCs w:val="24"/>
              </w:rPr>
              <w:t>ПУР АСС =&gt; Перечень ИПС =&gt;</w:t>
            </w:r>
          </w:p>
          <w:p w:rsidR="00C13CA5" w:rsidRPr="002206F5" w:rsidRDefault="00C13CA5" w:rsidP="00C13CA5">
            <w:pPr>
              <w:pStyle w:val="afff6"/>
              <w:ind w:left="34" w:firstLine="0"/>
              <w:jc w:val="left"/>
              <w:rPr>
                <w:sz w:val="24"/>
                <w:szCs w:val="24"/>
              </w:rPr>
            </w:pPr>
            <w:r w:rsidRPr="002206F5">
              <w:rPr>
                <w:sz w:val="24"/>
                <w:szCs w:val="24"/>
              </w:rPr>
              <w:t>- Дата платежного документа</w:t>
            </w:r>
          </w:p>
          <w:p w:rsidR="00C13CA5" w:rsidRPr="002206F5" w:rsidRDefault="00C13CA5" w:rsidP="00C13CA5">
            <w:pPr>
              <w:pStyle w:val="afff6"/>
              <w:ind w:left="34" w:firstLine="0"/>
              <w:jc w:val="left"/>
              <w:rPr>
                <w:sz w:val="24"/>
                <w:szCs w:val="24"/>
              </w:rPr>
            </w:pPr>
            <w:r w:rsidRPr="002206F5">
              <w:rPr>
                <w:sz w:val="24"/>
                <w:szCs w:val="24"/>
              </w:rPr>
              <w:t>- Сумма в рублях</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15</w:t>
            </w:r>
          </w:p>
        </w:tc>
        <w:tc>
          <w:tcPr>
            <w:tcW w:w="1276" w:type="dxa"/>
          </w:tcPr>
          <w:p w:rsidR="00C13CA5" w:rsidRPr="002206F5" w:rsidRDefault="00C13CA5" w:rsidP="00C13CA5">
            <w:pPr>
              <w:ind w:firstLine="0"/>
              <w:jc w:val="left"/>
              <w:rPr>
                <w:szCs w:val="24"/>
              </w:rPr>
            </w:pPr>
            <w:r w:rsidRPr="002206F5">
              <w:rPr>
                <w:szCs w:val="24"/>
              </w:rPr>
              <w:t>Исполнено в ‘выбранное значение в фильтре «Год»’ году, ‘динамическое значение единиц измерения, зависящее от значения в фильтре «Единицы измерения»’</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r w:rsidRPr="002206F5">
              <w:rPr>
                <w:szCs w:val="24"/>
              </w:rPr>
              <w:t>Сумма по ИПС на выбранное значение года в фильтре «Год»</w:t>
            </w:r>
          </w:p>
        </w:tc>
        <w:tc>
          <w:tcPr>
            <w:tcW w:w="4111" w:type="dxa"/>
            <w:shd w:val="clear" w:color="auto" w:fill="auto"/>
          </w:tcPr>
          <w:p w:rsidR="00C13CA5" w:rsidRPr="002206F5" w:rsidRDefault="00C13CA5" w:rsidP="005C6E50">
            <w:pPr>
              <w:pStyle w:val="afff6"/>
              <w:numPr>
                <w:ilvl w:val="0"/>
                <w:numId w:val="104"/>
              </w:numPr>
              <w:ind w:left="34" w:firstLine="0"/>
              <w:contextualSpacing/>
              <w:jc w:val="left"/>
              <w:rPr>
                <w:sz w:val="24"/>
                <w:szCs w:val="24"/>
              </w:rPr>
            </w:pPr>
            <w:r w:rsidRPr="002206F5">
              <w:rPr>
                <w:sz w:val="24"/>
                <w:szCs w:val="24"/>
              </w:rPr>
              <w:t>ПУР АСС =&gt; Перечень ИПС =&gt;</w:t>
            </w:r>
          </w:p>
          <w:p w:rsidR="00C13CA5" w:rsidRPr="002206F5" w:rsidRDefault="00C13CA5" w:rsidP="00C13CA5">
            <w:pPr>
              <w:pStyle w:val="afff6"/>
              <w:ind w:left="34" w:firstLine="0"/>
              <w:jc w:val="left"/>
              <w:rPr>
                <w:sz w:val="24"/>
                <w:szCs w:val="24"/>
              </w:rPr>
            </w:pPr>
            <w:r w:rsidRPr="002206F5">
              <w:rPr>
                <w:sz w:val="24"/>
                <w:szCs w:val="24"/>
              </w:rPr>
              <w:t>- Дата платежного документа</w:t>
            </w:r>
          </w:p>
          <w:p w:rsidR="00C13CA5" w:rsidRPr="002206F5" w:rsidRDefault="00C13CA5" w:rsidP="00C13CA5">
            <w:pPr>
              <w:pStyle w:val="afff6"/>
              <w:ind w:left="34" w:firstLine="0"/>
              <w:jc w:val="left"/>
              <w:rPr>
                <w:sz w:val="24"/>
                <w:szCs w:val="24"/>
              </w:rPr>
            </w:pPr>
            <w:r w:rsidRPr="002206F5">
              <w:rPr>
                <w:sz w:val="24"/>
                <w:szCs w:val="24"/>
              </w:rPr>
              <w:t>- Сумма в рублях</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16</w:t>
            </w:r>
          </w:p>
        </w:tc>
        <w:tc>
          <w:tcPr>
            <w:tcW w:w="1276" w:type="dxa"/>
          </w:tcPr>
          <w:p w:rsidR="00C13CA5" w:rsidRPr="002206F5" w:rsidRDefault="00C13CA5" w:rsidP="00C13CA5">
            <w:pPr>
              <w:ind w:firstLine="0"/>
              <w:jc w:val="left"/>
              <w:rPr>
                <w:szCs w:val="24"/>
              </w:rPr>
            </w:pPr>
            <w:r w:rsidRPr="002206F5">
              <w:rPr>
                <w:szCs w:val="24"/>
              </w:rPr>
              <w:t>% исполнения в ‘выбранное значение в фильтре «Год»’ году</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r w:rsidRPr="002206F5">
              <w:rPr>
                <w:szCs w:val="24"/>
              </w:rPr>
              <w:t>Расчетный показатель, равный отношению значения в колонке 14 к значению в колонке 9, имеющий процентный формат отображения</w:t>
            </w:r>
          </w:p>
        </w:tc>
        <w:tc>
          <w:tcPr>
            <w:tcW w:w="4111" w:type="dxa"/>
          </w:tcPr>
          <w:p w:rsidR="00C13CA5" w:rsidRPr="002206F5" w:rsidRDefault="00C13CA5" w:rsidP="00C13CA5">
            <w:pPr>
              <w:ind w:left="34" w:firstLine="0"/>
              <w:jc w:val="left"/>
              <w:rPr>
                <w:szCs w:val="24"/>
              </w:rPr>
            </w:pP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17</w:t>
            </w:r>
          </w:p>
        </w:tc>
        <w:tc>
          <w:tcPr>
            <w:tcW w:w="1276" w:type="dxa"/>
          </w:tcPr>
          <w:p w:rsidR="00C13CA5" w:rsidRPr="002206F5" w:rsidRDefault="00C13CA5" w:rsidP="00C13CA5">
            <w:pPr>
              <w:ind w:firstLine="0"/>
              <w:jc w:val="left"/>
              <w:rPr>
                <w:szCs w:val="24"/>
              </w:rPr>
            </w:pPr>
            <w:r w:rsidRPr="002206F5">
              <w:rPr>
                <w:szCs w:val="24"/>
              </w:rPr>
              <w:t>% исполнения всего</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Расчетный показатель, равный отношению значения в колонке 13 к значению в колонке 7, имеющий процентный формат отображения</w:t>
            </w:r>
          </w:p>
        </w:tc>
        <w:tc>
          <w:tcPr>
            <w:tcW w:w="4111" w:type="dxa"/>
          </w:tcPr>
          <w:p w:rsidR="00C13CA5" w:rsidRPr="002206F5" w:rsidRDefault="00C13CA5" w:rsidP="00C13CA5">
            <w:pPr>
              <w:ind w:left="34" w:firstLine="0"/>
              <w:jc w:val="left"/>
              <w:rPr>
                <w:szCs w:val="24"/>
              </w:rPr>
            </w:pPr>
          </w:p>
        </w:tc>
      </w:tr>
      <w:tr w:rsidR="00C13CA5" w:rsidRPr="002206F5" w:rsidTr="005C0BB5">
        <w:tc>
          <w:tcPr>
            <w:tcW w:w="10348" w:type="dxa"/>
            <w:gridSpan w:val="5"/>
            <w:shd w:val="clear" w:color="auto" w:fill="D9D9D9" w:themeFill="background1" w:themeFillShade="D9"/>
          </w:tcPr>
          <w:p w:rsidR="00C13CA5" w:rsidRPr="002206F5" w:rsidRDefault="00C13CA5" w:rsidP="00C13CA5">
            <w:pPr>
              <w:ind w:left="34" w:firstLine="0"/>
              <w:jc w:val="center"/>
              <w:rPr>
                <w:szCs w:val="24"/>
              </w:rPr>
            </w:pPr>
            <w:r w:rsidRPr="002206F5">
              <w:rPr>
                <w:szCs w:val="24"/>
              </w:rPr>
              <w:t>Блок реквизитов распорядителей и получателей бюджетных средств</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18</w:t>
            </w:r>
          </w:p>
        </w:tc>
        <w:tc>
          <w:tcPr>
            <w:tcW w:w="1276" w:type="dxa"/>
          </w:tcPr>
          <w:p w:rsidR="00C13CA5" w:rsidRPr="002206F5" w:rsidRDefault="00C13CA5" w:rsidP="00C13CA5">
            <w:pPr>
              <w:ind w:firstLine="0"/>
              <w:jc w:val="left"/>
              <w:rPr>
                <w:szCs w:val="24"/>
              </w:rPr>
            </w:pPr>
            <w:r w:rsidRPr="002206F5">
              <w:rPr>
                <w:szCs w:val="24"/>
              </w:rPr>
              <w:t>Код ГРБС</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19</w:t>
            </w:r>
          </w:p>
        </w:tc>
        <w:tc>
          <w:tcPr>
            <w:tcW w:w="1276" w:type="dxa"/>
          </w:tcPr>
          <w:p w:rsidR="00C13CA5" w:rsidRPr="002206F5" w:rsidRDefault="00C13CA5" w:rsidP="00C13CA5">
            <w:pPr>
              <w:ind w:firstLine="0"/>
              <w:jc w:val="left"/>
              <w:rPr>
                <w:szCs w:val="24"/>
              </w:rPr>
            </w:pPr>
            <w:r w:rsidRPr="002206F5">
              <w:rPr>
                <w:szCs w:val="24"/>
              </w:rPr>
              <w:t>Наименование ГРБС</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20</w:t>
            </w:r>
          </w:p>
        </w:tc>
        <w:tc>
          <w:tcPr>
            <w:tcW w:w="1276" w:type="dxa"/>
          </w:tcPr>
          <w:p w:rsidR="00C13CA5" w:rsidRPr="002206F5" w:rsidRDefault="00C13CA5" w:rsidP="00C13CA5">
            <w:pPr>
              <w:ind w:firstLine="0"/>
              <w:jc w:val="left"/>
              <w:rPr>
                <w:szCs w:val="24"/>
              </w:rPr>
            </w:pPr>
            <w:r w:rsidRPr="002206F5">
              <w:rPr>
                <w:szCs w:val="24"/>
              </w:rPr>
              <w:t>Наименование получателя</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получателя субсидии =&gt; Полное наименование юридического лица/ФИО физического лица на русском языке</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21</w:t>
            </w:r>
          </w:p>
        </w:tc>
        <w:tc>
          <w:tcPr>
            <w:tcW w:w="1276" w:type="dxa"/>
          </w:tcPr>
          <w:p w:rsidR="00C13CA5" w:rsidRPr="002206F5" w:rsidRDefault="00C13CA5" w:rsidP="00C13CA5">
            <w:pPr>
              <w:ind w:firstLine="0"/>
              <w:jc w:val="left"/>
              <w:rPr>
                <w:szCs w:val="24"/>
              </w:rPr>
            </w:pPr>
            <w:r w:rsidRPr="002206F5">
              <w:rPr>
                <w:szCs w:val="24"/>
              </w:rPr>
              <w:t>Код получателя по СвР</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получателя субсидии =&gt; Код по сводному реестру</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22</w:t>
            </w:r>
          </w:p>
        </w:tc>
        <w:tc>
          <w:tcPr>
            <w:tcW w:w="1276" w:type="dxa"/>
          </w:tcPr>
          <w:p w:rsidR="00C13CA5" w:rsidRPr="002206F5" w:rsidRDefault="00C13CA5" w:rsidP="00C13CA5">
            <w:pPr>
              <w:ind w:firstLine="0"/>
              <w:jc w:val="left"/>
              <w:rPr>
                <w:szCs w:val="24"/>
              </w:rPr>
            </w:pPr>
            <w:r w:rsidRPr="002206F5">
              <w:rPr>
                <w:szCs w:val="24"/>
              </w:rPr>
              <w:t>ИНН получателя</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получателя субсидии =&gt; ИНН</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23</w:t>
            </w:r>
          </w:p>
        </w:tc>
        <w:tc>
          <w:tcPr>
            <w:tcW w:w="1276" w:type="dxa"/>
          </w:tcPr>
          <w:p w:rsidR="00C13CA5" w:rsidRPr="002206F5" w:rsidRDefault="00C13CA5" w:rsidP="00C13CA5">
            <w:pPr>
              <w:ind w:firstLine="0"/>
              <w:jc w:val="left"/>
              <w:rPr>
                <w:szCs w:val="24"/>
              </w:rPr>
            </w:pPr>
            <w:r w:rsidRPr="002206F5">
              <w:rPr>
                <w:szCs w:val="24"/>
              </w:rPr>
              <w:t>КПП получателя</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Реквизиты получателя субсидии =&gt; КПП</w:t>
            </w:r>
          </w:p>
        </w:tc>
      </w:tr>
      <w:tr w:rsidR="00C13CA5" w:rsidRPr="002206F5" w:rsidTr="005C0BB5">
        <w:tc>
          <w:tcPr>
            <w:tcW w:w="10348" w:type="dxa"/>
            <w:gridSpan w:val="5"/>
          </w:tcPr>
          <w:p w:rsidR="00C13CA5" w:rsidRPr="002206F5" w:rsidRDefault="00C13CA5" w:rsidP="00C13CA5">
            <w:pPr>
              <w:shd w:val="clear" w:color="auto" w:fill="D9D9D9" w:themeFill="background1" w:themeFillShade="D9"/>
              <w:ind w:left="34" w:firstLine="0"/>
              <w:jc w:val="center"/>
              <w:rPr>
                <w:szCs w:val="24"/>
              </w:rPr>
            </w:pPr>
            <w:r w:rsidRPr="002206F5">
              <w:rPr>
                <w:szCs w:val="24"/>
              </w:rPr>
              <w:t>Блок по отчетам о достижении результатов (по календарю предоставления отчетности)</w:t>
            </w:r>
          </w:p>
          <w:p w:rsidR="00C13CA5" w:rsidRPr="002206F5" w:rsidRDefault="00C13CA5" w:rsidP="00C13CA5">
            <w:pPr>
              <w:ind w:left="34" w:firstLine="0"/>
              <w:jc w:val="left"/>
              <w:rPr>
                <w:szCs w:val="24"/>
              </w:rPr>
            </w:pPr>
            <w:r w:rsidRPr="002206F5">
              <w:rPr>
                <w:szCs w:val="24"/>
              </w:rPr>
              <w:t>Общая логика проверки корректности формирования значений в колонках:</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Колонка 24 = Колонка 25 + Колонка 26</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Колонка 26 = Колонка 27 + Колонка 28 + Колонка 29</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24</w:t>
            </w:r>
          </w:p>
        </w:tc>
        <w:tc>
          <w:tcPr>
            <w:tcW w:w="1276" w:type="dxa"/>
          </w:tcPr>
          <w:p w:rsidR="00C13CA5" w:rsidRPr="002206F5" w:rsidRDefault="00C13CA5" w:rsidP="00C13CA5">
            <w:pPr>
              <w:ind w:firstLine="0"/>
              <w:jc w:val="left"/>
              <w:rPr>
                <w:szCs w:val="24"/>
              </w:rPr>
            </w:pPr>
            <w:r w:rsidRPr="002206F5">
              <w:rPr>
                <w:szCs w:val="24"/>
              </w:rPr>
              <w:t>Плановое количество отчетов,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8"/>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C13CA5" w:rsidRPr="002206F5" w:rsidRDefault="00C13CA5" w:rsidP="005C6E50">
            <w:pPr>
              <w:pStyle w:val="afff6"/>
              <w:numPr>
                <w:ilvl w:val="0"/>
                <w:numId w:val="108"/>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C13CA5">
            <w:pPr>
              <w:ind w:left="34" w:firstLine="0"/>
              <w:jc w:val="left"/>
              <w:rPr>
                <w:szCs w:val="24"/>
              </w:rPr>
            </w:pPr>
            <w:r w:rsidRPr="002206F5">
              <w:rPr>
                <w:szCs w:val="24"/>
              </w:rPr>
              <w:t>ПУР АСС =&gt; Календарь предоставления отчетности =&gt; Тип отчета =&gt; отчет о достижении значений показателей результативности =&gt; Дата на которую сформирован отчет</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25</w:t>
            </w:r>
          </w:p>
        </w:tc>
        <w:tc>
          <w:tcPr>
            <w:tcW w:w="1276" w:type="dxa"/>
          </w:tcPr>
          <w:p w:rsidR="00C13CA5" w:rsidRPr="002206F5" w:rsidRDefault="00C13CA5" w:rsidP="00C13CA5">
            <w:pPr>
              <w:ind w:firstLine="0"/>
              <w:jc w:val="left"/>
              <w:rPr>
                <w:szCs w:val="24"/>
              </w:rPr>
            </w:pPr>
            <w:r w:rsidRPr="002206F5">
              <w:rPr>
                <w:szCs w:val="24"/>
              </w:rPr>
              <w:t>Срок сдачи отчета не наступил,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5"/>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26</w:t>
            </w:r>
          </w:p>
        </w:tc>
        <w:tc>
          <w:tcPr>
            <w:tcW w:w="1276" w:type="dxa"/>
          </w:tcPr>
          <w:p w:rsidR="00C13CA5" w:rsidRPr="002206F5" w:rsidRDefault="00C13CA5" w:rsidP="00C13CA5">
            <w:pPr>
              <w:ind w:firstLine="0"/>
              <w:jc w:val="left"/>
              <w:rPr>
                <w:szCs w:val="24"/>
              </w:rPr>
            </w:pPr>
            <w:r w:rsidRPr="002206F5">
              <w:rPr>
                <w:szCs w:val="24"/>
              </w:rPr>
              <w:t>Срок сдачи отчета наступил,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27</w:t>
            </w:r>
          </w:p>
        </w:tc>
        <w:tc>
          <w:tcPr>
            <w:tcW w:w="1276" w:type="dxa"/>
          </w:tcPr>
          <w:p w:rsidR="00C13CA5" w:rsidRPr="002206F5" w:rsidRDefault="00C13CA5" w:rsidP="00C13CA5">
            <w:pPr>
              <w:ind w:firstLine="0"/>
              <w:jc w:val="left"/>
              <w:rPr>
                <w:szCs w:val="24"/>
              </w:rPr>
            </w:pPr>
            <w:r w:rsidRPr="002206F5">
              <w:rPr>
                <w:szCs w:val="24"/>
              </w:rPr>
              <w:t>Отчеты сданы в срок,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6"/>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28</w:t>
            </w:r>
          </w:p>
        </w:tc>
        <w:tc>
          <w:tcPr>
            <w:tcW w:w="1276" w:type="dxa"/>
          </w:tcPr>
          <w:p w:rsidR="00C13CA5" w:rsidRPr="002206F5" w:rsidRDefault="00C13CA5" w:rsidP="00C13CA5">
            <w:pPr>
              <w:ind w:firstLine="0"/>
              <w:jc w:val="left"/>
              <w:rPr>
                <w:szCs w:val="24"/>
              </w:rPr>
            </w:pPr>
            <w:r w:rsidRPr="002206F5">
              <w:rPr>
                <w:szCs w:val="24"/>
              </w:rPr>
              <w:t>Отчеты сданы с нарушением срока,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29</w:t>
            </w:r>
          </w:p>
        </w:tc>
        <w:tc>
          <w:tcPr>
            <w:tcW w:w="1276" w:type="dxa"/>
          </w:tcPr>
          <w:p w:rsidR="00C13CA5" w:rsidRPr="002206F5" w:rsidRDefault="00C13CA5" w:rsidP="00C13CA5">
            <w:pPr>
              <w:ind w:firstLine="0"/>
              <w:jc w:val="left"/>
              <w:rPr>
                <w:szCs w:val="24"/>
              </w:rPr>
            </w:pPr>
            <w:r w:rsidRPr="002206F5">
              <w:rPr>
                <w:szCs w:val="24"/>
              </w:rPr>
              <w:t>Не представлены отчеты о достижении результатов,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9"/>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достижении значений показателей результативности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10348" w:type="dxa"/>
            <w:gridSpan w:val="5"/>
          </w:tcPr>
          <w:p w:rsidR="00C13CA5" w:rsidRPr="002206F5" w:rsidRDefault="00C13CA5" w:rsidP="00C13CA5">
            <w:pPr>
              <w:shd w:val="clear" w:color="auto" w:fill="D9D9D9" w:themeFill="background1" w:themeFillShade="D9"/>
              <w:ind w:left="34" w:firstLine="0"/>
              <w:jc w:val="center"/>
              <w:rPr>
                <w:szCs w:val="24"/>
              </w:rPr>
            </w:pPr>
            <w:r w:rsidRPr="002206F5">
              <w:rPr>
                <w:szCs w:val="24"/>
              </w:rPr>
              <w:t>Блок по количеству значений результатов</w:t>
            </w:r>
          </w:p>
          <w:p w:rsidR="00C13CA5" w:rsidRPr="002206F5" w:rsidRDefault="00C13CA5" w:rsidP="00C13CA5">
            <w:pPr>
              <w:ind w:left="34" w:firstLine="0"/>
              <w:jc w:val="left"/>
              <w:rPr>
                <w:szCs w:val="24"/>
              </w:rPr>
            </w:pPr>
            <w:r w:rsidRPr="002206F5">
              <w:rPr>
                <w:szCs w:val="24"/>
              </w:rPr>
              <w:t>При подсчете значений результатов учитывается лишь последний сданный отчет (актуальный).</w:t>
            </w:r>
          </w:p>
          <w:p w:rsidR="00C13CA5" w:rsidRPr="002206F5" w:rsidRDefault="00C13CA5" w:rsidP="00C13CA5">
            <w:pPr>
              <w:ind w:left="34" w:firstLine="0"/>
              <w:jc w:val="left"/>
              <w:rPr>
                <w:szCs w:val="24"/>
              </w:rPr>
            </w:pPr>
            <w:r w:rsidRPr="002206F5">
              <w:rPr>
                <w:szCs w:val="24"/>
              </w:rPr>
              <w:t>Отчеты, сданные первого числа нового года, относятся к предыдущему.</w:t>
            </w:r>
          </w:p>
          <w:p w:rsidR="00C13CA5" w:rsidRPr="002206F5" w:rsidRDefault="00C13CA5" w:rsidP="00C13CA5">
            <w:pPr>
              <w:ind w:left="34" w:firstLine="0"/>
              <w:jc w:val="left"/>
              <w:rPr>
                <w:szCs w:val="24"/>
              </w:rPr>
            </w:pPr>
            <w:r w:rsidRPr="002206F5">
              <w:rPr>
                <w:szCs w:val="24"/>
              </w:rPr>
              <w:t>Общая логика проверки корректности формирования значений в колонках:</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Колонка 30 = Колонка 31 + Колонка 34 + Колонка 35</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Колонка 31 = Колонка 32 + Колонка 33</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30</w:t>
            </w:r>
          </w:p>
        </w:tc>
        <w:tc>
          <w:tcPr>
            <w:tcW w:w="1276" w:type="dxa"/>
          </w:tcPr>
          <w:p w:rsidR="00C13CA5" w:rsidRPr="002206F5" w:rsidRDefault="00C13CA5" w:rsidP="00C13CA5">
            <w:pPr>
              <w:ind w:firstLine="0"/>
              <w:jc w:val="left"/>
              <w:rPr>
                <w:szCs w:val="24"/>
              </w:rPr>
            </w:pPr>
            <w:r w:rsidRPr="002206F5">
              <w:rPr>
                <w:szCs w:val="24"/>
              </w:rPr>
              <w:t>Запланированных,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Значение показателя по годам достижения =&gt; Срок (год), на который запланировано достижение показателя результативности (результата)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31</w:t>
            </w:r>
          </w:p>
        </w:tc>
        <w:tc>
          <w:tcPr>
            <w:tcW w:w="1276" w:type="dxa"/>
          </w:tcPr>
          <w:p w:rsidR="00C13CA5" w:rsidRPr="002206F5" w:rsidRDefault="00C13CA5" w:rsidP="00C13CA5">
            <w:pPr>
              <w:ind w:firstLine="0"/>
              <w:jc w:val="left"/>
              <w:rPr>
                <w:szCs w:val="24"/>
              </w:rPr>
            </w:pPr>
            <w:r w:rsidRPr="002206F5">
              <w:rPr>
                <w:szCs w:val="24"/>
              </w:rPr>
              <w:t>Достигнутых в полном объеме,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pStyle w:val="afff6"/>
              <w:ind w:left="34" w:firstLine="0"/>
              <w:jc w:val="left"/>
              <w:rPr>
                <w:sz w:val="24"/>
                <w:szCs w:val="24"/>
              </w:rPr>
            </w:pPr>
            <w:r w:rsidRPr="002206F5">
              <w:rPr>
                <w:sz w:val="24"/>
                <w:szCs w:val="24"/>
              </w:rPr>
              <w:t>- Значение показателя результативности</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32</w:t>
            </w:r>
          </w:p>
        </w:tc>
        <w:tc>
          <w:tcPr>
            <w:tcW w:w="1276" w:type="dxa"/>
          </w:tcPr>
          <w:p w:rsidR="00C13CA5" w:rsidRPr="002206F5" w:rsidRDefault="00C13CA5" w:rsidP="00C13CA5">
            <w:pPr>
              <w:ind w:firstLine="0"/>
              <w:jc w:val="left"/>
              <w:rPr>
                <w:szCs w:val="24"/>
              </w:rPr>
            </w:pPr>
            <w:r w:rsidRPr="002206F5">
              <w:rPr>
                <w:szCs w:val="24"/>
              </w:rPr>
              <w:t>Достигнутых в полном объеме в срок,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достижения меньше либо равна «Плановой дате»</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ind w:left="34" w:firstLine="0"/>
              <w:jc w:val="left"/>
              <w:rPr>
                <w:szCs w:val="24"/>
              </w:rPr>
            </w:pPr>
            <w:r w:rsidRPr="002206F5">
              <w:rPr>
                <w:szCs w:val="24"/>
              </w:rPr>
              <w:t>- Значение показателя результативности</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33</w:t>
            </w:r>
          </w:p>
        </w:tc>
        <w:tc>
          <w:tcPr>
            <w:tcW w:w="1276" w:type="dxa"/>
          </w:tcPr>
          <w:p w:rsidR="00C13CA5" w:rsidRPr="002206F5" w:rsidRDefault="00C13CA5" w:rsidP="00C13CA5">
            <w:pPr>
              <w:ind w:firstLine="0"/>
              <w:jc w:val="left"/>
              <w:rPr>
                <w:szCs w:val="24"/>
              </w:rPr>
            </w:pPr>
            <w:r w:rsidRPr="002206F5">
              <w:rPr>
                <w:szCs w:val="24"/>
              </w:rPr>
              <w:t>Достигнутых в полном объеме с нарушением срока,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больше «Плановой даты»</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ind w:left="34" w:firstLine="0"/>
              <w:jc w:val="left"/>
              <w:rPr>
                <w:szCs w:val="24"/>
              </w:rPr>
            </w:pPr>
            <w:r w:rsidRPr="002206F5">
              <w:rPr>
                <w:szCs w:val="24"/>
              </w:rPr>
              <w:t>- Значение показателя результативности</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34</w:t>
            </w:r>
          </w:p>
        </w:tc>
        <w:tc>
          <w:tcPr>
            <w:tcW w:w="1276" w:type="dxa"/>
          </w:tcPr>
          <w:p w:rsidR="00C13CA5" w:rsidRPr="002206F5" w:rsidRDefault="00C13CA5" w:rsidP="00C13CA5">
            <w:pPr>
              <w:ind w:firstLine="0"/>
              <w:jc w:val="left"/>
              <w:rPr>
                <w:szCs w:val="24"/>
              </w:rPr>
            </w:pPr>
            <w:r w:rsidRPr="002206F5">
              <w:rPr>
                <w:szCs w:val="24"/>
              </w:rPr>
              <w:t>Не достигнутых в полном объеме (в срок),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больше «Плановой даты» сдачи отчета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ind w:left="34" w:firstLine="0"/>
              <w:jc w:val="left"/>
              <w:rPr>
                <w:szCs w:val="24"/>
              </w:rPr>
            </w:pPr>
            <w:r w:rsidRPr="002206F5">
              <w:rPr>
                <w:szCs w:val="24"/>
              </w:rPr>
              <w:t>- Значение показателя результативности</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35</w:t>
            </w:r>
          </w:p>
        </w:tc>
        <w:tc>
          <w:tcPr>
            <w:tcW w:w="1276" w:type="dxa"/>
          </w:tcPr>
          <w:p w:rsidR="00C13CA5" w:rsidRPr="002206F5" w:rsidRDefault="00C13CA5" w:rsidP="00C13CA5">
            <w:pPr>
              <w:ind w:firstLine="0"/>
              <w:jc w:val="left"/>
              <w:rPr>
                <w:szCs w:val="24"/>
              </w:rPr>
            </w:pPr>
            <w:r w:rsidRPr="002206F5">
              <w:rPr>
                <w:szCs w:val="24"/>
              </w:rPr>
              <w:t>Не достигнутых в полном объеме (срок не наступил),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меньше либо равна «Плановой дате» сдачи отчета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ind w:left="34" w:firstLine="0"/>
              <w:jc w:val="left"/>
              <w:rPr>
                <w:szCs w:val="24"/>
              </w:rPr>
            </w:pPr>
            <w:r w:rsidRPr="002206F5">
              <w:rPr>
                <w:szCs w:val="24"/>
              </w:rPr>
              <w:t>- Значение показателя результативности</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36</w:t>
            </w:r>
          </w:p>
        </w:tc>
        <w:tc>
          <w:tcPr>
            <w:tcW w:w="1276" w:type="dxa"/>
          </w:tcPr>
          <w:p w:rsidR="00C13CA5" w:rsidRPr="002206F5" w:rsidRDefault="00C13CA5" w:rsidP="00C13CA5">
            <w:pPr>
              <w:ind w:firstLine="0"/>
              <w:jc w:val="left"/>
              <w:rPr>
                <w:szCs w:val="24"/>
              </w:rPr>
            </w:pPr>
            <w:r w:rsidRPr="002206F5">
              <w:rPr>
                <w:szCs w:val="24"/>
              </w:rPr>
              <w:t>% достижения результатов</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Расчетный показатель, равный отношению фактического значения результата к плановому, и последующему расчету среднеарифметического значения по всем значениям результатов в рамках соглашения на выбранное значение года в фильтре «Год»</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 xml:space="preserve">ПУР АСС =&gt; Реквизиты соглашения (договора), НПА =&gt; Плановые показатели результативности =&gt; </w:t>
            </w:r>
          </w:p>
          <w:p w:rsidR="00C13CA5" w:rsidRPr="002206F5" w:rsidRDefault="00C13CA5" w:rsidP="00C13CA5">
            <w:pPr>
              <w:pStyle w:val="afff6"/>
              <w:ind w:left="34" w:firstLine="0"/>
              <w:jc w:val="left"/>
              <w:rPr>
                <w:sz w:val="24"/>
                <w:szCs w:val="24"/>
              </w:rPr>
            </w:pPr>
            <w:r w:rsidRPr="002206F5">
              <w:rPr>
                <w:sz w:val="24"/>
                <w:szCs w:val="24"/>
              </w:rPr>
              <w:t>- Номер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результативности/результата федерального (регионального) проекта</w:t>
            </w:r>
          </w:p>
          <w:p w:rsidR="00C13CA5" w:rsidRPr="002206F5" w:rsidRDefault="00C13CA5" w:rsidP="00C13CA5">
            <w:pPr>
              <w:pStyle w:val="afff6"/>
              <w:ind w:left="34" w:firstLine="0"/>
              <w:jc w:val="left"/>
              <w:rPr>
                <w:sz w:val="24"/>
                <w:szCs w:val="24"/>
              </w:rPr>
            </w:pPr>
            <w:r w:rsidRPr="002206F5">
              <w:rPr>
                <w:sz w:val="24"/>
                <w:szCs w:val="24"/>
              </w:rPr>
              <w:t xml:space="preserve">- Значение показателя по годам достижения =&gt; </w:t>
            </w:r>
          </w:p>
          <w:p w:rsidR="00C13CA5" w:rsidRPr="002206F5" w:rsidRDefault="00C13CA5" w:rsidP="00C13CA5">
            <w:pPr>
              <w:pStyle w:val="afff6"/>
              <w:ind w:left="34" w:firstLine="0"/>
              <w:jc w:val="left"/>
              <w:rPr>
                <w:sz w:val="24"/>
                <w:szCs w:val="24"/>
              </w:rPr>
            </w:pPr>
            <w:r w:rsidRPr="002206F5">
              <w:rPr>
                <w:sz w:val="24"/>
                <w:szCs w:val="24"/>
              </w:rPr>
              <w:t xml:space="preserve">        - Срок (год), на который запланировано достижение показателя результативности (результата)</w:t>
            </w:r>
          </w:p>
          <w:p w:rsidR="00C13CA5" w:rsidRPr="002206F5" w:rsidRDefault="00C13CA5" w:rsidP="00C13CA5">
            <w:pPr>
              <w:pStyle w:val="afff6"/>
              <w:ind w:left="34" w:firstLine="0"/>
              <w:jc w:val="left"/>
              <w:rPr>
                <w:sz w:val="24"/>
                <w:szCs w:val="24"/>
              </w:rPr>
            </w:pPr>
            <w:r w:rsidRPr="002206F5">
              <w:rPr>
                <w:sz w:val="24"/>
                <w:szCs w:val="24"/>
              </w:rPr>
              <w:t xml:space="preserve">        - Плановое значение показателя результативности (результата)</w:t>
            </w:r>
          </w:p>
          <w:p w:rsidR="00C13CA5" w:rsidRPr="002206F5" w:rsidRDefault="00C13CA5" w:rsidP="005C6E50">
            <w:pPr>
              <w:pStyle w:val="afff6"/>
              <w:numPr>
                <w:ilvl w:val="0"/>
                <w:numId w:val="96"/>
              </w:numPr>
              <w:ind w:left="34" w:firstLine="0"/>
              <w:contextualSpacing/>
              <w:jc w:val="left"/>
              <w:rPr>
                <w:sz w:val="24"/>
                <w:szCs w:val="24"/>
              </w:rPr>
            </w:pPr>
            <w:r w:rsidRPr="002206F5">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C13CA5" w:rsidRPr="002206F5" w:rsidRDefault="00C13CA5" w:rsidP="00C13CA5">
            <w:pPr>
              <w:pStyle w:val="afff6"/>
              <w:ind w:left="34" w:firstLine="0"/>
              <w:jc w:val="left"/>
              <w:rPr>
                <w:sz w:val="24"/>
                <w:szCs w:val="24"/>
              </w:rPr>
            </w:pPr>
            <w:r w:rsidRPr="002206F5">
              <w:rPr>
                <w:sz w:val="24"/>
                <w:szCs w:val="24"/>
              </w:rPr>
              <w:t>- Номер показателя</w:t>
            </w:r>
          </w:p>
          <w:p w:rsidR="00C13CA5" w:rsidRPr="002206F5" w:rsidRDefault="00C13CA5" w:rsidP="00C13CA5">
            <w:pPr>
              <w:pStyle w:val="afff6"/>
              <w:ind w:left="34" w:firstLine="0"/>
              <w:jc w:val="left"/>
              <w:rPr>
                <w:sz w:val="24"/>
                <w:szCs w:val="24"/>
              </w:rPr>
            </w:pPr>
            <w:r w:rsidRPr="002206F5">
              <w:rPr>
                <w:sz w:val="24"/>
                <w:szCs w:val="24"/>
              </w:rPr>
              <w:t>- Наименование показателя результативности</w:t>
            </w:r>
          </w:p>
          <w:p w:rsidR="00C13CA5" w:rsidRPr="002206F5" w:rsidRDefault="00C13CA5" w:rsidP="00C13CA5">
            <w:pPr>
              <w:pStyle w:val="afff6"/>
              <w:ind w:left="34" w:firstLine="0"/>
              <w:jc w:val="left"/>
              <w:rPr>
                <w:sz w:val="24"/>
                <w:szCs w:val="24"/>
              </w:rPr>
            </w:pPr>
            <w:r w:rsidRPr="002206F5">
              <w:rPr>
                <w:sz w:val="24"/>
                <w:szCs w:val="24"/>
              </w:rPr>
              <w:t>- Дата, на которую предоставляется информация</w:t>
            </w:r>
          </w:p>
          <w:p w:rsidR="00C13CA5" w:rsidRPr="002206F5" w:rsidRDefault="00C13CA5" w:rsidP="00C13CA5">
            <w:pPr>
              <w:ind w:left="34" w:firstLine="0"/>
              <w:jc w:val="left"/>
              <w:rPr>
                <w:szCs w:val="24"/>
              </w:rPr>
            </w:pPr>
            <w:r w:rsidRPr="002206F5">
              <w:rPr>
                <w:szCs w:val="24"/>
              </w:rPr>
              <w:t>- Значение показателя результативности</w:t>
            </w:r>
          </w:p>
        </w:tc>
      </w:tr>
      <w:tr w:rsidR="00C13CA5" w:rsidRPr="002206F5" w:rsidTr="005C0BB5">
        <w:tc>
          <w:tcPr>
            <w:tcW w:w="10348" w:type="dxa"/>
            <w:gridSpan w:val="5"/>
          </w:tcPr>
          <w:p w:rsidR="00C13CA5" w:rsidRPr="002206F5" w:rsidRDefault="00C13CA5" w:rsidP="00C13CA5">
            <w:pPr>
              <w:shd w:val="clear" w:color="auto" w:fill="D9D9D9" w:themeFill="background1" w:themeFillShade="D9"/>
              <w:ind w:left="34" w:firstLine="0"/>
              <w:jc w:val="center"/>
              <w:rPr>
                <w:szCs w:val="24"/>
              </w:rPr>
            </w:pPr>
            <w:r w:rsidRPr="002206F5">
              <w:rPr>
                <w:szCs w:val="24"/>
              </w:rPr>
              <w:t>Блок по отчетам об осуществлении расходов (по календарю предоставления отчетности)</w:t>
            </w:r>
          </w:p>
          <w:p w:rsidR="00C13CA5" w:rsidRPr="002206F5" w:rsidRDefault="00C13CA5" w:rsidP="00C13CA5">
            <w:pPr>
              <w:ind w:left="34" w:firstLine="0"/>
              <w:jc w:val="left"/>
              <w:rPr>
                <w:szCs w:val="24"/>
              </w:rPr>
            </w:pPr>
            <w:r w:rsidRPr="002206F5">
              <w:rPr>
                <w:szCs w:val="24"/>
              </w:rPr>
              <w:t>Общая логика проверки корректности формирования значений в колонках:</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Колонка 37 = Колонка 38 + Колонка 39</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Колонка 39 = Колонка 40 + Колонка 41 + Колонка 42</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37</w:t>
            </w:r>
          </w:p>
        </w:tc>
        <w:tc>
          <w:tcPr>
            <w:tcW w:w="1276" w:type="dxa"/>
          </w:tcPr>
          <w:p w:rsidR="00C13CA5" w:rsidRPr="002206F5" w:rsidRDefault="00C13CA5" w:rsidP="00C13CA5">
            <w:pPr>
              <w:ind w:firstLine="0"/>
              <w:jc w:val="left"/>
              <w:rPr>
                <w:szCs w:val="24"/>
              </w:rPr>
            </w:pPr>
            <w:r w:rsidRPr="002206F5">
              <w:rPr>
                <w:szCs w:val="24"/>
              </w:rPr>
              <w:t>Плановое количество отчетов,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C13CA5">
            <w:pPr>
              <w:ind w:left="34" w:firstLine="0"/>
              <w:jc w:val="left"/>
              <w:rPr>
                <w:szCs w:val="24"/>
              </w:rPr>
            </w:pPr>
            <w:r w:rsidRPr="002206F5">
              <w:rPr>
                <w:szCs w:val="24"/>
              </w:rPr>
              <w:t>ПУР АСС =&gt; Календарь предоставления отчетности =&gt; Тип отчета =&gt; отчет о расходах =&gt; Дата на которую сформирован отчет</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38</w:t>
            </w:r>
          </w:p>
        </w:tc>
        <w:tc>
          <w:tcPr>
            <w:tcW w:w="1276" w:type="dxa"/>
          </w:tcPr>
          <w:p w:rsidR="00C13CA5" w:rsidRPr="002206F5" w:rsidRDefault="00C13CA5" w:rsidP="00C13CA5">
            <w:pPr>
              <w:ind w:firstLine="0"/>
              <w:jc w:val="left"/>
              <w:rPr>
                <w:szCs w:val="24"/>
              </w:rPr>
            </w:pPr>
            <w:r w:rsidRPr="002206F5">
              <w:rPr>
                <w:szCs w:val="24"/>
              </w:rPr>
              <w:t>Срок сдачи отчета не наступил,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7"/>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расходах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39</w:t>
            </w:r>
          </w:p>
        </w:tc>
        <w:tc>
          <w:tcPr>
            <w:tcW w:w="1276" w:type="dxa"/>
          </w:tcPr>
          <w:p w:rsidR="00C13CA5" w:rsidRPr="002206F5" w:rsidRDefault="00C13CA5" w:rsidP="00C13CA5">
            <w:pPr>
              <w:ind w:firstLine="0"/>
              <w:jc w:val="left"/>
              <w:rPr>
                <w:szCs w:val="24"/>
              </w:rPr>
            </w:pPr>
            <w:r w:rsidRPr="002206F5">
              <w:rPr>
                <w:szCs w:val="24"/>
              </w:rPr>
              <w:t>Срок сдачи отчета наступил,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7"/>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расходах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40</w:t>
            </w:r>
          </w:p>
        </w:tc>
        <w:tc>
          <w:tcPr>
            <w:tcW w:w="1276" w:type="dxa"/>
          </w:tcPr>
          <w:p w:rsidR="00C13CA5" w:rsidRPr="002206F5" w:rsidRDefault="00C13CA5" w:rsidP="00C13CA5">
            <w:pPr>
              <w:ind w:firstLine="0"/>
              <w:jc w:val="left"/>
              <w:rPr>
                <w:szCs w:val="24"/>
              </w:rPr>
            </w:pPr>
            <w:r w:rsidRPr="002206F5">
              <w:rPr>
                <w:szCs w:val="24"/>
              </w:rPr>
              <w:t>Отчеты сданы в срок,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7"/>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расходах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41</w:t>
            </w:r>
          </w:p>
        </w:tc>
        <w:tc>
          <w:tcPr>
            <w:tcW w:w="1276" w:type="dxa"/>
          </w:tcPr>
          <w:p w:rsidR="00C13CA5" w:rsidRPr="002206F5" w:rsidRDefault="00C13CA5" w:rsidP="00C13CA5">
            <w:pPr>
              <w:ind w:firstLine="0"/>
              <w:jc w:val="left"/>
              <w:rPr>
                <w:szCs w:val="24"/>
              </w:rPr>
            </w:pPr>
            <w:r w:rsidRPr="002206F5">
              <w:rPr>
                <w:szCs w:val="24"/>
              </w:rPr>
              <w:t>Отчеты сданы с нарушением срока,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7"/>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расходах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42</w:t>
            </w:r>
          </w:p>
        </w:tc>
        <w:tc>
          <w:tcPr>
            <w:tcW w:w="1276" w:type="dxa"/>
          </w:tcPr>
          <w:p w:rsidR="00C13CA5" w:rsidRPr="002206F5" w:rsidRDefault="00C13CA5" w:rsidP="00C13CA5">
            <w:pPr>
              <w:ind w:firstLine="0"/>
              <w:jc w:val="left"/>
              <w:rPr>
                <w:szCs w:val="24"/>
              </w:rPr>
            </w:pPr>
            <w:r w:rsidRPr="002206F5">
              <w:rPr>
                <w:szCs w:val="24"/>
              </w:rPr>
              <w:t>Не представлены отчеты об осуществлении расходов, ед.</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C13CA5" w:rsidRPr="002206F5" w:rsidRDefault="00C13CA5" w:rsidP="005C6E50">
            <w:pPr>
              <w:pStyle w:val="afff6"/>
              <w:numPr>
                <w:ilvl w:val="0"/>
                <w:numId w:val="95"/>
              </w:numPr>
              <w:ind w:left="34" w:firstLine="0"/>
              <w:contextualSpacing/>
              <w:jc w:val="left"/>
              <w:rPr>
                <w:sz w:val="24"/>
                <w:szCs w:val="24"/>
              </w:rPr>
            </w:pPr>
            <w:r w:rsidRPr="002206F5">
              <w:rPr>
                <w:sz w:val="24"/>
                <w:szCs w:val="24"/>
              </w:rPr>
              <w:t>Реализован переход в «Реестр соглашений (ЕПБС)» (Вкладка «Отчетность»)</w:t>
            </w:r>
          </w:p>
        </w:tc>
        <w:tc>
          <w:tcPr>
            <w:tcW w:w="4111" w:type="dxa"/>
          </w:tcPr>
          <w:p w:rsidR="00C13CA5" w:rsidRPr="002206F5" w:rsidRDefault="00C13CA5" w:rsidP="005C6E50">
            <w:pPr>
              <w:pStyle w:val="afff6"/>
              <w:numPr>
                <w:ilvl w:val="0"/>
                <w:numId w:val="107"/>
              </w:numPr>
              <w:ind w:left="34" w:firstLine="0"/>
              <w:contextualSpacing/>
              <w:jc w:val="left"/>
              <w:rPr>
                <w:sz w:val="24"/>
                <w:szCs w:val="24"/>
              </w:rPr>
            </w:pPr>
            <w:r w:rsidRPr="002206F5">
              <w:rPr>
                <w:sz w:val="24"/>
                <w:szCs w:val="24"/>
              </w:rPr>
              <w:t>ПУР АСС =&gt; Календарь предоставления отчетности =&gt; Тип отчета =&gt; отчет о расходах =&gt;</w:t>
            </w:r>
          </w:p>
          <w:p w:rsidR="00C13CA5" w:rsidRPr="002206F5" w:rsidRDefault="00C13CA5" w:rsidP="00C13CA5">
            <w:pPr>
              <w:pStyle w:val="afff6"/>
              <w:ind w:left="34" w:firstLine="0"/>
              <w:jc w:val="left"/>
              <w:rPr>
                <w:sz w:val="24"/>
                <w:szCs w:val="24"/>
              </w:rPr>
            </w:pPr>
            <w:r w:rsidRPr="002206F5">
              <w:rPr>
                <w:sz w:val="24"/>
                <w:szCs w:val="24"/>
              </w:rPr>
              <w:t>- Дата на которую сформирован отчет</w:t>
            </w:r>
          </w:p>
          <w:p w:rsidR="00C13CA5" w:rsidRPr="002206F5" w:rsidRDefault="00C13CA5" w:rsidP="00C13CA5">
            <w:pPr>
              <w:pStyle w:val="afff6"/>
              <w:ind w:left="34" w:firstLine="0"/>
              <w:jc w:val="left"/>
              <w:rPr>
                <w:sz w:val="24"/>
                <w:szCs w:val="24"/>
              </w:rPr>
            </w:pPr>
            <w:r w:rsidRPr="002206F5">
              <w:rPr>
                <w:sz w:val="24"/>
                <w:szCs w:val="24"/>
              </w:rPr>
              <w:t>- Плановая дата предоставления отчета</w:t>
            </w:r>
          </w:p>
          <w:p w:rsidR="00C13CA5" w:rsidRPr="002206F5" w:rsidRDefault="00C13CA5" w:rsidP="00C13CA5">
            <w:pPr>
              <w:pStyle w:val="afff6"/>
              <w:ind w:left="34" w:firstLine="0"/>
              <w:jc w:val="left"/>
              <w:rPr>
                <w:sz w:val="24"/>
                <w:szCs w:val="24"/>
              </w:rPr>
            </w:pPr>
            <w:r w:rsidRPr="002206F5">
              <w:rPr>
                <w:sz w:val="24"/>
                <w:szCs w:val="24"/>
              </w:rPr>
              <w:t>- Фактическая дата предоставления первого отчета</w:t>
            </w:r>
          </w:p>
        </w:tc>
      </w:tr>
      <w:tr w:rsidR="00C13CA5" w:rsidRPr="002206F5" w:rsidTr="005C0BB5">
        <w:tc>
          <w:tcPr>
            <w:tcW w:w="10348" w:type="dxa"/>
            <w:gridSpan w:val="5"/>
            <w:shd w:val="clear" w:color="auto" w:fill="D9D9D9" w:themeFill="background1" w:themeFillShade="D9"/>
          </w:tcPr>
          <w:p w:rsidR="00C13CA5" w:rsidRPr="002206F5" w:rsidRDefault="00C13CA5" w:rsidP="00C13CA5">
            <w:pPr>
              <w:ind w:left="34" w:firstLine="0"/>
              <w:jc w:val="center"/>
              <w:rPr>
                <w:szCs w:val="24"/>
              </w:rPr>
            </w:pPr>
            <w:r w:rsidRPr="002206F5">
              <w:rPr>
                <w:szCs w:val="24"/>
              </w:rPr>
              <w:t>Информация по БО</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43</w:t>
            </w:r>
          </w:p>
        </w:tc>
        <w:tc>
          <w:tcPr>
            <w:tcW w:w="1276" w:type="dxa"/>
          </w:tcPr>
          <w:p w:rsidR="00C13CA5" w:rsidRPr="002206F5" w:rsidRDefault="00C13CA5" w:rsidP="00C13CA5">
            <w:pPr>
              <w:ind w:firstLine="0"/>
              <w:jc w:val="left"/>
              <w:rPr>
                <w:szCs w:val="24"/>
                <w:lang w:val="en-US"/>
              </w:rPr>
            </w:pPr>
            <w:r w:rsidRPr="002206F5">
              <w:rPr>
                <w:szCs w:val="24"/>
              </w:rPr>
              <w:t>Учетный номер БО</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Отметка органа ФК =&gt; Номер БО</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44</w:t>
            </w:r>
          </w:p>
        </w:tc>
        <w:tc>
          <w:tcPr>
            <w:tcW w:w="1276" w:type="dxa"/>
          </w:tcPr>
          <w:p w:rsidR="00C13CA5" w:rsidRPr="002206F5" w:rsidRDefault="00C13CA5" w:rsidP="00C13CA5">
            <w:pPr>
              <w:ind w:firstLine="0"/>
              <w:jc w:val="left"/>
              <w:rPr>
                <w:szCs w:val="24"/>
              </w:rPr>
            </w:pPr>
            <w:r w:rsidRPr="002206F5">
              <w:rPr>
                <w:szCs w:val="24"/>
              </w:rPr>
              <w:t>Дата постановки на учет БО</w:t>
            </w:r>
          </w:p>
        </w:tc>
        <w:tc>
          <w:tcPr>
            <w:tcW w:w="992" w:type="dxa"/>
          </w:tcPr>
          <w:p w:rsidR="00C13CA5" w:rsidRPr="002206F5" w:rsidRDefault="00C13CA5" w:rsidP="00C13CA5">
            <w:pPr>
              <w:ind w:left="34" w:firstLine="0"/>
              <w:jc w:val="left"/>
              <w:rPr>
                <w:szCs w:val="24"/>
              </w:rPr>
            </w:pPr>
            <w:r w:rsidRPr="002206F5">
              <w:rPr>
                <w:szCs w:val="24"/>
              </w:rPr>
              <w:t>Раскрыта</w:t>
            </w:r>
          </w:p>
        </w:tc>
        <w:tc>
          <w:tcPr>
            <w:tcW w:w="3402" w:type="dxa"/>
          </w:tcPr>
          <w:p w:rsidR="00C13CA5" w:rsidRPr="002206F5" w:rsidRDefault="00C13CA5" w:rsidP="00C13CA5">
            <w:pPr>
              <w:ind w:left="34" w:firstLine="0"/>
              <w:jc w:val="left"/>
              <w:rPr>
                <w:szCs w:val="24"/>
              </w:rPr>
            </w:pPr>
          </w:p>
        </w:tc>
        <w:tc>
          <w:tcPr>
            <w:tcW w:w="4111" w:type="dxa"/>
          </w:tcPr>
          <w:p w:rsidR="00C13CA5" w:rsidRPr="002206F5" w:rsidRDefault="00C13CA5" w:rsidP="00C13CA5">
            <w:pPr>
              <w:ind w:left="34" w:firstLine="0"/>
              <w:jc w:val="left"/>
              <w:rPr>
                <w:szCs w:val="24"/>
              </w:rPr>
            </w:pPr>
            <w:r w:rsidRPr="002206F5">
              <w:rPr>
                <w:szCs w:val="24"/>
              </w:rPr>
              <w:t>ПУР АСС =&gt; Отметка органа ФК =&gt; Дата отражения на Л/С</w:t>
            </w:r>
          </w:p>
        </w:tc>
      </w:tr>
      <w:tr w:rsidR="00C13CA5" w:rsidRPr="002206F5" w:rsidTr="005C0BB5">
        <w:tc>
          <w:tcPr>
            <w:tcW w:w="10348" w:type="dxa"/>
            <w:gridSpan w:val="5"/>
            <w:shd w:val="clear" w:color="auto" w:fill="D9D9D9" w:themeFill="background1" w:themeFillShade="D9"/>
          </w:tcPr>
          <w:p w:rsidR="00C13CA5" w:rsidRPr="002206F5" w:rsidRDefault="00C13CA5" w:rsidP="00C13CA5">
            <w:pPr>
              <w:ind w:left="34" w:firstLine="0"/>
              <w:jc w:val="center"/>
              <w:rPr>
                <w:szCs w:val="24"/>
              </w:rPr>
            </w:pPr>
            <w:r w:rsidRPr="002206F5">
              <w:rPr>
                <w:szCs w:val="24"/>
              </w:rPr>
              <w:t>Блок по признакам национального и федерального проектов</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45</w:t>
            </w:r>
          </w:p>
        </w:tc>
        <w:tc>
          <w:tcPr>
            <w:tcW w:w="1276" w:type="dxa"/>
          </w:tcPr>
          <w:p w:rsidR="00C13CA5" w:rsidRPr="002206F5" w:rsidRDefault="00C13CA5" w:rsidP="00C13CA5">
            <w:pPr>
              <w:ind w:firstLine="0"/>
              <w:jc w:val="left"/>
              <w:rPr>
                <w:szCs w:val="24"/>
              </w:rPr>
            </w:pPr>
            <w:r w:rsidRPr="002206F5">
              <w:rPr>
                <w:szCs w:val="24"/>
              </w:rPr>
              <w:t>Код национального проекта</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11-й символ КБК</w:t>
            </w:r>
          </w:p>
        </w:tc>
        <w:tc>
          <w:tcPr>
            <w:tcW w:w="4111" w:type="dxa"/>
          </w:tcPr>
          <w:p w:rsidR="00C13CA5" w:rsidRPr="002206F5" w:rsidRDefault="00C13CA5" w:rsidP="00C13CA5">
            <w:pPr>
              <w:ind w:left="34" w:firstLine="0"/>
              <w:jc w:val="left"/>
              <w:rPr>
                <w:szCs w:val="24"/>
              </w:rPr>
            </w:pPr>
            <w:r w:rsidRPr="002206F5">
              <w:rPr>
                <w:szCs w:val="24"/>
              </w:rPr>
              <w:t>ПУР АСС =&gt; График платежей =&gt; КБК</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46</w:t>
            </w:r>
          </w:p>
        </w:tc>
        <w:tc>
          <w:tcPr>
            <w:tcW w:w="1276" w:type="dxa"/>
          </w:tcPr>
          <w:p w:rsidR="00C13CA5" w:rsidRPr="002206F5" w:rsidRDefault="00C13CA5" w:rsidP="00C13CA5">
            <w:pPr>
              <w:ind w:firstLine="0"/>
              <w:jc w:val="left"/>
              <w:rPr>
                <w:szCs w:val="24"/>
              </w:rPr>
            </w:pPr>
            <w:r w:rsidRPr="002206F5">
              <w:rPr>
                <w:szCs w:val="24"/>
              </w:rPr>
              <w:t>Наименование национального проекта</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Разыменовка в соответствии со значением 11-го символа КБК по справочнику</w:t>
            </w:r>
          </w:p>
        </w:tc>
        <w:tc>
          <w:tcPr>
            <w:tcW w:w="4111" w:type="dxa"/>
          </w:tcPr>
          <w:p w:rsidR="00C13CA5" w:rsidRPr="002206F5" w:rsidRDefault="00C13CA5" w:rsidP="00C13CA5">
            <w:pPr>
              <w:ind w:left="34" w:firstLine="0"/>
              <w:jc w:val="left"/>
              <w:rPr>
                <w:szCs w:val="24"/>
              </w:rPr>
            </w:pP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47</w:t>
            </w:r>
          </w:p>
        </w:tc>
        <w:tc>
          <w:tcPr>
            <w:tcW w:w="1276" w:type="dxa"/>
          </w:tcPr>
          <w:p w:rsidR="00C13CA5" w:rsidRPr="002206F5" w:rsidRDefault="00C13CA5" w:rsidP="00C13CA5">
            <w:pPr>
              <w:ind w:firstLine="0"/>
              <w:jc w:val="left"/>
              <w:rPr>
                <w:szCs w:val="24"/>
              </w:rPr>
            </w:pPr>
            <w:r w:rsidRPr="002206F5">
              <w:rPr>
                <w:szCs w:val="24"/>
              </w:rPr>
              <w:t>Код федерального проекта</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11-12 символы КБК</w:t>
            </w:r>
          </w:p>
        </w:tc>
        <w:tc>
          <w:tcPr>
            <w:tcW w:w="4111" w:type="dxa"/>
          </w:tcPr>
          <w:p w:rsidR="00C13CA5" w:rsidRPr="002206F5" w:rsidRDefault="00C13CA5" w:rsidP="00C13CA5">
            <w:pPr>
              <w:ind w:left="34" w:firstLine="0"/>
              <w:jc w:val="left"/>
              <w:rPr>
                <w:szCs w:val="24"/>
              </w:rPr>
            </w:pPr>
            <w:r w:rsidRPr="002206F5">
              <w:rPr>
                <w:szCs w:val="24"/>
              </w:rPr>
              <w:t>ПУР АСС =&gt; График платежей =&gt; КБК</w:t>
            </w:r>
          </w:p>
        </w:tc>
      </w:tr>
      <w:tr w:rsidR="00C13CA5" w:rsidRPr="002206F5" w:rsidTr="005C0BB5">
        <w:tc>
          <w:tcPr>
            <w:tcW w:w="567" w:type="dxa"/>
          </w:tcPr>
          <w:p w:rsidR="00C13CA5" w:rsidRPr="002206F5" w:rsidRDefault="00C13CA5" w:rsidP="00C13CA5">
            <w:pPr>
              <w:ind w:firstLine="0"/>
              <w:jc w:val="left"/>
              <w:rPr>
                <w:szCs w:val="24"/>
              </w:rPr>
            </w:pPr>
            <w:r w:rsidRPr="002206F5">
              <w:rPr>
                <w:szCs w:val="24"/>
              </w:rPr>
              <w:t>48</w:t>
            </w:r>
          </w:p>
        </w:tc>
        <w:tc>
          <w:tcPr>
            <w:tcW w:w="1276" w:type="dxa"/>
          </w:tcPr>
          <w:p w:rsidR="00C13CA5" w:rsidRPr="002206F5" w:rsidRDefault="00C13CA5" w:rsidP="00C13CA5">
            <w:pPr>
              <w:ind w:firstLine="0"/>
              <w:jc w:val="left"/>
              <w:rPr>
                <w:szCs w:val="24"/>
              </w:rPr>
            </w:pPr>
            <w:r w:rsidRPr="002206F5">
              <w:rPr>
                <w:szCs w:val="24"/>
              </w:rPr>
              <w:t>Наименование федерального проекта</w:t>
            </w:r>
          </w:p>
        </w:tc>
        <w:tc>
          <w:tcPr>
            <w:tcW w:w="992" w:type="dxa"/>
          </w:tcPr>
          <w:p w:rsidR="00C13CA5" w:rsidRPr="002206F5" w:rsidRDefault="00C13CA5" w:rsidP="00C13CA5">
            <w:pPr>
              <w:ind w:left="34" w:firstLine="0"/>
              <w:jc w:val="left"/>
              <w:rPr>
                <w:szCs w:val="24"/>
              </w:rPr>
            </w:pPr>
            <w:r w:rsidRPr="002206F5">
              <w:rPr>
                <w:szCs w:val="24"/>
              </w:rPr>
              <w:t>Скрыта</w:t>
            </w:r>
          </w:p>
        </w:tc>
        <w:tc>
          <w:tcPr>
            <w:tcW w:w="3402" w:type="dxa"/>
          </w:tcPr>
          <w:p w:rsidR="00C13CA5" w:rsidRPr="002206F5" w:rsidRDefault="00C13CA5" w:rsidP="00C13CA5">
            <w:pPr>
              <w:ind w:left="34" w:firstLine="0"/>
              <w:jc w:val="left"/>
              <w:rPr>
                <w:szCs w:val="24"/>
              </w:rPr>
            </w:pPr>
            <w:r w:rsidRPr="002206F5">
              <w:rPr>
                <w:szCs w:val="24"/>
              </w:rPr>
              <w:t>Разыменовка в соответствии со значением 11-12-го символов КБК по справочнику</w:t>
            </w:r>
          </w:p>
        </w:tc>
        <w:tc>
          <w:tcPr>
            <w:tcW w:w="4111" w:type="dxa"/>
          </w:tcPr>
          <w:p w:rsidR="00C13CA5" w:rsidRPr="002206F5" w:rsidRDefault="00C13CA5" w:rsidP="00C13CA5">
            <w:pPr>
              <w:ind w:left="34" w:firstLine="0"/>
              <w:jc w:val="left"/>
              <w:rPr>
                <w:szCs w:val="24"/>
              </w:rPr>
            </w:pPr>
          </w:p>
        </w:tc>
      </w:tr>
    </w:tbl>
    <w:p w:rsidR="00C13CA5" w:rsidRPr="002D1FAC" w:rsidRDefault="00C13CA5" w:rsidP="00C13CA5"/>
    <w:p w:rsidR="00C13CA5" w:rsidRPr="002206F5" w:rsidRDefault="00C13CA5" w:rsidP="00C13CA5">
      <w:pPr>
        <w:ind w:firstLine="709"/>
        <w:rPr>
          <w:sz w:val="28"/>
          <w:szCs w:val="28"/>
        </w:rPr>
      </w:pPr>
      <w:r w:rsidRPr="002206F5">
        <w:rPr>
          <w:sz w:val="28"/>
          <w:szCs w:val="28"/>
        </w:rPr>
        <w:t>Область фильтров:</w:t>
      </w:r>
    </w:p>
    <w:tbl>
      <w:tblPr>
        <w:tblStyle w:val="affe"/>
        <w:tblW w:w="10348" w:type="dxa"/>
        <w:tblInd w:w="-459" w:type="dxa"/>
        <w:tblLook w:val="04A0" w:firstRow="1" w:lastRow="0" w:firstColumn="1" w:lastColumn="0" w:noHBand="0" w:noVBand="1"/>
      </w:tblPr>
      <w:tblGrid>
        <w:gridCol w:w="567"/>
        <w:gridCol w:w="1895"/>
        <w:gridCol w:w="3634"/>
        <w:gridCol w:w="4252"/>
      </w:tblGrid>
      <w:tr w:rsidR="00C13CA5" w:rsidRPr="002206F5" w:rsidTr="00823B84">
        <w:trPr>
          <w:tblHeader/>
        </w:trPr>
        <w:tc>
          <w:tcPr>
            <w:tcW w:w="567"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 п/п</w:t>
            </w:r>
          </w:p>
        </w:tc>
        <w:tc>
          <w:tcPr>
            <w:tcW w:w="1895"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Наименование фильтра</w:t>
            </w:r>
          </w:p>
        </w:tc>
        <w:tc>
          <w:tcPr>
            <w:tcW w:w="3634"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Алгоритм</w:t>
            </w:r>
          </w:p>
        </w:tc>
        <w:tc>
          <w:tcPr>
            <w:tcW w:w="4252" w:type="dxa"/>
            <w:shd w:val="clear" w:color="auto" w:fill="F2F2F2" w:themeFill="background1" w:themeFillShade="F2"/>
            <w:vAlign w:val="center"/>
          </w:tcPr>
          <w:p w:rsidR="00C13CA5" w:rsidRPr="002206F5" w:rsidRDefault="00C13CA5" w:rsidP="00C13CA5">
            <w:pPr>
              <w:ind w:firstLine="0"/>
              <w:jc w:val="center"/>
              <w:rPr>
                <w:b/>
                <w:szCs w:val="24"/>
              </w:rPr>
            </w:pPr>
            <w:r w:rsidRPr="002206F5">
              <w:rPr>
                <w:b/>
                <w:szCs w:val="24"/>
              </w:rPr>
              <w:t>Источник данных</w:t>
            </w:r>
          </w:p>
        </w:tc>
      </w:tr>
      <w:tr w:rsidR="00C13CA5" w:rsidRPr="002206F5" w:rsidTr="00823B84">
        <w:tc>
          <w:tcPr>
            <w:tcW w:w="567" w:type="dxa"/>
          </w:tcPr>
          <w:p w:rsidR="00C13CA5" w:rsidRPr="002206F5" w:rsidRDefault="00C13CA5" w:rsidP="00C13CA5">
            <w:pPr>
              <w:ind w:firstLine="0"/>
              <w:jc w:val="left"/>
              <w:rPr>
                <w:szCs w:val="24"/>
              </w:rPr>
            </w:pPr>
            <w:r w:rsidRPr="002206F5">
              <w:rPr>
                <w:szCs w:val="24"/>
              </w:rPr>
              <w:t>1</w:t>
            </w:r>
          </w:p>
        </w:tc>
        <w:tc>
          <w:tcPr>
            <w:tcW w:w="1895" w:type="dxa"/>
          </w:tcPr>
          <w:p w:rsidR="00C13CA5" w:rsidRPr="002206F5" w:rsidRDefault="00C13CA5" w:rsidP="00C13CA5">
            <w:pPr>
              <w:ind w:firstLine="0"/>
              <w:jc w:val="left"/>
              <w:rPr>
                <w:szCs w:val="24"/>
              </w:rPr>
            </w:pPr>
            <w:r w:rsidRPr="002206F5">
              <w:rPr>
                <w:szCs w:val="24"/>
              </w:rPr>
              <w:t xml:space="preserve">Обновить </w:t>
            </w:r>
            <w:r w:rsidRPr="002206F5">
              <w:rPr>
                <w:noProof/>
                <w:szCs w:val="24"/>
              </w:rPr>
              <w:drawing>
                <wp:inline distT="0" distB="0" distL="0" distR="0" wp14:anchorId="4F085D11" wp14:editId="0EE73384">
                  <wp:extent cx="476190" cy="476190"/>
                  <wp:effectExtent l="0" t="0" r="63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34" w:type="dxa"/>
          </w:tcPr>
          <w:p w:rsidR="00C13CA5" w:rsidRPr="002206F5" w:rsidRDefault="00C13CA5" w:rsidP="00C13CA5">
            <w:pPr>
              <w:ind w:firstLine="0"/>
              <w:jc w:val="left"/>
              <w:rPr>
                <w:szCs w:val="24"/>
              </w:rPr>
            </w:pPr>
            <w:r w:rsidRPr="002206F5">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C13CA5" w:rsidRPr="002206F5" w:rsidRDefault="00C13CA5" w:rsidP="00C13CA5">
            <w:pPr>
              <w:pStyle w:val="afff6"/>
              <w:ind w:left="0" w:firstLine="0"/>
              <w:jc w:val="left"/>
              <w:rPr>
                <w:sz w:val="24"/>
                <w:szCs w:val="24"/>
              </w:rPr>
            </w:pP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2</w:t>
            </w:r>
          </w:p>
        </w:tc>
        <w:tc>
          <w:tcPr>
            <w:tcW w:w="1895" w:type="dxa"/>
          </w:tcPr>
          <w:p w:rsidR="00C13CA5" w:rsidRPr="002206F5" w:rsidRDefault="00C13CA5" w:rsidP="00C13CA5">
            <w:pPr>
              <w:ind w:firstLine="0"/>
              <w:jc w:val="left"/>
              <w:rPr>
                <w:szCs w:val="24"/>
              </w:rPr>
            </w:pPr>
            <w:r w:rsidRPr="002206F5">
              <w:rPr>
                <w:szCs w:val="24"/>
              </w:rPr>
              <w:t>Год</w:t>
            </w:r>
          </w:p>
        </w:tc>
        <w:tc>
          <w:tcPr>
            <w:tcW w:w="3634" w:type="dxa"/>
          </w:tcPr>
          <w:p w:rsidR="00C13CA5" w:rsidRPr="002206F5" w:rsidRDefault="00C13CA5" w:rsidP="00C13CA5">
            <w:pPr>
              <w:ind w:firstLine="0"/>
              <w:jc w:val="left"/>
              <w:rPr>
                <w:szCs w:val="24"/>
              </w:rPr>
            </w:pPr>
            <w:r w:rsidRPr="002206F5">
              <w:rPr>
                <w:szCs w:val="24"/>
              </w:rPr>
              <w:t>Фильтрация по году из графика соглашения</w:t>
            </w:r>
          </w:p>
          <w:p w:rsidR="00C13CA5" w:rsidRPr="002206F5" w:rsidRDefault="00C13CA5" w:rsidP="00C13CA5">
            <w:pPr>
              <w:ind w:firstLine="0"/>
              <w:jc w:val="left"/>
              <w:rPr>
                <w:szCs w:val="24"/>
              </w:rPr>
            </w:pPr>
            <w:r w:rsidRPr="002206F5">
              <w:rPr>
                <w:szCs w:val="24"/>
              </w:rPr>
              <w:t>Возможность выбора только одного значения параметра из выпадающего списка, отсутствует возможность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текущего календарного года</w:t>
            </w:r>
          </w:p>
        </w:tc>
        <w:tc>
          <w:tcPr>
            <w:tcW w:w="4252" w:type="dxa"/>
          </w:tcPr>
          <w:p w:rsidR="00C13CA5" w:rsidRPr="002206F5" w:rsidRDefault="00C13CA5" w:rsidP="00C13CA5">
            <w:pPr>
              <w:pStyle w:val="afff6"/>
              <w:ind w:left="0" w:firstLine="0"/>
              <w:jc w:val="left"/>
              <w:rPr>
                <w:sz w:val="24"/>
                <w:szCs w:val="24"/>
              </w:rPr>
            </w:pPr>
            <w:r w:rsidRPr="002206F5">
              <w:rPr>
                <w:sz w:val="24"/>
                <w:szCs w:val="24"/>
              </w:rPr>
              <w:t>ПУР АСС =&gt; График платежей =&gt; Год осуществления платежа</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3</w:t>
            </w:r>
          </w:p>
        </w:tc>
        <w:tc>
          <w:tcPr>
            <w:tcW w:w="1895" w:type="dxa"/>
          </w:tcPr>
          <w:p w:rsidR="00C13CA5" w:rsidRPr="002206F5" w:rsidRDefault="00C13CA5" w:rsidP="00C13CA5">
            <w:pPr>
              <w:ind w:firstLine="0"/>
              <w:jc w:val="left"/>
              <w:rPr>
                <w:szCs w:val="24"/>
              </w:rPr>
            </w:pPr>
            <w:r w:rsidRPr="002206F5">
              <w:rPr>
                <w:szCs w:val="24"/>
              </w:rPr>
              <w:t>Субъект РФ</w:t>
            </w:r>
          </w:p>
        </w:tc>
        <w:tc>
          <w:tcPr>
            <w:tcW w:w="3634" w:type="dxa"/>
          </w:tcPr>
          <w:p w:rsidR="00C13CA5" w:rsidRPr="002206F5" w:rsidRDefault="00C13CA5" w:rsidP="00C13CA5">
            <w:pPr>
              <w:ind w:firstLine="0"/>
              <w:jc w:val="left"/>
              <w:rPr>
                <w:szCs w:val="24"/>
              </w:rPr>
            </w:pPr>
            <w:r w:rsidRPr="002206F5">
              <w:rPr>
                <w:szCs w:val="24"/>
              </w:rPr>
              <w:t>Фильтрация по коду ОКТМО субъекта РФ. Разыменование по справочнику в соответствии с кодом ОКТМО субъекта РФ</w:t>
            </w:r>
          </w:p>
          <w:p w:rsidR="00C13CA5" w:rsidRPr="002206F5" w:rsidRDefault="00C13CA5" w:rsidP="00C13CA5">
            <w:pPr>
              <w:ind w:firstLine="0"/>
              <w:jc w:val="left"/>
              <w:rPr>
                <w:szCs w:val="24"/>
              </w:rPr>
            </w:pPr>
            <w:r w:rsidRPr="002206F5">
              <w:rPr>
                <w:szCs w:val="24"/>
              </w:rPr>
              <w:t>Реализована возможность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tc>
        <w:tc>
          <w:tcPr>
            <w:tcW w:w="4252" w:type="dxa"/>
          </w:tcPr>
          <w:p w:rsidR="00C13CA5" w:rsidRPr="002206F5" w:rsidRDefault="00C13CA5" w:rsidP="00C13CA5">
            <w:pPr>
              <w:pStyle w:val="afff6"/>
              <w:ind w:left="0" w:firstLine="0"/>
              <w:jc w:val="left"/>
              <w:rPr>
                <w:sz w:val="24"/>
                <w:szCs w:val="24"/>
              </w:rPr>
            </w:pPr>
            <w:r w:rsidRPr="002206F5">
              <w:rPr>
                <w:sz w:val="24"/>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4</w:t>
            </w:r>
          </w:p>
        </w:tc>
        <w:tc>
          <w:tcPr>
            <w:tcW w:w="1895" w:type="dxa"/>
          </w:tcPr>
          <w:p w:rsidR="00C13CA5" w:rsidRPr="002206F5" w:rsidRDefault="00C13CA5" w:rsidP="00C13CA5">
            <w:pPr>
              <w:ind w:firstLine="0"/>
              <w:jc w:val="left"/>
              <w:rPr>
                <w:szCs w:val="24"/>
              </w:rPr>
            </w:pPr>
            <w:r w:rsidRPr="002206F5">
              <w:rPr>
                <w:szCs w:val="24"/>
              </w:rPr>
              <w:t>Код бюджета субъекта РФ</w:t>
            </w:r>
          </w:p>
        </w:tc>
        <w:tc>
          <w:tcPr>
            <w:tcW w:w="3634" w:type="dxa"/>
          </w:tcPr>
          <w:p w:rsidR="00C13CA5" w:rsidRPr="002206F5" w:rsidRDefault="00C13CA5" w:rsidP="00C13CA5">
            <w:pPr>
              <w:ind w:firstLine="0"/>
              <w:jc w:val="left"/>
              <w:rPr>
                <w:szCs w:val="24"/>
              </w:rPr>
            </w:pPr>
            <w:r w:rsidRPr="002206F5">
              <w:rPr>
                <w:szCs w:val="24"/>
              </w:rPr>
              <w:t>Фильтрация по коду бюджета субъекта РФ. Разыменование по справочнику в соответствии с кодом бюджета субъекта РФ</w:t>
            </w:r>
          </w:p>
          <w:p w:rsidR="00C13CA5" w:rsidRPr="002206F5" w:rsidRDefault="00C13CA5" w:rsidP="00C13CA5">
            <w:pPr>
              <w:ind w:firstLine="0"/>
              <w:jc w:val="left"/>
              <w:rPr>
                <w:szCs w:val="24"/>
              </w:rPr>
            </w:pPr>
            <w:r w:rsidRPr="002206F5">
              <w:rPr>
                <w:szCs w:val="24"/>
              </w:rPr>
              <w:t>Реализована возможность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p w:rsidR="00C13CA5" w:rsidRPr="002206F5" w:rsidRDefault="00C13CA5" w:rsidP="00C13CA5">
            <w:pPr>
              <w:ind w:firstLine="0"/>
              <w:jc w:val="left"/>
              <w:rPr>
                <w:szCs w:val="24"/>
              </w:rPr>
            </w:pPr>
            <w:r w:rsidRPr="002206F5">
              <w:rPr>
                <w:szCs w:val="24"/>
              </w:rPr>
              <w:t>Зависим от выбранного значения в фильтре «Субъект РФ»</w:t>
            </w:r>
          </w:p>
        </w:tc>
        <w:tc>
          <w:tcPr>
            <w:tcW w:w="4252" w:type="dxa"/>
          </w:tcPr>
          <w:p w:rsidR="00C13CA5" w:rsidRPr="002206F5" w:rsidRDefault="00C13CA5" w:rsidP="00C13CA5">
            <w:pPr>
              <w:pStyle w:val="afff6"/>
              <w:ind w:left="0" w:firstLine="0"/>
              <w:jc w:val="left"/>
              <w:rPr>
                <w:sz w:val="24"/>
                <w:szCs w:val="24"/>
              </w:rPr>
            </w:pPr>
            <w:r w:rsidRPr="002206F5">
              <w:rPr>
                <w:sz w:val="24"/>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бюджета</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5</w:t>
            </w:r>
          </w:p>
        </w:tc>
        <w:tc>
          <w:tcPr>
            <w:tcW w:w="1895" w:type="dxa"/>
          </w:tcPr>
          <w:p w:rsidR="00C13CA5" w:rsidRPr="002206F5" w:rsidRDefault="00C13CA5" w:rsidP="00C13CA5">
            <w:pPr>
              <w:ind w:firstLine="0"/>
              <w:jc w:val="left"/>
              <w:rPr>
                <w:szCs w:val="24"/>
              </w:rPr>
            </w:pPr>
            <w:r w:rsidRPr="002206F5">
              <w:rPr>
                <w:szCs w:val="24"/>
              </w:rPr>
              <w:t>Код ГРБС</w:t>
            </w:r>
          </w:p>
        </w:tc>
        <w:tc>
          <w:tcPr>
            <w:tcW w:w="3634" w:type="dxa"/>
          </w:tcPr>
          <w:p w:rsidR="00C13CA5" w:rsidRPr="002206F5" w:rsidRDefault="00C13CA5" w:rsidP="00C13CA5">
            <w:pPr>
              <w:ind w:firstLine="0"/>
              <w:jc w:val="left"/>
              <w:rPr>
                <w:szCs w:val="24"/>
              </w:rPr>
            </w:pPr>
            <w:r w:rsidRPr="002206F5">
              <w:rPr>
                <w:szCs w:val="24"/>
              </w:rPr>
              <w:t>Фильтрация по коду ГРБС</w:t>
            </w:r>
          </w:p>
          <w:p w:rsidR="00C13CA5" w:rsidRPr="002206F5" w:rsidRDefault="00C13CA5" w:rsidP="00C13CA5">
            <w:pPr>
              <w:ind w:firstLine="0"/>
              <w:jc w:val="left"/>
              <w:rPr>
                <w:szCs w:val="24"/>
              </w:rPr>
            </w:pPr>
            <w:r w:rsidRPr="002206F5">
              <w:rPr>
                <w:szCs w:val="24"/>
              </w:rPr>
              <w:t>Реализована возможность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p w:rsidR="00C13CA5" w:rsidRPr="002206F5" w:rsidRDefault="00C13CA5" w:rsidP="00C13CA5">
            <w:pPr>
              <w:ind w:firstLine="0"/>
              <w:jc w:val="left"/>
              <w:rPr>
                <w:szCs w:val="24"/>
              </w:rPr>
            </w:pPr>
            <w:r w:rsidRPr="002206F5">
              <w:rPr>
                <w:szCs w:val="24"/>
              </w:rPr>
              <w:t>Зависим от выбранных значений в фильтрах «Субъект РФ», «Код бюджета субъекта РФ»</w:t>
            </w:r>
          </w:p>
        </w:tc>
        <w:tc>
          <w:tcPr>
            <w:tcW w:w="4252" w:type="dxa"/>
          </w:tcPr>
          <w:p w:rsidR="00C13CA5" w:rsidRPr="002206F5" w:rsidRDefault="00C13CA5" w:rsidP="00C13CA5">
            <w:pPr>
              <w:ind w:firstLine="0"/>
              <w:jc w:val="left"/>
              <w:rPr>
                <w:szCs w:val="24"/>
              </w:rPr>
            </w:pPr>
            <w:r w:rsidRPr="002206F5">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6</w:t>
            </w:r>
          </w:p>
        </w:tc>
        <w:tc>
          <w:tcPr>
            <w:tcW w:w="1895" w:type="dxa"/>
          </w:tcPr>
          <w:p w:rsidR="00C13CA5" w:rsidRPr="002206F5" w:rsidRDefault="00C13CA5" w:rsidP="00C13CA5">
            <w:pPr>
              <w:ind w:firstLine="0"/>
              <w:jc w:val="left"/>
              <w:rPr>
                <w:szCs w:val="24"/>
              </w:rPr>
            </w:pPr>
            <w:r w:rsidRPr="002206F5">
              <w:rPr>
                <w:szCs w:val="24"/>
              </w:rPr>
              <w:t>РЗПР</w:t>
            </w:r>
          </w:p>
        </w:tc>
        <w:tc>
          <w:tcPr>
            <w:tcW w:w="3634" w:type="dxa"/>
          </w:tcPr>
          <w:p w:rsidR="00C13CA5" w:rsidRPr="002206F5" w:rsidRDefault="00C13CA5" w:rsidP="00C13CA5">
            <w:pPr>
              <w:ind w:firstLine="0"/>
              <w:jc w:val="left"/>
              <w:rPr>
                <w:szCs w:val="24"/>
              </w:rPr>
            </w:pPr>
            <w:r w:rsidRPr="002206F5">
              <w:rPr>
                <w:szCs w:val="24"/>
              </w:rPr>
              <w:t>Фильтрация по 4-7 символам КБК</w:t>
            </w:r>
          </w:p>
          <w:p w:rsidR="00C13CA5" w:rsidRPr="002206F5" w:rsidRDefault="00C13CA5" w:rsidP="00C13CA5">
            <w:pPr>
              <w:ind w:firstLine="0"/>
              <w:jc w:val="left"/>
              <w:rPr>
                <w:szCs w:val="24"/>
              </w:rPr>
            </w:pPr>
            <w:r w:rsidRPr="002206F5">
              <w:rPr>
                <w:szCs w:val="24"/>
              </w:rPr>
              <w:t>Иерархический фильтр с возможностью выбора только одного параметра единовременно, а также с возможностью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7</w:t>
            </w:r>
          </w:p>
        </w:tc>
        <w:tc>
          <w:tcPr>
            <w:tcW w:w="1895" w:type="dxa"/>
          </w:tcPr>
          <w:p w:rsidR="00C13CA5" w:rsidRPr="002206F5" w:rsidRDefault="00C13CA5" w:rsidP="00C13CA5">
            <w:pPr>
              <w:ind w:firstLine="0"/>
              <w:jc w:val="left"/>
              <w:rPr>
                <w:szCs w:val="24"/>
              </w:rPr>
            </w:pPr>
            <w:r w:rsidRPr="002206F5">
              <w:rPr>
                <w:szCs w:val="24"/>
              </w:rPr>
              <w:t>КЦСР</w:t>
            </w:r>
          </w:p>
        </w:tc>
        <w:tc>
          <w:tcPr>
            <w:tcW w:w="3634" w:type="dxa"/>
          </w:tcPr>
          <w:p w:rsidR="00C13CA5" w:rsidRPr="002206F5" w:rsidRDefault="00C13CA5" w:rsidP="00C13CA5">
            <w:pPr>
              <w:ind w:firstLine="0"/>
              <w:jc w:val="left"/>
              <w:rPr>
                <w:szCs w:val="24"/>
              </w:rPr>
            </w:pPr>
            <w:r w:rsidRPr="002206F5">
              <w:rPr>
                <w:szCs w:val="24"/>
              </w:rPr>
              <w:t>Фильтрация по 8-17 символам КБК</w:t>
            </w:r>
          </w:p>
          <w:p w:rsidR="00C13CA5" w:rsidRPr="002206F5" w:rsidRDefault="00C13CA5" w:rsidP="00C13CA5">
            <w:pPr>
              <w:ind w:firstLine="0"/>
              <w:jc w:val="left"/>
              <w:rPr>
                <w:szCs w:val="24"/>
              </w:rPr>
            </w:pPr>
            <w:r w:rsidRPr="002206F5">
              <w:rPr>
                <w:szCs w:val="24"/>
              </w:rPr>
              <w:t>Реализована возможность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8</w:t>
            </w:r>
          </w:p>
        </w:tc>
        <w:tc>
          <w:tcPr>
            <w:tcW w:w="1895" w:type="dxa"/>
          </w:tcPr>
          <w:p w:rsidR="00C13CA5" w:rsidRPr="002206F5" w:rsidRDefault="00C13CA5" w:rsidP="00C13CA5">
            <w:pPr>
              <w:ind w:firstLine="0"/>
              <w:jc w:val="left"/>
              <w:rPr>
                <w:szCs w:val="24"/>
              </w:rPr>
            </w:pPr>
            <w:r w:rsidRPr="002206F5">
              <w:rPr>
                <w:szCs w:val="24"/>
              </w:rPr>
              <w:t>КВР</w:t>
            </w:r>
          </w:p>
        </w:tc>
        <w:tc>
          <w:tcPr>
            <w:tcW w:w="3634" w:type="dxa"/>
          </w:tcPr>
          <w:p w:rsidR="00C13CA5" w:rsidRPr="002206F5" w:rsidRDefault="00C13CA5" w:rsidP="00C13CA5">
            <w:pPr>
              <w:ind w:firstLine="0"/>
              <w:jc w:val="left"/>
              <w:rPr>
                <w:szCs w:val="24"/>
              </w:rPr>
            </w:pPr>
            <w:r w:rsidRPr="002206F5">
              <w:rPr>
                <w:szCs w:val="24"/>
              </w:rPr>
              <w:t>Фильтрация по 18-20 символам КБК</w:t>
            </w:r>
          </w:p>
          <w:p w:rsidR="00C13CA5" w:rsidRPr="002206F5" w:rsidRDefault="00C13CA5" w:rsidP="00C13CA5">
            <w:pPr>
              <w:ind w:firstLine="0"/>
              <w:jc w:val="left"/>
              <w:rPr>
                <w:szCs w:val="24"/>
              </w:rPr>
            </w:pPr>
            <w:r w:rsidRPr="002206F5">
              <w:rPr>
                <w:szCs w:val="24"/>
              </w:rPr>
              <w:t>Иерархический фильтр с возможностью множественного выбора и контекстного поиска</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9</w:t>
            </w:r>
          </w:p>
        </w:tc>
        <w:tc>
          <w:tcPr>
            <w:tcW w:w="1895" w:type="dxa"/>
          </w:tcPr>
          <w:p w:rsidR="00C13CA5" w:rsidRPr="002206F5" w:rsidRDefault="00C13CA5" w:rsidP="00C13CA5">
            <w:pPr>
              <w:ind w:firstLine="0"/>
              <w:jc w:val="left"/>
              <w:rPr>
                <w:szCs w:val="24"/>
              </w:rPr>
            </w:pPr>
            <w:r w:rsidRPr="002206F5">
              <w:rPr>
                <w:szCs w:val="24"/>
              </w:rPr>
              <w:t>Единицы измерения</w:t>
            </w:r>
          </w:p>
        </w:tc>
        <w:tc>
          <w:tcPr>
            <w:tcW w:w="3634" w:type="dxa"/>
          </w:tcPr>
          <w:p w:rsidR="00C13CA5" w:rsidRPr="002206F5" w:rsidRDefault="00C13CA5" w:rsidP="00C13CA5">
            <w:pPr>
              <w:ind w:firstLine="0"/>
              <w:jc w:val="left"/>
              <w:rPr>
                <w:szCs w:val="24"/>
              </w:rPr>
            </w:pPr>
            <w:r w:rsidRPr="002206F5">
              <w:rPr>
                <w:szCs w:val="24"/>
              </w:rPr>
              <w:t>Фильтр имеет значения: руб; тыс руб; млн руб; млрд руб.</w:t>
            </w:r>
          </w:p>
          <w:p w:rsidR="00C13CA5" w:rsidRPr="002206F5" w:rsidRDefault="00C13CA5" w:rsidP="00C13CA5">
            <w:pPr>
              <w:ind w:firstLine="0"/>
              <w:jc w:val="left"/>
              <w:rPr>
                <w:szCs w:val="24"/>
              </w:rPr>
            </w:pPr>
            <w:r w:rsidRPr="002206F5">
              <w:rPr>
                <w:szCs w:val="24"/>
              </w:rPr>
              <w:t>руб = ()</w:t>
            </w:r>
          </w:p>
          <w:p w:rsidR="00C13CA5" w:rsidRPr="002206F5" w:rsidRDefault="00C13CA5" w:rsidP="00C13CA5">
            <w:pPr>
              <w:ind w:firstLine="0"/>
              <w:jc w:val="left"/>
              <w:rPr>
                <w:szCs w:val="24"/>
              </w:rPr>
            </w:pPr>
            <w:r w:rsidRPr="002206F5">
              <w:rPr>
                <w:szCs w:val="24"/>
              </w:rPr>
              <w:t>тыс руб = ()/1000</w:t>
            </w:r>
          </w:p>
          <w:p w:rsidR="00C13CA5" w:rsidRPr="002206F5" w:rsidRDefault="00C13CA5" w:rsidP="00C13CA5">
            <w:pPr>
              <w:ind w:firstLine="0"/>
              <w:jc w:val="left"/>
              <w:rPr>
                <w:szCs w:val="24"/>
              </w:rPr>
            </w:pPr>
            <w:r w:rsidRPr="002206F5">
              <w:rPr>
                <w:szCs w:val="24"/>
              </w:rPr>
              <w:t>млн руб = ()/1000000</w:t>
            </w:r>
          </w:p>
          <w:p w:rsidR="00C13CA5" w:rsidRPr="002206F5" w:rsidRDefault="00C13CA5" w:rsidP="00C13CA5">
            <w:pPr>
              <w:ind w:firstLine="0"/>
              <w:jc w:val="left"/>
              <w:rPr>
                <w:szCs w:val="24"/>
              </w:rPr>
            </w:pPr>
            <w:r w:rsidRPr="002206F5">
              <w:rPr>
                <w:szCs w:val="24"/>
              </w:rPr>
              <w:t>млрд руб = ()/1000000000</w:t>
            </w:r>
          </w:p>
          <w:p w:rsidR="00C13CA5" w:rsidRPr="002206F5" w:rsidRDefault="00C13CA5" w:rsidP="00C13CA5">
            <w:pPr>
              <w:ind w:firstLine="0"/>
              <w:jc w:val="left"/>
              <w:rPr>
                <w:szCs w:val="24"/>
              </w:rPr>
            </w:pPr>
            <w:r w:rsidRPr="002206F5">
              <w:rPr>
                <w:szCs w:val="24"/>
              </w:rPr>
              <w:t>Фильтр работает по колонкам: Сумма соглашения (всего); Исполнено в прошлых периодах; Сумма соглашения на 2020 год; Сумма соглашения на 2021 год; Сумма соглашения на 2022 год; Сумма соглашения на будущие года; Исполнено всего; Исполнено в 2020 году.</w:t>
            </w:r>
          </w:p>
        </w:tc>
        <w:tc>
          <w:tcPr>
            <w:tcW w:w="4252" w:type="dxa"/>
          </w:tcPr>
          <w:p w:rsidR="00C13CA5" w:rsidRPr="002206F5" w:rsidRDefault="00C13CA5" w:rsidP="00C13CA5">
            <w:pPr>
              <w:ind w:firstLine="0"/>
              <w:jc w:val="left"/>
              <w:rPr>
                <w:szCs w:val="24"/>
              </w:rPr>
            </w:pP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10</w:t>
            </w:r>
          </w:p>
        </w:tc>
        <w:tc>
          <w:tcPr>
            <w:tcW w:w="1895" w:type="dxa"/>
          </w:tcPr>
          <w:p w:rsidR="00C13CA5" w:rsidRPr="002206F5" w:rsidRDefault="00C13CA5" w:rsidP="00C13CA5">
            <w:pPr>
              <w:ind w:firstLine="0"/>
              <w:jc w:val="left"/>
              <w:rPr>
                <w:szCs w:val="24"/>
              </w:rPr>
            </w:pPr>
            <w:r w:rsidRPr="002206F5">
              <w:rPr>
                <w:szCs w:val="24"/>
              </w:rPr>
              <w:t>Поле ввода «Номер РЗ федерального соглашения»</w:t>
            </w:r>
          </w:p>
        </w:tc>
        <w:tc>
          <w:tcPr>
            <w:tcW w:w="3634" w:type="dxa"/>
          </w:tcPr>
          <w:p w:rsidR="00C13CA5" w:rsidRPr="002206F5" w:rsidRDefault="00C13CA5" w:rsidP="00C13CA5">
            <w:pPr>
              <w:ind w:firstLine="0"/>
              <w:jc w:val="left"/>
              <w:rPr>
                <w:szCs w:val="24"/>
              </w:rPr>
            </w:pPr>
            <w:r w:rsidRPr="002206F5">
              <w:rPr>
                <w:szCs w:val="24"/>
              </w:rPr>
              <w:t>Фильтрация по уникальному номеру реестровой записи родительского федерального соглашения</w:t>
            </w:r>
          </w:p>
          <w:p w:rsidR="00C13CA5" w:rsidRPr="002206F5" w:rsidRDefault="00C13CA5" w:rsidP="00C13CA5">
            <w:pPr>
              <w:ind w:firstLine="0"/>
              <w:jc w:val="left"/>
              <w:rPr>
                <w:szCs w:val="24"/>
              </w:rPr>
            </w:pPr>
            <w:r w:rsidRPr="002206F5">
              <w:rPr>
                <w:szCs w:val="24"/>
              </w:rPr>
              <w:t>Возможность ввода одного значения единовременно</w:t>
            </w:r>
          </w:p>
          <w:p w:rsidR="00C13CA5" w:rsidRPr="002206F5" w:rsidRDefault="00C13CA5" w:rsidP="00C13CA5">
            <w:pPr>
              <w:ind w:firstLine="0"/>
              <w:jc w:val="left"/>
              <w:rPr>
                <w:szCs w:val="24"/>
              </w:rPr>
            </w:pPr>
            <w:r w:rsidRPr="002206F5">
              <w:rPr>
                <w:szCs w:val="24"/>
              </w:rPr>
              <w:t>Реализована автоматическая передача выбранного значения данного фильтра между представлениями</w:t>
            </w:r>
          </w:p>
        </w:tc>
        <w:tc>
          <w:tcPr>
            <w:tcW w:w="4252" w:type="dxa"/>
          </w:tcPr>
          <w:p w:rsidR="00C13CA5" w:rsidRPr="002206F5" w:rsidRDefault="00C13CA5" w:rsidP="00C13CA5">
            <w:pPr>
              <w:ind w:firstLine="0"/>
              <w:jc w:val="left"/>
              <w:rPr>
                <w:szCs w:val="24"/>
              </w:rPr>
            </w:pPr>
            <w:r w:rsidRPr="002206F5">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11</w:t>
            </w:r>
          </w:p>
        </w:tc>
        <w:tc>
          <w:tcPr>
            <w:tcW w:w="1895" w:type="dxa"/>
          </w:tcPr>
          <w:p w:rsidR="00C13CA5" w:rsidRPr="002206F5" w:rsidRDefault="00C13CA5" w:rsidP="00C13CA5">
            <w:pPr>
              <w:ind w:firstLine="0"/>
              <w:jc w:val="left"/>
              <w:rPr>
                <w:szCs w:val="24"/>
              </w:rPr>
            </w:pPr>
            <w:r w:rsidRPr="002206F5">
              <w:rPr>
                <w:szCs w:val="24"/>
              </w:rPr>
              <w:t>Поле ввода «Номер соглашения, РЗ»</w:t>
            </w:r>
          </w:p>
        </w:tc>
        <w:tc>
          <w:tcPr>
            <w:tcW w:w="3634" w:type="dxa"/>
          </w:tcPr>
          <w:p w:rsidR="00C13CA5" w:rsidRPr="002206F5" w:rsidRDefault="00C13CA5" w:rsidP="00C13CA5">
            <w:pPr>
              <w:ind w:firstLine="0"/>
              <w:jc w:val="left"/>
              <w:rPr>
                <w:szCs w:val="24"/>
              </w:rPr>
            </w:pPr>
            <w:r w:rsidRPr="002206F5">
              <w:rPr>
                <w:szCs w:val="24"/>
              </w:rPr>
              <w:t>Фильтрация по уникальному номеру реестровой записи и по номеру соглашения (договора)/НПА</w:t>
            </w:r>
          </w:p>
          <w:p w:rsidR="00C13CA5" w:rsidRPr="002206F5" w:rsidRDefault="00C13CA5" w:rsidP="00C13CA5">
            <w:pPr>
              <w:ind w:firstLine="0"/>
              <w:jc w:val="left"/>
              <w:rPr>
                <w:szCs w:val="24"/>
              </w:rPr>
            </w:pPr>
            <w:r w:rsidRPr="002206F5">
              <w:rPr>
                <w:szCs w:val="24"/>
              </w:rPr>
              <w:t>Возможность ввода одного значения единовременно</w:t>
            </w:r>
          </w:p>
        </w:tc>
        <w:tc>
          <w:tcPr>
            <w:tcW w:w="4252" w:type="dxa"/>
          </w:tcPr>
          <w:p w:rsidR="00C13CA5" w:rsidRPr="002206F5" w:rsidRDefault="00C13CA5" w:rsidP="00C13CA5">
            <w:pPr>
              <w:ind w:firstLine="0"/>
              <w:jc w:val="left"/>
              <w:rPr>
                <w:szCs w:val="24"/>
              </w:rPr>
            </w:pPr>
            <w:r w:rsidRPr="002206F5">
              <w:rPr>
                <w:szCs w:val="24"/>
              </w:rPr>
              <w:t xml:space="preserve">ПУР АСС =&gt; Реквизиты соглашения (договора), НПА =&gt; </w:t>
            </w:r>
          </w:p>
          <w:p w:rsidR="00C13CA5" w:rsidRPr="002206F5" w:rsidRDefault="00C13CA5" w:rsidP="00C13CA5">
            <w:pPr>
              <w:ind w:firstLine="0"/>
              <w:jc w:val="left"/>
              <w:rPr>
                <w:szCs w:val="24"/>
              </w:rPr>
            </w:pPr>
            <w:r w:rsidRPr="002206F5">
              <w:rPr>
                <w:szCs w:val="24"/>
              </w:rPr>
              <w:t>- Уникальный номер реестровой записи (без учета номера версии, т.е. последних 3-х символов)</w:t>
            </w:r>
          </w:p>
          <w:p w:rsidR="00C13CA5" w:rsidRPr="002206F5" w:rsidRDefault="00C13CA5" w:rsidP="00C13CA5">
            <w:pPr>
              <w:ind w:firstLine="0"/>
              <w:jc w:val="left"/>
              <w:rPr>
                <w:szCs w:val="24"/>
              </w:rPr>
            </w:pPr>
            <w:r w:rsidRPr="002206F5">
              <w:rPr>
                <w:szCs w:val="24"/>
              </w:rPr>
              <w:t>- Номер соглашения (договора)/нормативного правового акта</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12</w:t>
            </w:r>
          </w:p>
        </w:tc>
        <w:tc>
          <w:tcPr>
            <w:tcW w:w="1895" w:type="dxa"/>
          </w:tcPr>
          <w:p w:rsidR="00C13CA5" w:rsidRPr="002206F5" w:rsidRDefault="00C13CA5" w:rsidP="00C13CA5">
            <w:pPr>
              <w:ind w:firstLine="0"/>
              <w:jc w:val="left"/>
              <w:rPr>
                <w:szCs w:val="24"/>
              </w:rPr>
            </w:pPr>
            <w:r w:rsidRPr="002206F5">
              <w:rPr>
                <w:szCs w:val="24"/>
              </w:rPr>
              <w:t>Поле ввода «Наименование, ИНН, КПП получателя, код СвР»</w:t>
            </w:r>
          </w:p>
        </w:tc>
        <w:tc>
          <w:tcPr>
            <w:tcW w:w="3634" w:type="dxa"/>
          </w:tcPr>
          <w:p w:rsidR="00C13CA5" w:rsidRPr="002206F5" w:rsidRDefault="00C13CA5" w:rsidP="00C13CA5">
            <w:pPr>
              <w:ind w:firstLine="0"/>
              <w:jc w:val="left"/>
              <w:rPr>
                <w:szCs w:val="24"/>
              </w:rPr>
            </w:pPr>
            <w:r w:rsidRPr="002206F5">
              <w:rPr>
                <w:szCs w:val="24"/>
              </w:rPr>
              <w:t>Фильтрация по наименованию, ИНН, КПП получателя, коду СвР</w:t>
            </w:r>
          </w:p>
          <w:p w:rsidR="00C13CA5" w:rsidRPr="002206F5" w:rsidRDefault="00C13CA5" w:rsidP="00C13CA5">
            <w:pPr>
              <w:ind w:firstLine="0"/>
              <w:jc w:val="left"/>
              <w:rPr>
                <w:szCs w:val="24"/>
              </w:rPr>
            </w:pPr>
            <w:r w:rsidRPr="002206F5">
              <w:rPr>
                <w:szCs w:val="24"/>
              </w:rPr>
              <w:t>Возможность ввода одного значения единовременно</w:t>
            </w:r>
          </w:p>
        </w:tc>
        <w:tc>
          <w:tcPr>
            <w:tcW w:w="4252" w:type="dxa"/>
          </w:tcPr>
          <w:p w:rsidR="00C13CA5" w:rsidRPr="002206F5" w:rsidRDefault="00C13CA5" w:rsidP="00C13CA5">
            <w:pPr>
              <w:ind w:firstLine="0"/>
              <w:jc w:val="left"/>
              <w:rPr>
                <w:szCs w:val="24"/>
              </w:rPr>
            </w:pPr>
            <w:r w:rsidRPr="002206F5">
              <w:rPr>
                <w:szCs w:val="24"/>
              </w:rPr>
              <w:t>ПУР АСС =&gt; Реквизиты получателя субсидии =&gt;</w:t>
            </w:r>
          </w:p>
          <w:p w:rsidR="00C13CA5" w:rsidRPr="002206F5" w:rsidRDefault="00C13CA5" w:rsidP="00C13CA5">
            <w:pPr>
              <w:ind w:firstLine="0"/>
              <w:jc w:val="left"/>
              <w:rPr>
                <w:szCs w:val="24"/>
              </w:rPr>
            </w:pPr>
            <w:r w:rsidRPr="002206F5">
              <w:rPr>
                <w:szCs w:val="24"/>
              </w:rPr>
              <w:t>- Полное наименование юридического лица/ФИО физического лица на русском языке</w:t>
            </w:r>
          </w:p>
          <w:p w:rsidR="00C13CA5" w:rsidRPr="002206F5" w:rsidRDefault="00C13CA5" w:rsidP="00C13CA5">
            <w:pPr>
              <w:ind w:firstLine="0"/>
              <w:jc w:val="left"/>
              <w:rPr>
                <w:szCs w:val="24"/>
              </w:rPr>
            </w:pPr>
            <w:r w:rsidRPr="002206F5">
              <w:rPr>
                <w:szCs w:val="24"/>
              </w:rPr>
              <w:t>- ИНН</w:t>
            </w:r>
          </w:p>
          <w:p w:rsidR="00C13CA5" w:rsidRPr="002206F5" w:rsidRDefault="00C13CA5" w:rsidP="00C13CA5">
            <w:pPr>
              <w:ind w:firstLine="0"/>
              <w:jc w:val="left"/>
              <w:rPr>
                <w:szCs w:val="24"/>
              </w:rPr>
            </w:pPr>
            <w:r w:rsidRPr="002206F5">
              <w:rPr>
                <w:szCs w:val="24"/>
              </w:rPr>
              <w:t>- КПП</w:t>
            </w:r>
          </w:p>
          <w:p w:rsidR="00C13CA5" w:rsidRPr="002206F5" w:rsidRDefault="00C13CA5" w:rsidP="00C13CA5">
            <w:pPr>
              <w:ind w:firstLine="0"/>
              <w:jc w:val="left"/>
              <w:rPr>
                <w:szCs w:val="24"/>
              </w:rPr>
            </w:pPr>
            <w:r w:rsidRPr="002206F5">
              <w:rPr>
                <w:szCs w:val="24"/>
              </w:rPr>
              <w:t>- Код по сводному реестру</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13</w:t>
            </w:r>
          </w:p>
        </w:tc>
        <w:tc>
          <w:tcPr>
            <w:tcW w:w="1895" w:type="dxa"/>
          </w:tcPr>
          <w:p w:rsidR="00C13CA5" w:rsidRPr="002206F5" w:rsidRDefault="00C13CA5" w:rsidP="00C13CA5">
            <w:pPr>
              <w:ind w:firstLine="0"/>
              <w:jc w:val="left"/>
              <w:rPr>
                <w:szCs w:val="24"/>
              </w:rPr>
            </w:pPr>
            <w:r w:rsidRPr="002206F5">
              <w:rPr>
                <w:szCs w:val="24"/>
              </w:rPr>
              <w:t>КБК</w:t>
            </w:r>
          </w:p>
        </w:tc>
        <w:tc>
          <w:tcPr>
            <w:tcW w:w="3634" w:type="dxa"/>
          </w:tcPr>
          <w:p w:rsidR="00C13CA5" w:rsidRPr="002206F5" w:rsidRDefault="00C13CA5" w:rsidP="00C13CA5">
            <w:pPr>
              <w:ind w:firstLine="0"/>
              <w:jc w:val="left"/>
              <w:rPr>
                <w:szCs w:val="24"/>
              </w:rPr>
            </w:pPr>
            <w:r w:rsidRPr="002206F5">
              <w:rPr>
                <w:szCs w:val="24"/>
              </w:rPr>
              <w:t>Фильтрация по маске КБК</w:t>
            </w:r>
          </w:p>
          <w:p w:rsidR="00C13CA5" w:rsidRPr="002206F5" w:rsidRDefault="00C13CA5" w:rsidP="00C13CA5">
            <w:pPr>
              <w:ind w:firstLine="0"/>
              <w:jc w:val="left"/>
              <w:rPr>
                <w:szCs w:val="24"/>
              </w:rPr>
            </w:pPr>
            <w:r w:rsidRPr="002206F5">
              <w:rPr>
                <w:szCs w:val="24"/>
              </w:rPr>
              <w:t>Возможность ввода необходимых сегментов КБК в несколько шагов</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14</w:t>
            </w:r>
          </w:p>
        </w:tc>
        <w:tc>
          <w:tcPr>
            <w:tcW w:w="1895" w:type="dxa"/>
          </w:tcPr>
          <w:p w:rsidR="00C13CA5" w:rsidRPr="002206F5" w:rsidRDefault="00C13CA5" w:rsidP="00C13CA5">
            <w:pPr>
              <w:ind w:firstLine="0"/>
              <w:jc w:val="left"/>
              <w:rPr>
                <w:szCs w:val="24"/>
              </w:rPr>
            </w:pPr>
            <w:r w:rsidRPr="002206F5">
              <w:rPr>
                <w:szCs w:val="24"/>
              </w:rPr>
              <w:t>Национальный проект</w:t>
            </w:r>
          </w:p>
        </w:tc>
        <w:tc>
          <w:tcPr>
            <w:tcW w:w="3634" w:type="dxa"/>
          </w:tcPr>
          <w:p w:rsidR="00C13CA5" w:rsidRPr="002206F5" w:rsidRDefault="00C13CA5" w:rsidP="00C13CA5">
            <w:pPr>
              <w:ind w:firstLine="0"/>
              <w:jc w:val="left"/>
              <w:rPr>
                <w:szCs w:val="24"/>
              </w:rPr>
            </w:pPr>
            <w:r w:rsidRPr="002206F5">
              <w:rPr>
                <w:szCs w:val="24"/>
              </w:rPr>
              <w:t>Фильтрация по 11-12 символам КБК</w:t>
            </w:r>
          </w:p>
          <w:p w:rsidR="00C13CA5" w:rsidRPr="002206F5" w:rsidRDefault="00C13CA5" w:rsidP="00C13CA5">
            <w:pPr>
              <w:ind w:firstLine="0"/>
              <w:jc w:val="left"/>
              <w:rPr>
                <w:szCs w:val="24"/>
              </w:rPr>
            </w:pPr>
            <w:r w:rsidRPr="002206F5">
              <w:rPr>
                <w:szCs w:val="24"/>
              </w:rPr>
              <w:t>Иерархический фильтр с возможностью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lang w:val="en-US"/>
              </w:rPr>
            </w:pPr>
            <w:r w:rsidRPr="002206F5">
              <w:rPr>
                <w:szCs w:val="24"/>
                <w:lang w:val="en-US"/>
              </w:rPr>
              <w:t>15</w:t>
            </w:r>
          </w:p>
        </w:tc>
        <w:tc>
          <w:tcPr>
            <w:tcW w:w="1895" w:type="dxa"/>
          </w:tcPr>
          <w:p w:rsidR="00C13CA5" w:rsidRPr="002206F5" w:rsidRDefault="00C13CA5" w:rsidP="00C13CA5">
            <w:pPr>
              <w:ind w:firstLine="0"/>
              <w:jc w:val="left"/>
              <w:rPr>
                <w:szCs w:val="24"/>
              </w:rPr>
            </w:pPr>
            <w:r w:rsidRPr="002206F5">
              <w:rPr>
                <w:szCs w:val="24"/>
              </w:rPr>
              <w:t>КЦСР федерального соглашения</w:t>
            </w:r>
          </w:p>
        </w:tc>
        <w:tc>
          <w:tcPr>
            <w:tcW w:w="3634" w:type="dxa"/>
          </w:tcPr>
          <w:p w:rsidR="00C13CA5" w:rsidRPr="002206F5" w:rsidRDefault="00C13CA5" w:rsidP="00C13CA5">
            <w:pPr>
              <w:ind w:firstLine="0"/>
              <w:jc w:val="left"/>
              <w:rPr>
                <w:szCs w:val="24"/>
              </w:rPr>
            </w:pPr>
            <w:r w:rsidRPr="002206F5">
              <w:rPr>
                <w:szCs w:val="24"/>
              </w:rPr>
              <w:t>Фильтрация по 8-17 символам КБК соглашения федерального уровня</w:t>
            </w:r>
          </w:p>
          <w:p w:rsidR="00C13CA5" w:rsidRPr="002206F5" w:rsidRDefault="00C13CA5" w:rsidP="00C13CA5">
            <w:pPr>
              <w:ind w:firstLine="0"/>
              <w:jc w:val="left"/>
              <w:rPr>
                <w:szCs w:val="24"/>
              </w:rPr>
            </w:pPr>
            <w:r w:rsidRPr="002206F5">
              <w:rPr>
                <w:szCs w:val="24"/>
              </w:rPr>
              <w:t>Реализована возможность множественного выбора и контекстного поиска</w:t>
            </w:r>
          </w:p>
          <w:p w:rsidR="00C13CA5" w:rsidRPr="002206F5" w:rsidRDefault="00C13CA5" w:rsidP="00C13CA5">
            <w:pPr>
              <w:ind w:firstLine="0"/>
              <w:jc w:val="left"/>
              <w:rPr>
                <w:szCs w:val="24"/>
              </w:rPr>
            </w:pPr>
            <w:r w:rsidRPr="002206F5">
              <w:rPr>
                <w:szCs w:val="24"/>
              </w:rPr>
              <w:t>По умолчанию установлено значение «Все»</w:t>
            </w:r>
          </w:p>
          <w:p w:rsidR="00C13CA5" w:rsidRPr="002206F5" w:rsidRDefault="00C13CA5" w:rsidP="00C13CA5">
            <w:pPr>
              <w:ind w:firstLine="0"/>
              <w:jc w:val="left"/>
              <w:rPr>
                <w:szCs w:val="24"/>
              </w:rPr>
            </w:pPr>
            <w:r w:rsidRPr="002206F5">
              <w:rPr>
                <w:szCs w:val="24"/>
              </w:rPr>
              <w:t>Реализована автоматическая передача выбранного значения данного фильтра между представлениями</w:t>
            </w:r>
          </w:p>
        </w:tc>
        <w:tc>
          <w:tcPr>
            <w:tcW w:w="4252" w:type="dxa"/>
          </w:tcPr>
          <w:p w:rsidR="00C13CA5" w:rsidRPr="002206F5" w:rsidRDefault="00C13CA5" w:rsidP="00C13CA5">
            <w:pPr>
              <w:ind w:firstLine="0"/>
              <w:jc w:val="left"/>
              <w:rPr>
                <w:szCs w:val="24"/>
              </w:rPr>
            </w:pPr>
            <w:r w:rsidRPr="002206F5">
              <w:rPr>
                <w:szCs w:val="24"/>
              </w:rPr>
              <w:t>ПУР АСС =&gt; График платежей =&gt; КБК</w:t>
            </w:r>
          </w:p>
        </w:tc>
      </w:tr>
      <w:tr w:rsidR="00C13CA5" w:rsidRPr="002206F5" w:rsidTr="00823B84">
        <w:tc>
          <w:tcPr>
            <w:tcW w:w="567" w:type="dxa"/>
          </w:tcPr>
          <w:p w:rsidR="00C13CA5" w:rsidRPr="002206F5" w:rsidRDefault="00C13CA5" w:rsidP="00C13CA5">
            <w:pPr>
              <w:ind w:firstLine="0"/>
              <w:jc w:val="left"/>
              <w:rPr>
                <w:szCs w:val="24"/>
              </w:rPr>
            </w:pPr>
            <w:r w:rsidRPr="002206F5">
              <w:rPr>
                <w:szCs w:val="24"/>
              </w:rPr>
              <w:t>16</w:t>
            </w:r>
          </w:p>
        </w:tc>
        <w:tc>
          <w:tcPr>
            <w:tcW w:w="1895" w:type="dxa"/>
          </w:tcPr>
          <w:p w:rsidR="00C13CA5" w:rsidRPr="002206F5" w:rsidRDefault="00C13CA5" w:rsidP="00C13CA5">
            <w:pPr>
              <w:ind w:firstLine="0"/>
              <w:jc w:val="left"/>
              <w:rPr>
                <w:szCs w:val="24"/>
              </w:rPr>
            </w:pPr>
            <w:r w:rsidRPr="002206F5">
              <w:rPr>
                <w:szCs w:val="24"/>
              </w:rPr>
              <w:t>МО получателя</w:t>
            </w:r>
          </w:p>
        </w:tc>
        <w:tc>
          <w:tcPr>
            <w:tcW w:w="3634" w:type="dxa"/>
          </w:tcPr>
          <w:p w:rsidR="00C13CA5" w:rsidRPr="002206F5" w:rsidRDefault="00C13CA5" w:rsidP="00C13CA5">
            <w:pPr>
              <w:ind w:firstLine="0"/>
              <w:jc w:val="left"/>
              <w:rPr>
                <w:szCs w:val="24"/>
              </w:rPr>
            </w:pPr>
            <w:r w:rsidRPr="002206F5">
              <w:rPr>
                <w:szCs w:val="24"/>
              </w:rPr>
              <w:t>Фильтрация по коду ОКТМО получателя</w:t>
            </w:r>
          </w:p>
        </w:tc>
        <w:tc>
          <w:tcPr>
            <w:tcW w:w="4252" w:type="dxa"/>
          </w:tcPr>
          <w:p w:rsidR="00C13CA5" w:rsidRPr="002206F5" w:rsidRDefault="00C13CA5" w:rsidP="00C13CA5">
            <w:pPr>
              <w:ind w:firstLine="0"/>
              <w:jc w:val="left"/>
              <w:rPr>
                <w:szCs w:val="24"/>
              </w:rPr>
            </w:pPr>
            <w:r w:rsidRPr="002206F5">
              <w:rPr>
                <w:szCs w:val="24"/>
              </w:rPr>
              <w:t>ПУР АСС =&gt; Реквизиты получателя субсидии =&gt; Место нахождения юридического/физического лица получателя субсидии, получателя средств =&gt; Код территории населенного пункта по ОКТМО</w:t>
            </w:r>
          </w:p>
        </w:tc>
      </w:tr>
    </w:tbl>
    <w:p w:rsidR="00C13CA5" w:rsidRDefault="00C13CA5" w:rsidP="00C13CA5">
      <w:pPr>
        <w:pStyle w:val="-0"/>
      </w:pPr>
    </w:p>
    <w:p w:rsidR="00642D44" w:rsidRDefault="00642D44" w:rsidP="00321FCA">
      <w:pPr>
        <w:pStyle w:val="afffff7"/>
      </w:pPr>
      <w:r w:rsidRPr="00642D44">
        <w:t>Представление «Бюджеты субъектов Р</w:t>
      </w:r>
      <w:r>
        <w:t>Ф» - «По значениям результатов»</w:t>
      </w:r>
      <w:r>
        <w:rPr>
          <w:noProof/>
          <w:lang w:eastAsia="ru-RU"/>
        </w:rPr>
        <w:drawing>
          <wp:inline distT="0" distB="0" distL="0" distR="0" wp14:anchorId="56AFF65D" wp14:editId="378B3C75">
            <wp:extent cx="5939790" cy="2997388"/>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316" cstate="print">
                      <a:extLst>
                        <a:ext uri="{28A0092B-C50C-407E-A947-70E740481C1C}">
                          <a14:useLocalDpi xmlns:a14="http://schemas.microsoft.com/office/drawing/2010/main" val="0"/>
                        </a:ext>
                      </a:extLst>
                    </a:blip>
                    <a:stretch>
                      <a:fillRect/>
                    </a:stretch>
                  </pic:blipFill>
                  <pic:spPr>
                    <a:xfrm>
                      <a:off x="0" y="0"/>
                      <a:ext cx="5939790" cy="2997388"/>
                    </a:xfrm>
                    <a:prstGeom prst="rect">
                      <a:avLst/>
                    </a:prstGeom>
                  </pic:spPr>
                </pic:pic>
              </a:graphicData>
            </a:graphic>
          </wp:inline>
        </w:drawing>
      </w:r>
    </w:p>
    <w:p w:rsidR="00642D44" w:rsidRDefault="00642D44" w:rsidP="00642D44">
      <w:pPr>
        <w:pStyle w:val="-0"/>
      </w:pPr>
      <w:bookmarkStart w:id="899" w:name="_Toc119584424"/>
      <w:r>
        <w:t xml:space="preserve">Рисунок </w:t>
      </w:r>
      <w:fldSimple w:instr=" SEQ Рисунок \* ARABIC ">
        <w:r w:rsidR="001860A9">
          <w:rPr>
            <w:noProof/>
          </w:rPr>
          <w:t>237</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ы субъектов РФ</w:t>
      </w:r>
      <w:r w:rsidRPr="00D84966">
        <w:t>»</w:t>
      </w:r>
      <w:r>
        <w:t xml:space="preserve"> -</w:t>
      </w:r>
      <w:r w:rsidRPr="00D84966">
        <w:t xml:space="preserve"> «По</w:t>
      </w:r>
      <w:r>
        <w:t xml:space="preserve"> значениям результатов</w:t>
      </w:r>
      <w:r w:rsidRPr="00D84966">
        <w:t>»</w:t>
      </w:r>
      <w:bookmarkEnd w:id="899"/>
    </w:p>
    <w:p w:rsidR="00642D44" w:rsidRPr="007A0A36" w:rsidRDefault="00642D44" w:rsidP="00642D44">
      <w:pPr>
        <w:ind w:firstLine="709"/>
        <w:rPr>
          <w:sz w:val="28"/>
          <w:szCs w:val="28"/>
        </w:rPr>
      </w:pPr>
      <w:r w:rsidRPr="007A0A36">
        <w:rPr>
          <w:sz w:val="28"/>
          <w:szCs w:val="28"/>
        </w:rPr>
        <w:t>Область таблицы: на строке «Итого» отображаются общие значения только по уникальным реестровым записям.</w:t>
      </w:r>
    </w:p>
    <w:tbl>
      <w:tblPr>
        <w:tblStyle w:val="affe"/>
        <w:tblW w:w="10348" w:type="dxa"/>
        <w:tblInd w:w="-176" w:type="dxa"/>
        <w:tblLayout w:type="fixed"/>
        <w:tblLook w:val="04A0" w:firstRow="1" w:lastRow="0" w:firstColumn="1" w:lastColumn="0" w:noHBand="0" w:noVBand="1"/>
      </w:tblPr>
      <w:tblGrid>
        <w:gridCol w:w="567"/>
        <w:gridCol w:w="1276"/>
        <w:gridCol w:w="992"/>
        <w:gridCol w:w="3402"/>
        <w:gridCol w:w="4111"/>
      </w:tblGrid>
      <w:tr w:rsidR="00642D44" w:rsidRPr="007A0A36" w:rsidTr="005C0BB5">
        <w:trPr>
          <w:tblHeader/>
        </w:trPr>
        <w:tc>
          <w:tcPr>
            <w:tcW w:w="567" w:type="dxa"/>
            <w:shd w:val="clear" w:color="auto" w:fill="F2F2F2" w:themeFill="background1" w:themeFillShade="F2"/>
            <w:vAlign w:val="center"/>
          </w:tcPr>
          <w:p w:rsidR="00642D44" w:rsidRPr="007A0A36" w:rsidRDefault="00642D44" w:rsidP="00E4576E">
            <w:pPr>
              <w:ind w:firstLine="0"/>
              <w:jc w:val="center"/>
              <w:rPr>
                <w:b/>
                <w:szCs w:val="24"/>
              </w:rPr>
            </w:pPr>
            <w:r w:rsidRPr="007A0A36">
              <w:rPr>
                <w:b/>
                <w:szCs w:val="24"/>
              </w:rPr>
              <w:t>№ колонки</w:t>
            </w:r>
          </w:p>
        </w:tc>
        <w:tc>
          <w:tcPr>
            <w:tcW w:w="1276" w:type="dxa"/>
            <w:shd w:val="clear" w:color="auto" w:fill="F2F2F2" w:themeFill="background1" w:themeFillShade="F2"/>
            <w:vAlign w:val="center"/>
          </w:tcPr>
          <w:p w:rsidR="00642D44" w:rsidRPr="007A0A36" w:rsidRDefault="00642D44" w:rsidP="00E4576E">
            <w:pPr>
              <w:ind w:firstLine="0"/>
              <w:jc w:val="center"/>
              <w:rPr>
                <w:b/>
                <w:szCs w:val="24"/>
              </w:rPr>
            </w:pPr>
            <w:r w:rsidRPr="007A0A36">
              <w:rPr>
                <w:b/>
                <w:szCs w:val="24"/>
              </w:rPr>
              <w:t>Наименование</w:t>
            </w:r>
          </w:p>
        </w:tc>
        <w:tc>
          <w:tcPr>
            <w:tcW w:w="992" w:type="dxa"/>
            <w:shd w:val="clear" w:color="auto" w:fill="F2F2F2" w:themeFill="background1" w:themeFillShade="F2"/>
            <w:vAlign w:val="center"/>
          </w:tcPr>
          <w:p w:rsidR="00642D44" w:rsidRPr="007A0A36" w:rsidRDefault="00642D44" w:rsidP="00E4576E">
            <w:pPr>
              <w:ind w:left="34" w:firstLine="0"/>
              <w:jc w:val="center"/>
              <w:rPr>
                <w:b/>
                <w:szCs w:val="24"/>
              </w:rPr>
            </w:pPr>
            <w:r w:rsidRPr="007A0A36">
              <w:rPr>
                <w:b/>
                <w:szCs w:val="24"/>
              </w:rPr>
              <w:t>Колонка по умолчанию</w:t>
            </w:r>
          </w:p>
        </w:tc>
        <w:tc>
          <w:tcPr>
            <w:tcW w:w="3402" w:type="dxa"/>
            <w:shd w:val="clear" w:color="auto" w:fill="F2F2F2" w:themeFill="background1" w:themeFillShade="F2"/>
            <w:vAlign w:val="center"/>
          </w:tcPr>
          <w:p w:rsidR="00642D44" w:rsidRPr="007A0A36" w:rsidRDefault="00642D44" w:rsidP="00E4576E">
            <w:pPr>
              <w:ind w:left="34" w:firstLine="0"/>
              <w:jc w:val="center"/>
              <w:rPr>
                <w:b/>
                <w:szCs w:val="24"/>
              </w:rPr>
            </w:pPr>
            <w:r w:rsidRPr="007A0A36">
              <w:rPr>
                <w:b/>
                <w:szCs w:val="24"/>
              </w:rPr>
              <w:t>Алгоритмы и переходы</w:t>
            </w:r>
          </w:p>
        </w:tc>
        <w:tc>
          <w:tcPr>
            <w:tcW w:w="4111" w:type="dxa"/>
            <w:shd w:val="clear" w:color="auto" w:fill="F2F2F2" w:themeFill="background1" w:themeFillShade="F2"/>
            <w:vAlign w:val="center"/>
          </w:tcPr>
          <w:p w:rsidR="00642D44" w:rsidRPr="007A0A36" w:rsidRDefault="00642D44" w:rsidP="00E4576E">
            <w:pPr>
              <w:ind w:left="34" w:firstLine="0"/>
              <w:jc w:val="center"/>
              <w:rPr>
                <w:b/>
                <w:szCs w:val="24"/>
              </w:rPr>
            </w:pPr>
            <w:r w:rsidRPr="007A0A36">
              <w:rPr>
                <w:b/>
                <w:szCs w:val="24"/>
              </w:rPr>
              <w:t>Источник данных</w:t>
            </w:r>
          </w:p>
        </w:tc>
      </w:tr>
      <w:tr w:rsidR="00642D44" w:rsidRPr="007A0A36" w:rsidTr="005C0BB5">
        <w:tc>
          <w:tcPr>
            <w:tcW w:w="10348" w:type="dxa"/>
            <w:gridSpan w:val="5"/>
            <w:shd w:val="clear" w:color="auto" w:fill="D9D9D9" w:themeFill="background1" w:themeFillShade="D9"/>
          </w:tcPr>
          <w:p w:rsidR="00642D44" w:rsidRPr="007A0A36" w:rsidRDefault="00642D44" w:rsidP="00E4576E">
            <w:pPr>
              <w:ind w:left="34" w:firstLine="0"/>
              <w:jc w:val="center"/>
              <w:rPr>
                <w:szCs w:val="24"/>
              </w:rPr>
            </w:pPr>
            <w:r w:rsidRPr="007A0A36">
              <w:rPr>
                <w:szCs w:val="24"/>
              </w:rPr>
              <w:t>Блок реквизитов соглашения, распорядителя и получателя</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w:t>
            </w:r>
          </w:p>
        </w:tc>
        <w:tc>
          <w:tcPr>
            <w:tcW w:w="1276" w:type="dxa"/>
          </w:tcPr>
          <w:p w:rsidR="00642D44" w:rsidRPr="007A0A36" w:rsidRDefault="00642D44" w:rsidP="00E4576E">
            <w:pPr>
              <w:ind w:firstLine="0"/>
              <w:jc w:val="left"/>
              <w:rPr>
                <w:szCs w:val="24"/>
              </w:rPr>
            </w:pPr>
            <w:r w:rsidRPr="007A0A36">
              <w:rPr>
                <w:szCs w:val="24"/>
              </w:rPr>
              <w:t>Уникальный реестровый номер записи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Реализованы переходы:</w:t>
            </w:r>
          </w:p>
          <w:p w:rsidR="00642D44" w:rsidRPr="007A0A36" w:rsidRDefault="00642D44" w:rsidP="00E4576E">
            <w:pPr>
              <w:ind w:left="34" w:firstLine="0"/>
              <w:jc w:val="left"/>
              <w:rPr>
                <w:szCs w:val="24"/>
              </w:rPr>
            </w:pPr>
            <w:r w:rsidRPr="007A0A36">
              <w:rPr>
                <w:szCs w:val="24"/>
              </w:rPr>
              <w:t>- «Показать в ПУР»;</w:t>
            </w:r>
          </w:p>
          <w:p w:rsidR="00642D44" w:rsidRPr="007A0A36" w:rsidRDefault="00642D44" w:rsidP="00E4576E">
            <w:pPr>
              <w:ind w:left="34" w:firstLine="0"/>
              <w:jc w:val="left"/>
              <w:rPr>
                <w:szCs w:val="24"/>
              </w:rPr>
            </w:pPr>
            <w:r w:rsidRPr="007A0A36">
              <w:rPr>
                <w:szCs w:val="24"/>
              </w:rPr>
              <w:t>- «Реестр соглашений (ЕПБС)» (Вкладка «Общие сведения»);</w:t>
            </w:r>
          </w:p>
          <w:p w:rsidR="00642D44" w:rsidRPr="007A0A36" w:rsidRDefault="00642D44" w:rsidP="00E4576E">
            <w:pPr>
              <w:ind w:left="34" w:firstLine="0"/>
              <w:jc w:val="left"/>
              <w:rPr>
                <w:szCs w:val="24"/>
              </w:rPr>
            </w:pPr>
            <w:r w:rsidRPr="007A0A36">
              <w:rPr>
                <w:szCs w:val="24"/>
              </w:rPr>
              <w:t>- «По соглашениям (Бюджеты субъектов РФ)».</w:t>
            </w:r>
          </w:p>
        </w:tc>
        <w:tc>
          <w:tcPr>
            <w:tcW w:w="4111" w:type="dxa"/>
          </w:tcPr>
          <w:p w:rsidR="00642D44" w:rsidRPr="007A0A36" w:rsidRDefault="00642D44" w:rsidP="00E4576E">
            <w:pPr>
              <w:ind w:left="34" w:firstLine="0"/>
              <w:jc w:val="left"/>
              <w:rPr>
                <w:szCs w:val="24"/>
              </w:rPr>
            </w:pPr>
            <w:r w:rsidRPr="007A0A36">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2</w:t>
            </w:r>
          </w:p>
        </w:tc>
        <w:tc>
          <w:tcPr>
            <w:tcW w:w="1276" w:type="dxa"/>
          </w:tcPr>
          <w:p w:rsidR="00642D44" w:rsidRPr="007A0A36" w:rsidRDefault="00642D44" w:rsidP="00E4576E">
            <w:pPr>
              <w:ind w:firstLine="0"/>
              <w:jc w:val="left"/>
              <w:rPr>
                <w:szCs w:val="24"/>
              </w:rPr>
            </w:pPr>
            <w:r w:rsidRPr="007A0A36">
              <w:rPr>
                <w:szCs w:val="24"/>
              </w:rPr>
              <w:t>Код ГРБС</w:t>
            </w:r>
          </w:p>
        </w:tc>
        <w:tc>
          <w:tcPr>
            <w:tcW w:w="992" w:type="dxa"/>
          </w:tcPr>
          <w:p w:rsidR="00642D44" w:rsidRPr="007A0A36" w:rsidRDefault="00642D44" w:rsidP="00E4576E">
            <w:pPr>
              <w:ind w:left="34" w:firstLine="0"/>
              <w:jc w:val="left"/>
              <w:rPr>
                <w:szCs w:val="24"/>
              </w:rPr>
            </w:pPr>
            <w:r w:rsidRPr="007A0A36">
              <w:rPr>
                <w:szCs w:val="24"/>
              </w:rPr>
              <w:t>Скрыта</w:t>
            </w:r>
          </w:p>
        </w:tc>
        <w:tc>
          <w:tcPr>
            <w:tcW w:w="3402" w:type="dxa"/>
          </w:tcPr>
          <w:p w:rsidR="00642D44" w:rsidRPr="007A0A36" w:rsidRDefault="00642D44" w:rsidP="00E4576E">
            <w:pPr>
              <w:pStyle w:val="afff6"/>
              <w:ind w:left="34" w:firstLine="0"/>
              <w:jc w:val="left"/>
              <w:rPr>
                <w:sz w:val="24"/>
                <w:szCs w:val="24"/>
              </w:rPr>
            </w:pPr>
          </w:p>
        </w:tc>
        <w:tc>
          <w:tcPr>
            <w:tcW w:w="4111" w:type="dxa"/>
            <w:shd w:val="clear" w:color="auto" w:fill="auto"/>
          </w:tcPr>
          <w:p w:rsidR="00642D44" w:rsidRPr="007A0A36" w:rsidRDefault="00642D44" w:rsidP="00E4576E">
            <w:pPr>
              <w:ind w:left="34" w:firstLine="0"/>
              <w:jc w:val="left"/>
              <w:rPr>
                <w:szCs w:val="24"/>
              </w:rPr>
            </w:pPr>
            <w:r w:rsidRPr="007A0A36">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3</w:t>
            </w:r>
          </w:p>
        </w:tc>
        <w:tc>
          <w:tcPr>
            <w:tcW w:w="1276" w:type="dxa"/>
          </w:tcPr>
          <w:p w:rsidR="00642D44" w:rsidRPr="007A0A36" w:rsidRDefault="00642D44" w:rsidP="00E4576E">
            <w:pPr>
              <w:ind w:firstLine="0"/>
              <w:jc w:val="left"/>
              <w:rPr>
                <w:szCs w:val="24"/>
              </w:rPr>
            </w:pPr>
            <w:r w:rsidRPr="007A0A36">
              <w:rPr>
                <w:szCs w:val="24"/>
              </w:rPr>
              <w:t>Наименование ГРБС</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4</w:t>
            </w:r>
          </w:p>
        </w:tc>
        <w:tc>
          <w:tcPr>
            <w:tcW w:w="1276" w:type="dxa"/>
          </w:tcPr>
          <w:p w:rsidR="00642D44" w:rsidRPr="007A0A36" w:rsidRDefault="00642D44" w:rsidP="00E4576E">
            <w:pPr>
              <w:ind w:firstLine="0"/>
              <w:jc w:val="left"/>
              <w:rPr>
                <w:szCs w:val="24"/>
              </w:rPr>
            </w:pPr>
            <w:r w:rsidRPr="007A0A36">
              <w:rPr>
                <w:szCs w:val="24"/>
              </w:rPr>
              <w:t>Наименование получателя</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Реквизиты получателя субсидии =&gt; Полное наименование юридического лица/ФИО физического лица на русском языке</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5</w:t>
            </w:r>
          </w:p>
        </w:tc>
        <w:tc>
          <w:tcPr>
            <w:tcW w:w="1276" w:type="dxa"/>
          </w:tcPr>
          <w:p w:rsidR="00642D44" w:rsidRPr="007A0A36" w:rsidRDefault="00642D44" w:rsidP="00E4576E">
            <w:pPr>
              <w:ind w:firstLine="0"/>
              <w:jc w:val="left"/>
              <w:rPr>
                <w:szCs w:val="24"/>
              </w:rPr>
            </w:pPr>
            <w:r w:rsidRPr="007A0A36">
              <w:rPr>
                <w:szCs w:val="24"/>
              </w:rPr>
              <w:t>Код получателя по СвР</w:t>
            </w:r>
          </w:p>
        </w:tc>
        <w:tc>
          <w:tcPr>
            <w:tcW w:w="992" w:type="dxa"/>
          </w:tcPr>
          <w:p w:rsidR="00642D44" w:rsidRPr="007A0A36" w:rsidRDefault="00642D44" w:rsidP="00E4576E">
            <w:pPr>
              <w:ind w:left="34" w:firstLine="0"/>
              <w:jc w:val="left"/>
              <w:rPr>
                <w:szCs w:val="24"/>
              </w:rPr>
            </w:pPr>
            <w:r w:rsidRPr="007A0A36">
              <w:rPr>
                <w:szCs w:val="24"/>
              </w:rPr>
              <w:t>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Реквизиты получателя субсидии =&gt; Код по сводному реестру</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6</w:t>
            </w:r>
          </w:p>
        </w:tc>
        <w:tc>
          <w:tcPr>
            <w:tcW w:w="1276" w:type="dxa"/>
          </w:tcPr>
          <w:p w:rsidR="00642D44" w:rsidRPr="007A0A36" w:rsidRDefault="00642D44" w:rsidP="00E4576E">
            <w:pPr>
              <w:ind w:firstLine="0"/>
              <w:jc w:val="left"/>
              <w:rPr>
                <w:szCs w:val="24"/>
              </w:rPr>
            </w:pPr>
            <w:r w:rsidRPr="007A0A36">
              <w:rPr>
                <w:szCs w:val="24"/>
              </w:rPr>
              <w:t>ИНН получателя</w:t>
            </w:r>
          </w:p>
        </w:tc>
        <w:tc>
          <w:tcPr>
            <w:tcW w:w="992" w:type="dxa"/>
          </w:tcPr>
          <w:p w:rsidR="00642D44" w:rsidRPr="007A0A36" w:rsidRDefault="00642D44" w:rsidP="00E4576E">
            <w:pPr>
              <w:ind w:left="34" w:firstLine="0"/>
              <w:jc w:val="left"/>
              <w:rPr>
                <w:szCs w:val="24"/>
              </w:rPr>
            </w:pPr>
            <w:r w:rsidRPr="007A0A36">
              <w:rPr>
                <w:szCs w:val="24"/>
              </w:rPr>
              <w:t>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Реквизиты получателя субсидии =&gt; ИНН</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7</w:t>
            </w:r>
          </w:p>
        </w:tc>
        <w:tc>
          <w:tcPr>
            <w:tcW w:w="1276" w:type="dxa"/>
          </w:tcPr>
          <w:p w:rsidR="00642D44" w:rsidRPr="007A0A36" w:rsidRDefault="00642D44" w:rsidP="00E4576E">
            <w:pPr>
              <w:ind w:firstLine="0"/>
              <w:jc w:val="left"/>
              <w:rPr>
                <w:szCs w:val="24"/>
              </w:rPr>
            </w:pPr>
            <w:r w:rsidRPr="007A0A36">
              <w:rPr>
                <w:szCs w:val="24"/>
              </w:rPr>
              <w:t>КПП получателя</w:t>
            </w:r>
          </w:p>
        </w:tc>
        <w:tc>
          <w:tcPr>
            <w:tcW w:w="992" w:type="dxa"/>
          </w:tcPr>
          <w:p w:rsidR="00642D44" w:rsidRPr="007A0A36" w:rsidRDefault="00642D44" w:rsidP="00E4576E">
            <w:pPr>
              <w:ind w:left="34" w:firstLine="0"/>
              <w:jc w:val="left"/>
              <w:rPr>
                <w:szCs w:val="24"/>
              </w:rPr>
            </w:pPr>
            <w:r w:rsidRPr="007A0A36">
              <w:rPr>
                <w:szCs w:val="24"/>
              </w:rPr>
              <w:t>Скрыта</w:t>
            </w:r>
          </w:p>
        </w:tc>
        <w:tc>
          <w:tcPr>
            <w:tcW w:w="3402" w:type="dxa"/>
          </w:tcPr>
          <w:p w:rsidR="00642D44" w:rsidRPr="007A0A36" w:rsidRDefault="00642D44" w:rsidP="00E4576E">
            <w:pPr>
              <w:ind w:left="34" w:firstLine="0"/>
              <w:jc w:val="left"/>
              <w:rPr>
                <w:szCs w:val="24"/>
              </w:rPr>
            </w:pPr>
          </w:p>
        </w:tc>
        <w:tc>
          <w:tcPr>
            <w:tcW w:w="4111" w:type="dxa"/>
            <w:shd w:val="clear" w:color="auto" w:fill="auto"/>
          </w:tcPr>
          <w:p w:rsidR="00642D44" w:rsidRPr="007A0A36" w:rsidRDefault="00642D44" w:rsidP="00E4576E">
            <w:pPr>
              <w:ind w:left="34" w:firstLine="0"/>
              <w:jc w:val="left"/>
              <w:rPr>
                <w:szCs w:val="24"/>
              </w:rPr>
            </w:pPr>
            <w:r w:rsidRPr="007A0A36">
              <w:rPr>
                <w:szCs w:val="24"/>
              </w:rPr>
              <w:t>ПУР АСС =&gt; Реквизиты получателя субсидии =&gt; КПП</w:t>
            </w:r>
          </w:p>
        </w:tc>
      </w:tr>
      <w:tr w:rsidR="00642D44" w:rsidRPr="007A0A36" w:rsidTr="005C0BB5">
        <w:tc>
          <w:tcPr>
            <w:tcW w:w="10348" w:type="dxa"/>
            <w:gridSpan w:val="5"/>
            <w:shd w:val="clear" w:color="auto" w:fill="D9D9D9" w:themeFill="background1" w:themeFillShade="D9"/>
          </w:tcPr>
          <w:p w:rsidR="00642D44" w:rsidRPr="007A0A36" w:rsidRDefault="00642D44" w:rsidP="00E4576E">
            <w:pPr>
              <w:ind w:left="34" w:firstLine="0"/>
              <w:jc w:val="center"/>
              <w:rPr>
                <w:szCs w:val="24"/>
              </w:rPr>
            </w:pPr>
            <w:r w:rsidRPr="007A0A36">
              <w:rPr>
                <w:szCs w:val="24"/>
              </w:rPr>
              <w:t>Блок по значениям результатов</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8</w:t>
            </w:r>
          </w:p>
        </w:tc>
        <w:tc>
          <w:tcPr>
            <w:tcW w:w="1276" w:type="dxa"/>
          </w:tcPr>
          <w:p w:rsidR="00642D44" w:rsidRPr="007A0A36" w:rsidRDefault="00642D44" w:rsidP="00E4576E">
            <w:pPr>
              <w:ind w:firstLine="0"/>
              <w:jc w:val="left"/>
              <w:rPr>
                <w:szCs w:val="24"/>
              </w:rPr>
            </w:pPr>
            <w:r w:rsidRPr="007A0A36">
              <w:rPr>
                <w:szCs w:val="24"/>
              </w:rPr>
              <w:t>Уникальный код показателя результативности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Сопоставление планового и фактического значения</w:t>
            </w: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 xml:space="preserve">ПУР АСС =&gt; </w:t>
            </w:r>
          </w:p>
          <w:p w:rsidR="00642D44" w:rsidRPr="007A0A36" w:rsidRDefault="00642D44" w:rsidP="00E4576E">
            <w:pPr>
              <w:pStyle w:val="afff6"/>
              <w:ind w:left="34" w:firstLine="0"/>
              <w:jc w:val="left"/>
              <w:rPr>
                <w:sz w:val="24"/>
                <w:szCs w:val="24"/>
              </w:rPr>
            </w:pPr>
            <w:r w:rsidRPr="007A0A36">
              <w:rPr>
                <w:sz w:val="24"/>
                <w:szCs w:val="24"/>
              </w:rPr>
              <w:t>- Реквизиты соглашения (договора), НПА =&gt; Плановые показатели результативности =&gt; Код результата федерального(регионального) проекта</w:t>
            </w:r>
          </w:p>
          <w:p w:rsidR="00642D44" w:rsidRPr="007A0A36" w:rsidRDefault="00642D44" w:rsidP="00E4576E">
            <w:pPr>
              <w:pStyle w:val="afff6"/>
              <w:ind w:left="34" w:firstLine="0"/>
              <w:jc w:val="left"/>
              <w:rPr>
                <w:sz w:val="24"/>
                <w:szCs w:val="24"/>
              </w:rPr>
            </w:pPr>
            <w:r w:rsidRPr="007A0A36">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Уникальный код показателя</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9</w:t>
            </w:r>
          </w:p>
        </w:tc>
        <w:tc>
          <w:tcPr>
            <w:tcW w:w="1276" w:type="dxa"/>
          </w:tcPr>
          <w:p w:rsidR="00642D44" w:rsidRPr="007A0A36" w:rsidRDefault="00642D44" w:rsidP="00E4576E">
            <w:pPr>
              <w:ind w:firstLine="0"/>
              <w:jc w:val="left"/>
              <w:rPr>
                <w:szCs w:val="24"/>
              </w:rPr>
            </w:pPr>
            <w:r w:rsidRPr="007A0A36">
              <w:rPr>
                <w:szCs w:val="24"/>
              </w:rPr>
              <w:t>№ показателя</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Сопоставление планового и фактического значения</w:t>
            </w: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w:t>
            </w:r>
          </w:p>
          <w:p w:rsidR="00642D44" w:rsidRPr="007A0A36" w:rsidRDefault="00642D44" w:rsidP="00E4576E">
            <w:pPr>
              <w:pStyle w:val="afff6"/>
              <w:ind w:left="34" w:firstLine="0"/>
              <w:jc w:val="left"/>
              <w:rPr>
                <w:sz w:val="24"/>
                <w:szCs w:val="24"/>
              </w:rPr>
            </w:pPr>
            <w:r w:rsidRPr="007A0A36">
              <w:rPr>
                <w:sz w:val="24"/>
                <w:szCs w:val="24"/>
              </w:rPr>
              <w:t>- Реквизиты соглашения (договора), НПА =&gt; Плановые показатели результативности =&gt; Номер показателя результативности/ результата федерального (регионального) проекта</w:t>
            </w:r>
          </w:p>
          <w:p w:rsidR="00642D44" w:rsidRPr="007A0A36" w:rsidRDefault="00642D44" w:rsidP="00E4576E">
            <w:pPr>
              <w:pStyle w:val="afff6"/>
              <w:ind w:left="34" w:firstLine="0"/>
              <w:jc w:val="left"/>
              <w:rPr>
                <w:sz w:val="24"/>
                <w:szCs w:val="24"/>
              </w:rPr>
            </w:pPr>
            <w:r w:rsidRPr="007A0A36">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Номер показателя</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10</w:t>
            </w:r>
          </w:p>
        </w:tc>
        <w:tc>
          <w:tcPr>
            <w:tcW w:w="1276" w:type="dxa"/>
          </w:tcPr>
          <w:p w:rsidR="00642D44" w:rsidRPr="007A0A36" w:rsidRDefault="00642D44" w:rsidP="00E4576E">
            <w:pPr>
              <w:ind w:firstLine="0"/>
              <w:jc w:val="left"/>
              <w:rPr>
                <w:szCs w:val="24"/>
              </w:rPr>
            </w:pPr>
            <w:r w:rsidRPr="007A0A36">
              <w:rPr>
                <w:szCs w:val="24"/>
              </w:rPr>
              <w:t>Наименование показателя результативности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Сопоставление планового и фактического значения</w:t>
            </w: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w:t>
            </w:r>
          </w:p>
          <w:p w:rsidR="00642D44" w:rsidRPr="007A0A36" w:rsidRDefault="00642D44" w:rsidP="00E4576E">
            <w:pPr>
              <w:pStyle w:val="afff6"/>
              <w:ind w:left="34" w:firstLine="0"/>
              <w:jc w:val="left"/>
              <w:rPr>
                <w:sz w:val="24"/>
                <w:szCs w:val="24"/>
              </w:rPr>
            </w:pPr>
            <w:r w:rsidRPr="007A0A36">
              <w:rPr>
                <w:sz w:val="24"/>
                <w:szCs w:val="24"/>
              </w:rPr>
              <w:t>- Реквизиты соглашения (договора), НПА =&gt; Плановые показатели результативности =&gt; Наименование показателя результативности/результата федерального(регионального) проекта</w:t>
            </w:r>
          </w:p>
          <w:p w:rsidR="00642D44" w:rsidRPr="007A0A36" w:rsidRDefault="00642D44" w:rsidP="00E4576E">
            <w:pPr>
              <w:pStyle w:val="afff6"/>
              <w:ind w:left="34" w:firstLine="0"/>
              <w:jc w:val="left"/>
              <w:rPr>
                <w:sz w:val="24"/>
                <w:szCs w:val="24"/>
              </w:rPr>
            </w:pPr>
            <w:r w:rsidRPr="007A0A36">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Наименование показателя результативности</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11</w:t>
            </w:r>
          </w:p>
        </w:tc>
        <w:tc>
          <w:tcPr>
            <w:tcW w:w="1276" w:type="dxa"/>
          </w:tcPr>
          <w:p w:rsidR="00642D44" w:rsidRPr="007A0A36" w:rsidRDefault="00642D44" w:rsidP="00E4576E">
            <w:pPr>
              <w:ind w:firstLine="0"/>
              <w:jc w:val="left"/>
              <w:rPr>
                <w:szCs w:val="24"/>
              </w:rPr>
            </w:pPr>
            <w:r w:rsidRPr="007A0A36">
              <w:rPr>
                <w:szCs w:val="24"/>
              </w:rPr>
              <w:t>Единицы измерения показателя результативности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Сопоставление планового и фактического значения</w:t>
            </w: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w:t>
            </w:r>
          </w:p>
          <w:p w:rsidR="00642D44" w:rsidRPr="007A0A36" w:rsidRDefault="00642D44" w:rsidP="00E4576E">
            <w:pPr>
              <w:pStyle w:val="afff6"/>
              <w:ind w:left="34" w:firstLine="0"/>
              <w:jc w:val="left"/>
              <w:rPr>
                <w:sz w:val="24"/>
                <w:szCs w:val="24"/>
              </w:rPr>
            </w:pPr>
            <w:r w:rsidRPr="007A0A36">
              <w:rPr>
                <w:sz w:val="24"/>
                <w:szCs w:val="24"/>
              </w:rPr>
              <w:t>- Реквизиты соглашения (договора), НПА =&gt; Плановые показатели результативности =&gt; Единица измерения значения показателя результативности/ результата федерального (регионального) проекта</w:t>
            </w:r>
          </w:p>
          <w:p w:rsidR="00642D44" w:rsidRPr="007A0A36" w:rsidRDefault="00642D44" w:rsidP="00E4576E">
            <w:pPr>
              <w:pStyle w:val="afff6"/>
              <w:ind w:left="34" w:firstLine="0"/>
              <w:jc w:val="left"/>
              <w:rPr>
                <w:sz w:val="24"/>
                <w:szCs w:val="24"/>
              </w:rPr>
            </w:pPr>
            <w:r w:rsidRPr="007A0A36">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Единица измерения показателя результативности</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12</w:t>
            </w:r>
          </w:p>
        </w:tc>
        <w:tc>
          <w:tcPr>
            <w:tcW w:w="1276" w:type="dxa"/>
          </w:tcPr>
          <w:p w:rsidR="00642D44" w:rsidRPr="007A0A36" w:rsidRDefault="00642D44" w:rsidP="00E4576E">
            <w:pPr>
              <w:ind w:firstLine="0"/>
              <w:jc w:val="left"/>
              <w:rPr>
                <w:szCs w:val="24"/>
              </w:rPr>
            </w:pPr>
            <w:r w:rsidRPr="007A0A36">
              <w:rPr>
                <w:szCs w:val="24"/>
              </w:rPr>
              <w:t>Плановая дата достижения результата</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 Реквизиты соглашения (договора), НПА =&gt; Плановые показатели результативности =&gt; Значение показателя по годам достижения =&gt; Срок (год), на который запланировано достижение показателя результативности (результата)</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13</w:t>
            </w:r>
          </w:p>
        </w:tc>
        <w:tc>
          <w:tcPr>
            <w:tcW w:w="1276" w:type="dxa"/>
          </w:tcPr>
          <w:p w:rsidR="00642D44" w:rsidRPr="007A0A36" w:rsidRDefault="00642D44" w:rsidP="00E4576E">
            <w:pPr>
              <w:ind w:firstLine="0"/>
              <w:jc w:val="left"/>
              <w:rPr>
                <w:szCs w:val="24"/>
              </w:rPr>
            </w:pPr>
            <w:r w:rsidRPr="007A0A36">
              <w:rPr>
                <w:szCs w:val="24"/>
              </w:rPr>
              <w:t>Фактическая дата предоставления отчета о достижении результата</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Дата, на которую предоставляется информация</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14</w:t>
            </w:r>
          </w:p>
        </w:tc>
        <w:tc>
          <w:tcPr>
            <w:tcW w:w="1276" w:type="dxa"/>
          </w:tcPr>
          <w:p w:rsidR="00642D44" w:rsidRPr="007A0A36" w:rsidRDefault="00642D44" w:rsidP="00E4576E">
            <w:pPr>
              <w:ind w:firstLine="0"/>
              <w:jc w:val="left"/>
              <w:rPr>
                <w:szCs w:val="24"/>
              </w:rPr>
            </w:pPr>
            <w:r w:rsidRPr="007A0A36">
              <w:rPr>
                <w:szCs w:val="24"/>
              </w:rPr>
              <w:t>Плановые значения показателей результативности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shd w:val="clear" w:color="auto" w:fill="auto"/>
          </w:tcPr>
          <w:p w:rsidR="00642D44" w:rsidRPr="007A0A36" w:rsidRDefault="00642D44" w:rsidP="00E4576E">
            <w:pPr>
              <w:pStyle w:val="afff6"/>
              <w:ind w:left="34" w:firstLine="0"/>
              <w:jc w:val="left"/>
              <w:rPr>
                <w:sz w:val="24"/>
                <w:szCs w:val="24"/>
              </w:rPr>
            </w:pPr>
            <w:r w:rsidRPr="007A0A36">
              <w:rPr>
                <w:sz w:val="24"/>
                <w:szCs w:val="24"/>
              </w:rPr>
              <w:t>ПУР АСС =&gt; Реквизиты соглашения (договора), НПА =&gt; Плановые показатели результативности =&gt; Значение показателя по годам достижения =&gt; Плановое значение показателя реультативности (результата)</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15</w:t>
            </w:r>
          </w:p>
        </w:tc>
        <w:tc>
          <w:tcPr>
            <w:tcW w:w="1276" w:type="dxa"/>
          </w:tcPr>
          <w:p w:rsidR="00642D44" w:rsidRPr="007A0A36" w:rsidRDefault="00642D44" w:rsidP="00E4576E">
            <w:pPr>
              <w:ind w:firstLine="0"/>
              <w:jc w:val="left"/>
              <w:rPr>
                <w:szCs w:val="24"/>
              </w:rPr>
            </w:pPr>
            <w:r w:rsidRPr="007A0A36">
              <w:rPr>
                <w:szCs w:val="24"/>
              </w:rPr>
              <w:t>Фактические значения показателей результативности</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Значение показателя результативности</w:t>
            </w: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16</w:t>
            </w:r>
          </w:p>
        </w:tc>
        <w:tc>
          <w:tcPr>
            <w:tcW w:w="1276" w:type="dxa"/>
          </w:tcPr>
          <w:p w:rsidR="00642D44" w:rsidRPr="007A0A36" w:rsidRDefault="00642D44" w:rsidP="00E4576E">
            <w:pPr>
              <w:ind w:firstLine="0"/>
              <w:jc w:val="left"/>
              <w:rPr>
                <w:szCs w:val="24"/>
              </w:rPr>
            </w:pPr>
            <w:r w:rsidRPr="007A0A36">
              <w:rPr>
                <w:szCs w:val="24"/>
              </w:rPr>
              <w:t>Отклонение планового значения показателя результативности от фактического</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Расчетный показатель: фактическое значение минус плановое</w:t>
            </w:r>
          </w:p>
        </w:tc>
        <w:tc>
          <w:tcPr>
            <w:tcW w:w="4111" w:type="dxa"/>
          </w:tcPr>
          <w:p w:rsidR="00642D44" w:rsidRPr="007A0A36" w:rsidRDefault="00642D44" w:rsidP="00E4576E">
            <w:pPr>
              <w:ind w:left="34" w:firstLine="0"/>
              <w:jc w:val="left"/>
              <w:rPr>
                <w:szCs w:val="24"/>
              </w:rPr>
            </w:pP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17</w:t>
            </w:r>
          </w:p>
        </w:tc>
        <w:tc>
          <w:tcPr>
            <w:tcW w:w="1276" w:type="dxa"/>
          </w:tcPr>
          <w:p w:rsidR="00642D44" w:rsidRPr="007A0A36" w:rsidRDefault="00642D44" w:rsidP="00E4576E">
            <w:pPr>
              <w:ind w:firstLine="0"/>
              <w:jc w:val="left"/>
              <w:rPr>
                <w:szCs w:val="24"/>
              </w:rPr>
            </w:pPr>
            <w:r w:rsidRPr="007A0A36">
              <w:rPr>
                <w:szCs w:val="24"/>
              </w:rPr>
              <w:t>% достижения</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r w:rsidRPr="007A0A36">
              <w:rPr>
                <w:szCs w:val="24"/>
              </w:rPr>
              <w:t>Расчетный показатель: отношение фактического значения к плановому в процентном формате</w:t>
            </w:r>
          </w:p>
        </w:tc>
        <w:tc>
          <w:tcPr>
            <w:tcW w:w="4111" w:type="dxa"/>
          </w:tcPr>
          <w:p w:rsidR="00642D44" w:rsidRPr="007A0A36" w:rsidRDefault="00642D44" w:rsidP="00E4576E">
            <w:pPr>
              <w:ind w:left="34" w:firstLine="0"/>
              <w:jc w:val="left"/>
              <w:rPr>
                <w:szCs w:val="24"/>
              </w:rPr>
            </w:pPr>
          </w:p>
        </w:tc>
      </w:tr>
      <w:tr w:rsidR="00642D44" w:rsidRPr="007A0A36" w:rsidTr="005C0BB5">
        <w:tc>
          <w:tcPr>
            <w:tcW w:w="567" w:type="dxa"/>
          </w:tcPr>
          <w:p w:rsidR="00642D44" w:rsidRPr="007A0A36" w:rsidRDefault="00642D44" w:rsidP="00E4576E">
            <w:pPr>
              <w:ind w:firstLine="0"/>
              <w:jc w:val="left"/>
              <w:rPr>
                <w:szCs w:val="24"/>
              </w:rPr>
            </w:pPr>
            <w:r w:rsidRPr="007A0A36">
              <w:rPr>
                <w:szCs w:val="24"/>
              </w:rPr>
              <w:t>18</w:t>
            </w:r>
          </w:p>
        </w:tc>
        <w:tc>
          <w:tcPr>
            <w:tcW w:w="1276" w:type="dxa"/>
          </w:tcPr>
          <w:p w:rsidR="00642D44" w:rsidRPr="007A0A36" w:rsidRDefault="00642D44" w:rsidP="00E4576E">
            <w:pPr>
              <w:ind w:firstLine="0"/>
              <w:jc w:val="left"/>
              <w:rPr>
                <w:szCs w:val="24"/>
              </w:rPr>
            </w:pPr>
            <w:r w:rsidRPr="007A0A36">
              <w:rPr>
                <w:szCs w:val="24"/>
              </w:rPr>
              <w:t>Причина отклонения достигнутых значений результатов</w:t>
            </w:r>
          </w:p>
        </w:tc>
        <w:tc>
          <w:tcPr>
            <w:tcW w:w="992" w:type="dxa"/>
          </w:tcPr>
          <w:p w:rsidR="00642D44" w:rsidRPr="007A0A36" w:rsidRDefault="00642D44" w:rsidP="00E4576E">
            <w:pPr>
              <w:ind w:left="34" w:firstLine="0"/>
              <w:jc w:val="left"/>
              <w:rPr>
                <w:szCs w:val="24"/>
              </w:rPr>
            </w:pPr>
            <w:r w:rsidRPr="007A0A36">
              <w:rPr>
                <w:szCs w:val="24"/>
              </w:rPr>
              <w:t>Раскрыта</w:t>
            </w:r>
          </w:p>
        </w:tc>
        <w:tc>
          <w:tcPr>
            <w:tcW w:w="3402" w:type="dxa"/>
          </w:tcPr>
          <w:p w:rsidR="00642D44" w:rsidRPr="007A0A36" w:rsidRDefault="00642D44" w:rsidP="00E4576E">
            <w:pPr>
              <w:ind w:left="34" w:firstLine="0"/>
              <w:jc w:val="left"/>
              <w:rPr>
                <w:szCs w:val="24"/>
              </w:rPr>
            </w:pPr>
          </w:p>
        </w:tc>
        <w:tc>
          <w:tcPr>
            <w:tcW w:w="4111" w:type="dxa"/>
          </w:tcPr>
          <w:p w:rsidR="00642D44" w:rsidRPr="007A0A36" w:rsidRDefault="00642D44" w:rsidP="00E4576E">
            <w:pPr>
              <w:ind w:left="34" w:firstLine="0"/>
              <w:jc w:val="left"/>
              <w:rPr>
                <w:szCs w:val="24"/>
              </w:rPr>
            </w:pPr>
            <w:r w:rsidRPr="007A0A36">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Причина отклонения достигнутых значений показателей результативности</w:t>
            </w:r>
          </w:p>
        </w:tc>
      </w:tr>
    </w:tbl>
    <w:p w:rsidR="00642D44" w:rsidRDefault="00642D44" w:rsidP="00642D44"/>
    <w:p w:rsidR="00642D44" w:rsidRPr="007A0A36" w:rsidRDefault="00642D44" w:rsidP="00642D44">
      <w:pPr>
        <w:ind w:firstLine="709"/>
        <w:rPr>
          <w:sz w:val="28"/>
          <w:szCs w:val="28"/>
        </w:rPr>
      </w:pPr>
      <w:r w:rsidRPr="007A0A36">
        <w:rPr>
          <w:sz w:val="28"/>
          <w:szCs w:val="28"/>
        </w:rPr>
        <w:t>Область фильтров:</w:t>
      </w:r>
    </w:p>
    <w:tbl>
      <w:tblPr>
        <w:tblStyle w:val="affe"/>
        <w:tblW w:w="9781" w:type="dxa"/>
        <w:tblInd w:w="-459" w:type="dxa"/>
        <w:tblLook w:val="04A0" w:firstRow="1" w:lastRow="0" w:firstColumn="1" w:lastColumn="0" w:noHBand="0" w:noVBand="1"/>
      </w:tblPr>
      <w:tblGrid>
        <w:gridCol w:w="567"/>
        <w:gridCol w:w="1895"/>
        <w:gridCol w:w="3634"/>
        <w:gridCol w:w="3685"/>
      </w:tblGrid>
      <w:tr w:rsidR="00642D44" w:rsidRPr="00CA357A" w:rsidTr="00642D44">
        <w:trPr>
          <w:tblHeader/>
        </w:trPr>
        <w:tc>
          <w:tcPr>
            <w:tcW w:w="567" w:type="dxa"/>
            <w:shd w:val="clear" w:color="auto" w:fill="F2F2F2" w:themeFill="background1" w:themeFillShade="F2"/>
          </w:tcPr>
          <w:p w:rsidR="00642D44" w:rsidRPr="00CA357A" w:rsidRDefault="00642D44" w:rsidP="00E4576E">
            <w:pPr>
              <w:ind w:firstLine="0"/>
              <w:jc w:val="center"/>
              <w:rPr>
                <w:b/>
                <w:szCs w:val="24"/>
              </w:rPr>
            </w:pPr>
            <w:r w:rsidRPr="00CA357A">
              <w:rPr>
                <w:b/>
                <w:szCs w:val="24"/>
              </w:rPr>
              <w:t>№ п/п</w:t>
            </w:r>
          </w:p>
        </w:tc>
        <w:tc>
          <w:tcPr>
            <w:tcW w:w="1895" w:type="dxa"/>
            <w:shd w:val="clear" w:color="auto" w:fill="F2F2F2" w:themeFill="background1" w:themeFillShade="F2"/>
          </w:tcPr>
          <w:p w:rsidR="00642D44" w:rsidRPr="00CA357A" w:rsidRDefault="00642D44" w:rsidP="00E4576E">
            <w:pPr>
              <w:ind w:firstLine="0"/>
              <w:jc w:val="center"/>
              <w:rPr>
                <w:b/>
                <w:szCs w:val="24"/>
              </w:rPr>
            </w:pPr>
            <w:r w:rsidRPr="00CA357A">
              <w:rPr>
                <w:b/>
                <w:szCs w:val="24"/>
              </w:rPr>
              <w:t>Наименование фильтра</w:t>
            </w:r>
          </w:p>
        </w:tc>
        <w:tc>
          <w:tcPr>
            <w:tcW w:w="3634" w:type="dxa"/>
            <w:shd w:val="clear" w:color="auto" w:fill="F2F2F2" w:themeFill="background1" w:themeFillShade="F2"/>
          </w:tcPr>
          <w:p w:rsidR="00642D44" w:rsidRPr="00CA357A" w:rsidRDefault="00642D44" w:rsidP="00E4576E">
            <w:pPr>
              <w:ind w:firstLine="0"/>
              <w:jc w:val="center"/>
              <w:rPr>
                <w:b/>
                <w:szCs w:val="24"/>
              </w:rPr>
            </w:pPr>
            <w:r w:rsidRPr="00CA357A">
              <w:rPr>
                <w:b/>
                <w:szCs w:val="24"/>
              </w:rPr>
              <w:t>Алгоритм</w:t>
            </w:r>
          </w:p>
        </w:tc>
        <w:tc>
          <w:tcPr>
            <w:tcW w:w="3685" w:type="dxa"/>
            <w:shd w:val="clear" w:color="auto" w:fill="F2F2F2" w:themeFill="background1" w:themeFillShade="F2"/>
          </w:tcPr>
          <w:p w:rsidR="00642D44" w:rsidRPr="00CA357A" w:rsidRDefault="00642D44" w:rsidP="00E4576E">
            <w:pPr>
              <w:ind w:firstLine="0"/>
              <w:jc w:val="center"/>
              <w:rPr>
                <w:b/>
                <w:szCs w:val="24"/>
              </w:rPr>
            </w:pPr>
            <w:r w:rsidRPr="00CA357A">
              <w:rPr>
                <w:b/>
                <w:szCs w:val="24"/>
              </w:rPr>
              <w:t>Источник данных</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1</w:t>
            </w:r>
          </w:p>
        </w:tc>
        <w:tc>
          <w:tcPr>
            <w:tcW w:w="1895" w:type="dxa"/>
          </w:tcPr>
          <w:p w:rsidR="00642D44" w:rsidRPr="00CA357A" w:rsidRDefault="00642D44" w:rsidP="00E4576E">
            <w:pPr>
              <w:ind w:firstLine="0"/>
              <w:jc w:val="left"/>
              <w:rPr>
                <w:szCs w:val="24"/>
              </w:rPr>
            </w:pPr>
            <w:r w:rsidRPr="00CA357A">
              <w:rPr>
                <w:szCs w:val="24"/>
              </w:rPr>
              <w:t xml:space="preserve">Обновить </w:t>
            </w:r>
            <w:r w:rsidRPr="00CA357A">
              <w:rPr>
                <w:noProof/>
                <w:szCs w:val="24"/>
              </w:rPr>
              <w:drawing>
                <wp:inline distT="0" distB="0" distL="0" distR="0" wp14:anchorId="739B12D7" wp14:editId="1F2EC71B">
                  <wp:extent cx="476190" cy="476190"/>
                  <wp:effectExtent l="0" t="0" r="63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34" w:type="dxa"/>
          </w:tcPr>
          <w:p w:rsidR="00642D44" w:rsidRPr="00CA357A" w:rsidRDefault="00642D44" w:rsidP="00E4576E">
            <w:pPr>
              <w:ind w:firstLine="0"/>
              <w:jc w:val="left"/>
              <w:rPr>
                <w:szCs w:val="24"/>
              </w:rPr>
            </w:pPr>
            <w:r w:rsidRPr="00CA357A">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3685" w:type="dxa"/>
          </w:tcPr>
          <w:p w:rsidR="00642D44" w:rsidRPr="00CA357A" w:rsidRDefault="00642D44" w:rsidP="00E4576E">
            <w:pPr>
              <w:pStyle w:val="afff6"/>
              <w:ind w:left="0" w:firstLine="0"/>
              <w:jc w:val="left"/>
              <w:rPr>
                <w:sz w:val="24"/>
                <w:szCs w:val="24"/>
              </w:rPr>
            </w:pPr>
          </w:p>
        </w:tc>
      </w:tr>
      <w:tr w:rsidR="00642D44" w:rsidRPr="00CA357A" w:rsidTr="00642D44">
        <w:tc>
          <w:tcPr>
            <w:tcW w:w="567" w:type="dxa"/>
          </w:tcPr>
          <w:p w:rsidR="00642D44" w:rsidRPr="00CA357A" w:rsidRDefault="00642D44" w:rsidP="00E4576E">
            <w:pPr>
              <w:ind w:firstLine="0"/>
              <w:jc w:val="left"/>
              <w:rPr>
                <w:szCs w:val="24"/>
              </w:rPr>
            </w:pPr>
            <w:r w:rsidRPr="00CA357A">
              <w:rPr>
                <w:szCs w:val="24"/>
                <w:lang w:val="en-US"/>
              </w:rPr>
              <w:t>2</w:t>
            </w:r>
          </w:p>
        </w:tc>
        <w:tc>
          <w:tcPr>
            <w:tcW w:w="1895" w:type="dxa"/>
          </w:tcPr>
          <w:p w:rsidR="00642D44" w:rsidRPr="00CA357A" w:rsidRDefault="00642D44" w:rsidP="00E4576E">
            <w:pPr>
              <w:ind w:firstLine="0"/>
              <w:jc w:val="left"/>
              <w:rPr>
                <w:szCs w:val="24"/>
              </w:rPr>
            </w:pPr>
            <w:r w:rsidRPr="00CA357A">
              <w:rPr>
                <w:szCs w:val="24"/>
              </w:rPr>
              <w:t>Год</w:t>
            </w:r>
          </w:p>
        </w:tc>
        <w:tc>
          <w:tcPr>
            <w:tcW w:w="3634" w:type="dxa"/>
          </w:tcPr>
          <w:p w:rsidR="00642D44" w:rsidRPr="00CA357A" w:rsidRDefault="00642D44" w:rsidP="00E4576E">
            <w:pPr>
              <w:ind w:firstLine="0"/>
              <w:jc w:val="left"/>
              <w:rPr>
                <w:szCs w:val="24"/>
              </w:rPr>
            </w:pPr>
            <w:r w:rsidRPr="00CA357A">
              <w:rPr>
                <w:szCs w:val="24"/>
              </w:rPr>
              <w:t>Фильтрация по году из графика соглашения</w:t>
            </w:r>
          </w:p>
          <w:p w:rsidR="00642D44" w:rsidRPr="00CA357A" w:rsidRDefault="00642D44" w:rsidP="00E4576E">
            <w:pPr>
              <w:ind w:firstLine="0"/>
              <w:jc w:val="left"/>
              <w:rPr>
                <w:szCs w:val="24"/>
              </w:rPr>
            </w:pPr>
            <w:r w:rsidRPr="00CA357A">
              <w:rPr>
                <w:szCs w:val="24"/>
              </w:rPr>
              <w:t>Возможность выбора только одного значения параметра из выпадающего списка, отсутствует возможность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текущего календарного года</w:t>
            </w:r>
          </w:p>
        </w:tc>
        <w:tc>
          <w:tcPr>
            <w:tcW w:w="3685" w:type="dxa"/>
          </w:tcPr>
          <w:p w:rsidR="00642D44" w:rsidRPr="00CA357A" w:rsidRDefault="00642D44" w:rsidP="00E4576E">
            <w:pPr>
              <w:pStyle w:val="afff6"/>
              <w:ind w:left="0" w:firstLine="0"/>
              <w:jc w:val="left"/>
              <w:rPr>
                <w:sz w:val="24"/>
                <w:szCs w:val="24"/>
              </w:rPr>
            </w:pPr>
            <w:r w:rsidRPr="00CA357A">
              <w:rPr>
                <w:sz w:val="24"/>
                <w:szCs w:val="24"/>
              </w:rPr>
              <w:t>ПУР АСС =&gt; График платежей =&gt; Год осуществления платежа</w:t>
            </w:r>
          </w:p>
        </w:tc>
      </w:tr>
      <w:tr w:rsidR="00642D44" w:rsidRPr="00CA357A" w:rsidTr="00642D44">
        <w:tc>
          <w:tcPr>
            <w:tcW w:w="567" w:type="dxa"/>
          </w:tcPr>
          <w:p w:rsidR="00642D44" w:rsidRPr="00CA357A" w:rsidRDefault="00642D44" w:rsidP="00E4576E">
            <w:pPr>
              <w:ind w:firstLine="0"/>
              <w:jc w:val="left"/>
              <w:rPr>
                <w:szCs w:val="24"/>
              </w:rPr>
            </w:pPr>
            <w:r w:rsidRPr="00CA357A">
              <w:rPr>
                <w:szCs w:val="24"/>
                <w:lang w:val="en-US"/>
              </w:rPr>
              <w:t>3</w:t>
            </w:r>
          </w:p>
        </w:tc>
        <w:tc>
          <w:tcPr>
            <w:tcW w:w="1895" w:type="dxa"/>
          </w:tcPr>
          <w:p w:rsidR="00642D44" w:rsidRPr="00CA357A" w:rsidRDefault="00642D44" w:rsidP="00E4576E">
            <w:pPr>
              <w:ind w:firstLine="0"/>
              <w:jc w:val="left"/>
              <w:rPr>
                <w:szCs w:val="24"/>
              </w:rPr>
            </w:pPr>
            <w:r w:rsidRPr="00CA357A">
              <w:rPr>
                <w:szCs w:val="24"/>
              </w:rPr>
              <w:t>Субъект РФ</w:t>
            </w:r>
          </w:p>
        </w:tc>
        <w:tc>
          <w:tcPr>
            <w:tcW w:w="3634" w:type="dxa"/>
          </w:tcPr>
          <w:p w:rsidR="00642D44" w:rsidRPr="00CA357A" w:rsidRDefault="00642D44" w:rsidP="00E4576E">
            <w:pPr>
              <w:ind w:firstLine="0"/>
              <w:jc w:val="left"/>
              <w:rPr>
                <w:szCs w:val="24"/>
              </w:rPr>
            </w:pPr>
            <w:r w:rsidRPr="00CA357A">
              <w:rPr>
                <w:szCs w:val="24"/>
              </w:rPr>
              <w:t>Фильтрация по коду ОКТМО субъекта РФ. Разыменование по справочнику в соответствии с кодом ОКТМО субъекта РФ</w:t>
            </w:r>
          </w:p>
          <w:p w:rsidR="00642D44" w:rsidRPr="00CA357A" w:rsidRDefault="00642D44" w:rsidP="00E4576E">
            <w:pPr>
              <w:ind w:firstLine="0"/>
              <w:jc w:val="left"/>
              <w:rPr>
                <w:szCs w:val="24"/>
              </w:rPr>
            </w:pPr>
            <w:r w:rsidRPr="00CA357A">
              <w:rPr>
                <w:szCs w:val="24"/>
              </w:rPr>
              <w:t>Реализована возможность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tc>
        <w:tc>
          <w:tcPr>
            <w:tcW w:w="3685" w:type="dxa"/>
          </w:tcPr>
          <w:p w:rsidR="00642D44" w:rsidRPr="00CA357A" w:rsidRDefault="00642D44" w:rsidP="00E4576E">
            <w:pPr>
              <w:ind w:firstLine="0"/>
              <w:jc w:val="left"/>
              <w:rPr>
                <w:szCs w:val="24"/>
              </w:rPr>
            </w:pPr>
            <w:r w:rsidRPr="00CA357A">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642D44" w:rsidRPr="00CA357A" w:rsidTr="00642D44">
        <w:tc>
          <w:tcPr>
            <w:tcW w:w="567" w:type="dxa"/>
          </w:tcPr>
          <w:p w:rsidR="00642D44" w:rsidRPr="00CA357A" w:rsidRDefault="00642D44" w:rsidP="00E4576E">
            <w:pPr>
              <w:ind w:firstLine="0"/>
              <w:jc w:val="left"/>
              <w:rPr>
                <w:szCs w:val="24"/>
              </w:rPr>
            </w:pPr>
            <w:r w:rsidRPr="00CA357A">
              <w:rPr>
                <w:szCs w:val="24"/>
                <w:lang w:val="en-US"/>
              </w:rPr>
              <w:t>4</w:t>
            </w:r>
          </w:p>
        </w:tc>
        <w:tc>
          <w:tcPr>
            <w:tcW w:w="1895" w:type="dxa"/>
          </w:tcPr>
          <w:p w:rsidR="00642D44" w:rsidRPr="00CA357A" w:rsidRDefault="00642D44" w:rsidP="00E4576E">
            <w:pPr>
              <w:ind w:firstLine="0"/>
              <w:jc w:val="left"/>
              <w:rPr>
                <w:szCs w:val="24"/>
              </w:rPr>
            </w:pPr>
            <w:r w:rsidRPr="00CA357A">
              <w:rPr>
                <w:szCs w:val="24"/>
              </w:rPr>
              <w:t>Код бюджета субъекта РФ</w:t>
            </w:r>
          </w:p>
        </w:tc>
        <w:tc>
          <w:tcPr>
            <w:tcW w:w="3634" w:type="dxa"/>
          </w:tcPr>
          <w:p w:rsidR="00642D44" w:rsidRPr="00CA357A" w:rsidRDefault="00642D44" w:rsidP="00E4576E">
            <w:pPr>
              <w:ind w:firstLine="0"/>
              <w:jc w:val="left"/>
              <w:rPr>
                <w:szCs w:val="24"/>
              </w:rPr>
            </w:pPr>
            <w:r w:rsidRPr="00CA357A">
              <w:rPr>
                <w:szCs w:val="24"/>
              </w:rPr>
              <w:t>Фильтрация по коду бюджета субъекта РФ. Разыменование по справочнику в соответствии с кодом бюджета субъекта РФ</w:t>
            </w:r>
          </w:p>
          <w:p w:rsidR="00642D44" w:rsidRPr="00CA357A" w:rsidRDefault="00642D44" w:rsidP="00E4576E">
            <w:pPr>
              <w:ind w:firstLine="0"/>
              <w:jc w:val="left"/>
              <w:rPr>
                <w:szCs w:val="24"/>
              </w:rPr>
            </w:pPr>
            <w:r w:rsidRPr="00CA357A">
              <w:rPr>
                <w:szCs w:val="24"/>
              </w:rPr>
              <w:t>Реализована возможность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p w:rsidR="00642D44" w:rsidRPr="00CA357A" w:rsidRDefault="00642D44" w:rsidP="00E4576E">
            <w:pPr>
              <w:ind w:firstLine="0"/>
              <w:jc w:val="left"/>
              <w:rPr>
                <w:szCs w:val="24"/>
              </w:rPr>
            </w:pPr>
            <w:r w:rsidRPr="00CA357A">
              <w:rPr>
                <w:szCs w:val="24"/>
              </w:rPr>
              <w:t>Зависим от выбранного значения в фильтре «Субъект РФ»</w:t>
            </w:r>
          </w:p>
        </w:tc>
        <w:tc>
          <w:tcPr>
            <w:tcW w:w="3685" w:type="dxa"/>
          </w:tcPr>
          <w:p w:rsidR="00642D44" w:rsidRPr="00CA357A" w:rsidRDefault="00642D44" w:rsidP="00E4576E">
            <w:pPr>
              <w:ind w:firstLine="0"/>
              <w:jc w:val="left"/>
              <w:rPr>
                <w:szCs w:val="24"/>
              </w:rPr>
            </w:pPr>
            <w:r w:rsidRPr="00CA357A">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бюджета</w:t>
            </w:r>
          </w:p>
        </w:tc>
      </w:tr>
      <w:tr w:rsidR="00642D44" w:rsidRPr="00CA357A" w:rsidTr="00642D44">
        <w:tc>
          <w:tcPr>
            <w:tcW w:w="567" w:type="dxa"/>
          </w:tcPr>
          <w:p w:rsidR="00642D44" w:rsidRPr="00CA357A" w:rsidRDefault="00642D44" w:rsidP="00E4576E">
            <w:pPr>
              <w:ind w:firstLine="0"/>
              <w:jc w:val="left"/>
              <w:rPr>
                <w:szCs w:val="24"/>
              </w:rPr>
            </w:pPr>
            <w:r w:rsidRPr="00CA357A">
              <w:rPr>
                <w:szCs w:val="24"/>
                <w:lang w:val="en-US"/>
              </w:rPr>
              <w:t>5</w:t>
            </w:r>
          </w:p>
        </w:tc>
        <w:tc>
          <w:tcPr>
            <w:tcW w:w="1895" w:type="dxa"/>
          </w:tcPr>
          <w:p w:rsidR="00642D44" w:rsidRPr="00CA357A" w:rsidRDefault="00642D44" w:rsidP="00E4576E">
            <w:pPr>
              <w:ind w:firstLine="0"/>
              <w:jc w:val="left"/>
              <w:rPr>
                <w:szCs w:val="24"/>
              </w:rPr>
            </w:pPr>
            <w:r w:rsidRPr="00CA357A">
              <w:rPr>
                <w:szCs w:val="24"/>
              </w:rPr>
              <w:t>Код ГРБС</w:t>
            </w:r>
          </w:p>
        </w:tc>
        <w:tc>
          <w:tcPr>
            <w:tcW w:w="3634" w:type="dxa"/>
          </w:tcPr>
          <w:p w:rsidR="00642D44" w:rsidRPr="00CA357A" w:rsidRDefault="00642D44" w:rsidP="00E4576E">
            <w:pPr>
              <w:ind w:firstLine="0"/>
              <w:jc w:val="left"/>
              <w:rPr>
                <w:szCs w:val="24"/>
              </w:rPr>
            </w:pPr>
            <w:r w:rsidRPr="00CA357A">
              <w:rPr>
                <w:szCs w:val="24"/>
              </w:rPr>
              <w:t>Фильтрация по коду ГРБС</w:t>
            </w:r>
          </w:p>
          <w:p w:rsidR="00642D44" w:rsidRPr="00CA357A" w:rsidRDefault="00642D44" w:rsidP="00E4576E">
            <w:pPr>
              <w:ind w:firstLine="0"/>
              <w:jc w:val="left"/>
              <w:rPr>
                <w:szCs w:val="24"/>
              </w:rPr>
            </w:pPr>
            <w:r w:rsidRPr="00CA357A">
              <w:rPr>
                <w:szCs w:val="24"/>
              </w:rPr>
              <w:t>Реализована возможность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p w:rsidR="00642D44" w:rsidRPr="00CA357A" w:rsidRDefault="00642D44" w:rsidP="00E4576E">
            <w:pPr>
              <w:ind w:firstLine="0"/>
              <w:jc w:val="left"/>
              <w:rPr>
                <w:szCs w:val="24"/>
              </w:rPr>
            </w:pPr>
            <w:r w:rsidRPr="00CA357A">
              <w:rPr>
                <w:szCs w:val="24"/>
              </w:rPr>
              <w:t>Зависим от выбранных значений в фильтрах «Субъект РФ», «Код бюджета субъекта РФ»</w:t>
            </w:r>
          </w:p>
        </w:tc>
        <w:tc>
          <w:tcPr>
            <w:tcW w:w="3685" w:type="dxa"/>
          </w:tcPr>
          <w:p w:rsidR="00642D44" w:rsidRPr="00CA357A" w:rsidRDefault="00642D44" w:rsidP="00E4576E">
            <w:pPr>
              <w:ind w:firstLine="0"/>
              <w:jc w:val="left"/>
              <w:rPr>
                <w:szCs w:val="24"/>
              </w:rPr>
            </w:pPr>
            <w:r w:rsidRPr="00CA357A">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642D44" w:rsidRPr="00CA357A" w:rsidTr="00642D44">
        <w:tc>
          <w:tcPr>
            <w:tcW w:w="567" w:type="dxa"/>
          </w:tcPr>
          <w:p w:rsidR="00642D44" w:rsidRPr="00CA357A" w:rsidRDefault="00642D44" w:rsidP="00E4576E">
            <w:pPr>
              <w:ind w:firstLine="0"/>
              <w:jc w:val="left"/>
              <w:rPr>
                <w:szCs w:val="24"/>
              </w:rPr>
            </w:pPr>
            <w:r w:rsidRPr="00CA357A">
              <w:rPr>
                <w:szCs w:val="24"/>
                <w:lang w:val="en-US"/>
              </w:rPr>
              <w:t>6</w:t>
            </w:r>
          </w:p>
        </w:tc>
        <w:tc>
          <w:tcPr>
            <w:tcW w:w="1895" w:type="dxa"/>
          </w:tcPr>
          <w:p w:rsidR="00642D44" w:rsidRPr="00CA357A" w:rsidRDefault="00642D44" w:rsidP="00E4576E">
            <w:pPr>
              <w:ind w:firstLine="0"/>
              <w:jc w:val="left"/>
              <w:rPr>
                <w:szCs w:val="24"/>
              </w:rPr>
            </w:pPr>
            <w:r w:rsidRPr="00CA357A">
              <w:rPr>
                <w:szCs w:val="24"/>
              </w:rPr>
              <w:t>РЗПР</w:t>
            </w:r>
          </w:p>
        </w:tc>
        <w:tc>
          <w:tcPr>
            <w:tcW w:w="3634" w:type="dxa"/>
          </w:tcPr>
          <w:p w:rsidR="00642D44" w:rsidRPr="00CA357A" w:rsidRDefault="00642D44" w:rsidP="00E4576E">
            <w:pPr>
              <w:ind w:firstLine="0"/>
              <w:jc w:val="left"/>
              <w:rPr>
                <w:szCs w:val="24"/>
              </w:rPr>
            </w:pPr>
            <w:r w:rsidRPr="00CA357A">
              <w:rPr>
                <w:szCs w:val="24"/>
              </w:rPr>
              <w:t>Фильтрация по 4-7 символам КБК</w:t>
            </w:r>
          </w:p>
          <w:p w:rsidR="00642D44" w:rsidRPr="00CA357A" w:rsidRDefault="00642D44" w:rsidP="00E4576E">
            <w:pPr>
              <w:ind w:firstLine="0"/>
              <w:jc w:val="left"/>
              <w:rPr>
                <w:szCs w:val="24"/>
              </w:rPr>
            </w:pPr>
            <w:r w:rsidRPr="00CA357A">
              <w:rPr>
                <w:szCs w:val="24"/>
              </w:rPr>
              <w:t>Иерархический фильтр с возможностью выбора только одного параметра единовременно, а также с возможностью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r w:rsidR="00642D44" w:rsidRPr="00CA357A" w:rsidTr="00642D44">
        <w:tc>
          <w:tcPr>
            <w:tcW w:w="567" w:type="dxa"/>
          </w:tcPr>
          <w:p w:rsidR="00642D44" w:rsidRPr="00CA357A" w:rsidRDefault="00642D44" w:rsidP="00E4576E">
            <w:pPr>
              <w:ind w:firstLine="0"/>
              <w:jc w:val="left"/>
              <w:rPr>
                <w:szCs w:val="24"/>
                <w:lang w:val="en-US"/>
              </w:rPr>
            </w:pPr>
            <w:r w:rsidRPr="00CA357A">
              <w:rPr>
                <w:szCs w:val="24"/>
                <w:lang w:val="en-US"/>
              </w:rPr>
              <w:t>7</w:t>
            </w:r>
          </w:p>
        </w:tc>
        <w:tc>
          <w:tcPr>
            <w:tcW w:w="1895" w:type="dxa"/>
          </w:tcPr>
          <w:p w:rsidR="00642D44" w:rsidRPr="00CA357A" w:rsidRDefault="00642D44" w:rsidP="00E4576E">
            <w:pPr>
              <w:ind w:firstLine="0"/>
              <w:jc w:val="left"/>
              <w:rPr>
                <w:szCs w:val="24"/>
              </w:rPr>
            </w:pPr>
            <w:r w:rsidRPr="00CA357A">
              <w:rPr>
                <w:szCs w:val="24"/>
              </w:rPr>
              <w:t>КЦСР</w:t>
            </w:r>
          </w:p>
        </w:tc>
        <w:tc>
          <w:tcPr>
            <w:tcW w:w="3634" w:type="dxa"/>
          </w:tcPr>
          <w:p w:rsidR="00642D44" w:rsidRPr="00CA357A" w:rsidRDefault="00642D44" w:rsidP="00E4576E">
            <w:pPr>
              <w:ind w:firstLine="0"/>
              <w:jc w:val="left"/>
              <w:rPr>
                <w:szCs w:val="24"/>
              </w:rPr>
            </w:pPr>
            <w:r w:rsidRPr="00CA357A">
              <w:rPr>
                <w:szCs w:val="24"/>
              </w:rPr>
              <w:t>Фильтрация по 8-17 символам КБК</w:t>
            </w:r>
          </w:p>
          <w:p w:rsidR="00642D44" w:rsidRPr="00CA357A" w:rsidRDefault="00642D44" w:rsidP="00E4576E">
            <w:pPr>
              <w:ind w:firstLine="0"/>
              <w:jc w:val="left"/>
              <w:rPr>
                <w:szCs w:val="24"/>
              </w:rPr>
            </w:pPr>
            <w:r w:rsidRPr="00CA357A">
              <w:rPr>
                <w:szCs w:val="24"/>
              </w:rPr>
              <w:t>Реализована возможность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r w:rsidR="00642D44" w:rsidRPr="00CA357A" w:rsidTr="00642D44">
        <w:tc>
          <w:tcPr>
            <w:tcW w:w="567" w:type="dxa"/>
          </w:tcPr>
          <w:p w:rsidR="00642D44" w:rsidRPr="00CA357A" w:rsidRDefault="00642D44" w:rsidP="00E4576E">
            <w:pPr>
              <w:ind w:firstLine="0"/>
              <w:jc w:val="left"/>
              <w:rPr>
                <w:szCs w:val="24"/>
                <w:lang w:val="en-US"/>
              </w:rPr>
            </w:pPr>
            <w:r w:rsidRPr="00CA357A">
              <w:rPr>
                <w:szCs w:val="24"/>
                <w:lang w:val="en-US"/>
              </w:rPr>
              <w:t>8</w:t>
            </w:r>
          </w:p>
        </w:tc>
        <w:tc>
          <w:tcPr>
            <w:tcW w:w="1895" w:type="dxa"/>
          </w:tcPr>
          <w:p w:rsidR="00642D44" w:rsidRPr="00CA357A" w:rsidRDefault="00642D44" w:rsidP="00E4576E">
            <w:pPr>
              <w:ind w:firstLine="0"/>
              <w:jc w:val="left"/>
              <w:rPr>
                <w:szCs w:val="24"/>
              </w:rPr>
            </w:pPr>
            <w:r w:rsidRPr="00CA357A">
              <w:rPr>
                <w:szCs w:val="24"/>
              </w:rPr>
              <w:t>КВР</w:t>
            </w:r>
          </w:p>
        </w:tc>
        <w:tc>
          <w:tcPr>
            <w:tcW w:w="3634" w:type="dxa"/>
          </w:tcPr>
          <w:p w:rsidR="00642D44" w:rsidRPr="00CA357A" w:rsidRDefault="00642D44" w:rsidP="00E4576E">
            <w:pPr>
              <w:ind w:firstLine="0"/>
              <w:jc w:val="left"/>
              <w:rPr>
                <w:szCs w:val="24"/>
              </w:rPr>
            </w:pPr>
            <w:r w:rsidRPr="00CA357A">
              <w:rPr>
                <w:szCs w:val="24"/>
              </w:rPr>
              <w:t>Фильтрация по 18-20 символам КБК</w:t>
            </w:r>
          </w:p>
          <w:p w:rsidR="00642D44" w:rsidRPr="00CA357A" w:rsidRDefault="00642D44" w:rsidP="00E4576E">
            <w:pPr>
              <w:ind w:firstLine="0"/>
              <w:jc w:val="left"/>
              <w:rPr>
                <w:szCs w:val="24"/>
              </w:rPr>
            </w:pPr>
            <w:r w:rsidRPr="00CA357A">
              <w:rPr>
                <w:szCs w:val="24"/>
              </w:rPr>
              <w:t>Иерархический фильтр с возможностью множественного выбора и контекстного поиска</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9</w:t>
            </w:r>
          </w:p>
        </w:tc>
        <w:tc>
          <w:tcPr>
            <w:tcW w:w="1895" w:type="dxa"/>
          </w:tcPr>
          <w:p w:rsidR="00642D44" w:rsidRPr="00CA357A" w:rsidRDefault="00642D44" w:rsidP="00E4576E">
            <w:pPr>
              <w:ind w:firstLine="0"/>
              <w:jc w:val="left"/>
              <w:rPr>
                <w:szCs w:val="24"/>
              </w:rPr>
            </w:pPr>
            <w:r w:rsidRPr="00CA357A">
              <w:rPr>
                <w:szCs w:val="24"/>
              </w:rPr>
              <w:t>Поле ввода «Номер соглашения, РЗ»</w:t>
            </w:r>
          </w:p>
        </w:tc>
        <w:tc>
          <w:tcPr>
            <w:tcW w:w="3634" w:type="dxa"/>
          </w:tcPr>
          <w:p w:rsidR="00642D44" w:rsidRPr="00CA357A" w:rsidRDefault="00642D44" w:rsidP="00E4576E">
            <w:pPr>
              <w:ind w:firstLine="0"/>
              <w:jc w:val="left"/>
              <w:rPr>
                <w:szCs w:val="24"/>
              </w:rPr>
            </w:pPr>
            <w:r w:rsidRPr="00CA357A">
              <w:rPr>
                <w:szCs w:val="24"/>
              </w:rPr>
              <w:t>Фильтрация по уникальному номеру реестровой записи и по номеру соглашения (договора)/НПА</w:t>
            </w:r>
          </w:p>
          <w:p w:rsidR="00642D44" w:rsidRPr="00CA357A" w:rsidRDefault="00642D44" w:rsidP="00E4576E">
            <w:pPr>
              <w:ind w:firstLine="0"/>
              <w:jc w:val="left"/>
              <w:rPr>
                <w:szCs w:val="24"/>
              </w:rPr>
            </w:pPr>
            <w:r w:rsidRPr="00CA357A">
              <w:rPr>
                <w:szCs w:val="24"/>
              </w:rPr>
              <w:t>Возможность ввода одного значения единовременно</w:t>
            </w:r>
          </w:p>
        </w:tc>
        <w:tc>
          <w:tcPr>
            <w:tcW w:w="3685" w:type="dxa"/>
          </w:tcPr>
          <w:p w:rsidR="00642D44" w:rsidRPr="00CA357A" w:rsidRDefault="00642D44" w:rsidP="00E4576E">
            <w:pPr>
              <w:ind w:firstLine="0"/>
              <w:jc w:val="left"/>
              <w:rPr>
                <w:szCs w:val="24"/>
              </w:rPr>
            </w:pPr>
            <w:r w:rsidRPr="00CA357A">
              <w:rPr>
                <w:szCs w:val="24"/>
              </w:rPr>
              <w:t xml:space="preserve">ПУР АСС =&gt; Реквизиты соглашения (договора), НПА =&gt; </w:t>
            </w:r>
          </w:p>
          <w:p w:rsidR="00642D44" w:rsidRPr="00CA357A" w:rsidRDefault="00642D44" w:rsidP="00E4576E">
            <w:pPr>
              <w:ind w:firstLine="0"/>
              <w:jc w:val="left"/>
              <w:rPr>
                <w:szCs w:val="24"/>
              </w:rPr>
            </w:pPr>
            <w:r w:rsidRPr="00CA357A">
              <w:rPr>
                <w:szCs w:val="24"/>
              </w:rPr>
              <w:t>- Уникальный номер реестровой записи (без учета номера версии, т.е. последних 3-х символов)</w:t>
            </w:r>
          </w:p>
          <w:p w:rsidR="00642D44" w:rsidRPr="00CA357A" w:rsidRDefault="00642D44" w:rsidP="00E4576E">
            <w:pPr>
              <w:ind w:firstLine="0"/>
              <w:jc w:val="left"/>
              <w:rPr>
                <w:szCs w:val="24"/>
              </w:rPr>
            </w:pPr>
            <w:r w:rsidRPr="00CA357A">
              <w:rPr>
                <w:szCs w:val="24"/>
              </w:rPr>
              <w:t>- Номер соглашения (договора)/нормативного правового акта</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10</w:t>
            </w:r>
          </w:p>
        </w:tc>
        <w:tc>
          <w:tcPr>
            <w:tcW w:w="1895" w:type="dxa"/>
          </w:tcPr>
          <w:p w:rsidR="00642D44" w:rsidRPr="00CA357A" w:rsidRDefault="00642D44" w:rsidP="00E4576E">
            <w:pPr>
              <w:ind w:firstLine="0"/>
              <w:jc w:val="left"/>
              <w:rPr>
                <w:szCs w:val="24"/>
              </w:rPr>
            </w:pPr>
            <w:r w:rsidRPr="00CA357A">
              <w:rPr>
                <w:szCs w:val="24"/>
              </w:rPr>
              <w:t>Поле ввода «Наименование, ИНН, КПП получателя, код СвР»</w:t>
            </w:r>
          </w:p>
        </w:tc>
        <w:tc>
          <w:tcPr>
            <w:tcW w:w="3634" w:type="dxa"/>
          </w:tcPr>
          <w:p w:rsidR="00642D44" w:rsidRPr="00CA357A" w:rsidRDefault="00642D44" w:rsidP="00E4576E">
            <w:pPr>
              <w:ind w:firstLine="0"/>
              <w:jc w:val="left"/>
              <w:rPr>
                <w:szCs w:val="24"/>
              </w:rPr>
            </w:pPr>
            <w:r w:rsidRPr="00CA357A">
              <w:rPr>
                <w:szCs w:val="24"/>
              </w:rPr>
              <w:t>Фильтрация по наименованию, ИНН, КПП получателя, коду СвР</w:t>
            </w:r>
          </w:p>
          <w:p w:rsidR="00642D44" w:rsidRPr="00CA357A" w:rsidRDefault="00642D44" w:rsidP="00E4576E">
            <w:pPr>
              <w:ind w:firstLine="0"/>
              <w:jc w:val="left"/>
              <w:rPr>
                <w:szCs w:val="24"/>
              </w:rPr>
            </w:pPr>
            <w:r w:rsidRPr="00CA357A">
              <w:rPr>
                <w:szCs w:val="24"/>
              </w:rPr>
              <w:t>Возможность ввода одного значения единовременно</w:t>
            </w:r>
          </w:p>
        </w:tc>
        <w:tc>
          <w:tcPr>
            <w:tcW w:w="3685" w:type="dxa"/>
          </w:tcPr>
          <w:p w:rsidR="00642D44" w:rsidRPr="00CA357A" w:rsidRDefault="00642D44" w:rsidP="00E4576E">
            <w:pPr>
              <w:ind w:firstLine="0"/>
              <w:jc w:val="left"/>
              <w:rPr>
                <w:szCs w:val="24"/>
              </w:rPr>
            </w:pPr>
            <w:r w:rsidRPr="00CA357A">
              <w:rPr>
                <w:szCs w:val="24"/>
              </w:rPr>
              <w:t>ПУР АСС =&gt; Реквизиты получателя субсидии =&gt;</w:t>
            </w:r>
          </w:p>
          <w:p w:rsidR="00642D44" w:rsidRPr="00CA357A" w:rsidRDefault="00642D44" w:rsidP="00E4576E">
            <w:pPr>
              <w:ind w:firstLine="0"/>
              <w:jc w:val="left"/>
              <w:rPr>
                <w:szCs w:val="24"/>
              </w:rPr>
            </w:pPr>
            <w:r w:rsidRPr="00CA357A">
              <w:rPr>
                <w:szCs w:val="24"/>
              </w:rPr>
              <w:t>- Полное наименование юридического лица/ФИО физического лица на русском языке</w:t>
            </w:r>
          </w:p>
          <w:p w:rsidR="00642D44" w:rsidRPr="00CA357A" w:rsidRDefault="00642D44" w:rsidP="00E4576E">
            <w:pPr>
              <w:ind w:firstLine="0"/>
              <w:jc w:val="left"/>
              <w:rPr>
                <w:szCs w:val="24"/>
              </w:rPr>
            </w:pPr>
            <w:r w:rsidRPr="00CA357A">
              <w:rPr>
                <w:szCs w:val="24"/>
              </w:rPr>
              <w:t>- ИНН</w:t>
            </w:r>
          </w:p>
          <w:p w:rsidR="00642D44" w:rsidRPr="00CA357A" w:rsidRDefault="00642D44" w:rsidP="00E4576E">
            <w:pPr>
              <w:ind w:firstLine="0"/>
              <w:jc w:val="left"/>
              <w:rPr>
                <w:szCs w:val="24"/>
              </w:rPr>
            </w:pPr>
            <w:r w:rsidRPr="00CA357A">
              <w:rPr>
                <w:szCs w:val="24"/>
              </w:rPr>
              <w:t>- КПП</w:t>
            </w:r>
          </w:p>
          <w:p w:rsidR="00642D44" w:rsidRPr="00CA357A" w:rsidRDefault="00642D44" w:rsidP="00E4576E">
            <w:pPr>
              <w:ind w:firstLine="0"/>
              <w:jc w:val="left"/>
              <w:rPr>
                <w:szCs w:val="24"/>
              </w:rPr>
            </w:pPr>
            <w:r w:rsidRPr="00CA357A">
              <w:rPr>
                <w:szCs w:val="24"/>
              </w:rPr>
              <w:t>- Код по сводному реестру</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11</w:t>
            </w:r>
          </w:p>
        </w:tc>
        <w:tc>
          <w:tcPr>
            <w:tcW w:w="1895" w:type="dxa"/>
          </w:tcPr>
          <w:p w:rsidR="00642D44" w:rsidRPr="00CA357A" w:rsidRDefault="00642D44" w:rsidP="00E4576E">
            <w:pPr>
              <w:ind w:firstLine="0"/>
              <w:jc w:val="left"/>
              <w:rPr>
                <w:szCs w:val="24"/>
              </w:rPr>
            </w:pPr>
            <w:r w:rsidRPr="00CA357A">
              <w:rPr>
                <w:szCs w:val="24"/>
              </w:rPr>
              <w:t>КБК</w:t>
            </w:r>
          </w:p>
        </w:tc>
        <w:tc>
          <w:tcPr>
            <w:tcW w:w="3634" w:type="dxa"/>
          </w:tcPr>
          <w:p w:rsidR="00642D44" w:rsidRPr="00CA357A" w:rsidRDefault="00642D44" w:rsidP="00E4576E">
            <w:pPr>
              <w:ind w:firstLine="0"/>
              <w:jc w:val="left"/>
              <w:rPr>
                <w:szCs w:val="24"/>
              </w:rPr>
            </w:pPr>
            <w:r w:rsidRPr="00CA357A">
              <w:rPr>
                <w:szCs w:val="24"/>
              </w:rPr>
              <w:t>Фильтрация по маске КБК</w:t>
            </w:r>
          </w:p>
          <w:p w:rsidR="00642D44" w:rsidRPr="00CA357A" w:rsidRDefault="00642D44" w:rsidP="00E4576E">
            <w:pPr>
              <w:ind w:firstLine="0"/>
              <w:jc w:val="left"/>
              <w:rPr>
                <w:szCs w:val="24"/>
              </w:rPr>
            </w:pPr>
            <w:r w:rsidRPr="00CA357A">
              <w:rPr>
                <w:szCs w:val="24"/>
              </w:rPr>
              <w:t>Возможность ввода необходимых сегментов КБК в несколько шагов</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12</w:t>
            </w:r>
          </w:p>
        </w:tc>
        <w:tc>
          <w:tcPr>
            <w:tcW w:w="1895" w:type="dxa"/>
          </w:tcPr>
          <w:p w:rsidR="00642D44" w:rsidRPr="00CA357A" w:rsidRDefault="00642D44" w:rsidP="00E4576E">
            <w:pPr>
              <w:ind w:firstLine="0"/>
              <w:jc w:val="left"/>
              <w:rPr>
                <w:szCs w:val="24"/>
              </w:rPr>
            </w:pPr>
            <w:r w:rsidRPr="00CA357A">
              <w:rPr>
                <w:szCs w:val="24"/>
              </w:rPr>
              <w:t>Национальный проект</w:t>
            </w:r>
          </w:p>
        </w:tc>
        <w:tc>
          <w:tcPr>
            <w:tcW w:w="3634" w:type="dxa"/>
          </w:tcPr>
          <w:p w:rsidR="00642D44" w:rsidRPr="00CA357A" w:rsidRDefault="00642D44" w:rsidP="00E4576E">
            <w:pPr>
              <w:ind w:firstLine="0"/>
              <w:jc w:val="left"/>
              <w:rPr>
                <w:szCs w:val="24"/>
              </w:rPr>
            </w:pPr>
            <w:r w:rsidRPr="00CA357A">
              <w:rPr>
                <w:szCs w:val="24"/>
              </w:rPr>
              <w:t>Фильтрация по 11-12 символам КБК</w:t>
            </w:r>
          </w:p>
          <w:p w:rsidR="00642D44" w:rsidRPr="00CA357A" w:rsidRDefault="00642D44" w:rsidP="00E4576E">
            <w:pPr>
              <w:ind w:firstLine="0"/>
              <w:jc w:val="left"/>
              <w:rPr>
                <w:szCs w:val="24"/>
              </w:rPr>
            </w:pPr>
            <w:r w:rsidRPr="00CA357A">
              <w:rPr>
                <w:szCs w:val="24"/>
              </w:rPr>
              <w:t>Иерархический фильтр с возможностью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r w:rsidR="00642D44" w:rsidRPr="00CA357A" w:rsidTr="00642D44">
        <w:tc>
          <w:tcPr>
            <w:tcW w:w="567" w:type="dxa"/>
          </w:tcPr>
          <w:p w:rsidR="00642D44" w:rsidRPr="00CA357A" w:rsidRDefault="00642D44" w:rsidP="00E4576E">
            <w:pPr>
              <w:ind w:firstLine="0"/>
              <w:jc w:val="left"/>
              <w:rPr>
                <w:szCs w:val="24"/>
              </w:rPr>
            </w:pPr>
            <w:r w:rsidRPr="00CA357A">
              <w:rPr>
                <w:szCs w:val="24"/>
              </w:rPr>
              <w:t>13</w:t>
            </w:r>
          </w:p>
        </w:tc>
        <w:tc>
          <w:tcPr>
            <w:tcW w:w="1895" w:type="dxa"/>
          </w:tcPr>
          <w:p w:rsidR="00642D44" w:rsidRPr="00CA357A" w:rsidRDefault="00642D44" w:rsidP="00E4576E">
            <w:pPr>
              <w:ind w:firstLine="0"/>
              <w:jc w:val="left"/>
              <w:rPr>
                <w:szCs w:val="24"/>
              </w:rPr>
            </w:pPr>
            <w:r w:rsidRPr="00CA357A">
              <w:rPr>
                <w:szCs w:val="24"/>
              </w:rPr>
              <w:t>КЦСР федерального соглашения</w:t>
            </w:r>
          </w:p>
        </w:tc>
        <w:tc>
          <w:tcPr>
            <w:tcW w:w="3634" w:type="dxa"/>
          </w:tcPr>
          <w:p w:rsidR="00642D44" w:rsidRPr="00CA357A" w:rsidRDefault="00642D44" w:rsidP="00E4576E">
            <w:pPr>
              <w:ind w:firstLine="0"/>
              <w:jc w:val="left"/>
              <w:rPr>
                <w:szCs w:val="24"/>
              </w:rPr>
            </w:pPr>
            <w:r w:rsidRPr="00CA357A">
              <w:rPr>
                <w:szCs w:val="24"/>
              </w:rPr>
              <w:t>Фильтрация по 8-17 символам КБК соглашения федерального уровня</w:t>
            </w:r>
          </w:p>
          <w:p w:rsidR="00642D44" w:rsidRPr="00CA357A" w:rsidRDefault="00642D44" w:rsidP="00E4576E">
            <w:pPr>
              <w:ind w:firstLine="0"/>
              <w:jc w:val="left"/>
              <w:rPr>
                <w:szCs w:val="24"/>
              </w:rPr>
            </w:pPr>
            <w:r w:rsidRPr="00CA357A">
              <w:rPr>
                <w:szCs w:val="24"/>
              </w:rPr>
              <w:t>Реализована возможность множественного выбора и контекстного поиска</w:t>
            </w:r>
          </w:p>
          <w:p w:rsidR="00642D44" w:rsidRPr="00CA357A" w:rsidRDefault="00642D44" w:rsidP="00E4576E">
            <w:pPr>
              <w:ind w:firstLine="0"/>
              <w:jc w:val="left"/>
              <w:rPr>
                <w:szCs w:val="24"/>
              </w:rPr>
            </w:pPr>
            <w:r w:rsidRPr="00CA357A">
              <w:rPr>
                <w:szCs w:val="24"/>
              </w:rPr>
              <w:t>По умолчанию установлено значение «Все»</w:t>
            </w:r>
          </w:p>
          <w:p w:rsidR="00642D44" w:rsidRPr="00CA357A" w:rsidRDefault="00642D44" w:rsidP="00E4576E">
            <w:pPr>
              <w:ind w:firstLine="0"/>
              <w:jc w:val="left"/>
              <w:rPr>
                <w:szCs w:val="24"/>
              </w:rPr>
            </w:pPr>
            <w:r w:rsidRPr="00CA357A">
              <w:rPr>
                <w:szCs w:val="24"/>
              </w:rPr>
              <w:t>Реализована автоматическая передача выбранного значения данного фильтра между представлениями</w:t>
            </w:r>
          </w:p>
        </w:tc>
        <w:tc>
          <w:tcPr>
            <w:tcW w:w="3685" w:type="dxa"/>
          </w:tcPr>
          <w:p w:rsidR="00642D44" w:rsidRPr="00CA357A" w:rsidRDefault="00642D44" w:rsidP="00E4576E">
            <w:pPr>
              <w:ind w:firstLine="0"/>
              <w:jc w:val="left"/>
              <w:rPr>
                <w:szCs w:val="24"/>
              </w:rPr>
            </w:pPr>
            <w:r w:rsidRPr="00CA357A">
              <w:rPr>
                <w:szCs w:val="24"/>
              </w:rPr>
              <w:t>ПУР АСС =&gt; График платежей =&gt; КБК</w:t>
            </w:r>
          </w:p>
        </w:tc>
      </w:tr>
    </w:tbl>
    <w:p w:rsidR="00642D44" w:rsidRDefault="00642D44" w:rsidP="00642D44">
      <w:pPr>
        <w:pStyle w:val="-0"/>
      </w:pPr>
    </w:p>
    <w:p w:rsidR="00A1691E" w:rsidRDefault="00025BEB" w:rsidP="00025BEB">
      <w:pPr>
        <w:pStyle w:val="46"/>
      </w:pPr>
      <w:r w:rsidRPr="00025BEB">
        <w:t>Представление «Бюджеты муниципальных образований» - «По муниципальным образованиям»</w:t>
      </w:r>
    </w:p>
    <w:p w:rsidR="00025BEB" w:rsidRDefault="00025BEB" w:rsidP="00025BEB">
      <w:pPr>
        <w:pStyle w:val="af0"/>
        <w:keepNext/>
        <w:ind w:firstLine="709"/>
      </w:pPr>
      <w:r w:rsidRPr="00D566A9">
        <w:t>Представление имеет два формата отображения: Таблица|Карта</w:t>
      </w:r>
      <w:r>
        <w:rPr>
          <w:noProof/>
        </w:rPr>
        <w:drawing>
          <wp:inline distT="0" distB="0" distL="0" distR="0" wp14:anchorId="60991A2B" wp14:editId="6C8DC8C6">
            <wp:extent cx="5939790" cy="2997557"/>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317" cstate="print">
                      <a:extLst>
                        <a:ext uri="{28A0092B-C50C-407E-A947-70E740481C1C}">
                          <a14:useLocalDpi xmlns:a14="http://schemas.microsoft.com/office/drawing/2010/main" val="0"/>
                        </a:ext>
                      </a:extLst>
                    </a:blip>
                    <a:stretch>
                      <a:fillRect/>
                    </a:stretch>
                  </pic:blipFill>
                  <pic:spPr>
                    <a:xfrm>
                      <a:off x="0" y="0"/>
                      <a:ext cx="5939790" cy="2997557"/>
                    </a:xfrm>
                    <a:prstGeom prst="rect">
                      <a:avLst/>
                    </a:prstGeom>
                  </pic:spPr>
                </pic:pic>
              </a:graphicData>
            </a:graphic>
          </wp:inline>
        </w:drawing>
      </w:r>
    </w:p>
    <w:p w:rsidR="00025BEB" w:rsidRDefault="00025BEB" w:rsidP="00025BEB">
      <w:pPr>
        <w:pStyle w:val="-0"/>
      </w:pPr>
      <w:bookmarkStart w:id="900" w:name="_Toc119584425"/>
      <w:r>
        <w:t xml:space="preserve">Рисунок </w:t>
      </w:r>
      <w:fldSimple w:instr=" SEQ Рисунок \* ARABIC ">
        <w:r w:rsidR="001860A9">
          <w:rPr>
            <w:noProof/>
          </w:rPr>
          <w:t>238</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 xml:space="preserve"> муниципальных образований</w:t>
      </w:r>
      <w:r w:rsidRPr="00D84966">
        <w:t>»</w:t>
      </w:r>
      <w:r>
        <w:t xml:space="preserve"> -</w:t>
      </w:r>
      <w:r w:rsidRPr="00D84966">
        <w:t xml:space="preserve"> «По</w:t>
      </w:r>
      <w:r>
        <w:t xml:space="preserve"> муниципальным образованиям</w:t>
      </w:r>
      <w:r w:rsidRPr="00D84966">
        <w:t>»</w:t>
      </w:r>
      <w:bookmarkEnd w:id="900"/>
    </w:p>
    <w:p w:rsidR="00025BEB" w:rsidRPr="00D566A9" w:rsidRDefault="00025BEB" w:rsidP="00025BEB">
      <w:pPr>
        <w:ind w:firstLine="709"/>
        <w:rPr>
          <w:sz w:val="28"/>
          <w:szCs w:val="28"/>
        </w:rPr>
      </w:pPr>
      <w:r w:rsidRPr="00D566A9">
        <w:rPr>
          <w:sz w:val="28"/>
          <w:szCs w:val="28"/>
        </w:rPr>
        <w:t>Область таблицы: в таблице представлены муниципальные образования выбранного субъекта РФ построчно, отсортированные в алфавитном порядке, а также итоговая строка с суммовыми значениями по всем муниципальным образованиям субъекта РФ.</w:t>
      </w:r>
    </w:p>
    <w:p w:rsidR="00025BEB" w:rsidRDefault="00025BEB" w:rsidP="00025BEB">
      <w:pPr>
        <w:pStyle w:val="-0"/>
        <w:keepNext/>
      </w:pPr>
      <w:r>
        <w:rPr>
          <w:noProof/>
        </w:rPr>
        <w:drawing>
          <wp:inline distT="0" distB="0" distL="0" distR="0" wp14:anchorId="165C3604" wp14:editId="6A90E216">
            <wp:extent cx="5939790" cy="2997821"/>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318" cstate="print">
                      <a:extLst>
                        <a:ext uri="{28A0092B-C50C-407E-A947-70E740481C1C}">
                          <a14:useLocalDpi xmlns:a14="http://schemas.microsoft.com/office/drawing/2010/main" val="0"/>
                        </a:ext>
                      </a:extLst>
                    </a:blip>
                    <a:stretch>
                      <a:fillRect/>
                    </a:stretch>
                  </pic:blipFill>
                  <pic:spPr>
                    <a:xfrm>
                      <a:off x="0" y="0"/>
                      <a:ext cx="5939790" cy="2997821"/>
                    </a:xfrm>
                    <a:prstGeom prst="rect">
                      <a:avLst/>
                    </a:prstGeom>
                  </pic:spPr>
                </pic:pic>
              </a:graphicData>
            </a:graphic>
          </wp:inline>
        </w:drawing>
      </w:r>
    </w:p>
    <w:p w:rsidR="00025BEB" w:rsidRDefault="00025BEB" w:rsidP="00E4576E">
      <w:pPr>
        <w:pStyle w:val="-0"/>
      </w:pPr>
      <w:bookmarkStart w:id="901" w:name="_Toc119584426"/>
      <w:r>
        <w:t xml:space="preserve">Рисунок </w:t>
      </w:r>
      <w:fldSimple w:instr=" SEQ Рисунок \* ARABIC ">
        <w:r w:rsidR="001860A9">
          <w:rPr>
            <w:noProof/>
          </w:rPr>
          <w:t>239</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«Бюджеты муниципальных образований» - «По муниципальным образованиям» в виде карты</w:t>
      </w:r>
      <w:bookmarkEnd w:id="901"/>
    </w:p>
    <w:p w:rsidR="0001148D" w:rsidRPr="00D566A9" w:rsidRDefault="0001148D" w:rsidP="0001148D">
      <w:pPr>
        <w:ind w:firstLine="709"/>
        <w:rPr>
          <w:sz w:val="28"/>
          <w:szCs w:val="28"/>
        </w:rPr>
      </w:pPr>
      <w:r w:rsidRPr="00D566A9">
        <w:rPr>
          <w:sz w:val="28"/>
          <w:szCs w:val="28"/>
        </w:rPr>
        <w:t>Область карты: отображены муниципальные образования выбранного субъекта РФ на карте соответственно своему местоположению. Значения, отображаемые на карте, а также в легенде, определяются выбранным параметром в фильтре «Показатель» (показатели соответствуют колонкам таблицы с 3-й по 33-ю). Есть возможность пользовательского масштабирования при помощи колеса мыши. При нажатии на интересующую территорию муниципального образования будет отображаться «выпадающее окно», в котором реализована возможность перехода по заданным параметрам в фильтрах в представление уровня бюджетов муниципальных образований «По соглашениям». Переход подсвечен «синим» и называется «По соглашениям (Бюджеты муниципальных образований)».</w:t>
      </w:r>
    </w:p>
    <w:tbl>
      <w:tblPr>
        <w:tblStyle w:val="affe"/>
        <w:tblW w:w="10348" w:type="dxa"/>
        <w:tblInd w:w="-459" w:type="dxa"/>
        <w:tblLayout w:type="fixed"/>
        <w:tblLook w:val="04A0" w:firstRow="1" w:lastRow="0" w:firstColumn="1" w:lastColumn="0" w:noHBand="0" w:noVBand="1"/>
      </w:tblPr>
      <w:tblGrid>
        <w:gridCol w:w="567"/>
        <w:gridCol w:w="1276"/>
        <w:gridCol w:w="992"/>
        <w:gridCol w:w="3402"/>
        <w:gridCol w:w="4111"/>
      </w:tblGrid>
      <w:tr w:rsidR="0001148D" w:rsidRPr="00D566A9" w:rsidTr="0001148D">
        <w:trPr>
          <w:tblHeader/>
        </w:trPr>
        <w:tc>
          <w:tcPr>
            <w:tcW w:w="567"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 колонки</w:t>
            </w:r>
          </w:p>
        </w:tc>
        <w:tc>
          <w:tcPr>
            <w:tcW w:w="1276"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Наименование</w:t>
            </w:r>
          </w:p>
        </w:tc>
        <w:tc>
          <w:tcPr>
            <w:tcW w:w="992"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Колонка по умолчанию</w:t>
            </w:r>
          </w:p>
        </w:tc>
        <w:tc>
          <w:tcPr>
            <w:tcW w:w="3402" w:type="dxa"/>
            <w:shd w:val="clear" w:color="auto" w:fill="F2F2F2" w:themeFill="background1" w:themeFillShade="F2"/>
            <w:vAlign w:val="center"/>
          </w:tcPr>
          <w:p w:rsidR="0001148D" w:rsidRPr="00D566A9" w:rsidRDefault="0001148D" w:rsidP="00D95FA6">
            <w:pPr>
              <w:ind w:left="34" w:firstLine="0"/>
              <w:jc w:val="center"/>
              <w:rPr>
                <w:b/>
                <w:szCs w:val="24"/>
              </w:rPr>
            </w:pPr>
            <w:r w:rsidRPr="00D566A9">
              <w:rPr>
                <w:b/>
                <w:szCs w:val="24"/>
              </w:rPr>
              <w:t>Алгоритмы и переходы</w:t>
            </w:r>
          </w:p>
        </w:tc>
        <w:tc>
          <w:tcPr>
            <w:tcW w:w="4111" w:type="dxa"/>
            <w:shd w:val="clear" w:color="auto" w:fill="F2F2F2" w:themeFill="background1" w:themeFillShade="F2"/>
            <w:vAlign w:val="center"/>
          </w:tcPr>
          <w:p w:rsidR="0001148D" w:rsidRPr="00D566A9" w:rsidRDefault="0001148D" w:rsidP="00D95FA6">
            <w:pPr>
              <w:ind w:left="34" w:firstLine="0"/>
              <w:jc w:val="center"/>
              <w:rPr>
                <w:b/>
                <w:szCs w:val="24"/>
              </w:rPr>
            </w:pPr>
            <w:r w:rsidRPr="00D566A9">
              <w:rPr>
                <w:b/>
                <w:szCs w:val="24"/>
              </w:rPr>
              <w:t>Источник данных</w:t>
            </w:r>
          </w:p>
        </w:tc>
      </w:tr>
      <w:tr w:rsidR="0001148D" w:rsidRPr="00D566A9" w:rsidTr="0001148D">
        <w:tc>
          <w:tcPr>
            <w:tcW w:w="10348" w:type="dxa"/>
            <w:gridSpan w:val="5"/>
            <w:shd w:val="clear" w:color="auto" w:fill="D9D9D9" w:themeFill="background1" w:themeFillShade="D9"/>
          </w:tcPr>
          <w:p w:rsidR="0001148D" w:rsidRPr="00D566A9" w:rsidRDefault="0001148D" w:rsidP="00D95FA6">
            <w:pPr>
              <w:ind w:left="34" w:firstLine="0"/>
              <w:jc w:val="center"/>
              <w:rPr>
                <w:szCs w:val="24"/>
              </w:rPr>
            </w:pPr>
            <w:r w:rsidRPr="00D566A9">
              <w:rPr>
                <w:szCs w:val="24"/>
              </w:rPr>
              <w:t>Блок по количеству соглашений в разрезе регионов</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w:t>
            </w:r>
          </w:p>
        </w:tc>
        <w:tc>
          <w:tcPr>
            <w:tcW w:w="1276" w:type="dxa"/>
          </w:tcPr>
          <w:p w:rsidR="0001148D" w:rsidRPr="00D566A9" w:rsidRDefault="0001148D" w:rsidP="00D95FA6">
            <w:pPr>
              <w:ind w:firstLine="0"/>
              <w:jc w:val="left"/>
              <w:rPr>
                <w:szCs w:val="24"/>
              </w:rPr>
            </w:pPr>
            <w:r w:rsidRPr="00D566A9">
              <w:rPr>
                <w:szCs w:val="24"/>
              </w:rPr>
              <w:t>Наименование муниципального образования</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Разыменование по справочнику соответствующих значений кодов ОКТМО</w:t>
            </w:r>
          </w:p>
          <w:p w:rsidR="0001148D" w:rsidRPr="00D566A9" w:rsidRDefault="0001148D" w:rsidP="00D95FA6">
            <w:pPr>
              <w:ind w:left="34" w:firstLine="0"/>
              <w:jc w:val="left"/>
              <w:rPr>
                <w:szCs w:val="24"/>
              </w:rPr>
            </w:pPr>
            <w:r w:rsidRPr="00D566A9">
              <w:rPr>
                <w:szCs w:val="24"/>
              </w:rPr>
              <w:t>Сортировка в алфавитном порядке</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w:t>
            </w:r>
          </w:p>
        </w:tc>
        <w:tc>
          <w:tcPr>
            <w:tcW w:w="1276" w:type="dxa"/>
          </w:tcPr>
          <w:p w:rsidR="0001148D" w:rsidRPr="00D566A9" w:rsidRDefault="0001148D" w:rsidP="00D95FA6">
            <w:pPr>
              <w:ind w:firstLine="0"/>
              <w:jc w:val="left"/>
              <w:rPr>
                <w:szCs w:val="24"/>
              </w:rPr>
            </w:pPr>
            <w:r w:rsidRPr="00D566A9">
              <w:rPr>
                <w:szCs w:val="24"/>
              </w:rPr>
              <w:t>Код ОКТМО</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pStyle w:val="afff6"/>
              <w:ind w:left="34" w:firstLine="0"/>
              <w:jc w:val="left"/>
              <w:rPr>
                <w:sz w:val="24"/>
                <w:szCs w:val="24"/>
              </w:rPr>
            </w:pPr>
          </w:p>
        </w:tc>
        <w:tc>
          <w:tcPr>
            <w:tcW w:w="4111" w:type="dxa"/>
            <w:shd w:val="clear" w:color="auto" w:fill="auto"/>
          </w:tcPr>
          <w:p w:rsidR="0001148D" w:rsidRPr="00D566A9" w:rsidRDefault="0001148D" w:rsidP="00D95FA6">
            <w:pPr>
              <w:ind w:left="34" w:firstLine="0"/>
              <w:jc w:val="left"/>
              <w:rPr>
                <w:szCs w:val="24"/>
              </w:rPr>
            </w:pPr>
            <w:r w:rsidRPr="00D566A9">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3</w:t>
            </w:r>
          </w:p>
        </w:tc>
        <w:tc>
          <w:tcPr>
            <w:tcW w:w="1276" w:type="dxa"/>
          </w:tcPr>
          <w:p w:rsidR="0001148D" w:rsidRPr="00D566A9" w:rsidRDefault="0001148D" w:rsidP="00D95FA6">
            <w:pPr>
              <w:ind w:firstLine="0"/>
              <w:jc w:val="left"/>
              <w:rPr>
                <w:szCs w:val="24"/>
              </w:rPr>
            </w:pPr>
            <w:r w:rsidRPr="00D566A9">
              <w:rPr>
                <w:szCs w:val="24"/>
              </w:rPr>
              <w:t>Количество соглашений, заключенных с муниципальным образованием,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Подсчет количества соглашений уровня бюджетов субъектов РФ, код ОКТМО получателя которых соответствует приведенному в списке коду ОКТМО муниципального образования</w:t>
            </w:r>
          </w:p>
          <w:p w:rsidR="0001148D" w:rsidRPr="00D566A9" w:rsidRDefault="0001148D" w:rsidP="00D95FA6">
            <w:pPr>
              <w:ind w:left="34" w:firstLine="0"/>
              <w:jc w:val="left"/>
              <w:rPr>
                <w:szCs w:val="24"/>
              </w:rPr>
            </w:pPr>
            <w:r w:rsidRPr="00D566A9">
              <w:rPr>
                <w:szCs w:val="24"/>
              </w:rPr>
              <w:t>Реализован переход на уровень бюджетов субъектов РФ в представление «По соглашениям (Бюджеты субъектов РФ)» с автоматической преднастройкой параметра фильтра «МО получателя» в соответствии с выбранным для перехода муниципальным образованием</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4</w:t>
            </w:r>
          </w:p>
        </w:tc>
        <w:tc>
          <w:tcPr>
            <w:tcW w:w="1276" w:type="dxa"/>
          </w:tcPr>
          <w:p w:rsidR="0001148D" w:rsidRPr="00D566A9" w:rsidRDefault="0001148D" w:rsidP="00D95FA6">
            <w:pPr>
              <w:ind w:firstLine="0"/>
              <w:jc w:val="left"/>
              <w:rPr>
                <w:szCs w:val="24"/>
              </w:rPr>
            </w:pPr>
            <w:r w:rsidRPr="00D566A9">
              <w:rPr>
                <w:szCs w:val="24"/>
              </w:rPr>
              <w:t>Количество соглашений, заключенных муниципальным образованием,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Подсчет количества соглашений уровня бюджетов муниципальных образований, код ОКТМО распорядителя которых соответствует приведенному в списке коду ОКТМО МО</w:t>
            </w:r>
          </w:p>
          <w:p w:rsidR="0001148D" w:rsidRPr="00D566A9" w:rsidRDefault="0001148D" w:rsidP="00D95FA6">
            <w:pPr>
              <w:ind w:left="34" w:firstLine="0"/>
              <w:jc w:val="left"/>
              <w:rPr>
                <w:szCs w:val="24"/>
              </w:rPr>
            </w:pPr>
            <w:r w:rsidRPr="00D566A9">
              <w:rPr>
                <w:szCs w:val="24"/>
              </w:rPr>
              <w:t>Реализован переход в представление «По соглашениям (Бюджеты муниципальных образований)» с автоматической преднастройкой параметра фильтра «Субъект РФ», а также «Муниципальное образование»</w:t>
            </w:r>
          </w:p>
        </w:tc>
        <w:tc>
          <w:tcPr>
            <w:tcW w:w="4111" w:type="dxa"/>
          </w:tcPr>
          <w:p w:rsidR="0001148D" w:rsidRPr="00D566A9" w:rsidRDefault="0001148D" w:rsidP="00D95FA6">
            <w:pPr>
              <w:ind w:left="34" w:firstLine="0"/>
              <w:jc w:val="left"/>
              <w:rPr>
                <w:szCs w:val="24"/>
              </w:rPr>
            </w:pPr>
          </w:p>
        </w:tc>
      </w:tr>
      <w:tr w:rsidR="0001148D" w:rsidRPr="00D566A9" w:rsidTr="0001148D">
        <w:tc>
          <w:tcPr>
            <w:tcW w:w="10348" w:type="dxa"/>
            <w:gridSpan w:val="5"/>
            <w:shd w:val="clear" w:color="auto" w:fill="D9D9D9" w:themeFill="background1" w:themeFillShade="D9"/>
          </w:tcPr>
          <w:p w:rsidR="0001148D" w:rsidRPr="00D566A9" w:rsidRDefault="0001148D" w:rsidP="00D95FA6">
            <w:pPr>
              <w:ind w:left="34" w:firstLine="0"/>
              <w:jc w:val="center"/>
              <w:rPr>
                <w:szCs w:val="24"/>
              </w:rPr>
            </w:pPr>
            <w:r w:rsidRPr="00D566A9">
              <w:rPr>
                <w:szCs w:val="24"/>
              </w:rPr>
              <w:t>Блок по суммам соглашения, по графику соглашения и по кассовому исполнению по ИПС в разрезе регионов</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5</w:t>
            </w:r>
          </w:p>
        </w:tc>
        <w:tc>
          <w:tcPr>
            <w:tcW w:w="1276" w:type="dxa"/>
          </w:tcPr>
          <w:p w:rsidR="0001148D" w:rsidRPr="00D566A9" w:rsidRDefault="0001148D" w:rsidP="00D95FA6">
            <w:pPr>
              <w:ind w:firstLine="0"/>
              <w:jc w:val="left"/>
              <w:rPr>
                <w:szCs w:val="24"/>
              </w:rPr>
            </w:pPr>
            <w:r w:rsidRPr="00D566A9">
              <w:rPr>
                <w:szCs w:val="24"/>
              </w:rPr>
              <w:t>Сумма соглашения (всего), ‘динамическое значение единиц измерения, зависящее от значения в фильтре «Единицы измерения»’ – сумма по графику соглашения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Сумма по суммам соглашений (всего),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6</w:t>
            </w:r>
          </w:p>
        </w:tc>
        <w:tc>
          <w:tcPr>
            <w:tcW w:w="1276" w:type="dxa"/>
          </w:tcPr>
          <w:p w:rsidR="0001148D" w:rsidRPr="00D566A9" w:rsidRDefault="0001148D" w:rsidP="00D95FA6">
            <w:pPr>
              <w:ind w:firstLine="0"/>
              <w:jc w:val="left"/>
              <w:rPr>
                <w:szCs w:val="24"/>
              </w:rPr>
            </w:pPr>
            <w:r w:rsidRPr="00D566A9">
              <w:rPr>
                <w:szCs w:val="24"/>
              </w:rPr>
              <w:t>Исполнено в прошлых периодах,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Сумма по суммам по ИПС на годы, предшествующие значению в фильтре «Год»,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7</w:t>
            </w:r>
          </w:p>
        </w:tc>
        <w:tc>
          <w:tcPr>
            <w:tcW w:w="1276" w:type="dxa"/>
          </w:tcPr>
          <w:p w:rsidR="0001148D" w:rsidRPr="00D566A9" w:rsidRDefault="0001148D" w:rsidP="00D95FA6">
            <w:pPr>
              <w:ind w:firstLine="0"/>
              <w:jc w:val="left"/>
              <w:rPr>
                <w:szCs w:val="24"/>
              </w:rPr>
            </w:pPr>
            <w:r w:rsidRPr="00D566A9">
              <w:rPr>
                <w:szCs w:val="24"/>
              </w:rPr>
              <w:t>Сумма соглашения на ‘выбранное значение в фильтре «Год»’ год,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Сумма по суммам соглашений по графику соглашения на выбранное значение года в фильтре «Год»,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8</w:t>
            </w:r>
          </w:p>
        </w:tc>
        <w:tc>
          <w:tcPr>
            <w:tcW w:w="1276" w:type="dxa"/>
          </w:tcPr>
          <w:p w:rsidR="0001148D" w:rsidRPr="00D566A9" w:rsidRDefault="0001148D" w:rsidP="00D95FA6">
            <w:pPr>
              <w:ind w:firstLine="0"/>
              <w:jc w:val="left"/>
              <w:rPr>
                <w:szCs w:val="24"/>
              </w:rPr>
            </w:pPr>
            <w:r w:rsidRPr="00D566A9">
              <w:rPr>
                <w:szCs w:val="24"/>
              </w:rPr>
              <w:t>Сумма соглашения на ‘выбранное значение в фильтре «Год» +1’ год,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Сумма по суммам соглашений по графику соглашения на выбранное значение года в фильтре «Год»+1,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9</w:t>
            </w:r>
          </w:p>
        </w:tc>
        <w:tc>
          <w:tcPr>
            <w:tcW w:w="1276" w:type="dxa"/>
          </w:tcPr>
          <w:p w:rsidR="0001148D" w:rsidRPr="00D566A9" w:rsidRDefault="0001148D" w:rsidP="00D95FA6">
            <w:pPr>
              <w:ind w:firstLine="0"/>
              <w:jc w:val="left"/>
              <w:rPr>
                <w:szCs w:val="24"/>
              </w:rPr>
            </w:pPr>
            <w:r w:rsidRPr="00D566A9">
              <w:rPr>
                <w:szCs w:val="24"/>
              </w:rPr>
              <w:t>Сумма соглашения на ‘выбранное значение в фильтре «Год» +2’ год,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Сумма по суммам соглашений по графику соглашения на выбранное значение года в фильтре «Год»+2,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10</w:t>
            </w:r>
          </w:p>
        </w:tc>
        <w:tc>
          <w:tcPr>
            <w:tcW w:w="1276" w:type="dxa"/>
          </w:tcPr>
          <w:p w:rsidR="0001148D" w:rsidRPr="00D566A9" w:rsidRDefault="0001148D" w:rsidP="00D95FA6">
            <w:pPr>
              <w:ind w:firstLine="0"/>
              <w:jc w:val="left"/>
              <w:rPr>
                <w:szCs w:val="24"/>
              </w:rPr>
            </w:pPr>
            <w:r w:rsidRPr="00D566A9">
              <w:rPr>
                <w:szCs w:val="24"/>
              </w:rPr>
              <w:t>Сумма соглашения на будущие года,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Суммовое значение сумм соглашений по графику соглашения на годы, имеющие значение большее, чем значение в фильтре «Год»+2,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11</w:t>
            </w:r>
          </w:p>
        </w:tc>
        <w:tc>
          <w:tcPr>
            <w:tcW w:w="1276" w:type="dxa"/>
          </w:tcPr>
          <w:p w:rsidR="0001148D" w:rsidRPr="00D566A9" w:rsidRDefault="0001148D" w:rsidP="00D95FA6">
            <w:pPr>
              <w:ind w:firstLine="0"/>
              <w:jc w:val="left"/>
              <w:rPr>
                <w:szCs w:val="24"/>
              </w:rPr>
            </w:pPr>
            <w:r w:rsidRPr="00D566A9">
              <w:rPr>
                <w:szCs w:val="24"/>
              </w:rPr>
              <w:t>Исполнено всего,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Сумма по ИПС соглашений с верхним ограничением года выбранного в фильтре «Год» включительно,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12</w:t>
            </w:r>
          </w:p>
        </w:tc>
        <w:tc>
          <w:tcPr>
            <w:tcW w:w="1276" w:type="dxa"/>
          </w:tcPr>
          <w:p w:rsidR="0001148D" w:rsidRPr="00D566A9" w:rsidRDefault="0001148D" w:rsidP="00D95FA6">
            <w:pPr>
              <w:ind w:firstLine="0"/>
              <w:jc w:val="left"/>
              <w:rPr>
                <w:szCs w:val="24"/>
              </w:rPr>
            </w:pPr>
            <w:r w:rsidRPr="00D566A9">
              <w:rPr>
                <w:szCs w:val="24"/>
              </w:rPr>
              <w:t>Исполнено в ‘выбранное значение в фильтре «Год»’ году, ‘динамическое значение единиц измерения, зависящее от значения в фильтре «Единицы измерения»’</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Сумма по ИПС соглашений на выбранное значение года в фильтре «Год», код ОКТМО распорядителя которых соответствует приведенному в списке коду ОКТМО муниципального образования</w:t>
            </w:r>
          </w:p>
        </w:tc>
        <w:tc>
          <w:tcPr>
            <w:tcW w:w="4111" w:type="dxa"/>
            <w:shd w:val="clear" w:color="auto" w:fill="auto"/>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13</w:t>
            </w:r>
          </w:p>
        </w:tc>
        <w:tc>
          <w:tcPr>
            <w:tcW w:w="1276" w:type="dxa"/>
          </w:tcPr>
          <w:p w:rsidR="0001148D" w:rsidRPr="00D566A9" w:rsidRDefault="0001148D" w:rsidP="00D95FA6">
            <w:pPr>
              <w:ind w:firstLine="0"/>
              <w:jc w:val="left"/>
              <w:rPr>
                <w:szCs w:val="24"/>
              </w:rPr>
            </w:pPr>
            <w:r w:rsidRPr="00D566A9">
              <w:rPr>
                <w:szCs w:val="24"/>
              </w:rPr>
              <w:t>% исполнения в ‘выбранное значение в фильтре «Год»’ году</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ind w:left="34" w:firstLine="0"/>
              <w:jc w:val="left"/>
              <w:rPr>
                <w:szCs w:val="24"/>
              </w:rPr>
            </w:pPr>
            <w:r w:rsidRPr="00D566A9">
              <w:rPr>
                <w:szCs w:val="24"/>
              </w:rPr>
              <w:t>Расчетный показатель, равный отношению значения в колонке 12 к значению в колонке 7, имеющий процентный формат отображения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14</w:t>
            </w:r>
          </w:p>
        </w:tc>
        <w:tc>
          <w:tcPr>
            <w:tcW w:w="1276" w:type="dxa"/>
          </w:tcPr>
          <w:p w:rsidR="0001148D" w:rsidRPr="00D566A9" w:rsidRDefault="0001148D" w:rsidP="00D95FA6">
            <w:pPr>
              <w:ind w:firstLine="0"/>
              <w:jc w:val="left"/>
              <w:rPr>
                <w:szCs w:val="24"/>
              </w:rPr>
            </w:pPr>
            <w:r w:rsidRPr="00D566A9">
              <w:rPr>
                <w:szCs w:val="24"/>
              </w:rPr>
              <w:t>% исполнения всего</w:t>
            </w:r>
          </w:p>
        </w:tc>
        <w:tc>
          <w:tcPr>
            <w:tcW w:w="992" w:type="dxa"/>
          </w:tcPr>
          <w:p w:rsidR="0001148D" w:rsidRPr="00D566A9" w:rsidRDefault="0001148D" w:rsidP="00D95FA6">
            <w:pPr>
              <w:ind w:firstLine="0"/>
              <w:jc w:val="left"/>
              <w:rPr>
                <w:szCs w:val="24"/>
              </w:rPr>
            </w:pPr>
            <w:r w:rsidRPr="00D566A9">
              <w:rPr>
                <w:szCs w:val="24"/>
              </w:rPr>
              <w:t>Скрыта</w:t>
            </w:r>
          </w:p>
        </w:tc>
        <w:tc>
          <w:tcPr>
            <w:tcW w:w="3402" w:type="dxa"/>
          </w:tcPr>
          <w:p w:rsidR="0001148D" w:rsidRPr="00D566A9" w:rsidRDefault="0001148D" w:rsidP="00D95FA6">
            <w:pPr>
              <w:ind w:left="34" w:firstLine="0"/>
              <w:jc w:val="left"/>
              <w:rPr>
                <w:szCs w:val="24"/>
              </w:rPr>
            </w:pPr>
            <w:r w:rsidRPr="00D566A9">
              <w:rPr>
                <w:szCs w:val="24"/>
              </w:rPr>
              <w:t>Расчетный показатель, равный отношению значения в колонке 11 к значению в колонке 5, имеющий процентный формат отображения</w:t>
            </w:r>
          </w:p>
        </w:tc>
        <w:tc>
          <w:tcPr>
            <w:tcW w:w="4111" w:type="dxa"/>
          </w:tcPr>
          <w:p w:rsidR="0001148D" w:rsidRPr="00D566A9" w:rsidRDefault="0001148D" w:rsidP="00D95FA6">
            <w:pPr>
              <w:ind w:left="34" w:firstLine="0"/>
              <w:jc w:val="left"/>
              <w:rPr>
                <w:szCs w:val="24"/>
              </w:rPr>
            </w:pPr>
          </w:p>
        </w:tc>
      </w:tr>
      <w:tr w:rsidR="0001148D" w:rsidRPr="00D566A9" w:rsidTr="0001148D">
        <w:tc>
          <w:tcPr>
            <w:tcW w:w="10348" w:type="dxa"/>
            <w:gridSpan w:val="5"/>
          </w:tcPr>
          <w:p w:rsidR="0001148D" w:rsidRPr="00D566A9" w:rsidRDefault="0001148D" w:rsidP="00D95FA6">
            <w:pPr>
              <w:shd w:val="clear" w:color="auto" w:fill="D9D9D9" w:themeFill="background1" w:themeFillShade="D9"/>
              <w:ind w:left="34" w:firstLine="0"/>
              <w:jc w:val="center"/>
              <w:rPr>
                <w:szCs w:val="24"/>
              </w:rPr>
            </w:pPr>
            <w:r w:rsidRPr="00D566A9">
              <w:rPr>
                <w:szCs w:val="24"/>
              </w:rPr>
              <w:t>Блок по отчетам о достижении результатов (по календарю предоставления отчетности) в разрезе регионов</w:t>
            </w:r>
          </w:p>
          <w:p w:rsidR="0001148D" w:rsidRPr="00D566A9" w:rsidRDefault="0001148D" w:rsidP="00D95FA6">
            <w:pPr>
              <w:ind w:left="34" w:firstLine="0"/>
              <w:jc w:val="left"/>
              <w:rPr>
                <w:szCs w:val="24"/>
              </w:rPr>
            </w:pPr>
            <w:r w:rsidRPr="00D566A9">
              <w:rPr>
                <w:szCs w:val="24"/>
              </w:rPr>
              <w:t>Общая логика проверки корректности формирования значений в колонках:</w:t>
            </w:r>
          </w:p>
          <w:p w:rsidR="0001148D" w:rsidRPr="00D566A9" w:rsidRDefault="0001148D" w:rsidP="005C6E50">
            <w:pPr>
              <w:pStyle w:val="afff6"/>
              <w:numPr>
                <w:ilvl w:val="0"/>
                <w:numId w:val="95"/>
              </w:numPr>
              <w:ind w:left="34" w:firstLine="0"/>
              <w:contextualSpacing/>
              <w:jc w:val="left"/>
              <w:rPr>
                <w:sz w:val="24"/>
                <w:szCs w:val="24"/>
              </w:rPr>
            </w:pPr>
            <w:r w:rsidRPr="00D566A9">
              <w:rPr>
                <w:sz w:val="24"/>
                <w:szCs w:val="24"/>
              </w:rPr>
              <w:t>Колонка 15 = Колонка 16 + Колонка 17</w:t>
            </w:r>
          </w:p>
          <w:p w:rsidR="0001148D" w:rsidRPr="00D566A9" w:rsidRDefault="0001148D" w:rsidP="005C6E50">
            <w:pPr>
              <w:pStyle w:val="afff6"/>
              <w:numPr>
                <w:ilvl w:val="0"/>
                <w:numId w:val="95"/>
              </w:numPr>
              <w:ind w:left="34" w:firstLine="0"/>
              <w:contextualSpacing/>
              <w:jc w:val="left"/>
              <w:rPr>
                <w:sz w:val="24"/>
                <w:szCs w:val="24"/>
              </w:rPr>
            </w:pPr>
            <w:r w:rsidRPr="00D566A9">
              <w:rPr>
                <w:sz w:val="24"/>
                <w:szCs w:val="24"/>
              </w:rPr>
              <w:t>Колонка 17 = Колонка 18 + Колонка 19 + Колонка 20</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15</w:t>
            </w:r>
          </w:p>
        </w:tc>
        <w:tc>
          <w:tcPr>
            <w:tcW w:w="1276" w:type="dxa"/>
          </w:tcPr>
          <w:p w:rsidR="0001148D" w:rsidRPr="00D566A9" w:rsidRDefault="0001148D" w:rsidP="00D95FA6">
            <w:pPr>
              <w:ind w:firstLine="0"/>
              <w:jc w:val="left"/>
              <w:rPr>
                <w:szCs w:val="24"/>
              </w:rPr>
            </w:pPr>
            <w:r w:rsidRPr="00D566A9">
              <w:rPr>
                <w:szCs w:val="24"/>
              </w:rPr>
              <w:t>Плановое количество отчетов,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с учетом отнесения первого числа нового года к предыдущему,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16</w:t>
            </w:r>
          </w:p>
        </w:tc>
        <w:tc>
          <w:tcPr>
            <w:tcW w:w="1276" w:type="dxa"/>
          </w:tcPr>
          <w:p w:rsidR="0001148D" w:rsidRPr="00D566A9" w:rsidRDefault="0001148D" w:rsidP="00D95FA6">
            <w:pPr>
              <w:ind w:firstLine="0"/>
              <w:jc w:val="left"/>
              <w:rPr>
                <w:szCs w:val="24"/>
              </w:rPr>
            </w:pPr>
            <w:r w:rsidRPr="00D566A9">
              <w:rPr>
                <w:szCs w:val="24"/>
              </w:rPr>
              <w:t>Срок сдачи отчета не наступил,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больше либо равны значению текущей даты, и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17</w:t>
            </w:r>
          </w:p>
        </w:tc>
        <w:tc>
          <w:tcPr>
            <w:tcW w:w="1276" w:type="dxa"/>
          </w:tcPr>
          <w:p w:rsidR="0001148D" w:rsidRPr="00D566A9" w:rsidRDefault="0001148D" w:rsidP="00D95FA6">
            <w:pPr>
              <w:ind w:firstLine="0"/>
              <w:jc w:val="left"/>
              <w:rPr>
                <w:szCs w:val="24"/>
              </w:rPr>
            </w:pPr>
            <w:r w:rsidRPr="00D566A9">
              <w:rPr>
                <w:szCs w:val="24"/>
              </w:rPr>
              <w:t>Срок сдачи отчета наступил,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и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18</w:t>
            </w:r>
          </w:p>
        </w:tc>
        <w:tc>
          <w:tcPr>
            <w:tcW w:w="1276" w:type="dxa"/>
          </w:tcPr>
          <w:p w:rsidR="0001148D" w:rsidRPr="00D566A9" w:rsidRDefault="0001148D" w:rsidP="00D95FA6">
            <w:pPr>
              <w:ind w:firstLine="0"/>
              <w:jc w:val="left"/>
              <w:rPr>
                <w:szCs w:val="24"/>
              </w:rPr>
            </w:pPr>
            <w:r w:rsidRPr="00D566A9">
              <w:rPr>
                <w:szCs w:val="24"/>
              </w:rPr>
              <w:t>Отчеты сданы в срок,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 и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19</w:t>
            </w:r>
          </w:p>
        </w:tc>
        <w:tc>
          <w:tcPr>
            <w:tcW w:w="1276" w:type="dxa"/>
          </w:tcPr>
          <w:p w:rsidR="0001148D" w:rsidRPr="00D566A9" w:rsidRDefault="0001148D" w:rsidP="00D95FA6">
            <w:pPr>
              <w:ind w:firstLine="0"/>
              <w:jc w:val="left"/>
              <w:rPr>
                <w:szCs w:val="24"/>
              </w:rPr>
            </w:pPr>
            <w:r w:rsidRPr="00D566A9">
              <w:rPr>
                <w:szCs w:val="24"/>
              </w:rPr>
              <w:t>Отчеты сданы с нарушением срока,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больше «Плановой даты», и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20</w:t>
            </w:r>
          </w:p>
        </w:tc>
        <w:tc>
          <w:tcPr>
            <w:tcW w:w="1276" w:type="dxa"/>
          </w:tcPr>
          <w:p w:rsidR="0001148D" w:rsidRPr="00D566A9" w:rsidRDefault="0001148D" w:rsidP="00D95FA6">
            <w:pPr>
              <w:ind w:firstLine="0"/>
              <w:jc w:val="left"/>
              <w:rPr>
                <w:szCs w:val="24"/>
              </w:rPr>
            </w:pPr>
            <w:r w:rsidRPr="00D566A9">
              <w:rPr>
                <w:szCs w:val="24"/>
              </w:rPr>
              <w:t>Не представлены отчеты о достижении результатов,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отсутствует, и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10348" w:type="dxa"/>
            <w:gridSpan w:val="5"/>
          </w:tcPr>
          <w:p w:rsidR="0001148D" w:rsidRPr="00D566A9" w:rsidRDefault="0001148D" w:rsidP="00D95FA6">
            <w:pPr>
              <w:shd w:val="clear" w:color="auto" w:fill="D9D9D9" w:themeFill="background1" w:themeFillShade="D9"/>
              <w:ind w:left="34" w:firstLine="0"/>
              <w:jc w:val="center"/>
              <w:rPr>
                <w:szCs w:val="24"/>
              </w:rPr>
            </w:pPr>
            <w:r w:rsidRPr="00D566A9">
              <w:rPr>
                <w:szCs w:val="24"/>
              </w:rPr>
              <w:t>Блок по количеству значений результатов в разрезе регионов</w:t>
            </w:r>
          </w:p>
          <w:p w:rsidR="0001148D" w:rsidRPr="00D566A9" w:rsidRDefault="0001148D" w:rsidP="00D95FA6">
            <w:pPr>
              <w:ind w:left="34" w:firstLine="0"/>
              <w:jc w:val="left"/>
              <w:rPr>
                <w:szCs w:val="24"/>
              </w:rPr>
            </w:pPr>
            <w:r w:rsidRPr="00D566A9">
              <w:rPr>
                <w:szCs w:val="24"/>
              </w:rPr>
              <w:t>При подсчете значений результатов учитывается лишь последний сданный отчет (актуальный).</w:t>
            </w:r>
          </w:p>
          <w:p w:rsidR="0001148D" w:rsidRPr="00D566A9" w:rsidRDefault="0001148D" w:rsidP="00D95FA6">
            <w:pPr>
              <w:ind w:left="34" w:firstLine="0"/>
              <w:jc w:val="left"/>
              <w:rPr>
                <w:szCs w:val="24"/>
              </w:rPr>
            </w:pPr>
            <w:r w:rsidRPr="00D566A9">
              <w:rPr>
                <w:szCs w:val="24"/>
              </w:rPr>
              <w:t>Отчеты, сданные первого числа нового года, относятся к предыдущему.</w:t>
            </w:r>
          </w:p>
          <w:p w:rsidR="0001148D" w:rsidRPr="00D566A9" w:rsidRDefault="0001148D" w:rsidP="00D95FA6">
            <w:pPr>
              <w:ind w:left="34" w:firstLine="0"/>
              <w:jc w:val="left"/>
              <w:rPr>
                <w:szCs w:val="24"/>
              </w:rPr>
            </w:pPr>
            <w:r w:rsidRPr="00D566A9">
              <w:rPr>
                <w:szCs w:val="24"/>
              </w:rPr>
              <w:t>Общая логика проверки корректности формирования значений в колонках:</w:t>
            </w:r>
          </w:p>
          <w:p w:rsidR="0001148D" w:rsidRPr="00D566A9" w:rsidRDefault="0001148D" w:rsidP="005C6E50">
            <w:pPr>
              <w:pStyle w:val="afff6"/>
              <w:numPr>
                <w:ilvl w:val="0"/>
                <w:numId w:val="96"/>
              </w:numPr>
              <w:ind w:left="34" w:firstLine="0"/>
              <w:contextualSpacing/>
              <w:jc w:val="left"/>
              <w:rPr>
                <w:sz w:val="24"/>
                <w:szCs w:val="24"/>
              </w:rPr>
            </w:pPr>
            <w:r w:rsidRPr="00D566A9">
              <w:rPr>
                <w:sz w:val="24"/>
                <w:szCs w:val="24"/>
              </w:rPr>
              <w:t>Колонка 21 = Колонка 22 + Колонка 25 + Колонка 26</w:t>
            </w:r>
          </w:p>
          <w:p w:rsidR="0001148D" w:rsidRPr="00D566A9" w:rsidRDefault="0001148D" w:rsidP="005C6E50">
            <w:pPr>
              <w:pStyle w:val="afff6"/>
              <w:numPr>
                <w:ilvl w:val="0"/>
                <w:numId w:val="96"/>
              </w:numPr>
              <w:ind w:left="34" w:firstLine="0"/>
              <w:contextualSpacing/>
              <w:jc w:val="left"/>
              <w:rPr>
                <w:sz w:val="24"/>
                <w:szCs w:val="24"/>
              </w:rPr>
            </w:pPr>
            <w:r w:rsidRPr="00D566A9">
              <w:rPr>
                <w:sz w:val="24"/>
                <w:szCs w:val="24"/>
              </w:rPr>
              <w:t>Колонка 22 = Колонка 23 + Колонка 24</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21</w:t>
            </w:r>
          </w:p>
        </w:tc>
        <w:tc>
          <w:tcPr>
            <w:tcW w:w="1276" w:type="dxa"/>
          </w:tcPr>
          <w:p w:rsidR="0001148D" w:rsidRPr="00D566A9" w:rsidRDefault="0001148D" w:rsidP="00D95FA6">
            <w:pPr>
              <w:ind w:firstLine="0"/>
              <w:jc w:val="left"/>
              <w:rPr>
                <w:szCs w:val="24"/>
              </w:rPr>
            </w:pPr>
            <w:r w:rsidRPr="00D566A9">
              <w:rPr>
                <w:szCs w:val="24"/>
              </w:rPr>
              <w:t>Запланированных,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код ОКТМО распорядителя которых соответствует приведенному в списке коду ОКТМО муниципального образования</w:t>
            </w:r>
          </w:p>
          <w:p w:rsidR="0001148D" w:rsidRPr="00D566A9" w:rsidRDefault="0001148D" w:rsidP="00D95FA6">
            <w:pPr>
              <w:pStyle w:val="afff6"/>
              <w:ind w:left="34" w:firstLine="0"/>
              <w:jc w:val="left"/>
              <w:rPr>
                <w:sz w:val="24"/>
                <w:szCs w:val="24"/>
              </w:rPr>
            </w:pP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22</w:t>
            </w:r>
          </w:p>
        </w:tc>
        <w:tc>
          <w:tcPr>
            <w:tcW w:w="1276" w:type="dxa"/>
          </w:tcPr>
          <w:p w:rsidR="0001148D" w:rsidRPr="00D566A9" w:rsidRDefault="0001148D" w:rsidP="00D95FA6">
            <w:pPr>
              <w:ind w:firstLine="0"/>
              <w:jc w:val="left"/>
              <w:rPr>
                <w:szCs w:val="24"/>
              </w:rPr>
            </w:pPr>
            <w:r w:rsidRPr="00D566A9">
              <w:rPr>
                <w:szCs w:val="24"/>
              </w:rPr>
              <w:t>Достигнутых в полном объеме,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23</w:t>
            </w:r>
          </w:p>
        </w:tc>
        <w:tc>
          <w:tcPr>
            <w:tcW w:w="1276" w:type="dxa"/>
          </w:tcPr>
          <w:p w:rsidR="0001148D" w:rsidRPr="00D566A9" w:rsidRDefault="0001148D" w:rsidP="00D95FA6">
            <w:pPr>
              <w:ind w:firstLine="0"/>
              <w:jc w:val="left"/>
              <w:rPr>
                <w:szCs w:val="24"/>
              </w:rPr>
            </w:pPr>
            <w:r w:rsidRPr="00D566A9">
              <w:rPr>
                <w:szCs w:val="24"/>
              </w:rPr>
              <w:t>Достигнутых в полном объеме в срок,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а также «Фактическая дата» достижения меньше либо равна «Плановой дате»,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24</w:t>
            </w:r>
          </w:p>
        </w:tc>
        <w:tc>
          <w:tcPr>
            <w:tcW w:w="1276" w:type="dxa"/>
          </w:tcPr>
          <w:p w:rsidR="0001148D" w:rsidRPr="00D566A9" w:rsidRDefault="0001148D" w:rsidP="00D95FA6">
            <w:pPr>
              <w:ind w:firstLine="0"/>
              <w:jc w:val="left"/>
              <w:rPr>
                <w:szCs w:val="24"/>
              </w:rPr>
            </w:pPr>
            <w:r w:rsidRPr="00D566A9">
              <w:rPr>
                <w:szCs w:val="24"/>
              </w:rPr>
              <w:t>Достигнутых в полном объеме с нарушением срока,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больше либо равно 100%, а также «Фактическая дата» больше «Плановой даты»,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25</w:t>
            </w:r>
          </w:p>
        </w:tc>
        <w:tc>
          <w:tcPr>
            <w:tcW w:w="1276" w:type="dxa"/>
          </w:tcPr>
          <w:p w:rsidR="0001148D" w:rsidRPr="00D566A9" w:rsidRDefault="0001148D" w:rsidP="00D95FA6">
            <w:pPr>
              <w:ind w:firstLine="0"/>
              <w:jc w:val="left"/>
              <w:rPr>
                <w:szCs w:val="24"/>
              </w:rPr>
            </w:pPr>
            <w:r w:rsidRPr="00D566A9">
              <w:rPr>
                <w:szCs w:val="24"/>
              </w:rPr>
              <w:t>Не достигнутых в полном объеме (в срок),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меньше 100%, а также текущая дата больше «Плановой даты» сдачи отчета,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26</w:t>
            </w:r>
          </w:p>
        </w:tc>
        <w:tc>
          <w:tcPr>
            <w:tcW w:w="1276" w:type="dxa"/>
          </w:tcPr>
          <w:p w:rsidR="0001148D" w:rsidRPr="00D566A9" w:rsidRDefault="0001148D" w:rsidP="00D95FA6">
            <w:pPr>
              <w:ind w:firstLine="0"/>
              <w:jc w:val="left"/>
              <w:rPr>
                <w:szCs w:val="24"/>
              </w:rPr>
            </w:pPr>
            <w:r w:rsidRPr="00D566A9">
              <w:rPr>
                <w:szCs w:val="24"/>
              </w:rPr>
              <w:t>Не достигнутых в полном объеме (срок не наступил),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уникальных значений результатов по соглашениям на выбранное значение года в фильтре «Год», по которым значение достижения меньше 100%, а также текущая дата меньше либо равна «Плановой дате» сдачи отчета,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27</w:t>
            </w:r>
          </w:p>
        </w:tc>
        <w:tc>
          <w:tcPr>
            <w:tcW w:w="1276" w:type="dxa"/>
          </w:tcPr>
          <w:p w:rsidR="0001148D" w:rsidRPr="00D566A9" w:rsidRDefault="0001148D" w:rsidP="00D95FA6">
            <w:pPr>
              <w:ind w:firstLine="0"/>
              <w:jc w:val="left"/>
              <w:rPr>
                <w:szCs w:val="24"/>
              </w:rPr>
            </w:pPr>
            <w:r w:rsidRPr="00D566A9">
              <w:rPr>
                <w:szCs w:val="24"/>
              </w:rPr>
              <w:t>% достижения результатов</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Расчетный показатель, равный отношению фактического значения результата к плановому, и последующему расчету среднеарифметического значения по всем значениям результатов в рамках соглашений на выбранное значение года в фильтре «Год»,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10348" w:type="dxa"/>
            <w:gridSpan w:val="5"/>
          </w:tcPr>
          <w:p w:rsidR="0001148D" w:rsidRPr="00D566A9" w:rsidRDefault="0001148D" w:rsidP="00D95FA6">
            <w:pPr>
              <w:shd w:val="clear" w:color="auto" w:fill="D9D9D9" w:themeFill="background1" w:themeFillShade="D9"/>
              <w:ind w:left="34" w:firstLine="0"/>
              <w:jc w:val="center"/>
              <w:rPr>
                <w:szCs w:val="24"/>
              </w:rPr>
            </w:pPr>
            <w:r w:rsidRPr="00D566A9">
              <w:rPr>
                <w:szCs w:val="24"/>
              </w:rPr>
              <w:t>Блок по отчетам об осуществлении расходов (по календарю предоставления отчетности) в разрезе регионов</w:t>
            </w:r>
          </w:p>
          <w:p w:rsidR="0001148D" w:rsidRPr="00D566A9" w:rsidRDefault="0001148D" w:rsidP="00D95FA6">
            <w:pPr>
              <w:ind w:left="34" w:firstLine="0"/>
              <w:jc w:val="left"/>
              <w:rPr>
                <w:szCs w:val="24"/>
              </w:rPr>
            </w:pPr>
            <w:r w:rsidRPr="00D566A9">
              <w:rPr>
                <w:szCs w:val="24"/>
              </w:rPr>
              <w:t>Общая логика проверки корректности формирования значений в колонках:</w:t>
            </w:r>
          </w:p>
          <w:p w:rsidR="0001148D" w:rsidRPr="00D566A9" w:rsidRDefault="0001148D" w:rsidP="005C6E50">
            <w:pPr>
              <w:pStyle w:val="afff6"/>
              <w:numPr>
                <w:ilvl w:val="0"/>
                <w:numId w:val="95"/>
              </w:numPr>
              <w:ind w:left="34" w:firstLine="0"/>
              <w:contextualSpacing/>
              <w:jc w:val="left"/>
              <w:rPr>
                <w:sz w:val="24"/>
                <w:szCs w:val="24"/>
              </w:rPr>
            </w:pPr>
            <w:r w:rsidRPr="00D566A9">
              <w:rPr>
                <w:sz w:val="24"/>
                <w:szCs w:val="24"/>
              </w:rPr>
              <w:t>Колонка 28 = Колонка 29 + Колонка 30</w:t>
            </w:r>
          </w:p>
          <w:p w:rsidR="0001148D" w:rsidRPr="00D566A9" w:rsidRDefault="0001148D" w:rsidP="005C6E50">
            <w:pPr>
              <w:pStyle w:val="afff6"/>
              <w:numPr>
                <w:ilvl w:val="0"/>
                <w:numId w:val="95"/>
              </w:numPr>
              <w:ind w:left="34" w:firstLine="0"/>
              <w:contextualSpacing/>
              <w:jc w:val="left"/>
              <w:rPr>
                <w:sz w:val="24"/>
                <w:szCs w:val="24"/>
              </w:rPr>
            </w:pPr>
            <w:r w:rsidRPr="00D566A9">
              <w:rPr>
                <w:sz w:val="24"/>
                <w:szCs w:val="24"/>
              </w:rPr>
              <w:t>Колонка 30 = Колонка 31 + Колонка 32 + Колонка 33</w:t>
            </w: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28</w:t>
            </w:r>
          </w:p>
        </w:tc>
        <w:tc>
          <w:tcPr>
            <w:tcW w:w="1276" w:type="dxa"/>
          </w:tcPr>
          <w:p w:rsidR="0001148D" w:rsidRPr="00D566A9" w:rsidRDefault="0001148D" w:rsidP="00D95FA6">
            <w:pPr>
              <w:ind w:firstLine="0"/>
              <w:jc w:val="left"/>
              <w:rPr>
                <w:szCs w:val="24"/>
              </w:rPr>
            </w:pPr>
            <w:r w:rsidRPr="00D566A9">
              <w:rPr>
                <w:szCs w:val="24"/>
              </w:rPr>
              <w:t>Плановое количество отчетов,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с учетом отнесения первого числа нового года к предыдущему,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ind w:left="34" w:firstLine="0"/>
              <w:jc w:val="left"/>
              <w:rPr>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29</w:t>
            </w:r>
          </w:p>
        </w:tc>
        <w:tc>
          <w:tcPr>
            <w:tcW w:w="1276" w:type="dxa"/>
          </w:tcPr>
          <w:p w:rsidR="0001148D" w:rsidRPr="00D566A9" w:rsidRDefault="0001148D" w:rsidP="00D95FA6">
            <w:pPr>
              <w:ind w:firstLine="0"/>
              <w:jc w:val="left"/>
              <w:rPr>
                <w:szCs w:val="24"/>
              </w:rPr>
            </w:pPr>
            <w:r w:rsidRPr="00D566A9">
              <w:rPr>
                <w:szCs w:val="24"/>
              </w:rPr>
              <w:t>Срок сдачи отчета не наступил,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больше либо равны значению текущей даты,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30</w:t>
            </w:r>
          </w:p>
        </w:tc>
        <w:tc>
          <w:tcPr>
            <w:tcW w:w="1276" w:type="dxa"/>
          </w:tcPr>
          <w:p w:rsidR="0001148D" w:rsidRPr="00D566A9" w:rsidRDefault="0001148D" w:rsidP="00D95FA6">
            <w:pPr>
              <w:ind w:firstLine="0"/>
              <w:jc w:val="left"/>
              <w:rPr>
                <w:szCs w:val="24"/>
              </w:rPr>
            </w:pPr>
            <w:r w:rsidRPr="00D566A9">
              <w:rPr>
                <w:szCs w:val="24"/>
              </w:rPr>
              <w:t>Срок сдачи отчета наступил,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31</w:t>
            </w:r>
          </w:p>
        </w:tc>
        <w:tc>
          <w:tcPr>
            <w:tcW w:w="1276" w:type="dxa"/>
          </w:tcPr>
          <w:p w:rsidR="0001148D" w:rsidRPr="00D566A9" w:rsidRDefault="0001148D" w:rsidP="00D95FA6">
            <w:pPr>
              <w:ind w:firstLine="0"/>
              <w:jc w:val="left"/>
              <w:rPr>
                <w:szCs w:val="24"/>
              </w:rPr>
            </w:pPr>
            <w:r w:rsidRPr="00D566A9">
              <w:rPr>
                <w:szCs w:val="24"/>
              </w:rPr>
              <w:t>Отчеты сданы в срок,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32</w:t>
            </w:r>
          </w:p>
        </w:tc>
        <w:tc>
          <w:tcPr>
            <w:tcW w:w="1276" w:type="dxa"/>
          </w:tcPr>
          <w:p w:rsidR="0001148D" w:rsidRPr="00D566A9" w:rsidRDefault="0001148D" w:rsidP="00D95FA6">
            <w:pPr>
              <w:ind w:firstLine="0"/>
              <w:jc w:val="left"/>
              <w:rPr>
                <w:szCs w:val="24"/>
              </w:rPr>
            </w:pPr>
            <w:r w:rsidRPr="00D566A9">
              <w:rPr>
                <w:szCs w:val="24"/>
              </w:rPr>
              <w:t>Отчеты сданы с нарушением срока,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больше «Плановой даты»,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r w:rsidR="0001148D" w:rsidRPr="00D566A9" w:rsidTr="0001148D">
        <w:tc>
          <w:tcPr>
            <w:tcW w:w="567" w:type="dxa"/>
          </w:tcPr>
          <w:p w:rsidR="0001148D" w:rsidRPr="00D566A9" w:rsidRDefault="0001148D" w:rsidP="00D95FA6">
            <w:pPr>
              <w:ind w:firstLine="0"/>
              <w:jc w:val="left"/>
              <w:rPr>
                <w:szCs w:val="24"/>
              </w:rPr>
            </w:pPr>
            <w:r w:rsidRPr="00D566A9">
              <w:rPr>
                <w:szCs w:val="24"/>
              </w:rPr>
              <w:t>33</w:t>
            </w:r>
          </w:p>
        </w:tc>
        <w:tc>
          <w:tcPr>
            <w:tcW w:w="1276" w:type="dxa"/>
          </w:tcPr>
          <w:p w:rsidR="0001148D" w:rsidRPr="00D566A9" w:rsidRDefault="0001148D" w:rsidP="00D95FA6">
            <w:pPr>
              <w:ind w:firstLine="0"/>
              <w:jc w:val="left"/>
              <w:rPr>
                <w:szCs w:val="24"/>
              </w:rPr>
            </w:pPr>
            <w:r w:rsidRPr="00D566A9">
              <w:rPr>
                <w:szCs w:val="24"/>
              </w:rPr>
              <w:t>Не представлены отчеты об осуществлении расходов, ед.</w:t>
            </w:r>
          </w:p>
        </w:tc>
        <w:tc>
          <w:tcPr>
            <w:tcW w:w="992" w:type="dxa"/>
          </w:tcPr>
          <w:p w:rsidR="0001148D" w:rsidRPr="00D566A9" w:rsidRDefault="0001148D" w:rsidP="00D95FA6">
            <w:pPr>
              <w:ind w:firstLine="0"/>
              <w:jc w:val="left"/>
              <w:rPr>
                <w:szCs w:val="24"/>
              </w:rPr>
            </w:pPr>
            <w:r w:rsidRPr="00D566A9">
              <w:rPr>
                <w:szCs w:val="24"/>
              </w:rPr>
              <w:t>Раскрыта</w:t>
            </w:r>
          </w:p>
        </w:tc>
        <w:tc>
          <w:tcPr>
            <w:tcW w:w="3402" w:type="dxa"/>
          </w:tcPr>
          <w:p w:rsidR="0001148D" w:rsidRPr="00D566A9" w:rsidRDefault="0001148D" w:rsidP="00D95FA6">
            <w:pPr>
              <w:pStyle w:val="afff6"/>
              <w:ind w:left="34" w:firstLine="0"/>
              <w:jc w:val="left"/>
              <w:rPr>
                <w:sz w:val="24"/>
                <w:szCs w:val="24"/>
              </w:rPr>
            </w:pPr>
            <w:r w:rsidRPr="00D566A9">
              <w:rPr>
                <w:sz w:val="24"/>
                <w:szCs w:val="24"/>
              </w:rPr>
              <w:t>Подсчет количества «Отчетных дат» по соглашениям на выбранное значение года в фильтре «Год», по которым «Плановые даты» меньше значения текущей даты, а также «Фактическая дата» отсутствует, код ОКТМО распорядителя которых соответствует приведенному в списке коду ОКТМО муниципального образования</w:t>
            </w:r>
          </w:p>
        </w:tc>
        <w:tc>
          <w:tcPr>
            <w:tcW w:w="4111" w:type="dxa"/>
          </w:tcPr>
          <w:p w:rsidR="0001148D" w:rsidRPr="00D566A9" w:rsidRDefault="0001148D" w:rsidP="00D95FA6">
            <w:pPr>
              <w:pStyle w:val="afff6"/>
              <w:ind w:left="34" w:firstLine="0"/>
              <w:jc w:val="left"/>
              <w:rPr>
                <w:sz w:val="24"/>
                <w:szCs w:val="24"/>
              </w:rPr>
            </w:pPr>
          </w:p>
        </w:tc>
      </w:tr>
    </w:tbl>
    <w:p w:rsidR="0001148D" w:rsidRPr="002D1FAC" w:rsidRDefault="0001148D" w:rsidP="0001148D"/>
    <w:p w:rsidR="0001148D" w:rsidRPr="00D566A9" w:rsidRDefault="0001148D" w:rsidP="0001148D">
      <w:pPr>
        <w:ind w:firstLine="709"/>
        <w:rPr>
          <w:sz w:val="28"/>
          <w:szCs w:val="28"/>
        </w:rPr>
      </w:pPr>
      <w:r w:rsidRPr="00D566A9">
        <w:rPr>
          <w:sz w:val="28"/>
          <w:szCs w:val="28"/>
        </w:rPr>
        <w:t>Область фильтров:</w:t>
      </w:r>
    </w:p>
    <w:tbl>
      <w:tblPr>
        <w:tblStyle w:val="affe"/>
        <w:tblW w:w="10348" w:type="dxa"/>
        <w:tblInd w:w="-459" w:type="dxa"/>
        <w:tblLook w:val="04A0" w:firstRow="1" w:lastRow="0" w:firstColumn="1" w:lastColumn="0" w:noHBand="0" w:noVBand="1"/>
      </w:tblPr>
      <w:tblGrid>
        <w:gridCol w:w="567"/>
        <w:gridCol w:w="1843"/>
        <w:gridCol w:w="3686"/>
        <w:gridCol w:w="4252"/>
      </w:tblGrid>
      <w:tr w:rsidR="0001148D" w:rsidRPr="00D566A9" w:rsidTr="00D95FA6">
        <w:trPr>
          <w:tblHeader/>
        </w:trPr>
        <w:tc>
          <w:tcPr>
            <w:tcW w:w="567"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 п/п</w:t>
            </w:r>
          </w:p>
        </w:tc>
        <w:tc>
          <w:tcPr>
            <w:tcW w:w="1843"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Наименование фильтра</w:t>
            </w:r>
          </w:p>
        </w:tc>
        <w:tc>
          <w:tcPr>
            <w:tcW w:w="3686" w:type="dxa"/>
            <w:shd w:val="clear" w:color="auto" w:fill="F2F2F2" w:themeFill="background1" w:themeFillShade="F2"/>
            <w:vAlign w:val="center"/>
          </w:tcPr>
          <w:p w:rsidR="0001148D" w:rsidRPr="00D566A9" w:rsidRDefault="0001148D" w:rsidP="00D95FA6">
            <w:pPr>
              <w:ind w:firstLine="0"/>
              <w:jc w:val="center"/>
              <w:rPr>
                <w:b/>
                <w:szCs w:val="24"/>
              </w:rPr>
            </w:pPr>
            <w:r w:rsidRPr="00D566A9">
              <w:rPr>
                <w:b/>
                <w:szCs w:val="24"/>
              </w:rPr>
              <w:t>Алгоритм</w:t>
            </w:r>
          </w:p>
        </w:tc>
        <w:tc>
          <w:tcPr>
            <w:tcW w:w="4252" w:type="dxa"/>
            <w:shd w:val="clear" w:color="auto" w:fill="F2F2F2" w:themeFill="background1" w:themeFillShade="F2"/>
            <w:vAlign w:val="center"/>
          </w:tcPr>
          <w:p w:rsidR="0001148D" w:rsidRPr="00D566A9" w:rsidRDefault="0001148D" w:rsidP="00D95FA6">
            <w:pPr>
              <w:ind w:firstLine="9"/>
              <w:jc w:val="center"/>
              <w:rPr>
                <w:b/>
                <w:szCs w:val="24"/>
              </w:rPr>
            </w:pPr>
            <w:r w:rsidRPr="00D566A9">
              <w:rPr>
                <w:b/>
                <w:szCs w:val="24"/>
              </w:rPr>
              <w:t>Источник данных</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1</w:t>
            </w:r>
          </w:p>
        </w:tc>
        <w:tc>
          <w:tcPr>
            <w:tcW w:w="1843" w:type="dxa"/>
          </w:tcPr>
          <w:p w:rsidR="0001148D" w:rsidRPr="00D566A9" w:rsidRDefault="0001148D" w:rsidP="00D95FA6">
            <w:pPr>
              <w:ind w:firstLine="0"/>
              <w:jc w:val="left"/>
              <w:rPr>
                <w:szCs w:val="24"/>
              </w:rPr>
            </w:pPr>
            <w:r w:rsidRPr="00D566A9">
              <w:rPr>
                <w:szCs w:val="24"/>
              </w:rPr>
              <w:t xml:space="preserve">Обновить </w:t>
            </w:r>
            <w:r w:rsidRPr="00D566A9">
              <w:rPr>
                <w:noProof/>
                <w:szCs w:val="24"/>
              </w:rPr>
              <w:drawing>
                <wp:inline distT="0" distB="0" distL="0" distR="0" wp14:anchorId="533E4D64" wp14:editId="182BE8A5">
                  <wp:extent cx="476190" cy="476190"/>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86" w:type="dxa"/>
          </w:tcPr>
          <w:p w:rsidR="0001148D" w:rsidRPr="00D566A9" w:rsidRDefault="0001148D" w:rsidP="00D95FA6">
            <w:pPr>
              <w:ind w:firstLine="0"/>
              <w:jc w:val="left"/>
              <w:rPr>
                <w:szCs w:val="24"/>
              </w:rPr>
            </w:pPr>
            <w:r w:rsidRPr="00D566A9">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01148D" w:rsidRPr="00D566A9" w:rsidRDefault="0001148D" w:rsidP="00D95FA6">
            <w:pPr>
              <w:pStyle w:val="afff6"/>
              <w:ind w:left="0" w:firstLine="9"/>
              <w:jc w:val="left"/>
              <w:rPr>
                <w:sz w:val="24"/>
                <w:szCs w:val="24"/>
              </w:rPr>
            </w:pP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2</w:t>
            </w:r>
          </w:p>
        </w:tc>
        <w:tc>
          <w:tcPr>
            <w:tcW w:w="1843" w:type="dxa"/>
          </w:tcPr>
          <w:p w:rsidR="0001148D" w:rsidRPr="00D566A9" w:rsidRDefault="0001148D" w:rsidP="00D95FA6">
            <w:pPr>
              <w:ind w:firstLine="0"/>
              <w:jc w:val="left"/>
              <w:rPr>
                <w:szCs w:val="24"/>
              </w:rPr>
            </w:pPr>
            <w:r w:rsidRPr="00D566A9">
              <w:rPr>
                <w:szCs w:val="24"/>
              </w:rPr>
              <w:t>Год</w:t>
            </w:r>
          </w:p>
        </w:tc>
        <w:tc>
          <w:tcPr>
            <w:tcW w:w="3686" w:type="dxa"/>
          </w:tcPr>
          <w:p w:rsidR="0001148D" w:rsidRPr="00D566A9" w:rsidRDefault="0001148D" w:rsidP="00D95FA6">
            <w:pPr>
              <w:ind w:firstLine="0"/>
              <w:jc w:val="left"/>
              <w:rPr>
                <w:szCs w:val="24"/>
              </w:rPr>
            </w:pPr>
            <w:r w:rsidRPr="00D566A9">
              <w:rPr>
                <w:szCs w:val="24"/>
              </w:rPr>
              <w:t>Фильтрация по году из графика соглашения</w:t>
            </w:r>
          </w:p>
          <w:p w:rsidR="0001148D" w:rsidRPr="00D566A9" w:rsidRDefault="0001148D" w:rsidP="00D95FA6">
            <w:pPr>
              <w:ind w:firstLine="0"/>
              <w:jc w:val="left"/>
              <w:rPr>
                <w:szCs w:val="24"/>
              </w:rPr>
            </w:pPr>
            <w:r w:rsidRPr="00D566A9">
              <w:rPr>
                <w:szCs w:val="24"/>
              </w:rPr>
              <w:t>Возможность выбора только одного значения параметра из выпадающего списка, отсутствует возможность контекстного поиска</w:t>
            </w:r>
          </w:p>
          <w:p w:rsidR="0001148D" w:rsidRPr="00D566A9" w:rsidRDefault="0001148D" w:rsidP="00D95FA6">
            <w:pPr>
              <w:ind w:firstLine="0"/>
              <w:jc w:val="left"/>
              <w:rPr>
                <w:szCs w:val="24"/>
              </w:rPr>
            </w:pPr>
            <w:r w:rsidRPr="00D566A9">
              <w:rPr>
                <w:szCs w:val="24"/>
              </w:rPr>
              <w:t>По умолчанию установлено значение текущего календарного года</w:t>
            </w:r>
          </w:p>
        </w:tc>
        <w:tc>
          <w:tcPr>
            <w:tcW w:w="4252" w:type="dxa"/>
          </w:tcPr>
          <w:p w:rsidR="0001148D" w:rsidRPr="00D566A9" w:rsidRDefault="0001148D" w:rsidP="00D95FA6">
            <w:pPr>
              <w:pStyle w:val="afff6"/>
              <w:ind w:left="0" w:firstLine="9"/>
              <w:jc w:val="left"/>
              <w:rPr>
                <w:sz w:val="24"/>
                <w:szCs w:val="24"/>
              </w:rPr>
            </w:pPr>
            <w:r w:rsidRPr="00D566A9">
              <w:rPr>
                <w:sz w:val="24"/>
                <w:szCs w:val="24"/>
              </w:rPr>
              <w:t>ПУР АСС =&gt; График платежей =&gt; Год осуществления платежа</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3</w:t>
            </w:r>
          </w:p>
        </w:tc>
        <w:tc>
          <w:tcPr>
            <w:tcW w:w="1843" w:type="dxa"/>
          </w:tcPr>
          <w:p w:rsidR="0001148D" w:rsidRPr="00D566A9" w:rsidRDefault="0001148D" w:rsidP="00D95FA6">
            <w:pPr>
              <w:ind w:firstLine="0"/>
              <w:jc w:val="left"/>
              <w:rPr>
                <w:szCs w:val="24"/>
              </w:rPr>
            </w:pPr>
            <w:r w:rsidRPr="00D566A9">
              <w:rPr>
                <w:szCs w:val="24"/>
              </w:rPr>
              <w:t>РЗПР</w:t>
            </w:r>
          </w:p>
        </w:tc>
        <w:tc>
          <w:tcPr>
            <w:tcW w:w="3686" w:type="dxa"/>
          </w:tcPr>
          <w:p w:rsidR="0001148D" w:rsidRPr="00D566A9" w:rsidRDefault="0001148D" w:rsidP="00D95FA6">
            <w:pPr>
              <w:ind w:firstLine="0"/>
              <w:jc w:val="left"/>
              <w:rPr>
                <w:szCs w:val="24"/>
              </w:rPr>
            </w:pPr>
            <w:r w:rsidRPr="00D566A9">
              <w:rPr>
                <w:szCs w:val="24"/>
              </w:rPr>
              <w:t>Фильтрация по 4-7 символам КБК</w:t>
            </w:r>
          </w:p>
          <w:p w:rsidR="0001148D" w:rsidRPr="00D566A9" w:rsidRDefault="0001148D" w:rsidP="00D95FA6">
            <w:pPr>
              <w:ind w:firstLine="0"/>
              <w:jc w:val="left"/>
              <w:rPr>
                <w:szCs w:val="24"/>
              </w:rPr>
            </w:pPr>
            <w:r w:rsidRPr="00D566A9">
              <w:rPr>
                <w:szCs w:val="24"/>
              </w:rPr>
              <w:t>Иерархический фильтр с возможностью выбора только одного параметра единовременно, а также с возможностью контекстного поиска</w:t>
            </w:r>
          </w:p>
          <w:p w:rsidR="0001148D" w:rsidRPr="00D566A9" w:rsidRDefault="0001148D" w:rsidP="00D95FA6">
            <w:pPr>
              <w:ind w:firstLine="0"/>
              <w:jc w:val="left"/>
              <w:rPr>
                <w:szCs w:val="24"/>
              </w:rPr>
            </w:pPr>
            <w:r w:rsidRPr="00D566A9">
              <w:rPr>
                <w:szCs w:val="24"/>
              </w:rPr>
              <w:t>По умолчанию установлено значение «Все»</w:t>
            </w:r>
          </w:p>
        </w:tc>
        <w:tc>
          <w:tcPr>
            <w:tcW w:w="4252" w:type="dxa"/>
          </w:tcPr>
          <w:p w:rsidR="0001148D" w:rsidRPr="00D566A9" w:rsidRDefault="0001148D" w:rsidP="00D95FA6">
            <w:pPr>
              <w:ind w:firstLine="9"/>
              <w:jc w:val="left"/>
              <w:rPr>
                <w:szCs w:val="24"/>
              </w:rPr>
            </w:pPr>
            <w:r w:rsidRPr="00D566A9">
              <w:rPr>
                <w:szCs w:val="24"/>
              </w:rPr>
              <w:t>ПУР АСС =&gt; График платежей =&gt; КБК</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4</w:t>
            </w:r>
          </w:p>
        </w:tc>
        <w:tc>
          <w:tcPr>
            <w:tcW w:w="1843" w:type="dxa"/>
          </w:tcPr>
          <w:p w:rsidR="0001148D" w:rsidRPr="00D566A9" w:rsidRDefault="0001148D" w:rsidP="00D95FA6">
            <w:pPr>
              <w:ind w:firstLine="0"/>
              <w:jc w:val="left"/>
              <w:rPr>
                <w:szCs w:val="24"/>
              </w:rPr>
            </w:pPr>
            <w:r w:rsidRPr="00D566A9">
              <w:rPr>
                <w:szCs w:val="24"/>
              </w:rPr>
              <w:t>КВР</w:t>
            </w:r>
          </w:p>
        </w:tc>
        <w:tc>
          <w:tcPr>
            <w:tcW w:w="3686" w:type="dxa"/>
          </w:tcPr>
          <w:p w:rsidR="0001148D" w:rsidRPr="00D566A9" w:rsidRDefault="0001148D" w:rsidP="00D95FA6">
            <w:pPr>
              <w:ind w:firstLine="0"/>
              <w:jc w:val="left"/>
              <w:rPr>
                <w:szCs w:val="24"/>
              </w:rPr>
            </w:pPr>
            <w:r w:rsidRPr="00D566A9">
              <w:rPr>
                <w:szCs w:val="24"/>
              </w:rPr>
              <w:t>Фильтрация по 18-20 символам КБК</w:t>
            </w:r>
          </w:p>
          <w:p w:rsidR="0001148D" w:rsidRPr="00D566A9" w:rsidRDefault="0001148D" w:rsidP="00D95FA6">
            <w:pPr>
              <w:ind w:firstLine="0"/>
              <w:jc w:val="left"/>
              <w:rPr>
                <w:szCs w:val="24"/>
              </w:rPr>
            </w:pPr>
            <w:r w:rsidRPr="00D566A9">
              <w:rPr>
                <w:szCs w:val="24"/>
              </w:rPr>
              <w:t>Иерархический фильтр с возможностью множественного выбора и контекстного поиска</w:t>
            </w:r>
          </w:p>
        </w:tc>
        <w:tc>
          <w:tcPr>
            <w:tcW w:w="4252" w:type="dxa"/>
          </w:tcPr>
          <w:p w:rsidR="0001148D" w:rsidRPr="00D566A9" w:rsidRDefault="0001148D" w:rsidP="00D95FA6">
            <w:pPr>
              <w:ind w:firstLine="9"/>
              <w:jc w:val="left"/>
              <w:rPr>
                <w:szCs w:val="24"/>
              </w:rPr>
            </w:pPr>
            <w:r w:rsidRPr="00D566A9">
              <w:rPr>
                <w:szCs w:val="24"/>
              </w:rPr>
              <w:t>ПУР АСС =&gt; График платежей =&gt; КБК</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5</w:t>
            </w:r>
          </w:p>
        </w:tc>
        <w:tc>
          <w:tcPr>
            <w:tcW w:w="1843" w:type="dxa"/>
          </w:tcPr>
          <w:p w:rsidR="0001148D" w:rsidRPr="00D566A9" w:rsidRDefault="0001148D" w:rsidP="00D95FA6">
            <w:pPr>
              <w:ind w:firstLine="0"/>
              <w:jc w:val="left"/>
              <w:rPr>
                <w:szCs w:val="24"/>
              </w:rPr>
            </w:pPr>
            <w:r w:rsidRPr="00D566A9">
              <w:rPr>
                <w:szCs w:val="24"/>
              </w:rPr>
              <w:t>Единицы измерения</w:t>
            </w:r>
          </w:p>
        </w:tc>
        <w:tc>
          <w:tcPr>
            <w:tcW w:w="3686" w:type="dxa"/>
          </w:tcPr>
          <w:p w:rsidR="0001148D" w:rsidRPr="00D566A9" w:rsidRDefault="0001148D" w:rsidP="00D95FA6">
            <w:pPr>
              <w:ind w:firstLine="0"/>
              <w:jc w:val="left"/>
              <w:rPr>
                <w:szCs w:val="24"/>
              </w:rPr>
            </w:pPr>
            <w:r w:rsidRPr="00D566A9">
              <w:rPr>
                <w:szCs w:val="24"/>
              </w:rPr>
              <w:t>Фильтр имеет значения: руб; тыс руб; млн руб; млрд руб.</w:t>
            </w:r>
          </w:p>
          <w:p w:rsidR="0001148D" w:rsidRPr="00D566A9" w:rsidRDefault="0001148D" w:rsidP="00D95FA6">
            <w:pPr>
              <w:ind w:firstLine="0"/>
              <w:jc w:val="left"/>
              <w:rPr>
                <w:szCs w:val="24"/>
              </w:rPr>
            </w:pPr>
            <w:r w:rsidRPr="00D566A9">
              <w:rPr>
                <w:szCs w:val="24"/>
              </w:rPr>
              <w:t>руб = ()</w:t>
            </w:r>
          </w:p>
          <w:p w:rsidR="0001148D" w:rsidRPr="00D566A9" w:rsidRDefault="0001148D" w:rsidP="00D95FA6">
            <w:pPr>
              <w:ind w:firstLine="0"/>
              <w:jc w:val="left"/>
              <w:rPr>
                <w:szCs w:val="24"/>
              </w:rPr>
            </w:pPr>
            <w:r w:rsidRPr="00D566A9">
              <w:rPr>
                <w:szCs w:val="24"/>
              </w:rPr>
              <w:t>тыс руб = ()/1000</w:t>
            </w:r>
          </w:p>
          <w:p w:rsidR="0001148D" w:rsidRPr="00D566A9" w:rsidRDefault="0001148D" w:rsidP="00D95FA6">
            <w:pPr>
              <w:ind w:firstLine="0"/>
              <w:jc w:val="left"/>
              <w:rPr>
                <w:szCs w:val="24"/>
              </w:rPr>
            </w:pPr>
            <w:r w:rsidRPr="00D566A9">
              <w:rPr>
                <w:szCs w:val="24"/>
              </w:rPr>
              <w:t>млн руб = ()/1000000</w:t>
            </w:r>
          </w:p>
          <w:p w:rsidR="0001148D" w:rsidRPr="00D566A9" w:rsidRDefault="0001148D" w:rsidP="00D95FA6">
            <w:pPr>
              <w:ind w:firstLine="0"/>
              <w:jc w:val="left"/>
              <w:rPr>
                <w:szCs w:val="24"/>
              </w:rPr>
            </w:pPr>
            <w:r w:rsidRPr="00D566A9">
              <w:rPr>
                <w:szCs w:val="24"/>
              </w:rPr>
              <w:t>млрд руб = ()/1000000000</w:t>
            </w:r>
          </w:p>
          <w:p w:rsidR="0001148D" w:rsidRPr="00D566A9" w:rsidRDefault="0001148D" w:rsidP="00D95FA6">
            <w:pPr>
              <w:ind w:firstLine="0"/>
              <w:jc w:val="left"/>
              <w:rPr>
                <w:szCs w:val="24"/>
              </w:rPr>
            </w:pPr>
            <w:r w:rsidRPr="00D566A9">
              <w:rPr>
                <w:szCs w:val="24"/>
              </w:rPr>
              <w:t>Фильтр работает по колонкам: Сумма соглашения (всего); Исполнено в прошлых периодах; Сумма соглашения на 2020 год; Сумма соглашения на 2021 год; Сумма соглашения на 2022 год; Сумма соглашения на будущие года; Исполнено всего; Исполнено в 2020 году.</w:t>
            </w:r>
          </w:p>
        </w:tc>
        <w:tc>
          <w:tcPr>
            <w:tcW w:w="4252" w:type="dxa"/>
          </w:tcPr>
          <w:p w:rsidR="0001148D" w:rsidRPr="00D566A9" w:rsidRDefault="0001148D" w:rsidP="00D95FA6">
            <w:pPr>
              <w:ind w:firstLine="9"/>
              <w:jc w:val="left"/>
              <w:rPr>
                <w:szCs w:val="24"/>
              </w:rPr>
            </w:pP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6</w:t>
            </w:r>
          </w:p>
        </w:tc>
        <w:tc>
          <w:tcPr>
            <w:tcW w:w="1843" w:type="dxa"/>
          </w:tcPr>
          <w:p w:rsidR="0001148D" w:rsidRPr="00D566A9" w:rsidRDefault="0001148D" w:rsidP="00D95FA6">
            <w:pPr>
              <w:ind w:firstLine="0"/>
              <w:jc w:val="left"/>
              <w:rPr>
                <w:szCs w:val="24"/>
              </w:rPr>
            </w:pPr>
            <w:r w:rsidRPr="00D566A9">
              <w:rPr>
                <w:szCs w:val="24"/>
              </w:rPr>
              <w:t>Национальный проект</w:t>
            </w:r>
          </w:p>
        </w:tc>
        <w:tc>
          <w:tcPr>
            <w:tcW w:w="3686" w:type="dxa"/>
          </w:tcPr>
          <w:p w:rsidR="0001148D" w:rsidRPr="00D566A9" w:rsidRDefault="0001148D" w:rsidP="00D95FA6">
            <w:pPr>
              <w:ind w:firstLine="0"/>
              <w:jc w:val="left"/>
              <w:rPr>
                <w:szCs w:val="24"/>
              </w:rPr>
            </w:pPr>
            <w:r w:rsidRPr="00D566A9">
              <w:rPr>
                <w:szCs w:val="24"/>
              </w:rPr>
              <w:t>Фильтрация по 11-12 символам КБК</w:t>
            </w:r>
          </w:p>
          <w:p w:rsidR="0001148D" w:rsidRPr="00D566A9" w:rsidRDefault="0001148D" w:rsidP="00D95FA6">
            <w:pPr>
              <w:ind w:firstLine="0"/>
              <w:jc w:val="left"/>
              <w:rPr>
                <w:szCs w:val="24"/>
              </w:rPr>
            </w:pPr>
            <w:r w:rsidRPr="00D566A9">
              <w:rPr>
                <w:szCs w:val="24"/>
              </w:rPr>
              <w:t>Иерархический фильтр с возможностью множественного выбора и контекстного поиска</w:t>
            </w:r>
          </w:p>
          <w:p w:rsidR="0001148D" w:rsidRPr="00D566A9" w:rsidRDefault="0001148D" w:rsidP="00D95FA6">
            <w:pPr>
              <w:ind w:firstLine="0"/>
              <w:jc w:val="left"/>
              <w:rPr>
                <w:szCs w:val="24"/>
              </w:rPr>
            </w:pPr>
            <w:r w:rsidRPr="00D566A9">
              <w:rPr>
                <w:szCs w:val="24"/>
              </w:rPr>
              <w:t>По умолчанию установлено значение «Все»</w:t>
            </w:r>
          </w:p>
        </w:tc>
        <w:tc>
          <w:tcPr>
            <w:tcW w:w="4252" w:type="dxa"/>
          </w:tcPr>
          <w:p w:rsidR="0001148D" w:rsidRPr="00D566A9" w:rsidRDefault="0001148D" w:rsidP="00D95FA6">
            <w:pPr>
              <w:ind w:firstLine="9"/>
              <w:jc w:val="left"/>
              <w:rPr>
                <w:szCs w:val="24"/>
              </w:rPr>
            </w:pPr>
            <w:r w:rsidRPr="00D566A9">
              <w:rPr>
                <w:szCs w:val="24"/>
              </w:rPr>
              <w:t>ПУР АСС =&gt; График платежей =&gt; КБК</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7</w:t>
            </w:r>
          </w:p>
        </w:tc>
        <w:tc>
          <w:tcPr>
            <w:tcW w:w="1843" w:type="dxa"/>
          </w:tcPr>
          <w:p w:rsidR="0001148D" w:rsidRPr="00D566A9" w:rsidRDefault="0001148D" w:rsidP="00D95FA6">
            <w:pPr>
              <w:ind w:firstLine="0"/>
              <w:jc w:val="left"/>
              <w:rPr>
                <w:szCs w:val="24"/>
              </w:rPr>
            </w:pPr>
            <w:r w:rsidRPr="00D566A9">
              <w:rPr>
                <w:szCs w:val="24"/>
              </w:rPr>
              <w:t>КЦСР федерального соглашения</w:t>
            </w:r>
          </w:p>
        </w:tc>
        <w:tc>
          <w:tcPr>
            <w:tcW w:w="3686" w:type="dxa"/>
          </w:tcPr>
          <w:p w:rsidR="0001148D" w:rsidRPr="00D566A9" w:rsidRDefault="0001148D" w:rsidP="00D95FA6">
            <w:pPr>
              <w:ind w:firstLine="0"/>
              <w:jc w:val="left"/>
              <w:rPr>
                <w:szCs w:val="24"/>
              </w:rPr>
            </w:pPr>
            <w:r w:rsidRPr="00D566A9">
              <w:rPr>
                <w:szCs w:val="24"/>
              </w:rPr>
              <w:t>Фильтрация по 8-17 символам КБК соглашения федерального уровня</w:t>
            </w:r>
          </w:p>
          <w:p w:rsidR="0001148D" w:rsidRPr="00D566A9" w:rsidRDefault="0001148D" w:rsidP="00D95FA6">
            <w:pPr>
              <w:ind w:firstLine="0"/>
              <w:jc w:val="left"/>
              <w:rPr>
                <w:szCs w:val="24"/>
              </w:rPr>
            </w:pPr>
            <w:r w:rsidRPr="00D566A9">
              <w:rPr>
                <w:szCs w:val="24"/>
              </w:rPr>
              <w:t>Реализована возможность множественного выбора и контекстного поиска</w:t>
            </w:r>
          </w:p>
          <w:p w:rsidR="0001148D" w:rsidRPr="00D566A9" w:rsidRDefault="0001148D" w:rsidP="00D95FA6">
            <w:pPr>
              <w:ind w:firstLine="0"/>
              <w:jc w:val="left"/>
              <w:rPr>
                <w:szCs w:val="24"/>
              </w:rPr>
            </w:pPr>
            <w:r w:rsidRPr="00D566A9">
              <w:rPr>
                <w:szCs w:val="24"/>
              </w:rPr>
              <w:t>По умолчанию установлено значение «Все»</w:t>
            </w:r>
          </w:p>
          <w:p w:rsidR="0001148D" w:rsidRPr="00D566A9" w:rsidRDefault="0001148D" w:rsidP="00D95FA6">
            <w:pPr>
              <w:ind w:firstLine="0"/>
              <w:jc w:val="left"/>
              <w:rPr>
                <w:szCs w:val="24"/>
              </w:rPr>
            </w:pPr>
            <w:r w:rsidRPr="00D566A9">
              <w:rPr>
                <w:szCs w:val="24"/>
              </w:rPr>
              <w:t>Реализована автоматическая передача выбранного значения данного фильтра между представлениями</w:t>
            </w:r>
          </w:p>
        </w:tc>
        <w:tc>
          <w:tcPr>
            <w:tcW w:w="4252" w:type="dxa"/>
          </w:tcPr>
          <w:p w:rsidR="0001148D" w:rsidRPr="00D566A9" w:rsidRDefault="0001148D" w:rsidP="00D95FA6">
            <w:pPr>
              <w:ind w:firstLine="9"/>
              <w:jc w:val="left"/>
              <w:rPr>
                <w:szCs w:val="24"/>
              </w:rPr>
            </w:pPr>
            <w:r w:rsidRPr="00D566A9">
              <w:rPr>
                <w:szCs w:val="24"/>
              </w:rPr>
              <w:t>ПУР АСС =&gt; График платежей =&gt; КБК</w:t>
            </w:r>
          </w:p>
        </w:tc>
      </w:tr>
      <w:tr w:rsidR="0001148D" w:rsidRPr="00D566A9" w:rsidTr="00D95FA6">
        <w:tc>
          <w:tcPr>
            <w:tcW w:w="567" w:type="dxa"/>
          </w:tcPr>
          <w:p w:rsidR="0001148D" w:rsidRPr="00D566A9" w:rsidRDefault="0001148D" w:rsidP="00D95FA6">
            <w:pPr>
              <w:ind w:firstLine="0"/>
              <w:jc w:val="left"/>
              <w:rPr>
                <w:szCs w:val="24"/>
              </w:rPr>
            </w:pPr>
            <w:r w:rsidRPr="00D566A9">
              <w:rPr>
                <w:szCs w:val="24"/>
              </w:rPr>
              <w:t>12</w:t>
            </w:r>
          </w:p>
        </w:tc>
        <w:tc>
          <w:tcPr>
            <w:tcW w:w="1843" w:type="dxa"/>
          </w:tcPr>
          <w:p w:rsidR="0001148D" w:rsidRPr="00D566A9" w:rsidRDefault="0001148D" w:rsidP="00D95FA6">
            <w:pPr>
              <w:ind w:firstLine="0"/>
              <w:jc w:val="left"/>
              <w:rPr>
                <w:szCs w:val="24"/>
              </w:rPr>
            </w:pPr>
            <w:r w:rsidRPr="00D566A9">
              <w:rPr>
                <w:szCs w:val="24"/>
              </w:rPr>
              <w:t>Поле ввода «Номер РЗ соглашения уровня субъектов РФ»</w:t>
            </w:r>
          </w:p>
        </w:tc>
        <w:tc>
          <w:tcPr>
            <w:tcW w:w="3686" w:type="dxa"/>
          </w:tcPr>
          <w:p w:rsidR="0001148D" w:rsidRPr="00D566A9" w:rsidRDefault="0001148D" w:rsidP="00D95FA6">
            <w:pPr>
              <w:ind w:firstLine="0"/>
              <w:jc w:val="left"/>
              <w:rPr>
                <w:szCs w:val="24"/>
              </w:rPr>
            </w:pPr>
            <w:r w:rsidRPr="00D566A9">
              <w:rPr>
                <w:szCs w:val="24"/>
              </w:rPr>
              <w:t>Фильтрация по уникальному номеру реестровой записи родительского соглашения уровня бюджетов субъектов РФ</w:t>
            </w:r>
          </w:p>
          <w:p w:rsidR="0001148D" w:rsidRPr="00D566A9" w:rsidRDefault="0001148D" w:rsidP="00D95FA6">
            <w:pPr>
              <w:ind w:firstLine="0"/>
              <w:jc w:val="left"/>
              <w:rPr>
                <w:szCs w:val="24"/>
              </w:rPr>
            </w:pPr>
            <w:r w:rsidRPr="00D566A9">
              <w:rPr>
                <w:szCs w:val="24"/>
              </w:rPr>
              <w:t>Возможность ввода одного значения единовременно</w:t>
            </w:r>
          </w:p>
          <w:p w:rsidR="0001148D" w:rsidRPr="00D566A9" w:rsidRDefault="0001148D" w:rsidP="00D95FA6">
            <w:pPr>
              <w:ind w:firstLine="0"/>
              <w:jc w:val="left"/>
              <w:rPr>
                <w:szCs w:val="24"/>
              </w:rPr>
            </w:pPr>
            <w:r w:rsidRPr="00D566A9">
              <w:rPr>
                <w:szCs w:val="24"/>
              </w:rPr>
              <w:t>Реализована автоматическая передача выбранного значения данного фильтра между представлениями</w:t>
            </w:r>
          </w:p>
        </w:tc>
        <w:tc>
          <w:tcPr>
            <w:tcW w:w="4252" w:type="dxa"/>
          </w:tcPr>
          <w:p w:rsidR="0001148D" w:rsidRPr="00D566A9" w:rsidRDefault="0001148D" w:rsidP="00D95FA6">
            <w:pPr>
              <w:ind w:firstLine="9"/>
              <w:jc w:val="left"/>
              <w:rPr>
                <w:szCs w:val="24"/>
              </w:rPr>
            </w:pPr>
            <w:r w:rsidRPr="00D566A9">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bl>
    <w:p w:rsidR="0001148D" w:rsidRDefault="0001148D" w:rsidP="00E4576E">
      <w:pPr>
        <w:pStyle w:val="-0"/>
      </w:pPr>
    </w:p>
    <w:p w:rsidR="00D95FA6" w:rsidRDefault="00D95FA6" w:rsidP="0085585F">
      <w:pPr>
        <w:pStyle w:val="46"/>
      </w:pPr>
      <w:r w:rsidRPr="00D95FA6">
        <w:t xml:space="preserve">Представление «Бюджеты муниципальных </w:t>
      </w:r>
      <w:r>
        <w:t>образований» - «По соглашениям»</w:t>
      </w:r>
      <w:r>
        <w:rPr>
          <w:noProof/>
        </w:rPr>
        <w:drawing>
          <wp:inline distT="0" distB="0" distL="0" distR="0" wp14:anchorId="6788CA52" wp14:editId="05C69777">
            <wp:extent cx="5939790" cy="2997821"/>
            <wp:effectExtent l="0" t="0" r="3810" b="0"/>
            <wp:docPr id="5819" name="Рисунок 5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319" cstate="print">
                      <a:extLst>
                        <a:ext uri="{28A0092B-C50C-407E-A947-70E740481C1C}">
                          <a14:useLocalDpi xmlns:a14="http://schemas.microsoft.com/office/drawing/2010/main" val="0"/>
                        </a:ext>
                      </a:extLst>
                    </a:blip>
                    <a:stretch>
                      <a:fillRect/>
                    </a:stretch>
                  </pic:blipFill>
                  <pic:spPr>
                    <a:xfrm>
                      <a:off x="0" y="0"/>
                      <a:ext cx="5939790" cy="2997821"/>
                    </a:xfrm>
                    <a:prstGeom prst="rect">
                      <a:avLst/>
                    </a:prstGeom>
                  </pic:spPr>
                </pic:pic>
              </a:graphicData>
            </a:graphic>
          </wp:inline>
        </w:drawing>
      </w:r>
    </w:p>
    <w:p w:rsidR="00D95FA6" w:rsidRDefault="00D95FA6" w:rsidP="00D95FA6">
      <w:pPr>
        <w:pStyle w:val="-0"/>
      </w:pPr>
      <w:bookmarkStart w:id="902" w:name="_Toc119584427"/>
      <w:r>
        <w:t xml:space="preserve">Рисунок </w:t>
      </w:r>
      <w:fldSimple w:instr=" SEQ Рисунок \* ARABIC ">
        <w:r w:rsidR="001860A9">
          <w:rPr>
            <w:noProof/>
          </w:rPr>
          <w:t>240</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 xml:space="preserve"> муниципальных образований</w:t>
      </w:r>
      <w:r w:rsidRPr="00D84966">
        <w:t>»</w:t>
      </w:r>
      <w:r>
        <w:t xml:space="preserve"> -</w:t>
      </w:r>
      <w:r w:rsidRPr="00D84966">
        <w:t xml:space="preserve"> «По</w:t>
      </w:r>
      <w:r>
        <w:t xml:space="preserve"> соглашениям</w:t>
      </w:r>
      <w:r w:rsidRPr="00D84966">
        <w:t>»</w:t>
      </w:r>
      <w:bookmarkEnd w:id="902"/>
    </w:p>
    <w:p w:rsidR="00D95FA6" w:rsidRPr="009450D2" w:rsidRDefault="00D95FA6" w:rsidP="00D95FA6">
      <w:pPr>
        <w:ind w:firstLine="709"/>
        <w:rPr>
          <w:sz w:val="28"/>
          <w:szCs w:val="28"/>
        </w:rPr>
      </w:pPr>
      <w:r w:rsidRPr="009450D2">
        <w:rPr>
          <w:sz w:val="28"/>
          <w:szCs w:val="28"/>
        </w:rPr>
        <w:t>Область таблицы: в таблице могут быть представлены соглашения с разбивкой по признаку национального и федерального проектов, однако на строке «Итого» отображаются общие значения только по уникальным реестровым записям. Также в таблице представлена итоговая строка с суммовыми значениями по всем уникальным соглашениям в рамках конкретной колонки.</w:t>
      </w:r>
    </w:p>
    <w:tbl>
      <w:tblPr>
        <w:tblStyle w:val="affe"/>
        <w:tblW w:w="10348" w:type="dxa"/>
        <w:tblInd w:w="-459" w:type="dxa"/>
        <w:tblLayout w:type="fixed"/>
        <w:tblLook w:val="04A0" w:firstRow="1" w:lastRow="0" w:firstColumn="1" w:lastColumn="0" w:noHBand="0" w:noVBand="1"/>
      </w:tblPr>
      <w:tblGrid>
        <w:gridCol w:w="567"/>
        <w:gridCol w:w="1276"/>
        <w:gridCol w:w="992"/>
        <w:gridCol w:w="3402"/>
        <w:gridCol w:w="4111"/>
      </w:tblGrid>
      <w:tr w:rsidR="00D95FA6" w:rsidRPr="009450D2" w:rsidTr="00D95FA6">
        <w:trPr>
          <w:tblHeader/>
        </w:trPr>
        <w:tc>
          <w:tcPr>
            <w:tcW w:w="567" w:type="dxa"/>
            <w:shd w:val="clear" w:color="auto" w:fill="F2F2F2" w:themeFill="background1" w:themeFillShade="F2"/>
            <w:vAlign w:val="center"/>
          </w:tcPr>
          <w:p w:rsidR="00D95FA6" w:rsidRPr="009450D2" w:rsidRDefault="00D95FA6" w:rsidP="00D95FA6">
            <w:pPr>
              <w:ind w:firstLine="0"/>
              <w:jc w:val="center"/>
              <w:rPr>
                <w:b/>
                <w:szCs w:val="24"/>
              </w:rPr>
            </w:pPr>
            <w:r w:rsidRPr="009450D2">
              <w:rPr>
                <w:b/>
                <w:szCs w:val="24"/>
              </w:rPr>
              <w:t>№ колонки</w:t>
            </w:r>
          </w:p>
        </w:tc>
        <w:tc>
          <w:tcPr>
            <w:tcW w:w="1276" w:type="dxa"/>
            <w:shd w:val="clear" w:color="auto" w:fill="F2F2F2" w:themeFill="background1" w:themeFillShade="F2"/>
            <w:vAlign w:val="center"/>
          </w:tcPr>
          <w:p w:rsidR="00D95FA6" w:rsidRPr="009450D2" w:rsidRDefault="00D95FA6" w:rsidP="00D95FA6">
            <w:pPr>
              <w:ind w:firstLine="0"/>
              <w:jc w:val="center"/>
              <w:rPr>
                <w:b/>
                <w:szCs w:val="24"/>
              </w:rPr>
            </w:pPr>
            <w:r w:rsidRPr="009450D2">
              <w:rPr>
                <w:b/>
                <w:szCs w:val="24"/>
              </w:rPr>
              <w:t>Наименование</w:t>
            </w:r>
          </w:p>
        </w:tc>
        <w:tc>
          <w:tcPr>
            <w:tcW w:w="992" w:type="dxa"/>
            <w:shd w:val="clear" w:color="auto" w:fill="F2F2F2" w:themeFill="background1" w:themeFillShade="F2"/>
            <w:vAlign w:val="center"/>
          </w:tcPr>
          <w:p w:rsidR="00D95FA6" w:rsidRPr="009450D2" w:rsidRDefault="00D95FA6" w:rsidP="00D95FA6">
            <w:pPr>
              <w:ind w:left="34" w:firstLine="0"/>
              <w:jc w:val="center"/>
              <w:rPr>
                <w:b/>
                <w:szCs w:val="24"/>
              </w:rPr>
            </w:pPr>
            <w:r w:rsidRPr="009450D2">
              <w:rPr>
                <w:b/>
                <w:szCs w:val="24"/>
              </w:rPr>
              <w:t>Колонка по умолчанию</w:t>
            </w:r>
          </w:p>
        </w:tc>
        <w:tc>
          <w:tcPr>
            <w:tcW w:w="3402" w:type="dxa"/>
            <w:shd w:val="clear" w:color="auto" w:fill="F2F2F2" w:themeFill="background1" w:themeFillShade="F2"/>
            <w:vAlign w:val="center"/>
          </w:tcPr>
          <w:p w:rsidR="00D95FA6" w:rsidRPr="009450D2" w:rsidRDefault="00D95FA6" w:rsidP="00D95FA6">
            <w:pPr>
              <w:ind w:left="34" w:firstLine="0"/>
              <w:jc w:val="center"/>
              <w:rPr>
                <w:b/>
                <w:szCs w:val="24"/>
              </w:rPr>
            </w:pPr>
            <w:r w:rsidRPr="009450D2">
              <w:rPr>
                <w:b/>
                <w:szCs w:val="24"/>
              </w:rPr>
              <w:t>Алгоритмы и переходы</w:t>
            </w:r>
          </w:p>
        </w:tc>
        <w:tc>
          <w:tcPr>
            <w:tcW w:w="4111" w:type="dxa"/>
            <w:shd w:val="clear" w:color="auto" w:fill="F2F2F2" w:themeFill="background1" w:themeFillShade="F2"/>
            <w:vAlign w:val="center"/>
          </w:tcPr>
          <w:p w:rsidR="00D95FA6" w:rsidRPr="009450D2" w:rsidRDefault="00D95FA6" w:rsidP="00D95FA6">
            <w:pPr>
              <w:ind w:left="34" w:firstLine="0"/>
              <w:jc w:val="center"/>
              <w:rPr>
                <w:b/>
                <w:szCs w:val="24"/>
              </w:rPr>
            </w:pPr>
            <w:r w:rsidRPr="009450D2">
              <w:rPr>
                <w:b/>
                <w:szCs w:val="24"/>
              </w:rPr>
              <w:t>Источник данных</w:t>
            </w:r>
          </w:p>
        </w:tc>
      </w:tr>
      <w:tr w:rsidR="00D95FA6" w:rsidRPr="009450D2" w:rsidTr="00D95FA6">
        <w:tc>
          <w:tcPr>
            <w:tcW w:w="10348" w:type="dxa"/>
            <w:gridSpan w:val="5"/>
            <w:shd w:val="clear" w:color="auto" w:fill="D9D9D9" w:themeFill="background1" w:themeFillShade="D9"/>
          </w:tcPr>
          <w:p w:rsidR="00D95FA6" w:rsidRPr="009450D2" w:rsidRDefault="00D95FA6" w:rsidP="00D95FA6">
            <w:pPr>
              <w:ind w:left="34" w:firstLine="0"/>
              <w:jc w:val="center"/>
              <w:rPr>
                <w:szCs w:val="24"/>
              </w:rPr>
            </w:pPr>
            <w:r w:rsidRPr="009450D2">
              <w:rPr>
                <w:szCs w:val="24"/>
              </w:rPr>
              <w:t>Блок реквизитов соглашения</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w:t>
            </w:r>
          </w:p>
        </w:tc>
        <w:tc>
          <w:tcPr>
            <w:tcW w:w="1276" w:type="dxa"/>
          </w:tcPr>
          <w:p w:rsidR="00D95FA6" w:rsidRPr="009450D2" w:rsidRDefault="00D95FA6" w:rsidP="00D95FA6">
            <w:pPr>
              <w:ind w:firstLine="0"/>
              <w:jc w:val="left"/>
              <w:rPr>
                <w:szCs w:val="24"/>
              </w:rPr>
            </w:pPr>
            <w:r w:rsidRPr="009450D2">
              <w:rPr>
                <w:szCs w:val="24"/>
              </w:rPr>
              <w:t>Уникальный номер реестровой записи</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r w:rsidRPr="009450D2">
              <w:rPr>
                <w:szCs w:val="24"/>
              </w:rPr>
              <w:t>Реализованы переходы:</w:t>
            </w:r>
          </w:p>
          <w:p w:rsidR="00D95FA6" w:rsidRPr="009450D2" w:rsidRDefault="00D95FA6" w:rsidP="00D95FA6">
            <w:pPr>
              <w:ind w:left="34" w:firstLine="0"/>
              <w:jc w:val="left"/>
              <w:rPr>
                <w:szCs w:val="24"/>
              </w:rPr>
            </w:pPr>
            <w:r w:rsidRPr="009450D2">
              <w:rPr>
                <w:szCs w:val="24"/>
              </w:rPr>
              <w:t>- «Показать в ПУР»;</w:t>
            </w:r>
          </w:p>
          <w:p w:rsidR="00D95FA6" w:rsidRPr="009450D2" w:rsidRDefault="00D95FA6" w:rsidP="00D95FA6">
            <w:pPr>
              <w:ind w:left="34" w:firstLine="0"/>
              <w:jc w:val="left"/>
              <w:rPr>
                <w:szCs w:val="24"/>
              </w:rPr>
            </w:pPr>
            <w:r w:rsidRPr="009450D2">
              <w:rPr>
                <w:szCs w:val="24"/>
              </w:rPr>
              <w:t>- «Реестр соглашений (ЕПБС)» (Вкладка «Общие сведения»);</w:t>
            </w:r>
          </w:p>
          <w:p w:rsidR="00D95FA6" w:rsidRPr="009450D2" w:rsidRDefault="00D95FA6" w:rsidP="00D95FA6">
            <w:pPr>
              <w:ind w:left="34" w:firstLine="0"/>
              <w:jc w:val="left"/>
              <w:rPr>
                <w:szCs w:val="24"/>
              </w:rPr>
            </w:pPr>
            <w:r w:rsidRPr="009450D2">
              <w:rPr>
                <w:szCs w:val="24"/>
              </w:rPr>
              <w:t>- «По значениям результатов (Бюджеты муниципальных образований)».</w:t>
            </w:r>
          </w:p>
        </w:tc>
        <w:tc>
          <w:tcPr>
            <w:tcW w:w="4111" w:type="dxa"/>
          </w:tcPr>
          <w:p w:rsidR="00D95FA6" w:rsidRPr="009450D2" w:rsidRDefault="00D95FA6" w:rsidP="00D95FA6">
            <w:pPr>
              <w:ind w:left="34" w:firstLine="0"/>
              <w:jc w:val="left"/>
              <w:rPr>
                <w:szCs w:val="24"/>
              </w:rPr>
            </w:pPr>
            <w:r w:rsidRPr="009450D2">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D95FA6" w:rsidRPr="009450D2" w:rsidTr="00D95FA6">
        <w:tc>
          <w:tcPr>
            <w:tcW w:w="567" w:type="dxa"/>
          </w:tcPr>
          <w:p w:rsidR="00D95FA6" w:rsidRPr="009450D2" w:rsidRDefault="00D95FA6" w:rsidP="00D95FA6">
            <w:pPr>
              <w:ind w:firstLine="0"/>
              <w:jc w:val="left"/>
              <w:rPr>
                <w:szCs w:val="24"/>
                <w:lang w:val="en-US"/>
              </w:rPr>
            </w:pPr>
            <w:r w:rsidRPr="009450D2">
              <w:rPr>
                <w:szCs w:val="24"/>
                <w:lang w:val="en-US"/>
              </w:rPr>
              <w:t>2</w:t>
            </w:r>
          </w:p>
        </w:tc>
        <w:tc>
          <w:tcPr>
            <w:tcW w:w="1276" w:type="dxa"/>
          </w:tcPr>
          <w:p w:rsidR="00D95FA6" w:rsidRPr="009450D2" w:rsidRDefault="00D95FA6" w:rsidP="00D95FA6">
            <w:pPr>
              <w:ind w:firstLine="0"/>
              <w:jc w:val="left"/>
              <w:rPr>
                <w:szCs w:val="24"/>
              </w:rPr>
            </w:pPr>
            <w:r w:rsidRPr="009450D2">
              <w:rPr>
                <w:szCs w:val="24"/>
              </w:rPr>
              <w:t>Уникальный номер реестровой записи соглашения уровня субъектов РФ</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r w:rsidRPr="009450D2">
              <w:rPr>
                <w:szCs w:val="24"/>
              </w:rPr>
              <w:t>Реализован переход в представление «По соглашениям (Бюджеты субъектов РФ)» с автоматической преднастройкой поля ввода «Номер соглашения, РЗ» выбранным реестровым номером</w:t>
            </w:r>
          </w:p>
        </w:tc>
        <w:tc>
          <w:tcPr>
            <w:tcW w:w="4111" w:type="dxa"/>
          </w:tcPr>
          <w:p w:rsidR="00D95FA6" w:rsidRPr="009450D2" w:rsidRDefault="00D95FA6" w:rsidP="00D95FA6">
            <w:pPr>
              <w:ind w:left="34" w:firstLine="0"/>
              <w:jc w:val="left"/>
              <w:rPr>
                <w:szCs w:val="24"/>
              </w:rPr>
            </w:pPr>
            <w:r w:rsidRPr="009450D2">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w:t>
            </w:r>
          </w:p>
        </w:tc>
        <w:tc>
          <w:tcPr>
            <w:tcW w:w="1276" w:type="dxa"/>
          </w:tcPr>
          <w:p w:rsidR="00D95FA6" w:rsidRPr="009450D2" w:rsidRDefault="00D95FA6" w:rsidP="00D95FA6">
            <w:pPr>
              <w:ind w:firstLine="0"/>
              <w:jc w:val="left"/>
              <w:rPr>
                <w:szCs w:val="24"/>
              </w:rPr>
            </w:pPr>
            <w:r w:rsidRPr="009450D2">
              <w:rPr>
                <w:szCs w:val="24"/>
              </w:rPr>
              <w:t>Номер соглашения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соглашения (договора), НПА =&gt; Номер соглашения (договора)/нормативного правового акта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w:t>
            </w:r>
          </w:p>
        </w:tc>
        <w:tc>
          <w:tcPr>
            <w:tcW w:w="1276" w:type="dxa"/>
          </w:tcPr>
          <w:p w:rsidR="00D95FA6" w:rsidRPr="009450D2" w:rsidRDefault="00D95FA6" w:rsidP="00D95FA6">
            <w:pPr>
              <w:ind w:firstLine="0"/>
              <w:jc w:val="left"/>
              <w:rPr>
                <w:szCs w:val="24"/>
              </w:rPr>
            </w:pPr>
            <w:r w:rsidRPr="009450D2">
              <w:rPr>
                <w:szCs w:val="24"/>
              </w:rPr>
              <w:t>Дата заключения соглашения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соглашения (договора), НПА =&gt; Дата заключения соглашения (договора), дата принятия нормативного правового акта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5</w:t>
            </w:r>
          </w:p>
        </w:tc>
        <w:tc>
          <w:tcPr>
            <w:tcW w:w="1276" w:type="dxa"/>
          </w:tcPr>
          <w:p w:rsidR="00D95FA6" w:rsidRPr="009450D2" w:rsidRDefault="00D95FA6" w:rsidP="00D95FA6">
            <w:pPr>
              <w:ind w:firstLine="0"/>
              <w:jc w:val="left"/>
              <w:rPr>
                <w:szCs w:val="24"/>
              </w:rPr>
            </w:pPr>
            <w:r w:rsidRPr="009450D2">
              <w:rPr>
                <w:szCs w:val="24"/>
              </w:rPr>
              <w:t>Дата вступления в силу соглашения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соглашения (договора), НПА =&gt; Дата вступления в силу соглашения (договора), дата регистрации нормативного правового акта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6</w:t>
            </w:r>
          </w:p>
        </w:tc>
        <w:tc>
          <w:tcPr>
            <w:tcW w:w="1276" w:type="dxa"/>
          </w:tcPr>
          <w:p w:rsidR="00D95FA6" w:rsidRPr="009450D2" w:rsidRDefault="00D95FA6" w:rsidP="00D95FA6">
            <w:pPr>
              <w:ind w:firstLine="0"/>
              <w:jc w:val="left"/>
              <w:rPr>
                <w:szCs w:val="24"/>
              </w:rPr>
            </w:pPr>
            <w:r w:rsidRPr="009450D2">
              <w:rPr>
                <w:szCs w:val="24"/>
              </w:rPr>
              <w:t>Дата окончания действия соглашения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соглашения (договора), НПА =&gt; Дата окончания срока действия соглашения (договора)/нормативного правового акта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7</w:t>
            </w:r>
          </w:p>
        </w:tc>
        <w:tc>
          <w:tcPr>
            <w:tcW w:w="1276" w:type="dxa"/>
          </w:tcPr>
          <w:p w:rsidR="00D95FA6" w:rsidRPr="009450D2" w:rsidRDefault="00D95FA6" w:rsidP="00D95FA6">
            <w:pPr>
              <w:ind w:firstLine="0"/>
              <w:jc w:val="left"/>
              <w:rPr>
                <w:szCs w:val="24"/>
              </w:rPr>
            </w:pPr>
            <w:r w:rsidRPr="009450D2">
              <w:rPr>
                <w:szCs w:val="24"/>
              </w:rPr>
              <w:t>Сумма соглашения (всего), ‘динамическое значение единиц измерения, зависящее от значения в фильтре «Единицы измерения»’ – сумма по графику соглашения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shd w:val="clear" w:color="auto" w:fill="auto"/>
          </w:tcPr>
          <w:p w:rsidR="00D95FA6" w:rsidRPr="009450D2" w:rsidRDefault="00D95FA6" w:rsidP="00D95FA6">
            <w:pPr>
              <w:ind w:left="34" w:firstLine="0"/>
              <w:jc w:val="left"/>
              <w:rPr>
                <w:szCs w:val="24"/>
              </w:rPr>
            </w:pPr>
            <w:r w:rsidRPr="009450D2">
              <w:rPr>
                <w:szCs w:val="24"/>
              </w:rPr>
              <w:t>ПУР АСС =&gt; Реквизиты соглашения (договора), НПА =&gt; Размер средств в рублевом эквиваленте</w:t>
            </w:r>
          </w:p>
        </w:tc>
      </w:tr>
      <w:tr w:rsidR="00D95FA6" w:rsidRPr="009450D2" w:rsidTr="00D95FA6">
        <w:tc>
          <w:tcPr>
            <w:tcW w:w="10348" w:type="dxa"/>
            <w:gridSpan w:val="5"/>
            <w:shd w:val="clear" w:color="auto" w:fill="D9D9D9" w:themeFill="background1" w:themeFillShade="D9"/>
          </w:tcPr>
          <w:p w:rsidR="00D95FA6" w:rsidRPr="009450D2" w:rsidRDefault="00D95FA6" w:rsidP="00D95FA6">
            <w:pPr>
              <w:ind w:left="34" w:firstLine="0"/>
              <w:jc w:val="center"/>
              <w:rPr>
                <w:szCs w:val="24"/>
              </w:rPr>
            </w:pPr>
            <w:r w:rsidRPr="009450D2">
              <w:rPr>
                <w:szCs w:val="24"/>
              </w:rPr>
              <w:t>Блок по суммам соглашения по графику соглашения и по кассовому исполнению по ИПС</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8</w:t>
            </w:r>
          </w:p>
        </w:tc>
        <w:tc>
          <w:tcPr>
            <w:tcW w:w="1276" w:type="dxa"/>
          </w:tcPr>
          <w:p w:rsidR="00D95FA6" w:rsidRPr="009450D2" w:rsidRDefault="00D95FA6" w:rsidP="00D95FA6">
            <w:pPr>
              <w:ind w:firstLine="0"/>
              <w:jc w:val="left"/>
              <w:rPr>
                <w:szCs w:val="24"/>
              </w:rPr>
            </w:pPr>
            <w:r w:rsidRPr="009450D2">
              <w:rPr>
                <w:szCs w:val="24"/>
              </w:rPr>
              <w:t>Исполнено в прошлых периодах,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Сумма по ИПС на годы, предшествующие значению в фильтре «Год»</w:t>
            </w:r>
          </w:p>
        </w:tc>
        <w:tc>
          <w:tcPr>
            <w:tcW w:w="4111" w:type="dxa"/>
            <w:shd w:val="clear" w:color="auto" w:fill="auto"/>
          </w:tcPr>
          <w:p w:rsidR="00D95FA6" w:rsidRPr="009450D2" w:rsidRDefault="00D95FA6" w:rsidP="005C6E50">
            <w:pPr>
              <w:pStyle w:val="afff6"/>
              <w:numPr>
                <w:ilvl w:val="0"/>
                <w:numId w:val="98"/>
              </w:numPr>
              <w:ind w:left="34" w:firstLine="0"/>
              <w:contextualSpacing/>
              <w:jc w:val="left"/>
              <w:rPr>
                <w:sz w:val="24"/>
                <w:szCs w:val="24"/>
              </w:rPr>
            </w:pPr>
            <w:r w:rsidRPr="009450D2">
              <w:rPr>
                <w:sz w:val="24"/>
                <w:szCs w:val="24"/>
              </w:rPr>
              <w:t>ПУР АСС =&gt; Перечень ИПС =&gt;</w:t>
            </w:r>
          </w:p>
          <w:p w:rsidR="00D95FA6" w:rsidRPr="009450D2" w:rsidRDefault="00D95FA6" w:rsidP="00D95FA6">
            <w:pPr>
              <w:pStyle w:val="afff6"/>
              <w:ind w:left="34" w:firstLine="0"/>
              <w:jc w:val="left"/>
              <w:rPr>
                <w:sz w:val="24"/>
                <w:szCs w:val="24"/>
              </w:rPr>
            </w:pPr>
            <w:r w:rsidRPr="009450D2">
              <w:rPr>
                <w:sz w:val="24"/>
                <w:szCs w:val="24"/>
              </w:rPr>
              <w:t>- Дата платежного документа</w:t>
            </w:r>
          </w:p>
          <w:p w:rsidR="00D95FA6" w:rsidRPr="009450D2" w:rsidRDefault="00D95FA6" w:rsidP="00D95FA6">
            <w:pPr>
              <w:pStyle w:val="afff6"/>
              <w:ind w:left="34" w:firstLine="0"/>
              <w:jc w:val="left"/>
              <w:rPr>
                <w:sz w:val="24"/>
                <w:szCs w:val="24"/>
              </w:rPr>
            </w:pPr>
            <w:r w:rsidRPr="009450D2">
              <w:rPr>
                <w:sz w:val="24"/>
                <w:szCs w:val="24"/>
              </w:rPr>
              <w:t>- Сумма в рублях</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9</w:t>
            </w:r>
          </w:p>
        </w:tc>
        <w:tc>
          <w:tcPr>
            <w:tcW w:w="1276" w:type="dxa"/>
          </w:tcPr>
          <w:p w:rsidR="00D95FA6" w:rsidRPr="009450D2" w:rsidRDefault="00D95FA6" w:rsidP="00D95FA6">
            <w:pPr>
              <w:ind w:firstLine="0"/>
              <w:jc w:val="left"/>
              <w:rPr>
                <w:szCs w:val="24"/>
              </w:rPr>
            </w:pPr>
            <w:r w:rsidRPr="009450D2">
              <w:rPr>
                <w:szCs w:val="24"/>
              </w:rPr>
              <w:t>Сумма соглашения на ‘выбранное значение в фильтре «Год»’ год,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r w:rsidRPr="009450D2">
              <w:rPr>
                <w:szCs w:val="24"/>
              </w:rPr>
              <w:t>Сумма соглашения по графику соглашения на выбранное значение года в фильтре «Год»</w:t>
            </w:r>
          </w:p>
        </w:tc>
        <w:tc>
          <w:tcPr>
            <w:tcW w:w="4111" w:type="dxa"/>
            <w:shd w:val="clear" w:color="auto" w:fill="auto"/>
          </w:tcPr>
          <w:p w:rsidR="00D95FA6" w:rsidRPr="009450D2" w:rsidRDefault="00D95FA6" w:rsidP="005C6E50">
            <w:pPr>
              <w:pStyle w:val="afff6"/>
              <w:numPr>
                <w:ilvl w:val="0"/>
                <w:numId w:val="99"/>
              </w:numPr>
              <w:ind w:left="34" w:firstLine="0"/>
              <w:contextualSpacing/>
              <w:jc w:val="left"/>
              <w:rPr>
                <w:sz w:val="24"/>
                <w:szCs w:val="24"/>
              </w:rPr>
            </w:pPr>
            <w:r w:rsidRPr="009450D2">
              <w:rPr>
                <w:sz w:val="24"/>
                <w:szCs w:val="24"/>
              </w:rPr>
              <w:t xml:space="preserve">ПУР АСС =&gt; График платежей =&gt; </w:t>
            </w:r>
          </w:p>
          <w:p w:rsidR="00D95FA6" w:rsidRPr="009450D2" w:rsidRDefault="00D95FA6" w:rsidP="00D95FA6">
            <w:pPr>
              <w:pStyle w:val="afff6"/>
              <w:ind w:left="34" w:firstLine="0"/>
              <w:jc w:val="left"/>
              <w:rPr>
                <w:sz w:val="24"/>
                <w:szCs w:val="24"/>
              </w:rPr>
            </w:pPr>
            <w:r w:rsidRPr="009450D2">
              <w:rPr>
                <w:sz w:val="24"/>
                <w:szCs w:val="24"/>
              </w:rPr>
              <w:t>- Сумма в рублях</w:t>
            </w:r>
          </w:p>
          <w:p w:rsidR="00D95FA6" w:rsidRPr="009450D2" w:rsidRDefault="00D95FA6" w:rsidP="00D95FA6">
            <w:pPr>
              <w:pStyle w:val="afff6"/>
              <w:ind w:left="34" w:firstLine="0"/>
              <w:jc w:val="left"/>
              <w:rPr>
                <w:sz w:val="24"/>
                <w:szCs w:val="24"/>
              </w:rPr>
            </w:pPr>
            <w:r w:rsidRPr="009450D2">
              <w:rPr>
                <w:sz w:val="24"/>
                <w:szCs w:val="24"/>
              </w:rPr>
              <w:t>- Год осуществления платежа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10</w:t>
            </w:r>
          </w:p>
        </w:tc>
        <w:tc>
          <w:tcPr>
            <w:tcW w:w="1276" w:type="dxa"/>
          </w:tcPr>
          <w:p w:rsidR="00D95FA6" w:rsidRPr="009450D2" w:rsidRDefault="00D95FA6" w:rsidP="00D95FA6">
            <w:pPr>
              <w:ind w:firstLine="0"/>
              <w:jc w:val="left"/>
              <w:rPr>
                <w:szCs w:val="24"/>
              </w:rPr>
            </w:pPr>
            <w:r w:rsidRPr="009450D2">
              <w:rPr>
                <w:szCs w:val="24"/>
              </w:rPr>
              <w:t>Сумма соглашения на ‘выбранное значение в фильтре «Год» +1’ год,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Сумма соглашения по графику соглашения на выбранное значение года в фильтре «Год»+1</w:t>
            </w:r>
          </w:p>
        </w:tc>
        <w:tc>
          <w:tcPr>
            <w:tcW w:w="4111" w:type="dxa"/>
            <w:shd w:val="clear" w:color="auto" w:fill="auto"/>
          </w:tcPr>
          <w:p w:rsidR="00D95FA6" w:rsidRPr="009450D2" w:rsidRDefault="00D95FA6" w:rsidP="005C6E50">
            <w:pPr>
              <w:pStyle w:val="afff6"/>
              <w:numPr>
                <w:ilvl w:val="0"/>
                <w:numId w:val="100"/>
              </w:numPr>
              <w:ind w:left="34" w:firstLine="0"/>
              <w:contextualSpacing/>
              <w:jc w:val="left"/>
              <w:rPr>
                <w:sz w:val="24"/>
                <w:szCs w:val="24"/>
              </w:rPr>
            </w:pPr>
            <w:r w:rsidRPr="009450D2">
              <w:rPr>
                <w:sz w:val="24"/>
                <w:szCs w:val="24"/>
              </w:rPr>
              <w:t>ПУР АСС =&gt; График платежей =&gt;</w:t>
            </w:r>
          </w:p>
          <w:p w:rsidR="00D95FA6" w:rsidRPr="009450D2" w:rsidRDefault="00D95FA6" w:rsidP="00D95FA6">
            <w:pPr>
              <w:pStyle w:val="afff6"/>
              <w:ind w:left="34" w:firstLine="0"/>
              <w:jc w:val="left"/>
              <w:rPr>
                <w:sz w:val="24"/>
                <w:szCs w:val="24"/>
              </w:rPr>
            </w:pPr>
            <w:r w:rsidRPr="009450D2">
              <w:rPr>
                <w:sz w:val="24"/>
                <w:szCs w:val="24"/>
              </w:rPr>
              <w:t>- Сумма в рублях</w:t>
            </w:r>
          </w:p>
          <w:p w:rsidR="00D95FA6" w:rsidRPr="009450D2" w:rsidRDefault="00D95FA6" w:rsidP="00D95FA6">
            <w:pPr>
              <w:pStyle w:val="afff6"/>
              <w:ind w:left="34" w:firstLine="0"/>
              <w:jc w:val="left"/>
              <w:rPr>
                <w:sz w:val="24"/>
                <w:szCs w:val="24"/>
              </w:rPr>
            </w:pPr>
            <w:r w:rsidRPr="009450D2">
              <w:rPr>
                <w:sz w:val="24"/>
                <w:szCs w:val="24"/>
              </w:rPr>
              <w:t>- Год осуществления платежа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11</w:t>
            </w:r>
          </w:p>
        </w:tc>
        <w:tc>
          <w:tcPr>
            <w:tcW w:w="1276" w:type="dxa"/>
          </w:tcPr>
          <w:p w:rsidR="00D95FA6" w:rsidRPr="009450D2" w:rsidRDefault="00D95FA6" w:rsidP="00D95FA6">
            <w:pPr>
              <w:ind w:firstLine="0"/>
              <w:jc w:val="left"/>
              <w:rPr>
                <w:szCs w:val="24"/>
              </w:rPr>
            </w:pPr>
            <w:r w:rsidRPr="009450D2">
              <w:rPr>
                <w:szCs w:val="24"/>
              </w:rPr>
              <w:t>Сумма соглашения на ‘выбранное значение в фильтре «Год» +2’ год,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Сумма соглашения по графику соглашения на выбранное значение года в фильтре «Год»+2</w:t>
            </w:r>
          </w:p>
        </w:tc>
        <w:tc>
          <w:tcPr>
            <w:tcW w:w="4111" w:type="dxa"/>
            <w:shd w:val="clear" w:color="auto" w:fill="auto"/>
          </w:tcPr>
          <w:p w:rsidR="00D95FA6" w:rsidRPr="009450D2" w:rsidRDefault="00D95FA6" w:rsidP="005C6E50">
            <w:pPr>
              <w:pStyle w:val="afff6"/>
              <w:numPr>
                <w:ilvl w:val="0"/>
                <w:numId w:val="101"/>
              </w:numPr>
              <w:ind w:left="34" w:firstLine="0"/>
              <w:contextualSpacing/>
              <w:jc w:val="left"/>
              <w:rPr>
                <w:sz w:val="24"/>
                <w:szCs w:val="24"/>
              </w:rPr>
            </w:pPr>
            <w:r w:rsidRPr="009450D2">
              <w:rPr>
                <w:sz w:val="24"/>
                <w:szCs w:val="24"/>
              </w:rPr>
              <w:t>ПУР АСС =&gt; График платежей =&gt;</w:t>
            </w:r>
          </w:p>
          <w:p w:rsidR="00D95FA6" w:rsidRPr="009450D2" w:rsidRDefault="00D95FA6" w:rsidP="00D95FA6">
            <w:pPr>
              <w:pStyle w:val="afff6"/>
              <w:ind w:left="34" w:firstLine="0"/>
              <w:jc w:val="left"/>
              <w:rPr>
                <w:sz w:val="24"/>
                <w:szCs w:val="24"/>
              </w:rPr>
            </w:pPr>
            <w:r w:rsidRPr="009450D2">
              <w:rPr>
                <w:sz w:val="24"/>
                <w:szCs w:val="24"/>
              </w:rPr>
              <w:t>- Сумма в рублях</w:t>
            </w:r>
          </w:p>
          <w:p w:rsidR="00D95FA6" w:rsidRPr="009450D2" w:rsidRDefault="00D95FA6" w:rsidP="00D95FA6">
            <w:pPr>
              <w:pStyle w:val="afff6"/>
              <w:ind w:left="34" w:firstLine="0"/>
              <w:jc w:val="left"/>
              <w:rPr>
                <w:sz w:val="24"/>
                <w:szCs w:val="24"/>
              </w:rPr>
            </w:pPr>
            <w:r w:rsidRPr="009450D2">
              <w:rPr>
                <w:sz w:val="24"/>
                <w:szCs w:val="24"/>
              </w:rPr>
              <w:t>- Год осуществления платежа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12</w:t>
            </w:r>
          </w:p>
        </w:tc>
        <w:tc>
          <w:tcPr>
            <w:tcW w:w="1276" w:type="dxa"/>
          </w:tcPr>
          <w:p w:rsidR="00D95FA6" w:rsidRPr="009450D2" w:rsidRDefault="00D95FA6" w:rsidP="00D95FA6">
            <w:pPr>
              <w:ind w:firstLine="0"/>
              <w:jc w:val="left"/>
              <w:rPr>
                <w:szCs w:val="24"/>
              </w:rPr>
            </w:pPr>
            <w:r w:rsidRPr="009450D2">
              <w:rPr>
                <w:szCs w:val="24"/>
              </w:rPr>
              <w:t>Сумма соглашения на будущие года,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Суммовое значение сумм соглашения по графику соглашения на годы, имеющие значение большее, чем значение в фильтре «Год»+2</w:t>
            </w:r>
          </w:p>
        </w:tc>
        <w:tc>
          <w:tcPr>
            <w:tcW w:w="4111" w:type="dxa"/>
            <w:shd w:val="clear" w:color="auto" w:fill="auto"/>
          </w:tcPr>
          <w:p w:rsidR="00D95FA6" w:rsidRPr="009450D2" w:rsidRDefault="00D95FA6" w:rsidP="005C6E50">
            <w:pPr>
              <w:pStyle w:val="afff6"/>
              <w:numPr>
                <w:ilvl w:val="0"/>
                <w:numId w:val="102"/>
              </w:numPr>
              <w:ind w:left="34" w:firstLine="0"/>
              <w:contextualSpacing/>
              <w:jc w:val="left"/>
              <w:rPr>
                <w:sz w:val="24"/>
                <w:szCs w:val="24"/>
              </w:rPr>
            </w:pPr>
            <w:r w:rsidRPr="009450D2">
              <w:rPr>
                <w:sz w:val="24"/>
                <w:szCs w:val="24"/>
              </w:rPr>
              <w:t>ПУР АСС =&gt; График платежей =&gt;</w:t>
            </w:r>
          </w:p>
          <w:p w:rsidR="00D95FA6" w:rsidRPr="009450D2" w:rsidRDefault="00D95FA6" w:rsidP="00D95FA6">
            <w:pPr>
              <w:pStyle w:val="afff6"/>
              <w:ind w:left="34" w:firstLine="0"/>
              <w:jc w:val="left"/>
              <w:rPr>
                <w:sz w:val="24"/>
                <w:szCs w:val="24"/>
              </w:rPr>
            </w:pPr>
            <w:r w:rsidRPr="009450D2">
              <w:rPr>
                <w:sz w:val="24"/>
                <w:szCs w:val="24"/>
              </w:rPr>
              <w:t>- Сумма в рублях</w:t>
            </w:r>
          </w:p>
          <w:p w:rsidR="00D95FA6" w:rsidRPr="009450D2" w:rsidRDefault="00D95FA6" w:rsidP="00D95FA6">
            <w:pPr>
              <w:pStyle w:val="afff6"/>
              <w:ind w:left="34" w:firstLine="0"/>
              <w:jc w:val="left"/>
              <w:rPr>
                <w:sz w:val="24"/>
                <w:szCs w:val="24"/>
              </w:rPr>
            </w:pPr>
            <w:r w:rsidRPr="009450D2">
              <w:rPr>
                <w:sz w:val="24"/>
                <w:szCs w:val="24"/>
              </w:rPr>
              <w:t>- Год осуществления платежа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13</w:t>
            </w:r>
          </w:p>
        </w:tc>
        <w:tc>
          <w:tcPr>
            <w:tcW w:w="1276" w:type="dxa"/>
          </w:tcPr>
          <w:p w:rsidR="00D95FA6" w:rsidRPr="009450D2" w:rsidRDefault="00D95FA6" w:rsidP="00D95FA6">
            <w:pPr>
              <w:ind w:firstLine="0"/>
              <w:jc w:val="left"/>
              <w:rPr>
                <w:szCs w:val="24"/>
              </w:rPr>
            </w:pPr>
            <w:r w:rsidRPr="009450D2">
              <w:rPr>
                <w:szCs w:val="24"/>
              </w:rPr>
              <w:t>Исполнено всего,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Сумма по ИПС с верхним ограничением года выбранного в фильтре «Год» включительно</w:t>
            </w:r>
          </w:p>
        </w:tc>
        <w:tc>
          <w:tcPr>
            <w:tcW w:w="4111" w:type="dxa"/>
            <w:shd w:val="clear" w:color="auto" w:fill="auto"/>
          </w:tcPr>
          <w:p w:rsidR="00D95FA6" w:rsidRPr="009450D2" w:rsidRDefault="00D95FA6" w:rsidP="005C6E50">
            <w:pPr>
              <w:pStyle w:val="afff6"/>
              <w:numPr>
                <w:ilvl w:val="0"/>
                <w:numId w:val="103"/>
              </w:numPr>
              <w:ind w:left="34" w:firstLine="0"/>
              <w:contextualSpacing/>
              <w:jc w:val="left"/>
              <w:rPr>
                <w:sz w:val="24"/>
                <w:szCs w:val="24"/>
              </w:rPr>
            </w:pPr>
            <w:r w:rsidRPr="009450D2">
              <w:rPr>
                <w:sz w:val="24"/>
                <w:szCs w:val="24"/>
              </w:rPr>
              <w:t>ПУР АСС =&gt; Перечень ИПС =&gt;</w:t>
            </w:r>
          </w:p>
          <w:p w:rsidR="00D95FA6" w:rsidRPr="009450D2" w:rsidRDefault="00D95FA6" w:rsidP="00D95FA6">
            <w:pPr>
              <w:pStyle w:val="afff6"/>
              <w:ind w:left="34" w:firstLine="0"/>
              <w:jc w:val="left"/>
              <w:rPr>
                <w:sz w:val="24"/>
                <w:szCs w:val="24"/>
              </w:rPr>
            </w:pPr>
            <w:r w:rsidRPr="009450D2">
              <w:rPr>
                <w:sz w:val="24"/>
                <w:szCs w:val="24"/>
              </w:rPr>
              <w:t>- Дата платежного документа</w:t>
            </w:r>
          </w:p>
          <w:p w:rsidR="00D95FA6" w:rsidRPr="009450D2" w:rsidRDefault="00D95FA6" w:rsidP="00D95FA6">
            <w:pPr>
              <w:pStyle w:val="afff6"/>
              <w:ind w:left="34" w:firstLine="0"/>
              <w:jc w:val="left"/>
              <w:rPr>
                <w:sz w:val="24"/>
                <w:szCs w:val="24"/>
              </w:rPr>
            </w:pPr>
            <w:r w:rsidRPr="009450D2">
              <w:rPr>
                <w:sz w:val="24"/>
                <w:szCs w:val="24"/>
              </w:rPr>
              <w:t>- Сумма в рублях</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14</w:t>
            </w:r>
          </w:p>
        </w:tc>
        <w:tc>
          <w:tcPr>
            <w:tcW w:w="1276" w:type="dxa"/>
          </w:tcPr>
          <w:p w:rsidR="00D95FA6" w:rsidRPr="009450D2" w:rsidRDefault="00D95FA6" w:rsidP="00D95FA6">
            <w:pPr>
              <w:ind w:firstLine="0"/>
              <w:jc w:val="left"/>
              <w:rPr>
                <w:szCs w:val="24"/>
              </w:rPr>
            </w:pPr>
            <w:r w:rsidRPr="009450D2">
              <w:rPr>
                <w:szCs w:val="24"/>
              </w:rPr>
              <w:t>Исполнено в ‘выбранное значение в фильтре «Год»’ году, ‘динамическое значение единиц измерения, зависящее от значения в фильтре «Единицы измерения»’</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r w:rsidRPr="009450D2">
              <w:rPr>
                <w:szCs w:val="24"/>
              </w:rPr>
              <w:t>Сумма по ИПС на выбранное значение года в фильтре «Год»</w:t>
            </w:r>
          </w:p>
        </w:tc>
        <w:tc>
          <w:tcPr>
            <w:tcW w:w="4111" w:type="dxa"/>
            <w:shd w:val="clear" w:color="auto" w:fill="auto"/>
          </w:tcPr>
          <w:p w:rsidR="00D95FA6" w:rsidRPr="009450D2" w:rsidRDefault="00D95FA6" w:rsidP="005C6E50">
            <w:pPr>
              <w:pStyle w:val="afff6"/>
              <w:numPr>
                <w:ilvl w:val="0"/>
                <w:numId w:val="104"/>
              </w:numPr>
              <w:ind w:left="34" w:firstLine="0"/>
              <w:contextualSpacing/>
              <w:jc w:val="left"/>
              <w:rPr>
                <w:sz w:val="24"/>
                <w:szCs w:val="24"/>
              </w:rPr>
            </w:pPr>
            <w:r w:rsidRPr="009450D2">
              <w:rPr>
                <w:sz w:val="24"/>
                <w:szCs w:val="24"/>
              </w:rPr>
              <w:t>ПУР АСС =&gt; Перечень ИПС =&gt;</w:t>
            </w:r>
          </w:p>
          <w:p w:rsidR="00D95FA6" w:rsidRPr="009450D2" w:rsidRDefault="00D95FA6" w:rsidP="00D95FA6">
            <w:pPr>
              <w:pStyle w:val="afff6"/>
              <w:ind w:left="34" w:firstLine="0"/>
              <w:jc w:val="left"/>
              <w:rPr>
                <w:sz w:val="24"/>
                <w:szCs w:val="24"/>
              </w:rPr>
            </w:pPr>
            <w:r w:rsidRPr="009450D2">
              <w:rPr>
                <w:sz w:val="24"/>
                <w:szCs w:val="24"/>
              </w:rPr>
              <w:t>- Дата платежного документа</w:t>
            </w:r>
          </w:p>
          <w:p w:rsidR="00D95FA6" w:rsidRPr="009450D2" w:rsidRDefault="00D95FA6" w:rsidP="00D95FA6">
            <w:pPr>
              <w:pStyle w:val="afff6"/>
              <w:ind w:left="34" w:firstLine="0"/>
              <w:jc w:val="left"/>
              <w:rPr>
                <w:sz w:val="24"/>
                <w:szCs w:val="24"/>
              </w:rPr>
            </w:pPr>
            <w:r w:rsidRPr="009450D2">
              <w:rPr>
                <w:sz w:val="24"/>
                <w:szCs w:val="24"/>
              </w:rPr>
              <w:t>- Сумма в рублях</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15</w:t>
            </w:r>
          </w:p>
        </w:tc>
        <w:tc>
          <w:tcPr>
            <w:tcW w:w="1276" w:type="dxa"/>
          </w:tcPr>
          <w:p w:rsidR="00D95FA6" w:rsidRPr="009450D2" w:rsidRDefault="00D95FA6" w:rsidP="00D95FA6">
            <w:pPr>
              <w:ind w:firstLine="0"/>
              <w:jc w:val="left"/>
              <w:rPr>
                <w:szCs w:val="24"/>
              </w:rPr>
            </w:pPr>
            <w:r w:rsidRPr="009450D2">
              <w:rPr>
                <w:szCs w:val="24"/>
              </w:rPr>
              <w:t>% исполнения в ‘выбранное значение в фильтре «Год»’ году</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r w:rsidRPr="009450D2">
              <w:rPr>
                <w:szCs w:val="24"/>
              </w:rPr>
              <w:t>Расчетный показатель, равный отношению значения в колонке 14 к значению в колонке 9, имеющий процентный формат отображения</w:t>
            </w:r>
          </w:p>
        </w:tc>
        <w:tc>
          <w:tcPr>
            <w:tcW w:w="4111" w:type="dxa"/>
          </w:tcPr>
          <w:p w:rsidR="00D95FA6" w:rsidRPr="009450D2" w:rsidRDefault="00D95FA6" w:rsidP="00D95FA6">
            <w:pPr>
              <w:ind w:left="34" w:firstLine="0"/>
              <w:jc w:val="left"/>
              <w:rPr>
                <w:szCs w:val="24"/>
              </w:rPr>
            </w:pP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16</w:t>
            </w:r>
          </w:p>
        </w:tc>
        <w:tc>
          <w:tcPr>
            <w:tcW w:w="1276" w:type="dxa"/>
          </w:tcPr>
          <w:p w:rsidR="00D95FA6" w:rsidRPr="009450D2" w:rsidRDefault="00D95FA6" w:rsidP="00D95FA6">
            <w:pPr>
              <w:ind w:firstLine="0"/>
              <w:jc w:val="left"/>
              <w:rPr>
                <w:szCs w:val="24"/>
              </w:rPr>
            </w:pPr>
            <w:r w:rsidRPr="009450D2">
              <w:rPr>
                <w:szCs w:val="24"/>
              </w:rPr>
              <w:t>% исполнения всего</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Расчетный показатель, равный отношению значения в колонке 13 к значению в колонке 7, имеющий процентный формат отображения</w:t>
            </w:r>
          </w:p>
        </w:tc>
        <w:tc>
          <w:tcPr>
            <w:tcW w:w="4111" w:type="dxa"/>
          </w:tcPr>
          <w:p w:rsidR="00D95FA6" w:rsidRPr="009450D2" w:rsidRDefault="00D95FA6" w:rsidP="00D95FA6">
            <w:pPr>
              <w:ind w:left="34" w:firstLine="0"/>
              <w:jc w:val="left"/>
              <w:rPr>
                <w:szCs w:val="24"/>
              </w:rPr>
            </w:pPr>
          </w:p>
        </w:tc>
      </w:tr>
      <w:tr w:rsidR="00D95FA6" w:rsidRPr="009450D2" w:rsidTr="00D95FA6">
        <w:tc>
          <w:tcPr>
            <w:tcW w:w="10348" w:type="dxa"/>
            <w:gridSpan w:val="5"/>
            <w:shd w:val="clear" w:color="auto" w:fill="D9D9D9" w:themeFill="background1" w:themeFillShade="D9"/>
          </w:tcPr>
          <w:p w:rsidR="00D95FA6" w:rsidRPr="009450D2" w:rsidRDefault="00D95FA6" w:rsidP="00D95FA6">
            <w:pPr>
              <w:ind w:left="34" w:firstLine="0"/>
              <w:jc w:val="center"/>
              <w:rPr>
                <w:szCs w:val="24"/>
              </w:rPr>
            </w:pPr>
            <w:r w:rsidRPr="009450D2">
              <w:rPr>
                <w:szCs w:val="24"/>
              </w:rPr>
              <w:t>Блок реквизитов распорядителей и получателей бюджетных средств</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17</w:t>
            </w:r>
          </w:p>
        </w:tc>
        <w:tc>
          <w:tcPr>
            <w:tcW w:w="1276" w:type="dxa"/>
          </w:tcPr>
          <w:p w:rsidR="00D95FA6" w:rsidRPr="009450D2" w:rsidRDefault="00D95FA6" w:rsidP="00D95FA6">
            <w:pPr>
              <w:ind w:firstLine="0"/>
              <w:jc w:val="left"/>
              <w:rPr>
                <w:szCs w:val="24"/>
              </w:rPr>
            </w:pPr>
            <w:r w:rsidRPr="009450D2">
              <w:rPr>
                <w:szCs w:val="24"/>
              </w:rPr>
              <w:t>Код ГРБС</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18</w:t>
            </w:r>
          </w:p>
        </w:tc>
        <w:tc>
          <w:tcPr>
            <w:tcW w:w="1276" w:type="dxa"/>
          </w:tcPr>
          <w:p w:rsidR="00D95FA6" w:rsidRPr="009450D2" w:rsidRDefault="00D95FA6" w:rsidP="00D95FA6">
            <w:pPr>
              <w:ind w:firstLine="0"/>
              <w:jc w:val="left"/>
              <w:rPr>
                <w:szCs w:val="24"/>
              </w:rPr>
            </w:pPr>
            <w:r w:rsidRPr="009450D2">
              <w:rPr>
                <w:szCs w:val="24"/>
              </w:rPr>
              <w:t>Наименование ГРБС</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19</w:t>
            </w:r>
          </w:p>
        </w:tc>
        <w:tc>
          <w:tcPr>
            <w:tcW w:w="1276" w:type="dxa"/>
          </w:tcPr>
          <w:p w:rsidR="00D95FA6" w:rsidRPr="009450D2" w:rsidRDefault="00D95FA6" w:rsidP="00D95FA6">
            <w:pPr>
              <w:ind w:firstLine="0"/>
              <w:jc w:val="left"/>
              <w:rPr>
                <w:szCs w:val="24"/>
              </w:rPr>
            </w:pPr>
            <w:r w:rsidRPr="009450D2">
              <w:rPr>
                <w:szCs w:val="24"/>
              </w:rPr>
              <w:t>Наименование получателя</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получателя субсидии =&gt; Полное наименование юридического лица/ФИО физического лица на русском языке</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20</w:t>
            </w:r>
          </w:p>
        </w:tc>
        <w:tc>
          <w:tcPr>
            <w:tcW w:w="1276" w:type="dxa"/>
          </w:tcPr>
          <w:p w:rsidR="00D95FA6" w:rsidRPr="009450D2" w:rsidRDefault="00D95FA6" w:rsidP="00D95FA6">
            <w:pPr>
              <w:ind w:firstLine="0"/>
              <w:jc w:val="left"/>
              <w:rPr>
                <w:szCs w:val="24"/>
              </w:rPr>
            </w:pPr>
            <w:r w:rsidRPr="009450D2">
              <w:rPr>
                <w:szCs w:val="24"/>
              </w:rPr>
              <w:t>Код получателя по СвР</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получателя субсидии =&gt; Код по сводному реестру</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21</w:t>
            </w:r>
          </w:p>
        </w:tc>
        <w:tc>
          <w:tcPr>
            <w:tcW w:w="1276" w:type="dxa"/>
          </w:tcPr>
          <w:p w:rsidR="00D95FA6" w:rsidRPr="009450D2" w:rsidRDefault="00D95FA6" w:rsidP="00D95FA6">
            <w:pPr>
              <w:ind w:firstLine="0"/>
              <w:jc w:val="left"/>
              <w:rPr>
                <w:szCs w:val="24"/>
              </w:rPr>
            </w:pPr>
            <w:r w:rsidRPr="009450D2">
              <w:rPr>
                <w:szCs w:val="24"/>
              </w:rPr>
              <w:t>ИНН получателя</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получателя субсидии =&gt; ИНН</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22</w:t>
            </w:r>
          </w:p>
        </w:tc>
        <w:tc>
          <w:tcPr>
            <w:tcW w:w="1276" w:type="dxa"/>
          </w:tcPr>
          <w:p w:rsidR="00D95FA6" w:rsidRPr="009450D2" w:rsidRDefault="00D95FA6" w:rsidP="00D95FA6">
            <w:pPr>
              <w:ind w:firstLine="0"/>
              <w:jc w:val="left"/>
              <w:rPr>
                <w:szCs w:val="24"/>
              </w:rPr>
            </w:pPr>
            <w:r w:rsidRPr="009450D2">
              <w:rPr>
                <w:szCs w:val="24"/>
              </w:rPr>
              <w:t>КПП получателя</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Реквизиты получателя субсидии =&gt; КПП</w:t>
            </w:r>
          </w:p>
        </w:tc>
      </w:tr>
      <w:tr w:rsidR="00D95FA6" w:rsidRPr="009450D2" w:rsidTr="00D95FA6">
        <w:tc>
          <w:tcPr>
            <w:tcW w:w="10348" w:type="dxa"/>
            <w:gridSpan w:val="5"/>
          </w:tcPr>
          <w:p w:rsidR="00D95FA6" w:rsidRPr="009450D2" w:rsidRDefault="00D95FA6" w:rsidP="00D95FA6">
            <w:pPr>
              <w:shd w:val="clear" w:color="auto" w:fill="D9D9D9" w:themeFill="background1" w:themeFillShade="D9"/>
              <w:ind w:left="34" w:firstLine="0"/>
              <w:jc w:val="center"/>
              <w:rPr>
                <w:szCs w:val="24"/>
              </w:rPr>
            </w:pPr>
            <w:r w:rsidRPr="009450D2">
              <w:rPr>
                <w:szCs w:val="24"/>
              </w:rPr>
              <w:t>Блок по отчетам о достижении результатов (по календарю предоставления отчетности)</w:t>
            </w:r>
          </w:p>
          <w:p w:rsidR="00D95FA6" w:rsidRPr="009450D2" w:rsidRDefault="00D95FA6" w:rsidP="00D95FA6">
            <w:pPr>
              <w:ind w:left="34" w:firstLine="0"/>
              <w:jc w:val="left"/>
              <w:rPr>
                <w:szCs w:val="24"/>
              </w:rPr>
            </w:pPr>
            <w:r w:rsidRPr="009450D2">
              <w:rPr>
                <w:szCs w:val="24"/>
              </w:rPr>
              <w:t>Общая логика проверки корректности формирования значений в колонках:</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Колонка 23 = Колонка 24 + Колонка 25</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Колонка 25 = Колонка 26 + Колонка 27 + Колонка 28</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23</w:t>
            </w:r>
          </w:p>
        </w:tc>
        <w:tc>
          <w:tcPr>
            <w:tcW w:w="1276" w:type="dxa"/>
          </w:tcPr>
          <w:p w:rsidR="00D95FA6" w:rsidRPr="009450D2" w:rsidRDefault="00D95FA6" w:rsidP="00D95FA6">
            <w:pPr>
              <w:ind w:firstLine="0"/>
              <w:jc w:val="left"/>
              <w:rPr>
                <w:szCs w:val="24"/>
              </w:rPr>
            </w:pPr>
            <w:r w:rsidRPr="009450D2">
              <w:rPr>
                <w:szCs w:val="24"/>
              </w:rPr>
              <w:t>Плановое количество отчетов,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8"/>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D95FA6" w:rsidRPr="009450D2" w:rsidRDefault="00D95FA6" w:rsidP="005C6E50">
            <w:pPr>
              <w:pStyle w:val="afff6"/>
              <w:numPr>
                <w:ilvl w:val="0"/>
                <w:numId w:val="108"/>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D95FA6">
            <w:pPr>
              <w:ind w:left="34" w:firstLine="0"/>
              <w:jc w:val="left"/>
              <w:rPr>
                <w:szCs w:val="24"/>
              </w:rPr>
            </w:pPr>
            <w:r w:rsidRPr="009450D2">
              <w:rPr>
                <w:szCs w:val="24"/>
              </w:rPr>
              <w:t>ПУР АСС =&gt; Календарь предоставления отчетности =&gt; Тип отчета =&gt; отчет о достижении значений показателей результативности =&gt; Дата на которую сформирован отчет</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24</w:t>
            </w:r>
          </w:p>
        </w:tc>
        <w:tc>
          <w:tcPr>
            <w:tcW w:w="1276" w:type="dxa"/>
          </w:tcPr>
          <w:p w:rsidR="00D95FA6" w:rsidRPr="009450D2" w:rsidRDefault="00D95FA6" w:rsidP="00D95FA6">
            <w:pPr>
              <w:ind w:firstLine="0"/>
              <w:jc w:val="left"/>
              <w:rPr>
                <w:szCs w:val="24"/>
              </w:rPr>
            </w:pPr>
            <w:r w:rsidRPr="009450D2">
              <w:rPr>
                <w:szCs w:val="24"/>
              </w:rPr>
              <w:t>Срок сдачи отчета не наступил,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5"/>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достижении значений показателей результативности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25</w:t>
            </w:r>
          </w:p>
        </w:tc>
        <w:tc>
          <w:tcPr>
            <w:tcW w:w="1276" w:type="dxa"/>
          </w:tcPr>
          <w:p w:rsidR="00D95FA6" w:rsidRPr="009450D2" w:rsidRDefault="00D95FA6" w:rsidP="00D95FA6">
            <w:pPr>
              <w:ind w:firstLine="0"/>
              <w:jc w:val="left"/>
              <w:rPr>
                <w:szCs w:val="24"/>
              </w:rPr>
            </w:pPr>
            <w:r w:rsidRPr="009450D2">
              <w:rPr>
                <w:szCs w:val="24"/>
              </w:rPr>
              <w:t>Срок сдачи отчета наступил,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достижении значений показателей результативности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26</w:t>
            </w:r>
          </w:p>
        </w:tc>
        <w:tc>
          <w:tcPr>
            <w:tcW w:w="1276" w:type="dxa"/>
          </w:tcPr>
          <w:p w:rsidR="00D95FA6" w:rsidRPr="009450D2" w:rsidRDefault="00D95FA6" w:rsidP="00D95FA6">
            <w:pPr>
              <w:ind w:firstLine="0"/>
              <w:jc w:val="left"/>
              <w:rPr>
                <w:szCs w:val="24"/>
              </w:rPr>
            </w:pPr>
            <w:r w:rsidRPr="009450D2">
              <w:rPr>
                <w:szCs w:val="24"/>
              </w:rPr>
              <w:t>Отчеты сданы в срок,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6"/>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достижении значений показателей результативности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27</w:t>
            </w:r>
          </w:p>
        </w:tc>
        <w:tc>
          <w:tcPr>
            <w:tcW w:w="1276" w:type="dxa"/>
          </w:tcPr>
          <w:p w:rsidR="00D95FA6" w:rsidRPr="009450D2" w:rsidRDefault="00D95FA6" w:rsidP="00D95FA6">
            <w:pPr>
              <w:ind w:firstLine="0"/>
              <w:jc w:val="left"/>
              <w:rPr>
                <w:szCs w:val="24"/>
              </w:rPr>
            </w:pPr>
            <w:r w:rsidRPr="009450D2">
              <w:rPr>
                <w:szCs w:val="24"/>
              </w:rPr>
              <w:t>Отчеты сданы с нарушением срока,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достижении значений показателей результативности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28</w:t>
            </w:r>
          </w:p>
        </w:tc>
        <w:tc>
          <w:tcPr>
            <w:tcW w:w="1276" w:type="dxa"/>
          </w:tcPr>
          <w:p w:rsidR="00D95FA6" w:rsidRPr="009450D2" w:rsidRDefault="00D95FA6" w:rsidP="00D95FA6">
            <w:pPr>
              <w:ind w:firstLine="0"/>
              <w:jc w:val="left"/>
              <w:rPr>
                <w:szCs w:val="24"/>
              </w:rPr>
            </w:pPr>
            <w:r w:rsidRPr="009450D2">
              <w:rPr>
                <w:szCs w:val="24"/>
              </w:rPr>
              <w:t>Не представлены отчеты о достижении результатов,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9"/>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достижении значений показателей результативности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10348" w:type="dxa"/>
            <w:gridSpan w:val="5"/>
          </w:tcPr>
          <w:p w:rsidR="00D95FA6" w:rsidRPr="009450D2" w:rsidRDefault="00D95FA6" w:rsidP="00D95FA6">
            <w:pPr>
              <w:shd w:val="clear" w:color="auto" w:fill="D9D9D9" w:themeFill="background1" w:themeFillShade="D9"/>
              <w:ind w:left="34" w:firstLine="0"/>
              <w:jc w:val="center"/>
              <w:rPr>
                <w:szCs w:val="24"/>
              </w:rPr>
            </w:pPr>
            <w:r w:rsidRPr="009450D2">
              <w:rPr>
                <w:szCs w:val="24"/>
              </w:rPr>
              <w:t>Блок по количеству значений результатов</w:t>
            </w:r>
          </w:p>
          <w:p w:rsidR="00D95FA6" w:rsidRPr="009450D2" w:rsidRDefault="00D95FA6" w:rsidP="00D95FA6">
            <w:pPr>
              <w:ind w:left="34" w:firstLine="0"/>
              <w:jc w:val="left"/>
              <w:rPr>
                <w:szCs w:val="24"/>
              </w:rPr>
            </w:pPr>
            <w:r w:rsidRPr="009450D2">
              <w:rPr>
                <w:szCs w:val="24"/>
              </w:rPr>
              <w:t>При подсчете значений результатов учитывается лишь последний сданный отчет (актуальный).</w:t>
            </w:r>
          </w:p>
          <w:p w:rsidR="00D95FA6" w:rsidRPr="009450D2" w:rsidRDefault="00D95FA6" w:rsidP="00D95FA6">
            <w:pPr>
              <w:ind w:left="34" w:firstLine="0"/>
              <w:jc w:val="left"/>
              <w:rPr>
                <w:szCs w:val="24"/>
              </w:rPr>
            </w:pPr>
            <w:r w:rsidRPr="009450D2">
              <w:rPr>
                <w:szCs w:val="24"/>
              </w:rPr>
              <w:t>Отчеты, сданные первого числа нового года, относятся к предыдущему.</w:t>
            </w:r>
          </w:p>
          <w:p w:rsidR="00D95FA6" w:rsidRPr="009450D2" w:rsidRDefault="00D95FA6" w:rsidP="00D95FA6">
            <w:pPr>
              <w:ind w:left="34" w:firstLine="0"/>
              <w:jc w:val="left"/>
              <w:rPr>
                <w:szCs w:val="24"/>
              </w:rPr>
            </w:pPr>
            <w:r w:rsidRPr="009450D2">
              <w:rPr>
                <w:szCs w:val="24"/>
              </w:rPr>
              <w:t>Общая логика проверки корректности формирования значений в колонках:</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Колонка 29 = Колонка 30 + Колонка 33 + Колонка 34</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Колонка 30 = Колонка 31 + Колонка 32</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29</w:t>
            </w:r>
          </w:p>
        </w:tc>
        <w:tc>
          <w:tcPr>
            <w:tcW w:w="1276" w:type="dxa"/>
          </w:tcPr>
          <w:p w:rsidR="00D95FA6" w:rsidRPr="009450D2" w:rsidRDefault="00D95FA6" w:rsidP="00D95FA6">
            <w:pPr>
              <w:ind w:firstLine="0"/>
              <w:jc w:val="left"/>
              <w:rPr>
                <w:szCs w:val="24"/>
              </w:rPr>
            </w:pPr>
            <w:r w:rsidRPr="009450D2">
              <w:rPr>
                <w:szCs w:val="24"/>
              </w:rPr>
              <w:t>Запланированных,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Значение показателя по годам достижения =&gt; Срок (год), на который запланировано достижение показателя результативности (результата)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30</w:t>
            </w:r>
          </w:p>
        </w:tc>
        <w:tc>
          <w:tcPr>
            <w:tcW w:w="1276" w:type="dxa"/>
          </w:tcPr>
          <w:p w:rsidR="00D95FA6" w:rsidRPr="009450D2" w:rsidRDefault="00D95FA6" w:rsidP="00D95FA6">
            <w:pPr>
              <w:ind w:firstLine="0"/>
              <w:jc w:val="left"/>
              <w:rPr>
                <w:szCs w:val="24"/>
              </w:rPr>
            </w:pPr>
            <w:r w:rsidRPr="009450D2">
              <w:rPr>
                <w:szCs w:val="24"/>
              </w:rPr>
              <w:t>Достигнутых в полном объеме,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pStyle w:val="afff6"/>
              <w:ind w:left="34" w:firstLine="0"/>
              <w:jc w:val="left"/>
              <w:rPr>
                <w:sz w:val="24"/>
                <w:szCs w:val="24"/>
              </w:rPr>
            </w:pPr>
            <w:r w:rsidRPr="009450D2">
              <w:rPr>
                <w:sz w:val="24"/>
                <w:szCs w:val="24"/>
              </w:rPr>
              <w:t>- Значение показателя результативности</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31</w:t>
            </w:r>
          </w:p>
        </w:tc>
        <w:tc>
          <w:tcPr>
            <w:tcW w:w="1276" w:type="dxa"/>
          </w:tcPr>
          <w:p w:rsidR="00D95FA6" w:rsidRPr="009450D2" w:rsidRDefault="00D95FA6" w:rsidP="00D95FA6">
            <w:pPr>
              <w:ind w:firstLine="0"/>
              <w:jc w:val="left"/>
              <w:rPr>
                <w:szCs w:val="24"/>
              </w:rPr>
            </w:pPr>
            <w:r w:rsidRPr="009450D2">
              <w:rPr>
                <w:szCs w:val="24"/>
              </w:rPr>
              <w:t>Достигнутых в полном объеме в срок,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достижения меньше либо равна «Плановой дате»</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ind w:left="34" w:firstLine="0"/>
              <w:jc w:val="left"/>
              <w:rPr>
                <w:szCs w:val="24"/>
              </w:rPr>
            </w:pPr>
            <w:r w:rsidRPr="009450D2">
              <w:rPr>
                <w:szCs w:val="24"/>
              </w:rPr>
              <w:t>- Значение показателя результативности</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32</w:t>
            </w:r>
          </w:p>
        </w:tc>
        <w:tc>
          <w:tcPr>
            <w:tcW w:w="1276" w:type="dxa"/>
          </w:tcPr>
          <w:p w:rsidR="00D95FA6" w:rsidRPr="009450D2" w:rsidRDefault="00D95FA6" w:rsidP="00D95FA6">
            <w:pPr>
              <w:ind w:firstLine="0"/>
              <w:jc w:val="left"/>
              <w:rPr>
                <w:szCs w:val="24"/>
              </w:rPr>
            </w:pPr>
            <w:r w:rsidRPr="009450D2">
              <w:rPr>
                <w:szCs w:val="24"/>
              </w:rPr>
              <w:t>Достигнутых в полном объеме с нарушением срока,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больше либо равно 100%, а также «Фактическая дата» больше «Плановой даты»</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ind w:left="34" w:firstLine="0"/>
              <w:jc w:val="left"/>
              <w:rPr>
                <w:szCs w:val="24"/>
              </w:rPr>
            </w:pPr>
            <w:r w:rsidRPr="009450D2">
              <w:rPr>
                <w:szCs w:val="24"/>
              </w:rPr>
              <w:t>- Значение показателя результативности</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33</w:t>
            </w:r>
          </w:p>
        </w:tc>
        <w:tc>
          <w:tcPr>
            <w:tcW w:w="1276" w:type="dxa"/>
          </w:tcPr>
          <w:p w:rsidR="00D95FA6" w:rsidRPr="009450D2" w:rsidRDefault="00D95FA6" w:rsidP="00D95FA6">
            <w:pPr>
              <w:ind w:firstLine="0"/>
              <w:jc w:val="left"/>
              <w:rPr>
                <w:szCs w:val="24"/>
              </w:rPr>
            </w:pPr>
            <w:r w:rsidRPr="009450D2">
              <w:rPr>
                <w:szCs w:val="24"/>
              </w:rPr>
              <w:t>Не достигнутых в полном объеме (в срок),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больше «Плановой даты» сдачи отчета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ind w:left="34" w:firstLine="0"/>
              <w:jc w:val="left"/>
              <w:rPr>
                <w:szCs w:val="24"/>
              </w:rPr>
            </w:pPr>
            <w:r w:rsidRPr="009450D2">
              <w:rPr>
                <w:szCs w:val="24"/>
              </w:rPr>
              <w:t>- Значение показателя результативности</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34</w:t>
            </w:r>
          </w:p>
        </w:tc>
        <w:tc>
          <w:tcPr>
            <w:tcW w:w="1276" w:type="dxa"/>
          </w:tcPr>
          <w:p w:rsidR="00D95FA6" w:rsidRPr="009450D2" w:rsidRDefault="00D95FA6" w:rsidP="00D95FA6">
            <w:pPr>
              <w:ind w:firstLine="0"/>
              <w:jc w:val="left"/>
              <w:rPr>
                <w:szCs w:val="24"/>
              </w:rPr>
            </w:pPr>
            <w:r w:rsidRPr="009450D2">
              <w:rPr>
                <w:szCs w:val="24"/>
              </w:rPr>
              <w:t>Не достигнутых в полном объеме (срок не наступил),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Подсчет количества уникальных значений результатов по соглашению на выбранное значение года в фильтре «Год», по которым значение достижения меньше 100%, а также текущая дата меньше либо равна «Плановой дате» сдачи отчета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ind w:left="34" w:firstLine="0"/>
              <w:jc w:val="left"/>
              <w:rPr>
                <w:szCs w:val="24"/>
              </w:rPr>
            </w:pPr>
            <w:r w:rsidRPr="009450D2">
              <w:rPr>
                <w:szCs w:val="24"/>
              </w:rPr>
              <w:t>- Значение показателя результативности</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35</w:t>
            </w:r>
          </w:p>
        </w:tc>
        <w:tc>
          <w:tcPr>
            <w:tcW w:w="1276" w:type="dxa"/>
          </w:tcPr>
          <w:p w:rsidR="00D95FA6" w:rsidRPr="009450D2" w:rsidRDefault="00D95FA6" w:rsidP="00D95FA6">
            <w:pPr>
              <w:ind w:firstLine="0"/>
              <w:jc w:val="left"/>
              <w:rPr>
                <w:szCs w:val="24"/>
              </w:rPr>
            </w:pPr>
            <w:r w:rsidRPr="009450D2">
              <w:rPr>
                <w:szCs w:val="24"/>
              </w:rPr>
              <w:t>% достижения результатов</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Расчетный показатель, равный отношению фактического значения результата к плановому, и последующему расчету среднеарифметического значения по всем значениям результатов в рамках соглашения на выбранное значение года в фильтре «Год»</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 xml:space="preserve">ПУР АСС =&gt; Реквизиты соглашения (договора), НПА =&gt; Плановые показатели результативности =&gt; </w:t>
            </w:r>
          </w:p>
          <w:p w:rsidR="00D95FA6" w:rsidRPr="009450D2" w:rsidRDefault="00D95FA6" w:rsidP="00D95FA6">
            <w:pPr>
              <w:pStyle w:val="afff6"/>
              <w:ind w:left="34" w:firstLine="0"/>
              <w:jc w:val="left"/>
              <w:rPr>
                <w:sz w:val="24"/>
                <w:szCs w:val="24"/>
              </w:rPr>
            </w:pPr>
            <w:r w:rsidRPr="009450D2">
              <w:rPr>
                <w:sz w:val="24"/>
                <w:szCs w:val="24"/>
              </w:rPr>
              <w:t>- Номер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результативности/результата федерального (регионального) проекта</w:t>
            </w:r>
          </w:p>
          <w:p w:rsidR="00D95FA6" w:rsidRPr="009450D2" w:rsidRDefault="00D95FA6" w:rsidP="00D95FA6">
            <w:pPr>
              <w:pStyle w:val="afff6"/>
              <w:ind w:left="34" w:firstLine="0"/>
              <w:jc w:val="left"/>
              <w:rPr>
                <w:sz w:val="24"/>
                <w:szCs w:val="24"/>
              </w:rPr>
            </w:pPr>
            <w:r w:rsidRPr="009450D2">
              <w:rPr>
                <w:sz w:val="24"/>
                <w:szCs w:val="24"/>
              </w:rPr>
              <w:t xml:space="preserve">- Значение показателя по годам достижения =&gt; </w:t>
            </w:r>
          </w:p>
          <w:p w:rsidR="00D95FA6" w:rsidRPr="009450D2" w:rsidRDefault="00D95FA6" w:rsidP="00D95FA6">
            <w:pPr>
              <w:pStyle w:val="afff6"/>
              <w:ind w:left="34" w:firstLine="0"/>
              <w:jc w:val="left"/>
              <w:rPr>
                <w:sz w:val="24"/>
                <w:szCs w:val="24"/>
              </w:rPr>
            </w:pPr>
            <w:r w:rsidRPr="009450D2">
              <w:rPr>
                <w:sz w:val="24"/>
                <w:szCs w:val="24"/>
              </w:rPr>
              <w:t xml:space="preserve">        - Срок (год), на который запланировано достижение показателя результативности (результата)</w:t>
            </w:r>
          </w:p>
          <w:p w:rsidR="00D95FA6" w:rsidRPr="009450D2" w:rsidRDefault="00D95FA6" w:rsidP="00D95FA6">
            <w:pPr>
              <w:pStyle w:val="afff6"/>
              <w:ind w:left="34" w:firstLine="0"/>
              <w:jc w:val="left"/>
              <w:rPr>
                <w:sz w:val="24"/>
                <w:szCs w:val="24"/>
              </w:rPr>
            </w:pPr>
            <w:r w:rsidRPr="009450D2">
              <w:rPr>
                <w:sz w:val="24"/>
                <w:szCs w:val="24"/>
              </w:rPr>
              <w:t xml:space="preserve">        - Плановое значение показателя результативности (результата)</w:t>
            </w:r>
          </w:p>
          <w:p w:rsidR="00D95FA6" w:rsidRPr="009450D2" w:rsidRDefault="00D95FA6" w:rsidP="005C6E50">
            <w:pPr>
              <w:pStyle w:val="afff6"/>
              <w:numPr>
                <w:ilvl w:val="0"/>
                <w:numId w:val="96"/>
              </w:numPr>
              <w:ind w:left="34" w:firstLine="0"/>
              <w:contextualSpacing/>
              <w:jc w:val="left"/>
              <w:rPr>
                <w:sz w:val="24"/>
                <w:szCs w:val="24"/>
              </w:rPr>
            </w:pPr>
            <w:r w:rsidRPr="009450D2">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w:t>
            </w:r>
          </w:p>
          <w:p w:rsidR="00D95FA6" w:rsidRPr="009450D2" w:rsidRDefault="00D95FA6" w:rsidP="00D95FA6">
            <w:pPr>
              <w:pStyle w:val="afff6"/>
              <w:ind w:left="34" w:firstLine="0"/>
              <w:jc w:val="left"/>
              <w:rPr>
                <w:sz w:val="24"/>
                <w:szCs w:val="24"/>
              </w:rPr>
            </w:pPr>
            <w:r w:rsidRPr="009450D2">
              <w:rPr>
                <w:sz w:val="24"/>
                <w:szCs w:val="24"/>
              </w:rPr>
              <w:t>- Номер показателя</w:t>
            </w:r>
          </w:p>
          <w:p w:rsidR="00D95FA6" w:rsidRPr="009450D2" w:rsidRDefault="00D95FA6" w:rsidP="00D95FA6">
            <w:pPr>
              <w:pStyle w:val="afff6"/>
              <w:ind w:left="34" w:firstLine="0"/>
              <w:jc w:val="left"/>
              <w:rPr>
                <w:sz w:val="24"/>
                <w:szCs w:val="24"/>
              </w:rPr>
            </w:pPr>
            <w:r w:rsidRPr="009450D2">
              <w:rPr>
                <w:sz w:val="24"/>
                <w:szCs w:val="24"/>
              </w:rPr>
              <w:t>- Наименование показателя результативности</w:t>
            </w:r>
          </w:p>
          <w:p w:rsidR="00D95FA6" w:rsidRPr="009450D2" w:rsidRDefault="00D95FA6" w:rsidP="00D95FA6">
            <w:pPr>
              <w:pStyle w:val="afff6"/>
              <w:ind w:left="34" w:firstLine="0"/>
              <w:jc w:val="left"/>
              <w:rPr>
                <w:sz w:val="24"/>
                <w:szCs w:val="24"/>
              </w:rPr>
            </w:pPr>
            <w:r w:rsidRPr="009450D2">
              <w:rPr>
                <w:sz w:val="24"/>
                <w:szCs w:val="24"/>
              </w:rPr>
              <w:t>- Дата, на которую предоставляется информация</w:t>
            </w:r>
          </w:p>
          <w:p w:rsidR="00D95FA6" w:rsidRPr="009450D2" w:rsidRDefault="00D95FA6" w:rsidP="00D95FA6">
            <w:pPr>
              <w:ind w:left="34" w:firstLine="0"/>
              <w:jc w:val="left"/>
              <w:rPr>
                <w:szCs w:val="24"/>
              </w:rPr>
            </w:pPr>
            <w:r w:rsidRPr="009450D2">
              <w:rPr>
                <w:szCs w:val="24"/>
              </w:rPr>
              <w:t>- Значение показателя результативности</w:t>
            </w:r>
          </w:p>
        </w:tc>
      </w:tr>
      <w:tr w:rsidR="00D95FA6" w:rsidRPr="009450D2" w:rsidTr="00D95FA6">
        <w:tc>
          <w:tcPr>
            <w:tcW w:w="10348" w:type="dxa"/>
            <w:gridSpan w:val="5"/>
          </w:tcPr>
          <w:p w:rsidR="00D95FA6" w:rsidRPr="009450D2" w:rsidRDefault="00D95FA6" w:rsidP="00D95FA6">
            <w:pPr>
              <w:shd w:val="clear" w:color="auto" w:fill="D9D9D9" w:themeFill="background1" w:themeFillShade="D9"/>
              <w:ind w:left="34" w:firstLine="0"/>
              <w:jc w:val="center"/>
              <w:rPr>
                <w:szCs w:val="24"/>
              </w:rPr>
            </w:pPr>
            <w:r w:rsidRPr="009450D2">
              <w:rPr>
                <w:szCs w:val="24"/>
              </w:rPr>
              <w:t>Блок по отчетам об осуществлении расходов (по календарю предоставления отчетности)</w:t>
            </w:r>
          </w:p>
          <w:p w:rsidR="00D95FA6" w:rsidRPr="009450D2" w:rsidRDefault="00D95FA6" w:rsidP="00D95FA6">
            <w:pPr>
              <w:ind w:left="34" w:firstLine="0"/>
              <w:jc w:val="left"/>
              <w:rPr>
                <w:szCs w:val="24"/>
              </w:rPr>
            </w:pPr>
            <w:r w:rsidRPr="009450D2">
              <w:rPr>
                <w:szCs w:val="24"/>
              </w:rPr>
              <w:t>Общая логика проверки корректности формирования значений в колонках:</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Колонка 36 = Колонка 37 + Колонка 38</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Колонка 38 = Колонка 39 + Колонка 40 + Колонка 41</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36</w:t>
            </w:r>
          </w:p>
        </w:tc>
        <w:tc>
          <w:tcPr>
            <w:tcW w:w="1276" w:type="dxa"/>
          </w:tcPr>
          <w:p w:rsidR="00D95FA6" w:rsidRPr="009450D2" w:rsidRDefault="00D95FA6" w:rsidP="00D95FA6">
            <w:pPr>
              <w:ind w:firstLine="0"/>
              <w:jc w:val="left"/>
              <w:rPr>
                <w:szCs w:val="24"/>
              </w:rPr>
            </w:pPr>
            <w:r w:rsidRPr="009450D2">
              <w:rPr>
                <w:szCs w:val="24"/>
              </w:rPr>
              <w:t>Плановое количество отчетов,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с учетом отнесения первого числа нового года к предыдущему</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D95FA6">
            <w:pPr>
              <w:ind w:left="34" w:firstLine="0"/>
              <w:jc w:val="left"/>
              <w:rPr>
                <w:szCs w:val="24"/>
              </w:rPr>
            </w:pPr>
            <w:r w:rsidRPr="009450D2">
              <w:rPr>
                <w:szCs w:val="24"/>
              </w:rPr>
              <w:t>ПУР АСС =&gt; Календарь предоставления отчетности =&gt; Тип отчета =&gt; отчет о расходах =&gt; Дата на которую сформирован отчет</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37</w:t>
            </w:r>
          </w:p>
        </w:tc>
        <w:tc>
          <w:tcPr>
            <w:tcW w:w="1276" w:type="dxa"/>
          </w:tcPr>
          <w:p w:rsidR="00D95FA6" w:rsidRPr="009450D2" w:rsidRDefault="00D95FA6" w:rsidP="00D95FA6">
            <w:pPr>
              <w:ind w:firstLine="0"/>
              <w:jc w:val="left"/>
              <w:rPr>
                <w:szCs w:val="24"/>
              </w:rPr>
            </w:pPr>
            <w:r w:rsidRPr="009450D2">
              <w:rPr>
                <w:szCs w:val="24"/>
              </w:rPr>
              <w:t>Срок сдачи отчета не наступил,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больше либо равны значению текущей даты</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7"/>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расходах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38</w:t>
            </w:r>
          </w:p>
        </w:tc>
        <w:tc>
          <w:tcPr>
            <w:tcW w:w="1276" w:type="dxa"/>
          </w:tcPr>
          <w:p w:rsidR="00D95FA6" w:rsidRPr="009450D2" w:rsidRDefault="00D95FA6" w:rsidP="00D95FA6">
            <w:pPr>
              <w:ind w:firstLine="0"/>
              <w:jc w:val="left"/>
              <w:rPr>
                <w:szCs w:val="24"/>
              </w:rPr>
            </w:pPr>
            <w:r w:rsidRPr="009450D2">
              <w:rPr>
                <w:szCs w:val="24"/>
              </w:rPr>
              <w:t>Срок сдачи отчета наступил,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7"/>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расходах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39</w:t>
            </w:r>
          </w:p>
        </w:tc>
        <w:tc>
          <w:tcPr>
            <w:tcW w:w="1276" w:type="dxa"/>
          </w:tcPr>
          <w:p w:rsidR="00D95FA6" w:rsidRPr="009450D2" w:rsidRDefault="00D95FA6" w:rsidP="00D95FA6">
            <w:pPr>
              <w:ind w:firstLine="0"/>
              <w:jc w:val="left"/>
              <w:rPr>
                <w:szCs w:val="24"/>
              </w:rPr>
            </w:pPr>
            <w:r w:rsidRPr="009450D2">
              <w:rPr>
                <w:szCs w:val="24"/>
              </w:rPr>
              <w:t>Отчеты сданы в срок,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меньше, либо равна «Плановой дате»</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7"/>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расходах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40</w:t>
            </w:r>
          </w:p>
        </w:tc>
        <w:tc>
          <w:tcPr>
            <w:tcW w:w="1276" w:type="dxa"/>
          </w:tcPr>
          <w:p w:rsidR="00D95FA6" w:rsidRPr="009450D2" w:rsidRDefault="00D95FA6" w:rsidP="00D95FA6">
            <w:pPr>
              <w:ind w:firstLine="0"/>
              <w:jc w:val="left"/>
              <w:rPr>
                <w:szCs w:val="24"/>
              </w:rPr>
            </w:pPr>
            <w:r w:rsidRPr="009450D2">
              <w:rPr>
                <w:szCs w:val="24"/>
              </w:rPr>
              <w:t>Отчеты сданы с нарушением срока,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больше «Плановой даты»</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7"/>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расходах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41</w:t>
            </w:r>
          </w:p>
        </w:tc>
        <w:tc>
          <w:tcPr>
            <w:tcW w:w="1276" w:type="dxa"/>
          </w:tcPr>
          <w:p w:rsidR="00D95FA6" w:rsidRPr="009450D2" w:rsidRDefault="00D95FA6" w:rsidP="00D95FA6">
            <w:pPr>
              <w:ind w:firstLine="0"/>
              <w:jc w:val="left"/>
              <w:rPr>
                <w:szCs w:val="24"/>
              </w:rPr>
            </w:pPr>
            <w:r w:rsidRPr="009450D2">
              <w:rPr>
                <w:szCs w:val="24"/>
              </w:rPr>
              <w:t>Не представлены отчеты об осуществлении расходов, ед.</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Подсчет количества «Отчетных дат» по соглашению на выбранное значение года в фильтре «Год», по которым «Плановые даты» меньше значения текущей даты, а также «Фактическая дата» отсутствует</w:t>
            </w:r>
          </w:p>
          <w:p w:rsidR="00D95FA6" w:rsidRPr="009450D2" w:rsidRDefault="00D95FA6" w:rsidP="005C6E50">
            <w:pPr>
              <w:pStyle w:val="afff6"/>
              <w:numPr>
                <w:ilvl w:val="0"/>
                <w:numId w:val="95"/>
              </w:numPr>
              <w:ind w:left="34" w:firstLine="0"/>
              <w:contextualSpacing/>
              <w:jc w:val="left"/>
              <w:rPr>
                <w:sz w:val="24"/>
                <w:szCs w:val="24"/>
              </w:rPr>
            </w:pPr>
            <w:r w:rsidRPr="009450D2">
              <w:rPr>
                <w:sz w:val="24"/>
                <w:szCs w:val="24"/>
              </w:rPr>
              <w:t>Реализован переход в «Реестр соглашений (ЕПБС)» (Вкладка «Отчетность»)</w:t>
            </w:r>
          </w:p>
        </w:tc>
        <w:tc>
          <w:tcPr>
            <w:tcW w:w="4111" w:type="dxa"/>
          </w:tcPr>
          <w:p w:rsidR="00D95FA6" w:rsidRPr="009450D2" w:rsidRDefault="00D95FA6" w:rsidP="005C6E50">
            <w:pPr>
              <w:pStyle w:val="afff6"/>
              <w:numPr>
                <w:ilvl w:val="0"/>
                <w:numId w:val="107"/>
              </w:numPr>
              <w:ind w:left="34" w:firstLine="0"/>
              <w:contextualSpacing/>
              <w:jc w:val="left"/>
              <w:rPr>
                <w:sz w:val="24"/>
                <w:szCs w:val="24"/>
              </w:rPr>
            </w:pPr>
            <w:r w:rsidRPr="009450D2">
              <w:rPr>
                <w:sz w:val="24"/>
                <w:szCs w:val="24"/>
              </w:rPr>
              <w:t>ПУР АСС =&gt; Календарь предоставления отчетности =&gt; Тип отчета =&gt; отчет о расходах =&gt;</w:t>
            </w:r>
          </w:p>
          <w:p w:rsidR="00D95FA6" w:rsidRPr="009450D2" w:rsidRDefault="00D95FA6" w:rsidP="00D95FA6">
            <w:pPr>
              <w:pStyle w:val="afff6"/>
              <w:ind w:left="34" w:firstLine="0"/>
              <w:jc w:val="left"/>
              <w:rPr>
                <w:sz w:val="24"/>
                <w:szCs w:val="24"/>
              </w:rPr>
            </w:pPr>
            <w:r w:rsidRPr="009450D2">
              <w:rPr>
                <w:sz w:val="24"/>
                <w:szCs w:val="24"/>
              </w:rPr>
              <w:t>- Дата на которую сформирован отчет</w:t>
            </w:r>
          </w:p>
          <w:p w:rsidR="00D95FA6" w:rsidRPr="009450D2" w:rsidRDefault="00D95FA6" w:rsidP="00D95FA6">
            <w:pPr>
              <w:pStyle w:val="afff6"/>
              <w:ind w:left="34" w:firstLine="0"/>
              <w:jc w:val="left"/>
              <w:rPr>
                <w:sz w:val="24"/>
                <w:szCs w:val="24"/>
              </w:rPr>
            </w:pPr>
            <w:r w:rsidRPr="009450D2">
              <w:rPr>
                <w:sz w:val="24"/>
                <w:szCs w:val="24"/>
              </w:rPr>
              <w:t>- Плановая дата предоставления отчета</w:t>
            </w:r>
          </w:p>
          <w:p w:rsidR="00D95FA6" w:rsidRPr="009450D2" w:rsidRDefault="00D95FA6" w:rsidP="00D95FA6">
            <w:pPr>
              <w:pStyle w:val="afff6"/>
              <w:ind w:left="34" w:firstLine="0"/>
              <w:jc w:val="left"/>
              <w:rPr>
                <w:sz w:val="24"/>
                <w:szCs w:val="24"/>
              </w:rPr>
            </w:pPr>
            <w:r w:rsidRPr="009450D2">
              <w:rPr>
                <w:sz w:val="24"/>
                <w:szCs w:val="24"/>
              </w:rPr>
              <w:t>- Фактическая дата предоставления первого отчета</w:t>
            </w:r>
          </w:p>
        </w:tc>
      </w:tr>
      <w:tr w:rsidR="00D95FA6" w:rsidRPr="009450D2" w:rsidTr="00D95FA6">
        <w:tc>
          <w:tcPr>
            <w:tcW w:w="10348" w:type="dxa"/>
            <w:gridSpan w:val="5"/>
            <w:shd w:val="clear" w:color="auto" w:fill="D9D9D9" w:themeFill="background1" w:themeFillShade="D9"/>
          </w:tcPr>
          <w:p w:rsidR="00D95FA6" w:rsidRPr="009450D2" w:rsidRDefault="00D95FA6" w:rsidP="00D95FA6">
            <w:pPr>
              <w:ind w:left="34" w:firstLine="0"/>
              <w:jc w:val="center"/>
              <w:rPr>
                <w:szCs w:val="24"/>
              </w:rPr>
            </w:pPr>
            <w:r w:rsidRPr="009450D2">
              <w:rPr>
                <w:szCs w:val="24"/>
              </w:rPr>
              <w:t>Информация по БО</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42</w:t>
            </w:r>
          </w:p>
        </w:tc>
        <w:tc>
          <w:tcPr>
            <w:tcW w:w="1276" w:type="dxa"/>
          </w:tcPr>
          <w:p w:rsidR="00D95FA6" w:rsidRPr="009450D2" w:rsidRDefault="00D95FA6" w:rsidP="00D95FA6">
            <w:pPr>
              <w:ind w:firstLine="0"/>
              <w:jc w:val="left"/>
              <w:rPr>
                <w:szCs w:val="24"/>
                <w:lang w:val="en-US"/>
              </w:rPr>
            </w:pPr>
            <w:r w:rsidRPr="009450D2">
              <w:rPr>
                <w:szCs w:val="24"/>
              </w:rPr>
              <w:t>Учетный номер БО</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Отметка органа ФК =&gt; Номер БО</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43</w:t>
            </w:r>
          </w:p>
        </w:tc>
        <w:tc>
          <w:tcPr>
            <w:tcW w:w="1276" w:type="dxa"/>
          </w:tcPr>
          <w:p w:rsidR="00D95FA6" w:rsidRPr="009450D2" w:rsidRDefault="00D95FA6" w:rsidP="00D95FA6">
            <w:pPr>
              <w:ind w:firstLine="0"/>
              <w:jc w:val="left"/>
              <w:rPr>
                <w:szCs w:val="24"/>
              </w:rPr>
            </w:pPr>
            <w:r w:rsidRPr="009450D2">
              <w:rPr>
                <w:szCs w:val="24"/>
              </w:rPr>
              <w:t>Дата постановки на учет БО</w:t>
            </w:r>
          </w:p>
        </w:tc>
        <w:tc>
          <w:tcPr>
            <w:tcW w:w="992" w:type="dxa"/>
          </w:tcPr>
          <w:p w:rsidR="00D95FA6" w:rsidRPr="009450D2" w:rsidRDefault="00D95FA6" w:rsidP="00D95FA6">
            <w:pPr>
              <w:ind w:left="34" w:firstLine="0"/>
              <w:jc w:val="left"/>
              <w:rPr>
                <w:szCs w:val="24"/>
              </w:rPr>
            </w:pPr>
            <w:r w:rsidRPr="009450D2">
              <w:rPr>
                <w:szCs w:val="24"/>
              </w:rPr>
              <w:t>Раскрыта</w:t>
            </w:r>
          </w:p>
        </w:tc>
        <w:tc>
          <w:tcPr>
            <w:tcW w:w="3402" w:type="dxa"/>
          </w:tcPr>
          <w:p w:rsidR="00D95FA6" w:rsidRPr="009450D2" w:rsidRDefault="00D95FA6" w:rsidP="00D95FA6">
            <w:pPr>
              <w:ind w:left="34" w:firstLine="0"/>
              <w:jc w:val="left"/>
              <w:rPr>
                <w:szCs w:val="24"/>
              </w:rPr>
            </w:pPr>
          </w:p>
        </w:tc>
        <w:tc>
          <w:tcPr>
            <w:tcW w:w="4111" w:type="dxa"/>
          </w:tcPr>
          <w:p w:rsidR="00D95FA6" w:rsidRPr="009450D2" w:rsidRDefault="00D95FA6" w:rsidP="00D95FA6">
            <w:pPr>
              <w:ind w:left="34" w:firstLine="0"/>
              <w:jc w:val="left"/>
              <w:rPr>
                <w:szCs w:val="24"/>
              </w:rPr>
            </w:pPr>
            <w:r w:rsidRPr="009450D2">
              <w:rPr>
                <w:szCs w:val="24"/>
              </w:rPr>
              <w:t>ПУР АСС =&gt; Отметка органа ФК =&gt; Дата отражения на Л/С</w:t>
            </w:r>
          </w:p>
        </w:tc>
      </w:tr>
      <w:tr w:rsidR="00D95FA6" w:rsidRPr="009450D2" w:rsidTr="00D95FA6">
        <w:tc>
          <w:tcPr>
            <w:tcW w:w="10348" w:type="dxa"/>
            <w:gridSpan w:val="5"/>
            <w:shd w:val="clear" w:color="auto" w:fill="D9D9D9" w:themeFill="background1" w:themeFillShade="D9"/>
          </w:tcPr>
          <w:p w:rsidR="00D95FA6" w:rsidRPr="009450D2" w:rsidRDefault="00D95FA6" w:rsidP="00D95FA6">
            <w:pPr>
              <w:ind w:left="34" w:firstLine="0"/>
              <w:jc w:val="center"/>
              <w:rPr>
                <w:szCs w:val="24"/>
              </w:rPr>
            </w:pPr>
            <w:r w:rsidRPr="009450D2">
              <w:rPr>
                <w:szCs w:val="24"/>
              </w:rPr>
              <w:t>Блок по признакам национального и федерального проектов</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44</w:t>
            </w:r>
          </w:p>
        </w:tc>
        <w:tc>
          <w:tcPr>
            <w:tcW w:w="1276" w:type="dxa"/>
          </w:tcPr>
          <w:p w:rsidR="00D95FA6" w:rsidRPr="009450D2" w:rsidRDefault="00D95FA6" w:rsidP="00D95FA6">
            <w:pPr>
              <w:ind w:firstLine="0"/>
              <w:jc w:val="left"/>
              <w:rPr>
                <w:szCs w:val="24"/>
              </w:rPr>
            </w:pPr>
            <w:r w:rsidRPr="009450D2">
              <w:rPr>
                <w:szCs w:val="24"/>
              </w:rPr>
              <w:t>Код национального проекта</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11-й символ КБК</w:t>
            </w:r>
          </w:p>
        </w:tc>
        <w:tc>
          <w:tcPr>
            <w:tcW w:w="4111" w:type="dxa"/>
          </w:tcPr>
          <w:p w:rsidR="00D95FA6" w:rsidRPr="009450D2" w:rsidRDefault="00D95FA6" w:rsidP="00D95FA6">
            <w:pPr>
              <w:ind w:left="34" w:firstLine="0"/>
              <w:jc w:val="left"/>
              <w:rPr>
                <w:szCs w:val="24"/>
              </w:rPr>
            </w:pPr>
            <w:r w:rsidRPr="009450D2">
              <w:rPr>
                <w:szCs w:val="24"/>
              </w:rPr>
              <w:t>ПУР АСС =&gt; График платежей =&gt; КБК</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45</w:t>
            </w:r>
          </w:p>
        </w:tc>
        <w:tc>
          <w:tcPr>
            <w:tcW w:w="1276" w:type="dxa"/>
          </w:tcPr>
          <w:p w:rsidR="00D95FA6" w:rsidRPr="009450D2" w:rsidRDefault="00D95FA6" w:rsidP="00D95FA6">
            <w:pPr>
              <w:ind w:firstLine="0"/>
              <w:jc w:val="left"/>
              <w:rPr>
                <w:szCs w:val="24"/>
              </w:rPr>
            </w:pPr>
            <w:r w:rsidRPr="009450D2">
              <w:rPr>
                <w:szCs w:val="24"/>
              </w:rPr>
              <w:t>Наименование национального проекта</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Разыменовка в соответствии со значением 11-го символа КБК по справочнику</w:t>
            </w:r>
          </w:p>
        </w:tc>
        <w:tc>
          <w:tcPr>
            <w:tcW w:w="4111" w:type="dxa"/>
          </w:tcPr>
          <w:p w:rsidR="00D95FA6" w:rsidRPr="009450D2" w:rsidRDefault="00D95FA6" w:rsidP="00D95FA6">
            <w:pPr>
              <w:ind w:left="34" w:firstLine="0"/>
              <w:jc w:val="left"/>
              <w:rPr>
                <w:szCs w:val="24"/>
              </w:rPr>
            </w:pP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46</w:t>
            </w:r>
          </w:p>
        </w:tc>
        <w:tc>
          <w:tcPr>
            <w:tcW w:w="1276" w:type="dxa"/>
          </w:tcPr>
          <w:p w:rsidR="00D95FA6" w:rsidRPr="009450D2" w:rsidRDefault="00D95FA6" w:rsidP="00D95FA6">
            <w:pPr>
              <w:ind w:firstLine="0"/>
              <w:jc w:val="left"/>
              <w:rPr>
                <w:szCs w:val="24"/>
              </w:rPr>
            </w:pPr>
            <w:r w:rsidRPr="009450D2">
              <w:rPr>
                <w:szCs w:val="24"/>
              </w:rPr>
              <w:t>Код федерального проекта</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11-12 символы КБК</w:t>
            </w:r>
          </w:p>
        </w:tc>
        <w:tc>
          <w:tcPr>
            <w:tcW w:w="4111" w:type="dxa"/>
          </w:tcPr>
          <w:p w:rsidR="00D95FA6" w:rsidRPr="009450D2" w:rsidRDefault="00D95FA6" w:rsidP="00D95FA6">
            <w:pPr>
              <w:ind w:left="34" w:firstLine="0"/>
              <w:jc w:val="left"/>
              <w:rPr>
                <w:szCs w:val="24"/>
              </w:rPr>
            </w:pPr>
            <w:r w:rsidRPr="009450D2">
              <w:rPr>
                <w:szCs w:val="24"/>
              </w:rPr>
              <w:t>ПУР АСС =&gt; График платежей =&gt; КБК</w:t>
            </w:r>
          </w:p>
        </w:tc>
      </w:tr>
      <w:tr w:rsidR="00D95FA6" w:rsidRPr="009450D2" w:rsidTr="00D95FA6">
        <w:tc>
          <w:tcPr>
            <w:tcW w:w="567" w:type="dxa"/>
          </w:tcPr>
          <w:p w:rsidR="00D95FA6" w:rsidRPr="009450D2" w:rsidRDefault="00D95FA6" w:rsidP="00D95FA6">
            <w:pPr>
              <w:ind w:firstLine="0"/>
              <w:jc w:val="left"/>
              <w:rPr>
                <w:szCs w:val="24"/>
              </w:rPr>
            </w:pPr>
            <w:r w:rsidRPr="009450D2">
              <w:rPr>
                <w:szCs w:val="24"/>
              </w:rPr>
              <w:t>47</w:t>
            </w:r>
          </w:p>
        </w:tc>
        <w:tc>
          <w:tcPr>
            <w:tcW w:w="1276" w:type="dxa"/>
          </w:tcPr>
          <w:p w:rsidR="00D95FA6" w:rsidRPr="009450D2" w:rsidRDefault="00D95FA6" w:rsidP="00D95FA6">
            <w:pPr>
              <w:ind w:firstLine="0"/>
              <w:jc w:val="left"/>
              <w:rPr>
                <w:szCs w:val="24"/>
              </w:rPr>
            </w:pPr>
            <w:r w:rsidRPr="009450D2">
              <w:rPr>
                <w:szCs w:val="24"/>
              </w:rPr>
              <w:t>Наименование федерального проекта</w:t>
            </w:r>
          </w:p>
        </w:tc>
        <w:tc>
          <w:tcPr>
            <w:tcW w:w="992" w:type="dxa"/>
          </w:tcPr>
          <w:p w:rsidR="00D95FA6" w:rsidRPr="009450D2" w:rsidRDefault="00D95FA6" w:rsidP="00D95FA6">
            <w:pPr>
              <w:ind w:left="34" w:firstLine="0"/>
              <w:jc w:val="left"/>
              <w:rPr>
                <w:szCs w:val="24"/>
              </w:rPr>
            </w:pPr>
            <w:r w:rsidRPr="009450D2">
              <w:rPr>
                <w:szCs w:val="24"/>
              </w:rPr>
              <w:t>Скрыта</w:t>
            </w:r>
          </w:p>
        </w:tc>
        <w:tc>
          <w:tcPr>
            <w:tcW w:w="3402" w:type="dxa"/>
          </w:tcPr>
          <w:p w:rsidR="00D95FA6" w:rsidRPr="009450D2" w:rsidRDefault="00D95FA6" w:rsidP="00D95FA6">
            <w:pPr>
              <w:ind w:left="34" w:firstLine="0"/>
              <w:jc w:val="left"/>
              <w:rPr>
                <w:szCs w:val="24"/>
              </w:rPr>
            </w:pPr>
            <w:r w:rsidRPr="009450D2">
              <w:rPr>
                <w:szCs w:val="24"/>
              </w:rPr>
              <w:t>Разыменовка в соответствии со значением 11-12-го символов КБК по справочнику</w:t>
            </w:r>
          </w:p>
        </w:tc>
        <w:tc>
          <w:tcPr>
            <w:tcW w:w="4111" w:type="dxa"/>
          </w:tcPr>
          <w:p w:rsidR="00D95FA6" w:rsidRPr="009450D2" w:rsidRDefault="00D95FA6" w:rsidP="00D95FA6">
            <w:pPr>
              <w:ind w:left="34" w:firstLine="0"/>
              <w:jc w:val="left"/>
              <w:rPr>
                <w:szCs w:val="24"/>
              </w:rPr>
            </w:pPr>
          </w:p>
        </w:tc>
      </w:tr>
    </w:tbl>
    <w:p w:rsidR="00D95FA6" w:rsidRPr="002D1FAC" w:rsidRDefault="00D95FA6" w:rsidP="00D95FA6"/>
    <w:p w:rsidR="00D95FA6" w:rsidRPr="00B930B4" w:rsidRDefault="00D95FA6" w:rsidP="00D95FA6">
      <w:pPr>
        <w:ind w:firstLine="709"/>
        <w:rPr>
          <w:sz w:val="28"/>
          <w:szCs w:val="28"/>
        </w:rPr>
      </w:pPr>
      <w:r w:rsidRPr="00B930B4">
        <w:rPr>
          <w:sz w:val="28"/>
          <w:szCs w:val="28"/>
        </w:rPr>
        <w:t>Область фильтров:</w:t>
      </w:r>
    </w:p>
    <w:tbl>
      <w:tblPr>
        <w:tblStyle w:val="affe"/>
        <w:tblW w:w="10348" w:type="dxa"/>
        <w:tblInd w:w="-459" w:type="dxa"/>
        <w:tblLook w:val="04A0" w:firstRow="1" w:lastRow="0" w:firstColumn="1" w:lastColumn="0" w:noHBand="0" w:noVBand="1"/>
      </w:tblPr>
      <w:tblGrid>
        <w:gridCol w:w="567"/>
        <w:gridCol w:w="1895"/>
        <w:gridCol w:w="3634"/>
        <w:gridCol w:w="4252"/>
      </w:tblGrid>
      <w:tr w:rsidR="00D95FA6" w:rsidRPr="00B930B4" w:rsidTr="00D95FA6">
        <w:trPr>
          <w:tblHeader/>
        </w:trPr>
        <w:tc>
          <w:tcPr>
            <w:tcW w:w="567" w:type="dxa"/>
            <w:shd w:val="clear" w:color="auto" w:fill="F2F2F2" w:themeFill="background1" w:themeFillShade="F2"/>
          </w:tcPr>
          <w:p w:rsidR="00D95FA6" w:rsidRPr="00B930B4" w:rsidRDefault="00D95FA6" w:rsidP="00D95FA6">
            <w:pPr>
              <w:ind w:firstLine="0"/>
              <w:jc w:val="center"/>
              <w:rPr>
                <w:b/>
                <w:szCs w:val="24"/>
              </w:rPr>
            </w:pPr>
            <w:r w:rsidRPr="00B930B4">
              <w:rPr>
                <w:b/>
                <w:szCs w:val="24"/>
              </w:rPr>
              <w:t>№ п/п</w:t>
            </w:r>
          </w:p>
        </w:tc>
        <w:tc>
          <w:tcPr>
            <w:tcW w:w="1895" w:type="dxa"/>
            <w:shd w:val="clear" w:color="auto" w:fill="F2F2F2" w:themeFill="background1" w:themeFillShade="F2"/>
          </w:tcPr>
          <w:p w:rsidR="00D95FA6" w:rsidRPr="00B930B4" w:rsidRDefault="00D95FA6" w:rsidP="00D95FA6">
            <w:pPr>
              <w:ind w:firstLine="0"/>
              <w:jc w:val="center"/>
              <w:rPr>
                <w:b/>
                <w:szCs w:val="24"/>
              </w:rPr>
            </w:pPr>
            <w:r w:rsidRPr="00B930B4">
              <w:rPr>
                <w:b/>
                <w:szCs w:val="24"/>
              </w:rPr>
              <w:t>Наименование фильтра</w:t>
            </w:r>
          </w:p>
        </w:tc>
        <w:tc>
          <w:tcPr>
            <w:tcW w:w="3634" w:type="dxa"/>
            <w:shd w:val="clear" w:color="auto" w:fill="F2F2F2" w:themeFill="background1" w:themeFillShade="F2"/>
          </w:tcPr>
          <w:p w:rsidR="00D95FA6" w:rsidRPr="00B930B4" w:rsidRDefault="00D95FA6" w:rsidP="00D95FA6">
            <w:pPr>
              <w:ind w:left="29" w:firstLine="0"/>
              <w:jc w:val="center"/>
              <w:rPr>
                <w:b/>
                <w:szCs w:val="24"/>
              </w:rPr>
            </w:pPr>
            <w:r w:rsidRPr="00B930B4">
              <w:rPr>
                <w:b/>
                <w:szCs w:val="24"/>
              </w:rPr>
              <w:t>Алгоритм</w:t>
            </w:r>
          </w:p>
        </w:tc>
        <w:tc>
          <w:tcPr>
            <w:tcW w:w="4252" w:type="dxa"/>
            <w:shd w:val="clear" w:color="auto" w:fill="F2F2F2" w:themeFill="background1" w:themeFillShade="F2"/>
          </w:tcPr>
          <w:p w:rsidR="00D95FA6" w:rsidRPr="00B930B4" w:rsidRDefault="00D95FA6" w:rsidP="00D95FA6">
            <w:pPr>
              <w:ind w:left="64" w:firstLine="0"/>
              <w:jc w:val="center"/>
              <w:rPr>
                <w:b/>
                <w:szCs w:val="24"/>
              </w:rPr>
            </w:pPr>
            <w:r w:rsidRPr="00B930B4">
              <w:rPr>
                <w:b/>
                <w:szCs w:val="24"/>
              </w:rPr>
              <w:t>Источник данных</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w:t>
            </w:r>
          </w:p>
        </w:tc>
        <w:tc>
          <w:tcPr>
            <w:tcW w:w="1895" w:type="dxa"/>
          </w:tcPr>
          <w:p w:rsidR="00D95FA6" w:rsidRPr="00B930B4" w:rsidRDefault="00D95FA6" w:rsidP="00D95FA6">
            <w:pPr>
              <w:ind w:firstLine="0"/>
              <w:jc w:val="left"/>
              <w:rPr>
                <w:szCs w:val="24"/>
              </w:rPr>
            </w:pPr>
            <w:r w:rsidRPr="00B930B4">
              <w:rPr>
                <w:szCs w:val="24"/>
              </w:rPr>
              <w:t xml:space="preserve">Обновить </w:t>
            </w:r>
            <w:r w:rsidRPr="00B930B4">
              <w:rPr>
                <w:noProof/>
                <w:szCs w:val="24"/>
              </w:rPr>
              <w:drawing>
                <wp:inline distT="0" distB="0" distL="0" distR="0" wp14:anchorId="2EAD6462" wp14:editId="4CF0C743">
                  <wp:extent cx="476190" cy="476190"/>
                  <wp:effectExtent l="0" t="0" r="63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34" w:type="dxa"/>
          </w:tcPr>
          <w:p w:rsidR="00D95FA6" w:rsidRPr="00B930B4" w:rsidRDefault="00D95FA6" w:rsidP="00D95FA6">
            <w:pPr>
              <w:ind w:left="29" w:firstLine="0"/>
              <w:jc w:val="left"/>
              <w:rPr>
                <w:szCs w:val="24"/>
              </w:rPr>
            </w:pPr>
            <w:r w:rsidRPr="00B930B4">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D95FA6" w:rsidRPr="00B930B4" w:rsidRDefault="00D95FA6" w:rsidP="00D95FA6">
            <w:pPr>
              <w:pStyle w:val="afff6"/>
              <w:ind w:left="64" w:firstLine="0"/>
              <w:jc w:val="left"/>
              <w:rPr>
                <w:sz w:val="24"/>
                <w:szCs w:val="24"/>
              </w:rPr>
            </w:pP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2</w:t>
            </w:r>
          </w:p>
        </w:tc>
        <w:tc>
          <w:tcPr>
            <w:tcW w:w="1895" w:type="dxa"/>
          </w:tcPr>
          <w:p w:rsidR="00D95FA6" w:rsidRPr="00B930B4" w:rsidRDefault="00D95FA6" w:rsidP="00D95FA6">
            <w:pPr>
              <w:ind w:firstLine="0"/>
              <w:jc w:val="left"/>
              <w:rPr>
                <w:szCs w:val="24"/>
              </w:rPr>
            </w:pPr>
            <w:r w:rsidRPr="00B930B4">
              <w:rPr>
                <w:szCs w:val="24"/>
              </w:rPr>
              <w:t>Год</w:t>
            </w:r>
          </w:p>
        </w:tc>
        <w:tc>
          <w:tcPr>
            <w:tcW w:w="3634" w:type="dxa"/>
          </w:tcPr>
          <w:p w:rsidR="00D95FA6" w:rsidRPr="00B930B4" w:rsidRDefault="00D95FA6" w:rsidP="00D95FA6">
            <w:pPr>
              <w:ind w:left="29" w:firstLine="0"/>
              <w:jc w:val="left"/>
              <w:rPr>
                <w:szCs w:val="24"/>
              </w:rPr>
            </w:pPr>
            <w:r w:rsidRPr="00B930B4">
              <w:rPr>
                <w:szCs w:val="24"/>
              </w:rPr>
              <w:t>Фильтрация по году из графика соглашения</w:t>
            </w:r>
          </w:p>
          <w:p w:rsidR="00D95FA6" w:rsidRPr="00B930B4" w:rsidRDefault="00D95FA6" w:rsidP="00D95FA6">
            <w:pPr>
              <w:ind w:left="29" w:firstLine="0"/>
              <w:jc w:val="left"/>
              <w:rPr>
                <w:szCs w:val="24"/>
              </w:rPr>
            </w:pPr>
            <w:r w:rsidRPr="00B930B4">
              <w:rPr>
                <w:szCs w:val="24"/>
              </w:rPr>
              <w:t>Возможность выбора только одного значения параметра из выпадающего списка, отсутствует возможность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текущего календарного года</w:t>
            </w:r>
          </w:p>
        </w:tc>
        <w:tc>
          <w:tcPr>
            <w:tcW w:w="4252" w:type="dxa"/>
          </w:tcPr>
          <w:p w:rsidR="00D95FA6" w:rsidRPr="00B930B4" w:rsidRDefault="00D95FA6" w:rsidP="00D95FA6">
            <w:pPr>
              <w:pStyle w:val="afff6"/>
              <w:ind w:left="64" w:firstLine="0"/>
              <w:jc w:val="left"/>
              <w:rPr>
                <w:sz w:val="24"/>
                <w:szCs w:val="24"/>
              </w:rPr>
            </w:pPr>
            <w:r w:rsidRPr="00B930B4">
              <w:rPr>
                <w:sz w:val="24"/>
                <w:szCs w:val="24"/>
              </w:rPr>
              <w:t>ПУР АСС =&gt; График платежей =&gt; Год осуществления платежа</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3</w:t>
            </w:r>
          </w:p>
        </w:tc>
        <w:tc>
          <w:tcPr>
            <w:tcW w:w="1895" w:type="dxa"/>
          </w:tcPr>
          <w:p w:rsidR="00D95FA6" w:rsidRPr="00B930B4" w:rsidRDefault="00D95FA6" w:rsidP="00D95FA6">
            <w:pPr>
              <w:ind w:firstLine="0"/>
              <w:jc w:val="left"/>
              <w:rPr>
                <w:szCs w:val="24"/>
              </w:rPr>
            </w:pPr>
            <w:r w:rsidRPr="00B930B4">
              <w:rPr>
                <w:szCs w:val="24"/>
              </w:rPr>
              <w:t>Субъект РФ</w:t>
            </w:r>
          </w:p>
        </w:tc>
        <w:tc>
          <w:tcPr>
            <w:tcW w:w="3634" w:type="dxa"/>
          </w:tcPr>
          <w:p w:rsidR="00D95FA6" w:rsidRPr="00B930B4" w:rsidRDefault="00D95FA6" w:rsidP="00D95FA6">
            <w:pPr>
              <w:ind w:left="29" w:firstLine="0"/>
              <w:jc w:val="left"/>
              <w:rPr>
                <w:szCs w:val="24"/>
              </w:rPr>
            </w:pPr>
            <w:r w:rsidRPr="00B930B4">
              <w:rPr>
                <w:szCs w:val="24"/>
              </w:rPr>
              <w:t>Фильтрация по коду ОКТМО субъекта РФ (первые 2 символа кода ОКТМО, за исключением значений 118, 718, 719). Разыменование по справочнику в соответствии с кодом ОКТМО субъекта РФ</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tc>
        <w:tc>
          <w:tcPr>
            <w:tcW w:w="4252" w:type="dxa"/>
          </w:tcPr>
          <w:p w:rsidR="00D95FA6" w:rsidRPr="00B930B4" w:rsidRDefault="00D95FA6" w:rsidP="00D95FA6">
            <w:pPr>
              <w:pStyle w:val="afff6"/>
              <w:ind w:left="64" w:firstLine="0"/>
              <w:jc w:val="left"/>
              <w:rPr>
                <w:sz w:val="24"/>
                <w:szCs w:val="24"/>
              </w:rPr>
            </w:pPr>
            <w:r w:rsidRPr="00B930B4">
              <w:rPr>
                <w:sz w:val="24"/>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4</w:t>
            </w:r>
          </w:p>
        </w:tc>
        <w:tc>
          <w:tcPr>
            <w:tcW w:w="1895" w:type="dxa"/>
          </w:tcPr>
          <w:p w:rsidR="00D95FA6" w:rsidRPr="00B930B4" w:rsidRDefault="00D95FA6" w:rsidP="00D95FA6">
            <w:pPr>
              <w:ind w:firstLine="0"/>
              <w:jc w:val="left"/>
              <w:rPr>
                <w:szCs w:val="24"/>
              </w:rPr>
            </w:pPr>
            <w:r w:rsidRPr="00B930B4">
              <w:rPr>
                <w:szCs w:val="24"/>
              </w:rPr>
              <w:t>Муниципальное образование</w:t>
            </w:r>
          </w:p>
        </w:tc>
        <w:tc>
          <w:tcPr>
            <w:tcW w:w="3634" w:type="dxa"/>
          </w:tcPr>
          <w:p w:rsidR="00D95FA6" w:rsidRPr="00B930B4" w:rsidRDefault="00D95FA6" w:rsidP="00D95FA6">
            <w:pPr>
              <w:ind w:left="29" w:firstLine="0"/>
              <w:jc w:val="left"/>
              <w:rPr>
                <w:szCs w:val="24"/>
              </w:rPr>
            </w:pPr>
            <w:r w:rsidRPr="00B930B4">
              <w:rPr>
                <w:szCs w:val="24"/>
              </w:rPr>
              <w:t>Фильтрация по 8-ми символьному значению кода ОКТМО. Разыменование по справочнику в соответствии с кодом ОКТМО муниципалитета</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p w:rsidR="00D95FA6" w:rsidRPr="00B930B4" w:rsidRDefault="00D95FA6" w:rsidP="00D95FA6">
            <w:pPr>
              <w:ind w:left="29" w:firstLine="0"/>
              <w:jc w:val="left"/>
              <w:rPr>
                <w:szCs w:val="24"/>
              </w:rPr>
            </w:pPr>
            <w:r w:rsidRPr="00B930B4">
              <w:rPr>
                <w:szCs w:val="24"/>
              </w:rPr>
              <w:t>Зависим от выбранного значения в фильтре «Субъект РФ»</w:t>
            </w:r>
          </w:p>
        </w:tc>
        <w:tc>
          <w:tcPr>
            <w:tcW w:w="4252" w:type="dxa"/>
          </w:tcPr>
          <w:p w:rsidR="00D95FA6" w:rsidRPr="00B930B4" w:rsidRDefault="00D95FA6" w:rsidP="00D95FA6">
            <w:pPr>
              <w:pStyle w:val="afff6"/>
              <w:ind w:left="64" w:firstLine="0"/>
              <w:jc w:val="left"/>
              <w:rPr>
                <w:sz w:val="24"/>
                <w:szCs w:val="24"/>
              </w:rPr>
            </w:pPr>
            <w:r w:rsidRPr="00B930B4">
              <w:rPr>
                <w:sz w:val="24"/>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5</w:t>
            </w:r>
          </w:p>
        </w:tc>
        <w:tc>
          <w:tcPr>
            <w:tcW w:w="1895" w:type="dxa"/>
          </w:tcPr>
          <w:p w:rsidR="00D95FA6" w:rsidRPr="00B930B4" w:rsidRDefault="00D95FA6" w:rsidP="00D95FA6">
            <w:pPr>
              <w:ind w:firstLine="0"/>
              <w:jc w:val="left"/>
              <w:rPr>
                <w:szCs w:val="24"/>
              </w:rPr>
            </w:pPr>
            <w:r w:rsidRPr="00B930B4">
              <w:rPr>
                <w:szCs w:val="24"/>
              </w:rPr>
              <w:t>Код бюджета МО</w:t>
            </w:r>
          </w:p>
        </w:tc>
        <w:tc>
          <w:tcPr>
            <w:tcW w:w="3634" w:type="dxa"/>
          </w:tcPr>
          <w:p w:rsidR="00D95FA6" w:rsidRPr="00B930B4" w:rsidRDefault="00D95FA6" w:rsidP="00D95FA6">
            <w:pPr>
              <w:ind w:left="29" w:firstLine="0"/>
              <w:jc w:val="left"/>
              <w:rPr>
                <w:szCs w:val="24"/>
              </w:rPr>
            </w:pPr>
            <w:r w:rsidRPr="00B930B4">
              <w:rPr>
                <w:szCs w:val="24"/>
              </w:rPr>
              <w:t>Фильтрация по коду бюджета МО. Разыменование по справочнику в соответствии с кодом бюджета МО</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p w:rsidR="00D95FA6" w:rsidRPr="00B930B4" w:rsidRDefault="00D95FA6" w:rsidP="00D95FA6">
            <w:pPr>
              <w:ind w:left="29" w:firstLine="0"/>
              <w:jc w:val="left"/>
              <w:rPr>
                <w:szCs w:val="24"/>
              </w:rPr>
            </w:pPr>
            <w:r w:rsidRPr="00B930B4">
              <w:rPr>
                <w:szCs w:val="24"/>
              </w:rPr>
              <w:t>Зависим от выбранных значений в фильтрах «Субъект РФ», «Муниципальное образование»</w:t>
            </w:r>
          </w:p>
        </w:tc>
        <w:tc>
          <w:tcPr>
            <w:tcW w:w="4252" w:type="dxa"/>
          </w:tcPr>
          <w:p w:rsidR="00D95FA6" w:rsidRPr="00B930B4" w:rsidRDefault="00D95FA6" w:rsidP="00D95FA6">
            <w:pPr>
              <w:pStyle w:val="afff6"/>
              <w:ind w:left="64" w:firstLine="0"/>
              <w:jc w:val="left"/>
              <w:rPr>
                <w:sz w:val="24"/>
                <w:szCs w:val="24"/>
              </w:rPr>
            </w:pPr>
            <w:r w:rsidRPr="00B930B4">
              <w:rPr>
                <w:sz w:val="24"/>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бюджета</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6</w:t>
            </w:r>
          </w:p>
        </w:tc>
        <w:tc>
          <w:tcPr>
            <w:tcW w:w="1895" w:type="dxa"/>
          </w:tcPr>
          <w:p w:rsidR="00D95FA6" w:rsidRPr="00B930B4" w:rsidRDefault="00D95FA6" w:rsidP="00D95FA6">
            <w:pPr>
              <w:ind w:firstLine="0"/>
              <w:jc w:val="left"/>
              <w:rPr>
                <w:szCs w:val="24"/>
              </w:rPr>
            </w:pPr>
            <w:r w:rsidRPr="00B930B4">
              <w:rPr>
                <w:szCs w:val="24"/>
              </w:rPr>
              <w:t>Код ГРБС</w:t>
            </w:r>
          </w:p>
        </w:tc>
        <w:tc>
          <w:tcPr>
            <w:tcW w:w="3634" w:type="dxa"/>
          </w:tcPr>
          <w:p w:rsidR="00D95FA6" w:rsidRPr="00B930B4" w:rsidRDefault="00D95FA6" w:rsidP="00D95FA6">
            <w:pPr>
              <w:ind w:left="29" w:firstLine="0"/>
              <w:jc w:val="left"/>
              <w:rPr>
                <w:szCs w:val="24"/>
              </w:rPr>
            </w:pPr>
            <w:r w:rsidRPr="00B930B4">
              <w:rPr>
                <w:szCs w:val="24"/>
              </w:rPr>
              <w:t>Фильтрация по коду ГРБС</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p w:rsidR="00D95FA6" w:rsidRPr="00B930B4" w:rsidRDefault="00D95FA6" w:rsidP="00D95FA6">
            <w:pPr>
              <w:ind w:left="29" w:firstLine="0"/>
              <w:jc w:val="left"/>
              <w:rPr>
                <w:szCs w:val="24"/>
              </w:rPr>
            </w:pPr>
            <w:r w:rsidRPr="00B930B4">
              <w:rPr>
                <w:szCs w:val="24"/>
              </w:rPr>
              <w:t>Зависим от выбранных значений в фильтрах «Субъект РФ», «Муниципальное образование», «Код бюджета МО»</w:t>
            </w:r>
          </w:p>
        </w:tc>
        <w:tc>
          <w:tcPr>
            <w:tcW w:w="4252" w:type="dxa"/>
          </w:tcPr>
          <w:p w:rsidR="00D95FA6" w:rsidRPr="00B930B4" w:rsidRDefault="00D95FA6" w:rsidP="00D95FA6">
            <w:pPr>
              <w:ind w:left="64" w:firstLine="0"/>
              <w:jc w:val="left"/>
              <w:rPr>
                <w:szCs w:val="24"/>
              </w:rPr>
            </w:pPr>
            <w:r w:rsidRPr="00B930B4">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7</w:t>
            </w:r>
          </w:p>
        </w:tc>
        <w:tc>
          <w:tcPr>
            <w:tcW w:w="1895" w:type="dxa"/>
          </w:tcPr>
          <w:p w:rsidR="00D95FA6" w:rsidRPr="00B930B4" w:rsidRDefault="00D95FA6" w:rsidP="00D95FA6">
            <w:pPr>
              <w:ind w:firstLine="0"/>
              <w:jc w:val="left"/>
              <w:rPr>
                <w:szCs w:val="24"/>
              </w:rPr>
            </w:pPr>
            <w:r w:rsidRPr="00B930B4">
              <w:rPr>
                <w:szCs w:val="24"/>
              </w:rPr>
              <w:t>РЗПР</w:t>
            </w:r>
          </w:p>
        </w:tc>
        <w:tc>
          <w:tcPr>
            <w:tcW w:w="3634" w:type="dxa"/>
          </w:tcPr>
          <w:p w:rsidR="00D95FA6" w:rsidRPr="00B930B4" w:rsidRDefault="00D95FA6" w:rsidP="00D95FA6">
            <w:pPr>
              <w:ind w:left="29" w:firstLine="0"/>
              <w:jc w:val="left"/>
              <w:rPr>
                <w:szCs w:val="24"/>
              </w:rPr>
            </w:pPr>
            <w:r w:rsidRPr="00B930B4">
              <w:rPr>
                <w:szCs w:val="24"/>
              </w:rPr>
              <w:t>Фильтрация по 4-7 символам КБК</w:t>
            </w:r>
          </w:p>
          <w:p w:rsidR="00D95FA6" w:rsidRPr="00B930B4" w:rsidRDefault="00D95FA6" w:rsidP="00D95FA6">
            <w:pPr>
              <w:ind w:left="29" w:firstLine="0"/>
              <w:jc w:val="left"/>
              <w:rPr>
                <w:szCs w:val="24"/>
              </w:rPr>
            </w:pPr>
            <w:r w:rsidRPr="00B930B4">
              <w:rPr>
                <w:szCs w:val="24"/>
              </w:rPr>
              <w:t>Иерархический фильтр с возможностью выбора только одного параметра единовременно, а также с возможностью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8</w:t>
            </w:r>
          </w:p>
        </w:tc>
        <w:tc>
          <w:tcPr>
            <w:tcW w:w="1895" w:type="dxa"/>
          </w:tcPr>
          <w:p w:rsidR="00D95FA6" w:rsidRPr="00B930B4" w:rsidRDefault="00D95FA6" w:rsidP="00D95FA6">
            <w:pPr>
              <w:ind w:firstLine="0"/>
              <w:jc w:val="left"/>
              <w:rPr>
                <w:szCs w:val="24"/>
              </w:rPr>
            </w:pPr>
            <w:r w:rsidRPr="00B930B4">
              <w:rPr>
                <w:szCs w:val="24"/>
              </w:rPr>
              <w:t>КЦСР</w:t>
            </w:r>
          </w:p>
        </w:tc>
        <w:tc>
          <w:tcPr>
            <w:tcW w:w="3634" w:type="dxa"/>
          </w:tcPr>
          <w:p w:rsidR="00D95FA6" w:rsidRPr="00B930B4" w:rsidRDefault="00D95FA6" w:rsidP="00D95FA6">
            <w:pPr>
              <w:ind w:left="29" w:firstLine="0"/>
              <w:jc w:val="left"/>
              <w:rPr>
                <w:szCs w:val="24"/>
              </w:rPr>
            </w:pPr>
            <w:r w:rsidRPr="00B930B4">
              <w:rPr>
                <w:szCs w:val="24"/>
              </w:rPr>
              <w:t>Фильтрация по 8-17 символам КБК</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9</w:t>
            </w:r>
          </w:p>
        </w:tc>
        <w:tc>
          <w:tcPr>
            <w:tcW w:w="1895" w:type="dxa"/>
          </w:tcPr>
          <w:p w:rsidR="00D95FA6" w:rsidRPr="00B930B4" w:rsidRDefault="00D95FA6" w:rsidP="00D95FA6">
            <w:pPr>
              <w:ind w:firstLine="0"/>
              <w:jc w:val="left"/>
              <w:rPr>
                <w:szCs w:val="24"/>
              </w:rPr>
            </w:pPr>
            <w:r w:rsidRPr="00B930B4">
              <w:rPr>
                <w:szCs w:val="24"/>
              </w:rPr>
              <w:t>КВР</w:t>
            </w:r>
          </w:p>
        </w:tc>
        <w:tc>
          <w:tcPr>
            <w:tcW w:w="3634" w:type="dxa"/>
          </w:tcPr>
          <w:p w:rsidR="00D95FA6" w:rsidRPr="00B930B4" w:rsidRDefault="00D95FA6" w:rsidP="00D95FA6">
            <w:pPr>
              <w:ind w:left="29" w:firstLine="0"/>
              <w:jc w:val="left"/>
              <w:rPr>
                <w:szCs w:val="24"/>
              </w:rPr>
            </w:pPr>
            <w:r w:rsidRPr="00B930B4">
              <w:rPr>
                <w:szCs w:val="24"/>
              </w:rPr>
              <w:t>Фильтрация по 18-20 символам КБК</w:t>
            </w:r>
          </w:p>
          <w:p w:rsidR="00D95FA6" w:rsidRPr="00B930B4" w:rsidRDefault="00D95FA6" w:rsidP="00D95FA6">
            <w:pPr>
              <w:ind w:left="29" w:firstLine="0"/>
              <w:jc w:val="left"/>
              <w:rPr>
                <w:szCs w:val="24"/>
              </w:rPr>
            </w:pPr>
            <w:r w:rsidRPr="00B930B4">
              <w:rPr>
                <w:szCs w:val="24"/>
              </w:rPr>
              <w:t>Иерархический фильтр с возможностью множественного выбора и контекстного поиска</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10</w:t>
            </w:r>
          </w:p>
        </w:tc>
        <w:tc>
          <w:tcPr>
            <w:tcW w:w="1895" w:type="dxa"/>
          </w:tcPr>
          <w:p w:rsidR="00D95FA6" w:rsidRPr="00B930B4" w:rsidRDefault="00D95FA6" w:rsidP="00D95FA6">
            <w:pPr>
              <w:ind w:firstLine="0"/>
              <w:jc w:val="left"/>
              <w:rPr>
                <w:szCs w:val="24"/>
              </w:rPr>
            </w:pPr>
            <w:r w:rsidRPr="00B930B4">
              <w:rPr>
                <w:szCs w:val="24"/>
              </w:rPr>
              <w:t>Единицы измерения</w:t>
            </w:r>
          </w:p>
        </w:tc>
        <w:tc>
          <w:tcPr>
            <w:tcW w:w="3634" w:type="dxa"/>
          </w:tcPr>
          <w:p w:rsidR="00D95FA6" w:rsidRPr="00B930B4" w:rsidRDefault="00D95FA6" w:rsidP="00D95FA6">
            <w:pPr>
              <w:ind w:left="29" w:firstLine="0"/>
              <w:jc w:val="left"/>
              <w:rPr>
                <w:szCs w:val="24"/>
              </w:rPr>
            </w:pPr>
            <w:r w:rsidRPr="00B930B4">
              <w:rPr>
                <w:szCs w:val="24"/>
              </w:rPr>
              <w:t>Фильтр имеет значения: руб; тыс руб; млн руб; млрд руб.</w:t>
            </w:r>
          </w:p>
          <w:p w:rsidR="00D95FA6" w:rsidRPr="00B930B4" w:rsidRDefault="00D95FA6" w:rsidP="00D95FA6">
            <w:pPr>
              <w:ind w:left="29" w:firstLine="0"/>
              <w:jc w:val="left"/>
              <w:rPr>
                <w:szCs w:val="24"/>
              </w:rPr>
            </w:pPr>
            <w:r w:rsidRPr="00B930B4">
              <w:rPr>
                <w:szCs w:val="24"/>
              </w:rPr>
              <w:t>руб = ()</w:t>
            </w:r>
          </w:p>
          <w:p w:rsidR="00D95FA6" w:rsidRPr="00B930B4" w:rsidRDefault="00D95FA6" w:rsidP="00D95FA6">
            <w:pPr>
              <w:ind w:left="29" w:firstLine="0"/>
              <w:jc w:val="left"/>
              <w:rPr>
                <w:szCs w:val="24"/>
              </w:rPr>
            </w:pPr>
            <w:r w:rsidRPr="00B930B4">
              <w:rPr>
                <w:szCs w:val="24"/>
              </w:rPr>
              <w:t>тыс руб = ()/1000</w:t>
            </w:r>
          </w:p>
          <w:p w:rsidR="00D95FA6" w:rsidRPr="00B930B4" w:rsidRDefault="00D95FA6" w:rsidP="00D95FA6">
            <w:pPr>
              <w:ind w:left="29" w:firstLine="0"/>
              <w:jc w:val="left"/>
              <w:rPr>
                <w:szCs w:val="24"/>
              </w:rPr>
            </w:pPr>
            <w:r w:rsidRPr="00B930B4">
              <w:rPr>
                <w:szCs w:val="24"/>
              </w:rPr>
              <w:t>млн руб = ()/1000000</w:t>
            </w:r>
          </w:p>
          <w:p w:rsidR="00D95FA6" w:rsidRPr="00B930B4" w:rsidRDefault="00D95FA6" w:rsidP="00D95FA6">
            <w:pPr>
              <w:ind w:left="29" w:firstLine="0"/>
              <w:jc w:val="left"/>
              <w:rPr>
                <w:szCs w:val="24"/>
              </w:rPr>
            </w:pPr>
            <w:r w:rsidRPr="00B930B4">
              <w:rPr>
                <w:szCs w:val="24"/>
              </w:rPr>
              <w:t>млрд руб = ()/1000000000</w:t>
            </w:r>
          </w:p>
          <w:p w:rsidR="00D95FA6" w:rsidRPr="00B930B4" w:rsidRDefault="00D95FA6" w:rsidP="00D95FA6">
            <w:pPr>
              <w:ind w:left="29" w:firstLine="0"/>
              <w:jc w:val="left"/>
              <w:rPr>
                <w:szCs w:val="24"/>
              </w:rPr>
            </w:pPr>
            <w:r w:rsidRPr="00B930B4">
              <w:rPr>
                <w:szCs w:val="24"/>
              </w:rPr>
              <w:t>Фильтр работает по колонкам: Сумма соглашения (всего); Исполнено в прошлых периодах; Сумма соглашения на 2020 год; Сумма соглашения на 2021 год; Сумма соглашения на 2022 год; Сумма соглашения на будущие года; Исполнено всего; Исполнено в 2020 году.</w:t>
            </w:r>
          </w:p>
        </w:tc>
        <w:tc>
          <w:tcPr>
            <w:tcW w:w="4252" w:type="dxa"/>
          </w:tcPr>
          <w:p w:rsidR="00D95FA6" w:rsidRPr="00B930B4" w:rsidRDefault="00D95FA6" w:rsidP="00D95FA6">
            <w:pPr>
              <w:ind w:left="64" w:firstLine="0"/>
              <w:jc w:val="left"/>
              <w:rPr>
                <w:szCs w:val="24"/>
              </w:rPr>
            </w:pP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11</w:t>
            </w:r>
          </w:p>
        </w:tc>
        <w:tc>
          <w:tcPr>
            <w:tcW w:w="1895" w:type="dxa"/>
          </w:tcPr>
          <w:p w:rsidR="00D95FA6" w:rsidRPr="00B930B4" w:rsidRDefault="00D95FA6" w:rsidP="00D95FA6">
            <w:pPr>
              <w:ind w:firstLine="0"/>
              <w:jc w:val="left"/>
              <w:rPr>
                <w:szCs w:val="24"/>
              </w:rPr>
            </w:pPr>
            <w:r w:rsidRPr="00B930B4">
              <w:rPr>
                <w:szCs w:val="24"/>
              </w:rPr>
              <w:t>Поле ввода «Номер соглашения, РЗ»</w:t>
            </w:r>
          </w:p>
        </w:tc>
        <w:tc>
          <w:tcPr>
            <w:tcW w:w="3634" w:type="dxa"/>
          </w:tcPr>
          <w:p w:rsidR="00D95FA6" w:rsidRPr="00B930B4" w:rsidRDefault="00D95FA6" w:rsidP="00D95FA6">
            <w:pPr>
              <w:ind w:left="29" w:firstLine="0"/>
              <w:jc w:val="left"/>
              <w:rPr>
                <w:szCs w:val="24"/>
              </w:rPr>
            </w:pPr>
            <w:r w:rsidRPr="00B930B4">
              <w:rPr>
                <w:szCs w:val="24"/>
              </w:rPr>
              <w:t>Фильтрация по уникальному номеру реестровой записи и по номеру соглашения (договора)/НПА</w:t>
            </w:r>
          </w:p>
          <w:p w:rsidR="00D95FA6" w:rsidRPr="00B930B4" w:rsidRDefault="00D95FA6" w:rsidP="00D95FA6">
            <w:pPr>
              <w:ind w:left="29" w:firstLine="0"/>
              <w:jc w:val="left"/>
              <w:rPr>
                <w:szCs w:val="24"/>
              </w:rPr>
            </w:pPr>
            <w:r w:rsidRPr="00B930B4">
              <w:rPr>
                <w:szCs w:val="24"/>
              </w:rPr>
              <w:t>Возможность ввода одного значения единовременно</w:t>
            </w:r>
          </w:p>
        </w:tc>
        <w:tc>
          <w:tcPr>
            <w:tcW w:w="4252" w:type="dxa"/>
          </w:tcPr>
          <w:p w:rsidR="00D95FA6" w:rsidRPr="00B930B4" w:rsidRDefault="00D95FA6" w:rsidP="00D95FA6">
            <w:pPr>
              <w:ind w:left="64" w:firstLine="0"/>
              <w:jc w:val="left"/>
              <w:rPr>
                <w:szCs w:val="24"/>
              </w:rPr>
            </w:pPr>
            <w:r w:rsidRPr="00B930B4">
              <w:rPr>
                <w:szCs w:val="24"/>
              </w:rPr>
              <w:t xml:space="preserve">ПУР АСС =&gt; Реквизиты соглашения (договора), НПА =&gt; </w:t>
            </w:r>
          </w:p>
          <w:p w:rsidR="00D95FA6" w:rsidRPr="00B930B4" w:rsidRDefault="00D95FA6" w:rsidP="00D95FA6">
            <w:pPr>
              <w:ind w:left="64" w:firstLine="0"/>
              <w:jc w:val="left"/>
              <w:rPr>
                <w:szCs w:val="24"/>
              </w:rPr>
            </w:pPr>
            <w:r w:rsidRPr="00B930B4">
              <w:rPr>
                <w:szCs w:val="24"/>
              </w:rPr>
              <w:t>- Уникальный номер реестровой записи (без учета номера версии, т.е. последних 3-х символов)</w:t>
            </w:r>
          </w:p>
          <w:p w:rsidR="00D95FA6" w:rsidRPr="00B930B4" w:rsidRDefault="00D95FA6" w:rsidP="00D95FA6">
            <w:pPr>
              <w:ind w:left="64" w:firstLine="0"/>
              <w:jc w:val="left"/>
              <w:rPr>
                <w:szCs w:val="24"/>
              </w:rPr>
            </w:pPr>
            <w:r w:rsidRPr="00B930B4">
              <w:rPr>
                <w:szCs w:val="24"/>
              </w:rPr>
              <w:t>- Номер соглашения (договора)/нормативного правового акта</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12</w:t>
            </w:r>
          </w:p>
        </w:tc>
        <w:tc>
          <w:tcPr>
            <w:tcW w:w="1895" w:type="dxa"/>
          </w:tcPr>
          <w:p w:rsidR="00D95FA6" w:rsidRPr="00B930B4" w:rsidRDefault="00D95FA6" w:rsidP="00D95FA6">
            <w:pPr>
              <w:ind w:firstLine="0"/>
              <w:jc w:val="left"/>
              <w:rPr>
                <w:szCs w:val="24"/>
              </w:rPr>
            </w:pPr>
            <w:r w:rsidRPr="00B930B4">
              <w:rPr>
                <w:szCs w:val="24"/>
              </w:rPr>
              <w:t>Поле ввода «Номер РЗ соглашения уровня субъектов РФ»</w:t>
            </w:r>
          </w:p>
        </w:tc>
        <w:tc>
          <w:tcPr>
            <w:tcW w:w="3634" w:type="dxa"/>
          </w:tcPr>
          <w:p w:rsidR="00D95FA6" w:rsidRPr="00B930B4" w:rsidRDefault="00D95FA6" w:rsidP="00D95FA6">
            <w:pPr>
              <w:ind w:left="29" w:firstLine="0"/>
              <w:jc w:val="left"/>
              <w:rPr>
                <w:szCs w:val="24"/>
              </w:rPr>
            </w:pPr>
            <w:r w:rsidRPr="00B930B4">
              <w:rPr>
                <w:szCs w:val="24"/>
              </w:rPr>
              <w:t>Фильтрация по уникальному номеру реестровой записи родительского соглашения уровня субъектов РФ</w:t>
            </w:r>
          </w:p>
          <w:p w:rsidR="00D95FA6" w:rsidRPr="00B930B4" w:rsidRDefault="00D95FA6" w:rsidP="00D95FA6">
            <w:pPr>
              <w:ind w:left="29" w:firstLine="0"/>
              <w:jc w:val="left"/>
              <w:rPr>
                <w:szCs w:val="24"/>
              </w:rPr>
            </w:pPr>
            <w:r w:rsidRPr="00B930B4">
              <w:rPr>
                <w:szCs w:val="24"/>
              </w:rPr>
              <w:t>Возможность ввода одного значения единовременно</w:t>
            </w:r>
          </w:p>
          <w:p w:rsidR="00D95FA6" w:rsidRPr="00B930B4" w:rsidRDefault="00D95FA6" w:rsidP="00D95FA6">
            <w:pPr>
              <w:ind w:left="29" w:firstLine="0"/>
              <w:jc w:val="left"/>
              <w:rPr>
                <w:szCs w:val="24"/>
              </w:rPr>
            </w:pPr>
            <w:r w:rsidRPr="00B930B4">
              <w:rPr>
                <w:szCs w:val="24"/>
              </w:rPr>
              <w:t>Реализована автоматическая передача выбранного значения данного фильтра между представлениями</w:t>
            </w:r>
          </w:p>
        </w:tc>
        <w:tc>
          <w:tcPr>
            <w:tcW w:w="4252" w:type="dxa"/>
          </w:tcPr>
          <w:p w:rsidR="00D95FA6" w:rsidRPr="00B930B4" w:rsidRDefault="00D95FA6" w:rsidP="00D95FA6">
            <w:pPr>
              <w:ind w:left="64" w:firstLine="0"/>
              <w:jc w:val="left"/>
              <w:rPr>
                <w:szCs w:val="24"/>
              </w:rPr>
            </w:pPr>
            <w:r w:rsidRPr="00B930B4">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Номер реестровой записи верхнеуровнего соглашения</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13</w:t>
            </w:r>
          </w:p>
        </w:tc>
        <w:tc>
          <w:tcPr>
            <w:tcW w:w="1895" w:type="dxa"/>
          </w:tcPr>
          <w:p w:rsidR="00D95FA6" w:rsidRPr="00B930B4" w:rsidRDefault="00D95FA6" w:rsidP="00D95FA6">
            <w:pPr>
              <w:ind w:firstLine="0"/>
              <w:jc w:val="left"/>
              <w:rPr>
                <w:szCs w:val="24"/>
              </w:rPr>
            </w:pPr>
            <w:r w:rsidRPr="00B930B4">
              <w:rPr>
                <w:szCs w:val="24"/>
              </w:rPr>
              <w:t>Поле ввода «Наименование, ИНН, КПП получателя, код СвР»</w:t>
            </w:r>
          </w:p>
        </w:tc>
        <w:tc>
          <w:tcPr>
            <w:tcW w:w="3634" w:type="dxa"/>
          </w:tcPr>
          <w:p w:rsidR="00D95FA6" w:rsidRPr="00B930B4" w:rsidRDefault="00D95FA6" w:rsidP="00D95FA6">
            <w:pPr>
              <w:ind w:left="29" w:firstLine="0"/>
              <w:jc w:val="left"/>
              <w:rPr>
                <w:szCs w:val="24"/>
              </w:rPr>
            </w:pPr>
            <w:r w:rsidRPr="00B930B4">
              <w:rPr>
                <w:szCs w:val="24"/>
              </w:rPr>
              <w:t>Фильтрация по наименованию, ИНН, КПП получателя, коду СвР</w:t>
            </w:r>
          </w:p>
          <w:p w:rsidR="00D95FA6" w:rsidRPr="00B930B4" w:rsidRDefault="00D95FA6" w:rsidP="00D95FA6">
            <w:pPr>
              <w:ind w:left="29" w:firstLine="0"/>
              <w:jc w:val="left"/>
              <w:rPr>
                <w:szCs w:val="24"/>
              </w:rPr>
            </w:pPr>
            <w:r w:rsidRPr="00B930B4">
              <w:rPr>
                <w:szCs w:val="24"/>
              </w:rPr>
              <w:t>Возможность ввода одного значения единовременно</w:t>
            </w:r>
          </w:p>
        </w:tc>
        <w:tc>
          <w:tcPr>
            <w:tcW w:w="4252" w:type="dxa"/>
          </w:tcPr>
          <w:p w:rsidR="00D95FA6" w:rsidRPr="00B930B4" w:rsidRDefault="00D95FA6" w:rsidP="00D95FA6">
            <w:pPr>
              <w:ind w:left="64" w:firstLine="0"/>
              <w:jc w:val="left"/>
              <w:rPr>
                <w:szCs w:val="24"/>
              </w:rPr>
            </w:pPr>
            <w:r w:rsidRPr="00B930B4">
              <w:rPr>
                <w:szCs w:val="24"/>
              </w:rPr>
              <w:t>ПУР АСС =&gt; Реквизиты получателя субсидии =&gt;</w:t>
            </w:r>
          </w:p>
          <w:p w:rsidR="00D95FA6" w:rsidRPr="00B930B4" w:rsidRDefault="00D95FA6" w:rsidP="00D95FA6">
            <w:pPr>
              <w:ind w:left="64" w:firstLine="0"/>
              <w:jc w:val="left"/>
              <w:rPr>
                <w:szCs w:val="24"/>
              </w:rPr>
            </w:pPr>
            <w:r w:rsidRPr="00B930B4">
              <w:rPr>
                <w:szCs w:val="24"/>
              </w:rPr>
              <w:t>- Полное наименование юридического лица/ФИО физического лица на русском языке</w:t>
            </w:r>
          </w:p>
          <w:p w:rsidR="00D95FA6" w:rsidRPr="00B930B4" w:rsidRDefault="00D95FA6" w:rsidP="00D95FA6">
            <w:pPr>
              <w:ind w:left="64" w:firstLine="0"/>
              <w:jc w:val="left"/>
              <w:rPr>
                <w:szCs w:val="24"/>
              </w:rPr>
            </w:pPr>
            <w:r w:rsidRPr="00B930B4">
              <w:rPr>
                <w:szCs w:val="24"/>
              </w:rPr>
              <w:t>- ИНН</w:t>
            </w:r>
          </w:p>
          <w:p w:rsidR="00D95FA6" w:rsidRPr="00B930B4" w:rsidRDefault="00D95FA6" w:rsidP="00D95FA6">
            <w:pPr>
              <w:ind w:left="64" w:firstLine="0"/>
              <w:jc w:val="left"/>
              <w:rPr>
                <w:szCs w:val="24"/>
              </w:rPr>
            </w:pPr>
            <w:r w:rsidRPr="00B930B4">
              <w:rPr>
                <w:szCs w:val="24"/>
              </w:rPr>
              <w:t>- КПП</w:t>
            </w:r>
          </w:p>
          <w:p w:rsidR="00D95FA6" w:rsidRPr="00B930B4" w:rsidRDefault="00D95FA6" w:rsidP="00D95FA6">
            <w:pPr>
              <w:ind w:left="64" w:firstLine="0"/>
              <w:jc w:val="left"/>
              <w:rPr>
                <w:szCs w:val="24"/>
              </w:rPr>
            </w:pPr>
            <w:r w:rsidRPr="00B930B4">
              <w:rPr>
                <w:szCs w:val="24"/>
              </w:rPr>
              <w:t>- Код по сводному реестру</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14</w:t>
            </w:r>
          </w:p>
        </w:tc>
        <w:tc>
          <w:tcPr>
            <w:tcW w:w="1895" w:type="dxa"/>
          </w:tcPr>
          <w:p w:rsidR="00D95FA6" w:rsidRPr="00B930B4" w:rsidRDefault="00D95FA6" w:rsidP="00D95FA6">
            <w:pPr>
              <w:ind w:firstLine="0"/>
              <w:jc w:val="left"/>
              <w:rPr>
                <w:szCs w:val="24"/>
              </w:rPr>
            </w:pPr>
            <w:r w:rsidRPr="00B930B4">
              <w:rPr>
                <w:szCs w:val="24"/>
              </w:rPr>
              <w:t>КБК</w:t>
            </w:r>
          </w:p>
        </w:tc>
        <w:tc>
          <w:tcPr>
            <w:tcW w:w="3634" w:type="dxa"/>
          </w:tcPr>
          <w:p w:rsidR="00D95FA6" w:rsidRPr="00B930B4" w:rsidRDefault="00D95FA6" w:rsidP="00D95FA6">
            <w:pPr>
              <w:ind w:left="29" w:firstLine="0"/>
              <w:jc w:val="left"/>
              <w:rPr>
                <w:szCs w:val="24"/>
              </w:rPr>
            </w:pPr>
            <w:r w:rsidRPr="00B930B4">
              <w:rPr>
                <w:szCs w:val="24"/>
              </w:rPr>
              <w:t>Фильтрация по маске КБК</w:t>
            </w:r>
          </w:p>
          <w:p w:rsidR="00D95FA6" w:rsidRPr="00B930B4" w:rsidRDefault="00D95FA6" w:rsidP="00D95FA6">
            <w:pPr>
              <w:ind w:left="29" w:firstLine="0"/>
              <w:jc w:val="left"/>
              <w:rPr>
                <w:szCs w:val="24"/>
              </w:rPr>
            </w:pPr>
            <w:r w:rsidRPr="00B930B4">
              <w:rPr>
                <w:szCs w:val="24"/>
              </w:rPr>
              <w:t>Возможность ввода необходимых сегментов КБК в несколько шагов</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15</w:t>
            </w:r>
          </w:p>
        </w:tc>
        <w:tc>
          <w:tcPr>
            <w:tcW w:w="1895" w:type="dxa"/>
          </w:tcPr>
          <w:p w:rsidR="00D95FA6" w:rsidRPr="00B930B4" w:rsidRDefault="00D95FA6" w:rsidP="00D95FA6">
            <w:pPr>
              <w:ind w:firstLine="0"/>
              <w:jc w:val="left"/>
              <w:rPr>
                <w:szCs w:val="24"/>
              </w:rPr>
            </w:pPr>
            <w:r w:rsidRPr="00B930B4">
              <w:rPr>
                <w:szCs w:val="24"/>
              </w:rPr>
              <w:t>Национальный проект</w:t>
            </w:r>
          </w:p>
        </w:tc>
        <w:tc>
          <w:tcPr>
            <w:tcW w:w="3634" w:type="dxa"/>
          </w:tcPr>
          <w:p w:rsidR="00D95FA6" w:rsidRPr="00B930B4" w:rsidRDefault="00D95FA6" w:rsidP="00D95FA6">
            <w:pPr>
              <w:ind w:left="29" w:firstLine="0"/>
              <w:jc w:val="left"/>
              <w:rPr>
                <w:szCs w:val="24"/>
              </w:rPr>
            </w:pPr>
            <w:r w:rsidRPr="00B930B4">
              <w:rPr>
                <w:szCs w:val="24"/>
              </w:rPr>
              <w:t>Фильтрация по 11-12 символам КБК</w:t>
            </w:r>
          </w:p>
          <w:p w:rsidR="00D95FA6" w:rsidRPr="00B930B4" w:rsidRDefault="00D95FA6" w:rsidP="00D95FA6">
            <w:pPr>
              <w:ind w:left="29" w:firstLine="0"/>
              <w:jc w:val="left"/>
              <w:rPr>
                <w:szCs w:val="24"/>
              </w:rPr>
            </w:pPr>
            <w:r w:rsidRPr="00B930B4">
              <w:rPr>
                <w:szCs w:val="24"/>
              </w:rPr>
              <w:t>Иерархический фильтр с возможностью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r w:rsidR="00D95FA6" w:rsidRPr="00B930B4" w:rsidTr="00D95FA6">
        <w:tc>
          <w:tcPr>
            <w:tcW w:w="567" w:type="dxa"/>
          </w:tcPr>
          <w:p w:rsidR="00D95FA6" w:rsidRPr="00B930B4" w:rsidRDefault="00D95FA6" w:rsidP="00D95FA6">
            <w:pPr>
              <w:ind w:firstLine="0"/>
              <w:jc w:val="left"/>
              <w:rPr>
                <w:szCs w:val="24"/>
              </w:rPr>
            </w:pPr>
            <w:r w:rsidRPr="00B930B4">
              <w:rPr>
                <w:szCs w:val="24"/>
              </w:rPr>
              <w:t>16</w:t>
            </w:r>
          </w:p>
        </w:tc>
        <w:tc>
          <w:tcPr>
            <w:tcW w:w="1895" w:type="dxa"/>
          </w:tcPr>
          <w:p w:rsidR="00D95FA6" w:rsidRPr="00B930B4" w:rsidRDefault="00D95FA6" w:rsidP="00D95FA6">
            <w:pPr>
              <w:ind w:firstLine="0"/>
              <w:jc w:val="left"/>
              <w:rPr>
                <w:szCs w:val="24"/>
              </w:rPr>
            </w:pPr>
            <w:r w:rsidRPr="00B930B4">
              <w:rPr>
                <w:szCs w:val="24"/>
              </w:rPr>
              <w:t>КЦСР федерального соглашения</w:t>
            </w:r>
          </w:p>
        </w:tc>
        <w:tc>
          <w:tcPr>
            <w:tcW w:w="3634" w:type="dxa"/>
          </w:tcPr>
          <w:p w:rsidR="00D95FA6" w:rsidRPr="00B930B4" w:rsidRDefault="00D95FA6" w:rsidP="00D95FA6">
            <w:pPr>
              <w:ind w:left="29" w:firstLine="0"/>
              <w:jc w:val="left"/>
              <w:rPr>
                <w:szCs w:val="24"/>
              </w:rPr>
            </w:pPr>
            <w:r w:rsidRPr="00B930B4">
              <w:rPr>
                <w:szCs w:val="24"/>
              </w:rPr>
              <w:t>Фильтрация по 8-17 символам КБК соглашения федерального уровня</w:t>
            </w:r>
          </w:p>
          <w:p w:rsidR="00D95FA6" w:rsidRPr="00B930B4" w:rsidRDefault="00D95FA6" w:rsidP="00D95FA6">
            <w:pPr>
              <w:ind w:left="29" w:firstLine="0"/>
              <w:jc w:val="left"/>
              <w:rPr>
                <w:szCs w:val="24"/>
              </w:rPr>
            </w:pPr>
            <w:r w:rsidRPr="00B930B4">
              <w:rPr>
                <w:szCs w:val="24"/>
              </w:rPr>
              <w:t>Реализована возможность множественного выбора и контекстного поиска</w:t>
            </w:r>
          </w:p>
          <w:p w:rsidR="00D95FA6" w:rsidRPr="00B930B4" w:rsidRDefault="00D95FA6" w:rsidP="00D95FA6">
            <w:pPr>
              <w:ind w:left="29" w:firstLine="0"/>
              <w:jc w:val="left"/>
              <w:rPr>
                <w:szCs w:val="24"/>
              </w:rPr>
            </w:pPr>
            <w:r w:rsidRPr="00B930B4">
              <w:rPr>
                <w:szCs w:val="24"/>
              </w:rPr>
              <w:t>По умолчанию установлено значение «Все»</w:t>
            </w:r>
          </w:p>
          <w:p w:rsidR="00D95FA6" w:rsidRPr="00B930B4" w:rsidRDefault="00D95FA6" w:rsidP="00D95FA6">
            <w:pPr>
              <w:ind w:left="29" w:firstLine="0"/>
              <w:jc w:val="left"/>
              <w:rPr>
                <w:szCs w:val="24"/>
              </w:rPr>
            </w:pPr>
            <w:r w:rsidRPr="00B930B4">
              <w:rPr>
                <w:szCs w:val="24"/>
              </w:rPr>
              <w:t>Реализована автоматическая передача выбранного значения данного фильтра между представлениями</w:t>
            </w:r>
          </w:p>
        </w:tc>
        <w:tc>
          <w:tcPr>
            <w:tcW w:w="4252" w:type="dxa"/>
          </w:tcPr>
          <w:p w:rsidR="00D95FA6" w:rsidRPr="00B930B4" w:rsidRDefault="00D95FA6" w:rsidP="00D95FA6">
            <w:pPr>
              <w:ind w:left="64" w:firstLine="0"/>
              <w:jc w:val="left"/>
              <w:rPr>
                <w:szCs w:val="24"/>
              </w:rPr>
            </w:pPr>
            <w:r w:rsidRPr="00B930B4">
              <w:rPr>
                <w:szCs w:val="24"/>
              </w:rPr>
              <w:t>ПУР АСС =&gt; График платежей =&gt; КБК</w:t>
            </w:r>
          </w:p>
        </w:tc>
      </w:tr>
    </w:tbl>
    <w:p w:rsidR="00D95FA6" w:rsidRDefault="00D95FA6" w:rsidP="00D95FA6">
      <w:pPr>
        <w:pStyle w:val="-0"/>
      </w:pPr>
    </w:p>
    <w:p w:rsidR="0085585F" w:rsidRDefault="0085585F" w:rsidP="0085585F">
      <w:pPr>
        <w:pStyle w:val="46"/>
        <w:keepNext/>
      </w:pPr>
      <w:r w:rsidRPr="0085585F">
        <w:t>Представление «Бюджеты муниципальных образований» - «По значениям результатов»</w:t>
      </w:r>
      <w:r>
        <w:rPr>
          <w:noProof/>
        </w:rPr>
        <w:drawing>
          <wp:inline distT="0" distB="0" distL="0" distR="0" wp14:anchorId="4C193001" wp14:editId="7D5367F5">
            <wp:extent cx="5939790" cy="2997821"/>
            <wp:effectExtent l="0" t="0" r="3810" b="0"/>
            <wp:docPr id="5820" name="Рисунок 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5939790" cy="2997821"/>
                    </a:xfrm>
                    <a:prstGeom prst="rect">
                      <a:avLst/>
                    </a:prstGeom>
                  </pic:spPr>
                </pic:pic>
              </a:graphicData>
            </a:graphic>
          </wp:inline>
        </w:drawing>
      </w:r>
    </w:p>
    <w:p w:rsidR="0085585F" w:rsidRDefault="0085585F" w:rsidP="0085585F">
      <w:pPr>
        <w:pStyle w:val="-0"/>
      </w:pPr>
      <w:bookmarkStart w:id="903" w:name="_Toc119584428"/>
      <w:r>
        <w:t xml:space="preserve">Рисунок </w:t>
      </w:r>
      <w:fldSimple w:instr=" SEQ Рисунок \* ARABIC ">
        <w:r w:rsidR="001860A9">
          <w:rPr>
            <w:noProof/>
          </w:rPr>
          <w:t>241</w:t>
        </w:r>
      </w:fldSimple>
      <w:r>
        <w:t xml:space="preserve"> – Макет отчета «</w:t>
      </w:r>
      <w:r w:rsidRPr="00335AA9">
        <w:rPr>
          <w:rStyle w:val="af1"/>
        </w:rPr>
        <w:t>Реестр соглашений о предоставлении субсидий из федерального бюджета (бюджетов субъектов Российской Федерации, местных бюджетов)</w:t>
      </w:r>
      <w:r>
        <w:t>». Представление</w:t>
      </w:r>
      <w:r w:rsidRPr="00D84966">
        <w:t xml:space="preserve"> «</w:t>
      </w:r>
      <w:r>
        <w:t>Б</w:t>
      </w:r>
      <w:r w:rsidRPr="00D84966">
        <w:t>юджет</w:t>
      </w:r>
      <w:r>
        <w:t xml:space="preserve"> муниципальных образований</w:t>
      </w:r>
      <w:r w:rsidRPr="00D84966">
        <w:t>»</w:t>
      </w:r>
      <w:r>
        <w:t xml:space="preserve"> -</w:t>
      </w:r>
      <w:r w:rsidRPr="00D84966">
        <w:t xml:space="preserve"> «По</w:t>
      </w:r>
      <w:r>
        <w:t xml:space="preserve"> знаниям результатов</w:t>
      </w:r>
      <w:r w:rsidRPr="00D84966">
        <w:t>»</w:t>
      </w:r>
      <w:bookmarkEnd w:id="903"/>
    </w:p>
    <w:p w:rsidR="0085585F" w:rsidRPr="00B4606A" w:rsidRDefault="0085585F" w:rsidP="0085585F">
      <w:pPr>
        <w:ind w:firstLine="851"/>
        <w:rPr>
          <w:sz w:val="28"/>
          <w:szCs w:val="28"/>
        </w:rPr>
      </w:pPr>
      <w:r w:rsidRPr="00B4606A">
        <w:rPr>
          <w:sz w:val="28"/>
          <w:szCs w:val="28"/>
        </w:rPr>
        <w:t>Область таблицы: на строке «Итого» отображаются общие значения только по уникальным реестровым записям.</w:t>
      </w:r>
    </w:p>
    <w:tbl>
      <w:tblPr>
        <w:tblStyle w:val="affe"/>
        <w:tblW w:w="10348" w:type="dxa"/>
        <w:tblInd w:w="-459" w:type="dxa"/>
        <w:tblLayout w:type="fixed"/>
        <w:tblLook w:val="04A0" w:firstRow="1" w:lastRow="0" w:firstColumn="1" w:lastColumn="0" w:noHBand="0" w:noVBand="1"/>
      </w:tblPr>
      <w:tblGrid>
        <w:gridCol w:w="567"/>
        <w:gridCol w:w="1276"/>
        <w:gridCol w:w="992"/>
        <w:gridCol w:w="3402"/>
        <w:gridCol w:w="4111"/>
      </w:tblGrid>
      <w:tr w:rsidR="0085585F" w:rsidRPr="00B4606A" w:rsidTr="0085585F">
        <w:trPr>
          <w:tblHeader/>
        </w:trPr>
        <w:tc>
          <w:tcPr>
            <w:tcW w:w="567"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 колонки</w:t>
            </w:r>
          </w:p>
        </w:tc>
        <w:tc>
          <w:tcPr>
            <w:tcW w:w="1276"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Наименование</w:t>
            </w:r>
          </w:p>
        </w:tc>
        <w:tc>
          <w:tcPr>
            <w:tcW w:w="992" w:type="dxa"/>
            <w:shd w:val="clear" w:color="auto" w:fill="F2F2F2" w:themeFill="background1" w:themeFillShade="F2"/>
            <w:vAlign w:val="center"/>
          </w:tcPr>
          <w:p w:rsidR="0085585F" w:rsidRPr="00B4606A" w:rsidRDefault="0085585F" w:rsidP="00C15A7E">
            <w:pPr>
              <w:ind w:left="34" w:firstLine="0"/>
              <w:jc w:val="center"/>
              <w:rPr>
                <w:b/>
                <w:szCs w:val="24"/>
              </w:rPr>
            </w:pPr>
            <w:r w:rsidRPr="00B4606A">
              <w:rPr>
                <w:b/>
                <w:szCs w:val="24"/>
              </w:rPr>
              <w:t>Колонка по умолчанию</w:t>
            </w:r>
          </w:p>
        </w:tc>
        <w:tc>
          <w:tcPr>
            <w:tcW w:w="3402"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Алгоритмы и переходы</w:t>
            </w:r>
          </w:p>
        </w:tc>
        <w:tc>
          <w:tcPr>
            <w:tcW w:w="4111" w:type="dxa"/>
            <w:shd w:val="clear" w:color="auto" w:fill="F2F2F2" w:themeFill="background1" w:themeFillShade="F2"/>
            <w:vAlign w:val="center"/>
          </w:tcPr>
          <w:p w:rsidR="0085585F" w:rsidRPr="00B4606A" w:rsidRDefault="0085585F" w:rsidP="00C15A7E">
            <w:pPr>
              <w:ind w:left="34" w:firstLine="0"/>
              <w:jc w:val="center"/>
              <w:rPr>
                <w:b/>
                <w:szCs w:val="24"/>
              </w:rPr>
            </w:pPr>
            <w:r w:rsidRPr="00B4606A">
              <w:rPr>
                <w:b/>
                <w:szCs w:val="24"/>
              </w:rPr>
              <w:t>Источник данных</w:t>
            </w:r>
          </w:p>
        </w:tc>
      </w:tr>
      <w:tr w:rsidR="0085585F" w:rsidRPr="00B4606A" w:rsidTr="0085585F">
        <w:tc>
          <w:tcPr>
            <w:tcW w:w="10348" w:type="dxa"/>
            <w:gridSpan w:val="5"/>
            <w:shd w:val="clear" w:color="auto" w:fill="D9D9D9" w:themeFill="background1" w:themeFillShade="D9"/>
          </w:tcPr>
          <w:p w:rsidR="0085585F" w:rsidRPr="00B4606A" w:rsidRDefault="0085585F" w:rsidP="00C15A7E">
            <w:pPr>
              <w:ind w:left="34" w:firstLine="0"/>
              <w:jc w:val="center"/>
              <w:rPr>
                <w:szCs w:val="24"/>
              </w:rPr>
            </w:pPr>
            <w:r w:rsidRPr="00B4606A">
              <w:rPr>
                <w:szCs w:val="24"/>
              </w:rPr>
              <w:t>Блок реквизитов соглашения, распорядителя и получателя</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w:t>
            </w:r>
          </w:p>
        </w:tc>
        <w:tc>
          <w:tcPr>
            <w:tcW w:w="1276" w:type="dxa"/>
          </w:tcPr>
          <w:p w:rsidR="0085585F" w:rsidRPr="00B4606A" w:rsidRDefault="0085585F" w:rsidP="00C15A7E">
            <w:pPr>
              <w:ind w:firstLine="0"/>
              <w:jc w:val="left"/>
              <w:rPr>
                <w:szCs w:val="24"/>
              </w:rPr>
            </w:pPr>
            <w:r w:rsidRPr="00B4606A">
              <w:rPr>
                <w:szCs w:val="24"/>
              </w:rPr>
              <w:t>Уникальный реестровый номер записи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Реализованы переходы:</w:t>
            </w:r>
          </w:p>
          <w:p w:rsidR="0085585F" w:rsidRPr="00B4606A" w:rsidRDefault="0085585F" w:rsidP="00C15A7E">
            <w:pPr>
              <w:ind w:firstLine="0"/>
              <w:jc w:val="left"/>
              <w:rPr>
                <w:szCs w:val="24"/>
              </w:rPr>
            </w:pPr>
            <w:r w:rsidRPr="00B4606A">
              <w:rPr>
                <w:szCs w:val="24"/>
              </w:rPr>
              <w:t>- «Показать в ПУР»;</w:t>
            </w:r>
          </w:p>
          <w:p w:rsidR="0085585F" w:rsidRPr="00B4606A" w:rsidRDefault="0085585F" w:rsidP="00C15A7E">
            <w:pPr>
              <w:ind w:firstLine="0"/>
              <w:jc w:val="left"/>
              <w:rPr>
                <w:szCs w:val="24"/>
              </w:rPr>
            </w:pPr>
            <w:r w:rsidRPr="00B4606A">
              <w:rPr>
                <w:szCs w:val="24"/>
              </w:rPr>
              <w:t>- «Реестр соглашений (ЕПБС)» (Вкладка «Общие сведения»);</w:t>
            </w:r>
          </w:p>
          <w:p w:rsidR="0085585F" w:rsidRPr="00B4606A" w:rsidRDefault="0085585F" w:rsidP="00C15A7E">
            <w:pPr>
              <w:ind w:firstLine="0"/>
              <w:jc w:val="left"/>
              <w:rPr>
                <w:szCs w:val="24"/>
              </w:rPr>
            </w:pPr>
            <w:r w:rsidRPr="00B4606A">
              <w:rPr>
                <w:szCs w:val="24"/>
              </w:rPr>
              <w:t>- «По соглашениям (Бюджеты муниципальных образований)».</w:t>
            </w:r>
          </w:p>
        </w:tc>
        <w:tc>
          <w:tcPr>
            <w:tcW w:w="4111" w:type="dxa"/>
          </w:tcPr>
          <w:p w:rsidR="0085585F" w:rsidRPr="00B4606A" w:rsidRDefault="0085585F" w:rsidP="00C15A7E">
            <w:pPr>
              <w:ind w:left="34" w:firstLine="0"/>
              <w:jc w:val="left"/>
              <w:rPr>
                <w:szCs w:val="24"/>
              </w:rPr>
            </w:pPr>
            <w:r w:rsidRPr="00B4606A">
              <w:rPr>
                <w:szCs w:val="24"/>
              </w:rPr>
              <w:t>ПУР АСС =&gt; Реквизиты соглашения (договора), НПА =&gt; Уникальный номер реестровой записи (без учета номера версии, т.е. последних 3-х символов)</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2</w:t>
            </w:r>
          </w:p>
        </w:tc>
        <w:tc>
          <w:tcPr>
            <w:tcW w:w="1276" w:type="dxa"/>
          </w:tcPr>
          <w:p w:rsidR="0085585F" w:rsidRPr="00B4606A" w:rsidRDefault="0085585F" w:rsidP="00C15A7E">
            <w:pPr>
              <w:ind w:firstLine="0"/>
              <w:jc w:val="left"/>
              <w:rPr>
                <w:szCs w:val="24"/>
              </w:rPr>
            </w:pPr>
            <w:r w:rsidRPr="00B4606A">
              <w:rPr>
                <w:szCs w:val="24"/>
              </w:rPr>
              <w:t>Код ГРБС</w:t>
            </w:r>
          </w:p>
        </w:tc>
        <w:tc>
          <w:tcPr>
            <w:tcW w:w="992" w:type="dxa"/>
          </w:tcPr>
          <w:p w:rsidR="0085585F" w:rsidRPr="00B4606A" w:rsidRDefault="0085585F" w:rsidP="00C15A7E">
            <w:pPr>
              <w:ind w:left="34" w:firstLine="0"/>
              <w:jc w:val="left"/>
              <w:rPr>
                <w:szCs w:val="24"/>
              </w:rPr>
            </w:pPr>
            <w:r w:rsidRPr="00B4606A">
              <w:rPr>
                <w:szCs w:val="24"/>
              </w:rPr>
              <w:t>Скрыта</w:t>
            </w:r>
          </w:p>
        </w:tc>
        <w:tc>
          <w:tcPr>
            <w:tcW w:w="3402" w:type="dxa"/>
          </w:tcPr>
          <w:p w:rsidR="0085585F" w:rsidRPr="00B4606A" w:rsidRDefault="0085585F" w:rsidP="00C15A7E">
            <w:pPr>
              <w:pStyle w:val="afff6"/>
              <w:ind w:left="0" w:firstLine="0"/>
              <w:jc w:val="left"/>
              <w:rPr>
                <w:sz w:val="24"/>
                <w:szCs w:val="24"/>
              </w:rPr>
            </w:pPr>
          </w:p>
        </w:tc>
        <w:tc>
          <w:tcPr>
            <w:tcW w:w="4111" w:type="dxa"/>
            <w:shd w:val="clear" w:color="auto" w:fill="auto"/>
          </w:tcPr>
          <w:p w:rsidR="0085585F" w:rsidRPr="00B4606A" w:rsidRDefault="0085585F" w:rsidP="00C15A7E">
            <w:pPr>
              <w:ind w:left="34" w:firstLine="0"/>
              <w:jc w:val="left"/>
              <w:rPr>
                <w:szCs w:val="24"/>
              </w:rPr>
            </w:pPr>
            <w:r w:rsidRPr="00B4606A">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3</w:t>
            </w:r>
          </w:p>
        </w:tc>
        <w:tc>
          <w:tcPr>
            <w:tcW w:w="1276" w:type="dxa"/>
          </w:tcPr>
          <w:p w:rsidR="0085585F" w:rsidRPr="00B4606A" w:rsidRDefault="0085585F" w:rsidP="00C15A7E">
            <w:pPr>
              <w:ind w:firstLine="0"/>
              <w:jc w:val="left"/>
              <w:rPr>
                <w:szCs w:val="24"/>
              </w:rPr>
            </w:pPr>
            <w:r w:rsidRPr="00B4606A">
              <w:rPr>
                <w:szCs w:val="24"/>
              </w:rPr>
              <w:t>Наименование ГРБС</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Реквизиты ГРБС/иного юридического лица, который предоставляет средства =&gt; Полное наименование ГРБС/иного юридического лица</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4</w:t>
            </w:r>
          </w:p>
        </w:tc>
        <w:tc>
          <w:tcPr>
            <w:tcW w:w="1276" w:type="dxa"/>
          </w:tcPr>
          <w:p w:rsidR="0085585F" w:rsidRPr="00B4606A" w:rsidRDefault="0085585F" w:rsidP="00C15A7E">
            <w:pPr>
              <w:ind w:firstLine="0"/>
              <w:jc w:val="left"/>
              <w:rPr>
                <w:szCs w:val="24"/>
              </w:rPr>
            </w:pPr>
            <w:r w:rsidRPr="00B4606A">
              <w:rPr>
                <w:szCs w:val="24"/>
              </w:rPr>
              <w:t>Наименование получателя</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Реквизиты получателя субсидии =&gt; Полное наименование юридического лица/ФИО физического лица на русском языке</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5</w:t>
            </w:r>
          </w:p>
        </w:tc>
        <w:tc>
          <w:tcPr>
            <w:tcW w:w="1276" w:type="dxa"/>
          </w:tcPr>
          <w:p w:rsidR="0085585F" w:rsidRPr="00B4606A" w:rsidRDefault="0085585F" w:rsidP="00C15A7E">
            <w:pPr>
              <w:ind w:firstLine="0"/>
              <w:jc w:val="left"/>
              <w:rPr>
                <w:szCs w:val="24"/>
              </w:rPr>
            </w:pPr>
            <w:r w:rsidRPr="00B4606A">
              <w:rPr>
                <w:szCs w:val="24"/>
              </w:rPr>
              <w:t>Код получателя по СвР</w:t>
            </w:r>
          </w:p>
        </w:tc>
        <w:tc>
          <w:tcPr>
            <w:tcW w:w="992" w:type="dxa"/>
          </w:tcPr>
          <w:p w:rsidR="0085585F" w:rsidRPr="00B4606A" w:rsidRDefault="0085585F" w:rsidP="00C15A7E">
            <w:pPr>
              <w:ind w:left="34" w:firstLine="0"/>
              <w:jc w:val="left"/>
              <w:rPr>
                <w:szCs w:val="24"/>
              </w:rPr>
            </w:pPr>
            <w:r w:rsidRPr="00B4606A">
              <w:rPr>
                <w:szCs w:val="24"/>
              </w:rPr>
              <w:t>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Реквизиты получателя субсидии =&gt; Код по сводному реестру</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6</w:t>
            </w:r>
          </w:p>
        </w:tc>
        <w:tc>
          <w:tcPr>
            <w:tcW w:w="1276" w:type="dxa"/>
          </w:tcPr>
          <w:p w:rsidR="0085585F" w:rsidRPr="00B4606A" w:rsidRDefault="0085585F" w:rsidP="00C15A7E">
            <w:pPr>
              <w:ind w:firstLine="0"/>
              <w:jc w:val="left"/>
              <w:rPr>
                <w:szCs w:val="24"/>
              </w:rPr>
            </w:pPr>
            <w:r w:rsidRPr="00B4606A">
              <w:rPr>
                <w:szCs w:val="24"/>
              </w:rPr>
              <w:t>ИНН получателя</w:t>
            </w:r>
          </w:p>
        </w:tc>
        <w:tc>
          <w:tcPr>
            <w:tcW w:w="992" w:type="dxa"/>
          </w:tcPr>
          <w:p w:rsidR="0085585F" w:rsidRPr="00B4606A" w:rsidRDefault="0085585F" w:rsidP="00C15A7E">
            <w:pPr>
              <w:ind w:left="34" w:firstLine="0"/>
              <w:jc w:val="left"/>
              <w:rPr>
                <w:szCs w:val="24"/>
              </w:rPr>
            </w:pPr>
            <w:r w:rsidRPr="00B4606A">
              <w:rPr>
                <w:szCs w:val="24"/>
              </w:rPr>
              <w:t>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Реквизиты получателя субсидии =&gt; ИНН</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7</w:t>
            </w:r>
          </w:p>
        </w:tc>
        <w:tc>
          <w:tcPr>
            <w:tcW w:w="1276" w:type="dxa"/>
          </w:tcPr>
          <w:p w:rsidR="0085585F" w:rsidRPr="00B4606A" w:rsidRDefault="0085585F" w:rsidP="00C15A7E">
            <w:pPr>
              <w:ind w:firstLine="0"/>
              <w:jc w:val="left"/>
              <w:rPr>
                <w:szCs w:val="24"/>
              </w:rPr>
            </w:pPr>
            <w:r w:rsidRPr="00B4606A">
              <w:rPr>
                <w:szCs w:val="24"/>
              </w:rPr>
              <w:t>КПП получателя</w:t>
            </w:r>
          </w:p>
        </w:tc>
        <w:tc>
          <w:tcPr>
            <w:tcW w:w="992" w:type="dxa"/>
          </w:tcPr>
          <w:p w:rsidR="0085585F" w:rsidRPr="00B4606A" w:rsidRDefault="0085585F" w:rsidP="00C15A7E">
            <w:pPr>
              <w:ind w:left="34" w:firstLine="0"/>
              <w:jc w:val="left"/>
              <w:rPr>
                <w:szCs w:val="24"/>
              </w:rPr>
            </w:pPr>
            <w:r w:rsidRPr="00B4606A">
              <w:rPr>
                <w:szCs w:val="24"/>
              </w:rPr>
              <w:t>Скрыта</w:t>
            </w:r>
          </w:p>
        </w:tc>
        <w:tc>
          <w:tcPr>
            <w:tcW w:w="3402" w:type="dxa"/>
          </w:tcPr>
          <w:p w:rsidR="0085585F" w:rsidRPr="00B4606A" w:rsidRDefault="0085585F" w:rsidP="00C15A7E">
            <w:pPr>
              <w:ind w:firstLine="0"/>
              <w:jc w:val="left"/>
              <w:rPr>
                <w:szCs w:val="24"/>
              </w:rPr>
            </w:pPr>
          </w:p>
        </w:tc>
        <w:tc>
          <w:tcPr>
            <w:tcW w:w="4111" w:type="dxa"/>
            <w:shd w:val="clear" w:color="auto" w:fill="auto"/>
          </w:tcPr>
          <w:p w:rsidR="0085585F" w:rsidRPr="00B4606A" w:rsidRDefault="0085585F" w:rsidP="00C15A7E">
            <w:pPr>
              <w:ind w:left="34" w:firstLine="0"/>
              <w:jc w:val="left"/>
              <w:rPr>
                <w:szCs w:val="24"/>
              </w:rPr>
            </w:pPr>
            <w:r w:rsidRPr="00B4606A">
              <w:rPr>
                <w:szCs w:val="24"/>
              </w:rPr>
              <w:t>ПУР АСС =&gt; Реквизиты получателя субсидии =&gt; КПП</w:t>
            </w:r>
          </w:p>
        </w:tc>
      </w:tr>
      <w:tr w:rsidR="0085585F" w:rsidRPr="00B4606A" w:rsidTr="0085585F">
        <w:tc>
          <w:tcPr>
            <w:tcW w:w="10348" w:type="dxa"/>
            <w:gridSpan w:val="5"/>
            <w:shd w:val="clear" w:color="auto" w:fill="D9D9D9" w:themeFill="background1" w:themeFillShade="D9"/>
          </w:tcPr>
          <w:p w:rsidR="0085585F" w:rsidRPr="00B4606A" w:rsidRDefault="0085585F" w:rsidP="00C15A7E">
            <w:pPr>
              <w:ind w:left="34" w:firstLine="0"/>
              <w:jc w:val="center"/>
              <w:rPr>
                <w:szCs w:val="24"/>
              </w:rPr>
            </w:pPr>
            <w:r w:rsidRPr="00B4606A">
              <w:rPr>
                <w:szCs w:val="24"/>
              </w:rPr>
              <w:t>Блок по значениям результатов</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8</w:t>
            </w:r>
          </w:p>
        </w:tc>
        <w:tc>
          <w:tcPr>
            <w:tcW w:w="1276" w:type="dxa"/>
          </w:tcPr>
          <w:p w:rsidR="0085585F" w:rsidRPr="00B4606A" w:rsidRDefault="0085585F" w:rsidP="00C15A7E">
            <w:pPr>
              <w:ind w:firstLine="0"/>
              <w:jc w:val="left"/>
              <w:rPr>
                <w:szCs w:val="24"/>
              </w:rPr>
            </w:pPr>
            <w:r w:rsidRPr="00B4606A">
              <w:rPr>
                <w:szCs w:val="24"/>
              </w:rPr>
              <w:t>Уникальный код показателя результативности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Сопоставление планового и фактического значения</w:t>
            </w: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 xml:space="preserve">ПУР АСС =&gt; </w:t>
            </w:r>
          </w:p>
          <w:p w:rsidR="0085585F" w:rsidRPr="00B4606A" w:rsidRDefault="0085585F" w:rsidP="00C15A7E">
            <w:pPr>
              <w:pStyle w:val="afff6"/>
              <w:ind w:left="34" w:firstLine="0"/>
              <w:jc w:val="left"/>
              <w:rPr>
                <w:sz w:val="24"/>
                <w:szCs w:val="24"/>
              </w:rPr>
            </w:pPr>
            <w:r w:rsidRPr="00B4606A">
              <w:rPr>
                <w:sz w:val="24"/>
                <w:szCs w:val="24"/>
              </w:rPr>
              <w:t>- Реквизиты соглашения (договора), НПА =&gt; Плановые показатели результативности =&gt; Код результата федерального(регионального) проекта</w:t>
            </w:r>
          </w:p>
          <w:p w:rsidR="0085585F" w:rsidRPr="00B4606A" w:rsidRDefault="0085585F" w:rsidP="00C15A7E">
            <w:pPr>
              <w:pStyle w:val="afff6"/>
              <w:ind w:left="34" w:firstLine="0"/>
              <w:jc w:val="left"/>
              <w:rPr>
                <w:sz w:val="24"/>
                <w:szCs w:val="24"/>
              </w:rPr>
            </w:pPr>
            <w:r w:rsidRPr="00B4606A">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Уникальный код показателя</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9</w:t>
            </w:r>
          </w:p>
        </w:tc>
        <w:tc>
          <w:tcPr>
            <w:tcW w:w="1276" w:type="dxa"/>
          </w:tcPr>
          <w:p w:rsidR="0085585F" w:rsidRPr="00B4606A" w:rsidRDefault="0085585F" w:rsidP="00C15A7E">
            <w:pPr>
              <w:ind w:firstLine="0"/>
              <w:jc w:val="left"/>
              <w:rPr>
                <w:szCs w:val="24"/>
              </w:rPr>
            </w:pPr>
            <w:r w:rsidRPr="00B4606A">
              <w:rPr>
                <w:szCs w:val="24"/>
              </w:rPr>
              <w:t>№ показателя</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Сопоставление планового и фактического значения</w:t>
            </w: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w:t>
            </w:r>
          </w:p>
          <w:p w:rsidR="0085585F" w:rsidRPr="00B4606A" w:rsidRDefault="0085585F" w:rsidP="00C15A7E">
            <w:pPr>
              <w:pStyle w:val="afff6"/>
              <w:ind w:left="34" w:firstLine="0"/>
              <w:jc w:val="left"/>
              <w:rPr>
                <w:sz w:val="24"/>
                <w:szCs w:val="24"/>
              </w:rPr>
            </w:pPr>
            <w:r w:rsidRPr="00B4606A">
              <w:rPr>
                <w:sz w:val="24"/>
                <w:szCs w:val="24"/>
              </w:rPr>
              <w:t>- Реквизиты соглашения (договора), НПА =&gt; Плановые показатели результативности =&gt; Номер показателя результативности/ результата федерального (регионального) проекта</w:t>
            </w:r>
          </w:p>
          <w:p w:rsidR="0085585F" w:rsidRPr="00B4606A" w:rsidRDefault="0085585F" w:rsidP="00C15A7E">
            <w:pPr>
              <w:pStyle w:val="afff6"/>
              <w:ind w:left="34" w:firstLine="0"/>
              <w:jc w:val="left"/>
              <w:rPr>
                <w:sz w:val="24"/>
                <w:szCs w:val="24"/>
              </w:rPr>
            </w:pPr>
            <w:r w:rsidRPr="00B4606A">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Номер показателя</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10</w:t>
            </w:r>
          </w:p>
        </w:tc>
        <w:tc>
          <w:tcPr>
            <w:tcW w:w="1276" w:type="dxa"/>
          </w:tcPr>
          <w:p w:rsidR="0085585F" w:rsidRPr="00B4606A" w:rsidRDefault="0085585F" w:rsidP="00C15A7E">
            <w:pPr>
              <w:ind w:firstLine="0"/>
              <w:jc w:val="left"/>
              <w:rPr>
                <w:szCs w:val="24"/>
              </w:rPr>
            </w:pPr>
            <w:r w:rsidRPr="00B4606A">
              <w:rPr>
                <w:szCs w:val="24"/>
              </w:rPr>
              <w:t>Наименование показателя результативности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Сопоставление планового и фактического значения</w:t>
            </w: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w:t>
            </w:r>
          </w:p>
          <w:p w:rsidR="0085585F" w:rsidRPr="00B4606A" w:rsidRDefault="0085585F" w:rsidP="00C15A7E">
            <w:pPr>
              <w:pStyle w:val="afff6"/>
              <w:ind w:left="34" w:firstLine="0"/>
              <w:jc w:val="left"/>
              <w:rPr>
                <w:sz w:val="24"/>
                <w:szCs w:val="24"/>
              </w:rPr>
            </w:pPr>
            <w:r w:rsidRPr="00B4606A">
              <w:rPr>
                <w:sz w:val="24"/>
                <w:szCs w:val="24"/>
              </w:rPr>
              <w:t>- Реквизиты соглашения (договора), НПА =&gt; Плановые показатели результативности =&gt; Наименование показателя результативности/результата федерального(регионального) проекта</w:t>
            </w:r>
          </w:p>
          <w:p w:rsidR="0085585F" w:rsidRPr="00B4606A" w:rsidRDefault="0085585F" w:rsidP="00C15A7E">
            <w:pPr>
              <w:pStyle w:val="afff6"/>
              <w:ind w:left="34" w:firstLine="0"/>
              <w:jc w:val="left"/>
              <w:rPr>
                <w:sz w:val="24"/>
                <w:szCs w:val="24"/>
              </w:rPr>
            </w:pPr>
            <w:r w:rsidRPr="00B4606A">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Наименование показателя результативности</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11</w:t>
            </w:r>
          </w:p>
        </w:tc>
        <w:tc>
          <w:tcPr>
            <w:tcW w:w="1276" w:type="dxa"/>
          </w:tcPr>
          <w:p w:rsidR="0085585F" w:rsidRPr="00B4606A" w:rsidRDefault="0085585F" w:rsidP="00C15A7E">
            <w:pPr>
              <w:ind w:firstLine="0"/>
              <w:jc w:val="left"/>
              <w:rPr>
                <w:szCs w:val="24"/>
              </w:rPr>
            </w:pPr>
            <w:r w:rsidRPr="00B4606A">
              <w:rPr>
                <w:szCs w:val="24"/>
              </w:rPr>
              <w:t>Единицы измерения показателя результативности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Сопоставление планового и фактического значения</w:t>
            </w: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w:t>
            </w:r>
          </w:p>
          <w:p w:rsidR="0085585F" w:rsidRPr="00B4606A" w:rsidRDefault="0085585F" w:rsidP="00C15A7E">
            <w:pPr>
              <w:pStyle w:val="afff6"/>
              <w:ind w:left="34" w:firstLine="0"/>
              <w:jc w:val="left"/>
              <w:rPr>
                <w:sz w:val="24"/>
                <w:szCs w:val="24"/>
              </w:rPr>
            </w:pPr>
            <w:r w:rsidRPr="00B4606A">
              <w:rPr>
                <w:sz w:val="24"/>
                <w:szCs w:val="24"/>
              </w:rPr>
              <w:t>- Реквизиты соглашения (договора), НПА =&gt; Плановые показатели результативности =&gt; Единица измерения значения показателя результативности/ результата федерального (регионального) проекта</w:t>
            </w:r>
          </w:p>
          <w:p w:rsidR="0085585F" w:rsidRPr="00B4606A" w:rsidRDefault="0085585F" w:rsidP="00C15A7E">
            <w:pPr>
              <w:pStyle w:val="afff6"/>
              <w:ind w:left="34" w:firstLine="0"/>
              <w:jc w:val="left"/>
              <w:rPr>
                <w:sz w:val="24"/>
                <w:szCs w:val="24"/>
              </w:rPr>
            </w:pPr>
            <w:r w:rsidRPr="00B4606A">
              <w:rPr>
                <w:sz w:val="24"/>
                <w:szCs w:val="24"/>
              </w:rPr>
              <w: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Единица измерения показателя результативности</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12</w:t>
            </w:r>
          </w:p>
        </w:tc>
        <w:tc>
          <w:tcPr>
            <w:tcW w:w="1276" w:type="dxa"/>
          </w:tcPr>
          <w:p w:rsidR="0085585F" w:rsidRPr="00B4606A" w:rsidRDefault="0085585F" w:rsidP="00C15A7E">
            <w:pPr>
              <w:ind w:firstLine="0"/>
              <w:jc w:val="left"/>
              <w:rPr>
                <w:szCs w:val="24"/>
              </w:rPr>
            </w:pPr>
            <w:r w:rsidRPr="00B4606A">
              <w:rPr>
                <w:szCs w:val="24"/>
              </w:rPr>
              <w:t>Плановая дата достижения результата</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 Реквизиты соглашения (договора), НПА =&gt; Плановые показатели результативности =&gt; Значение показателя по годам достижения =&gt; Срок (год), на который запланировано достижение показателя результативности (результата)</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13</w:t>
            </w:r>
          </w:p>
        </w:tc>
        <w:tc>
          <w:tcPr>
            <w:tcW w:w="1276" w:type="dxa"/>
          </w:tcPr>
          <w:p w:rsidR="0085585F" w:rsidRPr="00B4606A" w:rsidRDefault="0085585F" w:rsidP="00C15A7E">
            <w:pPr>
              <w:ind w:firstLine="0"/>
              <w:jc w:val="left"/>
              <w:rPr>
                <w:szCs w:val="24"/>
              </w:rPr>
            </w:pPr>
            <w:r w:rsidRPr="00B4606A">
              <w:rPr>
                <w:szCs w:val="24"/>
              </w:rPr>
              <w:t>Фактическая дата предоставления отчета о достижении результата</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Дата, на которую предоставляется информация</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14</w:t>
            </w:r>
          </w:p>
        </w:tc>
        <w:tc>
          <w:tcPr>
            <w:tcW w:w="1276" w:type="dxa"/>
          </w:tcPr>
          <w:p w:rsidR="0085585F" w:rsidRPr="00B4606A" w:rsidRDefault="0085585F" w:rsidP="00C15A7E">
            <w:pPr>
              <w:ind w:firstLine="0"/>
              <w:jc w:val="left"/>
              <w:rPr>
                <w:szCs w:val="24"/>
              </w:rPr>
            </w:pPr>
            <w:r w:rsidRPr="00B4606A">
              <w:rPr>
                <w:szCs w:val="24"/>
              </w:rPr>
              <w:t>Плановые значения показателей результативности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shd w:val="clear" w:color="auto" w:fill="auto"/>
          </w:tcPr>
          <w:p w:rsidR="0085585F" w:rsidRPr="00B4606A" w:rsidRDefault="0085585F" w:rsidP="00C15A7E">
            <w:pPr>
              <w:pStyle w:val="afff6"/>
              <w:ind w:left="34" w:firstLine="0"/>
              <w:jc w:val="left"/>
              <w:rPr>
                <w:sz w:val="24"/>
                <w:szCs w:val="24"/>
              </w:rPr>
            </w:pPr>
            <w:r w:rsidRPr="00B4606A">
              <w:rPr>
                <w:sz w:val="24"/>
                <w:szCs w:val="24"/>
              </w:rPr>
              <w:t>ПУР АСС =&gt; Реквизиты соглашения (договора), НПА =&gt; Плановые показатели результативности =&gt; Значение показателя по годам достижения =&gt; Плановое значение показателя реультативности (результата)</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15</w:t>
            </w:r>
          </w:p>
        </w:tc>
        <w:tc>
          <w:tcPr>
            <w:tcW w:w="1276" w:type="dxa"/>
          </w:tcPr>
          <w:p w:rsidR="0085585F" w:rsidRPr="00B4606A" w:rsidRDefault="0085585F" w:rsidP="00C15A7E">
            <w:pPr>
              <w:ind w:firstLine="0"/>
              <w:jc w:val="left"/>
              <w:rPr>
                <w:szCs w:val="24"/>
              </w:rPr>
            </w:pPr>
            <w:r w:rsidRPr="00B4606A">
              <w:rPr>
                <w:szCs w:val="24"/>
              </w:rPr>
              <w:t>Фактические значения показателей результативности</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Значение показателя результативности</w:t>
            </w: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16</w:t>
            </w:r>
          </w:p>
        </w:tc>
        <w:tc>
          <w:tcPr>
            <w:tcW w:w="1276" w:type="dxa"/>
          </w:tcPr>
          <w:p w:rsidR="0085585F" w:rsidRPr="00B4606A" w:rsidRDefault="0085585F" w:rsidP="00C15A7E">
            <w:pPr>
              <w:ind w:firstLine="0"/>
              <w:jc w:val="left"/>
              <w:rPr>
                <w:szCs w:val="24"/>
              </w:rPr>
            </w:pPr>
            <w:r w:rsidRPr="00B4606A">
              <w:rPr>
                <w:szCs w:val="24"/>
              </w:rPr>
              <w:t>Отклонение планового значения показателя результативности от фактического</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Расчетный показатель: фактическое значение минус плановое</w:t>
            </w:r>
          </w:p>
        </w:tc>
        <w:tc>
          <w:tcPr>
            <w:tcW w:w="4111" w:type="dxa"/>
          </w:tcPr>
          <w:p w:rsidR="0085585F" w:rsidRPr="00B4606A" w:rsidRDefault="0085585F" w:rsidP="00C15A7E">
            <w:pPr>
              <w:ind w:left="34" w:firstLine="0"/>
              <w:jc w:val="left"/>
              <w:rPr>
                <w:szCs w:val="24"/>
              </w:rPr>
            </w:pP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17</w:t>
            </w:r>
          </w:p>
        </w:tc>
        <w:tc>
          <w:tcPr>
            <w:tcW w:w="1276" w:type="dxa"/>
          </w:tcPr>
          <w:p w:rsidR="0085585F" w:rsidRPr="00B4606A" w:rsidRDefault="0085585F" w:rsidP="00C15A7E">
            <w:pPr>
              <w:ind w:firstLine="0"/>
              <w:jc w:val="left"/>
              <w:rPr>
                <w:szCs w:val="24"/>
              </w:rPr>
            </w:pPr>
            <w:r w:rsidRPr="00B4606A">
              <w:rPr>
                <w:szCs w:val="24"/>
              </w:rPr>
              <w:t>% достижения</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r w:rsidRPr="00B4606A">
              <w:rPr>
                <w:szCs w:val="24"/>
              </w:rPr>
              <w:t>Расчетный показатель: отношение фактического значения к плановому в процентном формате</w:t>
            </w:r>
          </w:p>
        </w:tc>
        <w:tc>
          <w:tcPr>
            <w:tcW w:w="4111" w:type="dxa"/>
          </w:tcPr>
          <w:p w:rsidR="0085585F" w:rsidRPr="00B4606A" w:rsidRDefault="0085585F" w:rsidP="00C15A7E">
            <w:pPr>
              <w:ind w:left="34" w:firstLine="0"/>
              <w:jc w:val="left"/>
              <w:rPr>
                <w:szCs w:val="24"/>
              </w:rPr>
            </w:pPr>
          </w:p>
        </w:tc>
      </w:tr>
      <w:tr w:rsidR="0085585F" w:rsidRPr="00B4606A" w:rsidTr="0085585F">
        <w:tc>
          <w:tcPr>
            <w:tcW w:w="567" w:type="dxa"/>
          </w:tcPr>
          <w:p w:rsidR="0085585F" w:rsidRPr="00B4606A" w:rsidRDefault="0085585F" w:rsidP="00C15A7E">
            <w:pPr>
              <w:ind w:firstLine="0"/>
              <w:jc w:val="left"/>
              <w:rPr>
                <w:szCs w:val="24"/>
              </w:rPr>
            </w:pPr>
            <w:r w:rsidRPr="00B4606A">
              <w:rPr>
                <w:szCs w:val="24"/>
              </w:rPr>
              <w:t>18</w:t>
            </w:r>
          </w:p>
        </w:tc>
        <w:tc>
          <w:tcPr>
            <w:tcW w:w="1276" w:type="dxa"/>
          </w:tcPr>
          <w:p w:rsidR="0085585F" w:rsidRPr="00B4606A" w:rsidRDefault="0085585F" w:rsidP="00C15A7E">
            <w:pPr>
              <w:ind w:firstLine="0"/>
              <w:jc w:val="left"/>
              <w:rPr>
                <w:szCs w:val="24"/>
              </w:rPr>
            </w:pPr>
            <w:r w:rsidRPr="00B4606A">
              <w:rPr>
                <w:szCs w:val="24"/>
              </w:rPr>
              <w:t>Причина отклонения достигнутых значений результатов</w:t>
            </w:r>
          </w:p>
        </w:tc>
        <w:tc>
          <w:tcPr>
            <w:tcW w:w="992" w:type="dxa"/>
          </w:tcPr>
          <w:p w:rsidR="0085585F" w:rsidRPr="00B4606A" w:rsidRDefault="0085585F" w:rsidP="00C15A7E">
            <w:pPr>
              <w:ind w:left="34" w:firstLine="0"/>
              <w:jc w:val="left"/>
              <w:rPr>
                <w:szCs w:val="24"/>
              </w:rPr>
            </w:pPr>
            <w:r w:rsidRPr="00B4606A">
              <w:rPr>
                <w:szCs w:val="24"/>
              </w:rPr>
              <w:t>Раскрыта</w:t>
            </w:r>
          </w:p>
        </w:tc>
        <w:tc>
          <w:tcPr>
            <w:tcW w:w="3402" w:type="dxa"/>
          </w:tcPr>
          <w:p w:rsidR="0085585F" w:rsidRPr="00B4606A" w:rsidRDefault="0085585F" w:rsidP="00C15A7E">
            <w:pPr>
              <w:ind w:firstLine="0"/>
              <w:jc w:val="left"/>
              <w:rPr>
                <w:szCs w:val="24"/>
              </w:rPr>
            </w:pPr>
          </w:p>
        </w:tc>
        <w:tc>
          <w:tcPr>
            <w:tcW w:w="4111" w:type="dxa"/>
          </w:tcPr>
          <w:p w:rsidR="0085585F" w:rsidRPr="00B4606A" w:rsidRDefault="0085585F" w:rsidP="00C15A7E">
            <w:pPr>
              <w:ind w:left="34" w:firstLine="0"/>
              <w:jc w:val="left"/>
              <w:rPr>
                <w:szCs w:val="24"/>
              </w:rPr>
            </w:pPr>
            <w:r w:rsidRPr="00B4606A">
              <w:rPr>
                <w:szCs w:val="24"/>
              </w:rPr>
              <w:t>ПУР АСС =&gt; Перечень информации об отчетности =&gt;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 =&gt; Причина отклонения достигнутых значений показателей результативности</w:t>
            </w:r>
          </w:p>
        </w:tc>
      </w:tr>
    </w:tbl>
    <w:p w:rsidR="0085585F" w:rsidRPr="002D1FAC" w:rsidRDefault="0085585F" w:rsidP="0085585F"/>
    <w:p w:rsidR="0085585F" w:rsidRPr="00B4606A" w:rsidRDefault="0085585F" w:rsidP="0085585F">
      <w:pPr>
        <w:ind w:firstLine="709"/>
        <w:rPr>
          <w:sz w:val="28"/>
          <w:szCs w:val="28"/>
        </w:rPr>
      </w:pPr>
      <w:r w:rsidRPr="00B4606A">
        <w:rPr>
          <w:sz w:val="28"/>
          <w:szCs w:val="28"/>
        </w:rPr>
        <w:t>Область фильтров:</w:t>
      </w:r>
    </w:p>
    <w:tbl>
      <w:tblPr>
        <w:tblStyle w:val="affe"/>
        <w:tblW w:w="10348" w:type="dxa"/>
        <w:tblInd w:w="-176" w:type="dxa"/>
        <w:tblLook w:val="04A0" w:firstRow="1" w:lastRow="0" w:firstColumn="1" w:lastColumn="0" w:noHBand="0" w:noVBand="1"/>
      </w:tblPr>
      <w:tblGrid>
        <w:gridCol w:w="567"/>
        <w:gridCol w:w="1895"/>
        <w:gridCol w:w="3634"/>
        <w:gridCol w:w="4252"/>
      </w:tblGrid>
      <w:tr w:rsidR="0085585F" w:rsidRPr="00B4606A" w:rsidTr="005D6F45">
        <w:trPr>
          <w:tblHeader/>
        </w:trPr>
        <w:tc>
          <w:tcPr>
            <w:tcW w:w="567"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 п/п</w:t>
            </w:r>
          </w:p>
        </w:tc>
        <w:tc>
          <w:tcPr>
            <w:tcW w:w="1895"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Наименование фильтра</w:t>
            </w:r>
          </w:p>
        </w:tc>
        <w:tc>
          <w:tcPr>
            <w:tcW w:w="3634" w:type="dxa"/>
            <w:shd w:val="clear" w:color="auto" w:fill="F2F2F2" w:themeFill="background1" w:themeFillShade="F2"/>
            <w:vAlign w:val="center"/>
          </w:tcPr>
          <w:p w:rsidR="0085585F" w:rsidRPr="00B4606A" w:rsidRDefault="0085585F" w:rsidP="00C15A7E">
            <w:pPr>
              <w:ind w:left="29" w:firstLine="0"/>
              <w:jc w:val="center"/>
              <w:rPr>
                <w:b/>
                <w:szCs w:val="24"/>
              </w:rPr>
            </w:pPr>
            <w:r w:rsidRPr="00B4606A">
              <w:rPr>
                <w:b/>
                <w:szCs w:val="24"/>
              </w:rPr>
              <w:t>Алгоритм</w:t>
            </w:r>
          </w:p>
        </w:tc>
        <w:tc>
          <w:tcPr>
            <w:tcW w:w="4252" w:type="dxa"/>
            <w:shd w:val="clear" w:color="auto" w:fill="F2F2F2" w:themeFill="background1" w:themeFillShade="F2"/>
            <w:vAlign w:val="center"/>
          </w:tcPr>
          <w:p w:rsidR="0085585F" w:rsidRPr="00B4606A" w:rsidRDefault="0085585F" w:rsidP="00C15A7E">
            <w:pPr>
              <w:ind w:firstLine="0"/>
              <w:jc w:val="center"/>
              <w:rPr>
                <w:b/>
                <w:szCs w:val="24"/>
              </w:rPr>
            </w:pPr>
            <w:r w:rsidRPr="00B4606A">
              <w:rPr>
                <w:b/>
                <w:szCs w:val="24"/>
              </w:rPr>
              <w:t>Источник данных</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w:t>
            </w:r>
          </w:p>
        </w:tc>
        <w:tc>
          <w:tcPr>
            <w:tcW w:w="1895" w:type="dxa"/>
          </w:tcPr>
          <w:p w:rsidR="0085585F" w:rsidRPr="00B4606A" w:rsidRDefault="0085585F" w:rsidP="00C15A7E">
            <w:pPr>
              <w:ind w:firstLine="0"/>
              <w:jc w:val="left"/>
              <w:rPr>
                <w:szCs w:val="24"/>
              </w:rPr>
            </w:pPr>
            <w:r w:rsidRPr="00B4606A">
              <w:rPr>
                <w:szCs w:val="24"/>
              </w:rPr>
              <w:t xml:space="preserve">Обновить </w:t>
            </w:r>
            <w:r w:rsidRPr="00B4606A">
              <w:rPr>
                <w:noProof/>
                <w:szCs w:val="24"/>
              </w:rPr>
              <w:drawing>
                <wp:inline distT="0" distB="0" distL="0" distR="0" wp14:anchorId="03C81ACB" wp14:editId="2EB889BB">
                  <wp:extent cx="476190" cy="476190"/>
                  <wp:effectExtent l="0" t="0" r="63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76190" cy="476190"/>
                          </a:xfrm>
                          <a:prstGeom prst="rect">
                            <a:avLst/>
                          </a:prstGeom>
                        </pic:spPr>
                      </pic:pic>
                    </a:graphicData>
                  </a:graphic>
                </wp:inline>
              </w:drawing>
            </w:r>
          </w:p>
        </w:tc>
        <w:tc>
          <w:tcPr>
            <w:tcW w:w="3634" w:type="dxa"/>
          </w:tcPr>
          <w:p w:rsidR="0085585F" w:rsidRPr="00B4606A" w:rsidRDefault="0085585F" w:rsidP="00C15A7E">
            <w:pPr>
              <w:ind w:left="29" w:firstLine="0"/>
              <w:jc w:val="left"/>
              <w:rPr>
                <w:szCs w:val="24"/>
              </w:rPr>
            </w:pPr>
            <w:r w:rsidRPr="00B4606A">
              <w:rPr>
                <w:szCs w:val="24"/>
              </w:rPr>
              <w:t>После выставления всех требуемых параметров в интересующих фильтрах необходимо при помощи данной кнопки обновлять данные в таблице. Кнопка имеет два состоянию: тусклое – изменения применены; яркое – имеются изменения, которые можно применить</w:t>
            </w:r>
          </w:p>
        </w:tc>
        <w:tc>
          <w:tcPr>
            <w:tcW w:w="4252" w:type="dxa"/>
          </w:tcPr>
          <w:p w:rsidR="0085585F" w:rsidRPr="00B4606A" w:rsidRDefault="0085585F" w:rsidP="00C15A7E">
            <w:pPr>
              <w:pStyle w:val="afff6"/>
              <w:ind w:left="0" w:firstLine="0"/>
              <w:jc w:val="left"/>
              <w:rPr>
                <w:sz w:val="24"/>
                <w:szCs w:val="24"/>
              </w:rPr>
            </w:pP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2</w:t>
            </w:r>
          </w:p>
        </w:tc>
        <w:tc>
          <w:tcPr>
            <w:tcW w:w="1895" w:type="dxa"/>
          </w:tcPr>
          <w:p w:rsidR="0085585F" w:rsidRPr="00B4606A" w:rsidRDefault="0085585F" w:rsidP="00C15A7E">
            <w:pPr>
              <w:ind w:firstLine="0"/>
              <w:jc w:val="left"/>
              <w:rPr>
                <w:szCs w:val="24"/>
              </w:rPr>
            </w:pPr>
            <w:r w:rsidRPr="00B4606A">
              <w:rPr>
                <w:szCs w:val="24"/>
              </w:rPr>
              <w:t>Год</w:t>
            </w:r>
          </w:p>
        </w:tc>
        <w:tc>
          <w:tcPr>
            <w:tcW w:w="3634" w:type="dxa"/>
          </w:tcPr>
          <w:p w:rsidR="0085585F" w:rsidRPr="00B4606A" w:rsidRDefault="0085585F" w:rsidP="00C15A7E">
            <w:pPr>
              <w:ind w:left="29" w:firstLine="0"/>
              <w:jc w:val="left"/>
              <w:rPr>
                <w:szCs w:val="24"/>
              </w:rPr>
            </w:pPr>
            <w:r w:rsidRPr="00B4606A">
              <w:rPr>
                <w:szCs w:val="24"/>
              </w:rPr>
              <w:t>Фильтрация по году из графика соглашения</w:t>
            </w:r>
          </w:p>
          <w:p w:rsidR="0085585F" w:rsidRPr="00B4606A" w:rsidRDefault="0085585F" w:rsidP="00C15A7E">
            <w:pPr>
              <w:ind w:left="29" w:firstLine="0"/>
              <w:jc w:val="left"/>
              <w:rPr>
                <w:szCs w:val="24"/>
              </w:rPr>
            </w:pPr>
            <w:r w:rsidRPr="00B4606A">
              <w:rPr>
                <w:szCs w:val="24"/>
              </w:rPr>
              <w:t>Возможность выбора только одного значения параметра из выпадающего списка, отсутствует возможность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текущего календарного года</w:t>
            </w:r>
          </w:p>
        </w:tc>
        <w:tc>
          <w:tcPr>
            <w:tcW w:w="4252" w:type="dxa"/>
          </w:tcPr>
          <w:p w:rsidR="0085585F" w:rsidRPr="00B4606A" w:rsidRDefault="0085585F" w:rsidP="00C15A7E">
            <w:pPr>
              <w:pStyle w:val="afff6"/>
              <w:ind w:left="0" w:firstLine="0"/>
              <w:jc w:val="left"/>
              <w:rPr>
                <w:sz w:val="24"/>
                <w:szCs w:val="24"/>
              </w:rPr>
            </w:pPr>
            <w:r w:rsidRPr="00B4606A">
              <w:rPr>
                <w:sz w:val="24"/>
                <w:szCs w:val="24"/>
              </w:rPr>
              <w:t>ПУР АСС =&gt; График платежей =&gt; Год осуществления платежа</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3</w:t>
            </w:r>
          </w:p>
        </w:tc>
        <w:tc>
          <w:tcPr>
            <w:tcW w:w="1895" w:type="dxa"/>
          </w:tcPr>
          <w:p w:rsidR="0085585F" w:rsidRPr="00B4606A" w:rsidRDefault="0085585F" w:rsidP="00C15A7E">
            <w:pPr>
              <w:ind w:firstLine="0"/>
              <w:jc w:val="left"/>
              <w:rPr>
                <w:szCs w:val="24"/>
              </w:rPr>
            </w:pPr>
            <w:r w:rsidRPr="00B4606A">
              <w:rPr>
                <w:szCs w:val="24"/>
              </w:rPr>
              <w:t>Субъект РФ</w:t>
            </w:r>
          </w:p>
        </w:tc>
        <w:tc>
          <w:tcPr>
            <w:tcW w:w="3634" w:type="dxa"/>
          </w:tcPr>
          <w:p w:rsidR="0085585F" w:rsidRPr="00B4606A" w:rsidRDefault="0085585F" w:rsidP="00C15A7E">
            <w:pPr>
              <w:ind w:left="29" w:firstLine="0"/>
              <w:jc w:val="left"/>
              <w:rPr>
                <w:szCs w:val="24"/>
              </w:rPr>
            </w:pPr>
            <w:r w:rsidRPr="00B4606A">
              <w:rPr>
                <w:szCs w:val="24"/>
              </w:rPr>
              <w:t>Фильтрация по коду ОКТМО субъекта РФ (первые 2 символа кода ОКТМО, за исключением значений 118, 718, 719). Разыменование по справочнику в соответствии с кодом ОКТМО субъекта РФ</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tc>
        <w:tc>
          <w:tcPr>
            <w:tcW w:w="4252" w:type="dxa"/>
          </w:tcPr>
          <w:p w:rsidR="0085585F" w:rsidRPr="00B4606A" w:rsidRDefault="0085585F" w:rsidP="00C15A7E">
            <w:pPr>
              <w:ind w:firstLine="0"/>
              <w:jc w:val="left"/>
              <w:rPr>
                <w:szCs w:val="24"/>
              </w:rPr>
            </w:pPr>
            <w:r w:rsidRPr="00B4606A">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4</w:t>
            </w:r>
          </w:p>
        </w:tc>
        <w:tc>
          <w:tcPr>
            <w:tcW w:w="1895" w:type="dxa"/>
          </w:tcPr>
          <w:p w:rsidR="0085585F" w:rsidRPr="00B4606A" w:rsidRDefault="0085585F" w:rsidP="00C15A7E">
            <w:pPr>
              <w:ind w:firstLine="0"/>
              <w:jc w:val="left"/>
              <w:rPr>
                <w:szCs w:val="24"/>
              </w:rPr>
            </w:pPr>
            <w:r w:rsidRPr="00B4606A">
              <w:rPr>
                <w:szCs w:val="24"/>
              </w:rPr>
              <w:t>Муниципальное образование</w:t>
            </w:r>
          </w:p>
        </w:tc>
        <w:tc>
          <w:tcPr>
            <w:tcW w:w="3634" w:type="dxa"/>
          </w:tcPr>
          <w:p w:rsidR="0085585F" w:rsidRPr="00B4606A" w:rsidRDefault="0085585F" w:rsidP="00C15A7E">
            <w:pPr>
              <w:ind w:left="29" w:firstLine="0"/>
              <w:jc w:val="left"/>
              <w:rPr>
                <w:szCs w:val="24"/>
              </w:rPr>
            </w:pPr>
            <w:r w:rsidRPr="00B4606A">
              <w:rPr>
                <w:szCs w:val="24"/>
              </w:rPr>
              <w:t>Фильтрация по 8-ми символьному значению кода ОКТМО. Разыменование по справочнику в соответствии с кодом ОКТМО муниципалитета</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p w:rsidR="0085585F" w:rsidRPr="00B4606A" w:rsidRDefault="0085585F" w:rsidP="00C15A7E">
            <w:pPr>
              <w:ind w:left="29" w:firstLine="0"/>
              <w:jc w:val="left"/>
              <w:rPr>
                <w:szCs w:val="24"/>
              </w:rPr>
            </w:pPr>
            <w:r w:rsidRPr="00B4606A">
              <w:rPr>
                <w:szCs w:val="24"/>
              </w:rPr>
              <w:t>Зависим от выбранного значения в фильтре «Субъект РФ»</w:t>
            </w:r>
          </w:p>
        </w:tc>
        <w:tc>
          <w:tcPr>
            <w:tcW w:w="4252" w:type="dxa"/>
          </w:tcPr>
          <w:p w:rsidR="0085585F" w:rsidRPr="00B4606A" w:rsidRDefault="0085585F" w:rsidP="00C15A7E">
            <w:pPr>
              <w:ind w:firstLine="0"/>
              <w:jc w:val="left"/>
              <w:rPr>
                <w:szCs w:val="24"/>
              </w:rPr>
            </w:pPr>
            <w:r w:rsidRPr="00B4606A">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ОКТМО</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5</w:t>
            </w:r>
          </w:p>
        </w:tc>
        <w:tc>
          <w:tcPr>
            <w:tcW w:w="1895" w:type="dxa"/>
          </w:tcPr>
          <w:p w:rsidR="0085585F" w:rsidRPr="00B4606A" w:rsidRDefault="0085585F" w:rsidP="00C15A7E">
            <w:pPr>
              <w:ind w:firstLine="0"/>
              <w:jc w:val="left"/>
              <w:rPr>
                <w:szCs w:val="24"/>
              </w:rPr>
            </w:pPr>
            <w:r w:rsidRPr="00B4606A">
              <w:rPr>
                <w:szCs w:val="24"/>
              </w:rPr>
              <w:t>Код бюджета МО</w:t>
            </w:r>
          </w:p>
        </w:tc>
        <w:tc>
          <w:tcPr>
            <w:tcW w:w="3634" w:type="dxa"/>
          </w:tcPr>
          <w:p w:rsidR="0085585F" w:rsidRPr="00B4606A" w:rsidRDefault="0085585F" w:rsidP="00C15A7E">
            <w:pPr>
              <w:ind w:left="29" w:firstLine="0"/>
              <w:jc w:val="left"/>
              <w:rPr>
                <w:szCs w:val="24"/>
              </w:rPr>
            </w:pPr>
            <w:r w:rsidRPr="00B4606A">
              <w:rPr>
                <w:szCs w:val="24"/>
              </w:rPr>
              <w:t>Фильтрация по коду бюджета МО. Разыменование по справочнику в соответствии с кодом бюджета МО</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p w:rsidR="0085585F" w:rsidRPr="00B4606A" w:rsidRDefault="0085585F" w:rsidP="00C15A7E">
            <w:pPr>
              <w:ind w:left="29" w:firstLine="0"/>
              <w:jc w:val="left"/>
              <w:rPr>
                <w:szCs w:val="24"/>
              </w:rPr>
            </w:pPr>
            <w:r w:rsidRPr="00B4606A">
              <w:rPr>
                <w:szCs w:val="24"/>
              </w:rPr>
              <w:t>Зависим от выбранных значений в фильтрах «Субъект РФ», «Муниципальное образование»</w:t>
            </w:r>
          </w:p>
        </w:tc>
        <w:tc>
          <w:tcPr>
            <w:tcW w:w="4252" w:type="dxa"/>
          </w:tcPr>
          <w:p w:rsidR="0085585F" w:rsidRPr="00B4606A" w:rsidRDefault="0085585F" w:rsidP="00C15A7E">
            <w:pPr>
              <w:ind w:firstLine="0"/>
              <w:jc w:val="left"/>
              <w:rPr>
                <w:szCs w:val="24"/>
              </w:rPr>
            </w:pPr>
            <w:r w:rsidRPr="00B4606A">
              <w:rPr>
                <w:szCs w:val="24"/>
              </w:rPr>
              <w:t>ПУР АСС =&gt; Реквизиты ГРБС/иного юридического лица, который предоставляет средства =&gt; Сведения о бюджете бюджетной системы РФ ГРБС, из которого предоставляются средства =&gt; Код бюджета</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6</w:t>
            </w:r>
          </w:p>
        </w:tc>
        <w:tc>
          <w:tcPr>
            <w:tcW w:w="1895" w:type="dxa"/>
          </w:tcPr>
          <w:p w:rsidR="0085585F" w:rsidRPr="00B4606A" w:rsidRDefault="0085585F" w:rsidP="00C15A7E">
            <w:pPr>
              <w:ind w:firstLine="0"/>
              <w:jc w:val="left"/>
              <w:rPr>
                <w:szCs w:val="24"/>
              </w:rPr>
            </w:pPr>
            <w:r w:rsidRPr="00B4606A">
              <w:rPr>
                <w:szCs w:val="24"/>
              </w:rPr>
              <w:t>Код ГРБС</w:t>
            </w:r>
          </w:p>
        </w:tc>
        <w:tc>
          <w:tcPr>
            <w:tcW w:w="3634" w:type="dxa"/>
          </w:tcPr>
          <w:p w:rsidR="0085585F" w:rsidRPr="00B4606A" w:rsidRDefault="0085585F" w:rsidP="00C15A7E">
            <w:pPr>
              <w:ind w:left="29" w:firstLine="0"/>
              <w:jc w:val="left"/>
              <w:rPr>
                <w:szCs w:val="24"/>
              </w:rPr>
            </w:pPr>
            <w:r w:rsidRPr="00B4606A">
              <w:rPr>
                <w:szCs w:val="24"/>
              </w:rPr>
              <w:t>Фильтрация по коду ГРБС</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p w:rsidR="0085585F" w:rsidRPr="00B4606A" w:rsidRDefault="0085585F" w:rsidP="00C15A7E">
            <w:pPr>
              <w:ind w:left="29" w:firstLine="0"/>
              <w:jc w:val="left"/>
              <w:rPr>
                <w:szCs w:val="24"/>
              </w:rPr>
            </w:pPr>
            <w:r w:rsidRPr="00B4606A">
              <w:rPr>
                <w:szCs w:val="24"/>
              </w:rPr>
              <w:t>Зависим от выбранных значений в фильтрах «Субъект РФ», «Муниципальное образование», «Код бюджета МО»</w:t>
            </w:r>
          </w:p>
        </w:tc>
        <w:tc>
          <w:tcPr>
            <w:tcW w:w="4252" w:type="dxa"/>
          </w:tcPr>
          <w:p w:rsidR="0085585F" w:rsidRPr="00B4606A" w:rsidRDefault="0085585F" w:rsidP="00C15A7E">
            <w:pPr>
              <w:ind w:firstLine="0"/>
              <w:jc w:val="left"/>
              <w:rPr>
                <w:szCs w:val="24"/>
              </w:rPr>
            </w:pPr>
            <w:r w:rsidRPr="00B4606A">
              <w:rPr>
                <w:szCs w:val="24"/>
              </w:rPr>
              <w:t>ПУР АСС =&gt; Реквизиты ГРБС/иного юридического лица, который предоставляет средства =&gt; Код ГРБС по классификации расходов федерального бюджета</w:t>
            </w:r>
          </w:p>
        </w:tc>
      </w:tr>
      <w:tr w:rsidR="0085585F" w:rsidRPr="00B4606A" w:rsidTr="005D6F45">
        <w:tc>
          <w:tcPr>
            <w:tcW w:w="567" w:type="dxa"/>
          </w:tcPr>
          <w:p w:rsidR="0085585F" w:rsidRPr="00B4606A" w:rsidRDefault="0085585F" w:rsidP="00C15A7E">
            <w:pPr>
              <w:ind w:firstLine="0"/>
              <w:jc w:val="left"/>
              <w:rPr>
                <w:szCs w:val="24"/>
                <w:lang w:val="en-US"/>
              </w:rPr>
            </w:pPr>
            <w:r w:rsidRPr="00B4606A">
              <w:rPr>
                <w:szCs w:val="24"/>
              </w:rPr>
              <w:t>7</w:t>
            </w:r>
          </w:p>
        </w:tc>
        <w:tc>
          <w:tcPr>
            <w:tcW w:w="1895" w:type="dxa"/>
          </w:tcPr>
          <w:p w:rsidR="0085585F" w:rsidRPr="00B4606A" w:rsidRDefault="0085585F" w:rsidP="00C15A7E">
            <w:pPr>
              <w:ind w:firstLine="0"/>
              <w:jc w:val="left"/>
              <w:rPr>
                <w:szCs w:val="24"/>
              </w:rPr>
            </w:pPr>
            <w:r w:rsidRPr="00B4606A">
              <w:rPr>
                <w:szCs w:val="24"/>
              </w:rPr>
              <w:t>РЗПР</w:t>
            </w:r>
          </w:p>
        </w:tc>
        <w:tc>
          <w:tcPr>
            <w:tcW w:w="3634" w:type="dxa"/>
          </w:tcPr>
          <w:p w:rsidR="0085585F" w:rsidRPr="00B4606A" w:rsidRDefault="0085585F" w:rsidP="00C15A7E">
            <w:pPr>
              <w:ind w:left="29" w:firstLine="0"/>
              <w:jc w:val="left"/>
              <w:rPr>
                <w:szCs w:val="24"/>
              </w:rPr>
            </w:pPr>
            <w:r w:rsidRPr="00B4606A">
              <w:rPr>
                <w:szCs w:val="24"/>
              </w:rPr>
              <w:t>Фильтрация по 4-7 символам КБК</w:t>
            </w:r>
          </w:p>
          <w:p w:rsidR="0085585F" w:rsidRPr="00B4606A" w:rsidRDefault="0085585F" w:rsidP="00C15A7E">
            <w:pPr>
              <w:ind w:left="29" w:firstLine="0"/>
              <w:jc w:val="left"/>
              <w:rPr>
                <w:szCs w:val="24"/>
              </w:rPr>
            </w:pPr>
            <w:r w:rsidRPr="00B4606A">
              <w:rPr>
                <w:szCs w:val="24"/>
              </w:rPr>
              <w:t>Иерархический фильтр с возможностью выбора только одного параметра единовременно, а также с возможностью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r w:rsidR="0085585F" w:rsidRPr="00B4606A" w:rsidTr="005D6F45">
        <w:tc>
          <w:tcPr>
            <w:tcW w:w="567" w:type="dxa"/>
          </w:tcPr>
          <w:p w:rsidR="0085585F" w:rsidRPr="00B4606A" w:rsidRDefault="0085585F" w:rsidP="00C15A7E">
            <w:pPr>
              <w:ind w:firstLine="0"/>
              <w:jc w:val="left"/>
              <w:rPr>
                <w:szCs w:val="24"/>
                <w:lang w:val="en-US"/>
              </w:rPr>
            </w:pPr>
            <w:r w:rsidRPr="00B4606A">
              <w:rPr>
                <w:szCs w:val="24"/>
              </w:rPr>
              <w:t>8</w:t>
            </w:r>
          </w:p>
        </w:tc>
        <w:tc>
          <w:tcPr>
            <w:tcW w:w="1895" w:type="dxa"/>
          </w:tcPr>
          <w:p w:rsidR="0085585F" w:rsidRPr="00B4606A" w:rsidRDefault="0085585F" w:rsidP="00C15A7E">
            <w:pPr>
              <w:ind w:firstLine="0"/>
              <w:jc w:val="left"/>
              <w:rPr>
                <w:szCs w:val="24"/>
              </w:rPr>
            </w:pPr>
            <w:r w:rsidRPr="00B4606A">
              <w:rPr>
                <w:szCs w:val="24"/>
              </w:rPr>
              <w:t>КЦСР</w:t>
            </w:r>
          </w:p>
        </w:tc>
        <w:tc>
          <w:tcPr>
            <w:tcW w:w="3634" w:type="dxa"/>
          </w:tcPr>
          <w:p w:rsidR="0085585F" w:rsidRPr="00B4606A" w:rsidRDefault="0085585F" w:rsidP="00C15A7E">
            <w:pPr>
              <w:ind w:left="29" w:firstLine="0"/>
              <w:jc w:val="left"/>
              <w:rPr>
                <w:szCs w:val="24"/>
              </w:rPr>
            </w:pPr>
            <w:r w:rsidRPr="00B4606A">
              <w:rPr>
                <w:szCs w:val="24"/>
              </w:rPr>
              <w:t>Фильтрация по 8-17 символам КБК</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9</w:t>
            </w:r>
          </w:p>
        </w:tc>
        <w:tc>
          <w:tcPr>
            <w:tcW w:w="1895" w:type="dxa"/>
          </w:tcPr>
          <w:p w:rsidR="0085585F" w:rsidRPr="00B4606A" w:rsidRDefault="0085585F" w:rsidP="00C15A7E">
            <w:pPr>
              <w:ind w:firstLine="0"/>
              <w:jc w:val="left"/>
              <w:rPr>
                <w:szCs w:val="24"/>
              </w:rPr>
            </w:pPr>
            <w:r w:rsidRPr="00B4606A">
              <w:rPr>
                <w:szCs w:val="24"/>
              </w:rPr>
              <w:t>КВР</w:t>
            </w:r>
          </w:p>
        </w:tc>
        <w:tc>
          <w:tcPr>
            <w:tcW w:w="3634" w:type="dxa"/>
          </w:tcPr>
          <w:p w:rsidR="0085585F" w:rsidRPr="00B4606A" w:rsidRDefault="0085585F" w:rsidP="00C15A7E">
            <w:pPr>
              <w:ind w:left="29" w:firstLine="0"/>
              <w:jc w:val="left"/>
              <w:rPr>
                <w:szCs w:val="24"/>
              </w:rPr>
            </w:pPr>
            <w:r w:rsidRPr="00B4606A">
              <w:rPr>
                <w:szCs w:val="24"/>
              </w:rPr>
              <w:t>Фильтрация по 18-20 символам КБК</w:t>
            </w:r>
          </w:p>
          <w:p w:rsidR="0085585F" w:rsidRPr="00B4606A" w:rsidRDefault="0085585F" w:rsidP="00C15A7E">
            <w:pPr>
              <w:ind w:left="29" w:firstLine="0"/>
              <w:jc w:val="left"/>
              <w:rPr>
                <w:szCs w:val="24"/>
              </w:rPr>
            </w:pPr>
            <w:r w:rsidRPr="00B4606A">
              <w:rPr>
                <w:szCs w:val="24"/>
              </w:rPr>
              <w:t>Иерархический фильтр с возможностью множественного выбора и контекстного поиска</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10</w:t>
            </w:r>
          </w:p>
        </w:tc>
        <w:tc>
          <w:tcPr>
            <w:tcW w:w="1895" w:type="dxa"/>
          </w:tcPr>
          <w:p w:rsidR="0085585F" w:rsidRPr="00B4606A" w:rsidRDefault="0085585F" w:rsidP="00C15A7E">
            <w:pPr>
              <w:ind w:firstLine="0"/>
              <w:jc w:val="left"/>
              <w:rPr>
                <w:szCs w:val="24"/>
              </w:rPr>
            </w:pPr>
            <w:r w:rsidRPr="00B4606A">
              <w:rPr>
                <w:szCs w:val="24"/>
              </w:rPr>
              <w:t>Поле ввода «Номер соглашения, РЗ»</w:t>
            </w:r>
          </w:p>
        </w:tc>
        <w:tc>
          <w:tcPr>
            <w:tcW w:w="3634" w:type="dxa"/>
          </w:tcPr>
          <w:p w:rsidR="0085585F" w:rsidRPr="00B4606A" w:rsidRDefault="0085585F" w:rsidP="00C15A7E">
            <w:pPr>
              <w:ind w:left="29" w:firstLine="0"/>
              <w:jc w:val="left"/>
              <w:rPr>
                <w:szCs w:val="24"/>
              </w:rPr>
            </w:pPr>
            <w:r w:rsidRPr="00B4606A">
              <w:rPr>
                <w:szCs w:val="24"/>
              </w:rPr>
              <w:t>Фильтрация по уникальному номеру реестровой записи и по номеру соглашения (договора)/НПА</w:t>
            </w:r>
          </w:p>
          <w:p w:rsidR="0085585F" w:rsidRPr="00B4606A" w:rsidRDefault="0085585F" w:rsidP="00C15A7E">
            <w:pPr>
              <w:ind w:left="29" w:firstLine="0"/>
              <w:jc w:val="left"/>
              <w:rPr>
                <w:szCs w:val="24"/>
              </w:rPr>
            </w:pPr>
            <w:r w:rsidRPr="00B4606A">
              <w:rPr>
                <w:szCs w:val="24"/>
              </w:rPr>
              <w:t>Возможность ввода одного значения единовременно</w:t>
            </w:r>
          </w:p>
        </w:tc>
        <w:tc>
          <w:tcPr>
            <w:tcW w:w="4252" w:type="dxa"/>
          </w:tcPr>
          <w:p w:rsidR="0085585F" w:rsidRPr="00B4606A" w:rsidRDefault="0085585F" w:rsidP="00C15A7E">
            <w:pPr>
              <w:ind w:firstLine="0"/>
              <w:jc w:val="left"/>
              <w:rPr>
                <w:szCs w:val="24"/>
              </w:rPr>
            </w:pPr>
            <w:r w:rsidRPr="00B4606A">
              <w:rPr>
                <w:szCs w:val="24"/>
              </w:rPr>
              <w:t xml:space="preserve">ПУР АСС =&gt; Реквизиты соглашения (договора), НПА =&gt; </w:t>
            </w:r>
          </w:p>
          <w:p w:rsidR="0085585F" w:rsidRPr="00B4606A" w:rsidRDefault="0085585F" w:rsidP="00C15A7E">
            <w:pPr>
              <w:ind w:firstLine="0"/>
              <w:jc w:val="left"/>
              <w:rPr>
                <w:szCs w:val="24"/>
              </w:rPr>
            </w:pPr>
            <w:r w:rsidRPr="00B4606A">
              <w:rPr>
                <w:szCs w:val="24"/>
              </w:rPr>
              <w:t>- Уникальный номер реестровой записи (без учета номера версии, т.е. последних 3-х символов)</w:t>
            </w:r>
          </w:p>
          <w:p w:rsidR="0085585F" w:rsidRPr="00B4606A" w:rsidRDefault="0085585F" w:rsidP="00C15A7E">
            <w:pPr>
              <w:ind w:firstLine="0"/>
              <w:jc w:val="left"/>
              <w:rPr>
                <w:szCs w:val="24"/>
              </w:rPr>
            </w:pPr>
            <w:r w:rsidRPr="00B4606A">
              <w:rPr>
                <w:szCs w:val="24"/>
              </w:rPr>
              <w:t>- Номер соглашения (договора)/нормативного правового акта</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11</w:t>
            </w:r>
          </w:p>
        </w:tc>
        <w:tc>
          <w:tcPr>
            <w:tcW w:w="1895" w:type="dxa"/>
          </w:tcPr>
          <w:p w:rsidR="0085585F" w:rsidRPr="00B4606A" w:rsidRDefault="0085585F" w:rsidP="00C15A7E">
            <w:pPr>
              <w:ind w:firstLine="0"/>
              <w:jc w:val="left"/>
              <w:rPr>
                <w:szCs w:val="24"/>
              </w:rPr>
            </w:pPr>
            <w:r w:rsidRPr="00B4606A">
              <w:rPr>
                <w:szCs w:val="24"/>
              </w:rPr>
              <w:t>Поле ввода «Наименование, ИНН, КПП получателя, код СвР»</w:t>
            </w:r>
          </w:p>
        </w:tc>
        <w:tc>
          <w:tcPr>
            <w:tcW w:w="3634" w:type="dxa"/>
          </w:tcPr>
          <w:p w:rsidR="0085585F" w:rsidRPr="00B4606A" w:rsidRDefault="0085585F" w:rsidP="00C15A7E">
            <w:pPr>
              <w:ind w:left="29" w:firstLine="0"/>
              <w:jc w:val="left"/>
              <w:rPr>
                <w:szCs w:val="24"/>
              </w:rPr>
            </w:pPr>
            <w:r w:rsidRPr="00B4606A">
              <w:rPr>
                <w:szCs w:val="24"/>
              </w:rPr>
              <w:t>Фильтрация по наименованию, ИНН, КПП получателя, коду СвР</w:t>
            </w:r>
          </w:p>
          <w:p w:rsidR="0085585F" w:rsidRPr="00B4606A" w:rsidRDefault="0085585F" w:rsidP="00C15A7E">
            <w:pPr>
              <w:ind w:left="29" w:firstLine="0"/>
              <w:jc w:val="left"/>
              <w:rPr>
                <w:szCs w:val="24"/>
              </w:rPr>
            </w:pPr>
            <w:r w:rsidRPr="00B4606A">
              <w:rPr>
                <w:szCs w:val="24"/>
              </w:rPr>
              <w:t>Возможность ввода одного значения единовременно</w:t>
            </w:r>
          </w:p>
        </w:tc>
        <w:tc>
          <w:tcPr>
            <w:tcW w:w="4252" w:type="dxa"/>
          </w:tcPr>
          <w:p w:rsidR="0085585F" w:rsidRPr="00B4606A" w:rsidRDefault="0085585F" w:rsidP="00C15A7E">
            <w:pPr>
              <w:ind w:firstLine="0"/>
              <w:jc w:val="left"/>
              <w:rPr>
                <w:szCs w:val="24"/>
              </w:rPr>
            </w:pPr>
            <w:r w:rsidRPr="00B4606A">
              <w:rPr>
                <w:szCs w:val="24"/>
              </w:rPr>
              <w:t>ПУР АСС =&gt; Реквизиты получателя субсидии =&gt;</w:t>
            </w:r>
          </w:p>
          <w:p w:rsidR="0085585F" w:rsidRPr="00B4606A" w:rsidRDefault="0085585F" w:rsidP="00C15A7E">
            <w:pPr>
              <w:ind w:firstLine="0"/>
              <w:jc w:val="left"/>
              <w:rPr>
                <w:szCs w:val="24"/>
              </w:rPr>
            </w:pPr>
            <w:r w:rsidRPr="00B4606A">
              <w:rPr>
                <w:szCs w:val="24"/>
              </w:rPr>
              <w:t>- Полное наименование юридического лица/ФИО физического лица на русском языке</w:t>
            </w:r>
          </w:p>
          <w:p w:rsidR="0085585F" w:rsidRPr="00B4606A" w:rsidRDefault="0085585F" w:rsidP="00C15A7E">
            <w:pPr>
              <w:ind w:firstLine="0"/>
              <w:jc w:val="left"/>
              <w:rPr>
                <w:szCs w:val="24"/>
              </w:rPr>
            </w:pPr>
            <w:r w:rsidRPr="00B4606A">
              <w:rPr>
                <w:szCs w:val="24"/>
              </w:rPr>
              <w:t>- ИНН</w:t>
            </w:r>
          </w:p>
          <w:p w:rsidR="0085585F" w:rsidRPr="00B4606A" w:rsidRDefault="0085585F" w:rsidP="00C15A7E">
            <w:pPr>
              <w:ind w:firstLine="0"/>
              <w:jc w:val="left"/>
              <w:rPr>
                <w:szCs w:val="24"/>
              </w:rPr>
            </w:pPr>
            <w:r w:rsidRPr="00B4606A">
              <w:rPr>
                <w:szCs w:val="24"/>
              </w:rPr>
              <w:t>- КПП</w:t>
            </w:r>
          </w:p>
          <w:p w:rsidR="0085585F" w:rsidRPr="00B4606A" w:rsidRDefault="0085585F" w:rsidP="00C15A7E">
            <w:pPr>
              <w:ind w:firstLine="0"/>
              <w:jc w:val="left"/>
              <w:rPr>
                <w:szCs w:val="24"/>
              </w:rPr>
            </w:pPr>
            <w:r w:rsidRPr="00B4606A">
              <w:rPr>
                <w:szCs w:val="24"/>
              </w:rPr>
              <w:t>- Код по сводному реестру</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12</w:t>
            </w:r>
          </w:p>
        </w:tc>
        <w:tc>
          <w:tcPr>
            <w:tcW w:w="1895" w:type="dxa"/>
          </w:tcPr>
          <w:p w:rsidR="0085585F" w:rsidRPr="00B4606A" w:rsidRDefault="0085585F" w:rsidP="00C15A7E">
            <w:pPr>
              <w:ind w:firstLine="0"/>
              <w:jc w:val="left"/>
              <w:rPr>
                <w:szCs w:val="24"/>
              </w:rPr>
            </w:pPr>
            <w:r w:rsidRPr="00B4606A">
              <w:rPr>
                <w:szCs w:val="24"/>
              </w:rPr>
              <w:t>КБК</w:t>
            </w:r>
          </w:p>
        </w:tc>
        <w:tc>
          <w:tcPr>
            <w:tcW w:w="3634" w:type="dxa"/>
          </w:tcPr>
          <w:p w:rsidR="0085585F" w:rsidRPr="00B4606A" w:rsidRDefault="0085585F" w:rsidP="00C15A7E">
            <w:pPr>
              <w:ind w:left="29" w:firstLine="0"/>
              <w:jc w:val="left"/>
              <w:rPr>
                <w:szCs w:val="24"/>
              </w:rPr>
            </w:pPr>
            <w:r w:rsidRPr="00B4606A">
              <w:rPr>
                <w:szCs w:val="24"/>
              </w:rPr>
              <w:t>Фильтрация по маске КБК</w:t>
            </w:r>
          </w:p>
          <w:p w:rsidR="0085585F" w:rsidRPr="00B4606A" w:rsidRDefault="0085585F" w:rsidP="00C15A7E">
            <w:pPr>
              <w:ind w:left="29" w:firstLine="0"/>
              <w:jc w:val="left"/>
              <w:rPr>
                <w:szCs w:val="24"/>
              </w:rPr>
            </w:pPr>
            <w:r w:rsidRPr="00B4606A">
              <w:rPr>
                <w:szCs w:val="24"/>
              </w:rPr>
              <w:t>Возможность ввода необходимых сегментов КБК в несколько шагов</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13</w:t>
            </w:r>
          </w:p>
        </w:tc>
        <w:tc>
          <w:tcPr>
            <w:tcW w:w="1895" w:type="dxa"/>
          </w:tcPr>
          <w:p w:rsidR="0085585F" w:rsidRPr="00B4606A" w:rsidRDefault="0085585F" w:rsidP="00C15A7E">
            <w:pPr>
              <w:ind w:firstLine="0"/>
              <w:jc w:val="left"/>
              <w:rPr>
                <w:szCs w:val="24"/>
              </w:rPr>
            </w:pPr>
            <w:r w:rsidRPr="00B4606A">
              <w:rPr>
                <w:szCs w:val="24"/>
              </w:rPr>
              <w:t>Национальный проект</w:t>
            </w:r>
          </w:p>
        </w:tc>
        <w:tc>
          <w:tcPr>
            <w:tcW w:w="3634" w:type="dxa"/>
          </w:tcPr>
          <w:p w:rsidR="0085585F" w:rsidRPr="00B4606A" w:rsidRDefault="0085585F" w:rsidP="00C15A7E">
            <w:pPr>
              <w:ind w:left="29" w:firstLine="0"/>
              <w:jc w:val="left"/>
              <w:rPr>
                <w:szCs w:val="24"/>
              </w:rPr>
            </w:pPr>
            <w:r w:rsidRPr="00B4606A">
              <w:rPr>
                <w:szCs w:val="24"/>
              </w:rPr>
              <w:t>Фильтрация по 11-12 символам КБК</w:t>
            </w:r>
          </w:p>
          <w:p w:rsidR="0085585F" w:rsidRPr="00B4606A" w:rsidRDefault="0085585F" w:rsidP="00C15A7E">
            <w:pPr>
              <w:ind w:left="29" w:firstLine="0"/>
              <w:jc w:val="left"/>
              <w:rPr>
                <w:szCs w:val="24"/>
              </w:rPr>
            </w:pPr>
            <w:r w:rsidRPr="00B4606A">
              <w:rPr>
                <w:szCs w:val="24"/>
              </w:rPr>
              <w:t>Иерархический фильтр с возможностью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r w:rsidR="0085585F" w:rsidRPr="00B4606A" w:rsidTr="005D6F45">
        <w:tc>
          <w:tcPr>
            <w:tcW w:w="567" w:type="dxa"/>
          </w:tcPr>
          <w:p w:rsidR="0085585F" w:rsidRPr="00B4606A" w:rsidRDefault="0085585F" w:rsidP="00C15A7E">
            <w:pPr>
              <w:ind w:firstLine="0"/>
              <w:jc w:val="left"/>
              <w:rPr>
                <w:szCs w:val="24"/>
              </w:rPr>
            </w:pPr>
            <w:r w:rsidRPr="00B4606A">
              <w:rPr>
                <w:szCs w:val="24"/>
              </w:rPr>
              <w:t>14</w:t>
            </w:r>
          </w:p>
        </w:tc>
        <w:tc>
          <w:tcPr>
            <w:tcW w:w="1895" w:type="dxa"/>
          </w:tcPr>
          <w:p w:rsidR="0085585F" w:rsidRPr="00B4606A" w:rsidRDefault="0085585F" w:rsidP="00C15A7E">
            <w:pPr>
              <w:ind w:firstLine="0"/>
              <w:jc w:val="left"/>
              <w:rPr>
                <w:szCs w:val="24"/>
              </w:rPr>
            </w:pPr>
            <w:r w:rsidRPr="00B4606A">
              <w:rPr>
                <w:szCs w:val="24"/>
              </w:rPr>
              <w:t>КЦСР федерального соглашения</w:t>
            </w:r>
          </w:p>
        </w:tc>
        <w:tc>
          <w:tcPr>
            <w:tcW w:w="3634" w:type="dxa"/>
          </w:tcPr>
          <w:p w:rsidR="0085585F" w:rsidRPr="00B4606A" w:rsidRDefault="0085585F" w:rsidP="00C15A7E">
            <w:pPr>
              <w:ind w:left="29" w:firstLine="0"/>
              <w:jc w:val="left"/>
              <w:rPr>
                <w:szCs w:val="24"/>
              </w:rPr>
            </w:pPr>
            <w:r w:rsidRPr="00B4606A">
              <w:rPr>
                <w:szCs w:val="24"/>
              </w:rPr>
              <w:t>Фильтрация по 8-17 символам КБК соглашения федерального уровня</w:t>
            </w:r>
          </w:p>
          <w:p w:rsidR="0085585F" w:rsidRPr="00B4606A" w:rsidRDefault="0085585F" w:rsidP="00C15A7E">
            <w:pPr>
              <w:ind w:left="29" w:firstLine="0"/>
              <w:jc w:val="left"/>
              <w:rPr>
                <w:szCs w:val="24"/>
              </w:rPr>
            </w:pPr>
            <w:r w:rsidRPr="00B4606A">
              <w:rPr>
                <w:szCs w:val="24"/>
              </w:rPr>
              <w:t>Реализована возможность множественного выбора и контекстного поиска</w:t>
            </w:r>
          </w:p>
          <w:p w:rsidR="0085585F" w:rsidRPr="00B4606A" w:rsidRDefault="0085585F" w:rsidP="00C15A7E">
            <w:pPr>
              <w:ind w:left="29" w:firstLine="0"/>
              <w:jc w:val="left"/>
              <w:rPr>
                <w:szCs w:val="24"/>
              </w:rPr>
            </w:pPr>
            <w:r w:rsidRPr="00B4606A">
              <w:rPr>
                <w:szCs w:val="24"/>
              </w:rPr>
              <w:t>По умолчанию установлено значение «Все»</w:t>
            </w:r>
          </w:p>
          <w:p w:rsidR="0085585F" w:rsidRPr="00B4606A" w:rsidRDefault="0085585F" w:rsidP="00C15A7E">
            <w:pPr>
              <w:ind w:left="29" w:firstLine="0"/>
              <w:jc w:val="left"/>
              <w:rPr>
                <w:szCs w:val="24"/>
              </w:rPr>
            </w:pPr>
            <w:r w:rsidRPr="00B4606A">
              <w:rPr>
                <w:szCs w:val="24"/>
              </w:rPr>
              <w:t>Реализована автоматическая передача выбранного значения данного фильтра между представлениями</w:t>
            </w:r>
          </w:p>
        </w:tc>
        <w:tc>
          <w:tcPr>
            <w:tcW w:w="4252" w:type="dxa"/>
          </w:tcPr>
          <w:p w:rsidR="0085585F" w:rsidRPr="00B4606A" w:rsidRDefault="0085585F" w:rsidP="00C15A7E">
            <w:pPr>
              <w:ind w:firstLine="0"/>
              <w:jc w:val="left"/>
              <w:rPr>
                <w:szCs w:val="24"/>
              </w:rPr>
            </w:pPr>
            <w:r w:rsidRPr="00B4606A">
              <w:rPr>
                <w:szCs w:val="24"/>
              </w:rPr>
              <w:t>ПУР АСС =&gt; График платежей =&gt; КБК</w:t>
            </w:r>
          </w:p>
        </w:tc>
      </w:tr>
    </w:tbl>
    <w:p w:rsidR="0085585F" w:rsidRDefault="0085585F" w:rsidP="0085585F">
      <w:pPr>
        <w:pStyle w:val="-0"/>
      </w:pPr>
    </w:p>
    <w:p w:rsidR="00157471" w:rsidRPr="00206C4C" w:rsidRDefault="00157471" w:rsidP="006A7753">
      <w:pPr>
        <w:pStyle w:val="35"/>
      </w:pPr>
      <w:bookmarkStart w:id="904" w:name="_Toc119585095"/>
      <w:r w:rsidRPr="00206C4C">
        <w:t>Отчет «Перечни (классификаторы) государственных и муниципальных услуг и работ»</w:t>
      </w:r>
      <w:bookmarkEnd w:id="888"/>
      <w:bookmarkEnd w:id="889"/>
      <w:r w:rsidR="006A7753" w:rsidRPr="006A7753">
        <w:t xml:space="preserve"> (PIAO_111_001_report)</w:t>
      </w:r>
      <w:bookmarkEnd w:id="904"/>
    </w:p>
    <w:p w:rsidR="00157471" w:rsidRPr="00206C4C" w:rsidRDefault="00157471" w:rsidP="00157471">
      <w:pPr>
        <w:pStyle w:val="af0"/>
        <w:rPr>
          <w:rStyle w:val="af1"/>
          <w:snapToGrid w:val="0"/>
        </w:rPr>
      </w:pPr>
      <w:r w:rsidRPr="00206C4C">
        <w:rPr>
          <w:rStyle w:val="af1"/>
        </w:rPr>
        <w:t>Для перехода к отчету «</w:t>
      </w:r>
      <w:r w:rsidRPr="00206C4C">
        <w:t>Перечни (классификаторы) государственных и муниципальных услуг и работ</w:t>
      </w:r>
      <w:r w:rsidRPr="00206C4C">
        <w:rPr>
          <w:rStyle w:val="af1"/>
        </w:rPr>
        <w:t>» необходимо перейти к витрине «Ведение перечней и реестров» и кликнуть мышью по плашке «</w:t>
      </w:r>
      <w:r w:rsidRPr="00206C4C">
        <w:t>Перечни (классификаторы) государственных и муниципальных услуг и работ</w:t>
      </w:r>
      <w:r w:rsidRPr="00206C4C">
        <w:rPr>
          <w:rStyle w:val="af1"/>
        </w:rPr>
        <w:t>».</w:t>
      </w:r>
    </w:p>
    <w:p w:rsidR="00157471" w:rsidRPr="00206C4C" w:rsidRDefault="00157471" w:rsidP="00157471">
      <w:pPr>
        <w:pStyle w:val="af0"/>
      </w:pPr>
      <w:r w:rsidRPr="00206C4C">
        <w:t xml:space="preserve">Отчет «Перечни (классификаторы) государственных и муниципальных услуг и работ» обеспечивает сравнительный анализ </w:t>
      </w:r>
      <w:r w:rsidRPr="00206C4C">
        <w:rPr>
          <w:color w:val="auto"/>
          <w:szCs w:val="28"/>
        </w:rPr>
        <w:t>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сформированных в модуле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подсистемы ведения нормативной справочной информации (далее НСИ ЭБ) и размещенных на едином портале бюджетной системы (ЕПБС)</w:t>
      </w:r>
      <w:r w:rsidRPr="00206C4C">
        <w:t>. Макет отчета представлен на рисунке</w:t>
      </w:r>
      <w:r w:rsidR="005B1C94">
        <w:t xml:space="preserve"> </w:t>
      </w:r>
      <w:r w:rsidR="005B1C94">
        <w:fldChar w:fldCharType="begin"/>
      </w:r>
      <w:r w:rsidR="005B1C94">
        <w:instrText xml:space="preserve"> REF _Ref70069884 \h </w:instrText>
      </w:r>
      <w:r w:rsidR="005B1C94">
        <w:fldChar w:fldCharType="separate"/>
      </w:r>
      <w:r w:rsidR="00BF0BEE">
        <w:rPr>
          <w:noProof/>
        </w:rPr>
        <w:t>242</w:t>
      </w:r>
      <w:r w:rsidR="005B1C94">
        <w:fldChar w:fldCharType="end"/>
      </w:r>
      <w:r w:rsidRPr="00206C4C">
        <w:t>.</w:t>
      </w:r>
    </w:p>
    <w:p w:rsidR="005B1C94" w:rsidRDefault="005B1C94" w:rsidP="005B1C94">
      <w:pPr>
        <w:pStyle w:val="afffff7"/>
        <w:keepNext/>
      </w:pPr>
      <w:r>
        <w:rPr>
          <w:noProof/>
          <w:lang w:eastAsia="ru-RU"/>
        </w:rPr>
        <w:drawing>
          <wp:inline distT="0" distB="0" distL="0" distR="0" wp14:anchorId="7888964F" wp14:editId="2AFB4A90">
            <wp:extent cx="5939790" cy="2894184"/>
            <wp:effectExtent l="0" t="0" r="3810" b="190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stretch>
                      <a:fillRect/>
                    </a:stretch>
                  </pic:blipFill>
                  <pic:spPr>
                    <a:xfrm>
                      <a:off x="0" y="0"/>
                      <a:ext cx="5939790" cy="2894184"/>
                    </a:xfrm>
                    <a:prstGeom prst="rect">
                      <a:avLst/>
                    </a:prstGeom>
                  </pic:spPr>
                </pic:pic>
              </a:graphicData>
            </a:graphic>
          </wp:inline>
        </w:drawing>
      </w:r>
    </w:p>
    <w:p w:rsidR="00157471" w:rsidRPr="00206C4C" w:rsidRDefault="005B1C94" w:rsidP="005B1C94">
      <w:pPr>
        <w:pStyle w:val="-0"/>
      </w:pPr>
      <w:bookmarkStart w:id="905" w:name="_Toc119584429"/>
      <w:r w:rsidRPr="00206C4C">
        <w:t xml:space="preserve">Рисунок </w:t>
      </w:r>
      <w:fldSimple w:instr=" SEQ Рисунок \* ARABIC ">
        <w:bookmarkStart w:id="906" w:name="_Ref70069884"/>
        <w:r w:rsidR="001860A9">
          <w:rPr>
            <w:noProof/>
          </w:rPr>
          <w:t>242</w:t>
        </w:r>
        <w:bookmarkEnd w:id="906"/>
      </w:fldSimple>
      <w:r w:rsidRPr="00206C4C">
        <w:t xml:space="preserve"> – Макет отчета «</w:t>
      </w:r>
      <w:r w:rsidRPr="00206C4C">
        <w:rPr>
          <w:shd w:val="clear" w:color="auto" w:fill="FFFFFF"/>
        </w:rPr>
        <w:t>Перечни (классификаторы) государственных и муниципальных услуг и работ</w:t>
      </w:r>
      <w:r w:rsidRPr="00206C4C">
        <w:t>»</w:t>
      </w:r>
      <w:bookmarkEnd w:id="905"/>
    </w:p>
    <w:p w:rsidR="00157471" w:rsidRPr="00206C4C" w:rsidRDefault="00157471" w:rsidP="00157471">
      <w:pPr>
        <w:pStyle w:val="af0"/>
      </w:pPr>
      <w:r w:rsidRPr="00206C4C">
        <w:rPr>
          <w:szCs w:val="28"/>
        </w:rPr>
        <w:t xml:space="preserve">Отчет </w:t>
      </w:r>
      <w:r w:rsidRPr="00206C4C">
        <w:t xml:space="preserve">«Перечни (классификаторы) государственных и муниципальных услуг и работ» </w:t>
      </w:r>
      <w:r w:rsidRPr="00206C4C">
        <w:rPr>
          <w:szCs w:val="28"/>
        </w:rPr>
        <w:t xml:space="preserve">строится по таблицам: </w:t>
      </w:r>
    </w:p>
    <w:p w:rsidR="00157471" w:rsidRPr="00206C4C" w:rsidRDefault="00157471" w:rsidP="00DE1661">
      <w:pPr>
        <w:pStyle w:val="13"/>
      </w:pPr>
      <w:r w:rsidRPr="00206C4C">
        <w:t>D_OFBPGU_ACTIVITYKIND (Справочник ОФБПГУ_ФОИВ);</w:t>
      </w:r>
    </w:p>
    <w:p w:rsidR="00157471" w:rsidRPr="00206C4C" w:rsidRDefault="00157471" w:rsidP="00DE1661">
      <w:pPr>
        <w:pStyle w:val="13"/>
      </w:pPr>
      <w:r w:rsidRPr="00206C4C">
        <w:t>D_OFBPGU_REGRECORDS (Справочник ОФБПГУ_Реестровые записи);</w:t>
      </w:r>
    </w:p>
    <w:p w:rsidR="00157471" w:rsidRPr="00206C4C" w:rsidRDefault="00157471" w:rsidP="00DE1661">
      <w:pPr>
        <w:pStyle w:val="13"/>
      </w:pPr>
      <w:r w:rsidRPr="00206C4C">
        <w:t>D_OFBPGU_MONITORING (Справочник ОФБПГУ_Мониторинг);</w:t>
      </w:r>
    </w:p>
    <w:p w:rsidR="00157471" w:rsidRPr="00206C4C" w:rsidRDefault="00157471" w:rsidP="00157471">
      <w:pPr>
        <w:pStyle w:val="af0"/>
      </w:pPr>
      <w:r w:rsidRPr="00206C4C">
        <w:t>Параметры представления:</w:t>
      </w:r>
    </w:p>
    <w:p w:rsidR="00157471" w:rsidRPr="00206C4C" w:rsidRDefault="00157471" w:rsidP="00DE1661">
      <w:pPr>
        <w:pStyle w:val="13"/>
      </w:pPr>
      <w:r w:rsidRPr="00206C4C">
        <w:t>ФОИВ: выпадающий список с наименованием и кодом организации по сводному реестру в Реестре участников и неучастников бюджетного процесса (СВР);</w:t>
      </w:r>
    </w:p>
    <w:p w:rsidR="00157471" w:rsidRPr="00206C4C" w:rsidRDefault="00157471" w:rsidP="00DE1661">
      <w:pPr>
        <w:pStyle w:val="13"/>
      </w:pPr>
      <w:r w:rsidRPr="00206C4C">
        <w:t>Раздел: выпадающий список с наименованием раздела, к которому относится перечень. Состоит из элементов: Все, Общероссийский, Федеральный;</w:t>
      </w:r>
    </w:p>
    <w:p w:rsidR="00157471" w:rsidRPr="00206C4C" w:rsidRDefault="00157471" w:rsidP="00DE1661">
      <w:pPr>
        <w:pStyle w:val="13"/>
      </w:pPr>
      <w:r w:rsidRPr="00206C4C">
        <w:t>Вид деятельности: выпадающий список с наименованием вида деятельности.</w:t>
      </w:r>
    </w:p>
    <w:p w:rsidR="00157471" w:rsidRPr="00206C4C" w:rsidRDefault="00157471" w:rsidP="00157471">
      <w:pPr>
        <w:pStyle w:val="af0"/>
      </w:pPr>
      <w:r w:rsidRPr="00206C4C">
        <w:t>Состав и принципы формирования показателей представления:</w:t>
      </w:r>
    </w:p>
    <w:p w:rsidR="00157471" w:rsidRPr="00206C4C" w:rsidRDefault="00157471" w:rsidP="00DE1661">
      <w:pPr>
        <w:pStyle w:val="13"/>
      </w:pPr>
      <w:r w:rsidRPr="00206C4C">
        <w:t>«Количество реестровых записей в НСИ ЭБ» рассчитывается как число актуальных реестровых записей, сформированных в НСИ ЭБ на текущую дату;</w:t>
      </w:r>
    </w:p>
    <w:p w:rsidR="00157471" w:rsidRPr="00206C4C" w:rsidRDefault="00157471" w:rsidP="00DE1661">
      <w:pPr>
        <w:pStyle w:val="13"/>
      </w:pPr>
      <w:r w:rsidRPr="00206C4C">
        <w:rPr>
          <w:bCs/>
        </w:rPr>
        <w:t xml:space="preserve">«Количество реестровых записей на ЕПБС» </w:t>
      </w:r>
      <w:r w:rsidRPr="00206C4C">
        <w:t>рассчитывается как число актуальных реестровых записей, размещенных на ЕПБС на текущую дату;</w:t>
      </w:r>
    </w:p>
    <w:p w:rsidR="00157471" w:rsidRPr="00206C4C" w:rsidRDefault="00157471" w:rsidP="00DE1661">
      <w:pPr>
        <w:pStyle w:val="13"/>
      </w:pPr>
      <w:r w:rsidRPr="00206C4C">
        <w:rPr>
          <w:bCs/>
        </w:rPr>
        <w:t>Процент</w:t>
      </w:r>
      <w:r w:rsidRPr="00206C4C">
        <w:t xml:space="preserve"> рассчитывается как соотношение количества реестровых записей, размещенных на ЕПБС к общему количеству реестровых записей, сформированных в НСИ ЭБ.</w:t>
      </w:r>
    </w:p>
    <w:p w:rsidR="00157471" w:rsidRPr="00206C4C" w:rsidRDefault="00157471" w:rsidP="00157471">
      <w:pPr>
        <w:rPr>
          <w:sz w:val="28"/>
          <w:szCs w:val="28"/>
        </w:rPr>
      </w:pPr>
      <w:r w:rsidRPr="00206C4C">
        <w:rPr>
          <w:sz w:val="28"/>
          <w:szCs w:val="28"/>
        </w:rPr>
        <w:t>Из представления обеспечены следующие переходы:</w:t>
      </w:r>
    </w:p>
    <w:p w:rsidR="00157471" w:rsidRPr="00206C4C" w:rsidRDefault="00157471" w:rsidP="00DE1661">
      <w:pPr>
        <w:pStyle w:val="13"/>
      </w:pPr>
      <w:r w:rsidRPr="00206C4C">
        <w:t>Переход к представлению «</w:t>
      </w:r>
      <w:r w:rsidRPr="00206C4C">
        <w:rPr>
          <w:shd w:val="clear" w:color="auto" w:fill="FFFFFF"/>
        </w:rPr>
        <w:t xml:space="preserve">Услуги и работы общероссийских и федеральных перечней (классификаторов) государственных и муниципальных услуг и работ» (см. п. </w:t>
      </w:r>
      <w:r w:rsidRPr="00206C4C">
        <w:rPr>
          <w:shd w:val="clear" w:color="auto" w:fill="FFFFFF"/>
        </w:rPr>
        <w:fldChar w:fldCharType="begin"/>
      </w:r>
      <w:r w:rsidRPr="00206C4C">
        <w:rPr>
          <w:shd w:val="clear" w:color="auto" w:fill="FFFFFF"/>
        </w:rPr>
        <w:instrText xml:space="preserve"> REF _Ref18853271 \w \h  \* MERGEFORMAT </w:instrText>
      </w:r>
      <w:r w:rsidRPr="00206C4C">
        <w:rPr>
          <w:shd w:val="clear" w:color="auto" w:fill="FFFFFF"/>
        </w:rPr>
      </w:r>
      <w:r w:rsidRPr="00206C4C">
        <w:rPr>
          <w:shd w:val="clear" w:color="auto" w:fill="FFFFFF"/>
        </w:rPr>
        <w:fldChar w:fldCharType="separate"/>
      </w:r>
      <w:r w:rsidR="00BF0BEE">
        <w:rPr>
          <w:shd w:val="clear" w:color="auto" w:fill="FFFFFF"/>
        </w:rPr>
        <w:t>7.4.5</w:t>
      </w:r>
      <w:r w:rsidRPr="00206C4C">
        <w:rPr>
          <w:shd w:val="clear" w:color="auto" w:fill="FFFFFF"/>
        </w:rPr>
        <w:fldChar w:fldCharType="end"/>
      </w:r>
      <w:r w:rsidRPr="00206C4C">
        <w:rPr>
          <w:shd w:val="clear" w:color="auto" w:fill="FFFFFF"/>
        </w:rPr>
        <w:t>);</w:t>
      </w:r>
    </w:p>
    <w:p w:rsidR="00157471" w:rsidRPr="00206C4C" w:rsidRDefault="00157471" w:rsidP="00DE1661">
      <w:pPr>
        <w:pStyle w:val="13"/>
        <w:rPr>
          <w:snapToGrid/>
        </w:rPr>
      </w:pPr>
      <w:r w:rsidRPr="00206C4C">
        <w:t>Переход к представлению «</w:t>
      </w:r>
      <w:r w:rsidRPr="00206C4C">
        <w:rPr>
          <w:snapToGrid/>
        </w:rPr>
        <w:t>Реестровые записи общероссийских и федеральных перечней (классификаторов) государственных и муниципальных услуг и работ» (</w:t>
      </w:r>
      <w:r w:rsidRPr="00206C4C">
        <w:rPr>
          <w:shd w:val="clear" w:color="auto" w:fill="FFFFFF"/>
        </w:rPr>
        <w:t xml:space="preserve">см. п. </w:t>
      </w:r>
      <w:r w:rsidRPr="00206C4C">
        <w:rPr>
          <w:shd w:val="clear" w:color="auto" w:fill="FFFFFF"/>
        </w:rPr>
        <w:fldChar w:fldCharType="begin"/>
      </w:r>
      <w:r w:rsidRPr="00206C4C">
        <w:rPr>
          <w:shd w:val="clear" w:color="auto" w:fill="FFFFFF"/>
        </w:rPr>
        <w:instrText xml:space="preserve"> REF _Ref18854395 \w \h  \* MERGEFORMAT </w:instrText>
      </w:r>
      <w:r w:rsidRPr="00206C4C">
        <w:rPr>
          <w:shd w:val="clear" w:color="auto" w:fill="FFFFFF"/>
        </w:rPr>
      </w:r>
      <w:r w:rsidRPr="00206C4C">
        <w:rPr>
          <w:shd w:val="clear" w:color="auto" w:fill="FFFFFF"/>
        </w:rPr>
        <w:fldChar w:fldCharType="separate"/>
      </w:r>
      <w:r w:rsidR="00BF0BEE">
        <w:rPr>
          <w:shd w:val="clear" w:color="auto" w:fill="FFFFFF"/>
        </w:rPr>
        <w:t>7.4.6</w:t>
      </w:r>
      <w:r w:rsidRPr="00206C4C">
        <w:rPr>
          <w:shd w:val="clear" w:color="auto" w:fill="FFFFFF"/>
        </w:rPr>
        <w:fldChar w:fldCharType="end"/>
      </w:r>
      <w:r w:rsidRPr="00206C4C">
        <w:rPr>
          <w:snapToGrid/>
        </w:rPr>
        <w:t>);</w:t>
      </w:r>
    </w:p>
    <w:p w:rsidR="00157471" w:rsidRPr="00206C4C" w:rsidRDefault="00157471" w:rsidP="00DE1661">
      <w:pPr>
        <w:pStyle w:val="13"/>
        <w:rPr>
          <w:snapToGrid/>
        </w:rPr>
      </w:pPr>
      <w:r w:rsidRPr="00206C4C">
        <w:t>Переход к странице ЕПБС «П</w:t>
      </w:r>
      <w:r w:rsidRPr="00206C4C">
        <w:rPr>
          <w:snapToGrid/>
        </w:rPr>
        <w:t>еречни (классификаторы) государственных и муниципальных услуг и работ».</w:t>
      </w:r>
    </w:p>
    <w:p w:rsidR="00157471" w:rsidRPr="00206C4C" w:rsidRDefault="00157471" w:rsidP="0054240B">
      <w:pPr>
        <w:pStyle w:val="35"/>
      </w:pPr>
      <w:bookmarkStart w:id="907" w:name="_Ref18853271"/>
      <w:bookmarkStart w:id="908" w:name="_Toc37845329"/>
      <w:bookmarkStart w:id="909" w:name="_Toc69290130"/>
      <w:bookmarkStart w:id="910" w:name="_Toc119585096"/>
      <w:r w:rsidRPr="00206C4C">
        <w:t>Отчет «Услуги и работы общероссийских и федеральных перечней (классификаторов) государственных и муниципальных услуг и работ»</w:t>
      </w:r>
      <w:bookmarkEnd w:id="907"/>
      <w:bookmarkEnd w:id="908"/>
      <w:bookmarkEnd w:id="909"/>
      <w:r w:rsidR="0054240B" w:rsidRPr="0054240B">
        <w:t xml:space="preserve"> (PIAO_111_002_report)</w:t>
      </w:r>
      <w:bookmarkEnd w:id="910"/>
    </w:p>
    <w:p w:rsidR="00157471" w:rsidRPr="00206C4C" w:rsidRDefault="00157471" w:rsidP="00157471">
      <w:pPr>
        <w:pStyle w:val="af0"/>
      </w:pPr>
      <w:r w:rsidRPr="00206C4C">
        <w:rPr>
          <w:rStyle w:val="af1"/>
        </w:rPr>
        <w:t>Для перехода к отчету «</w:t>
      </w:r>
      <w:r w:rsidRPr="00206C4C">
        <w:t>Услуги и работы общероссийских и федеральных перечней (классификаторов) государственных и муниципальных услуг и работ</w:t>
      </w:r>
      <w:r w:rsidRPr="00206C4C">
        <w:rPr>
          <w:rStyle w:val="af1"/>
        </w:rPr>
        <w:t xml:space="preserve">» </w:t>
      </w:r>
      <w:r w:rsidR="005B1C94" w:rsidRPr="00206C4C">
        <w:rPr>
          <w:rStyle w:val="af1"/>
        </w:rPr>
        <w:t>необходимо перейти к витрине «Ведение перечней и реестров» и кликнуть мышью по плашке «</w:t>
      </w:r>
      <w:r w:rsidR="005B1C94" w:rsidRPr="00206C4C">
        <w:t>Услуги и работы общероссийских и федеральных перечней (классификаторов) государственных и муниципальных услуг и работ</w:t>
      </w:r>
      <w:r w:rsidR="005B1C94" w:rsidRPr="00206C4C">
        <w:rPr>
          <w:rStyle w:val="af1"/>
        </w:rPr>
        <w:t>».</w:t>
      </w:r>
    </w:p>
    <w:p w:rsidR="00157471" w:rsidRPr="00206C4C" w:rsidRDefault="00157471" w:rsidP="00157471">
      <w:pPr>
        <w:pStyle w:val="af0"/>
      </w:pPr>
      <w:r w:rsidRPr="00206C4C">
        <w:rPr>
          <w:szCs w:val="28"/>
        </w:rPr>
        <w:t>Отчет «</w:t>
      </w:r>
      <w:r w:rsidRPr="00206C4C">
        <w:rPr>
          <w:szCs w:val="28"/>
          <w:shd w:val="clear" w:color="auto" w:fill="FFFFFF"/>
        </w:rPr>
        <w:t>Услуги и работы общероссийских и федеральных перечней (классификаторов) государственных и муниципальных услуг и работ</w:t>
      </w:r>
      <w:r w:rsidRPr="00206C4C">
        <w:rPr>
          <w:szCs w:val="28"/>
        </w:rPr>
        <w:t xml:space="preserve">» </w:t>
      </w:r>
      <w:r w:rsidRPr="00206C4C">
        <w:t xml:space="preserve">обеспечивает анализ информации о </w:t>
      </w:r>
      <w:r w:rsidRPr="00206C4C">
        <w:rPr>
          <w:color w:val="auto"/>
          <w:szCs w:val="28"/>
        </w:rPr>
        <w:t>количестве реестровых записей общероссийского (базового) отраслевого перечня (классификатора) государственных и муниципальных услуг, оказываемых физическим лицам, и федерального перечня (классификатора) государственных услуг и работ, размещенных на едином портале бюджетной системы (ЕПБС) (Рисунок</w:t>
      </w:r>
      <w:r w:rsidR="005B1C94">
        <w:rPr>
          <w:color w:val="auto"/>
          <w:szCs w:val="28"/>
        </w:rPr>
        <w:t xml:space="preserve"> </w:t>
      </w:r>
      <w:r w:rsidR="005B1C94">
        <w:rPr>
          <w:color w:val="auto"/>
          <w:szCs w:val="28"/>
        </w:rPr>
        <w:fldChar w:fldCharType="begin"/>
      </w:r>
      <w:r w:rsidR="005B1C94">
        <w:rPr>
          <w:color w:val="auto"/>
          <w:szCs w:val="28"/>
        </w:rPr>
        <w:instrText xml:space="preserve"> REF _Ref70069989 \h </w:instrText>
      </w:r>
      <w:r w:rsidR="005B1C94">
        <w:rPr>
          <w:color w:val="auto"/>
          <w:szCs w:val="28"/>
        </w:rPr>
      </w:r>
      <w:r w:rsidR="005B1C94">
        <w:rPr>
          <w:color w:val="auto"/>
          <w:szCs w:val="28"/>
        </w:rPr>
        <w:fldChar w:fldCharType="separate"/>
      </w:r>
      <w:r w:rsidR="00BF0BEE">
        <w:rPr>
          <w:noProof/>
        </w:rPr>
        <w:t>243</w:t>
      </w:r>
      <w:r w:rsidR="005B1C94">
        <w:rPr>
          <w:color w:val="auto"/>
          <w:szCs w:val="28"/>
        </w:rPr>
        <w:fldChar w:fldCharType="end"/>
      </w:r>
      <w:r w:rsidRPr="00206C4C">
        <w:rPr>
          <w:color w:val="auto"/>
          <w:szCs w:val="28"/>
        </w:rPr>
        <w:t>)</w:t>
      </w:r>
      <w:r w:rsidRPr="00206C4C">
        <w:t>.</w:t>
      </w:r>
    </w:p>
    <w:p w:rsidR="005B1C94" w:rsidRDefault="005B1C94" w:rsidP="005B1C94">
      <w:pPr>
        <w:pStyle w:val="afffff7"/>
        <w:keepNext/>
      </w:pPr>
      <w:r>
        <w:rPr>
          <w:noProof/>
          <w:lang w:eastAsia="ru-RU"/>
        </w:rPr>
        <w:drawing>
          <wp:inline distT="0" distB="0" distL="0" distR="0" wp14:anchorId="05684584" wp14:editId="0C3F8C35">
            <wp:extent cx="5939790" cy="2900314"/>
            <wp:effectExtent l="0" t="0" r="381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5939790" cy="2900314"/>
                    </a:xfrm>
                    <a:prstGeom prst="rect">
                      <a:avLst/>
                    </a:prstGeom>
                  </pic:spPr>
                </pic:pic>
              </a:graphicData>
            </a:graphic>
          </wp:inline>
        </w:drawing>
      </w:r>
    </w:p>
    <w:p w:rsidR="00157471" w:rsidRPr="00206C4C" w:rsidRDefault="005B1C94" w:rsidP="005B1C94">
      <w:pPr>
        <w:pStyle w:val="-0"/>
      </w:pPr>
      <w:bookmarkStart w:id="911" w:name="_Toc119584430"/>
      <w:r w:rsidRPr="00206C4C">
        <w:t xml:space="preserve">Рисунок </w:t>
      </w:r>
      <w:fldSimple w:instr=" SEQ Рисунок \* ARABIC ">
        <w:bookmarkStart w:id="912" w:name="_Ref70069989"/>
        <w:r w:rsidR="001860A9">
          <w:rPr>
            <w:noProof/>
          </w:rPr>
          <w:t>243</w:t>
        </w:r>
        <w:bookmarkEnd w:id="912"/>
      </w:fldSimple>
      <w:r w:rsidRPr="00206C4C">
        <w:t xml:space="preserve"> – Макет отчета «</w:t>
      </w:r>
      <w:r w:rsidRPr="00206C4C">
        <w:rPr>
          <w:shd w:val="clear" w:color="auto" w:fill="FFFFFF"/>
        </w:rPr>
        <w:t>Услуги и работы общероссийских и федеральных перечней (классификаторов) государственных и муниципальных услуг и работ</w:t>
      </w:r>
      <w:r w:rsidRPr="00206C4C">
        <w:t>»</w:t>
      </w:r>
      <w:bookmarkEnd w:id="911"/>
    </w:p>
    <w:p w:rsidR="00157471" w:rsidRPr="00206C4C" w:rsidRDefault="00157471" w:rsidP="00157471">
      <w:pPr>
        <w:pStyle w:val="af0"/>
      </w:pPr>
      <w:r w:rsidRPr="00206C4C">
        <w:t>Отчет строится по преднастроенным таблицам:</w:t>
      </w:r>
    </w:p>
    <w:p w:rsidR="00157471" w:rsidRPr="00206C4C" w:rsidRDefault="00157471" w:rsidP="00DE1661">
      <w:pPr>
        <w:pStyle w:val="13"/>
        <w:numPr>
          <w:ilvl w:val="0"/>
          <w:numId w:val="59"/>
        </w:numPr>
      </w:pPr>
      <w:r w:rsidRPr="00206C4C">
        <w:t xml:space="preserve">T_TEMP_REESTRPERECH </w:t>
      </w:r>
    </w:p>
    <w:p w:rsidR="00157471" w:rsidRPr="00206C4C" w:rsidRDefault="00157471" w:rsidP="00157471">
      <w:pPr>
        <w:pStyle w:val="af0"/>
      </w:pPr>
      <w:r w:rsidRPr="00206C4C">
        <w:t>Параметры представления:</w:t>
      </w:r>
    </w:p>
    <w:p w:rsidR="00157471" w:rsidRPr="00206C4C" w:rsidRDefault="00157471" w:rsidP="00DE1661">
      <w:pPr>
        <w:pStyle w:val="13"/>
      </w:pPr>
      <w:r w:rsidRPr="00206C4C">
        <w:t>ФОИВ: выпадающий список с наименованием и кодом организации по сводному реестру в Реестре участников и неучастников бюджетного процесса (СВР);</w:t>
      </w:r>
    </w:p>
    <w:p w:rsidR="00157471" w:rsidRPr="00206C4C" w:rsidRDefault="00157471" w:rsidP="00DE1661">
      <w:pPr>
        <w:pStyle w:val="13"/>
      </w:pPr>
      <w:r w:rsidRPr="00206C4C">
        <w:t>Раздел: выпадающий список с наименованием раздела, к которому относится перечень. Состоит из элементов: Все, Общероссийский, Федеральный;</w:t>
      </w:r>
    </w:p>
    <w:p w:rsidR="00157471" w:rsidRPr="00206C4C" w:rsidRDefault="00157471" w:rsidP="00DE1661">
      <w:pPr>
        <w:pStyle w:val="13"/>
      </w:pPr>
      <w:r w:rsidRPr="00206C4C">
        <w:t>Вид деятельности: выпадающий список с наименованием видов деятельности, в соответствии с которыми формируются перечни;</w:t>
      </w:r>
    </w:p>
    <w:p w:rsidR="00157471" w:rsidRPr="00206C4C" w:rsidRDefault="00157471" w:rsidP="00DE1661">
      <w:pPr>
        <w:pStyle w:val="13"/>
      </w:pPr>
      <w:r w:rsidRPr="00206C4C">
        <w:t>ОКПД: выпадающий список с кодом и наименованием ОКПД, соответствующих государственным (муниципальным) услугам (работам);</w:t>
      </w:r>
    </w:p>
    <w:p w:rsidR="00157471" w:rsidRPr="00206C4C" w:rsidRDefault="00157471" w:rsidP="00DE1661">
      <w:pPr>
        <w:pStyle w:val="13"/>
      </w:pPr>
      <w:r w:rsidRPr="00206C4C">
        <w:t>ОКВЭД: выпадающий список с кодом и наименованием ОКВЭД, соответствующих государственным (муниципальным) услугам (работам);</w:t>
      </w:r>
    </w:p>
    <w:p w:rsidR="00157471" w:rsidRPr="00206C4C" w:rsidRDefault="00157471" w:rsidP="00DE1661">
      <w:pPr>
        <w:pStyle w:val="13"/>
      </w:pPr>
      <w:r w:rsidRPr="00206C4C">
        <w:t>Категории потребителей: выпадающий список с кодом и наименованием категорий потребителей государственных (муниципальных) услуг (работ);</w:t>
      </w:r>
    </w:p>
    <w:p w:rsidR="00157471" w:rsidRPr="00206C4C" w:rsidRDefault="00157471" w:rsidP="00DE1661">
      <w:pPr>
        <w:pStyle w:val="13"/>
      </w:pPr>
      <w:r w:rsidRPr="00206C4C">
        <w:t>Признак услуга/работа: выпадающий список с наименованием признака отнесения к услуге или работе. Состоит из элементов: Все, Работа, Услуга;</w:t>
      </w:r>
    </w:p>
    <w:p w:rsidR="00157471" w:rsidRPr="00206C4C" w:rsidRDefault="00157471" w:rsidP="00DE1661">
      <w:pPr>
        <w:pStyle w:val="13"/>
      </w:pPr>
      <w:r w:rsidRPr="00206C4C">
        <w:t>Работы/Услуги: выпадающий список с наименованием государственных (муниципальных) услуг (работ) и поле для ручного ввода кода или наименования государственных (муниципальных) услуг (работ).</w:t>
      </w:r>
    </w:p>
    <w:p w:rsidR="00157471" w:rsidRPr="00206C4C" w:rsidRDefault="00157471" w:rsidP="00157471">
      <w:pPr>
        <w:pStyle w:val="af0"/>
      </w:pPr>
      <w:r w:rsidRPr="00206C4C">
        <w:t>Состав и принципы формирования показателей представления:</w:t>
      </w:r>
    </w:p>
    <w:p w:rsidR="00157471" w:rsidRPr="00206C4C" w:rsidRDefault="00157471" w:rsidP="00DE1661">
      <w:pPr>
        <w:pStyle w:val="13"/>
      </w:pPr>
      <w:r w:rsidRPr="00206C4C">
        <w:rPr>
          <w:bCs/>
        </w:rPr>
        <w:t xml:space="preserve">«Количество реестровых записей на ЕПБС» </w:t>
      </w:r>
      <w:r w:rsidRPr="00206C4C">
        <w:t>рассчитывается как число актуальных реестровых записей, размещенных на ЕПБС на текущую дату.</w:t>
      </w:r>
    </w:p>
    <w:p w:rsidR="00157471" w:rsidRPr="00206C4C" w:rsidRDefault="00157471" w:rsidP="00157471">
      <w:pPr>
        <w:pStyle w:val="af0"/>
      </w:pPr>
      <w:r w:rsidRPr="00206C4C">
        <w:t>Из представления обеспечены следующие переходы:</w:t>
      </w:r>
    </w:p>
    <w:p w:rsidR="00157471" w:rsidRPr="00206C4C" w:rsidRDefault="00157471" w:rsidP="00DE1661">
      <w:pPr>
        <w:pStyle w:val="13"/>
        <w:rPr>
          <w:snapToGrid/>
        </w:rPr>
      </w:pPr>
      <w:r w:rsidRPr="00206C4C">
        <w:t>Переход к представлению «</w:t>
      </w:r>
      <w:r w:rsidRPr="00206C4C">
        <w:rPr>
          <w:snapToGrid/>
        </w:rPr>
        <w:t>Реестровые записи общероссийских и федеральных перечней (классификаторов) государственных и муниципальных услуг и работ (</w:t>
      </w:r>
      <w:r w:rsidRPr="00206C4C">
        <w:rPr>
          <w:shd w:val="clear" w:color="auto" w:fill="FFFFFF"/>
        </w:rPr>
        <w:t xml:space="preserve">см. п. </w:t>
      </w:r>
      <w:r w:rsidRPr="00206C4C">
        <w:rPr>
          <w:shd w:val="clear" w:color="auto" w:fill="FFFFFF"/>
        </w:rPr>
        <w:fldChar w:fldCharType="begin"/>
      </w:r>
      <w:r w:rsidRPr="00206C4C">
        <w:rPr>
          <w:shd w:val="clear" w:color="auto" w:fill="FFFFFF"/>
        </w:rPr>
        <w:instrText xml:space="preserve"> REF _Ref18854395 \w \h  \* MERGEFORMAT </w:instrText>
      </w:r>
      <w:r w:rsidRPr="00206C4C">
        <w:rPr>
          <w:shd w:val="clear" w:color="auto" w:fill="FFFFFF"/>
        </w:rPr>
      </w:r>
      <w:r w:rsidRPr="00206C4C">
        <w:rPr>
          <w:shd w:val="clear" w:color="auto" w:fill="FFFFFF"/>
        </w:rPr>
        <w:fldChar w:fldCharType="separate"/>
      </w:r>
      <w:r w:rsidR="00BF0BEE">
        <w:rPr>
          <w:shd w:val="clear" w:color="auto" w:fill="FFFFFF"/>
        </w:rPr>
        <w:t>7.4.6</w:t>
      </w:r>
      <w:r w:rsidRPr="00206C4C">
        <w:rPr>
          <w:shd w:val="clear" w:color="auto" w:fill="FFFFFF"/>
        </w:rPr>
        <w:fldChar w:fldCharType="end"/>
      </w:r>
      <w:r w:rsidRPr="00206C4C">
        <w:rPr>
          <w:snapToGrid/>
        </w:rPr>
        <w:t>);</w:t>
      </w:r>
    </w:p>
    <w:p w:rsidR="00157471" w:rsidRPr="00206C4C" w:rsidRDefault="00157471" w:rsidP="00DE1661">
      <w:pPr>
        <w:pStyle w:val="13"/>
        <w:rPr>
          <w:snapToGrid/>
        </w:rPr>
      </w:pPr>
      <w:r w:rsidRPr="00206C4C">
        <w:t>Переход к странице ЕПБС «П</w:t>
      </w:r>
      <w:r w:rsidRPr="00206C4C">
        <w:rPr>
          <w:snapToGrid/>
        </w:rPr>
        <w:t>еречни (классификаторы) государственных и муниципальных услуг и работ».</w:t>
      </w:r>
    </w:p>
    <w:p w:rsidR="00157471" w:rsidRPr="00206C4C" w:rsidRDefault="00157471" w:rsidP="0054240B">
      <w:pPr>
        <w:pStyle w:val="35"/>
      </w:pPr>
      <w:bookmarkStart w:id="913" w:name="_Ref18854395"/>
      <w:bookmarkStart w:id="914" w:name="_Toc37845330"/>
      <w:bookmarkStart w:id="915" w:name="_Toc69290131"/>
      <w:bookmarkStart w:id="916" w:name="_Toc119585097"/>
      <w:r w:rsidRPr="00206C4C">
        <w:t>Отчет «</w:t>
      </w:r>
      <w:r w:rsidRPr="00206C4C">
        <w:rPr>
          <w:shd w:val="clear" w:color="auto" w:fill="FFFFFF"/>
        </w:rPr>
        <w:t>Реестровые записи общероссийских и федеральных перечней (классификаторов) государственных и муниципальных услуг и работ</w:t>
      </w:r>
      <w:r w:rsidRPr="00206C4C">
        <w:t>»</w:t>
      </w:r>
      <w:bookmarkEnd w:id="913"/>
      <w:bookmarkEnd w:id="914"/>
      <w:bookmarkEnd w:id="915"/>
      <w:r w:rsidR="0054240B" w:rsidRPr="0054240B">
        <w:t xml:space="preserve"> (PIAO_111_003_report)</w:t>
      </w:r>
      <w:bookmarkEnd w:id="916"/>
    </w:p>
    <w:p w:rsidR="00157471" w:rsidRPr="00206C4C" w:rsidRDefault="009C6835" w:rsidP="001261C0">
      <w:pPr>
        <w:pStyle w:val="af0"/>
        <w:rPr>
          <w:rStyle w:val="af1"/>
        </w:rPr>
      </w:pPr>
      <w:r w:rsidRPr="00206C4C">
        <w:rPr>
          <w:rStyle w:val="af1"/>
        </w:rPr>
        <w:t xml:space="preserve">Для перехода к отчету </w:t>
      </w:r>
      <w:r w:rsidR="00157471" w:rsidRPr="00206C4C">
        <w:rPr>
          <w:rStyle w:val="af1"/>
        </w:rPr>
        <w:t>«</w:t>
      </w:r>
      <w:r w:rsidR="00157471" w:rsidRPr="00206C4C">
        <w:rPr>
          <w:szCs w:val="28"/>
          <w:shd w:val="clear" w:color="auto" w:fill="FFFFFF"/>
        </w:rPr>
        <w:t>Реестровые записи общероссийских и федеральных перечней (классификаторов) государственных и муниципальных услуг и работ</w:t>
      </w:r>
      <w:r w:rsidR="00157471" w:rsidRPr="00206C4C">
        <w:rPr>
          <w:rStyle w:val="af1"/>
        </w:rPr>
        <w:t xml:space="preserve">» </w:t>
      </w:r>
      <w:r w:rsidR="001261C0" w:rsidRPr="00206C4C">
        <w:rPr>
          <w:rStyle w:val="af1"/>
        </w:rPr>
        <w:t>необходимо перейти к витрине «Ведение перечней и реестров» и кликнуть мышью по плашке</w:t>
      </w:r>
      <w:r w:rsidR="00157471" w:rsidRPr="00206C4C">
        <w:rPr>
          <w:rStyle w:val="af1"/>
        </w:rPr>
        <w:t xml:space="preserve"> </w:t>
      </w:r>
      <w:r w:rsidR="00157471" w:rsidRPr="00206C4C">
        <w:t>«</w:t>
      </w:r>
      <w:r w:rsidR="00157471" w:rsidRPr="00206C4C">
        <w:rPr>
          <w:shd w:val="clear" w:color="auto" w:fill="FFFFFF"/>
        </w:rPr>
        <w:t>Услуги и работы общероссийских и федеральных перечней (классификаторов) государственных и муниципальных услуг и работ</w:t>
      </w:r>
      <w:r w:rsidR="00157471" w:rsidRPr="00206C4C">
        <w:t>».</w:t>
      </w:r>
    </w:p>
    <w:p w:rsidR="00157471" w:rsidRPr="00206C4C" w:rsidRDefault="00157471" w:rsidP="00157471">
      <w:pPr>
        <w:pStyle w:val="af0"/>
      </w:pPr>
      <w:r w:rsidRPr="00206C4C">
        <w:t>Отчет «</w:t>
      </w:r>
      <w:r w:rsidRPr="00206C4C">
        <w:rPr>
          <w:shd w:val="clear" w:color="auto" w:fill="FFFFFF"/>
        </w:rPr>
        <w:t>Реестровые записи общероссийских и федеральных перечней (классификаторов) государственных и муниципальных услуг и работ</w:t>
      </w:r>
      <w:r w:rsidRPr="00206C4C">
        <w:t>» содержит информацию о реестровых записях общероссийского (базового) отраслевого перечня (классификатора) государственных и муниципальных услуг, оказываемых физическим лицам, и федерального перечня (классификатора) государственных услуг и работ (Рисунок</w:t>
      </w:r>
      <w:r w:rsidR="00496377">
        <w:t xml:space="preserve"> </w:t>
      </w:r>
      <w:r w:rsidR="00496377">
        <w:fldChar w:fldCharType="begin"/>
      </w:r>
      <w:r w:rsidR="00496377">
        <w:instrText xml:space="preserve"> REF _Ref70070243 \h </w:instrText>
      </w:r>
      <w:r w:rsidR="00496377">
        <w:fldChar w:fldCharType="separate"/>
      </w:r>
      <w:r w:rsidR="00BF0BEE">
        <w:rPr>
          <w:noProof/>
        </w:rPr>
        <w:t>244</w:t>
      </w:r>
      <w:r w:rsidR="00496377">
        <w:fldChar w:fldCharType="end"/>
      </w:r>
      <w:r w:rsidRPr="00206C4C">
        <w:t>).</w:t>
      </w:r>
    </w:p>
    <w:p w:rsidR="00496377" w:rsidRDefault="00496377" w:rsidP="00496377">
      <w:pPr>
        <w:pStyle w:val="afffff7"/>
        <w:keepNext/>
      </w:pPr>
      <w:r>
        <w:rPr>
          <w:noProof/>
          <w:lang w:eastAsia="ru-RU"/>
        </w:rPr>
        <w:drawing>
          <wp:inline distT="0" distB="0" distL="0" distR="0" wp14:anchorId="7CF28A04" wp14:editId="7FA5C791">
            <wp:extent cx="6152515" cy="2992755"/>
            <wp:effectExtent l="0" t="0" r="635"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stretch>
                      <a:fillRect/>
                    </a:stretch>
                  </pic:blipFill>
                  <pic:spPr>
                    <a:xfrm>
                      <a:off x="0" y="0"/>
                      <a:ext cx="6152515" cy="2992755"/>
                    </a:xfrm>
                    <a:prstGeom prst="rect">
                      <a:avLst/>
                    </a:prstGeom>
                  </pic:spPr>
                </pic:pic>
              </a:graphicData>
            </a:graphic>
          </wp:inline>
        </w:drawing>
      </w:r>
    </w:p>
    <w:p w:rsidR="00496377" w:rsidRDefault="00496377" w:rsidP="00496377">
      <w:pPr>
        <w:pStyle w:val="-0"/>
      </w:pPr>
      <w:bookmarkStart w:id="917" w:name="_Toc119584431"/>
      <w:r w:rsidRPr="00206C4C">
        <w:t xml:space="preserve">Рисунок </w:t>
      </w:r>
      <w:fldSimple w:instr=" SEQ Рисунок \* ARABIC ">
        <w:bookmarkStart w:id="918" w:name="_Ref70070243"/>
        <w:r w:rsidR="001860A9">
          <w:rPr>
            <w:noProof/>
          </w:rPr>
          <w:t>244</w:t>
        </w:r>
        <w:bookmarkEnd w:id="918"/>
      </w:fldSimple>
      <w:r w:rsidRPr="00206C4C">
        <w:t xml:space="preserve"> – Макет отчета «</w:t>
      </w:r>
      <w:r w:rsidRPr="00206C4C">
        <w:rPr>
          <w:shd w:val="clear" w:color="auto" w:fill="FFFFFF"/>
        </w:rPr>
        <w:t>Реестровые записи общероссийских и федеральных перечней (классификаторов) государственных и муниципальных услуг и работ</w:t>
      </w:r>
      <w:bookmarkEnd w:id="917"/>
    </w:p>
    <w:p w:rsidR="00157471" w:rsidRPr="00206C4C" w:rsidRDefault="00157471" w:rsidP="00157471">
      <w:pPr>
        <w:pStyle w:val="af0"/>
      </w:pPr>
      <w:r w:rsidRPr="00206C4C">
        <w:t>Отчет строится по преднастроенным таблицам:</w:t>
      </w:r>
    </w:p>
    <w:p w:rsidR="00157471" w:rsidRPr="00206C4C" w:rsidRDefault="00157471" w:rsidP="00DE1661">
      <w:pPr>
        <w:pStyle w:val="13"/>
        <w:numPr>
          <w:ilvl w:val="0"/>
          <w:numId w:val="59"/>
        </w:numPr>
      </w:pPr>
      <w:r w:rsidRPr="00206C4C">
        <w:t>T_TEMP_REESTRPERECH_DETAIL</w:t>
      </w:r>
    </w:p>
    <w:p w:rsidR="00157471" w:rsidRPr="00206C4C" w:rsidRDefault="00157471" w:rsidP="00157471">
      <w:pPr>
        <w:pStyle w:val="af0"/>
      </w:pPr>
      <w:r w:rsidRPr="00206C4C">
        <w:t>Параметры представления:</w:t>
      </w:r>
    </w:p>
    <w:p w:rsidR="00157471" w:rsidRPr="00206C4C" w:rsidRDefault="00157471" w:rsidP="00DE1661">
      <w:pPr>
        <w:pStyle w:val="13"/>
      </w:pPr>
      <w:r w:rsidRPr="00206C4C">
        <w:t>ФОИВ: выпадающий список с наименованием и кодом организации по сводному реестру в Реестре участников и неучастников бюджетного процесса (СВР);</w:t>
      </w:r>
    </w:p>
    <w:p w:rsidR="00157471" w:rsidRPr="00206C4C" w:rsidRDefault="00157471" w:rsidP="00DE1661">
      <w:pPr>
        <w:pStyle w:val="13"/>
      </w:pPr>
      <w:r w:rsidRPr="00206C4C">
        <w:t>Раздел: выпадающий список с наименованием раздела, к которому относится перечень. Состоит из элементов: Все, Общероссийский, Федеральный;</w:t>
      </w:r>
    </w:p>
    <w:p w:rsidR="00157471" w:rsidRPr="00206C4C" w:rsidRDefault="00157471" w:rsidP="00DE1661">
      <w:pPr>
        <w:pStyle w:val="13"/>
      </w:pPr>
      <w:r w:rsidRPr="00206C4C">
        <w:t>Вид деятельности: выпадающий список с наименованием видов деятельности, в соответствии с которыми формируются перечни;</w:t>
      </w:r>
    </w:p>
    <w:p w:rsidR="00157471" w:rsidRPr="00206C4C" w:rsidRDefault="00157471" w:rsidP="00DE1661">
      <w:pPr>
        <w:pStyle w:val="13"/>
      </w:pPr>
      <w:r w:rsidRPr="00206C4C">
        <w:t>ОКПД: выпадающий список с кодом и наименованием ОКПД, соответствующих государственным (муниципальным) услугам (работам);</w:t>
      </w:r>
    </w:p>
    <w:p w:rsidR="00157471" w:rsidRPr="00206C4C" w:rsidRDefault="00157471" w:rsidP="00DE1661">
      <w:pPr>
        <w:pStyle w:val="13"/>
      </w:pPr>
      <w:r w:rsidRPr="00206C4C">
        <w:t>ОКВЭД: выпадающий список с кодом и наименованием ОКВЭД, соответствующих государственным (муниципальным) услугам (работам);</w:t>
      </w:r>
    </w:p>
    <w:p w:rsidR="00157471" w:rsidRPr="00206C4C" w:rsidRDefault="00157471" w:rsidP="00DE1661">
      <w:pPr>
        <w:pStyle w:val="13"/>
      </w:pPr>
      <w:r w:rsidRPr="00206C4C">
        <w:t>Категории потребителей: выпадающий список с кодом и наименованием категорий потребителей государственных (муниципальных) услуг (работ);</w:t>
      </w:r>
    </w:p>
    <w:p w:rsidR="00157471" w:rsidRPr="00206C4C" w:rsidRDefault="00157471" w:rsidP="00DE1661">
      <w:pPr>
        <w:pStyle w:val="13"/>
      </w:pPr>
      <w:r w:rsidRPr="00206C4C">
        <w:t>Признак услуга/работа: выпадающий список с наименованием признака отнесения к услуге или работе. Состоит из элементов: Все, Работа, Услуга;</w:t>
      </w:r>
    </w:p>
    <w:p w:rsidR="00157471" w:rsidRPr="00206C4C" w:rsidRDefault="00157471" w:rsidP="00DE1661">
      <w:pPr>
        <w:pStyle w:val="13"/>
      </w:pPr>
      <w:r w:rsidRPr="00206C4C">
        <w:t>Работы/Услуги: выпадающий список с наименованием государственных (муниципальных) услуг (работ) и поле для ручного ввода кода или наименования государственных (муниципальных) услуг (работ);</w:t>
      </w:r>
    </w:p>
    <w:p w:rsidR="00157471" w:rsidRPr="00206C4C" w:rsidRDefault="00157471" w:rsidP="00DE1661">
      <w:pPr>
        <w:pStyle w:val="13"/>
      </w:pPr>
      <w:r w:rsidRPr="00206C4C">
        <w:t>Качество данных: выпадающий список с наименованием признака качества данных. Состоит из элементов: Все, Без уникального номера работы/услуги;</w:t>
      </w:r>
    </w:p>
    <w:p w:rsidR="00157471" w:rsidRPr="00206C4C" w:rsidRDefault="00157471" w:rsidP="00DE1661">
      <w:pPr>
        <w:pStyle w:val="13"/>
      </w:pPr>
      <w:r w:rsidRPr="00206C4C">
        <w:t>Период действия услуги/работы. Состоит из поля «с» и поля «по». Календарь с выбором даты.</w:t>
      </w:r>
    </w:p>
    <w:p w:rsidR="00157471" w:rsidRPr="00206C4C" w:rsidRDefault="00157471" w:rsidP="00157471">
      <w:pPr>
        <w:pStyle w:val="af0"/>
      </w:pPr>
      <w:r w:rsidRPr="00206C4C">
        <w:t>Из представления должны быть обеспечены следующие переходы:</w:t>
      </w:r>
    </w:p>
    <w:p w:rsidR="00157471" w:rsidRPr="00157471" w:rsidRDefault="00157471" w:rsidP="00DE1661">
      <w:pPr>
        <w:pStyle w:val="13"/>
        <w:rPr>
          <w:snapToGrid/>
        </w:rPr>
      </w:pPr>
      <w:r w:rsidRPr="00206C4C">
        <w:t>Переход к странице ЕПБС «П</w:t>
      </w:r>
      <w:r w:rsidRPr="00206C4C">
        <w:rPr>
          <w:snapToGrid/>
        </w:rPr>
        <w:t>еречни (классификаторы) государственных и муниципальных услуг и работ».</w:t>
      </w:r>
      <w:bookmarkEnd w:id="771"/>
    </w:p>
    <w:p w:rsidR="003A476C" w:rsidRDefault="003A476C" w:rsidP="00300057">
      <w:pPr>
        <w:pStyle w:val="35"/>
      </w:pPr>
      <w:bookmarkStart w:id="919" w:name="_Toc119585098"/>
      <w:r>
        <w:t>Отчет «</w:t>
      </w:r>
      <w:r w:rsidR="00300057" w:rsidRPr="00300057">
        <w:t>Мониторинг предоставления УФК и загрузки в ПИАО реестров конечных получателей субсидий</w:t>
      </w:r>
      <w:r>
        <w:t>» (</w:t>
      </w:r>
      <w:r w:rsidRPr="003A476C">
        <w:t>PIAO_150_00</w:t>
      </w:r>
      <w:r w:rsidR="00300057">
        <w:t>2</w:t>
      </w:r>
      <w:r w:rsidRPr="003A476C">
        <w:t>_report</w:t>
      </w:r>
      <w:r>
        <w:t>)</w:t>
      </w:r>
      <w:bookmarkEnd w:id="919"/>
    </w:p>
    <w:p w:rsidR="00C15A7E" w:rsidRDefault="00C15A7E" w:rsidP="00C15A7E">
      <w:pPr>
        <w:pStyle w:val="af0"/>
        <w:rPr>
          <w:rStyle w:val="af1"/>
        </w:rPr>
      </w:pPr>
      <w:r w:rsidRPr="00233E44">
        <w:rPr>
          <w:rStyle w:val="af1"/>
        </w:rPr>
        <w:t>Для перехода к отчету «</w:t>
      </w:r>
      <w:r w:rsidR="00300057" w:rsidRPr="00300057">
        <w:rPr>
          <w:rStyle w:val="af1"/>
        </w:rPr>
        <w:t>Мониторинг предоставления УФК и загрузки в ПИАО реестров конечных получателей субсидий</w:t>
      </w:r>
      <w:r w:rsidRPr="00233E44">
        <w:rPr>
          <w:rStyle w:val="af1"/>
        </w:rPr>
        <w:t>» необходимо перейти к витрине «Ведение перечней и реестров» и раскрыть каталог «</w:t>
      </w:r>
      <w:r>
        <w:rPr>
          <w:rStyle w:val="af1"/>
        </w:rPr>
        <w:t>Получатели субсидий</w:t>
      </w:r>
      <w:r w:rsidRPr="00233E44">
        <w:rPr>
          <w:rStyle w:val="af1"/>
        </w:rPr>
        <w:t>», как показано на рисунке</w:t>
      </w:r>
      <w:r>
        <w:rPr>
          <w:rStyle w:val="af1"/>
        </w:rPr>
        <w:t xml:space="preserve"> </w:t>
      </w:r>
      <w:r>
        <w:rPr>
          <w:rStyle w:val="af1"/>
        </w:rPr>
        <w:fldChar w:fldCharType="begin"/>
      </w:r>
      <w:r>
        <w:rPr>
          <w:rStyle w:val="af1"/>
        </w:rPr>
        <w:instrText xml:space="preserve"> REF _Ref70078887 \h </w:instrText>
      </w:r>
      <w:r>
        <w:rPr>
          <w:rStyle w:val="af1"/>
        </w:rPr>
      </w:r>
      <w:r>
        <w:rPr>
          <w:rStyle w:val="af1"/>
        </w:rPr>
        <w:fldChar w:fldCharType="separate"/>
      </w:r>
      <w:r w:rsidR="00BF0BEE">
        <w:rPr>
          <w:noProof/>
        </w:rPr>
        <w:t>245</w:t>
      </w:r>
      <w:r>
        <w:rPr>
          <w:rStyle w:val="af1"/>
        </w:rPr>
        <w:fldChar w:fldCharType="end"/>
      </w:r>
      <w:r>
        <w:rPr>
          <w:rStyle w:val="af1"/>
        </w:rPr>
        <w:t>.</w:t>
      </w:r>
    </w:p>
    <w:p w:rsidR="00C15A7E" w:rsidRDefault="00C15A7E" w:rsidP="00C15A7E">
      <w:pPr>
        <w:pStyle w:val="afffff7"/>
        <w:keepNext/>
      </w:pPr>
      <w:r>
        <w:rPr>
          <w:noProof/>
          <w:lang w:eastAsia="ru-RU"/>
        </w:rPr>
        <w:drawing>
          <wp:inline distT="0" distB="0" distL="0" distR="0" wp14:anchorId="15E5F94B" wp14:editId="32997037">
            <wp:extent cx="5939790" cy="2895410"/>
            <wp:effectExtent l="0" t="0" r="3810" b="635"/>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stretch>
                      <a:fillRect/>
                    </a:stretch>
                  </pic:blipFill>
                  <pic:spPr>
                    <a:xfrm>
                      <a:off x="0" y="0"/>
                      <a:ext cx="5939790" cy="2895410"/>
                    </a:xfrm>
                    <a:prstGeom prst="rect">
                      <a:avLst/>
                    </a:prstGeom>
                  </pic:spPr>
                </pic:pic>
              </a:graphicData>
            </a:graphic>
          </wp:inline>
        </w:drawing>
      </w:r>
    </w:p>
    <w:p w:rsidR="00C15A7E" w:rsidRDefault="00C15A7E" w:rsidP="00C15A7E">
      <w:pPr>
        <w:pStyle w:val="-0"/>
      </w:pPr>
      <w:bookmarkStart w:id="920" w:name="_Toc119584432"/>
      <w:r>
        <w:rPr>
          <w:rStyle w:val="af1"/>
          <w:rFonts w:eastAsia="Calibri"/>
        </w:rPr>
        <w:t xml:space="preserve">Рисунок </w:t>
      </w:r>
      <w:fldSimple w:instr=" SEQ Рисунок \* ARABIC ">
        <w:bookmarkStart w:id="921" w:name="_Ref70078887"/>
        <w:r w:rsidR="001860A9">
          <w:rPr>
            <w:noProof/>
          </w:rPr>
          <w:t>245</w:t>
        </w:r>
        <w:bookmarkEnd w:id="921"/>
      </w:fldSimple>
      <w:r>
        <w:rPr>
          <w:rStyle w:val="af1"/>
          <w:rFonts w:eastAsia="Calibri"/>
        </w:rPr>
        <w:t xml:space="preserve"> – Переход к каталогу «</w:t>
      </w:r>
      <w:r w:rsidR="000604A0">
        <w:rPr>
          <w:rStyle w:val="af1"/>
          <w:rFonts w:eastAsia="Calibri"/>
        </w:rPr>
        <w:t>Получатели субсидий</w:t>
      </w:r>
      <w:r>
        <w:rPr>
          <w:rStyle w:val="af1"/>
          <w:rFonts w:eastAsia="Calibri"/>
        </w:rPr>
        <w:t>»</w:t>
      </w:r>
      <w:bookmarkEnd w:id="920"/>
    </w:p>
    <w:p w:rsidR="00C15A7E" w:rsidRDefault="00C15A7E" w:rsidP="00C15A7E">
      <w:pPr>
        <w:pStyle w:val="af0"/>
        <w:rPr>
          <w:rStyle w:val="af1"/>
        </w:rPr>
      </w:pPr>
      <w:r w:rsidRPr="00233E44">
        <w:rPr>
          <w:rStyle w:val="af1"/>
        </w:rPr>
        <w:t>В результате отобразится список аналитических отчетов, входящих в каталог «</w:t>
      </w:r>
      <w:r w:rsidR="000604A0">
        <w:rPr>
          <w:rStyle w:val="af1"/>
        </w:rPr>
        <w:t>Получатели субсидий</w:t>
      </w:r>
      <w:r w:rsidRPr="00233E44">
        <w:rPr>
          <w:rStyle w:val="af1"/>
        </w:rPr>
        <w:t>»</w:t>
      </w:r>
      <w:r>
        <w:rPr>
          <w:rStyle w:val="af1"/>
        </w:rPr>
        <w:t xml:space="preserve"> (Рисунок</w:t>
      </w:r>
      <w:r w:rsidR="000604A0">
        <w:rPr>
          <w:rStyle w:val="af1"/>
        </w:rPr>
        <w:t xml:space="preserve"> </w:t>
      </w:r>
      <w:r w:rsidR="000604A0">
        <w:rPr>
          <w:rStyle w:val="af1"/>
        </w:rPr>
        <w:fldChar w:fldCharType="begin"/>
      </w:r>
      <w:r w:rsidR="000604A0">
        <w:rPr>
          <w:rStyle w:val="af1"/>
        </w:rPr>
        <w:instrText xml:space="preserve"> REF _Ref70079026 \h </w:instrText>
      </w:r>
      <w:r w:rsidR="000604A0">
        <w:rPr>
          <w:rStyle w:val="af1"/>
        </w:rPr>
      </w:r>
      <w:r w:rsidR="000604A0">
        <w:rPr>
          <w:rStyle w:val="af1"/>
        </w:rPr>
        <w:fldChar w:fldCharType="separate"/>
      </w:r>
      <w:r w:rsidR="00BF0BEE">
        <w:rPr>
          <w:noProof/>
        </w:rPr>
        <w:t>246</w:t>
      </w:r>
      <w:r w:rsidR="000604A0">
        <w:rPr>
          <w:rStyle w:val="af1"/>
        </w:rPr>
        <w:fldChar w:fldCharType="end"/>
      </w:r>
      <w:r>
        <w:rPr>
          <w:rStyle w:val="af1"/>
        </w:rPr>
        <w:t>).</w:t>
      </w:r>
    </w:p>
    <w:p w:rsidR="000604A0" w:rsidRDefault="000604A0" w:rsidP="000604A0">
      <w:pPr>
        <w:pStyle w:val="afffff7"/>
        <w:keepNext/>
      </w:pPr>
      <w:r>
        <w:rPr>
          <w:noProof/>
          <w:lang w:eastAsia="ru-RU"/>
        </w:rPr>
        <w:drawing>
          <wp:inline distT="0" distB="0" distL="0" distR="0" wp14:anchorId="4372A9C6" wp14:editId="20E7E8D3">
            <wp:extent cx="5939790" cy="2895410"/>
            <wp:effectExtent l="0" t="0" r="3810" b="63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5939790" cy="2895410"/>
                    </a:xfrm>
                    <a:prstGeom prst="rect">
                      <a:avLst/>
                    </a:prstGeom>
                  </pic:spPr>
                </pic:pic>
              </a:graphicData>
            </a:graphic>
          </wp:inline>
        </w:drawing>
      </w:r>
    </w:p>
    <w:p w:rsidR="00C15A7E" w:rsidRDefault="000604A0" w:rsidP="000604A0">
      <w:pPr>
        <w:pStyle w:val="-0"/>
      </w:pPr>
      <w:bookmarkStart w:id="922" w:name="_Toc119584433"/>
      <w:r>
        <w:rPr>
          <w:rStyle w:val="af1"/>
          <w:rFonts w:eastAsia="Calibri"/>
        </w:rPr>
        <w:t xml:space="preserve">Рисунок </w:t>
      </w:r>
      <w:fldSimple w:instr=" SEQ Рисунок \* ARABIC ">
        <w:bookmarkStart w:id="923" w:name="_Ref70079026"/>
        <w:r w:rsidR="001860A9">
          <w:rPr>
            <w:noProof/>
          </w:rPr>
          <w:t>246</w:t>
        </w:r>
        <w:bookmarkEnd w:id="923"/>
      </w:fldSimple>
      <w:r>
        <w:rPr>
          <w:rStyle w:val="af1"/>
          <w:rFonts w:eastAsia="Calibri"/>
        </w:rPr>
        <w:t xml:space="preserve"> – Перечень отчетов каталога «Получатели субсидий»</w:t>
      </w:r>
      <w:bookmarkEnd w:id="922"/>
    </w:p>
    <w:p w:rsidR="00C15A7E" w:rsidRDefault="00C15A7E" w:rsidP="00C15A7E">
      <w:pPr>
        <w:pStyle w:val="af0"/>
        <w:rPr>
          <w:rStyle w:val="af1"/>
        </w:rPr>
      </w:pPr>
      <w:r>
        <w:rPr>
          <w:rStyle w:val="af1"/>
        </w:rPr>
        <w:t>Для перехода к отчету «</w:t>
      </w:r>
      <w:r w:rsidR="00300057" w:rsidRPr="00300057">
        <w:rPr>
          <w:rStyle w:val="af1"/>
        </w:rPr>
        <w:t>Мониторинг предоставления УФК и загрузки в ПИАО реестров конечных получателей субсидий</w:t>
      </w:r>
      <w:r>
        <w:rPr>
          <w:rStyle w:val="af1"/>
        </w:rPr>
        <w:t>» кликнуть мышью по плашке «</w:t>
      </w:r>
      <w:r w:rsidR="00300057" w:rsidRPr="00300057">
        <w:rPr>
          <w:rStyle w:val="af1"/>
        </w:rPr>
        <w:t>Мониторинг предоставления УФК и загрузки в ПИАО реестров конечных получателей субсидий</w:t>
      </w:r>
      <w:r>
        <w:rPr>
          <w:rStyle w:val="af1"/>
        </w:rPr>
        <w:t>», как показано на рисунке</w:t>
      </w:r>
      <w:r w:rsidR="00300057">
        <w:rPr>
          <w:rStyle w:val="af1"/>
        </w:rPr>
        <w:t xml:space="preserve"> </w:t>
      </w:r>
      <w:r w:rsidR="00300057">
        <w:rPr>
          <w:rStyle w:val="af1"/>
        </w:rPr>
        <w:fldChar w:fldCharType="begin"/>
      </w:r>
      <w:r w:rsidR="00300057">
        <w:rPr>
          <w:rStyle w:val="af1"/>
        </w:rPr>
        <w:instrText xml:space="preserve"> REF _Ref70079609 \h </w:instrText>
      </w:r>
      <w:r w:rsidR="00300057">
        <w:rPr>
          <w:rStyle w:val="af1"/>
        </w:rPr>
      </w:r>
      <w:r w:rsidR="00300057">
        <w:rPr>
          <w:rStyle w:val="af1"/>
        </w:rPr>
        <w:fldChar w:fldCharType="separate"/>
      </w:r>
      <w:r w:rsidR="00BF0BEE">
        <w:rPr>
          <w:noProof/>
        </w:rPr>
        <w:t>247</w:t>
      </w:r>
      <w:r w:rsidR="00300057">
        <w:rPr>
          <w:rStyle w:val="af1"/>
        </w:rPr>
        <w:fldChar w:fldCharType="end"/>
      </w:r>
      <w:r>
        <w:rPr>
          <w:rStyle w:val="af1"/>
        </w:rPr>
        <w:t>.</w:t>
      </w:r>
    </w:p>
    <w:p w:rsidR="00300057" w:rsidRDefault="00300057" w:rsidP="00300057">
      <w:pPr>
        <w:pStyle w:val="afffff7"/>
        <w:keepNext/>
      </w:pPr>
      <w:r>
        <w:rPr>
          <w:noProof/>
          <w:lang w:eastAsia="ru-RU"/>
        </w:rPr>
        <w:drawing>
          <wp:inline distT="0" distB="0" distL="0" distR="0" wp14:anchorId="7BDB9C99" wp14:editId="33139165">
            <wp:extent cx="5939790" cy="2892345"/>
            <wp:effectExtent l="0" t="0" r="3810" b="3810"/>
            <wp:docPr id="5826" name="Рисунок 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5939790" cy="2892345"/>
                    </a:xfrm>
                    <a:prstGeom prst="rect">
                      <a:avLst/>
                    </a:prstGeom>
                  </pic:spPr>
                </pic:pic>
              </a:graphicData>
            </a:graphic>
          </wp:inline>
        </w:drawing>
      </w:r>
    </w:p>
    <w:p w:rsidR="000604A0" w:rsidRDefault="00300057" w:rsidP="00300057">
      <w:pPr>
        <w:pStyle w:val="-0"/>
      </w:pPr>
      <w:bookmarkStart w:id="924" w:name="_Toc119584434"/>
      <w:r>
        <w:rPr>
          <w:rStyle w:val="af1"/>
          <w:rFonts w:eastAsia="Calibri"/>
        </w:rPr>
        <w:t xml:space="preserve">Рисунок </w:t>
      </w:r>
      <w:fldSimple w:instr=" SEQ Рисунок \* ARABIC ">
        <w:bookmarkStart w:id="925" w:name="_Ref70079609"/>
        <w:r w:rsidR="001860A9">
          <w:rPr>
            <w:noProof/>
          </w:rPr>
          <w:t>247</w:t>
        </w:r>
        <w:bookmarkEnd w:id="925"/>
      </w:fldSimple>
      <w:r>
        <w:rPr>
          <w:rStyle w:val="af1"/>
          <w:rFonts w:eastAsia="Calibri"/>
        </w:rPr>
        <w:t xml:space="preserve"> – </w:t>
      </w:r>
      <w:r w:rsidRPr="00C501ED">
        <w:t xml:space="preserve">Плашка для перехода к отчету </w:t>
      </w:r>
      <w:r w:rsidRPr="00C501ED">
        <w:rPr>
          <w:rStyle w:val="af1"/>
          <w:snapToGrid w:val="0"/>
        </w:rPr>
        <w:t>«</w:t>
      </w:r>
      <w:r w:rsidRPr="00300057">
        <w:rPr>
          <w:rStyle w:val="af1"/>
          <w:snapToGrid w:val="0"/>
        </w:rPr>
        <w:t>Мониторинг предоставления УФК и загрузки в ПИАО реестров конечных получателей субсидий</w:t>
      </w:r>
      <w:r w:rsidRPr="00C501ED">
        <w:rPr>
          <w:rStyle w:val="af1"/>
          <w:snapToGrid w:val="0"/>
        </w:rPr>
        <w:t>»</w:t>
      </w:r>
      <w:bookmarkEnd w:id="924"/>
    </w:p>
    <w:p w:rsidR="00A87568" w:rsidRDefault="00A87568" w:rsidP="00A87568">
      <w:pPr>
        <w:pStyle w:val="af0"/>
      </w:pPr>
      <w:r>
        <w:t>Отчет «</w:t>
      </w:r>
      <w:r w:rsidR="00300057" w:rsidRPr="00300057">
        <w:rPr>
          <w:rStyle w:val="af1"/>
          <w:snapToGrid w:val="0"/>
        </w:rPr>
        <w:t>Мониторинг предоставления УФК и загрузки в ПИАО реестров конечных получателей субсидий</w:t>
      </w:r>
      <w:r>
        <w:t xml:space="preserve">» обеспечивает </w:t>
      </w:r>
      <w:r w:rsidRPr="00B303F2">
        <w:t xml:space="preserve">мониторинг предоставления </w:t>
      </w:r>
      <w:r>
        <w:t>ТОФК</w:t>
      </w:r>
      <w:r w:rsidRPr="00B303F2">
        <w:t xml:space="preserve"> и загрузки в ПИАО</w:t>
      </w:r>
      <w:r>
        <w:t xml:space="preserve"> данных</w:t>
      </w:r>
      <w:r w:rsidRPr="00B303F2">
        <w:t xml:space="preserve"> реестров конечных получателей субсидий </w:t>
      </w:r>
      <w:r w:rsidRPr="00EC4D14">
        <w:t xml:space="preserve">за счет средств бюджетов бюджетной системы Российской Федерации на оказание поддержки в отраслях </w:t>
      </w:r>
      <w:r>
        <w:t>промышленности</w:t>
      </w:r>
      <w:r w:rsidRPr="00EC4D14">
        <w:t xml:space="preserve"> </w:t>
      </w:r>
      <w:r>
        <w:t xml:space="preserve"> и </w:t>
      </w:r>
      <w:r w:rsidRPr="00EC4D14">
        <w:t>сельского хозяйства</w:t>
      </w:r>
      <w:r>
        <w:t xml:space="preserve"> на основе данных  </w:t>
      </w:r>
      <w:r w:rsidRPr="00EC4D14">
        <w:t>финансовых органов субъектов Российской Федерации</w:t>
      </w:r>
      <w:r>
        <w:t xml:space="preserve"> и </w:t>
      </w:r>
      <w:r w:rsidRPr="00B955C3">
        <w:t>сведений территориальных органов Федерального казначейства</w:t>
      </w:r>
      <w:r w:rsidRPr="008850F9">
        <w:t>.</w:t>
      </w:r>
    </w:p>
    <w:p w:rsidR="00300057" w:rsidRPr="00A27FF5" w:rsidRDefault="00300057" w:rsidP="00300057">
      <w:pPr>
        <w:pStyle w:val="46"/>
      </w:pPr>
      <w:bookmarkStart w:id="926" w:name="_Toc44916471"/>
      <w:bookmarkStart w:id="927" w:name="_Toc68687371"/>
      <w:r w:rsidRPr="00A27FF5">
        <w:t>Представление «</w:t>
      </w:r>
      <w:r>
        <w:t>Мониторинг (краткое)</w:t>
      </w:r>
      <w:r w:rsidRPr="00A27FF5">
        <w:t>»</w:t>
      </w:r>
      <w:bookmarkEnd w:id="926"/>
      <w:bookmarkEnd w:id="927"/>
      <w:r>
        <w:t xml:space="preserve"> </w:t>
      </w:r>
    </w:p>
    <w:p w:rsidR="00300057" w:rsidRPr="0016377A" w:rsidRDefault="00300057" w:rsidP="00300057">
      <w:pPr>
        <w:pStyle w:val="af0"/>
      </w:pPr>
      <w:r>
        <w:t>Представление в виде таблицы и инфографики. О</w:t>
      </w:r>
      <w:r w:rsidRPr="0016377A">
        <w:t>тобража</w:t>
      </w:r>
      <w:r w:rsidR="0088791F">
        <w:t>е</w:t>
      </w:r>
      <w:r w:rsidRPr="0016377A">
        <w:t xml:space="preserve">тся первым, с него </w:t>
      </w:r>
      <w:r w:rsidR="0088791F">
        <w:t>возможно</w:t>
      </w:r>
      <w:r w:rsidRPr="0016377A">
        <w:t xml:space="preserve"> выполняться переход в</w:t>
      </w:r>
      <w:r w:rsidRPr="001475B2">
        <w:t xml:space="preserve"> </w:t>
      </w:r>
      <w:r>
        <w:t>другие представления</w:t>
      </w:r>
      <w:r w:rsidRPr="0016377A">
        <w:t>.</w:t>
      </w:r>
    </w:p>
    <w:p w:rsidR="00300057" w:rsidRPr="00DF5231" w:rsidRDefault="00300057" w:rsidP="00300057">
      <w:pPr>
        <w:pStyle w:val="af0"/>
      </w:pPr>
      <w:r w:rsidRPr="00DF5231">
        <w:t>У таблицы</w:t>
      </w:r>
      <w:r w:rsidRPr="00F643A1">
        <w:t xml:space="preserve"> </w:t>
      </w:r>
      <w:r w:rsidRPr="00DF5231">
        <w:t>выводит</w:t>
      </w:r>
      <w:r>
        <w:t>ь</w:t>
      </w:r>
      <w:r w:rsidRPr="00DF5231">
        <w:t xml:space="preserve">ся: </w:t>
      </w:r>
    </w:p>
    <w:p w:rsidR="00300057" w:rsidRPr="0016377A" w:rsidRDefault="00300057" w:rsidP="00633646">
      <w:pPr>
        <w:pStyle w:val="13"/>
      </w:pPr>
      <w:r w:rsidRPr="0016377A">
        <w:t>Заголовок «</w:t>
      </w:r>
      <w:r w:rsidRPr="002C0CDA">
        <w:t>Мониторинг  передачи информации по РКПС</w:t>
      </w:r>
      <w:r w:rsidRPr="0016377A">
        <w:t>»;</w:t>
      </w:r>
    </w:p>
    <w:p w:rsidR="00300057" w:rsidRPr="0016377A" w:rsidRDefault="00300057" w:rsidP="00633646">
      <w:pPr>
        <w:pStyle w:val="13"/>
      </w:pPr>
      <w:r w:rsidRPr="0016377A">
        <w:t xml:space="preserve">Поиск по дате: </w:t>
      </w:r>
      <w:r>
        <w:t xml:space="preserve">так как </w:t>
      </w:r>
      <w:r w:rsidRPr="0016377A">
        <w:t>данные будут ежемесячные нарастающим</w:t>
      </w:r>
      <w:r>
        <w:t xml:space="preserve"> итогам</w:t>
      </w:r>
      <w:r w:rsidRPr="0016377A">
        <w:t xml:space="preserve">, показывать </w:t>
      </w:r>
      <w:r>
        <w:t>д</w:t>
      </w:r>
      <w:r w:rsidRPr="0016377A">
        <w:t>аты, на которые есть данные (по REPORTDATE);</w:t>
      </w:r>
    </w:p>
    <w:p w:rsidR="00300057" w:rsidRPr="0016377A" w:rsidRDefault="00300057" w:rsidP="00633646">
      <w:pPr>
        <w:pStyle w:val="13"/>
      </w:pPr>
      <w:r w:rsidRPr="0016377A">
        <w:t>Фильтр по ТОФК</w:t>
      </w:r>
      <w:r>
        <w:t xml:space="preserve"> (</w:t>
      </w:r>
      <w:r w:rsidRPr="002C0CDA">
        <w:t xml:space="preserve">Формируем список из записей справочника </w:t>
      </w:r>
      <w:r w:rsidRPr="002C0CDA">
        <w:rPr>
          <w:lang w:val="en-US"/>
        </w:rPr>
        <w:t>D</w:t>
      </w:r>
      <w:r w:rsidRPr="002C0CDA">
        <w:t>_ASFK_</w:t>
      </w:r>
      <w:r w:rsidRPr="002C0CDA">
        <w:rPr>
          <w:lang w:val="en-US"/>
        </w:rPr>
        <w:t>TOFK</w:t>
      </w:r>
      <w:r w:rsidRPr="002C0CDA">
        <w:t xml:space="preserve">. Выводим соответственно </w:t>
      </w:r>
      <w:r w:rsidRPr="002C0CDA">
        <w:rPr>
          <w:lang w:val="en-US"/>
        </w:rPr>
        <w:t>CODE</w:t>
      </w:r>
      <w:r w:rsidRPr="002C0CDA">
        <w:t xml:space="preserve"> и </w:t>
      </w:r>
      <w:r w:rsidRPr="002C0CDA">
        <w:rPr>
          <w:lang w:val="en-US"/>
        </w:rPr>
        <w:t>NAME</w:t>
      </w:r>
      <w:r>
        <w:t>)</w:t>
      </w:r>
      <w:r w:rsidRPr="0016377A">
        <w:t>.</w:t>
      </w:r>
    </w:p>
    <w:p w:rsidR="00300057" w:rsidRDefault="00300057" w:rsidP="00300057">
      <w:pPr>
        <w:pStyle w:val="af0"/>
      </w:pPr>
      <w:r>
        <w:t xml:space="preserve">Таблица </w:t>
      </w:r>
      <w:r w:rsidR="0088791F">
        <w:t>с</w:t>
      </w:r>
      <w:r>
        <w:t>одержат следующие столбцы:</w:t>
      </w:r>
    </w:p>
    <w:p w:rsidR="00300057" w:rsidRDefault="00300057" w:rsidP="00633646">
      <w:pPr>
        <w:pStyle w:val="13"/>
      </w:pPr>
      <w:r>
        <w:t>План – константа равная числу субъектов РФ;</w:t>
      </w:r>
    </w:p>
    <w:p w:rsidR="00300057" w:rsidRDefault="00300057" w:rsidP="00633646">
      <w:pPr>
        <w:pStyle w:val="13"/>
      </w:pPr>
      <w:r>
        <w:t>Загружено, факт – количество ТОФК, передавших данные на отчетную дату;</w:t>
      </w:r>
    </w:p>
    <w:p w:rsidR="00300057" w:rsidRDefault="00300057" w:rsidP="00633646">
      <w:pPr>
        <w:pStyle w:val="13"/>
      </w:pPr>
      <w:r>
        <w:t>Не загружено, факт – рассчитывается как план минус показатель  «Загружено, факт»;</w:t>
      </w:r>
    </w:p>
    <w:p w:rsidR="00300057" w:rsidRDefault="00300057" w:rsidP="00633646">
      <w:pPr>
        <w:pStyle w:val="13"/>
      </w:pPr>
      <w:r>
        <w:t>Доля загруженных, % - подсчитывается доля ТОФК, передавших данные на отчетную дату, от плана.</w:t>
      </w:r>
    </w:p>
    <w:p w:rsidR="00300057" w:rsidRPr="00D70FDF" w:rsidRDefault="00300057" w:rsidP="00300057">
      <w:pPr>
        <w:pStyle w:val="af0"/>
      </w:pPr>
      <w:r>
        <w:t xml:space="preserve">В таблице </w:t>
      </w:r>
      <w:r w:rsidR="0088791F">
        <w:t>отображаются</w:t>
      </w:r>
      <w:r>
        <w:t xml:space="preserve"> две фиксированные строки: Данные ТОФК (учет файлов с префиксом </w:t>
      </w:r>
      <w:r>
        <w:rPr>
          <w:lang w:val="en-US"/>
        </w:rPr>
        <w:t>T</w:t>
      </w:r>
      <w:r w:rsidRPr="00D70FDF">
        <w:t xml:space="preserve">) </w:t>
      </w:r>
      <w:r>
        <w:t xml:space="preserve">и данные ФО субъекта РФ (учет файлов с префиксом </w:t>
      </w:r>
      <w:r>
        <w:rPr>
          <w:lang w:val="en-US"/>
        </w:rPr>
        <w:t>F</w:t>
      </w:r>
      <w:r w:rsidRPr="00D70FDF">
        <w:t>).</w:t>
      </w:r>
      <w:r>
        <w:t xml:space="preserve"> Переход ко второму представлению (подробное, расширенное) осуществля</w:t>
      </w:r>
      <w:r w:rsidR="0088791F">
        <w:t>е</w:t>
      </w:r>
      <w:r>
        <w:t>тся из любой ячейки с передачей параметров.</w:t>
      </w:r>
    </w:p>
    <w:p w:rsidR="00300057" w:rsidRPr="00BF58AA" w:rsidRDefault="00300057" w:rsidP="00300057">
      <w:pPr>
        <w:pStyle w:val="af0"/>
      </w:pPr>
      <w:r>
        <w:t xml:space="preserve">По данным таблицы </w:t>
      </w:r>
      <w:r w:rsidR="0088791F">
        <w:t>строят</w:t>
      </w:r>
      <w:r>
        <w:t>ся две круговые диаграммы.</w:t>
      </w:r>
    </w:p>
    <w:p w:rsidR="00300057" w:rsidRPr="002C1CBA" w:rsidRDefault="00300057" w:rsidP="00300057">
      <w:pPr>
        <w:pStyle w:val="af0"/>
      </w:pPr>
      <w:r w:rsidRPr="002C1CBA">
        <w:t xml:space="preserve">Выравнивание названий колонок в шапке отчета должно быть по центру. </w:t>
      </w:r>
    </w:p>
    <w:p w:rsidR="00300057" w:rsidRPr="002C1CBA" w:rsidRDefault="00300057" w:rsidP="00300057">
      <w:pPr>
        <w:pStyle w:val="af0"/>
      </w:pPr>
      <w:r w:rsidRPr="002C1CBA">
        <w:t xml:space="preserve">Выравнивание числовых значений по правому краю. </w:t>
      </w:r>
    </w:p>
    <w:p w:rsidR="00300057" w:rsidRPr="002C1CBA" w:rsidRDefault="00300057" w:rsidP="00300057">
      <w:pPr>
        <w:pStyle w:val="af0"/>
      </w:pPr>
      <w:r w:rsidRPr="002C1CBA">
        <w:t>Разрядность значений.</w:t>
      </w:r>
      <w:r>
        <w:t xml:space="preserve"> </w:t>
      </w:r>
    </w:p>
    <w:p w:rsidR="0088791F" w:rsidRDefault="00300057" w:rsidP="0088791F">
      <w:pPr>
        <w:pStyle w:val="af0"/>
        <w:keepNext/>
        <w:ind w:firstLine="0"/>
      </w:pPr>
      <w:r>
        <w:rPr>
          <w:noProof/>
          <w:snapToGrid/>
        </w:rPr>
        <w:drawing>
          <wp:inline distT="0" distB="0" distL="0" distR="0" wp14:anchorId="10BD9441" wp14:editId="53ED3CCE">
            <wp:extent cx="5940619" cy="2361537"/>
            <wp:effectExtent l="19050" t="19050" r="22031" b="19713"/>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7" cstate="print"/>
                    <a:srcRect b="29286"/>
                    <a:stretch>
                      <a:fillRect/>
                    </a:stretch>
                  </pic:blipFill>
                  <pic:spPr bwMode="auto">
                    <a:xfrm>
                      <a:off x="0" y="0"/>
                      <a:ext cx="5940619" cy="2361537"/>
                    </a:xfrm>
                    <a:prstGeom prst="rect">
                      <a:avLst/>
                    </a:prstGeom>
                    <a:noFill/>
                    <a:ln w="9525">
                      <a:solidFill>
                        <a:schemeClr val="accent1"/>
                      </a:solidFill>
                      <a:miter lim="800000"/>
                      <a:headEnd/>
                      <a:tailEnd/>
                    </a:ln>
                  </pic:spPr>
                </pic:pic>
              </a:graphicData>
            </a:graphic>
          </wp:inline>
        </w:drawing>
      </w:r>
    </w:p>
    <w:p w:rsidR="00300057" w:rsidRDefault="005B5F71" w:rsidP="005B5F71">
      <w:pPr>
        <w:pStyle w:val="-0"/>
      </w:pPr>
      <w:bookmarkStart w:id="928" w:name="_Toc119584435"/>
      <w:r>
        <w:t xml:space="preserve">Рисунок </w:t>
      </w:r>
      <w:fldSimple w:instr=" SEQ Рисунок \* ARABIC ">
        <w:r w:rsidR="001860A9">
          <w:rPr>
            <w:noProof/>
          </w:rPr>
          <w:t>248</w:t>
        </w:r>
      </w:fldSimple>
      <w:r>
        <w:t xml:space="preserve"> – Макет отчета «</w:t>
      </w:r>
      <w:r w:rsidRPr="005B5F71">
        <w:rPr>
          <w:rStyle w:val="af1"/>
        </w:rPr>
        <w:t>Мониторинг предоставления УФК и загрузки в ПИАО реестров конечных получателей субсидий</w:t>
      </w:r>
      <w:r>
        <w:t>». Представление</w:t>
      </w:r>
      <w:r w:rsidRPr="00D84966">
        <w:t xml:space="preserve"> «</w:t>
      </w:r>
      <w:r>
        <w:t>Мониторинг (краткое)</w:t>
      </w:r>
      <w:r w:rsidRPr="00D84966">
        <w:t>»</w:t>
      </w:r>
      <w:bookmarkEnd w:id="928"/>
    </w:p>
    <w:p w:rsidR="00BC343F" w:rsidRPr="00A27FF5" w:rsidRDefault="00BC343F" w:rsidP="00BC343F">
      <w:pPr>
        <w:pStyle w:val="46"/>
      </w:pPr>
      <w:bookmarkStart w:id="929" w:name="_Toc68687372"/>
      <w:r w:rsidRPr="00A27FF5">
        <w:t>Представление «</w:t>
      </w:r>
      <w:r>
        <w:t>Мониторинг (расширенное)</w:t>
      </w:r>
      <w:r w:rsidRPr="00A27FF5">
        <w:t>»</w:t>
      </w:r>
      <w:bookmarkEnd w:id="929"/>
      <w:r>
        <w:t xml:space="preserve"> </w:t>
      </w:r>
    </w:p>
    <w:p w:rsidR="00BC343F" w:rsidRDefault="00BC343F" w:rsidP="00BC343F">
      <w:pPr>
        <w:pStyle w:val="af0"/>
      </w:pPr>
      <w:r>
        <w:t>Представление в виде таблицы.</w:t>
      </w:r>
    </w:p>
    <w:p w:rsidR="00BC343F" w:rsidRPr="00DF5231" w:rsidRDefault="00BC343F" w:rsidP="00BC343F">
      <w:pPr>
        <w:pStyle w:val="af0"/>
      </w:pPr>
      <w:r w:rsidRPr="00DF5231">
        <w:t>У таблицы</w:t>
      </w:r>
      <w:r w:rsidRPr="00F643A1">
        <w:t xml:space="preserve"> </w:t>
      </w:r>
      <w:r w:rsidRPr="00DF5231">
        <w:t xml:space="preserve">выводится: </w:t>
      </w:r>
    </w:p>
    <w:p w:rsidR="00BC343F" w:rsidRPr="0016377A" w:rsidRDefault="00BC343F" w:rsidP="00633646">
      <w:pPr>
        <w:pStyle w:val="13"/>
      </w:pPr>
      <w:r w:rsidRPr="0016377A">
        <w:t>Заголовок «</w:t>
      </w:r>
      <w:r w:rsidRPr="002C0CDA">
        <w:t>Мониторинг  передачи информации по РКПС</w:t>
      </w:r>
      <w:r w:rsidRPr="0016377A">
        <w:t>»;</w:t>
      </w:r>
    </w:p>
    <w:p w:rsidR="00BC343F" w:rsidRPr="0016377A" w:rsidRDefault="00BC343F" w:rsidP="00633646">
      <w:pPr>
        <w:pStyle w:val="13"/>
      </w:pPr>
      <w:r w:rsidRPr="0016377A">
        <w:t xml:space="preserve">Поиск по дате: </w:t>
      </w:r>
      <w:r>
        <w:t xml:space="preserve">так как </w:t>
      </w:r>
      <w:r w:rsidRPr="0016377A">
        <w:t>данные будут ежемесячные нарастающим</w:t>
      </w:r>
      <w:r>
        <w:t xml:space="preserve"> итогам</w:t>
      </w:r>
      <w:r w:rsidRPr="0016377A">
        <w:t xml:space="preserve">, показывать </w:t>
      </w:r>
      <w:r>
        <w:t>д</w:t>
      </w:r>
      <w:r w:rsidRPr="0016377A">
        <w:t>аты, на которые есть данные (по REPORTDATE);</w:t>
      </w:r>
    </w:p>
    <w:p w:rsidR="00BC343F" w:rsidRPr="0016377A" w:rsidRDefault="00BC343F" w:rsidP="00633646">
      <w:pPr>
        <w:pStyle w:val="13"/>
      </w:pPr>
      <w:r w:rsidRPr="0016377A">
        <w:t>Фильтр по ТОФК</w:t>
      </w:r>
      <w:r>
        <w:t xml:space="preserve"> (</w:t>
      </w:r>
      <w:r w:rsidRPr="002C0CDA">
        <w:t xml:space="preserve">Формируем список из записей справочника </w:t>
      </w:r>
      <w:r w:rsidRPr="002C0CDA">
        <w:rPr>
          <w:lang w:val="en-US"/>
        </w:rPr>
        <w:t>D</w:t>
      </w:r>
      <w:r w:rsidRPr="002C0CDA">
        <w:t>_ASFK_</w:t>
      </w:r>
      <w:r w:rsidRPr="002C0CDA">
        <w:rPr>
          <w:lang w:val="en-US"/>
        </w:rPr>
        <w:t>TOFK</w:t>
      </w:r>
      <w:r w:rsidRPr="002C0CDA">
        <w:t xml:space="preserve">. Выводим соответственно </w:t>
      </w:r>
      <w:r w:rsidRPr="002C0CDA">
        <w:rPr>
          <w:lang w:val="en-US"/>
        </w:rPr>
        <w:t>CODE</w:t>
      </w:r>
      <w:r w:rsidRPr="002C0CDA">
        <w:t xml:space="preserve"> и </w:t>
      </w:r>
      <w:r w:rsidRPr="002C0CDA">
        <w:rPr>
          <w:lang w:val="en-US"/>
        </w:rPr>
        <w:t>NAME</w:t>
      </w:r>
      <w:r>
        <w:t>)</w:t>
      </w:r>
      <w:r w:rsidRPr="0016377A">
        <w:t>.</w:t>
      </w:r>
    </w:p>
    <w:p w:rsidR="00BC343F" w:rsidRPr="00F643A1" w:rsidRDefault="00BC343F" w:rsidP="00BC343F">
      <w:pPr>
        <w:pStyle w:val="af0"/>
      </w:pPr>
      <w:r>
        <w:t>Т</w:t>
      </w:r>
      <w:r w:rsidRPr="00F643A1">
        <w:t>аблица со</w:t>
      </w:r>
      <w:r>
        <w:t>держ</w:t>
      </w:r>
      <w:r w:rsidR="00DA66A2">
        <w:t>и</w:t>
      </w:r>
      <w:r>
        <w:t>т следующие</w:t>
      </w:r>
      <w:r w:rsidRPr="00F643A1">
        <w:t xml:space="preserve"> атрибуты:</w:t>
      </w:r>
    </w:p>
    <w:p w:rsidR="00BC343F" w:rsidRDefault="00BC343F" w:rsidP="00633646">
      <w:pPr>
        <w:pStyle w:val="13"/>
      </w:pPr>
      <w:r w:rsidRPr="00F643A1">
        <w:t>Указание на дату обновления данных;</w:t>
      </w:r>
    </w:p>
    <w:p w:rsidR="00BC343F" w:rsidRPr="00F643A1" w:rsidRDefault="00BC343F" w:rsidP="00633646">
      <w:pPr>
        <w:pStyle w:val="13"/>
      </w:pPr>
      <w:r>
        <w:t>Код и наименование ТОФК;</w:t>
      </w:r>
    </w:p>
    <w:p w:rsidR="00BC343F" w:rsidRPr="00F643A1" w:rsidRDefault="00BC343F" w:rsidP="00633646">
      <w:pPr>
        <w:pStyle w:val="13"/>
      </w:pPr>
      <w:r w:rsidRPr="00F643A1">
        <w:t xml:space="preserve">Мониторинг источников данных: </w:t>
      </w:r>
      <w:r>
        <w:t>«</w:t>
      </w:r>
      <w:r w:rsidRPr="00F643A1">
        <w:t>Данные ФО субъекта РФ</w:t>
      </w:r>
      <w:r>
        <w:t>»</w:t>
      </w:r>
      <w:r w:rsidRPr="00F643A1">
        <w:t xml:space="preserve"> и </w:t>
      </w:r>
      <w:r>
        <w:t>«</w:t>
      </w:r>
      <w:r w:rsidRPr="00F643A1">
        <w:t>Данные ТОФК</w:t>
      </w:r>
      <w:r>
        <w:t>»</w:t>
      </w:r>
      <w:r w:rsidRPr="00F643A1">
        <w:t xml:space="preserve"> (два отдельных столбца);</w:t>
      </w:r>
    </w:p>
    <w:p w:rsidR="00BC343F" w:rsidRDefault="00BC343F" w:rsidP="00633646">
      <w:pPr>
        <w:pStyle w:val="13"/>
      </w:pPr>
      <w:r>
        <w:t>Мониторинг результатов обработки файлов с разбивкой по типам: данные ТОФК (</w:t>
      </w:r>
      <w:r>
        <w:rPr>
          <w:lang w:val="en-US"/>
        </w:rPr>
        <w:t>T</w:t>
      </w:r>
      <w:r>
        <w:t>) и данные ФО субъектов РФ</w:t>
      </w:r>
      <w:r w:rsidRPr="00B13F4A">
        <w:t xml:space="preserve"> (</w:t>
      </w:r>
      <w:r>
        <w:rPr>
          <w:lang w:val="en-US"/>
        </w:rPr>
        <w:t>F</w:t>
      </w:r>
      <w:r w:rsidRPr="00B13F4A">
        <w:t>)</w:t>
      </w:r>
      <w:r>
        <w:t>.</w:t>
      </w:r>
    </w:p>
    <w:p w:rsidR="00BC343F" w:rsidRDefault="00BC343F" w:rsidP="00633646">
      <w:pPr>
        <w:pStyle w:val="13"/>
      </w:pPr>
      <w:r>
        <w:t>Статус загрузки. Необходимо для отбора ТОФК, передавших неполный комплекта данных. Может содержать значения:</w:t>
      </w:r>
    </w:p>
    <w:p w:rsidR="00BC343F" w:rsidRDefault="00BC343F" w:rsidP="00633646">
      <w:pPr>
        <w:pStyle w:val="29"/>
      </w:pPr>
      <w:r>
        <w:t>«Все». Выводят все записи.</w:t>
      </w:r>
    </w:p>
    <w:p w:rsidR="00BC343F" w:rsidRDefault="00BC343F" w:rsidP="00633646">
      <w:pPr>
        <w:pStyle w:val="29"/>
      </w:pPr>
      <w:r>
        <w:t>«Не переданы данные». Отображаются только те ТОФК, которые не передали данные на отчетную дату (0 файлов).</w:t>
      </w:r>
    </w:p>
    <w:p w:rsidR="00BC343F" w:rsidRDefault="00BC343F" w:rsidP="00633646">
      <w:pPr>
        <w:pStyle w:val="29"/>
      </w:pPr>
      <w:r>
        <w:t>«Переданы данные в полном объеме». Отображаются только те ТОФК, которые передали данные на отчетную дату (2 файла).</w:t>
      </w:r>
    </w:p>
    <w:p w:rsidR="00BC343F" w:rsidRDefault="00BC343F" w:rsidP="00633646">
      <w:pPr>
        <w:pStyle w:val="29"/>
      </w:pPr>
      <w:r>
        <w:t>«Переданы только данные ТОФК». Отображаются ТОФК, которые передали только данные ТОФК на отчетную дату.</w:t>
      </w:r>
    </w:p>
    <w:p w:rsidR="00BC343F" w:rsidRDefault="00BC343F" w:rsidP="00633646">
      <w:pPr>
        <w:pStyle w:val="29"/>
      </w:pPr>
      <w:r>
        <w:t>«Переданы только данные ФО субъекта РФ». Отображаются  ТОФК, которые передали только данные субъекта РФ на отчетную дату.</w:t>
      </w:r>
    </w:p>
    <w:p w:rsidR="00BC343F" w:rsidRDefault="00BC343F" w:rsidP="00633646">
      <w:pPr>
        <w:pStyle w:val="29"/>
      </w:pPr>
      <w:r>
        <w:t>«Данные ТОФК загружено» для обеспечения перехода со сводного представления.</w:t>
      </w:r>
    </w:p>
    <w:p w:rsidR="00BC343F" w:rsidRDefault="00BC343F" w:rsidP="00633646">
      <w:pPr>
        <w:pStyle w:val="29"/>
      </w:pPr>
      <w:r>
        <w:t>«Данные ТОФК не загружено» для обеспечения перехода со сводного представления.</w:t>
      </w:r>
    </w:p>
    <w:p w:rsidR="00BC343F" w:rsidRDefault="00BC343F" w:rsidP="00633646">
      <w:pPr>
        <w:pStyle w:val="29"/>
      </w:pPr>
      <w:r>
        <w:t>«Данные ФО загружено» для обеспечения перехода со сводного представления.</w:t>
      </w:r>
    </w:p>
    <w:p w:rsidR="00BC343F" w:rsidRPr="00AD3CA5" w:rsidRDefault="00BC343F" w:rsidP="00633646">
      <w:pPr>
        <w:pStyle w:val="29"/>
      </w:pPr>
      <w:r w:rsidRPr="00AD3CA5">
        <w:t>«Данные ФО не загружено» для обеспечения перехода со сводного представления.</w:t>
      </w:r>
    </w:p>
    <w:p w:rsidR="00DA66A2" w:rsidRDefault="00BC343F" w:rsidP="00DA66A2">
      <w:pPr>
        <w:keepNext/>
      </w:pPr>
      <w:r>
        <w:rPr>
          <w:noProof/>
          <w:snapToGrid/>
        </w:rPr>
        <w:drawing>
          <wp:inline distT="0" distB="0" distL="0" distR="0" wp14:anchorId="4F4297B5" wp14:editId="48C2D1AC">
            <wp:extent cx="5695537" cy="3203740"/>
            <wp:effectExtent l="19050" t="19050" r="19685" b="15875"/>
            <wp:docPr id="58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8" cstate="print"/>
                    <a:srcRect/>
                    <a:stretch>
                      <a:fillRect/>
                    </a:stretch>
                  </pic:blipFill>
                  <pic:spPr bwMode="auto">
                    <a:xfrm>
                      <a:off x="0" y="0"/>
                      <a:ext cx="5698319" cy="3205305"/>
                    </a:xfrm>
                    <a:prstGeom prst="rect">
                      <a:avLst/>
                    </a:prstGeom>
                    <a:noFill/>
                    <a:ln w="9525">
                      <a:solidFill>
                        <a:schemeClr val="accent1"/>
                      </a:solidFill>
                      <a:miter lim="800000"/>
                      <a:headEnd/>
                      <a:tailEnd/>
                    </a:ln>
                  </pic:spPr>
                </pic:pic>
              </a:graphicData>
            </a:graphic>
          </wp:inline>
        </w:drawing>
      </w:r>
    </w:p>
    <w:p w:rsidR="003A476C" w:rsidRPr="003A476C" w:rsidRDefault="00DA66A2" w:rsidP="00DA66A2">
      <w:pPr>
        <w:pStyle w:val="-0"/>
      </w:pPr>
      <w:bookmarkStart w:id="930" w:name="_Toc68687347"/>
      <w:bookmarkStart w:id="931" w:name="_Toc119584436"/>
      <w:r w:rsidRPr="00B67CB0">
        <w:t>Рисунок</w:t>
      </w:r>
      <w:bookmarkEnd w:id="930"/>
      <w:r w:rsidRPr="00B67CB0">
        <w:t xml:space="preserve"> </w:t>
      </w:r>
      <w:fldSimple w:instr=" SEQ Рисунок \* ARABIC ">
        <w:r w:rsidR="001860A9">
          <w:rPr>
            <w:noProof/>
          </w:rPr>
          <w:t>249</w:t>
        </w:r>
      </w:fldSimple>
      <w:r>
        <w:t xml:space="preserve"> – Макет отчета «</w:t>
      </w:r>
      <w:r w:rsidRPr="005B5F71">
        <w:rPr>
          <w:rStyle w:val="af1"/>
        </w:rPr>
        <w:t>Мониторинг предоставления УФК и загрузки в ПИАО реестров конечных получателей субсидий</w:t>
      </w:r>
      <w:r>
        <w:t>». Представление</w:t>
      </w:r>
      <w:r w:rsidRPr="00D84966">
        <w:t xml:space="preserve"> «</w:t>
      </w:r>
      <w:r>
        <w:t>Мониторинг (расширенное)</w:t>
      </w:r>
      <w:r w:rsidRPr="00D84966">
        <w:t>»</w:t>
      </w:r>
      <w:bookmarkEnd w:id="931"/>
    </w:p>
    <w:p w:rsidR="00AA2C82" w:rsidRPr="00206C4C" w:rsidRDefault="00AA2C82" w:rsidP="00AA2C82">
      <w:pPr>
        <w:pStyle w:val="26"/>
      </w:pPr>
      <w:bookmarkStart w:id="932" w:name="_Toc119585099"/>
      <w:r>
        <w:t>Витрина</w:t>
      </w:r>
      <w:r w:rsidRPr="00206C4C">
        <w:t xml:space="preserve"> «Анализ закупок товаров, работ, услуг»</w:t>
      </w:r>
      <w:bookmarkEnd w:id="772"/>
      <w:bookmarkEnd w:id="932"/>
    </w:p>
    <w:p w:rsidR="00AA2C82" w:rsidRPr="00206C4C" w:rsidRDefault="00AA2C82" w:rsidP="00AA2C82">
      <w:pPr>
        <w:pStyle w:val="af0"/>
        <w:rPr>
          <w:rFonts w:eastAsia="Calibri"/>
        </w:rPr>
      </w:pPr>
      <w:r w:rsidRPr="00206C4C">
        <w:rPr>
          <w:rFonts w:eastAsia="Calibri"/>
        </w:rPr>
        <w:t>Витрина содержит информацию о расходах на закупку товаров, работ, услуг для обеспечения государственных нужд. Обеспечивает анализ объема и динамики размещения закупок, стоимости заключенных контрактов в разрезе учреждений, уровней бюджета, полномочий в соответствие с Федеральный законом о контрактной системе в сфере закупок товаров, работ, услуг для обеспечения государственных и муниципальных нужд № 44 ФЗ.</w:t>
      </w:r>
    </w:p>
    <w:p w:rsidR="00AA2C82" w:rsidRPr="00C63CD0" w:rsidRDefault="00AA2C82" w:rsidP="00AA2C82">
      <w:pPr>
        <w:pStyle w:val="-"/>
      </w:pPr>
      <w:bookmarkStart w:id="933" w:name="_Toc37845346"/>
      <w:bookmarkStart w:id="934" w:name="_Toc69290213"/>
      <w:bookmarkStart w:id="935" w:name="_Toc119585179"/>
      <w:r w:rsidRPr="00206C4C">
        <w:t xml:space="preserve">Таблица </w:t>
      </w:r>
      <w:fldSimple w:instr=" SEQ Таблица \* ARABIC ">
        <w:r w:rsidR="00BF0BEE">
          <w:rPr>
            <w:noProof/>
          </w:rPr>
          <w:t>38</w:t>
        </w:r>
      </w:fldSimple>
      <w:r w:rsidRPr="00206C4C">
        <w:t xml:space="preserve"> </w:t>
      </w:r>
      <w:r>
        <w:t>–</w:t>
      </w:r>
      <w:r w:rsidRPr="00C63CD0">
        <w:t xml:space="preserve"> </w:t>
      </w:r>
      <w:r w:rsidRPr="00206C4C">
        <w:t>Перечень аналитических отчетов витрины «Анализ закупок товаров, работ, услуг» и соответствующих таблиц БД</w:t>
      </w:r>
      <w:bookmarkEnd w:id="933"/>
      <w:bookmarkEnd w:id="934"/>
      <w:bookmarkEnd w:id="935"/>
    </w:p>
    <w:tbl>
      <w:tblPr>
        <w:tblStyle w:val="affe"/>
        <w:tblW w:w="9853" w:type="dxa"/>
        <w:tblLayout w:type="fixed"/>
        <w:tblLook w:val="04A0" w:firstRow="1" w:lastRow="0" w:firstColumn="1" w:lastColumn="0" w:noHBand="0" w:noVBand="1"/>
      </w:tblPr>
      <w:tblGrid>
        <w:gridCol w:w="3794"/>
        <w:gridCol w:w="3118"/>
        <w:gridCol w:w="2941"/>
      </w:tblGrid>
      <w:tr w:rsidR="00AA2C82" w:rsidRPr="00206C4C" w:rsidTr="00AD3CA5">
        <w:trPr>
          <w:tblHeader/>
        </w:trPr>
        <w:tc>
          <w:tcPr>
            <w:tcW w:w="3794" w:type="dxa"/>
            <w:shd w:val="clear" w:color="auto" w:fill="D9D9D9" w:themeFill="background1" w:themeFillShade="D9"/>
            <w:vAlign w:val="center"/>
          </w:tcPr>
          <w:p w:rsidR="00AA2C82" w:rsidRPr="00206C4C" w:rsidRDefault="00AA2C82" w:rsidP="00E9324B">
            <w:pPr>
              <w:ind w:firstLine="0"/>
              <w:jc w:val="center"/>
              <w:rPr>
                <w:b/>
              </w:rPr>
            </w:pPr>
            <w:r w:rsidRPr="00206C4C">
              <w:rPr>
                <w:b/>
              </w:rPr>
              <w:t>Наименование аналитического отчета</w:t>
            </w:r>
          </w:p>
        </w:tc>
        <w:tc>
          <w:tcPr>
            <w:tcW w:w="3118" w:type="dxa"/>
            <w:shd w:val="clear" w:color="auto" w:fill="D9D9D9" w:themeFill="background1" w:themeFillShade="D9"/>
            <w:vAlign w:val="center"/>
          </w:tcPr>
          <w:p w:rsidR="00AA2C82" w:rsidRPr="00206C4C" w:rsidRDefault="00AA2C82" w:rsidP="00E9324B">
            <w:pPr>
              <w:ind w:firstLine="0"/>
              <w:jc w:val="center"/>
              <w:rPr>
                <w:b/>
              </w:rPr>
            </w:pPr>
            <w:r w:rsidRPr="00206C4C">
              <w:rPr>
                <w:b/>
              </w:rPr>
              <w:t>Код отчета</w:t>
            </w:r>
          </w:p>
        </w:tc>
        <w:tc>
          <w:tcPr>
            <w:tcW w:w="2941" w:type="dxa"/>
            <w:shd w:val="clear" w:color="auto" w:fill="D9D9D9" w:themeFill="background1" w:themeFillShade="D9"/>
            <w:vAlign w:val="center"/>
          </w:tcPr>
          <w:p w:rsidR="00AA2C82" w:rsidRPr="00206C4C" w:rsidRDefault="00AA2C82" w:rsidP="00E9324B">
            <w:pPr>
              <w:ind w:firstLine="0"/>
              <w:jc w:val="center"/>
              <w:rPr>
                <w:b/>
              </w:rPr>
            </w:pPr>
            <w:r w:rsidRPr="00206C4C">
              <w:rPr>
                <w:b/>
              </w:rPr>
              <w:t>Название таблицы БД</w:t>
            </w:r>
          </w:p>
        </w:tc>
      </w:tr>
      <w:tr w:rsidR="00AA2C82" w:rsidRPr="00206C4C" w:rsidTr="00E9324B">
        <w:tc>
          <w:tcPr>
            <w:tcW w:w="3794" w:type="dxa"/>
            <w:vMerge w:val="restart"/>
            <w:vAlign w:val="center"/>
          </w:tcPr>
          <w:p w:rsidR="00AA2C82" w:rsidRPr="00206C4C" w:rsidRDefault="00AA2C82" w:rsidP="00E9324B">
            <w:pPr>
              <w:ind w:firstLine="0"/>
            </w:pPr>
            <w:r>
              <w:t>Анализ реестра контрактов и их исполнения</w:t>
            </w:r>
          </w:p>
        </w:tc>
        <w:tc>
          <w:tcPr>
            <w:tcW w:w="3118" w:type="dxa"/>
            <w:vMerge w:val="restart"/>
            <w:vAlign w:val="center"/>
          </w:tcPr>
          <w:p w:rsidR="00AA2C82" w:rsidRPr="00206C4C" w:rsidRDefault="00AA2C82" w:rsidP="00E9324B">
            <w:pPr>
              <w:ind w:firstLine="0"/>
              <w:jc w:val="left"/>
              <w:rPr>
                <w:snapToGrid/>
                <w:color w:val="auto"/>
                <w:szCs w:val="24"/>
              </w:rPr>
            </w:pPr>
            <w:r>
              <w:t>FEDOOS_CONTRREG_001_001_report</w:t>
            </w:r>
          </w:p>
        </w:tc>
        <w:tc>
          <w:tcPr>
            <w:tcW w:w="2941" w:type="dxa"/>
            <w:vAlign w:val="center"/>
          </w:tcPr>
          <w:p w:rsidR="00AA2C82" w:rsidRPr="00206C4C" w:rsidRDefault="00AA2C82" w:rsidP="00E9324B">
            <w:pPr>
              <w:ind w:firstLine="0"/>
            </w:pPr>
            <w:r w:rsidRPr="00B17F4C">
              <w:t>d_oos_svodcontractspiao</w:t>
            </w:r>
          </w:p>
        </w:tc>
      </w:tr>
      <w:tr w:rsidR="00AA2C82" w:rsidRPr="00206C4C" w:rsidTr="00E9324B">
        <w:tc>
          <w:tcPr>
            <w:tcW w:w="3794" w:type="dxa"/>
            <w:vMerge/>
            <w:vAlign w:val="center"/>
          </w:tcPr>
          <w:p w:rsidR="00AA2C82" w:rsidRDefault="00AA2C82" w:rsidP="00E9324B"/>
        </w:tc>
        <w:tc>
          <w:tcPr>
            <w:tcW w:w="3118" w:type="dxa"/>
            <w:vMerge/>
            <w:vAlign w:val="center"/>
          </w:tcPr>
          <w:p w:rsidR="00AA2C82" w:rsidRDefault="00AA2C82" w:rsidP="00E9324B">
            <w:pPr>
              <w:jc w:val="left"/>
            </w:pPr>
          </w:p>
        </w:tc>
        <w:tc>
          <w:tcPr>
            <w:tcW w:w="2941" w:type="dxa"/>
            <w:vAlign w:val="center"/>
          </w:tcPr>
          <w:p w:rsidR="00AA2C82" w:rsidRPr="00B17F4C" w:rsidRDefault="00AA2C82" w:rsidP="00E9324B">
            <w:pPr>
              <w:ind w:firstLine="0"/>
            </w:pPr>
            <w:r w:rsidRPr="00B17F4C">
              <w:t>fx_date_yeardayunv</w:t>
            </w:r>
          </w:p>
        </w:tc>
      </w:tr>
      <w:tr w:rsidR="00AA2C82" w:rsidRPr="00206C4C" w:rsidTr="00E9324B">
        <w:tc>
          <w:tcPr>
            <w:tcW w:w="3794" w:type="dxa"/>
            <w:vMerge/>
            <w:vAlign w:val="center"/>
          </w:tcPr>
          <w:p w:rsidR="00AA2C82" w:rsidRPr="00206C4C" w:rsidRDefault="00AA2C82" w:rsidP="00E9324B"/>
        </w:tc>
        <w:tc>
          <w:tcPr>
            <w:tcW w:w="3118" w:type="dxa"/>
            <w:vMerge/>
            <w:vAlign w:val="center"/>
          </w:tcPr>
          <w:p w:rsidR="00AA2C82" w:rsidRPr="00206C4C" w:rsidRDefault="00AA2C82" w:rsidP="00E9324B">
            <w:pPr>
              <w:jc w:val="left"/>
              <w:rPr>
                <w:snapToGrid/>
                <w:color w:val="auto"/>
                <w:szCs w:val="24"/>
              </w:rPr>
            </w:pPr>
          </w:p>
        </w:tc>
        <w:tc>
          <w:tcPr>
            <w:tcW w:w="2941" w:type="dxa"/>
            <w:vAlign w:val="center"/>
          </w:tcPr>
          <w:p w:rsidR="00AA2C82" w:rsidRPr="00206C4C" w:rsidRDefault="00AA2C82" w:rsidP="00E9324B">
            <w:pPr>
              <w:ind w:firstLine="0"/>
            </w:pPr>
            <w:r w:rsidRPr="00B17F4C">
              <w:t>d_oos_nationalprojects</w:t>
            </w:r>
          </w:p>
        </w:tc>
      </w:tr>
      <w:tr w:rsidR="00AA2C82" w:rsidRPr="00206C4C" w:rsidTr="00E9324B">
        <w:tc>
          <w:tcPr>
            <w:tcW w:w="3794" w:type="dxa"/>
            <w:vMerge w:val="restart"/>
            <w:vAlign w:val="center"/>
          </w:tcPr>
          <w:p w:rsidR="00AA2C82" w:rsidRPr="00206C4C" w:rsidRDefault="00AA2C82" w:rsidP="00E9324B">
            <w:pPr>
              <w:ind w:firstLine="0"/>
            </w:pPr>
            <w:r>
              <w:t xml:space="preserve">Планирование в сфере закупок </w:t>
            </w:r>
          </w:p>
        </w:tc>
        <w:tc>
          <w:tcPr>
            <w:tcW w:w="3118" w:type="dxa"/>
            <w:vMerge w:val="restart"/>
            <w:vAlign w:val="center"/>
          </w:tcPr>
          <w:p w:rsidR="00AA2C82" w:rsidRPr="00206C4C" w:rsidRDefault="00AA2C82" w:rsidP="00E9324B">
            <w:pPr>
              <w:ind w:firstLine="0"/>
              <w:jc w:val="left"/>
              <w:rPr>
                <w:snapToGrid/>
                <w:color w:val="auto"/>
                <w:szCs w:val="24"/>
              </w:rPr>
            </w:pPr>
            <w:r>
              <w:t>FEDOOS_CONTRREG_002_001_report</w:t>
            </w:r>
          </w:p>
        </w:tc>
        <w:tc>
          <w:tcPr>
            <w:tcW w:w="2941" w:type="dxa"/>
            <w:vAlign w:val="center"/>
          </w:tcPr>
          <w:p w:rsidR="00AA2C82" w:rsidRPr="00206C4C" w:rsidRDefault="00AA2C82" w:rsidP="00E9324B">
            <w:pPr>
              <w:ind w:firstLine="0"/>
            </w:pPr>
            <w:r w:rsidRPr="00B17F4C">
              <w:t>fx_date_yeardayunv</w:t>
            </w:r>
          </w:p>
        </w:tc>
      </w:tr>
      <w:tr w:rsidR="00AA2C82" w:rsidRPr="00206C4C" w:rsidTr="00E9324B">
        <w:tc>
          <w:tcPr>
            <w:tcW w:w="3794" w:type="dxa"/>
            <w:vMerge/>
            <w:vAlign w:val="center"/>
          </w:tcPr>
          <w:p w:rsidR="00AA2C82" w:rsidRDefault="00AA2C82" w:rsidP="00E9324B"/>
        </w:tc>
        <w:tc>
          <w:tcPr>
            <w:tcW w:w="3118" w:type="dxa"/>
            <w:vMerge/>
            <w:vAlign w:val="center"/>
          </w:tcPr>
          <w:p w:rsidR="00AA2C82" w:rsidRDefault="00AA2C82" w:rsidP="00E9324B">
            <w:pPr>
              <w:jc w:val="left"/>
            </w:pPr>
          </w:p>
        </w:tc>
        <w:tc>
          <w:tcPr>
            <w:tcW w:w="2941" w:type="dxa"/>
            <w:vAlign w:val="center"/>
          </w:tcPr>
          <w:p w:rsidR="00AA2C82" w:rsidRPr="00B17F4C" w:rsidRDefault="00AA2C82" w:rsidP="00E9324B">
            <w:pPr>
              <w:ind w:firstLine="0"/>
            </w:pPr>
            <w:r w:rsidRPr="00B17F4C">
              <w:t>d_oos_svodpgz</w:t>
            </w:r>
          </w:p>
        </w:tc>
      </w:tr>
      <w:tr w:rsidR="00AA2C82" w:rsidRPr="00206C4C" w:rsidTr="00E9324B">
        <w:tc>
          <w:tcPr>
            <w:tcW w:w="3794" w:type="dxa"/>
            <w:vMerge/>
            <w:vAlign w:val="center"/>
          </w:tcPr>
          <w:p w:rsidR="00AA2C82" w:rsidRDefault="00AA2C82" w:rsidP="00E9324B"/>
        </w:tc>
        <w:tc>
          <w:tcPr>
            <w:tcW w:w="3118" w:type="dxa"/>
            <w:vMerge/>
            <w:vAlign w:val="center"/>
          </w:tcPr>
          <w:p w:rsidR="00AA2C82" w:rsidRDefault="00AA2C82" w:rsidP="00E9324B">
            <w:pPr>
              <w:jc w:val="left"/>
            </w:pPr>
          </w:p>
        </w:tc>
        <w:tc>
          <w:tcPr>
            <w:tcW w:w="2941" w:type="dxa"/>
            <w:vAlign w:val="center"/>
          </w:tcPr>
          <w:p w:rsidR="00AA2C82" w:rsidRPr="00B17F4C" w:rsidRDefault="00AA2C82" w:rsidP="00E9324B">
            <w:pPr>
              <w:ind w:firstLine="0"/>
            </w:pPr>
            <w:r w:rsidRPr="00B17F4C">
              <w:t>d_oos_nationalprojects</w:t>
            </w:r>
          </w:p>
        </w:tc>
      </w:tr>
      <w:tr w:rsidR="00CF3AA0" w:rsidRPr="00206C4C" w:rsidTr="00CF3AA0">
        <w:trPr>
          <w:trHeight w:val="95"/>
        </w:trPr>
        <w:tc>
          <w:tcPr>
            <w:tcW w:w="3794" w:type="dxa"/>
            <w:vMerge w:val="restart"/>
            <w:vAlign w:val="center"/>
          </w:tcPr>
          <w:p w:rsidR="00CF3AA0" w:rsidRDefault="00CF3AA0" w:rsidP="00633646">
            <w:pPr>
              <w:ind w:firstLine="0"/>
            </w:pPr>
            <w:r w:rsidRPr="00633646">
              <w:t>Мониторинговый отчет о контрактах в разрезе БО</w:t>
            </w:r>
          </w:p>
        </w:tc>
        <w:tc>
          <w:tcPr>
            <w:tcW w:w="3118" w:type="dxa"/>
            <w:vMerge w:val="restart"/>
            <w:vAlign w:val="center"/>
          </w:tcPr>
          <w:p w:rsidR="00CF3AA0" w:rsidRPr="00633646" w:rsidRDefault="00CF3AA0" w:rsidP="00633646">
            <w:pPr>
              <w:ind w:firstLine="0"/>
              <w:jc w:val="left"/>
              <w:rPr>
                <w:lang w:val="en-US"/>
              </w:rPr>
            </w:pPr>
            <w:r>
              <w:rPr>
                <w:lang w:val="en-US"/>
              </w:rPr>
              <w:t>PIAO_180_110_report</w:t>
            </w:r>
          </w:p>
        </w:tc>
        <w:tc>
          <w:tcPr>
            <w:tcW w:w="2941" w:type="dxa"/>
            <w:vAlign w:val="center"/>
          </w:tcPr>
          <w:p w:rsidR="00CF3AA0" w:rsidRPr="00B17F4C" w:rsidRDefault="00CF3AA0" w:rsidP="00CF3AA0">
            <w:pPr>
              <w:ind w:firstLine="34"/>
            </w:pPr>
            <w:r w:rsidRPr="00CF3AA0">
              <w:t>F_GOVEIS_KBK</w:t>
            </w:r>
          </w:p>
        </w:tc>
      </w:tr>
      <w:tr w:rsidR="00CF3AA0" w:rsidRPr="00206C4C" w:rsidTr="00E9324B">
        <w:trPr>
          <w:trHeight w:val="92"/>
        </w:trPr>
        <w:tc>
          <w:tcPr>
            <w:tcW w:w="3794" w:type="dxa"/>
            <w:vMerge/>
            <w:vAlign w:val="center"/>
          </w:tcPr>
          <w:p w:rsidR="00CF3AA0" w:rsidRPr="00633646" w:rsidRDefault="00CF3AA0" w:rsidP="00633646"/>
        </w:tc>
        <w:tc>
          <w:tcPr>
            <w:tcW w:w="3118" w:type="dxa"/>
            <w:vMerge/>
            <w:vAlign w:val="center"/>
          </w:tcPr>
          <w:p w:rsidR="00CF3AA0" w:rsidRDefault="00CF3AA0" w:rsidP="00633646">
            <w:pPr>
              <w:jc w:val="left"/>
              <w:rPr>
                <w:lang w:val="en-US"/>
              </w:rPr>
            </w:pPr>
          </w:p>
        </w:tc>
        <w:tc>
          <w:tcPr>
            <w:tcW w:w="2941" w:type="dxa"/>
            <w:vAlign w:val="center"/>
          </w:tcPr>
          <w:p w:rsidR="00CF3AA0" w:rsidRPr="00B17F4C" w:rsidRDefault="00CF3AA0" w:rsidP="00CF3AA0">
            <w:pPr>
              <w:ind w:firstLine="34"/>
            </w:pPr>
            <w:r w:rsidRPr="00827639">
              <w:rPr>
                <w:lang w:val="en-US"/>
              </w:rPr>
              <w:t>F</w:t>
            </w:r>
            <w:r w:rsidRPr="00D405E6">
              <w:t>_</w:t>
            </w:r>
            <w:r w:rsidRPr="00827639">
              <w:rPr>
                <w:lang w:val="en-US"/>
              </w:rPr>
              <w:t>GOVEIS</w:t>
            </w:r>
            <w:r w:rsidRPr="00D405E6">
              <w:t>_</w:t>
            </w:r>
            <w:r w:rsidRPr="00827639">
              <w:rPr>
                <w:lang w:val="en-US"/>
              </w:rPr>
              <w:t>PG</w:t>
            </w:r>
          </w:p>
        </w:tc>
      </w:tr>
      <w:tr w:rsidR="00CF3AA0" w:rsidRPr="00206C4C" w:rsidTr="00E9324B">
        <w:trPr>
          <w:trHeight w:val="92"/>
        </w:trPr>
        <w:tc>
          <w:tcPr>
            <w:tcW w:w="3794" w:type="dxa"/>
            <w:vMerge/>
            <w:vAlign w:val="center"/>
          </w:tcPr>
          <w:p w:rsidR="00CF3AA0" w:rsidRPr="00633646" w:rsidRDefault="00CF3AA0" w:rsidP="00633646"/>
        </w:tc>
        <w:tc>
          <w:tcPr>
            <w:tcW w:w="3118" w:type="dxa"/>
            <w:vMerge/>
            <w:vAlign w:val="center"/>
          </w:tcPr>
          <w:p w:rsidR="00CF3AA0" w:rsidRDefault="00CF3AA0" w:rsidP="00633646">
            <w:pPr>
              <w:jc w:val="left"/>
              <w:rPr>
                <w:lang w:val="en-US"/>
              </w:rPr>
            </w:pPr>
          </w:p>
        </w:tc>
        <w:tc>
          <w:tcPr>
            <w:tcW w:w="2941" w:type="dxa"/>
            <w:vAlign w:val="center"/>
          </w:tcPr>
          <w:p w:rsidR="00CF3AA0" w:rsidRPr="00B17F4C" w:rsidRDefault="00CF3AA0" w:rsidP="00CF3AA0">
            <w:pPr>
              <w:ind w:firstLine="34"/>
            </w:pPr>
            <w:r w:rsidRPr="00827639">
              <w:rPr>
                <w:lang w:val="en-US"/>
              </w:rPr>
              <w:t>D</w:t>
            </w:r>
            <w:r w:rsidRPr="00827639">
              <w:t>_</w:t>
            </w:r>
            <w:r w:rsidRPr="00827639">
              <w:rPr>
                <w:lang w:val="en-US"/>
              </w:rPr>
              <w:t>GOVEIS</w:t>
            </w:r>
            <w:r w:rsidRPr="00827639">
              <w:t>_</w:t>
            </w:r>
            <w:r w:rsidRPr="00827639">
              <w:rPr>
                <w:lang w:val="en-US"/>
              </w:rPr>
              <w:t>CONTRACTS</w:t>
            </w:r>
          </w:p>
        </w:tc>
      </w:tr>
      <w:tr w:rsidR="00CF3AA0" w:rsidRPr="00206C4C" w:rsidTr="00E9324B">
        <w:trPr>
          <w:trHeight w:val="92"/>
        </w:trPr>
        <w:tc>
          <w:tcPr>
            <w:tcW w:w="3794" w:type="dxa"/>
            <w:vMerge/>
            <w:vAlign w:val="center"/>
          </w:tcPr>
          <w:p w:rsidR="00CF3AA0" w:rsidRPr="00633646" w:rsidRDefault="00CF3AA0" w:rsidP="00633646"/>
        </w:tc>
        <w:tc>
          <w:tcPr>
            <w:tcW w:w="3118" w:type="dxa"/>
            <w:vMerge/>
            <w:vAlign w:val="center"/>
          </w:tcPr>
          <w:p w:rsidR="00CF3AA0" w:rsidRDefault="00CF3AA0" w:rsidP="00633646">
            <w:pPr>
              <w:jc w:val="left"/>
              <w:rPr>
                <w:lang w:val="en-US"/>
              </w:rPr>
            </w:pPr>
          </w:p>
        </w:tc>
        <w:tc>
          <w:tcPr>
            <w:tcW w:w="2941" w:type="dxa"/>
            <w:vAlign w:val="center"/>
          </w:tcPr>
          <w:p w:rsidR="00CF3AA0" w:rsidRPr="00B17F4C" w:rsidRDefault="00CF3AA0" w:rsidP="00CF3AA0">
            <w:pPr>
              <w:ind w:firstLine="34"/>
            </w:pPr>
            <w:r w:rsidRPr="00827639">
              <w:rPr>
                <w:lang w:val="en-US"/>
              </w:rPr>
              <w:t>D</w:t>
            </w:r>
            <w:r w:rsidRPr="00827639">
              <w:t>_</w:t>
            </w:r>
            <w:r w:rsidRPr="00827639">
              <w:rPr>
                <w:lang w:val="en-US"/>
              </w:rPr>
              <w:t>GOVEIS</w:t>
            </w:r>
            <w:r w:rsidRPr="00827639">
              <w:t>_</w:t>
            </w:r>
            <w:r w:rsidRPr="00827639">
              <w:rPr>
                <w:lang w:val="en-US"/>
              </w:rPr>
              <w:t>RISK</w:t>
            </w:r>
          </w:p>
        </w:tc>
      </w:tr>
      <w:tr w:rsidR="00CF3AA0" w:rsidRPr="00206C4C" w:rsidTr="00E9324B">
        <w:trPr>
          <w:trHeight w:val="92"/>
        </w:trPr>
        <w:tc>
          <w:tcPr>
            <w:tcW w:w="3794" w:type="dxa"/>
            <w:vMerge/>
            <w:vAlign w:val="center"/>
          </w:tcPr>
          <w:p w:rsidR="00CF3AA0" w:rsidRPr="00633646" w:rsidRDefault="00CF3AA0" w:rsidP="00633646"/>
        </w:tc>
        <w:tc>
          <w:tcPr>
            <w:tcW w:w="3118" w:type="dxa"/>
            <w:vMerge/>
            <w:vAlign w:val="center"/>
          </w:tcPr>
          <w:p w:rsidR="00CF3AA0" w:rsidRDefault="00CF3AA0" w:rsidP="00633646">
            <w:pPr>
              <w:jc w:val="left"/>
              <w:rPr>
                <w:lang w:val="en-US"/>
              </w:rPr>
            </w:pPr>
          </w:p>
        </w:tc>
        <w:tc>
          <w:tcPr>
            <w:tcW w:w="2941" w:type="dxa"/>
            <w:vAlign w:val="center"/>
          </w:tcPr>
          <w:p w:rsidR="00CF3AA0" w:rsidRPr="00B17F4C" w:rsidRDefault="00CF3AA0" w:rsidP="00CF3AA0">
            <w:pPr>
              <w:ind w:firstLine="34"/>
            </w:pPr>
            <w:r>
              <w:t>D_GOVEIS_STATUS</w:t>
            </w:r>
          </w:p>
        </w:tc>
      </w:tr>
      <w:tr w:rsidR="00CF3AA0" w:rsidRPr="00206C4C" w:rsidTr="00E9324B">
        <w:trPr>
          <w:trHeight w:val="92"/>
        </w:trPr>
        <w:tc>
          <w:tcPr>
            <w:tcW w:w="3794" w:type="dxa"/>
            <w:vMerge/>
            <w:vAlign w:val="center"/>
          </w:tcPr>
          <w:p w:rsidR="00CF3AA0" w:rsidRPr="00633646" w:rsidRDefault="00CF3AA0" w:rsidP="00633646"/>
        </w:tc>
        <w:tc>
          <w:tcPr>
            <w:tcW w:w="3118" w:type="dxa"/>
            <w:vMerge/>
            <w:vAlign w:val="center"/>
          </w:tcPr>
          <w:p w:rsidR="00CF3AA0" w:rsidRDefault="00CF3AA0" w:rsidP="00633646">
            <w:pPr>
              <w:jc w:val="left"/>
              <w:rPr>
                <w:lang w:val="en-US"/>
              </w:rPr>
            </w:pPr>
          </w:p>
        </w:tc>
        <w:tc>
          <w:tcPr>
            <w:tcW w:w="2941" w:type="dxa"/>
            <w:vAlign w:val="center"/>
          </w:tcPr>
          <w:p w:rsidR="00CF3AA0" w:rsidRPr="00B17F4C" w:rsidRDefault="00CF3AA0" w:rsidP="00CF3AA0">
            <w:pPr>
              <w:ind w:firstLine="34"/>
            </w:pPr>
            <w:r>
              <w:t>D_GOVEIS_SUPPLIERS</w:t>
            </w:r>
          </w:p>
        </w:tc>
      </w:tr>
    </w:tbl>
    <w:p w:rsidR="00AA2C82" w:rsidRPr="00206C4C" w:rsidRDefault="00AA2C82" w:rsidP="00986C62">
      <w:pPr>
        <w:pStyle w:val="35"/>
      </w:pPr>
      <w:bookmarkStart w:id="936" w:name="_Toc37845332"/>
      <w:bookmarkStart w:id="937" w:name="_Toc69290136"/>
      <w:bookmarkStart w:id="938" w:name="_Toc119585100"/>
      <w:r w:rsidRPr="00206C4C">
        <w:t>Отчет «</w:t>
      </w:r>
      <w:r>
        <w:t>Анализ реестра контрактов и их исполнения</w:t>
      </w:r>
      <w:r w:rsidRPr="00206C4C">
        <w:t>»</w:t>
      </w:r>
      <w:bookmarkEnd w:id="936"/>
      <w:bookmarkEnd w:id="937"/>
      <w:r w:rsidR="00986C62">
        <w:t xml:space="preserve"> (</w:t>
      </w:r>
      <w:r w:rsidR="00986C62" w:rsidRPr="00986C62">
        <w:t>FEDOOS_CONTRREG_001_001_report</w:t>
      </w:r>
      <w:r w:rsidR="00986C62">
        <w:t>)</w:t>
      </w:r>
      <w:bookmarkEnd w:id="938"/>
    </w:p>
    <w:p w:rsidR="00AA2C82" w:rsidRPr="00206C4C" w:rsidRDefault="00AA2C82" w:rsidP="00AA2C82">
      <w:pPr>
        <w:pStyle w:val="af0"/>
        <w:rPr>
          <w:rStyle w:val="af1"/>
        </w:rPr>
      </w:pPr>
      <w:r w:rsidRPr="00206C4C">
        <w:rPr>
          <w:rStyle w:val="af1"/>
        </w:rPr>
        <w:t>Для перехода к отчету «</w:t>
      </w:r>
      <w:r>
        <w:t>Анализ реестра контрактов и их исполнения</w:t>
      </w:r>
      <w:r w:rsidRPr="00206C4C">
        <w:rPr>
          <w:rStyle w:val="af1"/>
        </w:rPr>
        <w:t xml:space="preserve">» необходимо перейти к витрине «Анализ закупок товаров, работ услуг» и кликнуть мышью </w:t>
      </w:r>
      <w:r>
        <w:rPr>
          <w:rStyle w:val="af1"/>
        </w:rPr>
        <w:t>по соответствующей плашке</w:t>
      </w:r>
      <w:r w:rsidRPr="00206C4C">
        <w:rPr>
          <w:rStyle w:val="af1"/>
        </w:rPr>
        <w:t>.</w:t>
      </w:r>
    </w:p>
    <w:p w:rsidR="00AA2C82" w:rsidRPr="00206C4C" w:rsidRDefault="00AA2C82" w:rsidP="00AA2C82">
      <w:pPr>
        <w:pStyle w:val="afffff7"/>
      </w:pPr>
      <w:r>
        <w:rPr>
          <w:noProof/>
          <w:lang w:eastAsia="ru-RU"/>
        </w:rPr>
        <w:drawing>
          <wp:inline distT="0" distB="0" distL="0" distR="0" wp14:anchorId="74F281EE" wp14:editId="166F8E7C">
            <wp:extent cx="5939790" cy="1519125"/>
            <wp:effectExtent l="0" t="0" r="3810" b="5080"/>
            <wp:docPr id="6494" name="Рисунок 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5939790" cy="1519125"/>
                    </a:xfrm>
                    <a:prstGeom prst="rect">
                      <a:avLst/>
                    </a:prstGeom>
                  </pic:spPr>
                </pic:pic>
              </a:graphicData>
            </a:graphic>
          </wp:inline>
        </w:drawing>
      </w:r>
    </w:p>
    <w:p w:rsidR="00AA2C82" w:rsidRPr="00206C4C" w:rsidRDefault="00AA2C82" w:rsidP="00AA2C82">
      <w:pPr>
        <w:pStyle w:val="-0"/>
      </w:pPr>
      <w:bookmarkStart w:id="939" w:name="_Toc37845550"/>
      <w:bookmarkStart w:id="940" w:name="_Toc69290414"/>
      <w:bookmarkStart w:id="941" w:name="_Toc119584437"/>
      <w:r w:rsidRPr="00206C4C">
        <w:t xml:space="preserve">Рисунок </w:t>
      </w:r>
      <w:fldSimple w:instr=" SEQ Рисунок \* ARABIC ">
        <w:bookmarkStart w:id="942" w:name="_Ref15915983"/>
        <w:r w:rsidR="001860A9">
          <w:rPr>
            <w:noProof/>
          </w:rPr>
          <w:t>250</w:t>
        </w:r>
        <w:bookmarkEnd w:id="942"/>
      </w:fldSimple>
      <w:r w:rsidRPr="00206C4C">
        <w:t xml:space="preserve"> – Плашка для перехода к отчету «</w:t>
      </w:r>
      <w:r>
        <w:t>Анализ реестра контрактов и их исполнения</w:t>
      </w:r>
      <w:r w:rsidRPr="00206C4C">
        <w:t>»</w:t>
      </w:r>
      <w:bookmarkEnd w:id="939"/>
      <w:bookmarkEnd w:id="940"/>
      <w:bookmarkEnd w:id="941"/>
    </w:p>
    <w:p w:rsidR="00AA2C82" w:rsidRDefault="00AA2C82" w:rsidP="00AA2C82">
      <w:pPr>
        <w:pStyle w:val="af0"/>
      </w:pPr>
      <w:r>
        <w:t>Аналитический отчет «Анализ реестра контрактов и их исполнения» отражает сводные данные по заключенным контрактам, касающиеся начальных максимальных и установленных цен контракта, возникшей в процессе формирования итоговой цены экономии в совокупности, а также в рамках закупок у СМП и НКО.</w:t>
      </w:r>
    </w:p>
    <w:p w:rsidR="00AA2C82" w:rsidRPr="006F281D" w:rsidRDefault="00AA2C82" w:rsidP="00AA2C82">
      <w:pPr>
        <w:pStyle w:val="af0"/>
      </w:pPr>
      <w:r>
        <w:t>Основной отчет включает п</w:t>
      </w:r>
      <w:r w:rsidRPr="00AF16C1">
        <w:t>редставления «</w:t>
      </w:r>
      <w:r>
        <w:t>По способу закупки</w:t>
      </w:r>
      <w:r w:rsidRPr="00AF16C1">
        <w:t>» и «</w:t>
      </w:r>
      <w:r>
        <w:t>По организационно-правовой форме</w:t>
      </w:r>
      <w:r w:rsidRPr="00AF16C1">
        <w:t>»</w:t>
      </w:r>
      <w:r>
        <w:t>, структура информации в которых представлена в разрезе способов закупки и типов организационно-правовой формы организаций-заказчиков соответственно.</w:t>
      </w:r>
    </w:p>
    <w:p w:rsidR="00AA2C82" w:rsidRPr="00AF16C1" w:rsidRDefault="00AA2C82" w:rsidP="00AA2C82">
      <w:pPr>
        <w:pStyle w:val="af0"/>
      </w:pPr>
      <w:r w:rsidRPr="00AF16C1">
        <w:t>Представление «</w:t>
      </w:r>
      <w:r>
        <w:t>По способу закупки</w:t>
      </w:r>
      <w:r w:rsidRPr="00AF16C1">
        <w:t xml:space="preserve">» </w:t>
      </w:r>
      <w:r>
        <w:t>изображено</w:t>
      </w:r>
      <w:r w:rsidRPr="00AF16C1">
        <w:t xml:space="preserve"> на Рисунке </w:t>
      </w:r>
      <w:r>
        <w:fldChar w:fldCharType="begin"/>
      </w:r>
      <w:r>
        <w:instrText xml:space="preserve"> REF _Ref41556401 \h  \* MERGEFORMAT </w:instrText>
      </w:r>
      <w:r>
        <w:fldChar w:fldCharType="separate"/>
      </w:r>
      <w:r w:rsidR="00BF0BEE">
        <w:t>251</w:t>
      </w:r>
      <w:r>
        <w:fldChar w:fldCharType="end"/>
      </w:r>
      <w:r w:rsidRPr="00AF16C1">
        <w:t>.</w:t>
      </w:r>
    </w:p>
    <w:p w:rsidR="00AA2C82" w:rsidRPr="00AF16C1" w:rsidRDefault="00AA2C82" w:rsidP="00AA2C82">
      <w:pPr>
        <w:pStyle w:val="-0"/>
      </w:pPr>
      <w:r>
        <w:rPr>
          <w:noProof/>
          <w:snapToGrid/>
        </w:rPr>
        <w:drawing>
          <wp:inline distT="0" distB="0" distL="0" distR="0" wp14:anchorId="50B9EACF" wp14:editId="0771F725">
            <wp:extent cx="6188710" cy="3025773"/>
            <wp:effectExtent l="0" t="0" r="2540" b="3810"/>
            <wp:docPr id="64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0" cstate="print"/>
                    <a:srcRect/>
                    <a:stretch>
                      <a:fillRect/>
                    </a:stretch>
                  </pic:blipFill>
                  <pic:spPr bwMode="auto">
                    <a:xfrm>
                      <a:off x="0" y="0"/>
                      <a:ext cx="6188710" cy="3025773"/>
                    </a:xfrm>
                    <a:prstGeom prst="rect">
                      <a:avLst/>
                    </a:prstGeom>
                  </pic:spPr>
                </pic:pic>
              </a:graphicData>
            </a:graphic>
          </wp:inline>
        </w:drawing>
      </w:r>
    </w:p>
    <w:p w:rsidR="00AA2C82" w:rsidRPr="00AF16C1" w:rsidRDefault="00AA2C82" w:rsidP="00AA2C82">
      <w:pPr>
        <w:pStyle w:val="-0"/>
      </w:pPr>
      <w:bookmarkStart w:id="943" w:name="_Toc69214570"/>
      <w:bookmarkStart w:id="944" w:name="_Toc69290415"/>
      <w:bookmarkStart w:id="945" w:name="_Toc119584438"/>
      <w:r w:rsidRPr="00AF16C1">
        <w:t xml:space="preserve">Рисунок </w:t>
      </w:r>
      <w:fldSimple w:instr=" SEQ Рисунок \* ARABIC ">
        <w:bookmarkStart w:id="946" w:name="_Ref41556401"/>
        <w:r w:rsidR="001860A9">
          <w:rPr>
            <w:noProof/>
          </w:rPr>
          <w:t>251</w:t>
        </w:r>
        <w:bookmarkEnd w:id="946"/>
      </w:fldSimple>
      <w:r w:rsidRPr="00AF16C1">
        <w:t xml:space="preserve"> – </w:t>
      </w:r>
      <w:r w:rsidRPr="002A6A54">
        <w:t>Представление</w:t>
      </w:r>
      <w:r w:rsidRPr="00AF16C1">
        <w:t xml:space="preserve"> «</w:t>
      </w:r>
      <w:r>
        <w:t>По способу закупки</w:t>
      </w:r>
      <w:r w:rsidRPr="00AF16C1">
        <w:t>»</w:t>
      </w:r>
      <w:r>
        <w:t xml:space="preserve"> отчета «Анализ реестра контрактов и их исполнения»</w:t>
      </w:r>
      <w:bookmarkEnd w:id="943"/>
      <w:bookmarkEnd w:id="944"/>
      <w:bookmarkEnd w:id="945"/>
    </w:p>
    <w:p w:rsidR="00AA2C82" w:rsidRPr="00AF16C1" w:rsidRDefault="00AA2C82" w:rsidP="00AA2C82">
      <w:pPr>
        <w:pStyle w:val="af0"/>
      </w:pPr>
      <w:r w:rsidRPr="00AF16C1">
        <w:t>Представление «</w:t>
      </w:r>
      <w:r>
        <w:t>По организационно-правовой форме</w:t>
      </w:r>
      <w:r w:rsidRPr="00AF16C1">
        <w:t xml:space="preserve">» </w:t>
      </w:r>
      <w:r>
        <w:t>изображено</w:t>
      </w:r>
      <w:r w:rsidRPr="00AF16C1">
        <w:t xml:space="preserve"> на рисунке </w:t>
      </w:r>
      <w:r>
        <w:fldChar w:fldCharType="begin"/>
      </w:r>
      <w:r>
        <w:instrText xml:space="preserve"> REF _Ref41556490 \h  \* MERGEFORMAT </w:instrText>
      </w:r>
      <w:r>
        <w:fldChar w:fldCharType="separate"/>
      </w:r>
      <w:r w:rsidR="00BF0BEE">
        <w:t>252</w:t>
      </w:r>
      <w:r>
        <w:fldChar w:fldCharType="end"/>
      </w:r>
      <w:r w:rsidRPr="00AF16C1">
        <w:t>.</w:t>
      </w:r>
    </w:p>
    <w:p w:rsidR="00AA2C82" w:rsidRPr="00AF16C1" w:rsidRDefault="00AA2C82" w:rsidP="00AA2C82">
      <w:pPr>
        <w:pStyle w:val="afff6"/>
        <w:keepNext/>
        <w:ind w:left="0"/>
      </w:pPr>
      <w:r>
        <w:rPr>
          <w:noProof/>
          <w:snapToGrid/>
        </w:rPr>
        <w:drawing>
          <wp:inline distT="0" distB="0" distL="0" distR="0" wp14:anchorId="3A230827" wp14:editId="6CFCA578">
            <wp:extent cx="6188710" cy="3031578"/>
            <wp:effectExtent l="0" t="0" r="2540" b="0"/>
            <wp:docPr id="64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1" cstate="print"/>
                    <a:srcRect/>
                    <a:stretch>
                      <a:fillRect/>
                    </a:stretch>
                  </pic:blipFill>
                  <pic:spPr bwMode="auto">
                    <a:xfrm>
                      <a:off x="0" y="0"/>
                      <a:ext cx="6188710" cy="3031578"/>
                    </a:xfrm>
                    <a:prstGeom prst="rect">
                      <a:avLst/>
                    </a:prstGeom>
                  </pic:spPr>
                </pic:pic>
              </a:graphicData>
            </a:graphic>
          </wp:inline>
        </w:drawing>
      </w:r>
    </w:p>
    <w:p w:rsidR="00AA2C82" w:rsidRPr="002B0A34" w:rsidRDefault="00AA2C82" w:rsidP="00AA2C82">
      <w:pPr>
        <w:pStyle w:val="-0"/>
        <w:rPr>
          <w:b/>
        </w:rPr>
      </w:pPr>
      <w:bookmarkStart w:id="947" w:name="_Toc69214571"/>
      <w:bookmarkStart w:id="948" w:name="_Toc69290416"/>
      <w:bookmarkStart w:id="949" w:name="_Toc119584439"/>
      <w:r w:rsidRPr="00AF16C1">
        <w:t xml:space="preserve">Рисунок </w:t>
      </w:r>
      <w:fldSimple w:instr=" SEQ Рисунок \* ARABIC ">
        <w:bookmarkStart w:id="950" w:name="_Ref41556490"/>
        <w:r w:rsidR="001860A9">
          <w:rPr>
            <w:noProof/>
          </w:rPr>
          <w:t>252</w:t>
        </w:r>
        <w:bookmarkEnd w:id="950"/>
      </w:fldSimple>
      <w:r w:rsidRPr="00AF16C1">
        <w:t xml:space="preserve"> – Представление «</w:t>
      </w:r>
      <w:r>
        <w:t>По организационно-правовой форме</w:t>
      </w:r>
      <w:r w:rsidRPr="00AF16C1">
        <w:t>»</w:t>
      </w:r>
      <w:r>
        <w:t xml:space="preserve"> отчета «Анализ реестра контрактов и их исполнения»</w:t>
      </w:r>
      <w:bookmarkEnd w:id="947"/>
      <w:bookmarkEnd w:id="948"/>
      <w:bookmarkEnd w:id="949"/>
    </w:p>
    <w:p w:rsidR="00AA2C82" w:rsidRDefault="00AA2C82" w:rsidP="00AA2C82">
      <w:pPr>
        <w:pStyle w:val="-0"/>
        <w:ind w:firstLine="567"/>
        <w:jc w:val="both"/>
      </w:pPr>
      <w:r>
        <w:t>ВАЖНО! Набор параметров во всех представлениях аналогичен, однако может измениться в зависимости от установленного в переключателе уровня бюджета.</w:t>
      </w:r>
    </w:p>
    <w:p w:rsidR="00AA2C82" w:rsidRDefault="00AA2C82" w:rsidP="00AA2C82">
      <w:pPr>
        <w:pStyle w:val="-0"/>
        <w:ind w:firstLine="567"/>
        <w:jc w:val="both"/>
      </w:pPr>
      <w:r>
        <w:t xml:space="preserve">По умолчанию в каждом представлении задан федеральный уровень бюджета, в рамках которого предусмотрена возможность отбора данных по ГРБС-заказчикам, а также подведомственным им учреждениям. Фильтрация осуществляется с помощью парных параметров «Глава» и «Подведомственные учреждения» соответственно (рисунок </w:t>
      </w:r>
      <w:r>
        <w:fldChar w:fldCharType="begin"/>
      </w:r>
      <w:r>
        <w:instrText xml:space="preserve"> REF _Ref68167292 \h </w:instrText>
      </w:r>
      <w:r>
        <w:fldChar w:fldCharType="separate"/>
      </w:r>
      <w:r w:rsidR="00BF0BEE">
        <w:t xml:space="preserve">Рисунок </w:t>
      </w:r>
      <w:r w:rsidR="00BF0BEE">
        <w:rPr>
          <w:noProof/>
        </w:rPr>
        <w:t>253</w:t>
      </w:r>
      <w:r w:rsidR="00BF0BEE">
        <w:t xml:space="preserve"> </w:t>
      </w:r>
      <w:r w:rsidR="00BF0BEE" w:rsidRPr="00A12A4B">
        <w:t xml:space="preserve">– </w:t>
      </w:r>
      <w:r w:rsidR="00BF0BEE">
        <w:t xml:space="preserve">Парные параметры </w:t>
      </w:r>
      <w:r w:rsidR="00BF0BEE" w:rsidRPr="00AF16C1">
        <w:t>«</w:t>
      </w:r>
      <w:r w:rsidR="00BF0BEE">
        <w:t>Глава» и «Подведомственные учреждения» при выборе федерального уровня бюджета в отчете «Анализ реестра контрактов и их исполнения»</w:t>
      </w:r>
      <w:r>
        <w:fldChar w:fldCharType="end"/>
      </w:r>
      <w:r>
        <w:t>).</w:t>
      </w:r>
    </w:p>
    <w:p w:rsidR="00AA2C82" w:rsidRDefault="00AA2C82" w:rsidP="00AA2C82">
      <w:pPr>
        <w:pStyle w:val="-0"/>
        <w:keepNext/>
        <w:jc w:val="both"/>
      </w:pPr>
      <w:r>
        <w:rPr>
          <w:bCs w:val="0"/>
          <w:noProof/>
          <w:snapToGrid/>
        </w:rPr>
        <w:drawing>
          <wp:inline distT="0" distB="0" distL="0" distR="0" wp14:anchorId="3364DC9D" wp14:editId="3F703BCA">
            <wp:extent cx="6188710" cy="3028243"/>
            <wp:effectExtent l="0" t="0" r="2540" b="1270"/>
            <wp:docPr id="6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2" cstate="print"/>
                    <a:srcRect/>
                    <a:stretch>
                      <a:fillRect/>
                    </a:stretch>
                  </pic:blipFill>
                  <pic:spPr bwMode="auto">
                    <a:xfrm>
                      <a:off x="0" y="0"/>
                      <a:ext cx="6188710" cy="3028243"/>
                    </a:xfrm>
                    <a:prstGeom prst="rect">
                      <a:avLst/>
                    </a:prstGeom>
                  </pic:spPr>
                </pic:pic>
              </a:graphicData>
            </a:graphic>
          </wp:inline>
        </w:drawing>
      </w:r>
    </w:p>
    <w:p w:rsidR="00AA2C82" w:rsidRPr="00AF16C1" w:rsidRDefault="00AA2C82" w:rsidP="00AA2C82">
      <w:pPr>
        <w:pStyle w:val="-0"/>
      </w:pPr>
      <w:bookmarkStart w:id="951" w:name="_Ref68167292"/>
      <w:bookmarkStart w:id="952" w:name="_Toc69214572"/>
      <w:bookmarkStart w:id="953" w:name="_Toc69290417"/>
      <w:bookmarkStart w:id="954" w:name="_Toc119584440"/>
      <w:r>
        <w:t xml:space="preserve">Рисунок </w:t>
      </w:r>
      <w:fldSimple w:instr=" SEQ Рисунок \* ARABIC ">
        <w:r w:rsidR="001860A9">
          <w:rPr>
            <w:noProof/>
          </w:rPr>
          <w:t>253</w:t>
        </w:r>
      </w:fldSimple>
      <w:r>
        <w:t xml:space="preserve"> </w:t>
      </w:r>
      <w:r w:rsidRPr="00A12A4B">
        <w:t xml:space="preserve">– </w:t>
      </w:r>
      <w:r>
        <w:t xml:space="preserve">Парные параметры </w:t>
      </w:r>
      <w:r w:rsidRPr="00AF16C1">
        <w:t>«</w:t>
      </w:r>
      <w:r>
        <w:t>Глава» и «Подведомственные учреждения» при выборе федерального уровня бюджета в отчете «Анализ реестра контрактов и их исполнения»</w:t>
      </w:r>
      <w:bookmarkEnd w:id="951"/>
      <w:bookmarkEnd w:id="952"/>
      <w:bookmarkEnd w:id="953"/>
      <w:bookmarkEnd w:id="954"/>
    </w:p>
    <w:p w:rsidR="00AA2C82" w:rsidRDefault="00AA2C82" w:rsidP="00AA2C82">
      <w:pPr>
        <w:pStyle w:val="-0"/>
        <w:ind w:firstLine="567"/>
        <w:jc w:val="both"/>
      </w:pPr>
      <w:r>
        <w:t>При выборе уровня бюджета субъекта информация, формируемая в таблицах, отображается в разрезе субъектов РФ. Отбор данных предусмотрен за счет параметра «Субъект РФ», при этом фильтры по главам и подведомственным учреждениям отсутствуют (</w:t>
      </w:r>
      <w:r>
        <w:fldChar w:fldCharType="begin"/>
      </w:r>
      <w:r>
        <w:instrText xml:space="preserve"> REF _Ref68168120 \h </w:instrText>
      </w:r>
      <w:r>
        <w:fldChar w:fldCharType="separate"/>
      </w:r>
      <w:r w:rsidR="00BF0BEE">
        <w:t xml:space="preserve">Рисунок </w:t>
      </w:r>
      <w:r w:rsidR="00BF0BEE">
        <w:rPr>
          <w:noProof/>
        </w:rPr>
        <w:t>254</w:t>
      </w:r>
      <w:r>
        <w:fldChar w:fldCharType="end"/>
      </w:r>
      <w:r>
        <w:t>).</w:t>
      </w:r>
    </w:p>
    <w:p w:rsidR="00AA2C82" w:rsidRDefault="00AA2C82" w:rsidP="00AA2C82">
      <w:pPr>
        <w:pStyle w:val="-0"/>
        <w:keepNext/>
        <w:jc w:val="both"/>
      </w:pPr>
      <w:r>
        <w:rPr>
          <w:bCs w:val="0"/>
          <w:noProof/>
          <w:snapToGrid/>
        </w:rPr>
        <w:drawing>
          <wp:inline distT="0" distB="0" distL="0" distR="0" wp14:anchorId="4FB29C88" wp14:editId="122BF9AE">
            <wp:extent cx="6188710" cy="3025773"/>
            <wp:effectExtent l="0" t="0" r="2540" b="3810"/>
            <wp:docPr id="64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3" cstate="print"/>
                    <a:srcRect/>
                    <a:stretch>
                      <a:fillRect/>
                    </a:stretch>
                  </pic:blipFill>
                  <pic:spPr bwMode="auto">
                    <a:xfrm>
                      <a:off x="0" y="0"/>
                      <a:ext cx="6188710" cy="3025773"/>
                    </a:xfrm>
                    <a:prstGeom prst="rect">
                      <a:avLst/>
                    </a:prstGeom>
                  </pic:spPr>
                </pic:pic>
              </a:graphicData>
            </a:graphic>
          </wp:inline>
        </w:drawing>
      </w:r>
    </w:p>
    <w:p w:rsidR="00AA2C82" w:rsidRDefault="00AA2C82" w:rsidP="00AA2C82">
      <w:pPr>
        <w:pStyle w:val="-0"/>
      </w:pPr>
      <w:bookmarkStart w:id="955" w:name="_Ref68168120"/>
      <w:bookmarkStart w:id="956" w:name="_Toc69214573"/>
      <w:bookmarkStart w:id="957" w:name="_Toc69290418"/>
      <w:bookmarkStart w:id="958" w:name="_Toc119584441"/>
      <w:r>
        <w:t xml:space="preserve">Рисунок </w:t>
      </w:r>
      <w:fldSimple w:instr=" SEQ Рисунок \* ARABIC ">
        <w:r w:rsidR="001860A9">
          <w:rPr>
            <w:noProof/>
          </w:rPr>
          <w:t>254</w:t>
        </w:r>
      </w:fldSimple>
      <w:bookmarkEnd w:id="955"/>
      <w:r>
        <w:t xml:space="preserve"> – Параметр «Субъект» при выборе уровня бюджета субъекта в отчете «Анализ реестра контрактов и их исполнения»</w:t>
      </w:r>
      <w:bookmarkEnd w:id="956"/>
      <w:bookmarkEnd w:id="957"/>
      <w:bookmarkEnd w:id="958"/>
    </w:p>
    <w:p w:rsidR="00AA2C82" w:rsidRDefault="00AA2C82" w:rsidP="00AA2C82">
      <w:pPr>
        <w:pStyle w:val="-0"/>
        <w:ind w:firstLine="567"/>
        <w:jc w:val="both"/>
      </w:pPr>
      <w:r>
        <w:t>Выбор муниципального уровня бюджета предполагает отображение табличных данных в разрезе муниципальных образований, выбираемых в параметре «МО». При этом параметры выбора главы, его подведомственных учреждений, а также субъектов РФ отсутствуют (</w:t>
      </w:r>
      <w:r>
        <w:fldChar w:fldCharType="begin"/>
      </w:r>
      <w:r>
        <w:instrText xml:space="preserve"> REF _Ref68168135 \h </w:instrText>
      </w:r>
      <w:r>
        <w:fldChar w:fldCharType="separate"/>
      </w:r>
      <w:r w:rsidR="00BF0BEE">
        <w:t xml:space="preserve">Рисунок </w:t>
      </w:r>
      <w:r w:rsidR="00BF0BEE">
        <w:rPr>
          <w:noProof/>
        </w:rPr>
        <w:t>255</w:t>
      </w:r>
      <w:r>
        <w:fldChar w:fldCharType="end"/>
      </w:r>
      <w:r>
        <w:t>).</w:t>
      </w:r>
    </w:p>
    <w:p w:rsidR="00AA2C82" w:rsidRDefault="00AA2C82" w:rsidP="00AA2C82">
      <w:pPr>
        <w:pStyle w:val="-0"/>
        <w:keepNext/>
        <w:jc w:val="both"/>
      </w:pPr>
      <w:r>
        <w:rPr>
          <w:bCs w:val="0"/>
          <w:noProof/>
          <w:snapToGrid/>
        </w:rPr>
        <w:drawing>
          <wp:inline distT="0" distB="0" distL="0" distR="0" wp14:anchorId="3C164DBF" wp14:editId="3EB16171">
            <wp:extent cx="6188710" cy="3028783"/>
            <wp:effectExtent l="0" t="0" r="2540" b="635"/>
            <wp:docPr id="649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4" cstate="print"/>
                    <a:srcRect/>
                    <a:stretch>
                      <a:fillRect/>
                    </a:stretch>
                  </pic:blipFill>
                  <pic:spPr bwMode="auto">
                    <a:xfrm>
                      <a:off x="0" y="0"/>
                      <a:ext cx="6188710" cy="3028783"/>
                    </a:xfrm>
                    <a:prstGeom prst="rect">
                      <a:avLst/>
                    </a:prstGeom>
                  </pic:spPr>
                </pic:pic>
              </a:graphicData>
            </a:graphic>
          </wp:inline>
        </w:drawing>
      </w:r>
    </w:p>
    <w:p w:rsidR="00AA2C82" w:rsidRDefault="00AA2C82" w:rsidP="007C5AD7">
      <w:pPr>
        <w:pStyle w:val="-0"/>
        <w:rPr>
          <w:noProof/>
        </w:rPr>
      </w:pPr>
      <w:bookmarkStart w:id="959" w:name="_Ref68168135"/>
      <w:bookmarkStart w:id="960" w:name="_Toc69214574"/>
      <w:bookmarkStart w:id="961" w:name="_Toc69290419"/>
      <w:bookmarkStart w:id="962" w:name="_Toc119584442"/>
      <w:r>
        <w:t xml:space="preserve">Рисунок </w:t>
      </w:r>
      <w:fldSimple w:instr=" SEQ Рисунок \* ARABIC ">
        <w:r w:rsidR="001860A9">
          <w:rPr>
            <w:noProof/>
          </w:rPr>
          <w:t>255</w:t>
        </w:r>
      </w:fldSimple>
      <w:bookmarkEnd w:id="959"/>
      <w:r w:rsidR="007C5AD7">
        <w:rPr>
          <w:noProof/>
        </w:rPr>
        <w:t xml:space="preserve"> –</w:t>
      </w:r>
      <w:r>
        <w:t xml:space="preserve"> Параметр «МО» при выборе муниципального уровня бюджета в отчете «Анализ реестра контрактов и их исполнения»</w:t>
      </w:r>
      <w:bookmarkEnd w:id="960"/>
      <w:bookmarkEnd w:id="961"/>
      <w:bookmarkEnd w:id="962"/>
    </w:p>
    <w:p w:rsidR="00AA2C82" w:rsidRPr="00AF16C1" w:rsidRDefault="00AA2C82" w:rsidP="00AA2C82">
      <w:pPr>
        <w:pStyle w:val="-0"/>
        <w:ind w:firstLine="567"/>
        <w:jc w:val="both"/>
      </w:pPr>
      <w:r>
        <w:t>Подробное описание табличных столбцов, включающее также алгоритмы расчетов для соответствующих показателей и источники данных, приведено в разделе «Справка».</w:t>
      </w:r>
    </w:p>
    <w:p w:rsidR="00AA2C82" w:rsidRPr="00AF16C1" w:rsidRDefault="00AA2C82" w:rsidP="00AA2C82">
      <w:pPr>
        <w:pStyle w:val="42"/>
      </w:pPr>
      <w:bookmarkStart w:id="963" w:name="_Toc69214885"/>
      <w:r w:rsidRPr="00AF16C1">
        <w:t xml:space="preserve">Переходы с </w:t>
      </w:r>
      <w:r>
        <w:t xml:space="preserve">основных </w:t>
      </w:r>
      <w:r w:rsidRPr="00AF16C1">
        <w:t>представлений «</w:t>
      </w:r>
      <w:r>
        <w:t>По способу закупки</w:t>
      </w:r>
      <w:r w:rsidRPr="00AF16C1">
        <w:t>» и «</w:t>
      </w:r>
      <w:r>
        <w:t>По организационно-правовой форме</w:t>
      </w:r>
      <w:r w:rsidRPr="00AF16C1">
        <w:t>» в детализирующ</w:t>
      </w:r>
      <w:r>
        <w:t>ий отчет первого уровня</w:t>
      </w:r>
      <w:bookmarkEnd w:id="963"/>
    </w:p>
    <w:p w:rsidR="00AA2C82" w:rsidRDefault="00AA2C82" w:rsidP="00AA2C82">
      <w:pPr>
        <w:pStyle w:val="af0"/>
      </w:pPr>
      <w:r>
        <w:t>Из</w:t>
      </w:r>
      <w:r w:rsidRPr="00AF16C1">
        <w:t xml:space="preserve"> представлений «</w:t>
      </w:r>
      <w:r>
        <w:t>По способу закупки</w:t>
      </w:r>
      <w:r w:rsidRPr="00AF16C1">
        <w:t>» и «</w:t>
      </w:r>
      <w:r>
        <w:t>По организационно-правовой форме</w:t>
      </w:r>
      <w:r w:rsidRPr="00AF16C1">
        <w:t>» реализован переход</w:t>
      </w:r>
      <w:r>
        <w:t xml:space="preserve"> в отчет-детализацию первого уровня </w:t>
      </w:r>
      <w:r w:rsidRPr="00AF16C1">
        <w:t>«</w:t>
      </w:r>
      <w:r>
        <w:t>Анализ реестра контрактов и их исполнения (детализация)</w:t>
      </w:r>
      <w:r w:rsidRPr="00AF16C1">
        <w:t>»</w:t>
      </w:r>
      <w:r>
        <w:t xml:space="preserve">. </w:t>
      </w:r>
      <w:r w:rsidRPr="00AF16C1">
        <w:t>Возможность перехода в детализирующ</w:t>
      </w:r>
      <w:r>
        <w:t xml:space="preserve">ий отчет </w:t>
      </w:r>
      <w:r w:rsidRPr="00AF16C1">
        <w:t xml:space="preserve">обозначена синим треугольником в правом верхнем углу от значения выбранной для перехода </w:t>
      </w:r>
      <w:r>
        <w:t>цены контракта</w:t>
      </w:r>
      <w:r w:rsidRPr="00AF16C1">
        <w:t>.</w:t>
      </w:r>
    </w:p>
    <w:p w:rsidR="00AA2C82" w:rsidRDefault="00AA2C82" w:rsidP="00AA2C82">
      <w:pPr>
        <w:pStyle w:val="af0"/>
      </w:pPr>
      <w:r w:rsidRPr="00AF16C1">
        <w:t xml:space="preserve">При нажатии </w:t>
      </w:r>
      <w:r>
        <w:t xml:space="preserve">левой кнопкой мыши </w:t>
      </w:r>
      <w:r w:rsidRPr="00AF16C1">
        <w:t xml:space="preserve">на значение </w:t>
      </w:r>
      <w:r>
        <w:t xml:space="preserve">цены контракта </w:t>
      </w:r>
      <w:r w:rsidRPr="00AF16C1">
        <w:t xml:space="preserve">по выбранной </w:t>
      </w:r>
      <w:r>
        <w:t xml:space="preserve">строке </w:t>
      </w:r>
      <w:r w:rsidRPr="00AF16C1">
        <w:t>появляется всплывающее окно</w:t>
      </w:r>
      <w:r>
        <w:t xml:space="preserve"> (</w:t>
      </w:r>
      <w:r>
        <w:fldChar w:fldCharType="begin"/>
      </w:r>
      <w:r>
        <w:instrText xml:space="preserve"> REF _Ref68168308 \h </w:instrText>
      </w:r>
      <w:r>
        <w:fldChar w:fldCharType="separate"/>
      </w:r>
      <w:r w:rsidR="00BF0BEE">
        <w:t xml:space="preserve">Рисунок </w:t>
      </w:r>
      <w:r w:rsidR="00BF0BEE">
        <w:rPr>
          <w:noProof/>
        </w:rPr>
        <w:t>256</w:t>
      </w:r>
      <w:r>
        <w:fldChar w:fldCharType="end"/>
      </w:r>
      <w:r>
        <w:t>)</w:t>
      </w:r>
      <w:r w:rsidRPr="00AF16C1">
        <w:t>.</w:t>
      </w:r>
    </w:p>
    <w:p w:rsidR="00AA2C82" w:rsidRDefault="00AA2C82" w:rsidP="00AA2C82">
      <w:pPr>
        <w:pStyle w:val="af0"/>
        <w:keepNext/>
        <w:ind w:firstLine="0"/>
        <w:jc w:val="center"/>
      </w:pPr>
      <w:r>
        <w:rPr>
          <w:noProof/>
          <w:snapToGrid/>
        </w:rPr>
        <w:drawing>
          <wp:inline distT="0" distB="0" distL="0" distR="0" wp14:anchorId="35F409B6" wp14:editId="6E2566E7">
            <wp:extent cx="6188710" cy="3025993"/>
            <wp:effectExtent l="0" t="0" r="2540" b="3175"/>
            <wp:docPr id="65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5" cstate="print"/>
                    <a:srcRect/>
                    <a:stretch>
                      <a:fillRect/>
                    </a:stretch>
                  </pic:blipFill>
                  <pic:spPr bwMode="auto">
                    <a:xfrm>
                      <a:off x="0" y="0"/>
                      <a:ext cx="6188710" cy="3025993"/>
                    </a:xfrm>
                    <a:prstGeom prst="rect">
                      <a:avLst/>
                    </a:prstGeom>
                  </pic:spPr>
                </pic:pic>
              </a:graphicData>
            </a:graphic>
          </wp:inline>
        </w:drawing>
      </w:r>
    </w:p>
    <w:p w:rsidR="00AA2C82" w:rsidRPr="00AF16C1" w:rsidRDefault="00AA2C82" w:rsidP="00AA2C82">
      <w:pPr>
        <w:pStyle w:val="-0"/>
      </w:pPr>
      <w:bookmarkStart w:id="964" w:name="_Ref68168308"/>
      <w:bookmarkStart w:id="965" w:name="_Toc69214575"/>
      <w:bookmarkStart w:id="966" w:name="_Toc69290420"/>
      <w:bookmarkStart w:id="967" w:name="_Toc119584443"/>
      <w:r>
        <w:t xml:space="preserve">Рисунок </w:t>
      </w:r>
      <w:fldSimple w:instr=" SEQ Рисунок \* ARABIC ">
        <w:r w:rsidR="001860A9">
          <w:rPr>
            <w:noProof/>
          </w:rPr>
          <w:t>256</w:t>
        </w:r>
      </w:fldSimple>
      <w:bookmarkEnd w:id="964"/>
      <w:r>
        <w:t xml:space="preserve"> </w:t>
      </w:r>
      <w:r w:rsidRPr="00902EC1">
        <w:t>– Всплывающее окно для перехода из основного отчета «Анализ реестра контрактов и их исполнения» в отчет-детализацию</w:t>
      </w:r>
      <w:bookmarkEnd w:id="965"/>
      <w:bookmarkEnd w:id="966"/>
      <w:bookmarkEnd w:id="967"/>
    </w:p>
    <w:p w:rsidR="00AA2C82" w:rsidRDefault="00AA2C82" w:rsidP="00AA2C82">
      <w:pPr>
        <w:pStyle w:val="-0"/>
        <w:ind w:firstLine="567"/>
        <w:jc w:val="both"/>
      </w:pPr>
      <w:r w:rsidRPr="00AF16C1">
        <w:t>Далее необходимо нажать левой кнопкой мыши на</w:t>
      </w:r>
      <w:r>
        <w:t xml:space="preserve"> позицию «Детализация»</w:t>
      </w:r>
      <w:r w:rsidRPr="00AF16C1">
        <w:t xml:space="preserve">, </w:t>
      </w:r>
      <w:r>
        <w:t xml:space="preserve">после чего будет осуществлен переход на детализирующий отчет «Анализ реестра контракта и их исполнения (детализация)». </w:t>
      </w:r>
    </w:p>
    <w:p w:rsidR="00AA2C82" w:rsidRPr="00AF16C1" w:rsidRDefault="00AA2C82" w:rsidP="00AA2C82">
      <w:pPr>
        <w:pStyle w:val="-0"/>
        <w:ind w:firstLine="567"/>
        <w:jc w:val="both"/>
      </w:pPr>
      <w:r>
        <w:t>При этом в детализирующий отчет автоматически передается</w:t>
      </w:r>
      <w:r w:rsidRPr="00F9642D">
        <w:t xml:space="preserve"> </w:t>
      </w:r>
      <w:r>
        <w:t>соответствующий данным из выбранной для перехода строки способ закупки</w:t>
      </w:r>
      <w:r w:rsidRPr="00F9642D">
        <w:t>/</w:t>
      </w:r>
      <w:r>
        <w:t>тип организационно-правовой формы (в зависимости от представления), а также заданные значения основных фильтров</w:t>
      </w:r>
      <w:r w:rsidRPr="00AF16C1">
        <w:t>.</w:t>
      </w:r>
      <w:r>
        <w:t xml:space="preserve"> В детализацию из основного представления отчета, помимо способа закупки, были переданы значения даты заключения контракта и субъекта РФ (</w:t>
      </w:r>
      <w:r>
        <w:fldChar w:fldCharType="begin"/>
      </w:r>
      <w:r>
        <w:instrText xml:space="preserve"> REF _Ref68168326 \h </w:instrText>
      </w:r>
      <w:r>
        <w:fldChar w:fldCharType="separate"/>
      </w:r>
      <w:r w:rsidR="00BF0BEE">
        <w:t xml:space="preserve">Рисунок </w:t>
      </w:r>
      <w:r w:rsidR="00BF0BEE">
        <w:rPr>
          <w:noProof/>
        </w:rPr>
        <w:t>257</w:t>
      </w:r>
      <w:r>
        <w:fldChar w:fldCharType="end"/>
      </w:r>
      <w:r>
        <w:t>).</w:t>
      </w:r>
    </w:p>
    <w:p w:rsidR="00AA2C82" w:rsidRDefault="00AA2C82" w:rsidP="00AA2C82">
      <w:pPr>
        <w:pStyle w:val="af0"/>
        <w:keepNext/>
        <w:ind w:firstLine="0"/>
      </w:pPr>
      <w:r>
        <w:rPr>
          <w:noProof/>
          <w:snapToGrid/>
        </w:rPr>
        <w:drawing>
          <wp:inline distT="0" distB="0" distL="0" distR="0" wp14:anchorId="2BE99951" wp14:editId="3BAB7365">
            <wp:extent cx="6188710" cy="3028573"/>
            <wp:effectExtent l="0" t="0" r="2540" b="635"/>
            <wp:docPr id="650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6" cstate="print"/>
                    <a:srcRect/>
                    <a:stretch>
                      <a:fillRect/>
                    </a:stretch>
                  </pic:blipFill>
                  <pic:spPr bwMode="auto">
                    <a:xfrm>
                      <a:off x="0" y="0"/>
                      <a:ext cx="6188710" cy="3028573"/>
                    </a:xfrm>
                    <a:prstGeom prst="rect">
                      <a:avLst/>
                    </a:prstGeom>
                  </pic:spPr>
                </pic:pic>
              </a:graphicData>
            </a:graphic>
          </wp:inline>
        </w:drawing>
      </w:r>
    </w:p>
    <w:p w:rsidR="00AA2C82" w:rsidRPr="00AF16C1" w:rsidRDefault="00AA2C82" w:rsidP="00AA2C82">
      <w:pPr>
        <w:pStyle w:val="-0"/>
      </w:pPr>
      <w:bookmarkStart w:id="968" w:name="_Ref68168326"/>
      <w:bookmarkStart w:id="969" w:name="_Toc69214576"/>
      <w:bookmarkStart w:id="970" w:name="_Toc69290421"/>
      <w:bookmarkStart w:id="971" w:name="_Toc119584444"/>
      <w:r>
        <w:t xml:space="preserve">Рисунок </w:t>
      </w:r>
      <w:fldSimple w:instr=" SEQ Рисунок \* ARABIC ">
        <w:r w:rsidR="001860A9">
          <w:rPr>
            <w:noProof/>
          </w:rPr>
          <w:t>257</w:t>
        </w:r>
      </w:fldSimple>
      <w:bookmarkEnd w:id="968"/>
      <w:r>
        <w:t xml:space="preserve"> – </w:t>
      </w:r>
      <w:r w:rsidRPr="00AF16C1">
        <w:t>Осущ</w:t>
      </w:r>
      <w:r>
        <w:t xml:space="preserve">ествленный переход по выбранному способу закупки </w:t>
      </w:r>
      <w:r w:rsidRPr="00AF16C1">
        <w:t>с автоматически преднастроенными</w:t>
      </w:r>
      <w:r>
        <w:t xml:space="preserve"> значениями</w:t>
      </w:r>
      <w:r w:rsidRPr="00AF16C1">
        <w:t xml:space="preserve"> параметр</w:t>
      </w:r>
      <w:r>
        <w:t>ов</w:t>
      </w:r>
      <w:r w:rsidRPr="00AF16C1">
        <w:t xml:space="preserve"> «</w:t>
      </w:r>
      <w:r>
        <w:t>Субъект РФ</w:t>
      </w:r>
      <w:r w:rsidRPr="00AF16C1">
        <w:t>», «</w:t>
      </w:r>
      <w:r>
        <w:t>Дата заключения контракта</w:t>
      </w:r>
      <w:r w:rsidRPr="00AF16C1">
        <w:t>» и «</w:t>
      </w:r>
      <w:r>
        <w:t>Способ закупки</w:t>
      </w:r>
      <w:r w:rsidRPr="00AF16C1">
        <w:t>»</w:t>
      </w:r>
      <w:bookmarkEnd w:id="969"/>
      <w:bookmarkEnd w:id="970"/>
      <w:bookmarkEnd w:id="971"/>
    </w:p>
    <w:p w:rsidR="00AA2C82" w:rsidRDefault="00AA2C82" w:rsidP="00AA2C82">
      <w:pPr>
        <w:pStyle w:val="42"/>
      </w:pPr>
      <w:bookmarkStart w:id="972" w:name="_Toc69214886"/>
      <w:r>
        <w:t>Детализирующий отчет «Анализ реестра контрактов и их исполнения (детализация)»</w:t>
      </w:r>
      <w:bookmarkEnd w:id="972"/>
    </w:p>
    <w:p w:rsidR="00AA2C82" w:rsidRDefault="00AA2C82" w:rsidP="00AA2C82">
      <w:pPr>
        <w:pStyle w:val="af0"/>
      </w:pPr>
      <w:r>
        <w:t>Детализирующий отчет «Анализ реестра контрактов и их исполнения (детализация)» включает в себя уже детальную информацию по заключенным контрактам. Если в основном отчете были представлены сводные данные в разрезе способов закупки или же типов организационно-правовой формы организаций-заказчиков, то детализирующий отчет содержит подробные сведения в разрезе контрактов.</w:t>
      </w:r>
    </w:p>
    <w:p w:rsidR="00AA2C82" w:rsidRPr="00373933" w:rsidRDefault="00AA2C82" w:rsidP="00AA2C82">
      <w:pPr>
        <w:pStyle w:val="af0"/>
      </w:pPr>
      <w:r>
        <w:t>Каждая строка отчета содержит более подробные сведения о заключенном контракте (номер, дата, предмет, сумма, финансирование по годам, исполнение) и об участниках закупки – заказчике и поставщике (ИНН, КПП). Кроме того, информация в таблице включает в себя суммы возникших бюджетных и денежных обязательств, а также расходы согласно КБК.</w:t>
      </w:r>
    </w:p>
    <w:p w:rsidR="00AA2C82" w:rsidRDefault="00AA2C82" w:rsidP="00AA2C82">
      <w:pPr>
        <w:pStyle w:val="af0"/>
      </w:pPr>
      <w:r>
        <w:t>Отчет представлен на рисунке</w:t>
      </w:r>
      <w:r w:rsidR="00AD3CA5">
        <w:rPr>
          <w:lang w:val="en-US"/>
        </w:rPr>
        <w:t xml:space="preserve"> </w:t>
      </w:r>
      <w:r w:rsidR="00AD3CA5">
        <w:rPr>
          <w:lang w:val="en-US"/>
        </w:rPr>
        <w:fldChar w:fldCharType="begin"/>
      </w:r>
      <w:r w:rsidR="00AD3CA5">
        <w:rPr>
          <w:lang w:val="en-US"/>
        </w:rPr>
        <w:instrText xml:space="preserve"> REF _Ref70329887 \h </w:instrText>
      </w:r>
      <w:r w:rsidR="00AD3CA5">
        <w:rPr>
          <w:lang w:val="en-US"/>
        </w:rPr>
      </w:r>
      <w:r w:rsidR="00AD3CA5">
        <w:rPr>
          <w:lang w:val="en-US"/>
        </w:rPr>
        <w:fldChar w:fldCharType="separate"/>
      </w:r>
      <w:r w:rsidR="00BF0BEE">
        <w:rPr>
          <w:noProof/>
        </w:rPr>
        <w:t>258</w:t>
      </w:r>
      <w:r w:rsidR="00AD3CA5">
        <w:rPr>
          <w:lang w:val="en-US"/>
        </w:rPr>
        <w:fldChar w:fldCharType="end"/>
      </w:r>
      <w:r>
        <w:t>.</w:t>
      </w:r>
    </w:p>
    <w:p w:rsidR="00AA2C82" w:rsidRDefault="00AA2C82" w:rsidP="00AA2C82">
      <w:pPr>
        <w:pStyle w:val="af0"/>
        <w:keepNext/>
        <w:ind w:firstLine="0"/>
      </w:pPr>
      <w:r>
        <w:rPr>
          <w:noProof/>
          <w:snapToGrid/>
        </w:rPr>
        <w:drawing>
          <wp:inline distT="0" distB="0" distL="0" distR="0" wp14:anchorId="3B76C1A8" wp14:editId="55F02D4F">
            <wp:extent cx="6188710" cy="3022093"/>
            <wp:effectExtent l="0" t="0" r="2540" b="6985"/>
            <wp:docPr id="6502" name="Рисунок 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7" cstate="print"/>
                    <a:srcRect/>
                    <a:stretch>
                      <a:fillRect/>
                    </a:stretch>
                  </pic:blipFill>
                  <pic:spPr bwMode="auto">
                    <a:xfrm>
                      <a:off x="0" y="0"/>
                      <a:ext cx="6188710" cy="3022093"/>
                    </a:xfrm>
                    <a:prstGeom prst="rect">
                      <a:avLst/>
                    </a:prstGeom>
                  </pic:spPr>
                </pic:pic>
              </a:graphicData>
            </a:graphic>
          </wp:inline>
        </w:drawing>
      </w:r>
    </w:p>
    <w:p w:rsidR="00AA2C82" w:rsidRPr="00373933" w:rsidRDefault="00AA2C82" w:rsidP="00AA2C82">
      <w:pPr>
        <w:pStyle w:val="-0"/>
      </w:pPr>
      <w:bookmarkStart w:id="973" w:name="_Ref68170972"/>
      <w:bookmarkStart w:id="974" w:name="_Ref68171609"/>
      <w:bookmarkStart w:id="975" w:name="_Toc69214577"/>
      <w:bookmarkStart w:id="976" w:name="_Toc69290422"/>
      <w:bookmarkStart w:id="977" w:name="_Toc119584445"/>
      <w:r>
        <w:t xml:space="preserve">Рисунок </w:t>
      </w:r>
      <w:fldSimple w:instr=" SEQ Рисунок \* ARABIC ">
        <w:bookmarkStart w:id="978" w:name="_Ref70329887"/>
        <w:r w:rsidR="001860A9">
          <w:rPr>
            <w:noProof/>
          </w:rPr>
          <w:t>258</w:t>
        </w:r>
        <w:bookmarkEnd w:id="978"/>
      </w:fldSimple>
      <w:r>
        <w:t xml:space="preserve"> – Отчет «Анализ реестра контрактов и их исполнения (детализация)»</w:t>
      </w:r>
      <w:bookmarkEnd w:id="973"/>
      <w:bookmarkEnd w:id="974"/>
      <w:bookmarkEnd w:id="975"/>
      <w:bookmarkEnd w:id="976"/>
      <w:bookmarkEnd w:id="977"/>
    </w:p>
    <w:p w:rsidR="00AA2C82" w:rsidRDefault="00AA2C82" w:rsidP="00AA2C82">
      <w:pPr>
        <w:pStyle w:val="-0"/>
        <w:ind w:firstLine="567"/>
        <w:jc w:val="both"/>
      </w:pPr>
      <w:r>
        <w:t>Набор фильтров в детализации расширен относительно основных представлений отчета «Анализ реестра контрактов и их исполнения». В рамках отчета-детализации реализована возможность отбора данных не только по заказчикам, а также по поставщикам, по основным характеристикам контракта и элементам КБК.</w:t>
      </w:r>
    </w:p>
    <w:p w:rsidR="00AA2C82" w:rsidRDefault="00AA2C82" w:rsidP="00AA2C82">
      <w:pPr>
        <w:pStyle w:val="af0"/>
      </w:pPr>
      <w:r>
        <w:t>По умолчанию расширенный набор параметров скрыт, что также можно наблюдать на рисунке</w:t>
      </w:r>
      <w:r w:rsidR="00AD3CA5" w:rsidRPr="00AD3CA5">
        <w:t xml:space="preserve"> </w:t>
      </w:r>
      <w:r w:rsidR="00AD3CA5">
        <w:fldChar w:fldCharType="begin"/>
      </w:r>
      <w:r w:rsidR="00AD3CA5">
        <w:instrText xml:space="preserve"> REF _Ref70329887 \h </w:instrText>
      </w:r>
      <w:r w:rsidR="00AD3CA5">
        <w:fldChar w:fldCharType="separate"/>
      </w:r>
      <w:r w:rsidR="00BF0BEE">
        <w:rPr>
          <w:noProof/>
        </w:rPr>
        <w:t>258</w:t>
      </w:r>
      <w:r w:rsidR="00AD3CA5">
        <w:fldChar w:fldCharType="end"/>
      </w:r>
      <w:r>
        <w:t>. Для отображения всех фильтров в отчете необходимо нажать на чекбокс «Дополнительные параметры» (в таком случае должна появиться галка).</w:t>
      </w:r>
    </w:p>
    <w:p w:rsidR="00AA2C82" w:rsidRDefault="00AA2C82" w:rsidP="00AA2C82">
      <w:pPr>
        <w:pStyle w:val="af0"/>
      </w:pPr>
      <w:r>
        <w:t>Расширенный набор параметров при активации чекбокса представлен на рисунке</w:t>
      </w:r>
      <w:r w:rsidR="0047454A" w:rsidRPr="0047454A">
        <w:t xml:space="preserve"> </w:t>
      </w:r>
      <w:r w:rsidR="0047454A">
        <w:fldChar w:fldCharType="begin"/>
      </w:r>
      <w:r w:rsidR="0047454A">
        <w:instrText xml:space="preserve"> REF _Ref70329968 \h </w:instrText>
      </w:r>
      <w:r w:rsidR="0047454A">
        <w:fldChar w:fldCharType="separate"/>
      </w:r>
      <w:r w:rsidR="00BF0BEE">
        <w:rPr>
          <w:noProof/>
        </w:rPr>
        <w:t>259</w:t>
      </w:r>
      <w:r w:rsidR="0047454A">
        <w:fldChar w:fldCharType="end"/>
      </w:r>
      <w:r>
        <w:t>. При необходимости скрыть дополнительные фильтры нужно снять галочку с чекбокса.</w:t>
      </w:r>
    </w:p>
    <w:p w:rsidR="00AA2C82" w:rsidRDefault="00AA2C82" w:rsidP="00AA2C82">
      <w:pPr>
        <w:pStyle w:val="-0"/>
      </w:pPr>
      <w:r>
        <w:rPr>
          <w:noProof/>
          <w:snapToGrid/>
        </w:rPr>
        <w:drawing>
          <wp:inline distT="0" distB="0" distL="0" distR="0" wp14:anchorId="7A072363" wp14:editId="7EE5782F">
            <wp:extent cx="6188710" cy="3028243"/>
            <wp:effectExtent l="0" t="0" r="2540" b="1270"/>
            <wp:docPr id="65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8" cstate="print"/>
                    <a:srcRect/>
                    <a:stretch>
                      <a:fillRect/>
                    </a:stretch>
                  </pic:blipFill>
                  <pic:spPr bwMode="auto">
                    <a:xfrm>
                      <a:off x="0" y="0"/>
                      <a:ext cx="6188710" cy="3028243"/>
                    </a:xfrm>
                    <a:prstGeom prst="rect">
                      <a:avLst/>
                    </a:prstGeom>
                  </pic:spPr>
                </pic:pic>
              </a:graphicData>
            </a:graphic>
          </wp:inline>
        </w:drawing>
      </w:r>
    </w:p>
    <w:p w:rsidR="00AA2C82" w:rsidRDefault="00AA2C82" w:rsidP="00AA2C82">
      <w:pPr>
        <w:pStyle w:val="-0"/>
      </w:pPr>
      <w:bookmarkStart w:id="979" w:name="_Ref68171663"/>
      <w:bookmarkStart w:id="980" w:name="_Toc69214578"/>
      <w:bookmarkStart w:id="981" w:name="_Toc69290423"/>
      <w:bookmarkStart w:id="982" w:name="_Toc119584446"/>
      <w:r>
        <w:t xml:space="preserve">Рисунок </w:t>
      </w:r>
      <w:fldSimple w:instr=" SEQ Рисунок \* ARABIC ">
        <w:bookmarkStart w:id="983" w:name="_Ref70329968"/>
        <w:r w:rsidR="001860A9">
          <w:rPr>
            <w:noProof/>
          </w:rPr>
          <w:t>259</w:t>
        </w:r>
        <w:bookmarkEnd w:id="983"/>
      </w:fldSimple>
      <w:bookmarkEnd w:id="979"/>
      <w:r>
        <w:t xml:space="preserve"> – Расширенный набор фильтров отчета «Анализ реестра контрактов и их исполнения (детализация)»</w:t>
      </w:r>
      <w:bookmarkEnd w:id="980"/>
      <w:bookmarkEnd w:id="981"/>
      <w:bookmarkEnd w:id="982"/>
    </w:p>
    <w:p w:rsidR="00AA2C82" w:rsidRDefault="00AA2C82" w:rsidP="00AA2C82">
      <w:pPr>
        <w:pStyle w:val="af0"/>
      </w:pPr>
      <w:r>
        <w:t>ВАЖНО! Набор параметров в рамках детализации, аналогично основному отчету «Анализ реестра контрактов и их исполнения», меняется в зависимости от установленного в переключателе уровня бюджета.</w:t>
      </w:r>
    </w:p>
    <w:p w:rsidR="00AA2C82" w:rsidRDefault="00AA2C82" w:rsidP="00AA2C82">
      <w:pPr>
        <w:pStyle w:val="af0"/>
      </w:pPr>
      <w:r>
        <w:t>При выборе федерального бюджета возможно фильтровать данные по ГРБС, а также подведомственным им учреждениям посредством зависимых параметров «Глава» и «Подведомственные учреждения» (</w:t>
      </w:r>
      <w:r>
        <w:fldChar w:fldCharType="begin"/>
      </w:r>
      <w:r>
        <w:instrText xml:space="preserve"> REF _Ref68171752 \h  \* MERGEFORMAT </w:instrText>
      </w:r>
      <w:r>
        <w:fldChar w:fldCharType="separate"/>
      </w:r>
      <w:r w:rsidR="00BF0BEE">
        <w:t xml:space="preserve">Рисунок </w:t>
      </w:r>
      <w:r w:rsidR="00BF0BEE">
        <w:rPr>
          <w:noProof/>
        </w:rPr>
        <w:t>260</w:t>
      </w:r>
      <w:r>
        <w:fldChar w:fldCharType="end"/>
      </w:r>
      <w:r>
        <w:t>).</w:t>
      </w:r>
    </w:p>
    <w:p w:rsidR="00AA2C82" w:rsidRDefault="00AA2C82" w:rsidP="00AA2C82">
      <w:pPr>
        <w:pStyle w:val="-0"/>
        <w:keepNext/>
        <w:jc w:val="both"/>
      </w:pPr>
      <w:r>
        <w:rPr>
          <w:bCs w:val="0"/>
          <w:noProof/>
          <w:snapToGrid/>
        </w:rPr>
        <w:drawing>
          <wp:inline distT="0" distB="0" distL="0" distR="0" wp14:anchorId="4440A094" wp14:editId="7E5D3131">
            <wp:extent cx="6188710" cy="3019512"/>
            <wp:effectExtent l="0" t="0" r="2540" b="9525"/>
            <wp:docPr id="650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9" cstate="print"/>
                    <a:srcRect/>
                    <a:stretch>
                      <a:fillRect/>
                    </a:stretch>
                  </pic:blipFill>
                  <pic:spPr bwMode="auto">
                    <a:xfrm>
                      <a:off x="0" y="0"/>
                      <a:ext cx="6188710" cy="3019512"/>
                    </a:xfrm>
                    <a:prstGeom prst="rect">
                      <a:avLst/>
                    </a:prstGeom>
                  </pic:spPr>
                </pic:pic>
              </a:graphicData>
            </a:graphic>
          </wp:inline>
        </w:drawing>
      </w:r>
    </w:p>
    <w:p w:rsidR="00AA2C82" w:rsidRPr="007770BA" w:rsidRDefault="00AA2C82" w:rsidP="00AA2C82">
      <w:pPr>
        <w:pStyle w:val="af0"/>
        <w:jc w:val="center"/>
      </w:pPr>
      <w:bookmarkStart w:id="984" w:name="_Ref68171752"/>
      <w:bookmarkStart w:id="985" w:name="_Toc69214579"/>
      <w:bookmarkStart w:id="986" w:name="_Toc69290424"/>
      <w:bookmarkStart w:id="987" w:name="_Toc119584447"/>
      <w:r>
        <w:t xml:space="preserve">Рисунок </w:t>
      </w:r>
      <w:fldSimple w:instr=" SEQ Рисунок \* ARABIC ">
        <w:r w:rsidR="001860A9">
          <w:rPr>
            <w:noProof/>
          </w:rPr>
          <w:t>260</w:t>
        </w:r>
      </w:fldSimple>
      <w:bookmarkEnd w:id="984"/>
      <w:r>
        <w:t xml:space="preserve"> – </w:t>
      </w:r>
      <w:r w:rsidRPr="00D7400C">
        <w:t>Парные параметры «Глава» и «Подведомственные учреждения» при выборе федерального уровня бюджета в отчете «Анализ реестра контрактов и их исполнения</w:t>
      </w:r>
      <w:r>
        <w:t xml:space="preserve"> (детализация)</w:t>
      </w:r>
      <w:r w:rsidRPr="00D7400C">
        <w:t>»</w:t>
      </w:r>
      <w:bookmarkEnd w:id="985"/>
      <w:bookmarkEnd w:id="986"/>
      <w:bookmarkEnd w:id="987"/>
    </w:p>
    <w:p w:rsidR="00AA2C82" w:rsidRDefault="00AA2C82" w:rsidP="00AA2C82">
      <w:pPr>
        <w:pStyle w:val="-0"/>
        <w:ind w:firstLine="567"/>
        <w:jc w:val="both"/>
      </w:pPr>
      <w:r>
        <w:t>При выборе бюджета субъекта РФ отбор данных возможен в рамках субъектов посредством фильтра «Субъект РФ» (</w:t>
      </w:r>
      <w:r>
        <w:fldChar w:fldCharType="begin"/>
      </w:r>
      <w:r>
        <w:instrText xml:space="preserve"> REF _Ref68171765 \h </w:instrText>
      </w:r>
      <w:r>
        <w:fldChar w:fldCharType="separate"/>
      </w:r>
      <w:r w:rsidR="00BF0BEE">
        <w:t xml:space="preserve">Рисунок </w:t>
      </w:r>
      <w:r w:rsidR="00BF0BEE">
        <w:rPr>
          <w:noProof/>
        </w:rPr>
        <w:t>261</w:t>
      </w:r>
      <w:r>
        <w:fldChar w:fldCharType="end"/>
      </w:r>
      <w:r>
        <w:t>).</w:t>
      </w:r>
    </w:p>
    <w:p w:rsidR="00AA2C82" w:rsidRDefault="00AA2C82" w:rsidP="00AA2C82">
      <w:pPr>
        <w:pStyle w:val="-0"/>
        <w:keepNext/>
      </w:pPr>
      <w:r>
        <w:rPr>
          <w:bCs w:val="0"/>
          <w:noProof/>
          <w:snapToGrid/>
        </w:rPr>
        <w:drawing>
          <wp:inline distT="0" distB="0" distL="0" distR="0" wp14:anchorId="5835266D" wp14:editId="0A1006BB">
            <wp:extent cx="6188710" cy="3019450"/>
            <wp:effectExtent l="0" t="0" r="2540" b="9525"/>
            <wp:docPr id="650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0" cstate="print"/>
                    <a:srcRect/>
                    <a:stretch>
                      <a:fillRect/>
                    </a:stretch>
                  </pic:blipFill>
                  <pic:spPr bwMode="auto">
                    <a:xfrm>
                      <a:off x="0" y="0"/>
                      <a:ext cx="6188710" cy="3019450"/>
                    </a:xfrm>
                    <a:prstGeom prst="rect">
                      <a:avLst/>
                    </a:prstGeom>
                  </pic:spPr>
                </pic:pic>
              </a:graphicData>
            </a:graphic>
          </wp:inline>
        </w:drawing>
      </w:r>
    </w:p>
    <w:p w:rsidR="00AA2C82" w:rsidRDefault="00AA2C82" w:rsidP="00AA2C82">
      <w:pPr>
        <w:pStyle w:val="-0"/>
      </w:pPr>
      <w:bookmarkStart w:id="988" w:name="_Ref68171765"/>
      <w:bookmarkStart w:id="989" w:name="_Toc69214580"/>
      <w:bookmarkStart w:id="990" w:name="_Toc69290425"/>
      <w:bookmarkStart w:id="991" w:name="_Toc119584448"/>
      <w:r>
        <w:t xml:space="preserve">Рисунок </w:t>
      </w:r>
      <w:fldSimple w:instr=" SEQ Рисунок \* ARABIC ">
        <w:r w:rsidR="001860A9">
          <w:rPr>
            <w:noProof/>
          </w:rPr>
          <w:t>261</w:t>
        </w:r>
      </w:fldSimple>
      <w:bookmarkEnd w:id="988"/>
      <w:r>
        <w:t xml:space="preserve"> – </w:t>
      </w:r>
      <w:r w:rsidRPr="00B554B5">
        <w:t>Параметр «Субъект» при выборе уровня бюджета субъекта в отчете «Анализ реестра контрактов и их исполнения</w:t>
      </w:r>
      <w:r>
        <w:t xml:space="preserve"> (детализация)</w:t>
      </w:r>
      <w:r w:rsidRPr="00B554B5">
        <w:t>»</w:t>
      </w:r>
      <w:bookmarkEnd w:id="989"/>
      <w:bookmarkEnd w:id="990"/>
      <w:bookmarkEnd w:id="991"/>
    </w:p>
    <w:p w:rsidR="00AA2C82" w:rsidRDefault="00AA2C82" w:rsidP="00AA2C82">
      <w:pPr>
        <w:pStyle w:val="-0"/>
        <w:ind w:firstLine="567"/>
        <w:jc w:val="both"/>
      </w:pPr>
      <w:r>
        <w:t>При выборе муниципального уровня бюджета возможен отбор данных в разрезе муниципальных образований с помощью параметра «МО» (</w:t>
      </w:r>
      <w:r>
        <w:fldChar w:fldCharType="begin"/>
      </w:r>
      <w:r>
        <w:instrText xml:space="preserve"> REF _Ref68171832 \h </w:instrText>
      </w:r>
      <w:r>
        <w:fldChar w:fldCharType="separate"/>
      </w:r>
      <w:r w:rsidR="00BF0BEE">
        <w:t xml:space="preserve">Рисунок </w:t>
      </w:r>
      <w:r w:rsidR="00BF0BEE">
        <w:rPr>
          <w:noProof/>
        </w:rPr>
        <w:t>262</w:t>
      </w:r>
      <w:r>
        <w:fldChar w:fldCharType="end"/>
      </w:r>
      <w:r>
        <w:t>).</w:t>
      </w:r>
      <w:r>
        <w:rPr>
          <w:bCs w:val="0"/>
          <w:noProof/>
          <w:snapToGrid/>
        </w:rPr>
        <w:drawing>
          <wp:inline distT="0" distB="0" distL="0" distR="0" wp14:anchorId="23DEF353" wp14:editId="3B298441">
            <wp:extent cx="6188710" cy="3022093"/>
            <wp:effectExtent l="0" t="0" r="2540" b="6985"/>
            <wp:docPr id="650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1" cstate="print"/>
                    <a:srcRect/>
                    <a:stretch>
                      <a:fillRect/>
                    </a:stretch>
                  </pic:blipFill>
                  <pic:spPr bwMode="auto">
                    <a:xfrm>
                      <a:off x="0" y="0"/>
                      <a:ext cx="6188710" cy="3022093"/>
                    </a:xfrm>
                    <a:prstGeom prst="rect">
                      <a:avLst/>
                    </a:prstGeom>
                  </pic:spPr>
                </pic:pic>
              </a:graphicData>
            </a:graphic>
          </wp:inline>
        </w:drawing>
      </w:r>
    </w:p>
    <w:p w:rsidR="00AA2C82" w:rsidRDefault="00AA2C82" w:rsidP="00AA2C82">
      <w:pPr>
        <w:pStyle w:val="af0"/>
        <w:jc w:val="center"/>
      </w:pPr>
      <w:bookmarkStart w:id="992" w:name="_Ref68171832"/>
      <w:bookmarkStart w:id="993" w:name="_Toc69214581"/>
      <w:bookmarkStart w:id="994" w:name="_Toc69290426"/>
      <w:bookmarkStart w:id="995" w:name="_Toc119584449"/>
      <w:r>
        <w:t xml:space="preserve">Рисунок </w:t>
      </w:r>
      <w:fldSimple w:instr=" SEQ Рисунок \* ARABIC ">
        <w:r w:rsidR="001860A9">
          <w:rPr>
            <w:noProof/>
          </w:rPr>
          <w:t>262</w:t>
        </w:r>
      </w:fldSimple>
      <w:bookmarkEnd w:id="992"/>
      <w:r>
        <w:t xml:space="preserve"> – </w:t>
      </w:r>
      <w:r w:rsidRPr="0025248A">
        <w:t>Параметр «МО» при выборе муниципального уровня бюджета в отчете «Анализ реестра контрактов и их исполнения</w:t>
      </w:r>
      <w:r>
        <w:t xml:space="preserve"> (детализация)</w:t>
      </w:r>
      <w:r w:rsidRPr="0025248A">
        <w:t>»</w:t>
      </w:r>
      <w:bookmarkEnd w:id="993"/>
      <w:bookmarkEnd w:id="994"/>
      <w:bookmarkEnd w:id="995"/>
    </w:p>
    <w:p w:rsidR="00AA2C82" w:rsidRDefault="00AA2C82" w:rsidP="00AA2C82">
      <w:pPr>
        <w:pStyle w:val="-0"/>
        <w:ind w:firstLine="567"/>
        <w:jc w:val="both"/>
      </w:pPr>
      <w:r>
        <w:t>Полное описание структуры отчета, алгоритмов расчета показателей представлено в разделе «Справка».</w:t>
      </w:r>
    </w:p>
    <w:p w:rsidR="00AA2C82" w:rsidRDefault="00AA2C82" w:rsidP="00AA2C82">
      <w:pPr>
        <w:pStyle w:val="42"/>
      </w:pPr>
      <w:bookmarkStart w:id="996" w:name="_Toc69214887"/>
      <w:r w:rsidRPr="00AF16C1">
        <w:t xml:space="preserve">Переходы с </w:t>
      </w:r>
      <w:r>
        <w:t>детализации первого уровня</w:t>
      </w:r>
      <w:r w:rsidRPr="00AF16C1">
        <w:t xml:space="preserve"> «</w:t>
      </w:r>
      <w:r>
        <w:t>Анализ реестра контрактов и их исполнения (детализация)</w:t>
      </w:r>
      <w:r w:rsidRPr="00AF16C1">
        <w:t>» в детализирующ</w:t>
      </w:r>
      <w:r>
        <w:t>ий отчет второго уровня «Информация об исполнении контрактов»</w:t>
      </w:r>
      <w:bookmarkEnd w:id="996"/>
    </w:p>
    <w:p w:rsidR="00AA2C82" w:rsidRDefault="00AA2C82" w:rsidP="00AA2C82">
      <w:pPr>
        <w:pStyle w:val="af0"/>
      </w:pPr>
      <w:r>
        <w:t xml:space="preserve">Из детализирующего отчета «Анализ реестра контрактов и их исполнения (детализация)» реализован переход в детализацию второго уровня «Информация об исполнении контрактов». </w:t>
      </w:r>
      <w:r w:rsidRPr="00AF16C1">
        <w:t xml:space="preserve">Возможность перехода </w:t>
      </w:r>
      <w:r>
        <w:t>реализована посредством ссылок одним из двух способов: через поле «Исполнено» или через поля-элементы КБК («Код главы», «РзПр», «КЦСР», «КВР»). Способы перехода из первого уровня во второй представлены на рисунках</w:t>
      </w:r>
      <w:r w:rsidR="004D641E">
        <w:t xml:space="preserve"> </w:t>
      </w:r>
      <w:r w:rsidR="004D641E">
        <w:fldChar w:fldCharType="begin"/>
      </w:r>
      <w:r w:rsidR="004D641E">
        <w:instrText xml:space="preserve"> REF _Ref70081104 \h </w:instrText>
      </w:r>
      <w:r w:rsidR="004D641E">
        <w:fldChar w:fldCharType="separate"/>
      </w:r>
      <w:r w:rsidR="00BF0BEE">
        <w:rPr>
          <w:noProof/>
        </w:rPr>
        <w:t>263</w:t>
      </w:r>
      <w:r w:rsidR="004D641E">
        <w:fldChar w:fldCharType="end"/>
      </w:r>
      <w:r w:rsidR="004D641E">
        <w:t xml:space="preserve"> </w:t>
      </w:r>
      <w:r>
        <w:t>и</w:t>
      </w:r>
      <w:r w:rsidR="004D641E">
        <w:t xml:space="preserve"> </w:t>
      </w:r>
      <w:r w:rsidR="004D641E">
        <w:fldChar w:fldCharType="begin"/>
      </w:r>
      <w:r w:rsidR="004D641E">
        <w:instrText xml:space="preserve"> REF _Ref70081162 \h </w:instrText>
      </w:r>
      <w:r w:rsidR="004D641E">
        <w:fldChar w:fldCharType="separate"/>
      </w:r>
      <w:r w:rsidR="00BF0BEE">
        <w:rPr>
          <w:noProof/>
        </w:rPr>
        <w:t>264</w:t>
      </w:r>
      <w:r w:rsidR="004D641E">
        <w:fldChar w:fldCharType="end"/>
      </w:r>
      <w:r>
        <w:t>.</w:t>
      </w:r>
    </w:p>
    <w:p w:rsidR="00AA2C82" w:rsidRDefault="00AA2C82" w:rsidP="00AA2C82">
      <w:pPr>
        <w:pStyle w:val="af0"/>
        <w:keepNext/>
        <w:ind w:firstLine="0"/>
      </w:pPr>
      <w:r>
        <w:rPr>
          <w:noProof/>
          <w:snapToGrid/>
        </w:rPr>
        <w:drawing>
          <wp:inline distT="0" distB="0" distL="0" distR="0" wp14:anchorId="42C387EE" wp14:editId="624298E4">
            <wp:extent cx="6188710" cy="3015343"/>
            <wp:effectExtent l="0" t="0" r="2540" b="0"/>
            <wp:docPr id="650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2" cstate="print"/>
                    <a:srcRect/>
                    <a:stretch>
                      <a:fillRect/>
                    </a:stretch>
                  </pic:blipFill>
                  <pic:spPr bwMode="auto">
                    <a:xfrm>
                      <a:off x="0" y="0"/>
                      <a:ext cx="6188710" cy="3015343"/>
                    </a:xfrm>
                    <a:prstGeom prst="rect">
                      <a:avLst/>
                    </a:prstGeom>
                  </pic:spPr>
                </pic:pic>
              </a:graphicData>
            </a:graphic>
          </wp:inline>
        </w:drawing>
      </w:r>
    </w:p>
    <w:p w:rsidR="00AA2C82" w:rsidRDefault="00AA2C82" w:rsidP="00AA2C82">
      <w:pPr>
        <w:pStyle w:val="-0"/>
      </w:pPr>
      <w:bookmarkStart w:id="997" w:name="_Ref68171960"/>
      <w:bookmarkStart w:id="998" w:name="_Toc69214582"/>
      <w:bookmarkStart w:id="999" w:name="_Toc69290427"/>
      <w:bookmarkStart w:id="1000" w:name="_Toc119584450"/>
      <w:r>
        <w:t xml:space="preserve">Рисунок </w:t>
      </w:r>
      <w:fldSimple w:instr=" SEQ Рисунок \* ARABIC ">
        <w:bookmarkStart w:id="1001" w:name="_Ref70081104"/>
        <w:r w:rsidR="001860A9">
          <w:rPr>
            <w:noProof/>
          </w:rPr>
          <w:t>263</w:t>
        </w:r>
        <w:bookmarkEnd w:id="1001"/>
      </w:fldSimple>
      <w:bookmarkEnd w:id="997"/>
      <w:r>
        <w:t xml:space="preserve"> – Ссылочное поле «Исполнено» </w:t>
      </w:r>
      <w:r w:rsidRPr="002941A2">
        <w:t xml:space="preserve">для перехода из </w:t>
      </w:r>
      <w:r>
        <w:t xml:space="preserve">детализации первого уровня </w:t>
      </w:r>
      <w:r w:rsidRPr="002941A2">
        <w:t>«Анализ реестра контрактов и их исполнения</w:t>
      </w:r>
      <w:r>
        <w:t xml:space="preserve"> (детализация)</w:t>
      </w:r>
      <w:r w:rsidRPr="002941A2">
        <w:t xml:space="preserve">» </w:t>
      </w:r>
      <w:r>
        <w:t>детализацию второго уровня «Информация об исполнении контракта»</w:t>
      </w:r>
      <w:bookmarkEnd w:id="998"/>
      <w:bookmarkEnd w:id="999"/>
      <w:bookmarkEnd w:id="1000"/>
    </w:p>
    <w:p w:rsidR="00AA2C82" w:rsidRDefault="00AA2C82" w:rsidP="00AA2C82">
      <w:pPr>
        <w:pStyle w:val="af0"/>
        <w:keepNext/>
        <w:ind w:firstLine="0"/>
      </w:pPr>
      <w:r>
        <w:rPr>
          <w:noProof/>
          <w:snapToGrid/>
        </w:rPr>
        <w:drawing>
          <wp:inline distT="0" distB="0" distL="0" distR="0" wp14:anchorId="2FF03E18" wp14:editId="2E8ADB56">
            <wp:extent cx="6188710" cy="3028573"/>
            <wp:effectExtent l="0" t="0" r="2540" b="635"/>
            <wp:docPr id="6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3" cstate="print"/>
                    <a:srcRect/>
                    <a:stretch>
                      <a:fillRect/>
                    </a:stretch>
                  </pic:blipFill>
                  <pic:spPr bwMode="auto">
                    <a:xfrm>
                      <a:off x="0" y="0"/>
                      <a:ext cx="6188710" cy="3028573"/>
                    </a:xfrm>
                    <a:prstGeom prst="rect">
                      <a:avLst/>
                    </a:prstGeom>
                  </pic:spPr>
                </pic:pic>
              </a:graphicData>
            </a:graphic>
          </wp:inline>
        </w:drawing>
      </w:r>
    </w:p>
    <w:p w:rsidR="00AA2C82" w:rsidRDefault="00AA2C82" w:rsidP="00AA2C82">
      <w:pPr>
        <w:pStyle w:val="-0"/>
      </w:pPr>
      <w:bookmarkStart w:id="1002" w:name="_Ref68171964"/>
      <w:bookmarkStart w:id="1003" w:name="_Toc69214583"/>
      <w:bookmarkStart w:id="1004" w:name="_Toc69290428"/>
      <w:bookmarkStart w:id="1005" w:name="_Toc119584451"/>
      <w:r>
        <w:t xml:space="preserve">Рисунок </w:t>
      </w:r>
      <w:fldSimple w:instr=" SEQ Рисунок \* ARABIC ">
        <w:bookmarkStart w:id="1006" w:name="_Ref70081162"/>
        <w:r w:rsidR="001860A9">
          <w:rPr>
            <w:noProof/>
          </w:rPr>
          <w:t>264</w:t>
        </w:r>
        <w:bookmarkEnd w:id="1006"/>
      </w:fldSimple>
      <w:bookmarkEnd w:id="1002"/>
      <w:r>
        <w:t xml:space="preserve"> </w:t>
      </w:r>
      <w:r w:rsidRPr="002B1045">
        <w:t>– Ссылочн</w:t>
      </w:r>
      <w:r>
        <w:t>ые</w:t>
      </w:r>
      <w:r w:rsidRPr="002B1045">
        <w:t xml:space="preserve"> пол</w:t>
      </w:r>
      <w:r>
        <w:t>я</w:t>
      </w:r>
      <w:r w:rsidRPr="002B1045">
        <w:t xml:space="preserve"> «</w:t>
      </w:r>
      <w:r>
        <w:t>Код ГРБС</w:t>
      </w:r>
      <w:r w:rsidRPr="002B1045">
        <w:t>»</w:t>
      </w:r>
      <w:r>
        <w:t>, «РзПр», «КЦСР», «КВР»</w:t>
      </w:r>
      <w:r w:rsidRPr="002B1045">
        <w:t xml:space="preserve"> для перехода из детализации первого уровня «Анализ реестра контрактов и их исполнения (детализация)» детализацию второго уровня «Информация об исполнении контракта»</w:t>
      </w:r>
      <w:bookmarkEnd w:id="1003"/>
      <w:bookmarkEnd w:id="1004"/>
      <w:bookmarkEnd w:id="1005"/>
    </w:p>
    <w:p w:rsidR="00AA2C82" w:rsidRDefault="00AA2C82" w:rsidP="00AA2C82">
      <w:pPr>
        <w:pStyle w:val="af0"/>
      </w:pPr>
      <w:r>
        <w:t>При переходе из поля «Исполнено» отобразится всплывающее окно с представлением «Информация об исполнении контракта в разрезе этапов» отчета «Информация об исполнении контрактов» (</w:t>
      </w:r>
      <w:r>
        <w:fldChar w:fldCharType="begin"/>
      </w:r>
      <w:r>
        <w:instrText xml:space="preserve"> REF _Ref68172986 \h  \* MERGEFORMAT </w:instrText>
      </w:r>
      <w:r>
        <w:fldChar w:fldCharType="separate"/>
      </w:r>
      <w:r w:rsidR="00BF0BEE">
        <w:t xml:space="preserve">Рисунок </w:t>
      </w:r>
      <w:r w:rsidR="00BF0BEE">
        <w:rPr>
          <w:noProof/>
        </w:rPr>
        <w:t>265</w:t>
      </w:r>
      <w:r>
        <w:fldChar w:fldCharType="end"/>
      </w:r>
      <w:r>
        <w:t>). Представление включает в себя таблицу со сведениями об исполнении контракта в разрезе конкретного этапа. Сумма фактической оплаты подкрепляется наименованием и номером платежного документа.</w:t>
      </w:r>
    </w:p>
    <w:p w:rsidR="00AA2C82" w:rsidRDefault="00AA2C82" w:rsidP="00AA2C82">
      <w:pPr>
        <w:pStyle w:val="af0"/>
        <w:keepNext/>
        <w:ind w:firstLine="0"/>
      </w:pPr>
      <w:r>
        <w:rPr>
          <w:noProof/>
          <w:snapToGrid/>
        </w:rPr>
        <w:drawing>
          <wp:inline distT="0" distB="0" distL="0" distR="0" wp14:anchorId="200D4A0F" wp14:editId="38DEF6CB">
            <wp:extent cx="6188710" cy="3022093"/>
            <wp:effectExtent l="0" t="0" r="2540" b="6985"/>
            <wp:docPr id="650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4" cstate="print"/>
                    <a:srcRect/>
                    <a:stretch>
                      <a:fillRect/>
                    </a:stretch>
                  </pic:blipFill>
                  <pic:spPr bwMode="auto">
                    <a:xfrm>
                      <a:off x="0" y="0"/>
                      <a:ext cx="6188710" cy="3022093"/>
                    </a:xfrm>
                    <a:prstGeom prst="rect">
                      <a:avLst/>
                    </a:prstGeom>
                  </pic:spPr>
                </pic:pic>
              </a:graphicData>
            </a:graphic>
          </wp:inline>
        </w:drawing>
      </w:r>
    </w:p>
    <w:p w:rsidR="00AA2C82" w:rsidRDefault="00AA2C82" w:rsidP="00AA2C82">
      <w:pPr>
        <w:pStyle w:val="-0"/>
      </w:pPr>
      <w:bookmarkStart w:id="1007" w:name="_Ref68172986"/>
      <w:bookmarkStart w:id="1008" w:name="_Toc69214584"/>
      <w:bookmarkStart w:id="1009" w:name="_Toc69290429"/>
      <w:bookmarkStart w:id="1010" w:name="_Toc119584452"/>
      <w:r>
        <w:t xml:space="preserve">Рисунок </w:t>
      </w:r>
      <w:fldSimple w:instr=" SEQ Рисунок \* ARABIC ">
        <w:r w:rsidR="001860A9">
          <w:rPr>
            <w:noProof/>
          </w:rPr>
          <w:t>265</w:t>
        </w:r>
      </w:fldSimple>
      <w:bookmarkEnd w:id="1007"/>
      <w:r>
        <w:t xml:space="preserve"> – Представление «Информация об исполнении контракта в разрезе этапов» отчета «Информация об исполнении контракта»</w:t>
      </w:r>
      <w:bookmarkEnd w:id="1008"/>
      <w:bookmarkEnd w:id="1009"/>
      <w:bookmarkEnd w:id="1010"/>
    </w:p>
    <w:p w:rsidR="00AA2C82" w:rsidRDefault="00AA2C82" w:rsidP="00AA2C82">
      <w:pPr>
        <w:pStyle w:val="af0"/>
      </w:pPr>
      <w:r>
        <w:t>При переходе из полей-элементов КБК отобразится всплывающее окно с представлением «Информация о финансировании контракта в разрезе КБК» отчета «Информация об исполнении контрактов» (</w:t>
      </w:r>
      <w:r>
        <w:fldChar w:fldCharType="begin"/>
      </w:r>
      <w:r>
        <w:instrText xml:space="preserve"> REF _Ref68172998 \h  \* MERGEFORMAT </w:instrText>
      </w:r>
      <w:r>
        <w:fldChar w:fldCharType="separate"/>
      </w:r>
      <w:r w:rsidR="00BF0BEE">
        <w:t xml:space="preserve">Рисунок </w:t>
      </w:r>
      <w:r w:rsidR="00BF0BEE">
        <w:rPr>
          <w:noProof/>
        </w:rPr>
        <w:t>266</w:t>
      </w:r>
      <w:r>
        <w:fldChar w:fldCharType="end"/>
      </w:r>
      <w:r>
        <w:t>). Представление включает в себя таблицу, содержащую информацию о финансировании контракта в разрезе отдельных кодов бюджетной классификации. Состав полей таблицы соответствует столбцам 12-15 детализирующего отчета первого уровня.</w:t>
      </w:r>
    </w:p>
    <w:p w:rsidR="00AA2C82" w:rsidRDefault="00AA2C82" w:rsidP="00AA2C82">
      <w:pPr>
        <w:pStyle w:val="af0"/>
        <w:keepNext/>
        <w:ind w:firstLine="0"/>
      </w:pPr>
      <w:r>
        <w:rPr>
          <w:noProof/>
          <w:snapToGrid/>
        </w:rPr>
        <w:drawing>
          <wp:inline distT="0" distB="0" distL="0" distR="0" wp14:anchorId="5CAE9F50" wp14:editId="3222AA89">
            <wp:extent cx="6188710" cy="3027255"/>
            <wp:effectExtent l="0" t="0" r="2540" b="1905"/>
            <wp:docPr id="65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5" cstate="print"/>
                    <a:srcRect/>
                    <a:stretch>
                      <a:fillRect/>
                    </a:stretch>
                  </pic:blipFill>
                  <pic:spPr bwMode="auto">
                    <a:xfrm>
                      <a:off x="0" y="0"/>
                      <a:ext cx="6188710" cy="3027255"/>
                    </a:xfrm>
                    <a:prstGeom prst="rect">
                      <a:avLst/>
                    </a:prstGeom>
                  </pic:spPr>
                </pic:pic>
              </a:graphicData>
            </a:graphic>
          </wp:inline>
        </w:drawing>
      </w:r>
    </w:p>
    <w:p w:rsidR="00AA2C82" w:rsidRDefault="00AA2C82" w:rsidP="00AA2C82">
      <w:pPr>
        <w:pStyle w:val="-0"/>
      </w:pPr>
      <w:bookmarkStart w:id="1011" w:name="_Ref68172998"/>
      <w:bookmarkStart w:id="1012" w:name="_Toc69214585"/>
      <w:bookmarkStart w:id="1013" w:name="_Toc69290430"/>
      <w:bookmarkStart w:id="1014" w:name="_Toc119584453"/>
      <w:r>
        <w:t xml:space="preserve">Рисунок </w:t>
      </w:r>
      <w:fldSimple w:instr=" SEQ Рисунок \* ARABIC ">
        <w:r w:rsidR="001860A9">
          <w:rPr>
            <w:noProof/>
          </w:rPr>
          <w:t>266</w:t>
        </w:r>
      </w:fldSimple>
      <w:bookmarkEnd w:id="1011"/>
      <w:r>
        <w:t xml:space="preserve"> – </w:t>
      </w:r>
      <w:r w:rsidRPr="00AB5790">
        <w:t>Представление «Информация об исполнении контракта в разрезе этапов» отчета «Информация об исполнении контракта»</w:t>
      </w:r>
      <w:bookmarkEnd w:id="1012"/>
      <w:bookmarkEnd w:id="1013"/>
      <w:bookmarkEnd w:id="1014"/>
    </w:p>
    <w:p w:rsidR="00AA2C82" w:rsidRDefault="00AA2C82" w:rsidP="00AA2C82">
      <w:pPr>
        <w:pStyle w:val="af0"/>
      </w:pPr>
      <w:r>
        <w:t>ВАЖНО! В отчете «Анализ реестра контрактов и их исполнения (детализация)» одна запись таблицы соответствует одному контракту. Если в рамках одного контракта рассматривается несколько видов расходов (с разными КБК), то элементы кода перечисляются в соответствующем поле через запятую (</w:t>
      </w:r>
      <w:r>
        <w:fldChar w:fldCharType="begin"/>
      </w:r>
      <w:r>
        <w:instrText xml:space="preserve"> REF _Ref68173005 \h </w:instrText>
      </w:r>
      <w:r>
        <w:fldChar w:fldCharType="separate"/>
      </w:r>
      <w:r w:rsidR="00BF0BEE">
        <w:t xml:space="preserve">Рисунок </w:t>
      </w:r>
      <w:r w:rsidR="00BF0BEE">
        <w:rPr>
          <w:noProof/>
        </w:rPr>
        <w:t>267</w:t>
      </w:r>
      <w:r>
        <w:fldChar w:fldCharType="end"/>
      </w:r>
      <w:r>
        <w:t xml:space="preserve">). При переходе в представление «Информация о финансировании контракта в разрезе КБК» расходы будут перечислены уже отдельными записями, что можно наблюдать на рисунке </w:t>
      </w:r>
      <w:r>
        <w:fldChar w:fldCharType="begin"/>
      </w:r>
      <w:r>
        <w:instrText xml:space="preserve"> REF _Ref68173015 \h </w:instrText>
      </w:r>
      <w:r>
        <w:fldChar w:fldCharType="separate"/>
      </w:r>
      <w:r w:rsidR="00BF0BEE">
        <w:t xml:space="preserve">Рисунок </w:t>
      </w:r>
      <w:r w:rsidR="00BF0BEE">
        <w:rPr>
          <w:noProof/>
        </w:rPr>
        <w:t>268</w:t>
      </w:r>
      <w:r>
        <w:fldChar w:fldCharType="end"/>
      </w:r>
      <w:r>
        <w:t>.</w:t>
      </w:r>
    </w:p>
    <w:p w:rsidR="00AA2C82" w:rsidRDefault="00AA2C82" w:rsidP="00AA2C82">
      <w:pPr>
        <w:pStyle w:val="af0"/>
        <w:keepNext/>
        <w:ind w:firstLine="0"/>
      </w:pPr>
      <w:r>
        <w:rPr>
          <w:noProof/>
          <w:snapToGrid/>
        </w:rPr>
        <w:drawing>
          <wp:inline distT="0" distB="0" distL="0" distR="0" wp14:anchorId="76F527E0" wp14:editId="3607C1F9">
            <wp:extent cx="6188710" cy="3024616"/>
            <wp:effectExtent l="0" t="0" r="2540" b="4445"/>
            <wp:docPr id="65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6" cstate="print"/>
                    <a:srcRect/>
                    <a:stretch>
                      <a:fillRect/>
                    </a:stretch>
                  </pic:blipFill>
                  <pic:spPr bwMode="auto">
                    <a:xfrm>
                      <a:off x="0" y="0"/>
                      <a:ext cx="6188710" cy="3024616"/>
                    </a:xfrm>
                    <a:prstGeom prst="rect">
                      <a:avLst/>
                    </a:prstGeom>
                  </pic:spPr>
                </pic:pic>
              </a:graphicData>
            </a:graphic>
          </wp:inline>
        </w:drawing>
      </w:r>
    </w:p>
    <w:p w:rsidR="00AA2C82" w:rsidRDefault="00AA2C82" w:rsidP="00AA2C82">
      <w:pPr>
        <w:pStyle w:val="-0"/>
      </w:pPr>
      <w:bookmarkStart w:id="1015" w:name="_Ref68173005"/>
      <w:bookmarkStart w:id="1016" w:name="_Toc69214586"/>
      <w:bookmarkStart w:id="1017" w:name="_Toc69290431"/>
      <w:bookmarkStart w:id="1018" w:name="_Toc119584454"/>
      <w:r>
        <w:t xml:space="preserve">Рисунок </w:t>
      </w:r>
      <w:fldSimple w:instr=" SEQ Рисунок \* ARABIC ">
        <w:r w:rsidR="001860A9">
          <w:rPr>
            <w:noProof/>
          </w:rPr>
          <w:t>267</w:t>
        </w:r>
      </w:fldSimple>
      <w:bookmarkEnd w:id="1015"/>
      <w:r>
        <w:t xml:space="preserve"> – Формат отображения расходов с разными КБК в отчете «Анализ реестра контрактов и их исполнения (детализация)»</w:t>
      </w:r>
      <w:bookmarkEnd w:id="1016"/>
      <w:bookmarkEnd w:id="1017"/>
      <w:bookmarkEnd w:id="1018"/>
    </w:p>
    <w:p w:rsidR="00AA2C82" w:rsidRDefault="00AA2C82" w:rsidP="00AA2C82">
      <w:pPr>
        <w:pStyle w:val="af0"/>
        <w:keepNext/>
        <w:ind w:firstLine="0"/>
      </w:pPr>
      <w:r>
        <w:rPr>
          <w:noProof/>
          <w:snapToGrid/>
        </w:rPr>
        <w:drawing>
          <wp:inline distT="0" distB="0" distL="0" distR="0" wp14:anchorId="62A94233" wp14:editId="125D8914">
            <wp:extent cx="6188710" cy="3025993"/>
            <wp:effectExtent l="0" t="0" r="2540" b="3175"/>
            <wp:docPr id="651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7" cstate="print"/>
                    <a:srcRect/>
                    <a:stretch>
                      <a:fillRect/>
                    </a:stretch>
                  </pic:blipFill>
                  <pic:spPr bwMode="auto">
                    <a:xfrm>
                      <a:off x="0" y="0"/>
                      <a:ext cx="6188710" cy="3025993"/>
                    </a:xfrm>
                    <a:prstGeom prst="rect">
                      <a:avLst/>
                    </a:prstGeom>
                  </pic:spPr>
                </pic:pic>
              </a:graphicData>
            </a:graphic>
          </wp:inline>
        </w:drawing>
      </w:r>
    </w:p>
    <w:p w:rsidR="00AA2C82" w:rsidRPr="00C917C3" w:rsidRDefault="00AA2C82" w:rsidP="00AA2C82">
      <w:pPr>
        <w:pStyle w:val="-0"/>
      </w:pPr>
      <w:bookmarkStart w:id="1019" w:name="_Ref68173015"/>
      <w:bookmarkStart w:id="1020" w:name="_Toc69214587"/>
      <w:bookmarkStart w:id="1021" w:name="_Toc69290432"/>
      <w:bookmarkStart w:id="1022" w:name="_Toc119584455"/>
      <w:r>
        <w:t xml:space="preserve">Рисунок </w:t>
      </w:r>
      <w:fldSimple w:instr=" SEQ Рисунок \* ARABIC ">
        <w:r w:rsidR="001860A9">
          <w:rPr>
            <w:noProof/>
          </w:rPr>
          <w:t>268</w:t>
        </w:r>
      </w:fldSimple>
      <w:bookmarkEnd w:id="1019"/>
      <w:r>
        <w:t xml:space="preserve"> – </w:t>
      </w:r>
      <w:r w:rsidRPr="00D4003A">
        <w:t xml:space="preserve">Формат отображения расходов с разными КБК в </w:t>
      </w:r>
      <w:r>
        <w:t>представлении «Информация о финансировании контракта в разрезе КБК» отчета «Информация об исполнении контрактов»</w:t>
      </w:r>
      <w:bookmarkEnd w:id="1020"/>
      <w:bookmarkEnd w:id="1021"/>
      <w:bookmarkEnd w:id="1022"/>
    </w:p>
    <w:p w:rsidR="00AA2C82" w:rsidRPr="00AF16C1" w:rsidRDefault="00AA2C82" w:rsidP="00986C62">
      <w:pPr>
        <w:pStyle w:val="35"/>
      </w:pPr>
      <w:bookmarkStart w:id="1023" w:name="_Toc69290137"/>
      <w:bookmarkStart w:id="1024" w:name="_Toc69214892"/>
      <w:bookmarkStart w:id="1025" w:name="_Toc69214888"/>
      <w:bookmarkStart w:id="1026" w:name="_Toc119585101"/>
      <w:r>
        <w:t>Отчет «Планирование в сфере закупок»</w:t>
      </w:r>
      <w:bookmarkEnd w:id="1023"/>
      <w:r w:rsidR="00986C62">
        <w:t xml:space="preserve"> (</w:t>
      </w:r>
      <w:r w:rsidR="00986C62" w:rsidRPr="00986C62">
        <w:t>FEDOOS_CONTRREG_002_001_report</w:t>
      </w:r>
      <w:r w:rsidR="00986C62">
        <w:t>)</w:t>
      </w:r>
      <w:bookmarkEnd w:id="1026"/>
    </w:p>
    <w:p w:rsidR="00AA2C82" w:rsidRDefault="00AA2C82" w:rsidP="00AA2C82">
      <w:pPr>
        <w:pStyle w:val="af0"/>
      </w:pPr>
      <w:r>
        <w:t>Аналитический отчет «Планирование в сфере закупок» отражает сводные данные по сформированным за определенный период времени (как правило, год) планам-графикам закупок.</w:t>
      </w:r>
    </w:p>
    <w:p w:rsidR="00AA2C82" w:rsidRDefault="00AA2C82" w:rsidP="00AA2C82">
      <w:pPr>
        <w:pStyle w:val="af0"/>
      </w:pPr>
      <w:r>
        <w:t>Отчет включает в себя основное представление, содержащее информацию о суммах планов-графиков закупок как в совокупности, так и в разбивке на три отчетных года. Все отчетные данные сгруппированы по следующим типам организационно-правовой формы предприятий:</w:t>
      </w:r>
    </w:p>
    <w:p w:rsidR="00AA2C82" w:rsidRPr="005064D5" w:rsidRDefault="00AA2C82" w:rsidP="00DE1661">
      <w:pPr>
        <w:pStyle w:val="13"/>
      </w:pPr>
      <w:r w:rsidRPr="005064D5">
        <w:t>Автономное учреждение;</w:t>
      </w:r>
    </w:p>
    <w:p w:rsidR="00AA2C82" w:rsidRPr="005064D5" w:rsidRDefault="00AA2C82" w:rsidP="00DE1661">
      <w:pPr>
        <w:pStyle w:val="13"/>
      </w:pPr>
      <w:r w:rsidRPr="005064D5">
        <w:t>Бюджетное учреждение;</w:t>
      </w:r>
    </w:p>
    <w:p w:rsidR="00AA2C82" w:rsidRPr="005064D5" w:rsidRDefault="00AA2C82" w:rsidP="00DE1661">
      <w:pPr>
        <w:pStyle w:val="13"/>
      </w:pPr>
      <w:r w:rsidRPr="005064D5">
        <w:t>Казенное учреждение;</w:t>
      </w:r>
    </w:p>
    <w:p w:rsidR="00AA2C82" w:rsidRPr="005064D5" w:rsidRDefault="00AA2C82" w:rsidP="00DE1661">
      <w:pPr>
        <w:pStyle w:val="13"/>
      </w:pPr>
      <w:r w:rsidRPr="005064D5">
        <w:t>Орган государственной власти;</w:t>
      </w:r>
    </w:p>
    <w:p w:rsidR="00AA2C82" w:rsidRDefault="00AA2C82" w:rsidP="00DE1661">
      <w:pPr>
        <w:pStyle w:val="13"/>
      </w:pPr>
      <w:r w:rsidRPr="005064D5">
        <w:t>Унитарное предприятие.</w:t>
      </w:r>
    </w:p>
    <w:p w:rsidR="00AA2C82" w:rsidRDefault="00AA2C82" w:rsidP="00AA2C82">
      <w:pPr>
        <w:pStyle w:val="af0"/>
      </w:pPr>
      <w:r>
        <w:t>Основной отчет «Планирование в сфере закупок» представлен на рисунке</w:t>
      </w:r>
      <w:r w:rsidR="000D2625">
        <w:t xml:space="preserve"> </w:t>
      </w:r>
      <w:r w:rsidR="000D2625">
        <w:fldChar w:fldCharType="begin"/>
      </w:r>
      <w:r w:rsidR="000D2625">
        <w:instrText xml:space="preserve"> REF _Ref70081237 \h </w:instrText>
      </w:r>
      <w:r w:rsidR="000D2625">
        <w:fldChar w:fldCharType="separate"/>
      </w:r>
      <w:r w:rsidR="00BF0BEE">
        <w:rPr>
          <w:noProof/>
        </w:rPr>
        <w:t>269</w:t>
      </w:r>
      <w:r w:rsidR="000D2625">
        <w:fldChar w:fldCharType="end"/>
      </w:r>
      <w:r>
        <w:t>.</w:t>
      </w:r>
    </w:p>
    <w:p w:rsidR="00AA2C82" w:rsidRDefault="00AA2C82" w:rsidP="00AA2C82">
      <w:pPr>
        <w:pStyle w:val="af0"/>
        <w:keepNext/>
        <w:ind w:firstLine="0"/>
      </w:pPr>
      <w:r>
        <w:rPr>
          <w:noProof/>
          <w:snapToGrid/>
        </w:rPr>
        <w:drawing>
          <wp:inline distT="0" distB="0" distL="0" distR="0" wp14:anchorId="296082FB" wp14:editId="768DB24B">
            <wp:extent cx="6188710" cy="3024616"/>
            <wp:effectExtent l="0" t="0" r="2540" b="4445"/>
            <wp:docPr id="6513" name="Рисунок 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8" cstate="print"/>
                    <a:srcRect/>
                    <a:stretch>
                      <a:fillRect/>
                    </a:stretch>
                  </pic:blipFill>
                  <pic:spPr bwMode="auto">
                    <a:xfrm>
                      <a:off x="0" y="0"/>
                      <a:ext cx="6188710" cy="3024616"/>
                    </a:xfrm>
                    <a:prstGeom prst="rect">
                      <a:avLst/>
                    </a:prstGeom>
                  </pic:spPr>
                </pic:pic>
              </a:graphicData>
            </a:graphic>
          </wp:inline>
        </w:drawing>
      </w:r>
    </w:p>
    <w:p w:rsidR="00AA2C82" w:rsidRDefault="00AA2C82" w:rsidP="00AA2C82">
      <w:pPr>
        <w:pStyle w:val="-0"/>
      </w:pPr>
      <w:bookmarkStart w:id="1027" w:name="_Ref68173075"/>
      <w:bookmarkStart w:id="1028" w:name="_Toc69214588"/>
      <w:bookmarkStart w:id="1029" w:name="_Toc69290433"/>
      <w:bookmarkStart w:id="1030" w:name="_Toc119584456"/>
      <w:r>
        <w:t xml:space="preserve">Рисунок </w:t>
      </w:r>
      <w:fldSimple w:instr=" SEQ Рисунок \* ARABIC ">
        <w:bookmarkStart w:id="1031" w:name="_Ref70081237"/>
        <w:r w:rsidR="001860A9">
          <w:rPr>
            <w:noProof/>
          </w:rPr>
          <w:t>269</w:t>
        </w:r>
        <w:bookmarkEnd w:id="1031"/>
      </w:fldSimple>
      <w:bookmarkEnd w:id="1027"/>
      <w:r>
        <w:t xml:space="preserve"> – Основное представление отчета «Планирование в сфере закупок»</w:t>
      </w:r>
      <w:bookmarkEnd w:id="1028"/>
      <w:bookmarkEnd w:id="1029"/>
      <w:bookmarkEnd w:id="1030"/>
    </w:p>
    <w:p w:rsidR="00AA2C82" w:rsidRDefault="00AA2C82" w:rsidP="00AA2C82">
      <w:pPr>
        <w:pStyle w:val="af0"/>
      </w:pPr>
      <w:r>
        <w:t>ВАЖНО! Аналогично основному отчету «Анализ реестра контрактов и их исполнения» и его детализирующим представлениям набор параметров отчета «Планирование в сфере закупок» меняется в зависимости от установленного в переключателе уровня бюджета.</w:t>
      </w:r>
    </w:p>
    <w:p w:rsidR="00AA2C82" w:rsidRDefault="00AA2C82" w:rsidP="00AA2C82">
      <w:pPr>
        <w:pStyle w:val="-0"/>
        <w:ind w:firstLine="567"/>
        <w:jc w:val="both"/>
      </w:pPr>
      <w:r>
        <w:t>По умолчанию задан федеральный уровень бюджета, в рамках которого предусмотрена возможность отбора данных с помощью парных параметров «Глава» и «Подведомственные учреждения» соответственно (</w:t>
      </w:r>
      <w:r>
        <w:fldChar w:fldCharType="begin"/>
      </w:r>
      <w:r>
        <w:instrText xml:space="preserve"> REF _Ref68173264 \h </w:instrText>
      </w:r>
      <w:r>
        <w:fldChar w:fldCharType="separate"/>
      </w:r>
      <w:r w:rsidR="00BF0BEE">
        <w:t xml:space="preserve">Рисунок </w:t>
      </w:r>
      <w:r w:rsidR="00BF0BEE">
        <w:rPr>
          <w:noProof/>
        </w:rPr>
        <w:t>270</w:t>
      </w:r>
      <w:r>
        <w:fldChar w:fldCharType="end"/>
      </w:r>
      <w:r>
        <w:t>).</w:t>
      </w:r>
    </w:p>
    <w:p w:rsidR="00AA2C82" w:rsidRDefault="00AA2C82" w:rsidP="00AA2C82">
      <w:pPr>
        <w:pStyle w:val="af0"/>
        <w:keepNext/>
        <w:ind w:firstLine="0"/>
        <w:jc w:val="center"/>
      </w:pPr>
      <w:r>
        <w:rPr>
          <w:noProof/>
          <w:snapToGrid/>
        </w:rPr>
        <w:drawing>
          <wp:inline distT="0" distB="0" distL="0" distR="0" wp14:anchorId="34FDE2A7" wp14:editId="0AED00CE">
            <wp:extent cx="6188710" cy="3018254"/>
            <wp:effectExtent l="0" t="0" r="2540" b="0"/>
            <wp:docPr id="6514" name="Рисунок 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49" cstate="print"/>
                    <a:srcRect/>
                    <a:stretch>
                      <a:fillRect/>
                    </a:stretch>
                  </pic:blipFill>
                  <pic:spPr bwMode="auto">
                    <a:xfrm>
                      <a:off x="0" y="0"/>
                      <a:ext cx="6188710" cy="3018254"/>
                    </a:xfrm>
                    <a:prstGeom prst="rect">
                      <a:avLst/>
                    </a:prstGeom>
                  </pic:spPr>
                </pic:pic>
              </a:graphicData>
            </a:graphic>
          </wp:inline>
        </w:drawing>
      </w:r>
    </w:p>
    <w:p w:rsidR="00AA2C82" w:rsidRDefault="00AA2C82" w:rsidP="00AA2C82">
      <w:pPr>
        <w:pStyle w:val="-0"/>
      </w:pPr>
      <w:bookmarkStart w:id="1032" w:name="_Ref68173264"/>
      <w:bookmarkStart w:id="1033" w:name="_Toc69214589"/>
      <w:bookmarkStart w:id="1034" w:name="_Toc69290434"/>
      <w:bookmarkStart w:id="1035" w:name="_Toc119584457"/>
      <w:r>
        <w:t xml:space="preserve">Рисунок </w:t>
      </w:r>
      <w:fldSimple w:instr=" SEQ Рисунок \* ARABIC ">
        <w:r w:rsidR="001860A9">
          <w:rPr>
            <w:noProof/>
          </w:rPr>
          <w:t>270</w:t>
        </w:r>
      </w:fldSimple>
      <w:bookmarkEnd w:id="1032"/>
      <w:r>
        <w:t xml:space="preserve"> – </w:t>
      </w:r>
      <w:r w:rsidRPr="002755A3">
        <w:t>Парные параметры «Глава» и «Подведомственные учреждения» при выборе федерального уровня бюджета</w:t>
      </w:r>
      <w:bookmarkEnd w:id="1033"/>
      <w:bookmarkEnd w:id="1034"/>
      <w:bookmarkEnd w:id="1035"/>
    </w:p>
    <w:p w:rsidR="00AA2C82" w:rsidRDefault="00AA2C82" w:rsidP="00AA2C82">
      <w:pPr>
        <w:pStyle w:val="-0"/>
        <w:ind w:firstLine="567"/>
        <w:jc w:val="both"/>
      </w:pPr>
      <w:r>
        <w:t>При выборе уровня бюджета субъекта информация, формируемая в таблицах, отображается в разрезе субъектов РФ. Отбор данных предусмотрен за счет параметра «Субъект РФ», при этом фильтры по главам и подведомственным учреждениям отсутствуют (</w:t>
      </w:r>
      <w:r>
        <w:fldChar w:fldCharType="begin"/>
      </w:r>
      <w:r>
        <w:instrText xml:space="preserve"> REF _Ref68173273 \h </w:instrText>
      </w:r>
      <w:r>
        <w:fldChar w:fldCharType="separate"/>
      </w:r>
      <w:r w:rsidR="00BF0BEE">
        <w:t xml:space="preserve">Рисунок </w:t>
      </w:r>
      <w:r w:rsidR="00BF0BEE">
        <w:rPr>
          <w:noProof/>
        </w:rPr>
        <w:t>271</w:t>
      </w:r>
      <w:r>
        <w:fldChar w:fldCharType="end"/>
      </w:r>
      <w:r>
        <w:t>).</w:t>
      </w:r>
    </w:p>
    <w:p w:rsidR="00AA2C82" w:rsidRDefault="00AA2C82" w:rsidP="00AA2C82">
      <w:pPr>
        <w:pStyle w:val="af0"/>
        <w:keepNext/>
        <w:ind w:firstLine="0"/>
        <w:jc w:val="center"/>
      </w:pPr>
      <w:r>
        <w:rPr>
          <w:noProof/>
          <w:snapToGrid/>
        </w:rPr>
        <w:drawing>
          <wp:inline distT="0" distB="0" distL="0" distR="0" wp14:anchorId="41449409" wp14:editId="7EEFF5C2">
            <wp:extent cx="6188710" cy="3019512"/>
            <wp:effectExtent l="0" t="0" r="2540" b="9525"/>
            <wp:docPr id="6515" name="Рисунок 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50" cstate="print"/>
                    <a:srcRect/>
                    <a:stretch>
                      <a:fillRect/>
                    </a:stretch>
                  </pic:blipFill>
                  <pic:spPr bwMode="auto">
                    <a:xfrm>
                      <a:off x="0" y="0"/>
                      <a:ext cx="6188710" cy="3019512"/>
                    </a:xfrm>
                    <a:prstGeom prst="rect">
                      <a:avLst/>
                    </a:prstGeom>
                  </pic:spPr>
                </pic:pic>
              </a:graphicData>
            </a:graphic>
          </wp:inline>
        </w:drawing>
      </w:r>
    </w:p>
    <w:p w:rsidR="00AA2C82" w:rsidRDefault="00AA2C82" w:rsidP="00AA2C82">
      <w:pPr>
        <w:pStyle w:val="-0"/>
      </w:pPr>
      <w:bookmarkStart w:id="1036" w:name="_Ref68173273"/>
      <w:bookmarkStart w:id="1037" w:name="_Toc69214590"/>
      <w:bookmarkStart w:id="1038" w:name="_Toc69290435"/>
      <w:bookmarkStart w:id="1039" w:name="_Toc119584458"/>
      <w:r>
        <w:t xml:space="preserve">Рисунок </w:t>
      </w:r>
      <w:fldSimple w:instr=" SEQ Рисунок \* ARABIC ">
        <w:r w:rsidR="001860A9">
          <w:rPr>
            <w:noProof/>
          </w:rPr>
          <w:t>271</w:t>
        </w:r>
      </w:fldSimple>
      <w:bookmarkEnd w:id="1036"/>
      <w:r>
        <w:t xml:space="preserve"> – </w:t>
      </w:r>
      <w:r w:rsidRPr="002E61F8">
        <w:t>Параметр «Субъект» при выборе уровня бюджета субъекта</w:t>
      </w:r>
      <w:bookmarkEnd w:id="1037"/>
      <w:bookmarkEnd w:id="1038"/>
      <w:bookmarkEnd w:id="1039"/>
    </w:p>
    <w:p w:rsidR="00AA2C82" w:rsidRPr="00EE2195" w:rsidRDefault="00AA2C82" w:rsidP="00AA2C82">
      <w:pPr>
        <w:pStyle w:val="-0"/>
        <w:ind w:firstLine="567"/>
        <w:jc w:val="both"/>
      </w:pPr>
      <w:r>
        <w:t>Выбор муниципального уровня бюджета предполагает отображение табличных данных в разрезе муниципальных образований, выбираемых в параметре «МО». При этом параметры выбора главы, его подведомственных учреждений, а также субъектов РФ отсутствуют (</w:t>
      </w:r>
      <w:r>
        <w:fldChar w:fldCharType="begin"/>
      </w:r>
      <w:r>
        <w:instrText xml:space="preserve"> REF _Ref68173279 \h </w:instrText>
      </w:r>
      <w:r>
        <w:fldChar w:fldCharType="separate"/>
      </w:r>
      <w:r w:rsidR="00BF0BEE">
        <w:t xml:space="preserve">Рисунок </w:t>
      </w:r>
      <w:r w:rsidR="00BF0BEE">
        <w:rPr>
          <w:noProof/>
        </w:rPr>
        <w:t>272</w:t>
      </w:r>
      <w:r>
        <w:fldChar w:fldCharType="end"/>
      </w:r>
      <w:r>
        <w:t>).</w:t>
      </w:r>
    </w:p>
    <w:p w:rsidR="00AA2C82" w:rsidRDefault="00AA2C82" w:rsidP="00AA2C82">
      <w:pPr>
        <w:keepNext/>
      </w:pPr>
      <w:r>
        <w:rPr>
          <w:noProof/>
          <w:snapToGrid/>
        </w:rPr>
        <w:drawing>
          <wp:inline distT="0" distB="0" distL="0" distR="0" wp14:anchorId="56B4012C" wp14:editId="529DCBD3">
            <wp:extent cx="6188710" cy="3027255"/>
            <wp:effectExtent l="0" t="0" r="2540" b="1905"/>
            <wp:docPr id="6516" name="Рисунок 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1" cstate="print"/>
                    <a:srcRect/>
                    <a:stretch>
                      <a:fillRect/>
                    </a:stretch>
                  </pic:blipFill>
                  <pic:spPr bwMode="auto">
                    <a:xfrm>
                      <a:off x="0" y="0"/>
                      <a:ext cx="6188710" cy="3027255"/>
                    </a:xfrm>
                    <a:prstGeom prst="rect">
                      <a:avLst/>
                    </a:prstGeom>
                  </pic:spPr>
                </pic:pic>
              </a:graphicData>
            </a:graphic>
          </wp:inline>
        </w:drawing>
      </w:r>
    </w:p>
    <w:p w:rsidR="00AA2C82" w:rsidRDefault="00AA2C82" w:rsidP="00AA2C82">
      <w:pPr>
        <w:pStyle w:val="-0"/>
      </w:pPr>
      <w:bookmarkStart w:id="1040" w:name="_Ref68173279"/>
      <w:bookmarkStart w:id="1041" w:name="_Toc69214591"/>
      <w:bookmarkStart w:id="1042" w:name="_Toc69290436"/>
      <w:bookmarkStart w:id="1043" w:name="_Toc119584459"/>
      <w:r>
        <w:t xml:space="preserve">Рисунок </w:t>
      </w:r>
      <w:fldSimple w:instr=" SEQ Рисунок \* ARABIC ">
        <w:r w:rsidR="001860A9">
          <w:rPr>
            <w:noProof/>
          </w:rPr>
          <w:t>272</w:t>
        </w:r>
      </w:fldSimple>
      <w:bookmarkEnd w:id="1040"/>
      <w:r>
        <w:t xml:space="preserve"> – </w:t>
      </w:r>
      <w:r w:rsidRPr="009C34B6">
        <w:t>Параметр «МО» при выборе муниципального уровня бюджета</w:t>
      </w:r>
      <w:bookmarkEnd w:id="1041"/>
      <w:bookmarkEnd w:id="1042"/>
      <w:bookmarkEnd w:id="1043"/>
    </w:p>
    <w:p w:rsidR="00AA2C82" w:rsidRPr="00AF16C1" w:rsidRDefault="00AA2C82" w:rsidP="00AA2C82">
      <w:pPr>
        <w:pStyle w:val="-0"/>
        <w:ind w:firstLine="567"/>
        <w:jc w:val="both"/>
      </w:pPr>
      <w:r>
        <w:t>Подробное описание табличных столбцов, включающее также алгоритмы расчетов для соответствующих показателей и источники данных, приведено в разделе «Справка».</w:t>
      </w:r>
    </w:p>
    <w:p w:rsidR="00AA2C82" w:rsidRDefault="00AA2C82" w:rsidP="00AA2C82">
      <w:pPr>
        <w:pStyle w:val="42"/>
      </w:pPr>
      <w:bookmarkStart w:id="1044" w:name="_Toc69214889"/>
      <w:r w:rsidRPr="00AF16C1">
        <w:t xml:space="preserve">Переходы с </w:t>
      </w:r>
      <w:r>
        <w:t>основного представления</w:t>
      </w:r>
      <w:r w:rsidRPr="00AF16C1">
        <w:t xml:space="preserve"> в детализирующ</w:t>
      </w:r>
      <w:r>
        <w:t>ий отчет первого уровня</w:t>
      </w:r>
      <w:bookmarkEnd w:id="1044"/>
    </w:p>
    <w:p w:rsidR="00AA2C82" w:rsidRDefault="00AA2C82" w:rsidP="00AA2C82">
      <w:pPr>
        <w:pStyle w:val="af0"/>
      </w:pPr>
      <w:r>
        <w:t>Из</w:t>
      </w:r>
      <w:r w:rsidRPr="00AF16C1">
        <w:t xml:space="preserve"> </w:t>
      </w:r>
      <w:r>
        <w:t xml:space="preserve">основного отчета также </w:t>
      </w:r>
      <w:r w:rsidRPr="00AF16C1">
        <w:t>реализован переход</w:t>
      </w:r>
      <w:r>
        <w:t xml:space="preserve"> в отчет-детализацию первого уровня </w:t>
      </w:r>
      <w:r w:rsidRPr="00AF16C1">
        <w:t>«</w:t>
      </w:r>
      <w:r>
        <w:t>Планирование в сфере закупок (детализация)</w:t>
      </w:r>
      <w:r w:rsidRPr="00AF16C1">
        <w:t>»</w:t>
      </w:r>
      <w:r>
        <w:t xml:space="preserve">. </w:t>
      </w:r>
      <w:r w:rsidRPr="00AF16C1">
        <w:t>Возможность перехода в детализирующ</w:t>
      </w:r>
      <w:r>
        <w:t xml:space="preserve">ий отчет </w:t>
      </w:r>
      <w:r w:rsidRPr="00AF16C1">
        <w:t>обозначена синим треугольником в правом верхнем углу от выбранн</w:t>
      </w:r>
      <w:r>
        <w:t>ого для перехода типа организационно-правовой формы предприятия-заказчика</w:t>
      </w:r>
      <w:r w:rsidRPr="00AF16C1">
        <w:t>.</w:t>
      </w:r>
    </w:p>
    <w:p w:rsidR="00AA2C82" w:rsidRDefault="00AA2C82" w:rsidP="00AA2C82">
      <w:pPr>
        <w:pStyle w:val="af0"/>
      </w:pPr>
      <w:r w:rsidRPr="00AF16C1">
        <w:t xml:space="preserve">При нажатии </w:t>
      </w:r>
      <w:r>
        <w:t xml:space="preserve">левой кнопкой мыши </w:t>
      </w:r>
      <w:r w:rsidRPr="00AF16C1">
        <w:t xml:space="preserve">на значение </w:t>
      </w:r>
      <w:r>
        <w:t xml:space="preserve">типа организационно-правовой формы </w:t>
      </w:r>
      <w:r w:rsidRPr="00AF16C1">
        <w:t xml:space="preserve">по выбранной </w:t>
      </w:r>
      <w:r>
        <w:t xml:space="preserve">строке </w:t>
      </w:r>
      <w:r w:rsidRPr="00AF16C1">
        <w:t>появляется всплывающее окно</w:t>
      </w:r>
      <w:r>
        <w:t xml:space="preserve"> (</w:t>
      </w:r>
      <w:r>
        <w:fldChar w:fldCharType="begin"/>
      </w:r>
      <w:r>
        <w:instrText xml:space="preserve"> REF _Ref68173294 \h </w:instrText>
      </w:r>
      <w:r>
        <w:fldChar w:fldCharType="separate"/>
      </w:r>
      <w:r w:rsidR="00BF0BEE">
        <w:t xml:space="preserve">Рисунок </w:t>
      </w:r>
      <w:r w:rsidR="00BF0BEE">
        <w:rPr>
          <w:noProof/>
        </w:rPr>
        <w:t>273</w:t>
      </w:r>
      <w:r>
        <w:fldChar w:fldCharType="end"/>
      </w:r>
      <w:r>
        <w:t>)</w:t>
      </w:r>
      <w:r w:rsidRPr="00AF16C1">
        <w:t>.</w:t>
      </w:r>
    </w:p>
    <w:p w:rsidR="00AA2C82" w:rsidRDefault="00AA2C82" w:rsidP="00AA2C82">
      <w:pPr>
        <w:pStyle w:val="af0"/>
        <w:ind w:firstLine="0"/>
      </w:pPr>
      <w:r>
        <w:rPr>
          <w:noProof/>
          <w:snapToGrid/>
        </w:rPr>
        <w:drawing>
          <wp:inline distT="0" distB="0" distL="0" distR="0" wp14:anchorId="0AA14B80" wp14:editId="68DA2BEA">
            <wp:extent cx="6188710" cy="2995004"/>
            <wp:effectExtent l="0" t="0" r="2540" b="0"/>
            <wp:docPr id="65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2" cstate="print"/>
                    <a:srcRect b="1245"/>
                    <a:stretch>
                      <a:fillRect/>
                    </a:stretch>
                  </pic:blipFill>
                  <pic:spPr bwMode="auto">
                    <a:xfrm>
                      <a:off x="0" y="0"/>
                      <a:ext cx="6188710" cy="2995004"/>
                    </a:xfrm>
                    <a:prstGeom prst="rect">
                      <a:avLst/>
                    </a:prstGeom>
                  </pic:spPr>
                </pic:pic>
              </a:graphicData>
            </a:graphic>
          </wp:inline>
        </w:drawing>
      </w:r>
    </w:p>
    <w:p w:rsidR="00AA2C82" w:rsidRDefault="00AA2C82" w:rsidP="00AA2C82">
      <w:pPr>
        <w:pStyle w:val="-0"/>
      </w:pPr>
      <w:bookmarkStart w:id="1045" w:name="_Ref68173294"/>
      <w:bookmarkStart w:id="1046" w:name="_Toc69214592"/>
      <w:bookmarkStart w:id="1047" w:name="_Toc69290437"/>
      <w:bookmarkStart w:id="1048" w:name="_Toc119584460"/>
      <w:r>
        <w:t xml:space="preserve">Рисунок </w:t>
      </w:r>
      <w:fldSimple w:instr=" SEQ Рисунок \* ARABIC ">
        <w:r w:rsidR="001860A9">
          <w:rPr>
            <w:noProof/>
          </w:rPr>
          <w:t>273</w:t>
        </w:r>
      </w:fldSimple>
      <w:bookmarkEnd w:id="1045"/>
      <w:r>
        <w:t xml:space="preserve"> – </w:t>
      </w:r>
      <w:r w:rsidRPr="0014215C">
        <w:t>Всплывающее окно для перехода из основного отчета «</w:t>
      </w:r>
      <w:r>
        <w:t>Планирование в сфере закупок»</w:t>
      </w:r>
      <w:r w:rsidRPr="0014215C">
        <w:t xml:space="preserve"> в отчет-детализацию</w:t>
      </w:r>
      <w:bookmarkEnd w:id="1046"/>
      <w:bookmarkEnd w:id="1047"/>
      <w:bookmarkEnd w:id="1048"/>
    </w:p>
    <w:p w:rsidR="00AA2C82" w:rsidRDefault="00AA2C82" w:rsidP="00AA2C82">
      <w:pPr>
        <w:pStyle w:val="-0"/>
        <w:ind w:firstLine="567"/>
        <w:jc w:val="both"/>
      </w:pPr>
      <w:r w:rsidRPr="00AF16C1">
        <w:t>Далее необходимо нажать левой кнопкой мыши на</w:t>
      </w:r>
      <w:r>
        <w:t xml:space="preserve"> позицию «Детализация»</w:t>
      </w:r>
      <w:r w:rsidRPr="00AF16C1">
        <w:t xml:space="preserve">, </w:t>
      </w:r>
      <w:r>
        <w:t xml:space="preserve">после чего будет осуществлен переход на детализирующий отчет «Планирование в сфере закупок (детализация)». </w:t>
      </w:r>
    </w:p>
    <w:p w:rsidR="00AA2C82" w:rsidRDefault="00AA2C82" w:rsidP="00AA2C82">
      <w:pPr>
        <w:pStyle w:val="af0"/>
      </w:pPr>
      <w:r>
        <w:t>При этом в детализирующий отчет автоматически передается</w:t>
      </w:r>
      <w:r w:rsidRPr="00F9642D">
        <w:t xml:space="preserve"> </w:t>
      </w:r>
      <w:r>
        <w:t>соответствующий данным из выбранной для перехода строки тип организационно-правовой формы, а также заданные значения основных фильтров</w:t>
      </w:r>
      <w:r w:rsidRPr="00AF16C1">
        <w:t>.</w:t>
      </w:r>
      <w:r>
        <w:t xml:space="preserve"> Данный момент можем наблюдать на рисунках и  . В детализацию из основного представления отчета, помимо типа организационно-правовой формы предприятия-заказчика, были переданы значения года ПГЗ и субъекта РФ (</w:t>
      </w:r>
      <w:r>
        <w:fldChar w:fldCharType="begin"/>
      </w:r>
      <w:r>
        <w:instrText xml:space="preserve"> REF _Ref68173330 \h </w:instrText>
      </w:r>
      <w:r>
        <w:fldChar w:fldCharType="separate"/>
      </w:r>
      <w:r w:rsidR="00BF0BEE">
        <w:t xml:space="preserve">Рисунок </w:t>
      </w:r>
      <w:r w:rsidR="00BF0BEE">
        <w:rPr>
          <w:noProof/>
        </w:rPr>
        <w:t>274</w:t>
      </w:r>
      <w:r>
        <w:fldChar w:fldCharType="end"/>
      </w:r>
      <w:r>
        <w:t>).</w:t>
      </w:r>
    </w:p>
    <w:p w:rsidR="00AA2C82" w:rsidRDefault="00AA2C82" w:rsidP="00AA2C82">
      <w:pPr>
        <w:pStyle w:val="af0"/>
        <w:keepNext/>
        <w:ind w:firstLine="0"/>
      </w:pPr>
      <w:r>
        <w:rPr>
          <w:noProof/>
          <w:snapToGrid/>
        </w:rPr>
        <w:drawing>
          <wp:inline distT="0" distB="0" distL="0" distR="0" wp14:anchorId="14D3959D" wp14:editId="141F6734">
            <wp:extent cx="6188710" cy="3018254"/>
            <wp:effectExtent l="0" t="0" r="2540" b="0"/>
            <wp:docPr id="65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3" cstate="print"/>
                    <a:srcRect/>
                    <a:stretch>
                      <a:fillRect/>
                    </a:stretch>
                  </pic:blipFill>
                  <pic:spPr bwMode="auto">
                    <a:xfrm>
                      <a:off x="0" y="0"/>
                      <a:ext cx="6188710" cy="3018254"/>
                    </a:xfrm>
                    <a:prstGeom prst="rect">
                      <a:avLst/>
                    </a:prstGeom>
                  </pic:spPr>
                </pic:pic>
              </a:graphicData>
            </a:graphic>
          </wp:inline>
        </w:drawing>
      </w:r>
    </w:p>
    <w:p w:rsidR="00AA2C82" w:rsidRPr="005B4B8A" w:rsidRDefault="00AA2C82" w:rsidP="00AA2C82">
      <w:pPr>
        <w:pStyle w:val="-0"/>
      </w:pPr>
      <w:bookmarkStart w:id="1049" w:name="_Ref68173330"/>
      <w:bookmarkStart w:id="1050" w:name="_Toc69214593"/>
      <w:bookmarkStart w:id="1051" w:name="_Toc69290438"/>
      <w:bookmarkStart w:id="1052" w:name="_Toc119584461"/>
      <w:r>
        <w:t xml:space="preserve">Рисунок </w:t>
      </w:r>
      <w:fldSimple w:instr=" SEQ Рисунок \* ARABIC ">
        <w:r w:rsidR="001860A9">
          <w:rPr>
            <w:noProof/>
          </w:rPr>
          <w:t>274</w:t>
        </w:r>
      </w:fldSimple>
      <w:bookmarkEnd w:id="1049"/>
      <w:r>
        <w:t xml:space="preserve"> – </w:t>
      </w:r>
      <w:r w:rsidRPr="006372BB">
        <w:t>Осуществленный переход по выбранному способу закупки с автоматически преднастроенными значениями параметров «Субъект РФ», «</w:t>
      </w:r>
      <w:r>
        <w:t>Год ПГЗ</w:t>
      </w:r>
      <w:r w:rsidRPr="006372BB">
        <w:t>» и «</w:t>
      </w:r>
      <w:r>
        <w:t>Организационно-правовая форма</w:t>
      </w:r>
      <w:r w:rsidRPr="006372BB">
        <w:t>»</w:t>
      </w:r>
      <w:bookmarkEnd w:id="1050"/>
      <w:bookmarkEnd w:id="1051"/>
      <w:bookmarkEnd w:id="1052"/>
    </w:p>
    <w:p w:rsidR="00AA2C82" w:rsidRPr="001339F7" w:rsidRDefault="00AA2C82" w:rsidP="00AA2C82">
      <w:pPr>
        <w:pStyle w:val="42"/>
      </w:pPr>
      <w:bookmarkStart w:id="1053" w:name="_Toc69214890"/>
      <w:r>
        <w:t>Детализирующий отчет «Планирование в сфере закупок (детализация)»</w:t>
      </w:r>
      <w:bookmarkEnd w:id="1053"/>
    </w:p>
    <w:p w:rsidR="00AA2C82" w:rsidRDefault="00AA2C82" w:rsidP="00AA2C82">
      <w:pPr>
        <w:pStyle w:val="af0"/>
      </w:pPr>
      <w:r>
        <w:t>Детализирующая версия отчета «Планирование в сфере закупок» включает в себя более подробные сведения основного представления, сгруппированные в разрезе конкретных планов-графиков закупок и входящих в них позиций.</w:t>
      </w:r>
    </w:p>
    <w:p w:rsidR="00AA2C82" w:rsidRPr="00867C2B" w:rsidRDefault="00AA2C82" w:rsidP="00AA2C82">
      <w:pPr>
        <w:pStyle w:val="af0"/>
      </w:pPr>
      <w:r>
        <w:t>Отчет включает в себя основные сведения о заказчике, формирующем ПГЗ (полное наименование, ИНН, КПП, код сводного реестра), непосредственно сами сведения о ПГЗ (основной номер, номер позиции, наименование объекта закупки)</w:t>
      </w:r>
    </w:p>
    <w:p w:rsidR="00AA2C82" w:rsidRPr="00867C2B" w:rsidRDefault="00AA2C82" w:rsidP="00AA2C82">
      <w:pPr>
        <w:pStyle w:val="af0"/>
      </w:pPr>
      <w:r>
        <w:t>Отчет представлен на рисунке</w:t>
      </w:r>
      <w:r w:rsidR="00C815AD">
        <w:rPr>
          <w:lang w:val="en-US"/>
        </w:rPr>
        <w:t xml:space="preserve"> </w:t>
      </w:r>
      <w:r w:rsidR="00C815AD">
        <w:rPr>
          <w:lang w:val="en-US"/>
        </w:rPr>
        <w:fldChar w:fldCharType="begin"/>
      </w:r>
      <w:r w:rsidR="00C815AD">
        <w:rPr>
          <w:lang w:val="en-US"/>
        </w:rPr>
        <w:instrText xml:space="preserve"> REF _Ref70330160 \h </w:instrText>
      </w:r>
      <w:r w:rsidR="00C815AD">
        <w:rPr>
          <w:lang w:val="en-US"/>
        </w:rPr>
      </w:r>
      <w:r w:rsidR="00C815AD">
        <w:rPr>
          <w:lang w:val="en-US"/>
        </w:rPr>
        <w:fldChar w:fldCharType="separate"/>
      </w:r>
      <w:r w:rsidR="00BF0BEE">
        <w:rPr>
          <w:noProof/>
        </w:rPr>
        <w:t>275</w:t>
      </w:r>
      <w:r w:rsidR="00C815AD">
        <w:rPr>
          <w:lang w:val="en-US"/>
        </w:rPr>
        <w:fldChar w:fldCharType="end"/>
      </w:r>
      <w:r>
        <w:t>.</w:t>
      </w:r>
    </w:p>
    <w:p w:rsidR="00AA2C82" w:rsidRDefault="00AA2C82" w:rsidP="00AA2C82">
      <w:pPr>
        <w:pStyle w:val="af0"/>
        <w:keepNext/>
        <w:ind w:firstLine="0"/>
      </w:pPr>
      <w:r>
        <w:rPr>
          <w:noProof/>
          <w:snapToGrid/>
        </w:rPr>
        <w:drawing>
          <wp:inline distT="0" distB="0" distL="0" distR="0" wp14:anchorId="13C6EE17" wp14:editId="51A8A4AC">
            <wp:extent cx="6188710" cy="3022033"/>
            <wp:effectExtent l="0" t="0" r="2540" b="6985"/>
            <wp:docPr id="6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4" cstate="print"/>
                    <a:srcRect/>
                    <a:stretch>
                      <a:fillRect/>
                    </a:stretch>
                  </pic:blipFill>
                  <pic:spPr bwMode="auto">
                    <a:xfrm>
                      <a:off x="0" y="0"/>
                      <a:ext cx="6188710" cy="3022033"/>
                    </a:xfrm>
                    <a:prstGeom prst="rect">
                      <a:avLst/>
                    </a:prstGeom>
                  </pic:spPr>
                </pic:pic>
              </a:graphicData>
            </a:graphic>
          </wp:inline>
        </w:drawing>
      </w:r>
    </w:p>
    <w:p w:rsidR="00AA2C82" w:rsidRPr="00365851" w:rsidRDefault="00AA2C82" w:rsidP="00AA2C82">
      <w:pPr>
        <w:pStyle w:val="-0"/>
      </w:pPr>
      <w:bookmarkStart w:id="1054" w:name="_Ref68173408"/>
      <w:bookmarkStart w:id="1055" w:name="_Toc69214594"/>
      <w:bookmarkStart w:id="1056" w:name="_Toc69290439"/>
      <w:bookmarkStart w:id="1057" w:name="_Toc119584462"/>
      <w:r>
        <w:t xml:space="preserve">Рисунок </w:t>
      </w:r>
      <w:fldSimple w:instr=" SEQ Рисунок \* ARABIC ">
        <w:bookmarkStart w:id="1058" w:name="_Ref70330160"/>
        <w:r w:rsidR="001860A9">
          <w:rPr>
            <w:noProof/>
          </w:rPr>
          <w:t>275</w:t>
        </w:r>
        <w:bookmarkEnd w:id="1058"/>
      </w:fldSimple>
      <w:bookmarkEnd w:id="1054"/>
      <w:r>
        <w:t xml:space="preserve"> – </w:t>
      </w:r>
      <w:r w:rsidRPr="004B463A">
        <w:t>Отчет «</w:t>
      </w:r>
      <w:r>
        <w:t>Планирование в сфере закупок</w:t>
      </w:r>
      <w:r w:rsidRPr="004B463A">
        <w:t xml:space="preserve"> (детализация)»</w:t>
      </w:r>
      <w:bookmarkEnd w:id="1055"/>
      <w:bookmarkEnd w:id="1056"/>
      <w:bookmarkEnd w:id="1057"/>
    </w:p>
    <w:p w:rsidR="00AA2C82" w:rsidRPr="00640BBC" w:rsidRDefault="00AA2C82" w:rsidP="00AA2C82">
      <w:pPr>
        <w:pStyle w:val="af0"/>
      </w:pPr>
      <w:r>
        <w:t>Набор фильтров детализирующего отчета также немного расширен относительно основного представления отчета «Планирование в сфере закупок». В рамках отчета-детализации реализована возможность отбора данных не только по заказчикам, а также по поставщикам, по основным характеристикам контракта и элементам КБК.</w:t>
      </w:r>
    </w:p>
    <w:p w:rsidR="004740A0" w:rsidRDefault="004740A0" w:rsidP="004740A0">
      <w:pPr>
        <w:pStyle w:val="35"/>
      </w:pPr>
      <w:bookmarkStart w:id="1059" w:name="_Toc69290138"/>
      <w:bookmarkStart w:id="1060" w:name="_Toc119585102"/>
      <w:r>
        <w:t>Отчет «</w:t>
      </w:r>
      <w:r w:rsidRPr="004740A0">
        <w:t>Мониторинговый отчет о контрактах в разрезе БО</w:t>
      </w:r>
      <w:r>
        <w:t>» (</w:t>
      </w:r>
      <w:r w:rsidRPr="004740A0">
        <w:t>PIAO_180_110_report</w:t>
      </w:r>
      <w:r>
        <w:t>)</w:t>
      </w:r>
      <w:bookmarkEnd w:id="1060"/>
    </w:p>
    <w:p w:rsidR="004740A0" w:rsidRDefault="004740A0" w:rsidP="004740A0">
      <w:pPr>
        <w:pStyle w:val="af0"/>
      </w:pPr>
      <w:r>
        <w:t>Аналитический отчет «</w:t>
      </w:r>
      <w:r w:rsidRPr="001C0931">
        <w:t>Мониторинговый отчет о контрактах в разрезе БО</w:t>
      </w:r>
      <w:r>
        <w:t>» расположен в составе витрины «Анализ закупок товаров, работ, услуг».</w:t>
      </w:r>
    </w:p>
    <w:p w:rsidR="004740A0" w:rsidRDefault="004740A0" w:rsidP="004740A0">
      <w:pPr>
        <w:pStyle w:val="af0"/>
        <w:rPr>
          <w:lang w:eastAsia="x-none"/>
        </w:rPr>
      </w:pPr>
      <w:r>
        <w:rPr>
          <w:lang w:eastAsia="x-none"/>
        </w:rPr>
        <w:t>Информацию по закупкам можно анализировать в разрезе контрактов и бюджетных обязательств. Представления отчета выводятся на экран в табличной форме.</w:t>
      </w:r>
    </w:p>
    <w:p w:rsidR="004740A0" w:rsidRPr="00E4541D" w:rsidRDefault="004740A0" w:rsidP="004740A0">
      <w:pPr>
        <w:pStyle w:val="af0"/>
        <w:rPr>
          <w:lang w:eastAsia="x-none"/>
        </w:rPr>
      </w:pPr>
      <w:r w:rsidRPr="00E4541D">
        <w:rPr>
          <w:lang w:eastAsia="x-none"/>
        </w:rPr>
        <w:t xml:space="preserve">Источники, используемые для </w:t>
      </w:r>
      <w:r>
        <w:rPr>
          <w:lang w:eastAsia="x-none"/>
        </w:rPr>
        <w:t>формирования отчета, описываются в справке:</w:t>
      </w:r>
    </w:p>
    <w:p w:rsidR="004740A0" w:rsidRPr="00952692" w:rsidRDefault="004740A0" w:rsidP="004740A0">
      <w:pPr>
        <w:pStyle w:val="13"/>
        <w:rPr>
          <w:snapToGrid/>
        </w:rPr>
      </w:pPr>
      <w:r w:rsidRPr="00952692">
        <w:rPr>
          <w:snapToGrid/>
        </w:rPr>
        <w:t>Наименование:</w:t>
      </w:r>
      <w:r>
        <w:rPr>
          <w:snapToGrid/>
        </w:rPr>
        <w:t xml:space="preserve"> </w:t>
      </w:r>
      <w:r w:rsidRPr="00052F13">
        <w:rPr>
          <w:snapToGrid/>
        </w:rPr>
        <w:t>Единая информационная система в сфере закупок</w:t>
      </w:r>
    </w:p>
    <w:p w:rsidR="004740A0" w:rsidRPr="00952692" w:rsidRDefault="004740A0" w:rsidP="004740A0">
      <w:pPr>
        <w:pStyle w:val="13"/>
        <w:rPr>
          <w:snapToGrid/>
        </w:rPr>
      </w:pPr>
      <w:r w:rsidRPr="00952692">
        <w:rPr>
          <w:snapToGrid/>
        </w:rPr>
        <w:t xml:space="preserve">Организация: </w:t>
      </w:r>
      <w:r>
        <w:rPr>
          <w:snapToGrid/>
        </w:rPr>
        <w:t>ЕИС Мониторинг</w:t>
      </w:r>
      <w:r w:rsidRPr="00952692">
        <w:rPr>
          <w:snapToGrid/>
        </w:rPr>
        <w:t>;</w:t>
      </w:r>
    </w:p>
    <w:p w:rsidR="004740A0" w:rsidRPr="00952692" w:rsidRDefault="004740A0" w:rsidP="004740A0">
      <w:pPr>
        <w:pStyle w:val="13"/>
        <w:rPr>
          <w:snapToGrid/>
        </w:rPr>
      </w:pPr>
      <w:r w:rsidRPr="00952692">
        <w:rPr>
          <w:snapToGrid/>
        </w:rPr>
        <w:t>Дата источника: формат: ДД.ММ.ГГГГ;</w:t>
      </w:r>
    </w:p>
    <w:p w:rsidR="004740A0" w:rsidRPr="00952692" w:rsidRDefault="004740A0" w:rsidP="004740A0">
      <w:pPr>
        <w:pStyle w:val="13"/>
        <w:rPr>
          <w:snapToGrid/>
        </w:rPr>
      </w:pPr>
      <w:r w:rsidRPr="00952692">
        <w:rPr>
          <w:snapToGrid/>
        </w:rPr>
        <w:t xml:space="preserve">Дата публикации: формат: </w:t>
      </w:r>
      <w:r>
        <w:rPr>
          <w:snapToGrid/>
        </w:rPr>
        <w:t>ДД</w:t>
      </w:r>
      <w:r w:rsidRPr="00952692">
        <w:rPr>
          <w:snapToGrid/>
        </w:rPr>
        <w:t>.ММ.ГГГГ ЧЧ.ММ.СС;</w:t>
      </w:r>
    </w:p>
    <w:p w:rsidR="004740A0" w:rsidRPr="00952692" w:rsidRDefault="004740A0" w:rsidP="004740A0">
      <w:pPr>
        <w:pStyle w:val="13"/>
        <w:rPr>
          <w:snapToGrid/>
        </w:rPr>
      </w:pPr>
      <w:r w:rsidRPr="00952692">
        <w:rPr>
          <w:snapToGrid/>
        </w:rPr>
        <w:t>Периодичность: ежедневная;</w:t>
      </w:r>
    </w:p>
    <w:p w:rsidR="004740A0" w:rsidRPr="00952692" w:rsidRDefault="004740A0" w:rsidP="004740A0">
      <w:pPr>
        <w:pStyle w:val="13"/>
        <w:rPr>
          <w:snapToGrid/>
        </w:rPr>
      </w:pPr>
      <w:r w:rsidRPr="00952692">
        <w:rPr>
          <w:snapToGrid/>
        </w:rPr>
        <w:t xml:space="preserve">Регламент публикации информации: </w:t>
      </w:r>
      <w:r>
        <w:rPr>
          <w:snapToGrid/>
        </w:rPr>
        <w:t>ежедневно</w:t>
      </w:r>
      <w:r w:rsidRPr="00952692">
        <w:rPr>
          <w:snapToGrid/>
        </w:rPr>
        <w:t>;</w:t>
      </w:r>
    </w:p>
    <w:p w:rsidR="004740A0" w:rsidRPr="00E4541D" w:rsidRDefault="004740A0" w:rsidP="004740A0">
      <w:pPr>
        <w:pStyle w:val="13"/>
        <w:rPr>
          <w:snapToGrid/>
          <w:lang w:eastAsia="x-none"/>
        </w:rPr>
      </w:pPr>
      <w:r>
        <w:rPr>
          <w:snapToGrid/>
        </w:rPr>
        <w:t xml:space="preserve">Описание: </w:t>
      </w:r>
      <w:r w:rsidRPr="00052F13">
        <w:rPr>
          <w:snapToGrid/>
        </w:rPr>
        <w:t>Информация о контрактах</w:t>
      </w:r>
      <w:r>
        <w:rPr>
          <w:snapToGrid/>
        </w:rPr>
        <w:t>,</w:t>
      </w:r>
      <w:r w:rsidRPr="00052F13">
        <w:rPr>
          <w:snapToGrid/>
        </w:rPr>
        <w:t xml:space="preserve"> опубликованных на сайте единой информационной системы в сфере закупок (zakupki.gov.ru)</w:t>
      </w:r>
    </w:p>
    <w:p w:rsidR="004740A0" w:rsidRPr="00FA3FE8" w:rsidRDefault="004740A0" w:rsidP="004740A0">
      <w:pPr>
        <w:pStyle w:val="42"/>
      </w:pPr>
      <w:bookmarkStart w:id="1061" w:name="_Toc93506817"/>
      <w:r>
        <w:t>Представление «По контрактам ЕИС-По контрактам»</w:t>
      </w:r>
      <w:bookmarkEnd w:id="1061"/>
    </w:p>
    <w:p w:rsidR="004740A0" w:rsidRDefault="004740A0" w:rsidP="004740A0">
      <w:pPr>
        <w:pStyle w:val="af0"/>
        <w:rPr>
          <w:rFonts w:eastAsia="Calibri"/>
        </w:rPr>
      </w:pPr>
      <w:r>
        <w:rPr>
          <w:rStyle w:val="af1"/>
        </w:rPr>
        <w:t>Аналитический отчет</w:t>
      </w:r>
      <w:r w:rsidRPr="00CB7C5A">
        <w:rPr>
          <w:rStyle w:val="af1"/>
        </w:rPr>
        <w:t xml:space="preserve"> «</w:t>
      </w:r>
      <w:r>
        <w:rPr>
          <w:rStyle w:val="af1"/>
        </w:rPr>
        <w:t>Мониторинговый отчет о контрактах в разрезе БО</w:t>
      </w:r>
      <w:r w:rsidRPr="00CB7C5A">
        <w:rPr>
          <w:rStyle w:val="af1"/>
        </w:rPr>
        <w:t>»</w:t>
      </w:r>
      <w:r>
        <w:rPr>
          <w:rStyle w:val="af1"/>
        </w:rPr>
        <w:t xml:space="preserve"> в представлении «По контрактам ЕИС-По контрактам» </w:t>
      </w:r>
      <w:r>
        <w:rPr>
          <w:szCs w:val="28"/>
        </w:rPr>
        <w:t>должен обеспечивать возможность анализа информации о суммах бюджетных и денежных обязательств, разнице между суммами бюджетных и денежных обязательств, финансовом обеспечении контракта, а также оплаты по контракту, предоставляемых из различных источников данных, в разрезе реестровых номеров контрактов</w:t>
      </w:r>
      <w:r>
        <w:rPr>
          <w:rFonts w:eastAsia="Calibri"/>
        </w:rPr>
        <w:t xml:space="preserve">. </w:t>
      </w:r>
    </w:p>
    <w:p w:rsidR="004740A0" w:rsidRDefault="004740A0" w:rsidP="00456894">
      <w:pPr>
        <w:pStyle w:val="af0"/>
        <w:rPr>
          <w:rFonts w:eastAsia="Calibri"/>
        </w:rPr>
      </w:pPr>
      <w:r>
        <w:rPr>
          <w:rFonts w:eastAsia="Calibri"/>
        </w:rPr>
        <w:t xml:space="preserve">Перечень столбцов, которые должна содержать таблица, а также параметров представления, и их описание представлено в таблице </w:t>
      </w:r>
      <w:r w:rsidR="006F5218">
        <w:rPr>
          <w:rFonts w:eastAsia="Calibri"/>
        </w:rPr>
        <w:fldChar w:fldCharType="begin"/>
      </w:r>
      <w:r w:rsidR="006F5218">
        <w:rPr>
          <w:rFonts w:eastAsia="Calibri"/>
        </w:rPr>
        <w:instrText xml:space="preserve"> REF _Ref93583446 \h </w:instrText>
      </w:r>
      <w:r w:rsidR="006F5218">
        <w:rPr>
          <w:rFonts w:eastAsia="Calibri"/>
        </w:rPr>
      </w:r>
      <w:r w:rsidR="006F5218">
        <w:rPr>
          <w:rFonts w:eastAsia="Calibri"/>
        </w:rPr>
        <w:fldChar w:fldCharType="separate"/>
      </w:r>
      <w:r w:rsidR="00BF0BEE">
        <w:rPr>
          <w:noProof/>
        </w:rPr>
        <w:t>39</w:t>
      </w:r>
      <w:r w:rsidR="006F5218">
        <w:rPr>
          <w:rFonts w:eastAsia="Calibri"/>
        </w:rPr>
        <w:fldChar w:fldCharType="end"/>
      </w:r>
      <w:r>
        <w:rPr>
          <w:rFonts w:eastAsia="Calibri"/>
        </w:rPr>
        <w:t>.</w:t>
      </w:r>
    </w:p>
    <w:p w:rsidR="006F5218" w:rsidRDefault="006F5218" w:rsidP="006F5218">
      <w:pPr>
        <w:pStyle w:val="-"/>
      </w:pPr>
      <w:bookmarkStart w:id="1062" w:name="_Toc119585180"/>
      <w:r>
        <w:t xml:space="preserve">Таблица </w:t>
      </w:r>
      <w:fldSimple w:instr=" SEQ Таблица \* ARABIC ">
        <w:bookmarkStart w:id="1063" w:name="_Ref93583446"/>
        <w:r w:rsidR="00BF0BEE">
          <w:rPr>
            <w:noProof/>
          </w:rPr>
          <w:t>39</w:t>
        </w:r>
        <w:bookmarkEnd w:id="1063"/>
      </w:fldSimple>
      <w:r>
        <w:rPr>
          <w:noProof/>
        </w:rPr>
        <w:t xml:space="preserve"> –</w:t>
      </w:r>
      <w:r w:rsidRPr="00C474F6">
        <w:t xml:space="preserve"> Перечень г</w:t>
      </w:r>
      <w:r>
        <w:t>раф и параметров представления «</w:t>
      </w:r>
      <w:r w:rsidRPr="00C474F6">
        <w:t xml:space="preserve">По </w:t>
      </w:r>
      <w:r>
        <w:t>контрактам ЕИС-По контрактам»</w:t>
      </w:r>
      <w:bookmarkEnd w:id="1062"/>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993"/>
        <w:gridCol w:w="4536"/>
        <w:gridCol w:w="2126"/>
      </w:tblGrid>
      <w:tr w:rsidR="004740A0" w:rsidRPr="0098550F" w:rsidTr="006F5218">
        <w:trPr>
          <w:cantSplit/>
          <w:trHeight w:val="347"/>
          <w:tblHeader/>
        </w:trPr>
        <w:tc>
          <w:tcPr>
            <w:tcW w:w="1101" w:type="dxa"/>
            <w:shd w:val="clear" w:color="auto" w:fill="D9D9D9" w:themeFill="background1" w:themeFillShade="D9"/>
            <w:vAlign w:val="center"/>
            <w:hideMark/>
          </w:tcPr>
          <w:p w:rsidR="004740A0" w:rsidRPr="0098550F" w:rsidRDefault="004740A0" w:rsidP="006F5218">
            <w:pPr>
              <w:jc w:val="center"/>
              <w:rPr>
                <w:b/>
                <w:bCs/>
                <w:color w:val="auto"/>
                <w:szCs w:val="24"/>
              </w:rPr>
            </w:pPr>
            <w:r w:rsidRPr="0098550F">
              <w:rPr>
                <w:b/>
                <w:bCs/>
                <w:color w:val="auto"/>
                <w:szCs w:val="24"/>
              </w:rPr>
              <w:t>Тип</w:t>
            </w:r>
          </w:p>
        </w:tc>
        <w:tc>
          <w:tcPr>
            <w:tcW w:w="1275" w:type="dxa"/>
            <w:shd w:val="clear" w:color="auto" w:fill="D9D9D9" w:themeFill="background1" w:themeFillShade="D9"/>
            <w:vAlign w:val="center"/>
            <w:hideMark/>
          </w:tcPr>
          <w:p w:rsidR="004740A0" w:rsidRPr="0098550F" w:rsidRDefault="004740A0" w:rsidP="006F5218">
            <w:pPr>
              <w:jc w:val="center"/>
              <w:rPr>
                <w:b/>
                <w:bCs/>
                <w:color w:val="auto"/>
                <w:szCs w:val="24"/>
              </w:rPr>
            </w:pPr>
            <w:r w:rsidRPr="0098550F">
              <w:rPr>
                <w:b/>
                <w:bCs/>
                <w:color w:val="auto"/>
                <w:szCs w:val="24"/>
              </w:rPr>
              <w:t>Наименование</w:t>
            </w:r>
          </w:p>
        </w:tc>
        <w:tc>
          <w:tcPr>
            <w:tcW w:w="993" w:type="dxa"/>
            <w:shd w:val="clear" w:color="auto" w:fill="D9D9D9" w:themeFill="background1" w:themeFillShade="D9"/>
            <w:vAlign w:val="center"/>
          </w:tcPr>
          <w:p w:rsidR="004740A0" w:rsidRPr="0098550F" w:rsidRDefault="004740A0" w:rsidP="006F5218">
            <w:pPr>
              <w:jc w:val="center"/>
              <w:rPr>
                <w:b/>
                <w:bCs/>
                <w:color w:val="auto"/>
                <w:szCs w:val="24"/>
              </w:rPr>
            </w:pPr>
            <w:r w:rsidRPr="0098550F">
              <w:rPr>
                <w:b/>
                <w:bCs/>
                <w:color w:val="auto"/>
                <w:szCs w:val="24"/>
              </w:rPr>
              <w:t>Источник данных</w:t>
            </w:r>
          </w:p>
        </w:tc>
        <w:tc>
          <w:tcPr>
            <w:tcW w:w="4536" w:type="dxa"/>
            <w:shd w:val="clear" w:color="auto" w:fill="D9D9D9" w:themeFill="background1" w:themeFillShade="D9"/>
            <w:vAlign w:val="center"/>
          </w:tcPr>
          <w:p w:rsidR="004740A0" w:rsidRPr="0098550F" w:rsidRDefault="004740A0" w:rsidP="006F5218">
            <w:pPr>
              <w:jc w:val="center"/>
              <w:rPr>
                <w:b/>
                <w:bCs/>
                <w:color w:val="auto"/>
                <w:szCs w:val="24"/>
              </w:rPr>
            </w:pPr>
            <w:r w:rsidRPr="0098550F">
              <w:rPr>
                <w:b/>
                <w:bCs/>
                <w:color w:val="auto"/>
                <w:szCs w:val="24"/>
              </w:rPr>
              <w:t>Примечание</w:t>
            </w:r>
          </w:p>
        </w:tc>
        <w:tc>
          <w:tcPr>
            <w:tcW w:w="2126" w:type="dxa"/>
            <w:shd w:val="clear" w:color="auto" w:fill="D9D9D9" w:themeFill="background1" w:themeFillShade="D9"/>
            <w:vAlign w:val="center"/>
          </w:tcPr>
          <w:p w:rsidR="004740A0" w:rsidRPr="0098550F" w:rsidRDefault="004740A0" w:rsidP="006F5218">
            <w:pPr>
              <w:jc w:val="center"/>
              <w:rPr>
                <w:b/>
                <w:bCs/>
                <w:color w:val="auto"/>
                <w:szCs w:val="24"/>
              </w:rPr>
            </w:pPr>
            <w:r w:rsidRPr="0098550F">
              <w:rPr>
                <w:b/>
                <w:bCs/>
                <w:color w:val="auto"/>
                <w:szCs w:val="24"/>
              </w:rPr>
              <w:t>Пример</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Номер реестровой записи контракта</w:t>
            </w:r>
          </w:p>
        </w:tc>
        <w:tc>
          <w:tcPr>
            <w:tcW w:w="993" w:type="dxa"/>
          </w:tcPr>
          <w:p w:rsidR="004740A0" w:rsidRPr="0098550F" w:rsidRDefault="004740A0" w:rsidP="006F5218">
            <w:pPr>
              <w:jc w:val="left"/>
              <w:rPr>
                <w:color w:val="auto"/>
                <w:szCs w:val="24"/>
              </w:rPr>
            </w:pPr>
            <w:r>
              <w:rPr>
                <w:color w:val="auto"/>
                <w:szCs w:val="24"/>
              </w:rPr>
              <w:t>ЕИС</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w:t>
            </w:r>
            <w:r>
              <w:rPr>
                <w:color w:val="auto"/>
                <w:szCs w:val="24"/>
              </w:rPr>
              <w:t>номер реестровой записи контракта</w:t>
            </w:r>
          </w:p>
        </w:tc>
        <w:tc>
          <w:tcPr>
            <w:tcW w:w="2126" w:type="dxa"/>
          </w:tcPr>
          <w:p w:rsidR="004740A0" w:rsidRPr="0098550F" w:rsidRDefault="004740A0" w:rsidP="006F5218">
            <w:pPr>
              <w:jc w:val="left"/>
              <w:rPr>
                <w:color w:val="auto"/>
                <w:szCs w:val="24"/>
              </w:rPr>
            </w:pPr>
            <w:r w:rsidRPr="00052F13">
              <w:rPr>
                <w:color w:val="auto"/>
                <w:szCs w:val="24"/>
              </w:rPr>
              <w:t>0123100000512000055</w:t>
            </w:r>
          </w:p>
        </w:tc>
      </w:tr>
      <w:tr w:rsidR="004740A0" w:rsidRPr="0098550F" w:rsidTr="006F5218">
        <w:trPr>
          <w:cantSplit/>
          <w:trHeight w:val="223"/>
        </w:trPr>
        <w:tc>
          <w:tcPr>
            <w:tcW w:w="10031" w:type="dxa"/>
            <w:gridSpan w:val="5"/>
            <w:shd w:val="clear" w:color="auto" w:fill="auto"/>
          </w:tcPr>
          <w:p w:rsidR="004740A0" w:rsidRPr="00052F13" w:rsidRDefault="004740A0" w:rsidP="006F5218">
            <w:pPr>
              <w:jc w:val="left"/>
              <w:rPr>
                <w:color w:val="auto"/>
                <w:szCs w:val="24"/>
              </w:rPr>
            </w:pPr>
            <w:r>
              <w:rPr>
                <w:color w:val="auto"/>
                <w:szCs w:val="24"/>
              </w:rPr>
              <w:t>Объединяющая шапка «В ЕИС»</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Объем финансового обеспечения</w:t>
            </w:r>
          </w:p>
        </w:tc>
        <w:tc>
          <w:tcPr>
            <w:tcW w:w="993" w:type="dxa"/>
          </w:tcPr>
          <w:p w:rsidR="004740A0" w:rsidRPr="0098550F" w:rsidRDefault="004740A0" w:rsidP="006F5218">
            <w:pPr>
              <w:jc w:val="left"/>
              <w:rPr>
                <w:color w:val="auto"/>
                <w:szCs w:val="24"/>
              </w:rPr>
            </w:pPr>
            <w:r>
              <w:rPr>
                <w:color w:val="auto"/>
                <w:szCs w:val="24"/>
              </w:rPr>
              <w:t>ЕИС</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w:t>
            </w:r>
            <w:r>
              <w:rPr>
                <w:color w:val="auto"/>
                <w:szCs w:val="24"/>
              </w:rPr>
              <w:t>сумма фин. обеспечения по контракту</w:t>
            </w:r>
          </w:p>
        </w:tc>
        <w:tc>
          <w:tcPr>
            <w:tcW w:w="2126" w:type="dxa"/>
          </w:tcPr>
          <w:p w:rsidR="004740A0" w:rsidRPr="0098550F" w:rsidRDefault="004740A0" w:rsidP="006F5218">
            <w:pPr>
              <w:jc w:val="left"/>
              <w:rPr>
                <w:color w:val="auto"/>
                <w:szCs w:val="24"/>
              </w:rPr>
            </w:pPr>
            <w:r w:rsidRPr="007A61D5">
              <w:rPr>
                <w:color w:val="auto"/>
                <w:szCs w:val="24"/>
              </w:rPr>
              <w:t>208,8</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Объем бюджетных обязательств</w:t>
            </w:r>
          </w:p>
        </w:tc>
        <w:tc>
          <w:tcPr>
            <w:tcW w:w="993" w:type="dxa"/>
          </w:tcPr>
          <w:p w:rsidR="004740A0" w:rsidRPr="0098550F" w:rsidRDefault="004740A0" w:rsidP="006F5218">
            <w:pPr>
              <w:jc w:val="left"/>
              <w:rPr>
                <w:color w:val="auto"/>
                <w:szCs w:val="24"/>
              </w:rPr>
            </w:pPr>
            <w:r>
              <w:rPr>
                <w:color w:val="auto"/>
                <w:szCs w:val="24"/>
              </w:rPr>
              <w:t>ЕИС</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w:t>
            </w:r>
            <w:r>
              <w:rPr>
                <w:color w:val="auto"/>
                <w:szCs w:val="24"/>
              </w:rPr>
              <w:t>сумма бюджетных обязательств по контракту</w:t>
            </w:r>
          </w:p>
        </w:tc>
        <w:tc>
          <w:tcPr>
            <w:tcW w:w="2126" w:type="dxa"/>
          </w:tcPr>
          <w:p w:rsidR="004740A0" w:rsidRPr="0098550F" w:rsidRDefault="004740A0" w:rsidP="006F5218">
            <w:pPr>
              <w:jc w:val="left"/>
              <w:rPr>
                <w:color w:val="auto"/>
                <w:szCs w:val="24"/>
              </w:rPr>
            </w:pPr>
            <w:r w:rsidRPr="007A61D5">
              <w:rPr>
                <w:color w:val="auto"/>
                <w:szCs w:val="24"/>
              </w:rPr>
              <w:t>208,8</w:t>
            </w:r>
          </w:p>
        </w:tc>
      </w:tr>
      <w:tr w:rsidR="004740A0" w:rsidRPr="0098550F" w:rsidTr="006F5218">
        <w:trPr>
          <w:cantSplit/>
          <w:trHeight w:val="223"/>
        </w:trPr>
        <w:tc>
          <w:tcPr>
            <w:tcW w:w="10031" w:type="dxa"/>
            <w:gridSpan w:val="5"/>
            <w:shd w:val="clear" w:color="auto" w:fill="auto"/>
          </w:tcPr>
          <w:p w:rsidR="004740A0" w:rsidRPr="007A61D5" w:rsidRDefault="004740A0" w:rsidP="006F5218">
            <w:pPr>
              <w:jc w:val="left"/>
              <w:rPr>
                <w:color w:val="auto"/>
                <w:szCs w:val="24"/>
              </w:rPr>
            </w:pPr>
            <w:r>
              <w:rPr>
                <w:color w:val="auto"/>
                <w:szCs w:val="24"/>
              </w:rPr>
              <w:t>Объединяющая шапка «В ПУР»</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Объем бюджетных обязательств</w:t>
            </w:r>
          </w:p>
        </w:tc>
        <w:tc>
          <w:tcPr>
            <w:tcW w:w="993" w:type="dxa"/>
          </w:tcPr>
          <w:p w:rsidR="004740A0" w:rsidRPr="0098550F" w:rsidRDefault="004740A0" w:rsidP="006F5218">
            <w:pPr>
              <w:jc w:val="left"/>
              <w:rPr>
                <w:color w:val="auto"/>
                <w:szCs w:val="24"/>
              </w:rPr>
            </w:pPr>
            <w:r w:rsidRPr="0098550F">
              <w:rPr>
                <w:color w:val="auto"/>
                <w:szCs w:val="24"/>
              </w:rPr>
              <w:t>БД ПУР ЭБ</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w:t>
            </w:r>
            <w:r>
              <w:rPr>
                <w:color w:val="auto"/>
                <w:szCs w:val="24"/>
              </w:rPr>
              <w:t>сумма бюджетных обязательств по контракту</w:t>
            </w:r>
          </w:p>
        </w:tc>
        <w:tc>
          <w:tcPr>
            <w:tcW w:w="2126" w:type="dxa"/>
          </w:tcPr>
          <w:p w:rsidR="004740A0" w:rsidRPr="0098550F" w:rsidRDefault="004740A0" w:rsidP="006F5218">
            <w:pPr>
              <w:jc w:val="left"/>
              <w:rPr>
                <w:color w:val="auto"/>
                <w:szCs w:val="24"/>
              </w:rPr>
            </w:pPr>
            <w:r w:rsidRPr="007A61D5">
              <w:rPr>
                <w:color w:val="auto"/>
                <w:szCs w:val="24"/>
              </w:rPr>
              <w:t>208,8</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Объем денежных обязательств</w:t>
            </w:r>
          </w:p>
        </w:tc>
        <w:tc>
          <w:tcPr>
            <w:tcW w:w="993" w:type="dxa"/>
          </w:tcPr>
          <w:p w:rsidR="004740A0" w:rsidRPr="0098550F" w:rsidRDefault="004740A0" w:rsidP="006F5218">
            <w:pPr>
              <w:jc w:val="left"/>
              <w:rPr>
                <w:color w:val="auto"/>
                <w:szCs w:val="24"/>
              </w:rPr>
            </w:pPr>
            <w:r w:rsidRPr="0098550F">
              <w:rPr>
                <w:color w:val="auto"/>
                <w:szCs w:val="24"/>
              </w:rPr>
              <w:t>БД ПУР ЭБ</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w:t>
            </w:r>
            <w:r>
              <w:rPr>
                <w:color w:val="auto"/>
                <w:szCs w:val="24"/>
              </w:rPr>
              <w:t>сумма денежных обязательств по контракту</w:t>
            </w:r>
          </w:p>
        </w:tc>
        <w:tc>
          <w:tcPr>
            <w:tcW w:w="2126" w:type="dxa"/>
          </w:tcPr>
          <w:p w:rsidR="004740A0" w:rsidRPr="0098550F" w:rsidRDefault="004740A0" w:rsidP="006F5218">
            <w:pPr>
              <w:jc w:val="left"/>
              <w:rPr>
                <w:color w:val="auto"/>
                <w:szCs w:val="24"/>
              </w:rPr>
            </w:pPr>
            <w:r w:rsidRPr="007A61D5">
              <w:rPr>
                <w:color w:val="auto"/>
                <w:szCs w:val="24"/>
              </w:rPr>
              <w:t>208,8</w:t>
            </w:r>
          </w:p>
        </w:tc>
      </w:tr>
      <w:tr w:rsidR="004740A0" w:rsidRPr="0098550F" w:rsidTr="006F5218">
        <w:trPr>
          <w:cantSplit/>
          <w:trHeight w:val="223"/>
        </w:trPr>
        <w:tc>
          <w:tcPr>
            <w:tcW w:w="10031" w:type="dxa"/>
            <w:gridSpan w:val="5"/>
            <w:shd w:val="clear" w:color="auto" w:fill="auto"/>
          </w:tcPr>
          <w:p w:rsidR="004740A0" w:rsidRPr="007A61D5" w:rsidRDefault="004740A0" w:rsidP="006F5218">
            <w:pPr>
              <w:jc w:val="left"/>
              <w:rPr>
                <w:color w:val="auto"/>
                <w:szCs w:val="24"/>
              </w:rPr>
            </w:pPr>
            <w:r>
              <w:rPr>
                <w:color w:val="auto"/>
                <w:szCs w:val="24"/>
              </w:rPr>
              <w:t>Объединяющая шапка «В АСФК»</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Объем оплаты по контрактам</w:t>
            </w:r>
          </w:p>
        </w:tc>
        <w:tc>
          <w:tcPr>
            <w:tcW w:w="993" w:type="dxa"/>
          </w:tcPr>
          <w:p w:rsidR="004740A0" w:rsidRPr="0098550F" w:rsidRDefault="004740A0" w:rsidP="006F5218">
            <w:pPr>
              <w:rPr>
                <w:color w:val="auto"/>
                <w:szCs w:val="24"/>
              </w:rPr>
            </w:pPr>
            <w:r w:rsidRPr="0098550F">
              <w:rPr>
                <w:color w:val="auto"/>
                <w:szCs w:val="24"/>
              </w:rPr>
              <w:t xml:space="preserve">АСФК </w:t>
            </w:r>
          </w:p>
        </w:tc>
        <w:tc>
          <w:tcPr>
            <w:tcW w:w="4536" w:type="dxa"/>
          </w:tcPr>
          <w:p w:rsidR="004740A0" w:rsidRPr="0098550F" w:rsidRDefault="004740A0" w:rsidP="006F5218">
            <w:pPr>
              <w:jc w:val="left"/>
              <w:rPr>
                <w:color w:val="auto"/>
                <w:szCs w:val="24"/>
              </w:rPr>
            </w:pPr>
            <w:r w:rsidRPr="0098550F">
              <w:rPr>
                <w:color w:val="auto"/>
                <w:szCs w:val="24"/>
              </w:rPr>
              <w:t xml:space="preserve">Выводится сумма </w:t>
            </w:r>
            <w:r>
              <w:rPr>
                <w:color w:val="auto"/>
                <w:szCs w:val="24"/>
              </w:rPr>
              <w:t>оплаты по контракту за текущий год</w:t>
            </w:r>
          </w:p>
        </w:tc>
        <w:tc>
          <w:tcPr>
            <w:tcW w:w="2126" w:type="dxa"/>
          </w:tcPr>
          <w:p w:rsidR="004740A0" w:rsidRPr="0098550F" w:rsidRDefault="004740A0" w:rsidP="006F5218">
            <w:pPr>
              <w:jc w:val="left"/>
              <w:rPr>
                <w:color w:val="auto"/>
                <w:szCs w:val="24"/>
              </w:rPr>
            </w:pPr>
            <w:r w:rsidRPr="007A61D5">
              <w:rPr>
                <w:color w:val="auto"/>
                <w:szCs w:val="24"/>
              </w:rPr>
              <w:t>208,8</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98550F" w:rsidRDefault="004740A0" w:rsidP="006F5218">
            <w:pPr>
              <w:jc w:val="left"/>
              <w:rPr>
                <w:color w:val="auto"/>
                <w:szCs w:val="24"/>
              </w:rPr>
            </w:pPr>
            <w:r>
              <w:rPr>
                <w:color w:val="auto"/>
                <w:szCs w:val="24"/>
              </w:rPr>
              <w:t>Отклонение БО (ЕИС БО- ПУР БО)</w:t>
            </w:r>
          </w:p>
        </w:tc>
        <w:tc>
          <w:tcPr>
            <w:tcW w:w="993" w:type="dxa"/>
          </w:tcPr>
          <w:p w:rsidR="004740A0" w:rsidRPr="0098550F" w:rsidRDefault="004740A0" w:rsidP="006F5218">
            <w:pPr>
              <w:jc w:val="left"/>
              <w:rPr>
                <w:color w:val="auto"/>
                <w:szCs w:val="24"/>
              </w:rPr>
            </w:pPr>
            <w:r>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разница ЕИС БО минус ПУР БО</w:t>
            </w:r>
          </w:p>
          <w:p w:rsidR="004740A0" w:rsidRDefault="004740A0" w:rsidP="006F5218">
            <w:pPr>
              <w:jc w:val="left"/>
              <w:rPr>
                <w:color w:val="auto"/>
                <w:szCs w:val="24"/>
              </w:rPr>
            </w:pPr>
            <w:r>
              <w:rPr>
                <w:color w:val="auto"/>
                <w:szCs w:val="24"/>
              </w:rPr>
              <w:t>Графа 3 – Графа 4</w:t>
            </w:r>
          </w:p>
          <w:p w:rsidR="004740A0" w:rsidRPr="0098550F" w:rsidRDefault="004740A0" w:rsidP="006F5218">
            <w:pPr>
              <w:jc w:val="left"/>
              <w:rPr>
                <w:color w:val="auto"/>
                <w:szCs w:val="24"/>
              </w:rPr>
            </w:pPr>
            <w:r>
              <w:rPr>
                <w:color w:val="auto"/>
                <w:szCs w:val="24"/>
              </w:rPr>
              <w:t>При превышении ПУР БО над ЕИС БО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8E5642" w:rsidRDefault="004740A0" w:rsidP="006F5218">
            <w:r w:rsidRPr="008E5642">
              <w:t>Отклонение ПУР БО-Фин. обеспечение</w:t>
            </w:r>
          </w:p>
        </w:tc>
        <w:tc>
          <w:tcPr>
            <w:tcW w:w="993" w:type="dxa"/>
          </w:tcPr>
          <w:p w:rsidR="004740A0" w:rsidRDefault="004740A0" w:rsidP="006F5218">
            <w:r w:rsidRPr="00052AFB">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 xml:space="preserve">разница </w:t>
            </w:r>
          </w:p>
          <w:p w:rsidR="004740A0" w:rsidRDefault="004740A0" w:rsidP="006F5218">
            <w:pPr>
              <w:jc w:val="left"/>
              <w:rPr>
                <w:color w:val="auto"/>
                <w:szCs w:val="24"/>
              </w:rPr>
            </w:pPr>
            <w:r>
              <w:rPr>
                <w:color w:val="auto"/>
                <w:szCs w:val="24"/>
              </w:rPr>
              <w:t>Графа 4 – Графа 2</w:t>
            </w:r>
          </w:p>
          <w:p w:rsidR="004740A0" w:rsidRPr="0098550F" w:rsidRDefault="004740A0" w:rsidP="006F5218">
            <w:pPr>
              <w:jc w:val="left"/>
              <w:rPr>
                <w:color w:val="auto"/>
                <w:szCs w:val="24"/>
              </w:rPr>
            </w:pPr>
            <w:r>
              <w:rPr>
                <w:color w:val="auto"/>
                <w:szCs w:val="24"/>
              </w:rPr>
              <w:t>При превышении Фин обеспечения над БО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p w:rsidR="004740A0" w:rsidRPr="0098550F" w:rsidRDefault="004740A0" w:rsidP="006F5218">
            <w:pPr>
              <w:jc w:val="left"/>
              <w:rPr>
                <w:color w:val="auto"/>
                <w:szCs w:val="24"/>
              </w:rPr>
            </w:pP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8E5642" w:rsidRDefault="004740A0" w:rsidP="006F5218">
            <w:r w:rsidRPr="008E5642">
              <w:t>Отклонение ЕИС БО-Фин. обеспечение</w:t>
            </w:r>
          </w:p>
        </w:tc>
        <w:tc>
          <w:tcPr>
            <w:tcW w:w="993" w:type="dxa"/>
          </w:tcPr>
          <w:p w:rsidR="004740A0" w:rsidRDefault="004740A0" w:rsidP="006F5218">
            <w:r w:rsidRPr="00052AFB">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 xml:space="preserve">разница </w:t>
            </w:r>
          </w:p>
          <w:p w:rsidR="004740A0" w:rsidRDefault="004740A0" w:rsidP="006F5218">
            <w:pPr>
              <w:rPr>
                <w:color w:val="auto"/>
                <w:szCs w:val="24"/>
              </w:rPr>
            </w:pPr>
            <w:r>
              <w:rPr>
                <w:color w:val="auto"/>
                <w:szCs w:val="24"/>
              </w:rPr>
              <w:t>Графа 3 – Графа 2</w:t>
            </w:r>
          </w:p>
          <w:p w:rsidR="004740A0" w:rsidRPr="006037D5" w:rsidRDefault="004740A0" w:rsidP="006F5218">
            <w:pPr>
              <w:rPr>
                <w:szCs w:val="24"/>
              </w:rPr>
            </w:pPr>
            <w:r>
              <w:rPr>
                <w:color w:val="auto"/>
                <w:szCs w:val="24"/>
              </w:rPr>
              <w:t>При превышении Фин обеспечения над БО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8E5642" w:rsidRDefault="004740A0" w:rsidP="006F5218">
            <w:r w:rsidRPr="008E5642">
              <w:t>Отклонение ПУР БО-ПУР ДО</w:t>
            </w:r>
          </w:p>
        </w:tc>
        <w:tc>
          <w:tcPr>
            <w:tcW w:w="993" w:type="dxa"/>
          </w:tcPr>
          <w:p w:rsidR="004740A0" w:rsidRDefault="004740A0" w:rsidP="006F5218">
            <w:r w:rsidRPr="00052AFB">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 xml:space="preserve">разница </w:t>
            </w:r>
          </w:p>
          <w:p w:rsidR="004740A0" w:rsidRDefault="004740A0" w:rsidP="006F5218">
            <w:pPr>
              <w:rPr>
                <w:color w:val="auto"/>
                <w:szCs w:val="24"/>
              </w:rPr>
            </w:pPr>
            <w:r>
              <w:rPr>
                <w:color w:val="auto"/>
                <w:szCs w:val="24"/>
              </w:rPr>
              <w:t>Графа 4 – Графа 5</w:t>
            </w:r>
          </w:p>
          <w:p w:rsidR="004740A0" w:rsidRDefault="004740A0" w:rsidP="006F5218">
            <w:r>
              <w:rPr>
                <w:color w:val="auto"/>
                <w:szCs w:val="24"/>
              </w:rPr>
              <w:t>При превышении ПУР ДО над ПУР БО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8E5642" w:rsidRDefault="004740A0" w:rsidP="006F5218">
            <w:r w:rsidRPr="008E5642">
              <w:t>Отклонение ПУР ДО-АСФК Оплата</w:t>
            </w:r>
          </w:p>
        </w:tc>
        <w:tc>
          <w:tcPr>
            <w:tcW w:w="993" w:type="dxa"/>
          </w:tcPr>
          <w:p w:rsidR="004740A0" w:rsidRDefault="004740A0" w:rsidP="006F5218">
            <w:r w:rsidRPr="00052AFB">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 xml:space="preserve">разница </w:t>
            </w:r>
          </w:p>
          <w:p w:rsidR="004740A0" w:rsidRDefault="004740A0" w:rsidP="006F5218">
            <w:pPr>
              <w:rPr>
                <w:color w:val="auto"/>
                <w:szCs w:val="24"/>
              </w:rPr>
            </w:pPr>
            <w:r>
              <w:rPr>
                <w:color w:val="auto"/>
                <w:szCs w:val="24"/>
              </w:rPr>
              <w:t>Графа 5 – Графа 6</w:t>
            </w:r>
          </w:p>
          <w:p w:rsidR="004740A0" w:rsidRPr="006037D5" w:rsidRDefault="004740A0" w:rsidP="006F5218">
            <w:pPr>
              <w:rPr>
                <w:szCs w:val="24"/>
              </w:rPr>
            </w:pPr>
            <w:r>
              <w:rPr>
                <w:color w:val="auto"/>
                <w:szCs w:val="24"/>
              </w:rPr>
              <w:t>При превышении Оплаты над ДО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Графа</w:t>
            </w:r>
          </w:p>
        </w:tc>
        <w:tc>
          <w:tcPr>
            <w:tcW w:w="1275" w:type="dxa"/>
            <w:shd w:val="clear" w:color="auto" w:fill="auto"/>
          </w:tcPr>
          <w:p w:rsidR="004740A0" w:rsidRPr="008E5642" w:rsidRDefault="004740A0" w:rsidP="006F5218">
            <w:r w:rsidRPr="008E5642">
              <w:t>Отклонение АСФК Оплата-Фин. обеспечение</w:t>
            </w:r>
          </w:p>
        </w:tc>
        <w:tc>
          <w:tcPr>
            <w:tcW w:w="993" w:type="dxa"/>
          </w:tcPr>
          <w:p w:rsidR="004740A0" w:rsidRDefault="004740A0" w:rsidP="006F5218">
            <w:r w:rsidRPr="00052AFB">
              <w:rPr>
                <w:color w:val="auto"/>
                <w:szCs w:val="24"/>
              </w:rPr>
              <w:t>Расчетное</w:t>
            </w:r>
          </w:p>
        </w:tc>
        <w:tc>
          <w:tcPr>
            <w:tcW w:w="4536" w:type="dxa"/>
          </w:tcPr>
          <w:p w:rsidR="004740A0" w:rsidRDefault="004740A0" w:rsidP="006F5218">
            <w:pPr>
              <w:jc w:val="left"/>
              <w:rPr>
                <w:color w:val="auto"/>
                <w:szCs w:val="24"/>
              </w:rPr>
            </w:pPr>
            <w:r w:rsidRPr="0098550F">
              <w:rPr>
                <w:color w:val="auto"/>
                <w:szCs w:val="24"/>
              </w:rPr>
              <w:t xml:space="preserve">Выводится </w:t>
            </w:r>
            <w:r>
              <w:rPr>
                <w:color w:val="auto"/>
                <w:szCs w:val="24"/>
              </w:rPr>
              <w:t xml:space="preserve">разница </w:t>
            </w:r>
          </w:p>
          <w:p w:rsidR="004740A0" w:rsidRDefault="004740A0" w:rsidP="006F5218">
            <w:pPr>
              <w:rPr>
                <w:color w:val="auto"/>
                <w:szCs w:val="24"/>
              </w:rPr>
            </w:pPr>
            <w:r>
              <w:rPr>
                <w:color w:val="auto"/>
                <w:szCs w:val="24"/>
              </w:rPr>
              <w:t>Графа 6 – Графа 2</w:t>
            </w:r>
          </w:p>
          <w:p w:rsidR="004740A0" w:rsidRDefault="004740A0" w:rsidP="006F5218">
            <w:r>
              <w:rPr>
                <w:color w:val="auto"/>
                <w:szCs w:val="24"/>
              </w:rPr>
              <w:t>При превышении Оплаты над Фин обеспечением отображается цветовой индикатор цифр красного цвета.</w:t>
            </w:r>
          </w:p>
        </w:tc>
        <w:tc>
          <w:tcPr>
            <w:tcW w:w="2126" w:type="dxa"/>
          </w:tcPr>
          <w:p w:rsidR="004740A0" w:rsidRPr="0098550F" w:rsidRDefault="004740A0" w:rsidP="006F5218">
            <w:pPr>
              <w:jc w:val="left"/>
              <w:rPr>
                <w:color w:val="auto"/>
                <w:szCs w:val="24"/>
              </w:rPr>
            </w:pPr>
            <w:r>
              <w:rPr>
                <w:color w:val="auto"/>
                <w:szCs w:val="24"/>
              </w:rPr>
              <w:t>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Pr="0098550F" w:rsidRDefault="004740A0" w:rsidP="006F5218">
            <w:pPr>
              <w:rPr>
                <w:color w:val="auto"/>
                <w:szCs w:val="24"/>
              </w:rPr>
            </w:pPr>
            <w:r w:rsidRPr="0098550F">
              <w:rPr>
                <w:color w:val="auto"/>
                <w:szCs w:val="24"/>
              </w:rPr>
              <w:t>ГРБС</w:t>
            </w:r>
          </w:p>
        </w:tc>
        <w:tc>
          <w:tcPr>
            <w:tcW w:w="993" w:type="dxa"/>
          </w:tcPr>
          <w:p w:rsidR="004740A0" w:rsidRPr="0098550F" w:rsidRDefault="004740A0" w:rsidP="006F5218">
            <w:pPr>
              <w:jc w:val="left"/>
              <w:rPr>
                <w:color w:val="auto"/>
                <w:szCs w:val="24"/>
              </w:rPr>
            </w:pPr>
          </w:p>
        </w:tc>
        <w:tc>
          <w:tcPr>
            <w:tcW w:w="4536" w:type="dxa"/>
          </w:tcPr>
          <w:p w:rsidR="004740A0" w:rsidRPr="0098550F" w:rsidRDefault="004740A0" w:rsidP="006F5218">
            <w:pPr>
              <w:jc w:val="left"/>
              <w:rPr>
                <w:color w:val="auto"/>
                <w:szCs w:val="24"/>
              </w:rPr>
            </w:pPr>
            <w:r w:rsidRPr="0098550F">
              <w:rPr>
                <w:color w:val="auto"/>
                <w:szCs w:val="24"/>
              </w:rPr>
              <w:t>Плоский список с выбором конкретного ГРБС</w:t>
            </w:r>
          </w:p>
        </w:tc>
        <w:tc>
          <w:tcPr>
            <w:tcW w:w="2126" w:type="dxa"/>
          </w:tcPr>
          <w:p w:rsidR="004740A0" w:rsidRPr="0098550F" w:rsidRDefault="004740A0" w:rsidP="006F5218">
            <w:pPr>
              <w:rPr>
                <w:color w:val="auto"/>
                <w:szCs w:val="24"/>
              </w:rPr>
            </w:pPr>
            <w:r w:rsidRPr="0098550F">
              <w:rPr>
                <w:color w:val="auto"/>
                <w:szCs w:val="24"/>
              </w:rPr>
              <w:t>054 - Минкультуры России</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Pr="0098550F" w:rsidRDefault="004740A0" w:rsidP="006F5218">
            <w:pPr>
              <w:rPr>
                <w:color w:val="auto"/>
                <w:szCs w:val="24"/>
              </w:rPr>
            </w:pPr>
            <w:r w:rsidRPr="0098550F">
              <w:rPr>
                <w:color w:val="auto"/>
                <w:szCs w:val="24"/>
              </w:rPr>
              <w:t>Год</w:t>
            </w:r>
          </w:p>
        </w:tc>
        <w:tc>
          <w:tcPr>
            <w:tcW w:w="993" w:type="dxa"/>
          </w:tcPr>
          <w:p w:rsidR="004740A0" w:rsidRPr="0098550F" w:rsidRDefault="004740A0" w:rsidP="006F5218">
            <w:pPr>
              <w:jc w:val="left"/>
              <w:rPr>
                <w:color w:val="auto"/>
                <w:szCs w:val="24"/>
              </w:rPr>
            </w:pPr>
          </w:p>
        </w:tc>
        <w:tc>
          <w:tcPr>
            <w:tcW w:w="4536" w:type="dxa"/>
          </w:tcPr>
          <w:p w:rsidR="004740A0" w:rsidRPr="0098550F" w:rsidRDefault="004740A0" w:rsidP="006F5218">
            <w:pPr>
              <w:jc w:val="left"/>
              <w:rPr>
                <w:color w:val="auto"/>
                <w:szCs w:val="24"/>
              </w:rPr>
            </w:pPr>
            <w:r w:rsidRPr="0098550F">
              <w:rPr>
                <w:color w:val="auto"/>
                <w:szCs w:val="24"/>
              </w:rPr>
              <w:t>Плоский список с выбором нужного года. Расчет по дате внесения последнего изменения</w:t>
            </w:r>
          </w:p>
        </w:tc>
        <w:tc>
          <w:tcPr>
            <w:tcW w:w="2126" w:type="dxa"/>
          </w:tcPr>
          <w:p w:rsidR="004740A0" w:rsidRPr="0098550F" w:rsidRDefault="004740A0" w:rsidP="006F5218">
            <w:pPr>
              <w:rPr>
                <w:color w:val="auto"/>
                <w:szCs w:val="24"/>
              </w:rPr>
            </w:pPr>
            <w:r w:rsidRPr="0098550F">
              <w:rPr>
                <w:color w:val="auto"/>
                <w:szCs w:val="24"/>
              </w:rPr>
              <w:t>20</w:t>
            </w:r>
            <w:r>
              <w:rPr>
                <w:color w:val="auto"/>
                <w:szCs w:val="24"/>
              </w:rPr>
              <w:t>21</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Pr="0098550F" w:rsidRDefault="004740A0" w:rsidP="006F5218">
            <w:pPr>
              <w:rPr>
                <w:color w:val="auto"/>
                <w:szCs w:val="24"/>
              </w:rPr>
            </w:pPr>
            <w:r w:rsidRPr="0098550F">
              <w:rPr>
                <w:color w:val="auto"/>
                <w:szCs w:val="24"/>
              </w:rPr>
              <w:t>Единицы измерения</w:t>
            </w:r>
          </w:p>
        </w:tc>
        <w:tc>
          <w:tcPr>
            <w:tcW w:w="993" w:type="dxa"/>
          </w:tcPr>
          <w:p w:rsidR="004740A0" w:rsidRPr="0098550F" w:rsidRDefault="004740A0" w:rsidP="006F5218">
            <w:pPr>
              <w:jc w:val="left"/>
              <w:rPr>
                <w:color w:val="auto"/>
                <w:szCs w:val="24"/>
              </w:rPr>
            </w:pPr>
          </w:p>
        </w:tc>
        <w:tc>
          <w:tcPr>
            <w:tcW w:w="4536" w:type="dxa"/>
          </w:tcPr>
          <w:p w:rsidR="004740A0" w:rsidRPr="0098550F" w:rsidRDefault="004740A0" w:rsidP="006F5218">
            <w:pPr>
              <w:jc w:val="left"/>
              <w:rPr>
                <w:color w:val="auto"/>
                <w:szCs w:val="24"/>
              </w:rPr>
            </w:pPr>
            <w:r w:rsidRPr="0098550F">
              <w:rPr>
                <w:color w:val="auto"/>
                <w:szCs w:val="24"/>
              </w:rPr>
              <w:t>Плоский список с выбором единиц измерения. Состоит из элементов: руб., тыс. руб., млн руб., млрд руб.</w:t>
            </w:r>
          </w:p>
        </w:tc>
        <w:tc>
          <w:tcPr>
            <w:tcW w:w="2126" w:type="dxa"/>
          </w:tcPr>
          <w:p w:rsidR="004740A0" w:rsidRPr="0098550F" w:rsidRDefault="004740A0" w:rsidP="006F5218">
            <w:pPr>
              <w:rPr>
                <w:color w:val="auto"/>
                <w:szCs w:val="24"/>
              </w:rPr>
            </w:pPr>
            <w:r>
              <w:rPr>
                <w:color w:val="auto"/>
                <w:szCs w:val="24"/>
              </w:rPr>
              <w:t>тыс</w:t>
            </w:r>
            <w:r w:rsidRPr="0098550F">
              <w:rPr>
                <w:color w:val="auto"/>
                <w:szCs w:val="24"/>
              </w:rPr>
              <w:t xml:space="preserve"> руб</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Pr="0098550F" w:rsidRDefault="004740A0" w:rsidP="006F5218">
            <w:pPr>
              <w:rPr>
                <w:color w:val="auto"/>
                <w:szCs w:val="24"/>
              </w:rPr>
            </w:pPr>
            <w:r>
              <w:rPr>
                <w:color w:val="auto"/>
                <w:szCs w:val="24"/>
              </w:rPr>
              <w:t>Вице-премьер</w:t>
            </w:r>
          </w:p>
        </w:tc>
        <w:tc>
          <w:tcPr>
            <w:tcW w:w="993" w:type="dxa"/>
          </w:tcPr>
          <w:p w:rsidR="004740A0" w:rsidRPr="0098550F" w:rsidRDefault="004740A0" w:rsidP="006F5218">
            <w:pPr>
              <w:rPr>
                <w:color w:val="auto"/>
                <w:szCs w:val="24"/>
              </w:rPr>
            </w:pPr>
          </w:p>
        </w:tc>
        <w:tc>
          <w:tcPr>
            <w:tcW w:w="4536" w:type="dxa"/>
          </w:tcPr>
          <w:p w:rsidR="004740A0" w:rsidRPr="0098550F" w:rsidRDefault="004740A0" w:rsidP="006F5218">
            <w:pPr>
              <w:jc w:val="left"/>
              <w:rPr>
                <w:color w:val="auto"/>
                <w:szCs w:val="24"/>
              </w:rPr>
            </w:pPr>
            <w:r>
              <w:t>Выпадающий список без множественного выбора.</w:t>
            </w:r>
            <w:r>
              <w:br/>
              <w:t xml:space="preserve">Выводится ФИО вице-премьеров и значение «Иные» (цепочки КБК не курируемые вице-премьерами, а так же </w:t>
            </w:r>
            <w:r w:rsidRPr="004B39B3">
              <w:rPr>
                <w:snapToGrid/>
                <w:szCs w:val="28"/>
              </w:rPr>
              <w:t>по закрытым сведениям, не расписанным по тонким цепочкам КБК</w:t>
            </w:r>
            <w:r>
              <w:t>).</w:t>
            </w:r>
            <w:r>
              <w:b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r>
              <w:br/>
            </w:r>
            <w:r w:rsidRPr="00380564">
              <w:t>По умолч</w:t>
            </w:r>
            <w:r>
              <w:t>анию установлено значение «Все»</w:t>
            </w:r>
          </w:p>
        </w:tc>
        <w:tc>
          <w:tcPr>
            <w:tcW w:w="2126" w:type="dxa"/>
          </w:tcPr>
          <w:p w:rsidR="004740A0" w:rsidRPr="0098550F" w:rsidRDefault="004740A0" w:rsidP="006F5218">
            <w:pPr>
              <w:jc w:val="left"/>
              <w:rPr>
                <w:color w:val="auto"/>
                <w:szCs w:val="24"/>
              </w:rPr>
            </w:pPr>
            <w:r>
              <w:rPr>
                <w:color w:val="auto"/>
                <w:szCs w:val="24"/>
              </w:rPr>
              <w:t>В.В. Абрамченко</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Pr="0098550F" w:rsidRDefault="004740A0" w:rsidP="006F5218">
            <w:pPr>
              <w:rPr>
                <w:color w:val="auto"/>
                <w:szCs w:val="24"/>
              </w:rPr>
            </w:pPr>
            <w:r>
              <w:rPr>
                <w:color w:val="auto"/>
                <w:szCs w:val="24"/>
              </w:rPr>
              <w:t>РзПр</w:t>
            </w:r>
          </w:p>
        </w:tc>
        <w:tc>
          <w:tcPr>
            <w:tcW w:w="993" w:type="dxa"/>
          </w:tcPr>
          <w:p w:rsidR="004740A0" w:rsidRPr="0098550F" w:rsidRDefault="004740A0" w:rsidP="006F5218">
            <w:pPr>
              <w:rPr>
                <w:color w:val="auto"/>
                <w:szCs w:val="24"/>
              </w:rPr>
            </w:pPr>
          </w:p>
        </w:tc>
        <w:tc>
          <w:tcPr>
            <w:tcW w:w="4536" w:type="dxa"/>
          </w:tcPr>
          <w:p w:rsidR="004740A0" w:rsidRPr="0098550F" w:rsidRDefault="004740A0" w:rsidP="006F5218">
            <w:pPr>
              <w:jc w:val="left"/>
              <w:rPr>
                <w:color w:val="auto"/>
                <w:szCs w:val="24"/>
              </w:rPr>
            </w:pPr>
            <w:r>
              <w:t>В</w:t>
            </w:r>
            <w:r w:rsidRPr="00BD07C4">
              <w:t>ыпадающий иерархический список с множественным выбором. Выводятся код и наименование РЗПР. Возможность контекстного поиска по коду и наименованию РЗПР. По умолчанию выводится значение «Все».</w:t>
            </w:r>
          </w:p>
        </w:tc>
        <w:tc>
          <w:tcPr>
            <w:tcW w:w="2126" w:type="dxa"/>
          </w:tcPr>
          <w:p w:rsidR="004740A0" w:rsidRPr="0098550F" w:rsidRDefault="004740A0" w:rsidP="006F5218">
            <w:pPr>
              <w:rPr>
                <w:color w:val="auto"/>
                <w:szCs w:val="24"/>
              </w:rPr>
            </w:pPr>
            <w:r>
              <w:rPr>
                <w:color w:val="auto"/>
                <w:szCs w:val="24"/>
              </w:rPr>
              <w:t>0100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Default="004740A0" w:rsidP="006F5218">
            <w:pPr>
              <w:rPr>
                <w:color w:val="auto"/>
                <w:szCs w:val="24"/>
              </w:rPr>
            </w:pPr>
            <w:r>
              <w:rPr>
                <w:color w:val="auto"/>
                <w:szCs w:val="24"/>
              </w:rPr>
              <w:t>Закупка (КЦСР)</w:t>
            </w:r>
          </w:p>
        </w:tc>
        <w:tc>
          <w:tcPr>
            <w:tcW w:w="993" w:type="dxa"/>
          </w:tcPr>
          <w:p w:rsidR="004740A0" w:rsidRPr="0098550F" w:rsidRDefault="004740A0" w:rsidP="006F5218">
            <w:pPr>
              <w:rPr>
                <w:color w:val="auto"/>
                <w:szCs w:val="24"/>
              </w:rPr>
            </w:pPr>
          </w:p>
        </w:tc>
        <w:tc>
          <w:tcPr>
            <w:tcW w:w="4536" w:type="dxa"/>
          </w:tcPr>
          <w:p w:rsidR="004740A0" w:rsidRPr="00C10A06" w:rsidRDefault="004740A0" w:rsidP="006F5218">
            <w:pPr>
              <w:jc w:val="left"/>
              <w:rPr>
                <w:color w:val="auto"/>
                <w:szCs w:val="24"/>
              </w:rPr>
            </w:pPr>
            <w:r>
              <w:rPr>
                <w:color w:val="auto"/>
                <w:szCs w:val="24"/>
              </w:rPr>
              <w:t xml:space="preserve">Поисковая строка. </w:t>
            </w:r>
            <w:r w:rsidRPr="00C10A06">
              <w:rPr>
                <w:color w:val="auto"/>
                <w:szCs w:val="24"/>
              </w:rPr>
              <w:t>окно для поиска введённых значений по реквизиту «КЦСР» (10 знаков).</w:t>
            </w:r>
          </w:p>
          <w:p w:rsidR="004740A0" w:rsidRPr="0098550F" w:rsidRDefault="004740A0" w:rsidP="006F5218">
            <w:pPr>
              <w:jc w:val="left"/>
              <w:rPr>
                <w:color w:val="auto"/>
                <w:szCs w:val="24"/>
              </w:rPr>
            </w:pPr>
            <w:r w:rsidRPr="00C10A06">
              <w:rPr>
                <w:color w:val="auto"/>
                <w:szCs w:val="24"/>
              </w:rPr>
              <w:t>Множественного выбора нет.</w:t>
            </w:r>
          </w:p>
        </w:tc>
        <w:tc>
          <w:tcPr>
            <w:tcW w:w="2126" w:type="dxa"/>
          </w:tcPr>
          <w:p w:rsidR="004740A0" w:rsidRPr="0098550F" w:rsidRDefault="004740A0" w:rsidP="006F5218">
            <w:pPr>
              <w:rPr>
                <w:color w:val="auto"/>
                <w:szCs w:val="24"/>
              </w:rPr>
            </w:pPr>
            <w:r>
              <w:rPr>
                <w:color w:val="auto"/>
                <w:szCs w:val="24"/>
              </w:rPr>
              <w:t>0300500001</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Default="004740A0" w:rsidP="006F5218">
            <w:pPr>
              <w:rPr>
                <w:color w:val="auto"/>
                <w:szCs w:val="24"/>
              </w:rPr>
            </w:pPr>
            <w:r>
              <w:rPr>
                <w:color w:val="auto"/>
                <w:szCs w:val="24"/>
              </w:rPr>
              <w:t>КВР</w:t>
            </w:r>
          </w:p>
        </w:tc>
        <w:tc>
          <w:tcPr>
            <w:tcW w:w="993" w:type="dxa"/>
          </w:tcPr>
          <w:p w:rsidR="004740A0" w:rsidRPr="0098550F" w:rsidRDefault="004740A0" w:rsidP="006F5218">
            <w:pPr>
              <w:rPr>
                <w:color w:val="auto"/>
                <w:szCs w:val="24"/>
              </w:rPr>
            </w:pPr>
          </w:p>
        </w:tc>
        <w:tc>
          <w:tcPr>
            <w:tcW w:w="4536" w:type="dxa"/>
          </w:tcPr>
          <w:p w:rsidR="004740A0" w:rsidRPr="0098550F" w:rsidRDefault="004740A0" w:rsidP="006F5218">
            <w:pPr>
              <w:jc w:val="left"/>
              <w:rPr>
                <w:color w:val="auto"/>
                <w:szCs w:val="24"/>
              </w:rPr>
            </w:pPr>
            <w:r>
              <w:t>В</w:t>
            </w:r>
            <w:r w:rsidRPr="00BD07C4">
              <w:t>ыпадающий иерархический список с множественным выбором. Выводятся код и наименование КВР. Возможность контекстного поиска по коду и наименованию КВР. По умолчанию выводится значение «Все»</w:t>
            </w:r>
          </w:p>
        </w:tc>
        <w:tc>
          <w:tcPr>
            <w:tcW w:w="2126" w:type="dxa"/>
          </w:tcPr>
          <w:p w:rsidR="004740A0" w:rsidRPr="0098550F" w:rsidRDefault="004740A0" w:rsidP="006F5218">
            <w:pPr>
              <w:rPr>
                <w:color w:val="auto"/>
                <w:szCs w:val="24"/>
              </w:rPr>
            </w:pPr>
            <w:r>
              <w:rPr>
                <w:color w:val="auto"/>
                <w:szCs w:val="24"/>
              </w:rPr>
              <w:t>100</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Default="004740A0" w:rsidP="006F5218">
            <w:pPr>
              <w:rPr>
                <w:color w:val="auto"/>
                <w:szCs w:val="24"/>
              </w:rPr>
            </w:pPr>
            <w:r>
              <w:rPr>
                <w:color w:val="auto"/>
                <w:szCs w:val="24"/>
              </w:rPr>
              <w:t>НП (ФП)</w:t>
            </w:r>
          </w:p>
        </w:tc>
        <w:tc>
          <w:tcPr>
            <w:tcW w:w="993" w:type="dxa"/>
          </w:tcPr>
          <w:p w:rsidR="004740A0" w:rsidRPr="0098550F" w:rsidRDefault="004740A0" w:rsidP="006F5218">
            <w:pPr>
              <w:rPr>
                <w:color w:val="auto"/>
                <w:szCs w:val="24"/>
              </w:rPr>
            </w:pPr>
          </w:p>
        </w:tc>
        <w:tc>
          <w:tcPr>
            <w:tcW w:w="4536" w:type="dxa"/>
          </w:tcPr>
          <w:p w:rsidR="004740A0" w:rsidRPr="0098550F" w:rsidRDefault="004740A0" w:rsidP="006F5218">
            <w:pPr>
              <w:jc w:val="left"/>
              <w:rPr>
                <w:color w:val="auto"/>
                <w:szCs w:val="24"/>
              </w:rPr>
            </w:pPr>
            <w:r>
              <w:t>В</w:t>
            </w:r>
            <w:r w:rsidRPr="00BD07C4">
              <w:t>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tc>
        <w:tc>
          <w:tcPr>
            <w:tcW w:w="2126" w:type="dxa"/>
          </w:tcPr>
          <w:p w:rsidR="004740A0" w:rsidRPr="0098550F" w:rsidRDefault="004740A0" w:rsidP="006F5218">
            <w:pPr>
              <w:rPr>
                <w:color w:val="auto"/>
                <w:szCs w:val="24"/>
              </w:rPr>
            </w:pPr>
            <w:r>
              <w:rPr>
                <w:color w:val="auto"/>
                <w:szCs w:val="24"/>
              </w:rPr>
              <w:t>А-Культура</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Фильтр</w:t>
            </w:r>
          </w:p>
        </w:tc>
        <w:tc>
          <w:tcPr>
            <w:tcW w:w="1275" w:type="dxa"/>
            <w:shd w:val="clear" w:color="auto" w:fill="auto"/>
          </w:tcPr>
          <w:p w:rsidR="004740A0" w:rsidRDefault="004740A0" w:rsidP="006F5218">
            <w:pPr>
              <w:rPr>
                <w:color w:val="auto"/>
                <w:szCs w:val="24"/>
              </w:rPr>
            </w:pPr>
            <w:r>
              <w:rPr>
                <w:color w:val="auto"/>
                <w:szCs w:val="24"/>
              </w:rPr>
              <w:t>Тип КБК</w:t>
            </w:r>
          </w:p>
        </w:tc>
        <w:tc>
          <w:tcPr>
            <w:tcW w:w="993" w:type="dxa"/>
          </w:tcPr>
          <w:p w:rsidR="004740A0" w:rsidRPr="0098550F" w:rsidRDefault="004740A0" w:rsidP="006F5218">
            <w:pPr>
              <w:rPr>
                <w:color w:val="auto"/>
                <w:szCs w:val="24"/>
              </w:rPr>
            </w:pPr>
          </w:p>
        </w:tc>
        <w:tc>
          <w:tcPr>
            <w:tcW w:w="4536" w:type="dxa"/>
          </w:tcPr>
          <w:p w:rsidR="004740A0" w:rsidRPr="0098550F" w:rsidRDefault="004740A0" w:rsidP="006F5218">
            <w:pPr>
              <w:jc w:val="left"/>
              <w:rPr>
                <w:color w:val="auto"/>
                <w:szCs w:val="24"/>
              </w:rPr>
            </w:pPr>
            <w:r>
              <w:rPr>
                <w:color w:val="auto"/>
                <w:szCs w:val="24"/>
              </w:rPr>
              <w:t>Выпадающий список с возможностью выбора открытых и закрытых цепочек КБК. По умолчанию значение «Открытые КБК»</w:t>
            </w:r>
          </w:p>
        </w:tc>
        <w:tc>
          <w:tcPr>
            <w:tcW w:w="2126" w:type="dxa"/>
          </w:tcPr>
          <w:p w:rsidR="004740A0" w:rsidRPr="0098550F" w:rsidRDefault="004740A0" w:rsidP="006F5218">
            <w:pPr>
              <w:rPr>
                <w:color w:val="auto"/>
                <w:szCs w:val="24"/>
              </w:rPr>
            </w:pPr>
            <w:r>
              <w:rPr>
                <w:color w:val="auto"/>
                <w:szCs w:val="24"/>
              </w:rPr>
              <w:t>Открытые КБК</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sidRPr="0098550F">
              <w:rPr>
                <w:color w:val="auto"/>
                <w:szCs w:val="24"/>
              </w:rPr>
              <w:t>Переход</w:t>
            </w:r>
          </w:p>
        </w:tc>
        <w:tc>
          <w:tcPr>
            <w:tcW w:w="1275" w:type="dxa"/>
            <w:shd w:val="clear" w:color="auto" w:fill="auto"/>
          </w:tcPr>
          <w:p w:rsidR="004740A0" w:rsidRPr="0098550F" w:rsidRDefault="004740A0" w:rsidP="006F5218">
            <w:pPr>
              <w:rPr>
                <w:color w:val="auto"/>
                <w:szCs w:val="24"/>
              </w:rPr>
            </w:pPr>
            <w:r w:rsidRPr="0098550F">
              <w:rPr>
                <w:color w:val="auto"/>
                <w:szCs w:val="24"/>
              </w:rPr>
              <w:t>По</w:t>
            </w:r>
            <w:r>
              <w:rPr>
                <w:color w:val="auto"/>
                <w:szCs w:val="24"/>
              </w:rPr>
              <w:t>казать в ЕИС</w:t>
            </w:r>
          </w:p>
        </w:tc>
        <w:tc>
          <w:tcPr>
            <w:tcW w:w="993" w:type="dxa"/>
          </w:tcPr>
          <w:p w:rsidR="004740A0" w:rsidRPr="0098550F" w:rsidRDefault="004740A0" w:rsidP="006F5218">
            <w:pPr>
              <w:jc w:val="left"/>
              <w:rPr>
                <w:color w:val="auto"/>
                <w:szCs w:val="24"/>
              </w:rPr>
            </w:pPr>
          </w:p>
        </w:tc>
        <w:tc>
          <w:tcPr>
            <w:tcW w:w="4536" w:type="dxa"/>
          </w:tcPr>
          <w:p w:rsidR="004740A0" w:rsidRPr="0098550F" w:rsidRDefault="004740A0" w:rsidP="006F5218">
            <w:pPr>
              <w:jc w:val="left"/>
              <w:rPr>
                <w:color w:val="auto"/>
                <w:szCs w:val="24"/>
              </w:rPr>
            </w:pPr>
            <w:r w:rsidRPr="0098550F">
              <w:rPr>
                <w:color w:val="auto"/>
                <w:szCs w:val="24"/>
              </w:rPr>
              <w:t xml:space="preserve">Переход с графы </w:t>
            </w:r>
            <w:r>
              <w:rPr>
                <w:color w:val="auto"/>
                <w:szCs w:val="24"/>
              </w:rPr>
              <w:t>Номер реестровой записи контракта</w:t>
            </w:r>
            <w:r w:rsidRPr="0098550F">
              <w:rPr>
                <w:color w:val="auto"/>
                <w:szCs w:val="24"/>
              </w:rPr>
              <w:t xml:space="preserve"> </w:t>
            </w:r>
            <w:r>
              <w:rPr>
                <w:color w:val="auto"/>
                <w:szCs w:val="24"/>
              </w:rPr>
              <w:t xml:space="preserve">на сайт </w:t>
            </w:r>
            <w:hyperlink r:id="rId355" w:history="1">
              <w:r w:rsidRPr="00504ABA">
                <w:rPr>
                  <w:rStyle w:val="af5"/>
                  <w:szCs w:val="24"/>
                </w:rPr>
                <w:t>https://zakupki.gov.ru</w:t>
              </w:r>
            </w:hyperlink>
            <w:r>
              <w:rPr>
                <w:color w:val="auto"/>
                <w:szCs w:val="24"/>
              </w:rPr>
              <w:t xml:space="preserve"> с передачей номера контракта</w:t>
            </w:r>
          </w:p>
        </w:tc>
        <w:tc>
          <w:tcPr>
            <w:tcW w:w="2126" w:type="dxa"/>
          </w:tcPr>
          <w:p w:rsidR="004740A0" w:rsidRPr="0098550F" w:rsidRDefault="004740A0" w:rsidP="006F5218">
            <w:pPr>
              <w:rPr>
                <w:color w:val="auto"/>
                <w:szCs w:val="24"/>
              </w:rPr>
            </w:pPr>
            <w:r w:rsidRPr="00C10A06">
              <w:rPr>
                <w:color w:val="auto"/>
                <w:szCs w:val="24"/>
              </w:rPr>
              <w:t>https://zakupki.gov.ru/epz/contract/contractCard/common-info.html?reestrNumber=0173100000414000011</w:t>
            </w:r>
          </w:p>
        </w:tc>
      </w:tr>
      <w:tr w:rsidR="004740A0" w:rsidRPr="0098550F" w:rsidTr="006F5218">
        <w:trPr>
          <w:cantSplit/>
          <w:trHeight w:val="223"/>
        </w:trPr>
        <w:tc>
          <w:tcPr>
            <w:tcW w:w="1101" w:type="dxa"/>
            <w:shd w:val="clear" w:color="auto" w:fill="auto"/>
          </w:tcPr>
          <w:p w:rsidR="004740A0" w:rsidRPr="0098550F" w:rsidRDefault="004740A0" w:rsidP="005C6E50">
            <w:pPr>
              <w:numPr>
                <w:ilvl w:val="0"/>
                <w:numId w:val="144"/>
              </w:numPr>
              <w:ind w:left="426"/>
              <w:jc w:val="left"/>
              <w:rPr>
                <w:color w:val="auto"/>
                <w:szCs w:val="24"/>
              </w:rPr>
            </w:pPr>
            <w:r>
              <w:rPr>
                <w:color w:val="auto"/>
                <w:szCs w:val="24"/>
              </w:rPr>
              <w:t>Переход</w:t>
            </w:r>
          </w:p>
        </w:tc>
        <w:tc>
          <w:tcPr>
            <w:tcW w:w="1275" w:type="dxa"/>
            <w:shd w:val="clear" w:color="auto" w:fill="auto"/>
          </w:tcPr>
          <w:p w:rsidR="004740A0" w:rsidRPr="0098550F" w:rsidRDefault="004740A0" w:rsidP="006F5218">
            <w:pPr>
              <w:rPr>
                <w:color w:val="auto"/>
                <w:szCs w:val="24"/>
              </w:rPr>
            </w:pPr>
            <w:r>
              <w:rPr>
                <w:color w:val="auto"/>
                <w:szCs w:val="24"/>
              </w:rPr>
              <w:t>По бюджетным обязательствам</w:t>
            </w:r>
          </w:p>
        </w:tc>
        <w:tc>
          <w:tcPr>
            <w:tcW w:w="993" w:type="dxa"/>
          </w:tcPr>
          <w:p w:rsidR="004740A0" w:rsidRPr="0098550F" w:rsidRDefault="004740A0" w:rsidP="006F5218">
            <w:pPr>
              <w:jc w:val="left"/>
              <w:rPr>
                <w:color w:val="auto"/>
                <w:szCs w:val="24"/>
              </w:rPr>
            </w:pPr>
          </w:p>
        </w:tc>
        <w:tc>
          <w:tcPr>
            <w:tcW w:w="4536" w:type="dxa"/>
          </w:tcPr>
          <w:p w:rsidR="004740A0" w:rsidRPr="0098550F" w:rsidRDefault="004740A0" w:rsidP="006F5218">
            <w:pPr>
              <w:jc w:val="left"/>
              <w:rPr>
                <w:color w:val="auto"/>
                <w:szCs w:val="24"/>
              </w:rPr>
            </w:pPr>
            <w:r>
              <w:rPr>
                <w:color w:val="auto"/>
                <w:szCs w:val="24"/>
              </w:rPr>
              <w:t>Переход с графы «Объем бюджетных обязательств в ПУР» в представление «По бюджетным обязательствам» с передачей номера бюджетного обязательства.</w:t>
            </w:r>
          </w:p>
        </w:tc>
        <w:tc>
          <w:tcPr>
            <w:tcW w:w="2126" w:type="dxa"/>
          </w:tcPr>
          <w:p w:rsidR="004740A0" w:rsidRPr="00C10A06" w:rsidRDefault="004740A0" w:rsidP="006F5218">
            <w:pPr>
              <w:rPr>
                <w:color w:val="auto"/>
                <w:szCs w:val="24"/>
              </w:rPr>
            </w:pPr>
          </w:p>
        </w:tc>
      </w:tr>
    </w:tbl>
    <w:p w:rsidR="006F5218" w:rsidRDefault="006F5218" w:rsidP="00456894">
      <w:pPr>
        <w:pStyle w:val="-0"/>
      </w:pPr>
      <w:r>
        <w:rPr>
          <w:noProof/>
          <w:snapToGrid/>
        </w:rPr>
        <w:drawing>
          <wp:inline distT="0" distB="0" distL="0" distR="0" wp14:anchorId="4DC23CCA" wp14:editId="2FA2F736">
            <wp:extent cx="6119495" cy="2981441"/>
            <wp:effectExtent l="0" t="0" r="0" b="9525"/>
            <wp:docPr id="5714" name="Рисунок 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6"/>
                    <a:stretch>
                      <a:fillRect/>
                    </a:stretch>
                  </pic:blipFill>
                  <pic:spPr>
                    <a:xfrm>
                      <a:off x="0" y="0"/>
                      <a:ext cx="6119495" cy="2981441"/>
                    </a:xfrm>
                    <a:prstGeom prst="rect">
                      <a:avLst/>
                    </a:prstGeom>
                  </pic:spPr>
                </pic:pic>
              </a:graphicData>
            </a:graphic>
          </wp:inline>
        </w:drawing>
      </w:r>
    </w:p>
    <w:p w:rsidR="004740A0" w:rsidRDefault="006F5218" w:rsidP="006F5218">
      <w:pPr>
        <w:pStyle w:val="-0"/>
      </w:pPr>
      <w:bookmarkStart w:id="1064" w:name="_Toc119584463"/>
      <w:r>
        <w:t xml:space="preserve">Рисунок </w:t>
      </w:r>
      <w:fldSimple w:instr=" SEQ Рисунок \* ARABIC ">
        <w:r w:rsidR="001860A9">
          <w:rPr>
            <w:noProof/>
          </w:rPr>
          <w:t>276</w:t>
        </w:r>
      </w:fldSimple>
      <w:r>
        <w:rPr>
          <w:noProof/>
        </w:rPr>
        <w:t xml:space="preserve"> –</w:t>
      </w:r>
      <w:r>
        <w:t xml:space="preserve"> </w:t>
      </w:r>
      <w:r w:rsidRPr="00AF0527">
        <w:t>Макет отчета «</w:t>
      </w:r>
      <w:r>
        <w:t>Мониторинговый отчет о контрактах в разрезе БО</w:t>
      </w:r>
      <w:r w:rsidRPr="00AF0527">
        <w:t xml:space="preserve">». «По </w:t>
      </w:r>
      <w:r>
        <w:t>контрактам ЕИС-По контрактам</w:t>
      </w:r>
      <w:r w:rsidRPr="00AF0527">
        <w:t>»</w:t>
      </w:r>
      <w:bookmarkEnd w:id="1064"/>
    </w:p>
    <w:p w:rsidR="006F5218" w:rsidRPr="00FA3FE8" w:rsidRDefault="006F5218" w:rsidP="00E503E4">
      <w:pPr>
        <w:pStyle w:val="42"/>
      </w:pPr>
      <w:bookmarkStart w:id="1065" w:name="_Toc93506818"/>
      <w:r>
        <w:t>Представление «По контрактам ЕИС-По бюджетным обязательствам».</w:t>
      </w:r>
      <w:bookmarkEnd w:id="1065"/>
      <w:r w:rsidRPr="00D618FA">
        <w:t xml:space="preserve"> </w:t>
      </w:r>
    </w:p>
    <w:p w:rsidR="006F5218" w:rsidRDefault="006F5218" w:rsidP="00DB7ADA">
      <w:pPr>
        <w:pStyle w:val="af0"/>
        <w:rPr>
          <w:rFonts w:eastAsia="Calibri"/>
        </w:rPr>
      </w:pPr>
      <w:r>
        <w:rPr>
          <w:rStyle w:val="af1"/>
        </w:rPr>
        <w:t>Аналитический отчет</w:t>
      </w:r>
      <w:r w:rsidRPr="00CB7C5A">
        <w:rPr>
          <w:rStyle w:val="af1"/>
        </w:rPr>
        <w:t xml:space="preserve"> «</w:t>
      </w:r>
      <w:r>
        <w:rPr>
          <w:rStyle w:val="af1"/>
        </w:rPr>
        <w:t>Мониторинговый отчет о контрактах в разрезе БО</w:t>
      </w:r>
      <w:r w:rsidRPr="00CB7C5A">
        <w:rPr>
          <w:rStyle w:val="af1"/>
        </w:rPr>
        <w:t>»</w:t>
      </w:r>
      <w:r>
        <w:rPr>
          <w:rStyle w:val="af1"/>
        </w:rPr>
        <w:t xml:space="preserve"> в представлении «По контрактам ЕИС-По бюджетным обязательствам» </w:t>
      </w:r>
      <w:r>
        <w:rPr>
          <w:szCs w:val="28"/>
        </w:rPr>
        <w:t>должен обеспечивать возможность анализа информации о суммах бюджетных и денежных обязательств, а также оплаты по контракту, предоставляемых из различных источников данных, в разрезе номеров бюджетных обязательств</w:t>
      </w:r>
      <w:r>
        <w:rPr>
          <w:rFonts w:eastAsia="Calibri"/>
        </w:rPr>
        <w:t xml:space="preserve">. </w:t>
      </w:r>
    </w:p>
    <w:p w:rsidR="006F5218" w:rsidRDefault="006F5218" w:rsidP="00DB7ADA">
      <w:pPr>
        <w:pStyle w:val="af0"/>
        <w:rPr>
          <w:rFonts w:eastAsia="Calibri"/>
        </w:rPr>
      </w:pPr>
      <w:r>
        <w:rPr>
          <w:rFonts w:eastAsia="Calibri"/>
        </w:rPr>
        <w:t>Перечень столбцов, которые должна содержать таблица, а также параметров представления, переходов и их описание представлены в таблице</w:t>
      </w:r>
      <w:r w:rsidR="0032380D">
        <w:rPr>
          <w:rFonts w:eastAsia="Calibri"/>
        </w:rPr>
        <w:t xml:space="preserve"> </w:t>
      </w:r>
      <w:r w:rsidR="0032380D">
        <w:rPr>
          <w:rFonts w:eastAsia="Calibri"/>
        </w:rPr>
        <w:fldChar w:fldCharType="begin"/>
      </w:r>
      <w:r w:rsidR="0032380D">
        <w:rPr>
          <w:rFonts w:eastAsia="Calibri"/>
        </w:rPr>
        <w:instrText xml:space="preserve"> REF _Ref93583636 \h </w:instrText>
      </w:r>
      <w:r w:rsidR="0032380D">
        <w:rPr>
          <w:rFonts w:eastAsia="Calibri"/>
        </w:rPr>
      </w:r>
      <w:r w:rsidR="0032380D">
        <w:rPr>
          <w:rFonts w:eastAsia="Calibri"/>
        </w:rPr>
        <w:fldChar w:fldCharType="separate"/>
      </w:r>
      <w:r w:rsidR="00BF0BEE">
        <w:rPr>
          <w:noProof/>
        </w:rPr>
        <w:t>40</w:t>
      </w:r>
      <w:r w:rsidR="0032380D">
        <w:rPr>
          <w:rFonts w:eastAsia="Calibri"/>
        </w:rPr>
        <w:fldChar w:fldCharType="end"/>
      </w:r>
      <w:r w:rsidR="0032380D">
        <w:rPr>
          <w:rFonts w:eastAsia="Calibri"/>
        </w:rPr>
        <w:t>.</w:t>
      </w:r>
    </w:p>
    <w:p w:rsidR="0032380D" w:rsidRDefault="0032380D" w:rsidP="0032380D">
      <w:pPr>
        <w:pStyle w:val="-"/>
      </w:pPr>
      <w:bookmarkStart w:id="1066" w:name="_Toc119585181"/>
      <w:r>
        <w:t xml:space="preserve">Таблица </w:t>
      </w:r>
      <w:fldSimple w:instr=" SEQ Таблица \* ARABIC ">
        <w:bookmarkStart w:id="1067" w:name="_Ref93583636"/>
        <w:r w:rsidR="00BF0BEE">
          <w:rPr>
            <w:noProof/>
          </w:rPr>
          <w:t>40</w:t>
        </w:r>
        <w:bookmarkEnd w:id="1067"/>
      </w:fldSimple>
      <w:r>
        <w:rPr>
          <w:noProof/>
        </w:rPr>
        <w:t xml:space="preserve"> –</w:t>
      </w:r>
      <w:r>
        <w:t xml:space="preserve"> Перечень граф и параметров представления «По КБК»</w:t>
      </w:r>
      <w:bookmarkEnd w:id="1066"/>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1357"/>
        <w:gridCol w:w="992"/>
        <w:gridCol w:w="3827"/>
        <w:gridCol w:w="2552"/>
      </w:tblGrid>
      <w:tr w:rsidR="0032380D" w:rsidRPr="0098550F" w:rsidTr="0032380D">
        <w:trPr>
          <w:cantSplit/>
          <w:trHeight w:val="347"/>
          <w:tblHeader/>
        </w:trPr>
        <w:tc>
          <w:tcPr>
            <w:tcW w:w="1445" w:type="dxa"/>
            <w:shd w:val="clear" w:color="auto" w:fill="D9D9D9" w:themeFill="background1" w:themeFillShade="D9"/>
            <w:vAlign w:val="center"/>
            <w:hideMark/>
          </w:tcPr>
          <w:p w:rsidR="0032380D" w:rsidRPr="0098550F" w:rsidRDefault="0032380D" w:rsidP="00010838">
            <w:pPr>
              <w:jc w:val="center"/>
              <w:rPr>
                <w:b/>
                <w:bCs/>
                <w:color w:val="auto"/>
                <w:szCs w:val="24"/>
              </w:rPr>
            </w:pPr>
            <w:r w:rsidRPr="0098550F">
              <w:rPr>
                <w:b/>
                <w:bCs/>
                <w:color w:val="auto"/>
                <w:szCs w:val="24"/>
              </w:rPr>
              <w:t>Тип</w:t>
            </w:r>
          </w:p>
        </w:tc>
        <w:tc>
          <w:tcPr>
            <w:tcW w:w="1357" w:type="dxa"/>
            <w:shd w:val="clear" w:color="auto" w:fill="D9D9D9" w:themeFill="background1" w:themeFillShade="D9"/>
            <w:vAlign w:val="center"/>
            <w:hideMark/>
          </w:tcPr>
          <w:p w:rsidR="0032380D" w:rsidRPr="0098550F" w:rsidRDefault="0032380D" w:rsidP="00010838">
            <w:pPr>
              <w:jc w:val="center"/>
              <w:rPr>
                <w:b/>
                <w:bCs/>
                <w:color w:val="auto"/>
                <w:szCs w:val="24"/>
              </w:rPr>
            </w:pPr>
            <w:r w:rsidRPr="0098550F">
              <w:rPr>
                <w:b/>
                <w:bCs/>
                <w:color w:val="auto"/>
                <w:szCs w:val="24"/>
              </w:rPr>
              <w:t>Наименование</w:t>
            </w:r>
          </w:p>
        </w:tc>
        <w:tc>
          <w:tcPr>
            <w:tcW w:w="992" w:type="dxa"/>
            <w:shd w:val="clear" w:color="auto" w:fill="D9D9D9" w:themeFill="background1" w:themeFillShade="D9"/>
          </w:tcPr>
          <w:p w:rsidR="0032380D" w:rsidRPr="0098550F" w:rsidRDefault="0032380D" w:rsidP="00010838">
            <w:pPr>
              <w:jc w:val="center"/>
              <w:rPr>
                <w:b/>
                <w:bCs/>
                <w:color w:val="auto"/>
                <w:szCs w:val="24"/>
              </w:rPr>
            </w:pPr>
            <w:r w:rsidRPr="0098550F">
              <w:rPr>
                <w:b/>
                <w:bCs/>
                <w:color w:val="auto"/>
                <w:szCs w:val="24"/>
              </w:rPr>
              <w:t>Источник данных</w:t>
            </w:r>
          </w:p>
        </w:tc>
        <w:tc>
          <w:tcPr>
            <w:tcW w:w="3827" w:type="dxa"/>
            <w:shd w:val="clear" w:color="auto" w:fill="D9D9D9" w:themeFill="background1" w:themeFillShade="D9"/>
            <w:vAlign w:val="center"/>
          </w:tcPr>
          <w:p w:rsidR="0032380D" w:rsidRPr="0098550F" w:rsidRDefault="0032380D" w:rsidP="00010838">
            <w:pPr>
              <w:jc w:val="center"/>
              <w:rPr>
                <w:b/>
                <w:bCs/>
                <w:color w:val="auto"/>
                <w:szCs w:val="24"/>
              </w:rPr>
            </w:pPr>
            <w:r w:rsidRPr="0098550F">
              <w:rPr>
                <w:b/>
                <w:bCs/>
                <w:color w:val="auto"/>
                <w:szCs w:val="24"/>
              </w:rPr>
              <w:t>Примечание</w:t>
            </w:r>
          </w:p>
        </w:tc>
        <w:tc>
          <w:tcPr>
            <w:tcW w:w="2552" w:type="dxa"/>
            <w:shd w:val="clear" w:color="auto" w:fill="D9D9D9" w:themeFill="background1" w:themeFillShade="D9"/>
            <w:vAlign w:val="center"/>
          </w:tcPr>
          <w:p w:rsidR="0032380D" w:rsidRPr="0098550F" w:rsidRDefault="0032380D" w:rsidP="00010838">
            <w:pPr>
              <w:jc w:val="center"/>
              <w:rPr>
                <w:b/>
                <w:bCs/>
                <w:color w:val="auto"/>
                <w:szCs w:val="24"/>
              </w:rPr>
            </w:pPr>
            <w:r w:rsidRPr="0098550F">
              <w:rPr>
                <w:b/>
                <w:bCs/>
                <w:color w:val="auto"/>
                <w:szCs w:val="24"/>
              </w:rPr>
              <w:t>Пример</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Графа</w:t>
            </w:r>
          </w:p>
        </w:tc>
        <w:tc>
          <w:tcPr>
            <w:tcW w:w="1357" w:type="dxa"/>
            <w:shd w:val="clear" w:color="auto" w:fill="auto"/>
          </w:tcPr>
          <w:p w:rsidR="0032380D" w:rsidRPr="0098550F" w:rsidRDefault="0032380D" w:rsidP="00010838">
            <w:pPr>
              <w:jc w:val="left"/>
              <w:rPr>
                <w:color w:val="auto"/>
                <w:szCs w:val="24"/>
              </w:rPr>
            </w:pPr>
            <w:r>
              <w:rPr>
                <w:color w:val="auto"/>
                <w:szCs w:val="24"/>
              </w:rPr>
              <w:t>Номер реестровой записи контракта</w:t>
            </w:r>
          </w:p>
        </w:tc>
        <w:tc>
          <w:tcPr>
            <w:tcW w:w="992" w:type="dxa"/>
          </w:tcPr>
          <w:p w:rsidR="0032380D" w:rsidRPr="0098550F" w:rsidRDefault="0032380D" w:rsidP="00010838">
            <w:pPr>
              <w:jc w:val="left"/>
              <w:rPr>
                <w:color w:val="auto"/>
                <w:szCs w:val="24"/>
              </w:rPr>
            </w:pPr>
            <w:r>
              <w:rPr>
                <w:color w:val="auto"/>
                <w:szCs w:val="24"/>
              </w:rPr>
              <w:t>ЕИС</w:t>
            </w:r>
          </w:p>
        </w:tc>
        <w:tc>
          <w:tcPr>
            <w:tcW w:w="3827" w:type="dxa"/>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номер реестровой записи контракта</w:t>
            </w:r>
          </w:p>
        </w:tc>
        <w:tc>
          <w:tcPr>
            <w:tcW w:w="2552" w:type="dxa"/>
          </w:tcPr>
          <w:p w:rsidR="0032380D" w:rsidRPr="0098550F" w:rsidRDefault="0032380D" w:rsidP="00010838">
            <w:pPr>
              <w:jc w:val="left"/>
              <w:rPr>
                <w:color w:val="auto"/>
                <w:szCs w:val="24"/>
              </w:rPr>
            </w:pPr>
            <w:r w:rsidRPr="00052F13">
              <w:rPr>
                <w:color w:val="auto"/>
                <w:szCs w:val="24"/>
              </w:rPr>
              <w:t>0123100000512000055</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Графа</w:t>
            </w:r>
          </w:p>
        </w:tc>
        <w:tc>
          <w:tcPr>
            <w:tcW w:w="1357" w:type="dxa"/>
            <w:shd w:val="clear" w:color="auto" w:fill="auto"/>
          </w:tcPr>
          <w:p w:rsidR="0032380D" w:rsidRPr="0098550F" w:rsidRDefault="0032380D" w:rsidP="00010838">
            <w:pPr>
              <w:rPr>
                <w:color w:val="auto"/>
                <w:szCs w:val="24"/>
              </w:rPr>
            </w:pPr>
            <w:r>
              <w:rPr>
                <w:color w:val="auto"/>
                <w:szCs w:val="24"/>
              </w:rPr>
              <w:t>Номер бюджетного обязательства</w:t>
            </w:r>
          </w:p>
        </w:tc>
        <w:tc>
          <w:tcPr>
            <w:tcW w:w="992" w:type="dxa"/>
          </w:tcPr>
          <w:p w:rsidR="0032380D" w:rsidRPr="0098550F" w:rsidRDefault="0032380D" w:rsidP="00010838">
            <w:pPr>
              <w:rPr>
                <w:color w:val="auto"/>
                <w:szCs w:val="24"/>
              </w:rPr>
            </w:pPr>
            <w:r w:rsidRPr="0098550F">
              <w:rPr>
                <w:color w:val="auto"/>
                <w:szCs w:val="24"/>
              </w:rPr>
              <w:t>БД ПУР ЭБ</w:t>
            </w:r>
          </w:p>
        </w:tc>
        <w:tc>
          <w:tcPr>
            <w:tcW w:w="3827" w:type="dxa"/>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номер бюджетного обязательства</w:t>
            </w:r>
          </w:p>
        </w:tc>
        <w:tc>
          <w:tcPr>
            <w:tcW w:w="2552" w:type="dxa"/>
          </w:tcPr>
          <w:p w:rsidR="0032380D" w:rsidRPr="0098550F" w:rsidRDefault="0032380D" w:rsidP="00010838">
            <w:pPr>
              <w:rPr>
                <w:color w:val="auto"/>
                <w:szCs w:val="24"/>
              </w:rPr>
            </w:pPr>
            <w:r w:rsidRPr="00C356D2">
              <w:rPr>
                <w:color w:val="auto"/>
                <w:szCs w:val="24"/>
              </w:rPr>
              <w:t>23W0057201202014</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Графа</w:t>
            </w:r>
          </w:p>
        </w:tc>
        <w:tc>
          <w:tcPr>
            <w:tcW w:w="1357" w:type="dxa"/>
            <w:shd w:val="clear" w:color="auto" w:fill="auto"/>
          </w:tcPr>
          <w:p w:rsidR="0032380D" w:rsidRPr="0098550F" w:rsidRDefault="0032380D" w:rsidP="00010838">
            <w:pPr>
              <w:jc w:val="left"/>
              <w:rPr>
                <w:color w:val="auto"/>
                <w:szCs w:val="24"/>
              </w:rPr>
            </w:pPr>
            <w:r>
              <w:rPr>
                <w:color w:val="auto"/>
                <w:szCs w:val="24"/>
              </w:rPr>
              <w:t>Объем бюджетных обязательств</w:t>
            </w:r>
          </w:p>
        </w:tc>
        <w:tc>
          <w:tcPr>
            <w:tcW w:w="992" w:type="dxa"/>
          </w:tcPr>
          <w:p w:rsidR="0032380D" w:rsidRDefault="0032380D" w:rsidP="00010838">
            <w:r w:rsidRPr="004B79F2">
              <w:rPr>
                <w:color w:val="auto"/>
                <w:szCs w:val="24"/>
              </w:rPr>
              <w:t>БД ПУР ЭБ</w:t>
            </w:r>
          </w:p>
        </w:tc>
        <w:tc>
          <w:tcPr>
            <w:tcW w:w="3827" w:type="dxa"/>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сумма бюджетных обязательств по номеру БО</w:t>
            </w:r>
          </w:p>
        </w:tc>
        <w:tc>
          <w:tcPr>
            <w:tcW w:w="2552" w:type="dxa"/>
          </w:tcPr>
          <w:p w:rsidR="0032380D" w:rsidRPr="0098550F" w:rsidRDefault="0032380D" w:rsidP="00010838">
            <w:pPr>
              <w:jc w:val="left"/>
              <w:rPr>
                <w:color w:val="auto"/>
                <w:szCs w:val="24"/>
              </w:rPr>
            </w:pPr>
            <w:r w:rsidRPr="007A61D5">
              <w:rPr>
                <w:color w:val="auto"/>
                <w:szCs w:val="24"/>
              </w:rPr>
              <w:t>208,8</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Pr>
                <w:color w:val="auto"/>
                <w:szCs w:val="24"/>
              </w:rPr>
              <w:t>Графа</w:t>
            </w:r>
          </w:p>
        </w:tc>
        <w:tc>
          <w:tcPr>
            <w:tcW w:w="1357" w:type="dxa"/>
            <w:shd w:val="clear" w:color="auto" w:fill="auto"/>
          </w:tcPr>
          <w:p w:rsidR="0032380D" w:rsidRDefault="0032380D" w:rsidP="00010838">
            <w:pPr>
              <w:jc w:val="left"/>
              <w:rPr>
                <w:color w:val="auto"/>
                <w:szCs w:val="24"/>
              </w:rPr>
            </w:pPr>
            <w:r>
              <w:rPr>
                <w:color w:val="auto"/>
                <w:szCs w:val="24"/>
              </w:rPr>
              <w:t>Объем денежных обязательств</w:t>
            </w:r>
          </w:p>
        </w:tc>
        <w:tc>
          <w:tcPr>
            <w:tcW w:w="992" w:type="dxa"/>
          </w:tcPr>
          <w:p w:rsidR="0032380D" w:rsidRDefault="0032380D" w:rsidP="00010838">
            <w:r w:rsidRPr="004B79F2">
              <w:rPr>
                <w:color w:val="auto"/>
                <w:szCs w:val="24"/>
              </w:rPr>
              <w:t>БД ПУР ЭБ</w:t>
            </w:r>
          </w:p>
        </w:tc>
        <w:tc>
          <w:tcPr>
            <w:tcW w:w="3827" w:type="dxa"/>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сумма денежных обязательств по номеру БО</w:t>
            </w:r>
          </w:p>
        </w:tc>
        <w:tc>
          <w:tcPr>
            <w:tcW w:w="2552" w:type="dxa"/>
          </w:tcPr>
          <w:p w:rsidR="0032380D" w:rsidRPr="007A61D5" w:rsidRDefault="0032380D" w:rsidP="00010838">
            <w:pPr>
              <w:jc w:val="left"/>
              <w:rPr>
                <w:color w:val="auto"/>
                <w:szCs w:val="24"/>
              </w:rPr>
            </w:pPr>
            <w:r>
              <w:rPr>
                <w:color w:val="auto"/>
                <w:szCs w:val="24"/>
              </w:rPr>
              <w:t>156,3</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Графа</w:t>
            </w:r>
          </w:p>
        </w:tc>
        <w:tc>
          <w:tcPr>
            <w:tcW w:w="1357" w:type="dxa"/>
            <w:shd w:val="clear" w:color="auto" w:fill="auto"/>
          </w:tcPr>
          <w:p w:rsidR="0032380D" w:rsidRPr="0098550F" w:rsidRDefault="0032380D" w:rsidP="00010838">
            <w:pPr>
              <w:rPr>
                <w:color w:val="auto"/>
                <w:szCs w:val="24"/>
              </w:rPr>
            </w:pPr>
            <w:r>
              <w:rPr>
                <w:color w:val="auto"/>
                <w:szCs w:val="24"/>
              </w:rPr>
              <w:t>Объем оплаты по контрактам</w:t>
            </w:r>
          </w:p>
        </w:tc>
        <w:tc>
          <w:tcPr>
            <w:tcW w:w="992" w:type="dxa"/>
          </w:tcPr>
          <w:p w:rsidR="0032380D" w:rsidRPr="0098550F" w:rsidRDefault="0032380D" w:rsidP="00010838">
            <w:pPr>
              <w:rPr>
                <w:color w:val="auto"/>
                <w:szCs w:val="24"/>
              </w:rPr>
            </w:pPr>
            <w:r>
              <w:rPr>
                <w:color w:val="auto"/>
                <w:szCs w:val="24"/>
              </w:rPr>
              <w:t>АСФК</w:t>
            </w:r>
          </w:p>
        </w:tc>
        <w:tc>
          <w:tcPr>
            <w:tcW w:w="3827" w:type="dxa"/>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объем оплаты по данному номеру БО</w:t>
            </w:r>
          </w:p>
        </w:tc>
        <w:tc>
          <w:tcPr>
            <w:tcW w:w="2552" w:type="dxa"/>
          </w:tcPr>
          <w:p w:rsidR="0032380D" w:rsidRPr="0098550F" w:rsidRDefault="0032380D" w:rsidP="00010838">
            <w:pPr>
              <w:rPr>
                <w:color w:val="auto"/>
                <w:szCs w:val="24"/>
              </w:rPr>
            </w:pPr>
            <w:r>
              <w:rPr>
                <w:color w:val="auto"/>
                <w:szCs w:val="24"/>
              </w:rPr>
              <w:t>103,6</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Pr="0098550F" w:rsidRDefault="0032380D" w:rsidP="00010838">
            <w:pPr>
              <w:rPr>
                <w:color w:val="auto"/>
                <w:szCs w:val="24"/>
              </w:rPr>
            </w:pPr>
            <w:r w:rsidRPr="0098550F">
              <w:rPr>
                <w:color w:val="auto"/>
                <w:szCs w:val="24"/>
              </w:rPr>
              <w:t>ГРБС</w:t>
            </w:r>
          </w:p>
        </w:tc>
        <w:tc>
          <w:tcPr>
            <w:tcW w:w="992" w:type="dxa"/>
          </w:tcPr>
          <w:p w:rsidR="0032380D" w:rsidRPr="0098550F" w:rsidRDefault="0032380D" w:rsidP="00010838">
            <w:pPr>
              <w:jc w:val="left"/>
              <w:rPr>
                <w:color w:val="auto"/>
                <w:szCs w:val="24"/>
              </w:rPr>
            </w:pPr>
          </w:p>
        </w:tc>
        <w:tc>
          <w:tcPr>
            <w:tcW w:w="3827" w:type="dxa"/>
          </w:tcPr>
          <w:p w:rsidR="0032380D" w:rsidRPr="0098550F" w:rsidRDefault="0032380D" w:rsidP="00010838">
            <w:pPr>
              <w:jc w:val="left"/>
              <w:rPr>
                <w:color w:val="auto"/>
                <w:szCs w:val="24"/>
              </w:rPr>
            </w:pPr>
            <w:r w:rsidRPr="0098550F">
              <w:rPr>
                <w:color w:val="auto"/>
                <w:szCs w:val="24"/>
              </w:rPr>
              <w:t>Плоский список с выбором конкретного ГРБС</w:t>
            </w:r>
          </w:p>
        </w:tc>
        <w:tc>
          <w:tcPr>
            <w:tcW w:w="2552" w:type="dxa"/>
          </w:tcPr>
          <w:p w:rsidR="0032380D" w:rsidRPr="0098550F" w:rsidRDefault="0032380D" w:rsidP="00010838">
            <w:pPr>
              <w:rPr>
                <w:color w:val="auto"/>
                <w:szCs w:val="24"/>
              </w:rPr>
            </w:pPr>
            <w:r w:rsidRPr="0098550F">
              <w:rPr>
                <w:color w:val="auto"/>
                <w:szCs w:val="24"/>
              </w:rPr>
              <w:t>054 - Минкультуры России</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Pr="0098550F" w:rsidRDefault="0032380D" w:rsidP="00010838">
            <w:pPr>
              <w:rPr>
                <w:color w:val="auto"/>
                <w:szCs w:val="24"/>
              </w:rPr>
            </w:pPr>
            <w:r w:rsidRPr="0098550F">
              <w:rPr>
                <w:color w:val="auto"/>
                <w:szCs w:val="24"/>
              </w:rPr>
              <w:t>Год</w:t>
            </w:r>
          </w:p>
        </w:tc>
        <w:tc>
          <w:tcPr>
            <w:tcW w:w="992" w:type="dxa"/>
          </w:tcPr>
          <w:p w:rsidR="0032380D" w:rsidRPr="0098550F" w:rsidRDefault="0032380D" w:rsidP="00010838">
            <w:pPr>
              <w:jc w:val="left"/>
              <w:rPr>
                <w:color w:val="auto"/>
                <w:szCs w:val="24"/>
              </w:rPr>
            </w:pPr>
          </w:p>
        </w:tc>
        <w:tc>
          <w:tcPr>
            <w:tcW w:w="3827" w:type="dxa"/>
          </w:tcPr>
          <w:p w:rsidR="0032380D" w:rsidRPr="0098550F" w:rsidRDefault="0032380D" w:rsidP="00010838">
            <w:pPr>
              <w:jc w:val="left"/>
              <w:rPr>
                <w:color w:val="auto"/>
                <w:szCs w:val="24"/>
              </w:rPr>
            </w:pPr>
            <w:r w:rsidRPr="0098550F">
              <w:rPr>
                <w:color w:val="auto"/>
                <w:szCs w:val="24"/>
              </w:rPr>
              <w:t>Плоский список с выбором нужного года. Расчет по дате внесения последнего изменения</w:t>
            </w:r>
          </w:p>
        </w:tc>
        <w:tc>
          <w:tcPr>
            <w:tcW w:w="2552" w:type="dxa"/>
          </w:tcPr>
          <w:p w:rsidR="0032380D" w:rsidRPr="0098550F" w:rsidRDefault="0032380D" w:rsidP="00010838">
            <w:pPr>
              <w:rPr>
                <w:color w:val="auto"/>
                <w:szCs w:val="24"/>
              </w:rPr>
            </w:pPr>
            <w:r w:rsidRPr="0098550F">
              <w:rPr>
                <w:color w:val="auto"/>
                <w:szCs w:val="24"/>
              </w:rPr>
              <w:t>20</w:t>
            </w:r>
            <w:r>
              <w:rPr>
                <w:color w:val="auto"/>
                <w:szCs w:val="24"/>
              </w:rPr>
              <w:t>21</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Pr="0098550F" w:rsidRDefault="0032380D" w:rsidP="00010838">
            <w:pPr>
              <w:rPr>
                <w:color w:val="auto"/>
                <w:szCs w:val="24"/>
              </w:rPr>
            </w:pPr>
            <w:r w:rsidRPr="0098550F">
              <w:rPr>
                <w:color w:val="auto"/>
                <w:szCs w:val="24"/>
              </w:rPr>
              <w:t>Единицы измерения</w:t>
            </w:r>
          </w:p>
        </w:tc>
        <w:tc>
          <w:tcPr>
            <w:tcW w:w="992" w:type="dxa"/>
          </w:tcPr>
          <w:p w:rsidR="0032380D" w:rsidRPr="0098550F" w:rsidRDefault="0032380D" w:rsidP="00010838">
            <w:pPr>
              <w:jc w:val="left"/>
              <w:rPr>
                <w:color w:val="auto"/>
                <w:szCs w:val="24"/>
              </w:rPr>
            </w:pPr>
          </w:p>
        </w:tc>
        <w:tc>
          <w:tcPr>
            <w:tcW w:w="3827" w:type="dxa"/>
          </w:tcPr>
          <w:p w:rsidR="0032380D" w:rsidRPr="0098550F" w:rsidRDefault="0032380D" w:rsidP="00010838">
            <w:pPr>
              <w:jc w:val="left"/>
              <w:rPr>
                <w:color w:val="auto"/>
                <w:szCs w:val="24"/>
              </w:rPr>
            </w:pPr>
            <w:r w:rsidRPr="0098550F">
              <w:rPr>
                <w:color w:val="auto"/>
                <w:szCs w:val="24"/>
              </w:rPr>
              <w:t>Плоский список с выбором единиц измерения. Состоит из элементов: руб., тыс. руб., млн руб., млрд руб.</w:t>
            </w:r>
          </w:p>
        </w:tc>
        <w:tc>
          <w:tcPr>
            <w:tcW w:w="2552" w:type="dxa"/>
          </w:tcPr>
          <w:p w:rsidR="0032380D" w:rsidRPr="0098550F" w:rsidRDefault="0032380D" w:rsidP="00010838">
            <w:pPr>
              <w:rPr>
                <w:color w:val="auto"/>
                <w:szCs w:val="24"/>
              </w:rPr>
            </w:pPr>
            <w:r>
              <w:rPr>
                <w:color w:val="auto"/>
                <w:szCs w:val="24"/>
              </w:rPr>
              <w:t>тыс</w:t>
            </w:r>
            <w:r w:rsidRPr="0098550F">
              <w:rPr>
                <w:color w:val="auto"/>
                <w:szCs w:val="24"/>
              </w:rPr>
              <w:t xml:space="preserve"> руб</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Pr="0098550F" w:rsidRDefault="0032380D" w:rsidP="00010838">
            <w:pPr>
              <w:rPr>
                <w:color w:val="auto"/>
                <w:szCs w:val="24"/>
              </w:rPr>
            </w:pPr>
            <w:r>
              <w:rPr>
                <w:color w:val="auto"/>
                <w:szCs w:val="24"/>
              </w:rPr>
              <w:t>Вице-премьер</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t>Выпадающий список без множественного выбора.</w:t>
            </w:r>
            <w:r>
              <w:br/>
              <w:t xml:space="preserve">Выводится ФИО вице-премьеров и значение «Иные» (цепочки КБК не курируемые вице-премьерами, а так же </w:t>
            </w:r>
            <w:r w:rsidRPr="004B39B3">
              <w:rPr>
                <w:snapToGrid/>
                <w:szCs w:val="28"/>
              </w:rPr>
              <w:t>по закрытым сведениям, не расписанным по тонким цепочкам КБК</w:t>
            </w:r>
            <w:r>
              <w:t>).</w:t>
            </w:r>
            <w:r>
              <w:b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r>
              <w:br/>
            </w:r>
            <w:r w:rsidRPr="00380564">
              <w:t>По умолч</w:t>
            </w:r>
            <w:r>
              <w:t>анию установлено значение «Все»</w:t>
            </w:r>
          </w:p>
        </w:tc>
        <w:tc>
          <w:tcPr>
            <w:tcW w:w="2552" w:type="dxa"/>
          </w:tcPr>
          <w:p w:rsidR="0032380D" w:rsidRPr="0098550F" w:rsidRDefault="0032380D" w:rsidP="00010838">
            <w:pPr>
              <w:jc w:val="left"/>
              <w:rPr>
                <w:color w:val="auto"/>
                <w:szCs w:val="24"/>
              </w:rPr>
            </w:pPr>
            <w:r>
              <w:rPr>
                <w:color w:val="auto"/>
                <w:szCs w:val="24"/>
              </w:rPr>
              <w:t>В.В. Абрамченко</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Pr="0098550F" w:rsidRDefault="0032380D" w:rsidP="00010838">
            <w:pPr>
              <w:rPr>
                <w:color w:val="auto"/>
                <w:szCs w:val="24"/>
              </w:rPr>
            </w:pPr>
            <w:r>
              <w:rPr>
                <w:color w:val="auto"/>
                <w:szCs w:val="24"/>
              </w:rPr>
              <w:t>РзПр</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t>В</w:t>
            </w:r>
            <w:r w:rsidRPr="00BD07C4">
              <w:t>ыпадающий иерархический список с множественным выбором. Выводятся код и наименование РЗПР. Возможность контекстного поиска по коду и наименованию РЗПР. По умолчанию выводится значение «Все».</w:t>
            </w:r>
          </w:p>
        </w:tc>
        <w:tc>
          <w:tcPr>
            <w:tcW w:w="2552" w:type="dxa"/>
          </w:tcPr>
          <w:p w:rsidR="0032380D" w:rsidRPr="0098550F" w:rsidRDefault="0032380D" w:rsidP="00010838">
            <w:pPr>
              <w:rPr>
                <w:color w:val="auto"/>
                <w:szCs w:val="24"/>
              </w:rPr>
            </w:pPr>
            <w:r>
              <w:rPr>
                <w:color w:val="auto"/>
                <w:szCs w:val="24"/>
              </w:rPr>
              <w:t>0100</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Default="0032380D" w:rsidP="00010838">
            <w:pPr>
              <w:rPr>
                <w:color w:val="auto"/>
                <w:szCs w:val="24"/>
              </w:rPr>
            </w:pPr>
            <w:r>
              <w:rPr>
                <w:color w:val="auto"/>
                <w:szCs w:val="24"/>
              </w:rPr>
              <w:t>Закупка (КЦСР)</w:t>
            </w:r>
          </w:p>
        </w:tc>
        <w:tc>
          <w:tcPr>
            <w:tcW w:w="992" w:type="dxa"/>
          </w:tcPr>
          <w:p w:rsidR="0032380D" w:rsidRPr="0098550F" w:rsidRDefault="0032380D" w:rsidP="00010838">
            <w:pPr>
              <w:rPr>
                <w:color w:val="auto"/>
                <w:szCs w:val="24"/>
              </w:rPr>
            </w:pPr>
          </w:p>
        </w:tc>
        <w:tc>
          <w:tcPr>
            <w:tcW w:w="3827" w:type="dxa"/>
          </w:tcPr>
          <w:p w:rsidR="0032380D" w:rsidRPr="00C10A06" w:rsidRDefault="0032380D" w:rsidP="00010838">
            <w:pPr>
              <w:jc w:val="left"/>
              <w:rPr>
                <w:color w:val="auto"/>
                <w:szCs w:val="24"/>
              </w:rPr>
            </w:pPr>
            <w:r>
              <w:rPr>
                <w:color w:val="auto"/>
                <w:szCs w:val="24"/>
              </w:rPr>
              <w:t xml:space="preserve">Поисковая строка. </w:t>
            </w:r>
            <w:r w:rsidRPr="00C10A06">
              <w:rPr>
                <w:color w:val="auto"/>
                <w:szCs w:val="24"/>
              </w:rPr>
              <w:t>окно для поиска введённых значений по реквизиту «КЦСР» (10 знаков).</w:t>
            </w:r>
          </w:p>
          <w:p w:rsidR="0032380D" w:rsidRPr="0098550F" w:rsidRDefault="0032380D" w:rsidP="00010838">
            <w:pPr>
              <w:jc w:val="left"/>
              <w:rPr>
                <w:color w:val="auto"/>
                <w:szCs w:val="24"/>
              </w:rPr>
            </w:pPr>
            <w:r w:rsidRPr="00C10A06">
              <w:rPr>
                <w:color w:val="auto"/>
                <w:szCs w:val="24"/>
              </w:rPr>
              <w:t>Множественного выбора нет.</w:t>
            </w:r>
          </w:p>
        </w:tc>
        <w:tc>
          <w:tcPr>
            <w:tcW w:w="2552" w:type="dxa"/>
          </w:tcPr>
          <w:p w:rsidR="0032380D" w:rsidRPr="0098550F" w:rsidRDefault="0032380D" w:rsidP="00010838">
            <w:pPr>
              <w:rPr>
                <w:color w:val="auto"/>
                <w:szCs w:val="24"/>
              </w:rPr>
            </w:pPr>
            <w:r>
              <w:rPr>
                <w:color w:val="auto"/>
                <w:szCs w:val="24"/>
              </w:rPr>
              <w:t>0300500001</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Default="0032380D" w:rsidP="00010838">
            <w:pPr>
              <w:rPr>
                <w:color w:val="auto"/>
                <w:szCs w:val="24"/>
              </w:rPr>
            </w:pPr>
            <w:r>
              <w:rPr>
                <w:color w:val="auto"/>
                <w:szCs w:val="24"/>
              </w:rPr>
              <w:t>КВР</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t>В</w:t>
            </w:r>
            <w:r w:rsidRPr="00BD07C4">
              <w:t>ыпадающий иерархический список с множественным выбором. Выводятся код и наименование КВР. Возможность контекстного поиска по коду и наименованию КВР. По умолчанию выводится значение «Все»</w:t>
            </w:r>
          </w:p>
        </w:tc>
        <w:tc>
          <w:tcPr>
            <w:tcW w:w="2552" w:type="dxa"/>
          </w:tcPr>
          <w:p w:rsidR="0032380D" w:rsidRPr="0098550F" w:rsidRDefault="0032380D" w:rsidP="00010838">
            <w:pPr>
              <w:rPr>
                <w:color w:val="auto"/>
                <w:szCs w:val="24"/>
              </w:rPr>
            </w:pPr>
            <w:r>
              <w:rPr>
                <w:color w:val="auto"/>
                <w:szCs w:val="24"/>
              </w:rPr>
              <w:t>100</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Default="0032380D" w:rsidP="00010838">
            <w:pPr>
              <w:rPr>
                <w:color w:val="auto"/>
                <w:szCs w:val="24"/>
              </w:rPr>
            </w:pPr>
            <w:r>
              <w:rPr>
                <w:color w:val="auto"/>
                <w:szCs w:val="24"/>
              </w:rPr>
              <w:t>НП (ФП)</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t>В</w:t>
            </w:r>
            <w:r w:rsidRPr="00BD07C4">
              <w:t>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tc>
        <w:tc>
          <w:tcPr>
            <w:tcW w:w="2552" w:type="dxa"/>
          </w:tcPr>
          <w:p w:rsidR="0032380D" w:rsidRPr="0098550F" w:rsidRDefault="0032380D" w:rsidP="00010838">
            <w:pPr>
              <w:rPr>
                <w:color w:val="auto"/>
                <w:szCs w:val="24"/>
              </w:rPr>
            </w:pPr>
            <w:r>
              <w:rPr>
                <w:color w:val="auto"/>
                <w:szCs w:val="24"/>
              </w:rPr>
              <w:t>А-Культура</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Default="0032380D" w:rsidP="00010838">
            <w:pPr>
              <w:rPr>
                <w:color w:val="auto"/>
                <w:szCs w:val="24"/>
              </w:rPr>
            </w:pPr>
            <w:r>
              <w:rPr>
                <w:color w:val="auto"/>
                <w:szCs w:val="24"/>
              </w:rPr>
              <w:t>Тип КБК</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rPr>
                <w:color w:val="auto"/>
                <w:szCs w:val="24"/>
              </w:rPr>
              <w:t>Выпадающий список с возможностью выбора открытых и закрытых цепочек КБК. По умолчанию значение «Открытые КБК»</w:t>
            </w:r>
          </w:p>
        </w:tc>
        <w:tc>
          <w:tcPr>
            <w:tcW w:w="2552" w:type="dxa"/>
          </w:tcPr>
          <w:p w:rsidR="0032380D" w:rsidRPr="0098550F" w:rsidRDefault="0032380D" w:rsidP="00010838">
            <w:pPr>
              <w:rPr>
                <w:color w:val="auto"/>
                <w:szCs w:val="24"/>
              </w:rPr>
            </w:pPr>
            <w:r>
              <w:rPr>
                <w:color w:val="auto"/>
                <w:szCs w:val="24"/>
              </w:rPr>
              <w:t>Открытые КБК</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Фильтр</w:t>
            </w:r>
          </w:p>
        </w:tc>
        <w:tc>
          <w:tcPr>
            <w:tcW w:w="1357" w:type="dxa"/>
            <w:shd w:val="clear" w:color="auto" w:fill="auto"/>
          </w:tcPr>
          <w:p w:rsidR="0032380D" w:rsidRDefault="0032380D" w:rsidP="00010838">
            <w:pPr>
              <w:rPr>
                <w:color w:val="auto"/>
                <w:szCs w:val="24"/>
              </w:rPr>
            </w:pPr>
            <w:r>
              <w:rPr>
                <w:color w:val="auto"/>
                <w:szCs w:val="24"/>
              </w:rPr>
              <w:t>Номер БО</w:t>
            </w:r>
          </w:p>
        </w:tc>
        <w:tc>
          <w:tcPr>
            <w:tcW w:w="992" w:type="dxa"/>
          </w:tcPr>
          <w:p w:rsidR="0032380D" w:rsidRPr="0098550F" w:rsidRDefault="0032380D" w:rsidP="00010838">
            <w:pPr>
              <w:rPr>
                <w:color w:val="auto"/>
                <w:szCs w:val="24"/>
              </w:rPr>
            </w:pPr>
          </w:p>
        </w:tc>
        <w:tc>
          <w:tcPr>
            <w:tcW w:w="3827" w:type="dxa"/>
          </w:tcPr>
          <w:p w:rsidR="0032380D" w:rsidRPr="0098550F" w:rsidRDefault="0032380D" w:rsidP="00010838">
            <w:pPr>
              <w:jc w:val="left"/>
              <w:rPr>
                <w:color w:val="auto"/>
                <w:szCs w:val="24"/>
              </w:rPr>
            </w:pPr>
            <w:r>
              <w:rPr>
                <w:color w:val="auto"/>
                <w:szCs w:val="24"/>
              </w:rPr>
              <w:t xml:space="preserve">Поисковая строка. Окно для ввода </w:t>
            </w:r>
            <w:r w:rsidRPr="0098550F">
              <w:rPr>
                <w:color w:val="auto"/>
                <w:szCs w:val="24"/>
              </w:rPr>
              <w:t>уче</w:t>
            </w:r>
            <w:r>
              <w:rPr>
                <w:color w:val="auto"/>
                <w:szCs w:val="24"/>
              </w:rPr>
              <w:t>т</w:t>
            </w:r>
            <w:r w:rsidRPr="0098550F">
              <w:rPr>
                <w:color w:val="auto"/>
                <w:szCs w:val="24"/>
              </w:rPr>
              <w:t>н</w:t>
            </w:r>
            <w:r>
              <w:rPr>
                <w:color w:val="auto"/>
                <w:szCs w:val="24"/>
              </w:rPr>
              <w:t>ого</w:t>
            </w:r>
            <w:r w:rsidRPr="0098550F">
              <w:rPr>
                <w:color w:val="auto"/>
                <w:szCs w:val="24"/>
              </w:rPr>
              <w:t xml:space="preserve"> номер бюджетного обязательства</w:t>
            </w:r>
          </w:p>
        </w:tc>
        <w:tc>
          <w:tcPr>
            <w:tcW w:w="2552" w:type="dxa"/>
          </w:tcPr>
          <w:p w:rsidR="0032380D" w:rsidRPr="0098550F" w:rsidRDefault="0032380D" w:rsidP="00010838">
            <w:pPr>
              <w:rPr>
                <w:color w:val="auto"/>
                <w:szCs w:val="24"/>
              </w:rPr>
            </w:pPr>
            <w:r w:rsidRPr="0098550F">
              <w:rPr>
                <w:color w:val="auto"/>
                <w:szCs w:val="24"/>
              </w:rPr>
              <w:t>0010004918000000069</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sidRPr="0098550F">
              <w:rPr>
                <w:color w:val="auto"/>
                <w:szCs w:val="24"/>
              </w:rPr>
              <w:t>Переход</w:t>
            </w:r>
          </w:p>
        </w:tc>
        <w:tc>
          <w:tcPr>
            <w:tcW w:w="1357" w:type="dxa"/>
            <w:shd w:val="clear" w:color="auto" w:fill="auto"/>
          </w:tcPr>
          <w:p w:rsidR="0032380D" w:rsidRPr="0098550F" w:rsidRDefault="0032380D" w:rsidP="00010838">
            <w:pPr>
              <w:rPr>
                <w:color w:val="auto"/>
                <w:szCs w:val="24"/>
              </w:rPr>
            </w:pPr>
            <w:r w:rsidRPr="0098550F">
              <w:rPr>
                <w:color w:val="auto"/>
                <w:szCs w:val="24"/>
              </w:rPr>
              <w:t>По</w:t>
            </w:r>
            <w:r>
              <w:rPr>
                <w:color w:val="auto"/>
                <w:szCs w:val="24"/>
              </w:rPr>
              <w:t>казать в ЕИС</w:t>
            </w:r>
          </w:p>
        </w:tc>
        <w:tc>
          <w:tcPr>
            <w:tcW w:w="992" w:type="dxa"/>
          </w:tcPr>
          <w:p w:rsidR="0032380D" w:rsidRPr="0098550F" w:rsidRDefault="0032380D" w:rsidP="00010838">
            <w:pPr>
              <w:jc w:val="left"/>
              <w:rPr>
                <w:color w:val="auto"/>
                <w:szCs w:val="24"/>
              </w:rPr>
            </w:pPr>
          </w:p>
        </w:tc>
        <w:tc>
          <w:tcPr>
            <w:tcW w:w="3827" w:type="dxa"/>
          </w:tcPr>
          <w:p w:rsidR="0032380D" w:rsidRPr="0098550F" w:rsidRDefault="0032380D" w:rsidP="00010838">
            <w:pPr>
              <w:jc w:val="left"/>
              <w:rPr>
                <w:color w:val="auto"/>
                <w:szCs w:val="24"/>
              </w:rPr>
            </w:pPr>
            <w:r w:rsidRPr="0098550F">
              <w:rPr>
                <w:color w:val="auto"/>
                <w:szCs w:val="24"/>
              </w:rPr>
              <w:t xml:space="preserve">Переход с графы </w:t>
            </w:r>
            <w:r>
              <w:rPr>
                <w:color w:val="auto"/>
                <w:szCs w:val="24"/>
              </w:rPr>
              <w:t>Номер реестровой записи контракта</w:t>
            </w:r>
            <w:r w:rsidRPr="0098550F">
              <w:rPr>
                <w:color w:val="auto"/>
                <w:szCs w:val="24"/>
              </w:rPr>
              <w:t xml:space="preserve"> </w:t>
            </w:r>
            <w:r>
              <w:rPr>
                <w:color w:val="auto"/>
                <w:szCs w:val="24"/>
              </w:rPr>
              <w:t xml:space="preserve">на сайт </w:t>
            </w:r>
            <w:hyperlink r:id="rId357" w:history="1">
              <w:r w:rsidRPr="00504ABA">
                <w:rPr>
                  <w:rStyle w:val="af5"/>
                  <w:szCs w:val="24"/>
                </w:rPr>
                <w:t>https://zakupki.gov.ru</w:t>
              </w:r>
            </w:hyperlink>
            <w:r>
              <w:rPr>
                <w:color w:val="auto"/>
                <w:szCs w:val="24"/>
              </w:rPr>
              <w:t xml:space="preserve"> с передачей номера контракта</w:t>
            </w:r>
          </w:p>
        </w:tc>
        <w:tc>
          <w:tcPr>
            <w:tcW w:w="2552" w:type="dxa"/>
          </w:tcPr>
          <w:p w:rsidR="0032380D" w:rsidRPr="0098550F" w:rsidRDefault="0032380D" w:rsidP="00010838">
            <w:pPr>
              <w:rPr>
                <w:color w:val="auto"/>
                <w:szCs w:val="24"/>
              </w:rPr>
            </w:pPr>
            <w:r w:rsidRPr="00C10A06">
              <w:rPr>
                <w:color w:val="auto"/>
                <w:szCs w:val="24"/>
              </w:rPr>
              <w:t>https://zakupki.gov.ru/epz/contract/contractCard/common-info.html?reestrNumber=0173100000414000011</w:t>
            </w:r>
          </w:p>
        </w:tc>
      </w:tr>
      <w:tr w:rsidR="0032380D" w:rsidRPr="0098550F" w:rsidTr="0032380D">
        <w:trPr>
          <w:cantSplit/>
          <w:trHeight w:val="223"/>
        </w:trPr>
        <w:tc>
          <w:tcPr>
            <w:tcW w:w="1445" w:type="dxa"/>
            <w:shd w:val="clear" w:color="auto" w:fill="auto"/>
          </w:tcPr>
          <w:p w:rsidR="0032380D" w:rsidRPr="0098550F" w:rsidRDefault="0032380D" w:rsidP="005C6E50">
            <w:pPr>
              <w:numPr>
                <w:ilvl w:val="0"/>
                <w:numId w:val="145"/>
              </w:numPr>
              <w:jc w:val="left"/>
              <w:rPr>
                <w:color w:val="auto"/>
                <w:szCs w:val="24"/>
              </w:rPr>
            </w:pPr>
            <w:r>
              <w:rPr>
                <w:color w:val="auto"/>
                <w:szCs w:val="24"/>
              </w:rPr>
              <w:t>Переход</w:t>
            </w:r>
          </w:p>
        </w:tc>
        <w:tc>
          <w:tcPr>
            <w:tcW w:w="1357" w:type="dxa"/>
            <w:shd w:val="clear" w:color="auto" w:fill="auto"/>
          </w:tcPr>
          <w:p w:rsidR="0032380D" w:rsidRPr="0098550F" w:rsidRDefault="0032380D" w:rsidP="00010838">
            <w:pPr>
              <w:rPr>
                <w:color w:val="auto"/>
                <w:szCs w:val="24"/>
              </w:rPr>
            </w:pPr>
            <w:r>
              <w:rPr>
                <w:color w:val="auto"/>
                <w:szCs w:val="24"/>
              </w:rPr>
              <w:t>Отчет «Сведения о бюджетных и денежных обязательствах»</w:t>
            </w:r>
          </w:p>
        </w:tc>
        <w:tc>
          <w:tcPr>
            <w:tcW w:w="992" w:type="dxa"/>
          </w:tcPr>
          <w:p w:rsidR="0032380D" w:rsidRPr="0098550F" w:rsidRDefault="0032380D" w:rsidP="00010838">
            <w:pPr>
              <w:jc w:val="left"/>
              <w:rPr>
                <w:color w:val="auto"/>
                <w:szCs w:val="24"/>
              </w:rPr>
            </w:pPr>
          </w:p>
        </w:tc>
        <w:tc>
          <w:tcPr>
            <w:tcW w:w="3827" w:type="dxa"/>
          </w:tcPr>
          <w:p w:rsidR="0032380D" w:rsidRPr="0098550F" w:rsidRDefault="0032380D" w:rsidP="00010838">
            <w:pPr>
              <w:jc w:val="left"/>
              <w:rPr>
                <w:color w:val="auto"/>
                <w:szCs w:val="24"/>
              </w:rPr>
            </w:pPr>
            <w:r>
              <w:rPr>
                <w:color w:val="auto"/>
                <w:szCs w:val="24"/>
              </w:rPr>
              <w:t>Переход с графы «Реестровый номер контракта», «Объем бюджетных обязательств», «Объем денежных обязательств» с передачей значения «Номер БО» в параметр представлений БО и ДО отчета «</w:t>
            </w:r>
            <w:r w:rsidRPr="00427B4B">
              <w:rPr>
                <w:color w:val="auto"/>
                <w:szCs w:val="24"/>
              </w:rPr>
              <w:t>Сведения о бюджетных и денежных обязательствах</w:t>
            </w:r>
            <w:r>
              <w:rPr>
                <w:color w:val="auto"/>
                <w:szCs w:val="24"/>
              </w:rPr>
              <w:t>»</w:t>
            </w:r>
          </w:p>
        </w:tc>
        <w:tc>
          <w:tcPr>
            <w:tcW w:w="2552" w:type="dxa"/>
          </w:tcPr>
          <w:p w:rsidR="0032380D" w:rsidRPr="00C10A06" w:rsidRDefault="0032380D" w:rsidP="00010838">
            <w:pPr>
              <w:rPr>
                <w:color w:val="auto"/>
                <w:szCs w:val="24"/>
              </w:rPr>
            </w:pPr>
          </w:p>
        </w:tc>
      </w:tr>
      <w:tr w:rsidR="0032380D" w:rsidRPr="0098550F" w:rsidTr="0032380D">
        <w:trPr>
          <w:cantSplit/>
          <w:trHeight w:val="223"/>
        </w:trPr>
        <w:tc>
          <w:tcPr>
            <w:tcW w:w="1445" w:type="dxa"/>
            <w:shd w:val="clear" w:color="auto" w:fill="auto"/>
          </w:tcPr>
          <w:p w:rsidR="0032380D" w:rsidRDefault="0032380D" w:rsidP="005C6E50">
            <w:pPr>
              <w:numPr>
                <w:ilvl w:val="0"/>
                <w:numId w:val="145"/>
              </w:numPr>
              <w:jc w:val="left"/>
              <w:rPr>
                <w:color w:val="auto"/>
                <w:szCs w:val="24"/>
              </w:rPr>
            </w:pPr>
            <w:r>
              <w:rPr>
                <w:color w:val="auto"/>
                <w:szCs w:val="24"/>
              </w:rPr>
              <w:t>Переход</w:t>
            </w:r>
          </w:p>
        </w:tc>
        <w:tc>
          <w:tcPr>
            <w:tcW w:w="1357" w:type="dxa"/>
            <w:shd w:val="clear" w:color="auto" w:fill="auto"/>
          </w:tcPr>
          <w:p w:rsidR="0032380D" w:rsidRDefault="0032380D" w:rsidP="00010838">
            <w:pPr>
              <w:rPr>
                <w:color w:val="auto"/>
                <w:szCs w:val="24"/>
              </w:rPr>
            </w:pPr>
            <w:r>
              <w:rPr>
                <w:color w:val="auto"/>
                <w:szCs w:val="24"/>
              </w:rPr>
              <w:t>Показать в ПУР</w:t>
            </w:r>
          </w:p>
        </w:tc>
        <w:tc>
          <w:tcPr>
            <w:tcW w:w="992" w:type="dxa"/>
          </w:tcPr>
          <w:p w:rsidR="0032380D" w:rsidRPr="0098550F" w:rsidRDefault="0032380D" w:rsidP="00010838">
            <w:pPr>
              <w:jc w:val="left"/>
              <w:rPr>
                <w:color w:val="auto"/>
                <w:szCs w:val="24"/>
              </w:rPr>
            </w:pPr>
          </w:p>
        </w:tc>
        <w:tc>
          <w:tcPr>
            <w:tcW w:w="3827" w:type="dxa"/>
          </w:tcPr>
          <w:p w:rsidR="0032380D" w:rsidRDefault="0032380D" w:rsidP="00010838">
            <w:pPr>
              <w:jc w:val="left"/>
              <w:rPr>
                <w:color w:val="auto"/>
                <w:szCs w:val="24"/>
              </w:rPr>
            </w:pPr>
            <w:r>
              <w:rPr>
                <w:color w:val="auto"/>
                <w:szCs w:val="24"/>
              </w:rPr>
              <w:t xml:space="preserve">Переход с графы «Номер бюджетного обязательства» в визуальную форму </w:t>
            </w:r>
            <w:r w:rsidRPr="0098550F">
              <w:rPr>
                <w:color w:val="auto"/>
                <w:szCs w:val="24"/>
              </w:rPr>
              <w:t>БД ПУР ЭБ</w:t>
            </w:r>
          </w:p>
        </w:tc>
        <w:tc>
          <w:tcPr>
            <w:tcW w:w="2552" w:type="dxa"/>
          </w:tcPr>
          <w:p w:rsidR="0032380D" w:rsidRPr="00C10A06" w:rsidRDefault="0032380D" w:rsidP="00010838">
            <w:pPr>
              <w:rPr>
                <w:color w:val="auto"/>
                <w:szCs w:val="24"/>
              </w:rPr>
            </w:pPr>
            <w:r w:rsidRPr="00427B4B">
              <w:rPr>
                <w:color w:val="auto"/>
                <w:szCs w:val="24"/>
              </w:rPr>
              <w:t>https://lk.budget.gov.ru/EXP/s/viewDoc/b893cb45-e4c9-4a0e-924f-d2bb9690955b</w:t>
            </w:r>
          </w:p>
        </w:tc>
      </w:tr>
    </w:tbl>
    <w:p w:rsidR="0032380D" w:rsidRDefault="0032380D" w:rsidP="0032380D">
      <w:pPr>
        <w:pStyle w:val="-0"/>
        <w:keepNext/>
      </w:pPr>
      <w:r>
        <w:rPr>
          <w:noProof/>
          <w:snapToGrid/>
        </w:rPr>
        <w:drawing>
          <wp:inline distT="0" distB="0" distL="0" distR="0" wp14:anchorId="19F2A6B0" wp14:editId="0CF18023">
            <wp:extent cx="6119495" cy="2973534"/>
            <wp:effectExtent l="0" t="0" r="0" b="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6119495" cy="2973534"/>
                    </a:xfrm>
                    <a:prstGeom prst="rect">
                      <a:avLst/>
                    </a:prstGeom>
                  </pic:spPr>
                </pic:pic>
              </a:graphicData>
            </a:graphic>
          </wp:inline>
        </w:drawing>
      </w:r>
    </w:p>
    <w:p w:rsidR="0032380D" w:rsidRDefault="0032380D" w:rsidP="0032380D">
      <w:pPr>
        <w:pStyle w:val="-0"/>
        <w:rPr>
          <w:rStyle w:val="af1"/>
        </w:rPr>
      </w:pPr>
      <w:bookmarkStart w:id="1068" w:name="_Toc119584464"/>
      <w:r>
        <w:t xml:space="preserve">Рисунок </w:t>
      </w:r>
      <w:fldSimple w:instr=" SEQ Рисунок \* ARABIC ">
        <w:r w:rsidR="001860A9">
          <w:rPr>
            <w:noProof/>
          </w:rPr>
          <w:t>277</w:t>
        </w:r>
      </w:fldSimple>
      <w:r>
        <w:rPr>
          <w:noProof/>
        </w:rPr>
        <w:t xml:space="preserve"> –</w:t>
      </w:r>
      <w:r w:rsidRPr="00D740EA">
        <w:t xml:space="preserve"> </w:t>
      </w:r>
      <w:r>
        <w:t>Макет</w:t>
      </w:r>
      <w:r w:rsidRPr="00D740EA">
        <w:t xml:space="preserve"> отчета </w:t>
      </w:r>
      <w:r w:rsidRPr="00CB7C5A">
        <w:rPr>
          <w:rStyle w:val="af1"/>
        </w:rPr>
        <w:t>«</w:t>
      </w:r>
      <w:r>
        <w:rPr>
          <w:rStyle w:val="af1"/>
        </w:rPr>
        <w:t>Мониторинговый отчет о контрактах в разрезе БО</w:t>
      </w:r>
      <w:r w:rsidRPr="00CB7C5A">
        <w:rPr>
          <w:rStyle w:val="af1"/>
        </w:rPr>
        <w:t>»</w:t>
      </w:r>
      <w:r>
        <w:rPr>
          <w:rStyle w:val="af1"/>
        </w:rPr>
        <w:t>.</w:t>
      </w:r>
      <w:r w:rsidRPr="00CB7C5A">
        <w:rPr>
          <w:rStyle w:val="af1"/>
        </w:rPr>
        <w:t xml:space="preserve"> «По</w:t>
      </w:r>
      <w:r>
        <w:rPr>
          <w:rStyle w:val="af1"/>
        </w:rPr>
        <w:t xml:space="preserve"> контрактам ЕИС-По бюджетным обязательствам</w:t>
      </w:r>
      <w:r w:rsidRPr="00CB7C5A">
        <w:rPr>
          <w:rStyle w:val="af1"/>
        </w:rPr>
        <w:t>»</w:t>
      </w:r>
      <w:bookmarkEnd w:id="1068"/>
    </w:p>
    <w:p w:rsidR="0032380D" w:rsidRPr="00FA3FE8" w:rsidRDefault="0032380D" w:rsidP="0032380D">
      <w:pPr>
        <w:pStyle w:val="42"/>
      </w:pPr>
      <w:bookmarkStart w:id="1069" w:name="_Toc93506819"/>
      <w:r>
        <w:t>Представление «По малым закупкам»</w:t>
      </w:r>
      <w:bookmarkEnd w:id="1069"/>
    </w:p>
    <w:p w:rsidR="0032380D" w:rsidRDefault="0032380D" w:rsidP="0032380D">
      <w:pPr>
        <w:pStyle w:val="af0"/>
        <w:rPr>
          <w:rFonts w:eastAsia="Calibri"/>
        </w:rPr>
      </w:pPr>
      <w:r>
        <w:rPr>
          <w:rStyle w:val="af1"/>
        </w:rPr>
        <w:t>Аналитический отчет</w:t>
      </w:r>
      <w:r w:rsidRPr="00CB7C5A">
        <w:rPr>
          <w:rStyle w:val="af1"/>
        </w:rPr>
        <w:t xml:space="preserve"> «</w:t>
      </w:r>
      <w:r>
        <w:rPr>
          <w:rStyle w:val="af1"/>
        </w:rPr>
        <w:t>Мониторинговый отчет о контрактах в разрезе БО</w:t>
      </w:r>
      <w:r w:rsidRPr="00CB7C5A">
        <w:rPr>
          <w:rStyle w:val="af1"/>
        </w:rPr>
        <w:t>»</w:t>
      </w:r>
      <w:r>
        <w:rPr>
          <w:rStyle w:val="af1"/>
        </w:rPr>
        <w:t xml:space="preserve"> в представлении «По малым закупкам» </w:t>
      </w:r>
      <w:r>
        <w:rPr>
          <w:szCs w:val="28"/>
        </w:rPr>
        <w:t>должен обеспечивать возможность анализа информации о суммах бюджетных и денежных обязательства также оплаты по контракту по малым закупкам, предоставляемых из различных источников данных (ПУР ЭБ и АСФК), в разрезе номеров бюджетных обязательств</w:t>
      </w:r>
      <w:r>
        <w:rPr>
          <w:rFonts w:eastAsia="Calibri"/>
        </w:rPr>
        <w:t xml:space="preserve">. </w:t>
      </w:r>
    </w:p>
    <w:p w:rsidR="0032380D" w:rsidRDefault="0032380D" w:rsidP="0032380D">
      <w:pPr>
        <w:pStyle w:val="af0"/>
        <w:rPr>
          <w:rFonts w:eastAsia="Calibri"/>
        </w:rPr>
      </w:pPr>
      <w:r>
        <w:rPr>
          <w:rFonts w:eastAsia="Calibri"/>
        </w:rPr>
        <w:t xml:space="preserve">Перечень столбцов, которые должна содержать таблица, а также параметров представления, переходов и их описание представлены в таблице </w:t>
      </w:r>
      <w:r>
        <w:rPr>
          <w:rFonts w:eastAsia="Calibri"/>
        </w:rPr>
        <w:fldChar w:fldCharType="begin"/>
      </w:r>
      <w:r>
        <w:rPr>
          <w:rFonts w:eastAsia="Calibri"/>
        </w:rPr>
        <w:instrText xml:space="preserve"> REF _Ref93583815 \h </w:instrText>
      </w:r>
      <w:r>
        <w:rPr>
          <w:rFonts w:eastAsia="Calibri"/>
        </w:rPr>
      </w:r>
      <w:r>
        <w:rPr>
          <w:rFonts w:eastAsia="Calibri"/>
        </w:rPr>
        <w:fldChar w:fldCharType="separate"/>
      </w:r>
      <w:r w:rsidR="00BF0BEE">
        <w:rPr>
          <w:noProof/>
        </w:rPr>
        <w:t>41</w:t>
      </w:r>
      <w:r>
        <w:rPr>
          <w:rFonts w:eastAsia="Calibri"/>
        </w:rPr>
        <w:fldChar w:fldCharType="end"/>
      </w:r>
      <w:r>
        <w:rPr>
          <w:rFonts w:eastAsia="Calibri"/>
        </w:rPr>
        <w:t>.</w:t>
      </w:r>
    </w:p>
    <w:p w:rsidR="0032380D" w:rsidRDefault="0032380D" w:rsidP="0032380D">
      <w:pPr>
        <w:pStyle w:val="-"/>
      </w:pPr>
      <w:bookmarkStart w:id="1070" w:name="_Toc119585182"/>
      <w:r>
        <w:t xml:space="preserve">Таблица </w:t>
      </w:r>
      <w:fldSimple w:instr=" SEQ Таблица \* ARABIC ">
        <w:bookmarkStart w:id="1071" w:name="_Ref93583815"/>
        <w:r w:rsidR="00BF0BEE">
          <w:rPr>
            <w:noProof/>
          </w:rPr>
          <w:t>41</w:t>
        </w:r>
        <w:bookmarkEnd w:id="1071"/>
      </w:fldSimple>
      <w:r w:rsidRPr="0032380D">
        <w:t xml:space="preserve"> </w:t>
      </w:r>
      <w:r>
        <w:t>– Перечень граф и параметров представления «По малым закупкам»</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822"/>
        <w:gridCol w:w="1298"/>
        <w:gridCol w:w="2888"/>
        <w:gridCol w:w="2496"/>
      </w:tblGrid>
      <w:tr w:rsidR="0032380D" w:rsidRPr="0098550F" w:rsidTr="0032380D">
        <w:trPr>
          <w:cantSplit/>
          <w:trHeight w:val="347"/>
          <w:tblHeader/>
        </w:trPr>
        <w:tc>
          <w:tcPr>
            <w:tcW w:w="685" w:type="pct"/>
            <w:shd w:val="clear" w:color="auto" w:fill="D9D9D9" w:themeFill="background1" w:themeFillShade="D9"/>
            <w:vAlign w:val="center"/>
            <w:hideMark/>
          </w:tcPr>
          <w:p w:rsidR="0032380D" w:rsidRPr="0098550F" w:rsidRDefault="0032380D" w:rsidP="00010838">
            <w:pPr>
              <w:jc w:val="center"/>
              <w:rPr>
                <w:b/>
                <w:bCs/>
                <w:color w:val="auto"/>
                <w:szCs w:val="24"/>
              </w:rPr>
            </w:pPr>
            <w:r w:rsidRPr="0098550F">
              <w:rPr>
                <w:b/>
                <w:bCs/>
                <w:color w:val="auto"/>
                <w:szCs w:val="24"/>
              </w:rPr>
              <w:t>Тип</w:t>
            </w:r>
          </w:p>
        </w:tc>
        <w:tc>
          <w:tcPr>
            <w:tcW w:w="925" w:type="pct"/>
            <w:shd w:val="clear" w:color="auto" w:fill="D9D9D9" w:themeFill="background1" w:themeFillShade="D9"/>
            <w:vAlign w:val="center"/>
            <w:hideMark/>
          </w:tcPr>
          <w:p w:rsidR="0032380D" w:rsidRPr="0098550F" w:rsidRDefault="0032380D" w:rsidP="00010838">
            <w:pPr>
              <w:jc w:val="center"/>
              <w:rPr>
                <w:b/>
                <w:bCs/>
                <w:color w:val="auto"/>
                <w:szCs w:val="24"/>
              </w:rPr>
            </w:pPr>
            <w:r w:rsidRPr="0098550F">
              <w:rPr>
                <w:b/>
                <w:bCs/>
                <w:color w:val="auto"/>
                <w:szCs w:val="24"/>
              </w:rPr>
              <w:t>Наименование</w:t>
            </w:r>
          </w:p>
        </w:tc>
        <w:tc>
          <w:tcPr>
            <w:tcW w:w="659" w:type="pct"/>
            <w:shd w:val="clear" w:color="auto" w:fill="D9D9D9" w:themeFill="background1" w:themeFillShade="D9"/>
          </w:tcPr>
          <w:p w:rsidR="0032380D" w:rsidRPr="0098550F" w:rsidRDefault="0032380D" w:rsidP="00010838">
            <w:pPr>
              <w:jc w:val="center"/>
              <w:rPr>
                <w:b/>
                <w:bCs/>
                <w:color w:val="auto"/>
                <w:szCs w:val="24"/>
              </w:rPr>
            </w:pPr>
            <w:r w:rsidRPr="0098550F">
              <w:rPr>
                <w:b/>
                <w:bCs/>
                <w:color w:val="auto"/>
                <w:szCs w:val="24"/>
              </w:rPr>
              <w:t>Источник данных</w:t>
            </w:r>
          </w:p>
        </w:tc>
        <w:tc>
          <w:tcPr>
            <w:tcW w:w="1466" w:type="pct"/>
            <w:shd w:val="clear" w:color="auto" w:fill="D9D9D9" w:themeFill="background1" w:themeFillShade="D9"/>
            <w:vAlign w:val="center"/>
          </w:tcPr>
          <w:p w:rsidR="0032380D" w:rsidRPr="0098550F" w:rsidRDefault="0032380D" w:rsidP="00010838">
            <w:pPr>
              <w:jc w:val="center"/>
              <w:rPr>
                <w:b/>
                <w:bCs/>
                <w:color w:val="auto"/>
                <w:szCs w:val="24"/>
              </w:rPr>
            </w:pPr>
            <w:r w:rsidRPr="0098550F">
              <w:rPr>
                <w:b/>
                <w:bCs/>
                <w:color w:val="auto"/>
                <w:szCs w:val="24"/>
              </w:rPr>
              <w:t>Примечание</w:t>
            </w:r>
          </w:p>
        </w:tc>
        <w:tc>
          <w:tcPr>
            <w:tcW w:w="1267" w:type="pct"/>
            <w:shd w:val="clear" w:color="auto" w:fill="D9D9D9" w:themeFill="background1" w:themeFillShade="D9"/>
            <w:vAlign w:val="center"/>
          </w:tcPr>
          <w:p w:rsidR="0032380D" w:rsidRPr="0098550F" w:rsidRDefault="0032380D" w:rsidP="00010838">
            <w:pPr>
              <w:jc w:val="center"/>
              <w:rPr>
                <w:b/>
                <w:bCs/>
                <w:color w:val="auto"/>
                <w:szCs w:val="24"/>
              </w:rPr>
            </w:pPr>
            <w:r w:rsidRPr="0098550F">
              <w:rPr>
                <w:b/>
                <w:bCs/>
                <w:color w:val="auto"/>
                <w:szCs w:val="24"/>
              </w:rPr>
              <w:t>Пример</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Графа</w:t>
            </w:r>
          </w:p>
        </w:tc>
        <w:tc>
          <w:tcPr>
            <w:tcW w:w="925" w:type="pct"/>
            <w:shd w:val="clear" w:color="auto" w:fill="auto"/>
          </w:tcPr>
          <w:p w:rsidR="0032380D" w:rsidRPr="0098550F" w:rsidRDefault="0032380D" w:rsidP="00010838">
            <w:pPr>
              <w:rPr>
                <w:color w:val="auto"/>
                <w:szCs w:val="24"/>
              </w:rPr>
            </w:pPr>
            <w:r>
              <w:rPr>
                <w:color w:val="auto"/>
                <w:szCs w:val="24"/>
              </w:rPr>
              <w:t>Номер бюджетного обязательства</w:t>
            </w:r>
          </w:p>
        </w:tc>
        <w:tc>
          <w:tcPr>
            <w:tcW w:w="659" w:type="pct"/>
          </w:tcPr>
          <w:p w:rsidR="0032380D" w:rsidRPr="0098550F" w:rsidRDefault="0032380D" w:rsidP="00010838">
            <w:pPr>
              <w:rPr>
                <w:color w:val="auto"/>
                <w:szCs w:val="24"/>
              </w:rPr>
            </w:pPr>
            <w:r w:rsidRPr="0098550F">
              <w:rPr>
                <w:color w:val="auto"/>
                <w:szCs w:val="24"/>
              </w:rPr>
              <w:t>БД ПУР ЭБ</w:t>
            </w:r>
          </w:p>
        </w:tc>
        <w:tc>
          <w:tcPr>
            <w:tcW w:w="1466" w:type="pct"/>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номер бюджетного обязательства</w:t>
            </w:r>
          </w:p>
        </w:tc>
        <w:tc>
          <w:tcPr>
            <w:tcW w:w="1267" w:type="pct"/>
          </w:tcPr>
          <w:p w:rsidR="0032380D" w:rsidRPr="0098550F" w:rsidRDefault="0032380D" w:rsidP="00010838">
            <w:pPr>
              <w:rPr>
                <w:color w:val="auto"/>
                <w:szCs w:val="24"/>
              </w:rPr>
            </w:pPr>
            <w:r w:rsidRPr="00C356D2">
              <w:rPr>
                <w:color w:val="auto"/>
                <w:szCs w:val="24"/>
              </w:rPr>
              <w:t>23W0057201202014</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Графа</w:t>
            </w:r>
          </w:p>
        </w:tc>
        <w:tc>
          <w:tcPr>
            <w:tcW w:w="925" w:type="pct"/>
            <w:shd w:val="clear" w:color="auto" w:fill="auto"/>
          </w:tcPr>
          <w:p w:rsidR="0032380D" w:rsidRPr="0098550F" w:rsidRDefault="0032380D" w:rsidP="00010838">
            <w:pPr>
              <w:jc w:val="left"/>
              <w:rPr>
                <w:color w:val="auto"/>
                <w:szCs w:val="24"/>
              </w:rPr>
            </w:pPr>
            <w:r>
              <w:rPr>
                <w:color w:val="auto"/>
                <w:szCs w:val="24"/>
              </w:rPr>
              <w:t>Объем бюджетных обязательств</w:t>
            </w:r>
          </w:p>
        </w:tc>
        <w:tc>
          <w:tcPr>
            <w:tcW w:w="659" w:type="pct"/>
          </w:tcPr>
          <w:p w:rsidR="0032380D" w:rsidRDefault="0032380D" w:rsidP="00010838">
            <w:r w:rsidRPr="00F36680">
              <w:rPr>
                <w:color w:val="auto"/>
                <w:szCs w:val="24"/>
              </w:rPr>
              <w:t>БД ПУР ЭБ</w:t>
            </w:r>
          </w:p>
        </w:tc>
        <w:tc>
          <w:tcPr>
            <w:tcW w:w="1466" w:type="pct"/>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сумма бюджетных обязательств по номеру БО</w:t>
            </w:r>
          </w:p>
        </w:tc>
        <w:tc>
          <w:tcPr>
            <w:tcW w:w="1267" w:type="pct"/>
          </w:tcPr>
          <w:p w:rsidR="0032380D" w:rsidRPr="0098550F" w:rsidRDefault="0032380D" w:rsidP="00010838">
            <w:pPr>
              <w:jc w:val="left"/>
              <w:rPr>
                <w:color w:val="auto"/>
                <w:szCs w:val="24"/>
              </w:rPr>
            </w:pPr>
            <w:r w:rsidRPr="007A61D5">
              <w:rPr>
                <w:color w:val="auto"/>
                <w:szCs w:val="24"/>
              </w:rPr>
              <w:t>208,8</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Pr>
                <w:color w:val="auto"/>
                <w:szCs w:val="24"/>
              </w:rPr>
              <w:t>Графа</w:t>
            </w:r>
          </w:p>
        </w:tc>
        <w:tc>
          <w:tcPr>
            <w:tcW w:w="925" w:type="pct"/>
            <w:shd w:val="clear" w:color="auto" w:fill="auto"/>
          </w:tcPr>
          <w:p w:rsidR="0032380D" w:rsidRPr="0098550F" w:rsidRDefault="0032380D" w:rsidP="00010838">
            <w:pPr>
              <w:jc w:val="left"/>
              <w:rPr>
                <w:color w:val="auto"/>
                <w:szCs w:val="24"/>
              </w:rPr>
            </w:pPr>
            <w:r>
              <w:rPr>
                <w:color w:val="auto"/>
                <w:szCs w:val="24"/>
              </w:rPr>
              <w:t>Объем денежных обязательств</w:t>
            </w:r>
          </w:p>
        </w:tc>
        <w:tc>
          <w:tcPr>
            <w:tcW w:w="659" w:type="pct"/>
          </w:tcPr>
          <w:p w:rsidR="0032380D" w:rsidRDefault="0032380D" w:rsidP="00010838">
            <w:r w:rsidRPr="00F36680">
              <w:rPr>
                <w:color w:val="auto"/>
                <w:szCs w:val="24"/>
              </w:rPr>
              <w:t>БД ПУР ЭБ</w:t>
            </w:r>
          </w:p>
        </w:tc>
        <w:tc>
          <w:tcPr>
            <w:tcW w:w="1466" w:type="pct"/>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сумма денежных обязательств по номеру БО</w:t>
            </w:r>
          </w:p>
        </w:tc>
        <w:tc>
          <w:tcPr>
            <w:tcW w:w="1267" w:type="pct"/>
          </w:tcPr>
          <w:p w:rsidR="0032380D" w:rsidRPr="0098550F" w:rsidRDefault="0032380D" w:rsidP="00010838">
            <w:pPr>
              <w:jc w:val="left"/>
              <w:rPr>
                <w:color w:val="auto"/>
                <w:szCs w:val="24"/>
              </w:rPr>
            </w:pPr>
            <w:r w:rsidRPr="007A61D5">
              <w:rPr>
                <w:color w:val="auto"/>
                <w:szCs w:val="24"/>
              </w:rPr>
              <w:t>208,8</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Графа</w:t>
            </w:r>
          </w:p>
        </w:tc>
        <w:tc>
          <w:tcPr>
            <w:tcW w:w="925" w:type="pct"/>
            <w:shd w:val="clear" w:color="auto" w:fill="auto"/>
          </w:tcPr>
          <w:p w:rsidR="0032380D" w:rsidRPr="0098550F" w:rsidRDefault="0032380D" w:rsidP="00010838">
            <w:pPr>
              <w:rPr>
                <w:color w:val="auto"/>
                <w:szCs w:val="24"/>
              </w:rPr>
            </w:pPr>
            <w:r>
              <w:rPr>
                <w:color w:val="auto"/>
                <w:szCs w:val="24"/>
              </w:rPr>
              <w:t>Объем оплаты по контрактам</w:t>
            </w:r>
          </w:p>
        </w:tc>
        <w:tc>
          <w:tcPr>
            <w:tcW w:w="659" w:type="pct"/>
          </w:tcPr>
          <w:p w:rsidR="0032380D" w:rsidRPr="0098550F" w:rsidRDefault="0032380D" w:rsidP="00010838">
            <w:pPr>
              <w:rPr>
                <w:color w:val="auto"/>
                <w:szCs w:val="24"/>
              </w:rPr>
            </w:pPr>
            <w:r>
              <w:rPr>
                <w:color w:val="auto"/>
                <w:szCs w:val="24"/>
              </w:rPr>
              <w:t>АСФК</w:t>
            </w:r>
          </w:p>
        </w:tc>
        <w:tc>
          <w:tcPr>
            <w:tcW w:w="1466" w:type="pct"/>
          </w:tcPr>
          <w:p w:rsidR="0032380D" w:rsidRPr="0098550F" w:rsidRDefault="0032380D" w:rsidP="00010838">
            <w:pPr>
              <w:jc w:val="left"/>
              <w:rPr>
                <w:color w:val="auto"/>
                <w:szCs w:val="24"/>
              </w:rPr>
            </w:pPr>
            <w:r w:rsidRPr="0098550F">
              <w:rPr>
                <w:color w:val="auto"/>
                <w:szCs w:val="24"/>
              </w:rPr>
              <w:t xml:space="preserve">Выводится </w:t>
            </w:r>
            <w:r>
              <w:rPr>
                <w:color w:val="auto"/>
                <w:szCs w:val="24"/>
              </w:rPr>
              <w:t>объем оплаты по данному номеру БО</w:t>
            </w:r>
          </w:p>
        </w:tc>
        <w:tc>
          <w:tcPr>
            <w:tcW w:w="1267" w:type="pct"/>
          </w:tcPr>
          <w:p w:rsidR="0032380D" w:rsidRPr="0098550F" w:rsidRDefault="0032380D" w:rsidP="00010838">
            <w:pPr>
              <w:rPr>
                <w:color w:val="auto"/>
                <w:szCs w:val="24"/>
              </w:rPr>
            </w:pPr>
            <w:r>
              <w:rPr>
                <w:color w:val="auto"/>
                <w:szCs w:val="24"/>
              </w:rPr>
              <w:t>103,6</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Pr="0098550F" w:rsidRDefault="0032380D" w:rsidP="00010838">
            <w:pPr>
              <w:rPr>
                <w:color w:val="auto"/>
                <w:szCs w:val="24"/>
              </w:rPr>
            </w:pPr>
            <w:r w:rsidRPr="0098550F">
              <w:rPr>
                <w:color w:val="auto"/>
                <w:szCs w:val="24"/>
              </w:rPr>
              <w:t>ГРБС</w:t>
            </w:r>
          </w:p>
        </w:tc>
        <w:tc>
          <w:tcPr>
            <w:tcW w:w="659" w:type="pct"/>
          </w:tcPr>
          <w:p w:rsidR="0032380D" w:rsidRPr="0098550F" w:rsidRDefault="0032380D" w:rsidP="00010838">
            <w:pPr>
              <w:jc w:val="left"/>
              <w:rPr>
                <w:color w:val="auto"/>
                <w:szCs w:val="24"/>
              </w:rPr>
            </w:pPr>
          </w:p>
        </w:tc>
        <w:tc>
          <w:tcPr>
            <w:tcW w:w="1466" w:type="pct"/>
          </w:tcPr>
          <w:p w:rsidR="0032380D" w:rsidRPr="0098550F" w:rsidRDefault="0032380D" w:rsidP="00010838">
            <w:pPr>
              <w:jc w:val="left"/>
              <w:rPr>
                <w:color w:val="auto"/>
                <w:szCs w:val="24"/>
              </w:rPr>
            </w:pPr>
            <w:r w:rsidRPr="0098550F">
              <w:rPr>
                <w:color w:val="auto"/>
                <w:szCs w:val="24"/>
              </w:rPr>
              <w:t>Плоский список с выбором конкретного ГРБС</w:t>
            </w:r>
          </w:p>
        </w:tc>
        <w:tc>
          <w:tcPr>
            <w:tcW w:w="1267" w:type="pct"/>
          </w:tcPr>
          <w:p w:rsidR="0032380D" w:rsidRPr="0098550F" w:rsidRDefault="0032380D" w:rsidP="00010838">
            <w:pPr>
              <w:rPr>
                <w:color w:val="auto"/>
                <w:szCs w:val="24"/>
              </w:rPr>
            </w:pPr>
            <w:r w:rsidRPr="0098550F">
              <w:rPr>
                <w:color w:val="auto"/>
                <w:szCs w:val="24"/>
              </w:rPr>
              <w:t>054 - Минкультуры России</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Pr="0098550F" w:rsidRDefault="0032380D" w:rsidP="00010838">
            <w:pPr>
              <w:rPr>
                <w:color w:val="auto"/>
                <w:szCs w:val="24"/>
              </w:rPr>
            </w:pPr>
            <w:r w:rsidRPr="0098550F">
              <w:rPr>
                <w:color w:val="auto"/>
                <w:szCs w:val="24"/>
              </w:rPr>
              <w:t>Год</w:t>
            </w:r>
          </w:p>
        </w:tc>
        <w:tc>
          <w:tcPr>
            <w:tcW w:w="659" w:type="pct"/>
          </w:tcPr>
          <w:p w:rsidR="0032380D" w:rsidRPr="0098550F" w:rsidRDefault="0032380D" w:rsidP="00010838">
            <w:pPr>
              <w:jc w:val="left"/>
              <w:rPr>
                <w:color w:val="auto"/>
                <w:szCs w:val="24"/>
              </w:rPr>
            </w:pPr>
          </w:p>
        </w:tc>
        <w:tc>
          <w:tcPr>
            <w:tcW w:w="1466" w:type="pct"/>
          </w:tcPr>
          <w:p w:rsidR="0032380D" w:rsidRPr="0098550F" w:rsidRDefault="0032380D" w:rsidP="00010838">
            <w:pPr>
              <w:jc w:val="left"/>
              <w:rPr>
                <w:color w:val="auto"/>
                <w:szCs w:val="24"/>
              </w:rPr>
            </w:pPr>
            <w:r w:rsidRPr="0098550F">
              <w:rPr>
                <w:color w:val="auto"/>
                <w:szCs w:val="24"/>
              </w:rPr>
              <w:t>Плоский список с выбором нужного года. Расчет по дате внесения последнего изменения</w:t>
            </w:r>
          </w:p>
        </w:tc>
        <w:tc>
          <w:tcPr>
            <w:tcW w:w="1267" w:type="pct"/>
          </w:tcPr>
          <w:p w:rsidR="0032380D" w:rsidRPr="0098550F" w:rsidRDefault="0032380D" w:rsidP="00010838">
            <w:pPr>
              <w:rPr>
                <w:color w:val="auto"/>
                <w:szCs w:val="24"/>
              </w:rPr>
            </w:pPr>
            <w:r w:rsidRPr="0098550F">
              <w:rPr>
                <w:color w:val="auto"/>
                <w:szCs w:val="24"/>
              </w:rPr>
              <w:t>20</w:t>
            </w:r>
            <w:r>
              <w:rPr>
                <w:color w:val="auto"/>
                <w:szCs w:val="24"/>
              </w:rPr>
              <w:t>21</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Pr="0098550F" w:rsidRDefault="0032380D" w:rsidP="00010838">
            <w:pPr>
              <w:rPr>
                <w:color w:val="auto"/>
                <w:szCs w:val="24"/>
              </w:rPr>
            </w:pPr>
            <w:r w:rsidRPr="0098550F">
              <w:rPr>
                <w:color w:val="auto"/>
                <w:szCs w:val="24"/>
              </w:rPr>
              <w:t>Единицы измерения</w:t>
            </w:r>
          </w:p>
        </w:tc>
        <w:tc>
          <w:tcPr>
            <w:tcW w:w="659" w:type="pct"/>
          </w:tcPr>
          <w:p w:rsidR="0032380D" w:rsidRPr="0098550F" w:rsidRDefault="0032380D" w:rsidP="00010838">
            <w:pPr>
              <w:jc w:val="left"/>
              <w:rPr>
                <w:color w:val="auto"/>
                <w:szCs w:val="24"/>
              </w:rPr>
            </w:pPr>
          </w:p>
        </w:tc>
        <w:tc>
          <w:tcPr>
            <w:tcW w:w="1466" w:type="pct"/>
          </w:tcPr>
          <w:p w:rsidR="0032380D" w:rsidRPr="0098550F" w:rsidRDefault="0032380D" w:rsidP="00010838">
            <w:pPr>
              <w:jc w:val="left"/>
              <w:rPr>
                <w:color w:val="auto"/>
                <w:szCs w:val="24"/>
              </w:rPr>
            </w:pPr>
            <w:r w:rsidRPr="0098550F">
              <w:rPr>
                <w:color w:val="auto"/>
                <w:szCs w:val="24"/>
              </w:rPr>
              <w:t>Плоский список с выбором единиц измерения. Состоит из элементов: руб., тыс. руб., млн руб., млрд руб.</w:t>
            </w:r>
          </w:p>
        </w:tc>
        <w:tc>
          <w:tcPr>
            <w:tcW w:w="1267" w:type="pct"/>
          </w:tcPr>
          <w:p w:rsidR="0032380D" w:rsidRPr="0098550F" w:rsidRDefault="0032380D" w:rsidP="00010838">
            <w:pPr>
              <w:rPr>
                <w:color w:val="auto"/>
                <w:szCs w:val="24"/>
              </w:rPr>
            </w:pPr>
            <w:r>
              <w:rPr>
                <w:color w:val="auto"/>
                <w:szCs w:val="24"/>
              </w:rPr>
              <w:t>тыс</w:t>
            </w:r>
            <w:r w:rsidRPr="0098550F">
              <w:rPr>
                <w:color w:val="auto"/>
                <w:szCs w:val="24"/>
              </w:rPr>
              <w:t xml:space="preserve"> руб</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Pr="0098550F" w:rsidRDefault="0032380D" w:rsidP="00010838">
            <w:pPr>
              <w:rPr>
                <w:color w:val="auto"/>
                <w:szCs w:val="24"/>
              </w:rPr>
            </w:pPr>
            <w:r>
              <w:rPr>
                <w:color w:val="auto"/>
                <w:szCs w:val="24"/>
              </w:rPr>
              <w:t>Вице-премьер</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t>Выпадающий список без множественного выбора.</w:t>
            </w:r>
            <w:r>
              <w:br/>
              <w:t xml:space="preserve">Выводится ФИО вице-премьеров и значение «Иные» (цепочки КБК не курируемые вице-премьерами, а так же </w:t>
            </w:r>
            <w:r w:rsidRPr="004B39B3">
              <w:rPr>
                <w:snapToGrid/>
                <w:szCs w:val="28"/>
              </w:rPr>
              <w:t>по закрытым сведениям, не расписанным по тонким цепочкам КБК</w:t>
            </w:r>
            <w:r>
              <w:t>).</w:t>
            </w:r>
            <w:r>
              <w:br/>
              <w:t xml:space="preserve">При выборе ФИО вице-премьера значения </w:t>
            </w:r>
            <w:r w:rsidRPr="00714639">
              <w:t>фильтруются по</w:t>
            </w:r>
            <w:r>
              <w:t xml:space="preserve"> открытым </w:t>
            </w:r>
            <w:r w:rsidRPr="00714639">
              <w:t>тонким цепочкам КБК, курируемым вице-премьерами</w:t>
            </w:r>
            <w:r>
              <w:t xml:space="preserve"> на выбранную дату</w:t>
            </w:r>
            <w:r w:rsidRPr="00714639">
              <w:t>.</w:t>
            </w:r>
            <w:r>
              <w:br/>
            </w:r>
            <w:r w:rsidRPr="00380564">
              <w:t>По умолч</w:t>
            </w:r>
            <w:r>
              <w:t>анию установлено значение «Все»</w:t>
            </w:r>
          </w:p>
        </w:tc>
        <w:tc>
          <w:tcPr>
            <w:tcW w:w="1267" w:type="pct"/>
          </w:tcPr>
          <w:p w:rsidR="0032380D" w:rsidRPr="0098550F" w:rsidRDefault="0032380D" w:rsidP="00010838">
            <w:pPr>
              <w:jc w:val="left"/>
              <w:rPr>
                <w:color w:val="auto"/>
                <w:szCs w:val="24"/>
              </w:rPr>
            </w:pPr>
            <w:r>
              <w:rPr>
                <w:color w:val="auto"/>
                <w:szCs w:val="24"/>
              </w:rPr>
              <w:t>В.В. Абрамченко</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Pr="0098550F" w:rsidRDefault="0032380D" w:rsidP="00010838">
            <w:pPr>
              <w:rPr>
                <w:color w:val="auto"/>
                <w:szCs w:val="24"/>
              </w:rPr>
            </w:pPr>
            <w:r>
              <w:rPr>
                <w:color w:val="auto"/>
                <w:szCs w:val="24"/>
              </w:rPr>
              <w:t>РзПр</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t>В</w:t>
            </w:r>
            <w:r w:rsidRPr="00BD07C4">
              <w:t>ыпадающий иерархический список с множественным выбором. Выводятся код и наименование РЗПР. Возможность контекстного поиска по коду и наименованию РЗПР. По умолчанию выводится значение «Все».</w:t>
            </w:r>
          </w:p>
        </w:tc>
        <w:tc>
          <w:tcPr>
            <w:tcW w:w="1267" w:type="pct"/>
          </w:tcPr>
          <w:p w:rsidR="0032380D" w:rsidRPr="0098550F" w:rsidRDefault="0032380D" w:rsidP="00010838">
            <w:pPr>
              <w:rPr>
                <w:color w:val="auto"/>
                <w:szCs w:val="24"/>
              </w:rPr>
            </w:pPr>
            <w:r>
              <w:rPr>
                <w:color w:val="auto"/>
                <w:szCs w:val="24"/>
              </w:rPr>
              <w:t>0100</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Default="0032380D" w:rsidP="00010838">
            <w:pPr>
              <w:rPr>
                <w:color w:val="auto"/>
                <w:szCs w:val="24"/>
              </w:rPr>
            </w:pPr>
            <w:r>
              <w:rPr>
                <w:color w:val="auto"/>
                <w:szCs w:val="24"/>
              </w:rPr>
              <w:t>Закупка (КЦСР)</w:t>
            </w:r>
          </w:p>
        </w:tc>
        <w:tc>
          <w:tcPr>
            <w:tcW w:w="659" w:type="pct"/>
          </w:tcPr>
          <w:p w:rsidR="0032380D" w:rsidRPr="0098550F" w:rsidRDefault="0032380D" w:rsidP="00010838">
            <w:pPr>
              <w:rPr>
                <w:color w:val="auto"/>
                <w:szCs w:val="24"/>
              </w:rPr>
            </w:pPr>
          </w:p>
        </w:tc>
        <w:tc>
          <w:tcPr>
            <w:tcW w:w="1466" w:type="pct"/>
          </w:tcPr>
          <w:p w:rsidR="0032380D" w:rsidRPr="00C10A06" w:rsidRDefault="0032380D" w:rsidP="00010838">
            <w:pPr>
              <w:jc w:val="left"/>
              <w:rPr>
                <w:color w:val="auto"/>
                <w:szCs w:val="24"/>
              </w:rPr>
            </w:pPr>
            <w:r>
              <w:rPr>
                <w:color w:val="auto"/>
                <w:szCs w:val="24"/>
              </w:rPr>
              <w:t xml:space="preserve">Поисковая строка. </w:t>
            </w:r>
            <w:r w:rsidRPr="00C10A06">
              <w:rPr>
                <w:color w:val="auto"/>
                <w:szCs w:val="24"/>
              </w:rPr>
              <w:t>окно для поиска введённых значений по реквизиту «КЦСР» (10 знаков).</w:t>
            </w:r>
          </w:p>
          <w:p w:rsidR="0032380D" w:rsidRPr="0098550F" w:rsidRDefault="0032380D" w:rsidP="00010838">
            <w:pPr>
              <w:jc w:val="left"/>
              <w:rPr>
                <w:color w:val="auto"/>
                <w:szCs w:val="24"/>
              </w:rPr>
            </w:pPr>
            <w:r w:rsidRPr="00C10A06">
              <w:rPr>
                <w:color w:val="auto"/>
                <w:szCs w:val="24"/>
              </w:rPr>
              <w:t>Множественного выбора нет.</w:t>
            </w:r>
          </w:p>
        </w:tc>
        <w:tc>
          <w:tcPr>
            <w:tcW w:w="1267" w:type="pct"/>
          </w:tcPr>
          <w:p w:rsidR="0032380D" w:rsidRPr="0098550F" w:rsidRDefault="0032380D" w:rsidP="00010838">
            <w:pPr>
              <w:rPr>
                <w:color w:val="auto"/>
                <w:szCs w:val="24"/>
              </w:rPr>
            </w:pPr>
            <w:r>
              <w:rPr>
                <w:color w:val="auto"/>
                <w:szCs w:val="24"/>
              </w:rPr>
              <w:t>0300500001</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Default="0032380D" w:rsidP="00010838">
            <w:pPr>
              <w:rPr>
                <w:color w:val="auto"/>
                <w:szCs w:val="24"/>
              </w:rPr>
            </w:pPr>
            <w:r>
              <w:rPr>
                <w:color w:val="auto"/>
                <w:szCs w:val="24"/>
              </w:rPr>
              <w:t>КВР</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t>В</w:t>
            </w:r>
            <w:r w:rsidRPr="00BD07C4">
              <w:t>ыпадающий иерархический список с множественным выбором. Выводятся код и наименование КВР. Возможность контекстного поиска по коду и наименованию КВР. По умолчанию выводится значение «Все»</w:t>
            </w:r>
          </w:p>
        </w:tc>
        <w:tc>
          <w:tcPr>
            <w:tcW w:w="1267" w:type="pct"/>
          </w:tcPr>
          <w:p w:rsidR="0032380D" w:rsidRPr="0098550F" w:rsidRDefault="0032380D" w:rsidP="00010838">
            <w:pPr>
              <w:rPr>
                <w:color w:val="auto"/>
                <w:szCs w:val="24"/>
              </w:rPr>
            </w:pPr>
            <w:r>
              <w:rPr>
                <w:color w:val="auto"/>
                <w:szCs w:val="24"/>
              </w:rPr>
              <w:t>100</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Default="0032380D" w:rsidP="00010838">
            <w:pPr>
              <w:rPr>
                <w:color w:val="auto"/>
                <w:szCs w:val="24"/>
              </w:rPr>
            </w:pPr>
            <w:r>
              <w:rPr>
                <w:color w:val="auto"/>
                <w:szCs w:val="24"/>
              </w:rPr>
              <w:t>НП (ФП)</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t>В</w:t>
            </w:r>
            <w:r w:rsidRPr="00BD07C4">
              <w:t>ыпадающий иерархический список с выбором кода и наименования национального и федерального проекта. Возможность контекстного поиска кода и наименования национального (федерального) проекта</w:t>
            </w:r>
          </w:p>
        </w:tc>
        <w:tc>
          <w:tcPr>
            <w:tcW w:w="1267" w:type="pct"/>
          </w:tcPr>
          <w:p w:rsidR="0032380D" w:rsidRPr="0098550F" w:rsidRDefault="0032380D" w:rsidP="00010838">
            <w:pPr>
              <w:rPr>
                <w:color w:val="auto"/>
                <w:szCs w:val="24"/>
              </w:rPr>
            </w:pPr>
            <w:r>
              <w:rPr>
                <w:color w:val="auto"/>
                <w:szCs w:val="24"/>
              </w:rPr>
              <w:t>А-Культура</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Default="0032380D" w:rsidP="00010838">
            <w:pPr>
              <w:rPr>
                <w:color w:val="auto"/>
                <w:szCs w:val="24"/>
              </w:rPr>
            </w:pPr>
            <w:r>
              <w:rPr>
                <w:color w:val="auto"/>
                <w:szCs w:val="24"/>
              </w:rPr>
              <w:t>Тип КБК</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rPr>
                <w:color w:val="auto"/>
                <w:szCs w:val="24"/>
              </w:rPr>
              <w:t>Выпадающий список с возможностью выбора открытых и закрытых цепочек КБК. По умолчанию значение «Открытые КБК»</w:t>
            </w:r>
          </w:p>
        </w:tc>
        <w:tc>
          <w:tcPr>
            <w:tcW w:w="1267" w:type="pct"/>
          </w:tcPr>
          <w:p w:rsidR="0032380D" w:rsidRPr="0098550F" w:rsidRDefault="0032380D" w:rsidP="00010838">
            <w:pPr>
              <w:rPr>
                <w:color w:val="auto"/>
                <w:szCs w:val="24"/>
              </w:rPr>
            </w:pPr>
            <w:r>
              <w:rPr>
                <w:color w:val="auto"/>
                <w:szCs w:val="24"/>
              </w:rPr>
              <w:t>Открытые КБК</w:t>
            </w:r>
          </w:p>
        </w:tc>
      </w:tr>
      <w:tr w:rsidR="0032380D" w:rsidRPr="0098550F" w:rsidTr="0032380D">
        <w:trPr>
          <w:cantSplit/>
          <w:trHeight w:val="223"/>
        </w:trPr>
        <w:tc>
          <w:tcPr>
            <w:tcW w:w="685" w:type="pct"/>
            <w:shd w:val="clear" w:color="auto" w:fill="auto"/>
          </w:tcPr>
          <w:p w:rsidR="0032380D" w:rsidRPr="0098550F" w:rsidRDefault="0032380D" w:rsidP="005C6E50">
            <w:pPr>
              <w:numPr>
                <w:ilvl w:val="0"/>
                <w:numId w:val="146"/>
              </w:numPr>
              <w:jc w:val="left"/>
              <w:rPr>
                <w:color w:val="auto"/>
                <w:szCs w:val="24"/>
              </w:rPr>
            </w:pPr>
            <w:r w:rsidRPr="0098550F">
              <w:rPr>
                <w:color w:val="auto"/>
                <w:szCs w:val="24"/>
              </w:rPr>
              <w:t>Фильтр</w:t>
            </w:r>
          </w:p>
        </w:tc>
        <w:tc>
          <w:tcPr>
            <w:tcW w:w="925" w:type="pct"/>
            <w:shd w:val="clear" w:color="auto" w:fill="auto"/>
          </w:tcPr>
          <w:p w:rsidR="0032380D" w:rsidRDefault="0032380D" w:rsidP="00010838">
            <w:pPr>
              <w:rPr>
                <w:color w:val="auto"/>
                <w:szCs w:val="24"/>
              </w:rPr>
            </w:pPr>
            <w:r>
              <w:rPr>
                <w:color w:val="auto"/>
                <w:szCs w:val="24"/>
              </w:rPr>
              <w:t>Номер БО</w:t>
            </w:r>
          </w:p>
        </w:tc>
        <w:tc>
          <w:tcPr>
            <w:tcW w:w="659" w:type="pct"/>
          </w:tcPr>
          <w:p w:rsidR="0032380D" w:rsidRPr="0098550F" w:rsidRDefault="0032380D" w:rsidP="00010838">
            <w:pPr>
              <w:rPr>
                <w:color w:val="auto"/>
                <w:szCs w:val="24"/>
              </w:rPr>
            </w:pPr>
          </w:p>
        </w:tc>
        <w:tc>
          <w:tcPr>
            <w:tcW w:w="1466" w:type="pct"/>
          </w:tcPr>
          <w:p w:rsidR="0032380D" w:rsidRPr="0098550F" w:rsidRDefault="0032380D" w:rsidP="00010838">
            <w:pPr>
              <w:jc w:val="left"/>
              <w:rPr>
                <w:color w:val="auto"/>
                <w:szCs w:val="24"/>
              </w:rPr>
            </w:pPr>
            <w:r>
              <w:rPr>
                <w:color w:val="auto"/>
                <w:szCs w:val="24"/>
              </w:rPr>
              <w:t xml:space="preserve">Поисковая строка. Окно для ввода </w:t>
            </w:r>
            <w:r w:rsidRPr="0098550F">
              <w:rPr>
                <w:color w:val="auto"/>
                <w:szCs w:val="24"/>
              </w:rPr>
              <w:t>уче</w:t>
            </w:r>
            <w:r>
              <w:rPr>
                <w:color w:val="auto"/>
                <w:szCs w:val="24"/>
              </w:rPr>
              <w:t>т</w:t>
            </w:r>
            <w:r w:rsidRPr="0098550F">
              <w:rPr>
                <w:color w:val="auto"/>
                <w:szCs w:val="24"/>
              </w:rPr>
              <w:t>н</w:t>
            </w:r>
            <w:r>
              <w:rPr>
                <w:color w:val="auto"/>
                <w:szCs w:val="24"/>
              </w:rPr>
              <w:t>ого</w:t>
            </w:r>
            <w:r w:rsidRPr="0098550F">
              <w:rPr>
                <w:color w:val="auto"/>
                <w:szCs w:val="24"/>
              </w:rPr>
              <w:t xml:space="preserve"> номер бюджетного обязательства</w:t>
            </w:r>
          </w:p>
        </w:tc>
        <w:tc>
          <w:tcPr>
            <w:tcW w:w="1267" w:type="pct"/>
          </w:tcPr>
          <w:p w:rsidR="0032380D" w:rsidRPr="0098550F" w:rsidRDefault="0032380D" w:rsidP="00010838">
            <w:pPr>
              <w:rPr>
                <w:color w:val="auto"/>
                <w:szCs w:val="24"/>
              </w:rPr>
            </w:pPr>
            <w:r w:rsidRPr="0098550F">
              <w:rPr>
                <w:color w:val="auto"/>
                <w:szCs w:val="24"/>
              </w:rPr>
              <w:t>0010004918000000069</w:t>
            </w:r>
          </w:p>
        </w:tc>
      </w:tr>
    </w:tbl>
    <w:p w:rsidR="0032380D" w:rsidRDefault="0032380D" w:rsidP="0032380D">
      <w:pPr>
        <w:pStyle w:val="-0"/>
      </w:pPr>
      <w:r>
        <w:rPr>
          <w:noProof/>
          <w:snapToGrid/>
        </w:rPr>
        <w:drawing>
          <wp:inline distT="0" distB="0" distL="0" distR="0" wp14:anchorId="27CD7C28" wp14:editId="1120E247">
            <wp:extent cx="6119495" cy="3009954"/>
            <wp:effectExtent l="0" t="0" r="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stretch>
                      <a:fillRect/>
                    </a:stretch>
                  </pic:blipFill>
                  <pic:spPr>
                    <a:xfrm>
                      <a:off x="0" y="0"/>
                      <a:ext cx="6119495" cy="3009954"/>
                    </a:xfrm>
                    <a:prstGeom prst="rect">
                      <a:avLst/>
                    </a:prstGeom>
                  </pic:spPr>
                </pic:pic>
              </a:graphicData>
            </a:graphic>
          </wp:inline>
        </w:drawing>
      </w:r>
    </w:p>
    <w:p w:rsidR="0032380D" w:rsidRPr="004740A0" w:rsidRDefault="0032380D" w:rsidP="0032380D">
      <w:pPr>
        <w:pStyle w:val="-0"/>
      </w:pPr>
      <w:bookmarkStart w:id="1072" w:name="_Toc119584465"/>
      <w:r>
        <w:t xml:space="preserve">Рисунок </w:t>
      </w:r>
      <w:fldSimple w:instr=" SEQ Рисунок \* ARABIC ">
        <w:r w:rsidR="001860A9">
          <w:rPr>
            <w:noProof/>
          </w:rPr>
          <w:t>278</w:t>
        </w:r>
      </w:fldSimple>
      <w:r>
        <w:rPr>
          <w:noProof/>
        </w:rPr>
        <w:t xml:space="preserve"> –</w:t>
      </w:r>
      <w:r w:rsidRPr="00D740EA">
        <w:t xml:space="preserve"> </w:t>
      </w:r>
      <w:r>
        <w:t>Макет</w:t>
      </w:r>
      <w:r w:rsidRPr="00D740EA">
        <w:t xml:space="preserve"> отчета </w:t>
      </w:r>
      <w:r w:rsidRPr="00CB7C5A">
        <w:rPr>
          <w:rStyle w:val="af1"/>
        </w:rPr>
        <w:t>«</w:t>
      </w:r>
      <w:r>
        <w:rPr>
          <w:rStyle w:val="af1"/>
        </w:rPr>
        <w:t>Мониторинговый отчет о контрактах в разрезе БО</w:t>
      </w:r>
      <w:r w:rsidRPr="00CB7C5A">
        <w:rPr>
          <w:rStyle w:val="af1"/>
        </w:rPr>
        <w:t>»</w:t>
      </w:r>
      <w:r>
        <w:rPr>
          <w:rStyle w:val="af1"/>
        </w:rPr>
        <w:t>.</w:t>
      </w:r>
      <w:r w:rsidRPr="00CB7C5A">
        <w:rPr>
          <w:rStyle w:val="af1"/>
        </w:rPr>
        <w:t xml:space="preserve"> «</w:t>
      </w:r>
      <w:r>
        <w:rPr>
          <w:rStyle w:val="af1"/>
        </w:rPr>
        <w:t>По малым закупкам</w:t>
      </w:r>
      <w:r w:rsidRPr="00CB7C5A">
        <w:rPr>
          <w:rStyle w:val="af1"/>
        </w:rPr>
        <w:t>»</w:t>
      </w:r>
      <w:bookmarkEnd w:id="1072"/>
    </w:p>
    <w:p w:rsidR="00AA2C82" w:rsidRDefault="00AA2C82" w:rsidP="004740A0">
      <w:pPr>
        <w:pStyle w:val="35"/>
      </w:pPr>
      <w:bookmarkStart w:id="1073" w:name="_Toc119585103"/>
      <w:r>
        <w:t>Принципы работы фильтров, используемых во всех отчетах</w:t>
      </w:r>
      <w:bookmarkEnd w:id="1024"/>
      <w:r>
        <w:t xml:space="preserve"> витрины</w:t>
      </w:r>
      <w:bookmarkEnd w:id="1059"/>
      <w:bookmarkEnd w:id="1073"/>
    </w:p>
    <w:p w:rsidR="00AA2C82" w:rsidRDefault="00AA2C82" w:rsidP="00C815AD">
      <w:pPr>
        <w:pStyle w:val="af0"/>
      </w:pPr>
      <w:r>
        <w:t>ВАЖНО! Работу любого из описанных ниже фильтров обязательно нужно инициировать нажатием на кнопку обновления данных (</w:t>
      </w:r>
      <w:r>
        <w:fldChar w:fldCharType="begin"/>
      </w:r>
      <w:r>
        <w:instrText xml:space="preserve"> REF _Ref68242510 \h </w:instrText>
      </w:r>
      <w:r>
        <w:fldChar w:fldCharType="separate"/>
      </w:r>
      <w:r w:rsidR="00BF0BEE">
        <w:t xml:space="preserve">Рисунок </w:t>
      </w:r>
      <w:r w:rsidR="00BF0BEE">
        <w:rPr>
          <w:noProof/>
        </w:rPr>
        <w:t>279</w:t>
      </w:r>
      <w:r>
        <w:fldChar w:fldCharType="end"/>
      </w:r>
      <w:r>
        <w:t xml:space="preserve">), присутствующую во всех отчетах (как в основных, так и в детализирующих) витрины «Анализ закупок товаров, работ услуг». </w:t>
      </w:r>
    </w:p>
    <w:p w:rsidR="00AA2C82" w:rsidRDefault="00AA2C82" w:rsidP="00AA2C82">
      <w:pPr>
        <w:pStyle w:val="af0"/>
        <w:keepNext/>
        <w:ind w:firstLine="0"/>
      </w:pPr>
      <w:r>
        <w:rPr>
          <w:noProof/>
          <w:snapToGrid/>
        </w:rPr>
        <w:drawing>
          <wp:inline distT="0" distB="0" distL="0" distR="0" wp14:anchorId="359565CE" wp14:editId="3F6F6987">
            <wp:extent cx="6188710" cy="1280697"/>
            <wp:effectExtent l="0" t="0" r="2540" b="0"/>
            <wp:docPr id="652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0" cstate="print"/>
                    <a:srcRect/>
                    <a:stretch>
                      <a:fillRect/>
                    </a:stretch>
                  </pic:blipFill>
                  <pic:spPr bwMode="auto">
                    <a:xfrm>
                      <a:off x="0" y="0"/>
                      <a:ext cx="6188710" cy="1280697"/>
                    </a:xfrm>
                    <a:prstGeom prst="rect">
                      <a:avLst/>
                    </a:prstGeom>
                  </pic:spPr>
                </pic:pic>
              </a:graphicData>
            </a:graphic>
          </wp:inline>
        </w:drawing>
      </w:r>
    </w:p>
    <w:p w:rsidR="00AA2C82" w:rsidRPr="00656E27" w:rsidRDefault="00AA2C82" w:rsidP="00AA2C82">
      <w:pPr>
        <w:pStyle w:val="-0"/>
      </w:pPr>
      <w:bookmarkStart w:id="1074" w:name="_Ref68242510"/>
      <w:bookmarkStart w:id="1075" w:name="_Toc67389476"/>
      <w:bookmarkStart w:id="1076" w:name="_Toc69214595"/>
      <w:bookmarkStart w:id="1077" w:name="_Toc69290440"/>
      <w:bookmarkStart w:id="1078" w:name="_Toc119584466"/>
      <w:r>
        <w:t xml:space="preserve">Рисунок </w:t>
      </w:r>
      <w:fldSimple w:instr=" SEQ Рисунок \* ARABIC ">
        <w:r w:rsidR="001860A9">
          <w:rPr>
            <w:noProof/>
          </w:rPr>
          <w:t>279</w:t>
        </w:r>
      </w:fldSimple>
      <w:bookmarkEnd w:id="1074"/>
      <w:r>
        <w:t xml:space="preserve"> – Кнопка обновления данных на панели параметров отчета «Анализ реестра контрактов и их исполнения (детализация)»</w:t>
      </w:r>
      <w:bookmarkEnd w:id="1075"/>
      <w:bookmarkEnd w:id="1076"/>
      <w:bookmarkEnd w:id="1077"/>
      <w:bookmarkEnd w:id="1078"/>
    </w:p>
    <w:p w:rsidR="00AA2C82" w:rsidRDefault="00AA2C82" w:rsidP="00AA2C82">
      <w:pPr>
        <w:pStyle w:val="42"/>
      </w:pPr>
      <w:bookmarkStart w:id="1079" w:name="_Toc69214893"/>
      <w:r>
        <w:t>Организационно-правовая форма</w:t>
      </w:r>
      <w:bookmarkEnd w:id="1079"/>
    </w:p>
    <w:p w:rsidR="00AA2C82" w:rsidRDefault="00AA2C82" w:rsidP="00AA2C82">
      <w:pPr>
        <w:pStyle w:val="af0"/>
      </w:pPr>
      <w:r>
        <w:t>Представляет собой выпадающий список с перечнем основных типов организационно-правовой формы организаций-заказчиков:</w:t>
      </w:r>
    </w:p>
    <w:p w:rsidR="00AA2C82" w:rsidRPr="003448BF" w:rsidRDefault="00AA2C82" w:rsidP="00DE1661">
      <w:pPr>
        <w:pStyle w:val="13"/>
      </w:pPr>
      <w:r w:rsidRPr="003448BF">
        <w:t>Все;</w:t>
      </w:r>
    </w:p>
    <w:p w:rsidR="00AA2C82" w:rsidRPr="003448BF" w:rsidRDefault="00AA2C82" w:rsidP="00DE1661">
      <w:pPr>
        <w:pStyle w:val="13"/>
      </w:pPr>
      <w:r w:rsidRPr="003448BF">
        <w:t>Автономное учреждение;</w:t>
      </w:r>
    </w:p>
    <w:p w:rsidR="00AA2C82" w:rsidRPr="003448BF" w:rsidRDefault="00AA2C82" w:rsidP="00DE1661">
      <w:pPr>
        <w:pStyle w:val="13"/>
      </w:pPr>
      <w:r w:rsidRPr="003448BF">
        <w:t>Бюджетное учреждение;</w:t>
      </w:r>
    </w:p>
    <w:p w:rsidR="00AA2C82" w:rsidRPr="003448BF" w:rsidRDefault="00AA2C82" w:rsidP="00DE1661">
      <w:pPr>
        <w:pStyle w:val="13"/>
      </w:pPr>
      <w:r w:rsidRPr="003448BF">
        <w:t>Казенное учреждение;</w:t>
      </w:r>
    </w:p>
    <w:p w:rsidR="00AA2C82" w:rsidRPr="003448BF" w:rsidRDefault="00AA2C82" w:rsidP="00DE1661">
      <w:pPr>
        <w:pStyle w:val="13"/>
      </w:pPr>
      <w:r w:rsidRPr="003448BF">
        <w:t>Орган государственной власти;</w:t>
      </w:r>
    </w:p>
    <w:p w:rsidR="00AA2C82" w:rsidRPr="003448BF" w:rsidRDefault="00AA2C82" w:rsidP="00DE1661">
      <w:pPr>
        <w:pStyle w:val="13"/>
      </w:pPr>
      <w:r w:rsidRPr="003448BF">
        <w:t>Унитарное предприятие.</w:t>
      </w:r>
    </w:p>
    <w:p w:rsidR="00AA2C82" w:rsidRDefault="00AA2C82" w:rsidP="00AA2C82">
      <w:pPr>
        <w:pStyle w:val="af0"/>
      </w:pPr>
      <w:r w:rsidRPr="003448BF">
        <w:t>Принципы работы фильтра в отчетах «Анализ реестра контрактов и их исполнения» и «Планирование в сфере закупок» аналогичны: отбор данных осуществляется в разрезе выбранных элементов списка. В рамках параметра предусмотрена возможность множественного выбора (</w:t>
      </w:r>
      <w:r w:rsidRPr="003448BF">
        <w:fldChar w:fldCharType="begin"/>
      </w:r>
      <w:r w:rsidRPr="003448BF">
        <w:instrText xml:space="preserve"> REF _Ref68173588 \h </w:instrText>
      </w:r>
      <w:r>
        <w:instrText xml:space="preserve"> \* MERGEFORMAT </w:instrText>
      </w:r>
      <w:r w:rsidRPr="003448BF">
        <w:fldChar w:fldCharType="separate"/>
      </w:r>
      <w:r w:rsidR="00BF0BEE">
        <w:t>Рисунок 280</w:t>
      </w:r>
      <w:r w:rsidRPr="003448BF">
        <w:fldChar w:fldCharType="end"/>
      </w:r>
      <w:r w:rsidRPr="003448BF">
        <w:t>). Элемент «Все» предполагает отбор данных по всем доступным типам организационно-правовой формы</w:t>
      </w:r>
      <w:r>
        <w:t xml:space="preserve">. </w:t>
      </w:r>
    </w:p>
    <w:p w:rsidR="00AA2C82" w:rsidRDefault="00AA2C82" w:rsidP="00321FCA">
      <w:pPr>
        <w:pStyle w:val="afffff7"/>
      </w:pPr>
      <w:r>
        <w:rPr>
          <w:noProof/>
          <w:lang w:eastAsia="ru-RU"/>
        </w:rPr>
        <w:drawing>
          <wp:inline distT="0" distB="0" distL="0" distR="0" wp14:anchorId="303023C8" wp14:editId="41D96AED">
            <wp:extent cx="6188710" cy="3025773"/>
            <wp:effectExtent l="0" t="0" r="2540" b="3810"/>
            <wp:docPr id="6521" name="Рисунок 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1" cstate="print"/>
                    <a:srcRect/>
                    <a:stretch>
                      <a:fillRect/>
                    </a:stretch>
                  </pic:blipFill>
                  <pic:spPr bwMode="auto">
                    <a:xfrm>
                      <a:off x="0" y="0"/>
                      <a:ext cx="6188710" cy="3025773"/>
                    </a:xfrm>
                    <a:prstGeom prst="rect">
                      <a:avLst/>
                    </a:prstGeom>
                  </pic:spPr>
                </pic:pic>
              </a:graphicData>
            </a:graphic>
          </wp:inline>
        </w:drawing>
      </w:r>
    </w:p>
    <w:p w:rsidR="00AA2C82" w:rsidRDefault="00AA2C82" w:rsidP="00AA2C82">
      <w:pPr>
        <w:pStyle w:val="-0"/>
      </w:pPr>
      <w:bookmarkStart w:id="1080" w:name="_Ref68173588"/>
      <w:bookmarkStart w:id="1081" w:name="_Toc69214596"/>
      <w:bookmarkStart w:id="1082" w:name="_Toc69290441"/>
      <w:bookmarkStart w:id="1083" w:name="_Toc119584467"/>
      <w:r>
        <w:t xml:space="preserve">Рисунок </w:t>
      </w:r>
      <w:fldSimple w:instr=" SEQ Рисунок \* ARABIC ">
        <w:r w:rsidR="001860A9">
          <w:rPr>
            <w:noProof/>
          </w:rPr>
          <w:t>280</w:t>
        </w:r>
      </w:fldSimple>
      <w:bookmarkEnd w:id="1080"/>
      <w:r>
        <w:t xml:space="preserve"> – Фильтр «Организационно-правовая форма» в отчете «Анализ реестра контрактов и их исполнения»</w:t>
      </w:r>
      <w:bookmarkEnd w:id="1081"/>
      <w:bookmarkEnd w:id="1082"/>
      <w:bookmarkEnd w:id="1083"/>
    </w:p>
    <w:p w:rsidR="00AA2C82" w:rsidRDefault="00AA2C82" w:rsidP="00AA2C82">
      <w:pPr>
        <w:pStyle w:val="af0"/>
        <w:keepNext/>
        <w:spacing w:before="120" w:after="120"/>
        <w:ind w:firstLine="0"/>
        <w:jc w:val="center"/>
      </w:pPr>
      <w:r>
        <w:rPr>
          <w:noProof/>
          <w:snapToGrid/>
        </w:rPr>
        <w:drawing>
          <wp:inline distT="0" distB="0" distL="0" distR="0" wp14:anchorId="4CE7D393" wp14:editId="74AC8132">
            <wp:extent cx="6188710" cy="3032948"/>
            <wp:effectExtent l="0" t="0" r="2540" b="0"/>
            <wp:docPr id="6522" name="Рисунок 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2" cstate="print"/>
                    <a:srcRect/>
                    <a:stretch>
                      <a:fillRect/>
                    </a:stretch>
                  </pic:blipFill>
                  <pic:spPr bwMode="auto">
                    <a:xfrm>
                      <a:off x="0" y="0"/>
                      <a:ext cx="6188710" cy="3032948"/>
                    </a:xfrm>
                    <a:prstGeom prst="rect">
                      <a:avLst/>
                    </a:prstGeom>
                  </pic:spPr>
                </pic:pic>
              </a:graphicData>
            </a:graphic>
          </wp:inline>
        </w:drawing>
      </w:r>
    </w:p>
    <w:p w:rsidR="00AA2C82" w:rsidRDefault="00AA2C82" w:rsidP="00AA2C82">
      <w:pPr>
        <w:pStyle w:val="-0"/>
      </w:pPr>
      <w:bookmarkStart w:id="1084" w:name="_Toc69214597"/>
      <w:bookmarkStart w:id="1085" w:name="_Toc69290442"/>
      <w:bookmarkStart w:id="1086" w:name="_Toc119584468"/>
      <w:r>
        <w:t xml:space="preserve">Рисунок </w:t>
      </w:r>
      <w:fldSimple w:instr=" SEQ Рисунок \* ARABIC ">
        <w:r w:rsidR="001860A9">
          <w:rPr>
            <w:noProof/>
          </w:rPr>
          <w:t>281</w:t>
        </w:r>
      </w:fldSimple>
      <w:r>
        <w:t xml:space="preserve"> – Фи</w:t>
      </w:r>
      <w:r w:rsidRPr="00ED424E">
        <w:t>льтр «Организационно-правовая форма» в отчете «</w:t>
      </w:r>
      <w:r>
        <w:t>Планирование в сфере закупок</w:t>
      </w:r>
      <w:r w:rsidRPr="00ED424E">
        <w:t>»</w:t>
      </w:r>
      <w:bookmarkEnd w:id="1084"/>
      <w:bookmarkEnd w:id="1085"/>
      <w:bookmarkEnd w:id="1086"/>
    </w:p>
    <w:p w:rsidR="00AA2C82" w:rsidRDefault="00AA2C82" w:rsidP="00AA2C82">
      <w:pPr>
        <w:pStyle w:val="af0"/>
      </w:pPr>
      <w:r>
        <w:t>В качестве примера рассмотрим работу фильтра в детализирующих версиях отчетов «Анализ реестра контрактов и их исполнения» (</w:t>
      </w:r>
      <w:r>
        <w:fldChar w:fldCharType="begin"/>
      </w:r>
      <w:r>
        <w:instrText xml:space="preserve"> REF _Ref68180724 \h </w:instrText>
      </w:r>
      <w:r>
        <w:fldChar w:fldCharType="separate"/>
      </w:r>
      <w:r w:rsidR="00BF0BEE">
        <w:t xml:space="preserve">Рисунок </w:t>
      </w:r>
      <w:r w:rsidR="00BF0BEE">
        <w:rPr>
          <w:noProof/>
        </w:rPr>
        <w:t>282</w:t>
      </w:r>
      <w:r>
        <w:fldChar w:fldCharType="end"/>
      </w:r>
      <w:r>
        <w:t>) и «Планирование в сфере закупок» (</w:t>
      </w:r>
      <w:r>
        <w:fldChar w:fldCharType="begin"/>
      </w:r>
      <w:r>
        <w:instrText xml:space="preserve"> REF _Ref68180728 \h </w:instrText>
      </w:r>
      <w:r>
        <w:fldChar w:fldCharType="separate"/>
      </w:r>
      <w:r w:rsidR="00BF0BEE">
        <w:t xml:space="preserve">Рисунок </w:t>
      </w:r>
      <w:r w:rsidR="00BF0BEE">
        <w:rPr>
          <w:noProof/>
        </w:rPr>
        <w:t>283</w:t>
      </w:r>
      <w:r>
        <w:fldChar w:fldCharType="end"/>
      </w:r>
      <w:r>
        <w:t>).</w:t>
      </w:r>
    </w:p>
    <w:p w:rsidR="00AA2C82" w:rsidRDefault="00AA2C82" w:rsidP="00AA2C82">
      <w:pPr>
        <w:pStyle w:val="af0"/>
      </w:pPr>
      <w:r>
        <w:t>Зададим параметру значение «Автономное учреждение» и нажмем на кнопку обновления данных.</w:t>
      </w:r>
    </w:p>
    <w:p w:rsidR="00AA2C82" w:rsidRDefault="00AA2C82" w:rsidP="00AA2C82">
      <w:pPr>
        <w:pStyle w:val="af0"/>
      </w:pPr>
      <w:r>
        <w:t>В результате работы фильтра в отчетах отображается информация только по организациям-заказчикам, являющимся автономными учреждениями.</w:t>
      </w:r>
    </w:p>
    <w:p w:rsidR="00AA2C82" w:rsidRDefault="00AA2C82" w:rsidP="00AA2C82">
      <w:pPr>
        <w:pStyle w:val="af0"/>
        <w:keepNext/>
        <w:ind w:firstLine="0"/>
      </w:pPr>
      <w:r>
        <w:rPr>
          <w:noProof/>
          <w:snapToGrid/>
        </w:rPr>
        <w:drawing>
          <wp:inline distT="0" distB="0" distL="0" distR="0" wp14:anchorId="18E5505B" wp14:editId="304869D5">
            <wp:extent cx="6188710" cy="3025993"/>
            <wp:effectExtent l="0" t="0" r="2540" b="3175"/>
            <wp:docPr id="6523" name="Рисунок 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3" cstate="print"/>
                    <a:srcRect/>
                    <a:stretch>
                      <a:fillRect/>
                    </a:stretch>
                  </pic:blipFill>
                  <pic:spPr bwMode="auto">
                    <a:xfrm>
                      <a:off x="0" y="0"/>
                      <a:ext cx="6188710" cy="3025993"/>
                    </a:xfrm>
                    <a:prstGeom prst="rect">
                      <a:avLst/>
                    </a:prstGeom>
                  </pic:spPr>
                </pic:pic>
              </a:graphicData>
            </a:graphic>
          </wp:inline>
        </w:drawing>
      </w:r>
    </w:p>
    <w:p w:rsidR="00AA2C82" w:rsidRDefault="00AA2C82" w:rsidP="00AA2C82">
      <w:pPr>
        <w:pStyle w:val="-0"/>
      </w:pPr>
      <w:bookmarkStart w:id="1087" w:name="_Ref68180724"/>
      <w:bookmarkStart w:id="1088" w:name="_Toc69214598"/>
      <w:bookmarkStart w:id="1089" w:name="_Toc69290443"/>
      <w:bookmarkStart w:id="1090" w:name="_Toc119584469"/>
      <w:r>
        <w:t xml:space="preserve">Рисунок </w:t>
      </w:r>
      <w:fldSimple w:instr=" SEQ Рисунок \* ARABIC ">
        <w:r w:rsidR="001860A9">
          <w:rPr>
            <w:noProof/>
          </w:rPr>
          <w:t>282</w:t>
        </w:r>
      </w:fldSimple>
      <w:bookmarkEnd w:id="1087"/>
      <w:r>
        <w:t xml:space="preserve"> – </w:t>
      </w:r>
      <w:r w:rsidRPr="00B62F39">
        <w:t>Результат работы фильтра «</w:t>
      </w:r>
      <w:r>
        <w:t>Организационно-правовая форма</w:t>
      </w:r>
      <w:r w:rsidRPr="00B62F39">
        <w:t>» в отчете «Анализ реестра контрактов и их исполнения (детализация)»</w:t>
      </w:r>
      <w:bookmarkEnd w:id="1088"/>
      <w:bookmarkEnd w:id="1089"/>
      <w:bookmarkEnd w:id="1090"/>
    </w:p>
    <w:p w:rsidR="00AA2C82" w:rsidRDefault="00AA2C82" w:rsidP="00AA2C82">
      <w:pPr>
        <w:keepNext/>
      </w:pPr>
      <w:r>
        <w:rPr>
          <w:noProof/>
          <w:snapToGrid/>
        </w:rPr>
        <w:drawing>
          <wp:inline distT="0" distB="0" distL="0" distR="0" wp14:anchorId="6510E1C0" wp14:editId="53B166A1">
            <wp:extent cx="6188710" cy="3018254"/>
            <wp:effectExtent l="0" t="0" r="2540" b="0"/>
            <wp:docPr id="6524" name="Рисунок 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4" cstate="print"/>
                    <a:srcRect/>
                    <a:stretch>
                      <a:fillRect/>
                    </a:stretch>
                  </pic:blipFill>
                  <pic:spPr bwMode="auto">
                    <a:xfrm>
                      <a:off x="0" y="0"/>
                      <a:ext cx="6188710" cy="3018254"/>
                    </a:xfrm>
                    <a:prstGeom prst="rect">
                      <a:avLst/>
                    </a:prstGeom>
                  </pic:spPr>
                </pic:pic>
              </a:graphicData>
            </a:graphic>
          </wp:inline>
        </w:drawing>
      </w:r>
    </w:p>
    <w:p w:rsidR="00AA2C82" w:rsidRPr="00BB7A27" w:rsidRDefault="00AA2C82" w:rsidP="00AA2C82">
      <w:pPr>
        <w:pStyle w:val="-0"/>
      </w:pPr>
      <w:bookmarkStart w:id="1091" w:name="_Ref68180728"/>
      <w:bookmarkStart w:id="1092" w:name="_Toc69214599"/>
      <w:bookmarkStart w:id="1093" w:name="_Toc69290444"/>
      <w:bookmarkStart w:id="1094" w:name="_Toc119584470"/>
      <w:r>
        <w:t xml:space="preserve">Рисунок </w:t>
      </w:r>
      <w:fldSimple w:instr=" SEQ Рисунок \* ARABIC ">
        <w:r w:rsidR="001860A9">
          <w:rPr>
            <w:noProof/>
          </w:rPr>
          <w:t>283</w:t>
        </w:r>
      </w:fldSimple>
      <w:bookmarkEnd w:id="1091"/>
      <w:r>
        <w:t xml:space="preserve"> – </w:t>
      </w:r>
      <w:r w:rsidRPr="003115F2">
        <w:t>Результат работы фильтра «Организационно-правовая форма» в отчете «</w:t>
      </w:r>
      <w:r>
        <w:t>Планирование в сфере закупок</w:t>
      </w:r>
      <w:r w:rsidRPr="003115F2">
        <w:t xml:space="preserve"> (детализация)»</w:t>
      </w:r>
      <w:bookmarkEnd w:id="1092"/>
      <w:bookmarkEnd w:id="1093"/>
      <w:bookmarkEnd w:id="1094"/>
    </w:p>
    <w:p w:rsidR="00AA2C82" w:rsidRDefault="00AA2C82" w:rsidP="00AA2C82">
      <w:pPr>
        <w:pStyle w:val="42"/>
      </w:pPr>
      <w:bookmarkStart w:id="1095" w:name="_Toc69214894"/>
      <w:r>
        <w:t>Парные параметры «Глава» и «Подведомственные учреждения»</w:t>
      </w:r>
      <w:bookmarkEnd w:id="1095"/>
    </w:p>
    <w:p w:rsidR="00AA2C82" w:rsidRDefault="00AA2C82" w:rsidP="00AA2C82">
      <w:pPr>
        <w:pStyle w:val="af0"/>
      </w:pPr>
      <w:r>
        <w:t>ВАЖНО! Данные фильтры доступны для работы только при выборе федерального уровня бюджета в соответствующем переключателе.</w:t>
      </w:r>
    </w:p>
    <w:p w:rsidR="00AA2C82" w:rsidRDefault="00AA2C82" w:rsidP="00AA2C82">
      <w:pPr>
        <w:pStyle w:val="af0"/>
      </w:pPr>
      <w:r>
        <w:t>Параметры «Глава» и «Подведомственные учреждения» представляют собой выпадающие списки с возможностями множественного выбора и поисковой строки: необходимые ГРБС и подведомственные им учреждения можно отобрать путем ввода их наименований.</w:t>
      </w:r>
    </w:p>
    <w:p w:rsidR="00AA2C82" w:rsidRDefault="00AA2C82" w:rsidP="00AA2C82">
      <w:pPr>
        <w:pStyle w:val="af0"/>
      </w:pPr>
      <w:r>
        <w:t xml:space="preserve">Фильтры являются зависимыми друг от друга. Состав элементов параметра «Подведомственные учреждения» будет определяться в соответствии с выбранным в списке «Глава» ГРБС. </w:t>
      </w:r>
    </w:p>
    <w:p w:rsidR="00AA2C82" w:rsidRDefault="00AA2C82" w:rsidP="00AA2C82">
      <w:pPr>
        <w:pStyle w:val="af0"/>
      </w:pPr>
      <w:r>
        <w:t>Доступны для работы во всех отчетах и представлениях витрины «Анализ закупок товаров, работ, услуг».</w:t>
      </w:r>
    </w:p>
    <w:p w:rsidR="00AA2C82" w:rsidRDefault="00AA2C82" w:rsidP="00AA2C82">
      <w:pPr>
        <w:pStyle w:val="af0"/>
      </w:pPr>
      <w:r>
        <w:t>На рисунках</w:t>
      </w:r>
      <w:r w:rsidR="00CD60DA" w:rsidRPr="00CD60DA">
        <w:t xml:space="preserve"> </w:t>
      </w:r>
      <w:r w:rsidR="00CD60DA">
        <w:fldChar w:fldCharType="begin"/>
      </w:r>
      <w:r w:rsidR="00CD60DA">
        <w:instrText xml:space="preserve"> REF _Ref70081811 \h </w:instrText>
      </w:r>
      <w:r w:rsidR="00CD60DA">
        <w:fldChar w:fldCharType="separate"/>
      </w:r>
      <w:r w:rsidR="00BF0BEE">
        <w:rPr>
          <w:noProof/>
        </w:rPr>
        <w:t>284</w:t>
      </w:r>
      <w:r w:rsidR="00CD60DA">
        <w:fldChar w:fldCharType="end"/>
      </w:r>
      <w:r w:rsidR="00CD60DA" w:rsidRPr="00CD60DA">
        <w:t xml:space="preserve"> </w:t>
      </w:r>
      <w:r>
        <w:t xml:space="preserve">и </w:t>
      </w:r>
      <w:r w:rsidR="00CD60DA">
        <w:fldChar w:fldCharType="begin"/>
      </w:r>
      <w:r w:rsidR="00CD60DA">
        <w:instrText xml:space="preserve"> REF _Ref70081828 \h </w:instrText>
      </w:r>
      <w:r w:rsidR="00CD60DA">
        <w:fldChar w:fldCharType="separate"/>
      </w:r>
      <w:r w:rsidR="00BF0BEE">
        <w:rPr>
          <w:noProof/>
        </w:rPr>
        <w:t>285</w:t>
      </w:r>
      <w:r w:rsidR="00CD60DA">
        <w:fldChar w:fldCharType="end"/>
      </w:r>
      <w:r w:rsidR="00CD60DA" w:rsidRPr="00CD60DA">
        <w:t xml:space="preserve"> </w:t>
      </w:r>
      <w:r>
        <w:t>отображена работа фильтров в основных отчетах «Анализ реестра контрактов» и «Планирование в сфере закупок» соответственно.</w:t>
      </w:r>
    </w:p>
    <w:p w:rsidR="00AA2C82" w:rsidRDefault="00AA2C82" w:rsidP="00AA2C82">
      <w:pPr>
        <w:pStyle w:val="af0"/>
        <w:keepNext/>
        <w:ind w:firstLine="0"/>
      </w:pPr>
      <w:r>
        <w:rPr>
          <w:noProof/>
          <w:snapToGrid/>
        </w:rPr>
        <w:drawing>
          <wp:inline distT="0" distB="0" distL="0" distR="0" wp14:anchorId="57BB0D32" wp14:editId="3DF627C8">
            <wp:extent cx="6188710" cy="3019512"/>
            <wp:effectExtent l="0" t="0" r="2540" b="9525"/>
            <wp:docPr id="65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5" cstate="print"/>
                    <a:srcRect/>
                    <a:stretch>
                      <a:fillRect/>
                    </a:stretch>
                  </pic:blipFill>
                  <pic:spPr bwMode="auto">
                    <a:xfrm>
                      <a:off x="0" y="0"/>
                      <a:ext cx="6188710" cy="3019512"/>
                    </a:xfrm>
                    <a:prstGeom prst="rect">
                      <a:avLst/>
                    </a:prstGeom>
                  </pic:spPr>
                </pic:pic>
              </a:graphicData>
            </a:graphic>
          </wp:inline>
        </w:drawing>
      </w:r>
    </w:p>
    <w:p w:rsidR="00AA2C82" w:rsidRDefault="00AA2C82" w:rsidP="00AA2C82">
      <w:pPr>
        <w:pStyle w:val="-0"/>
      </w:pPr>
      <w:bookmarkStart w:id="1096" w:name="_Ref68180741"/>
      <w:bookmarkStart w:id="1097" w:name="_Toc69214600"/>
      <w:bookmarkStart w:id="1098" w:name="_Toc69290445"/>
      <w:bookmarkStart w:id="1099" w:name="_Toc119584471"/>
      <w:r>
        <w:t xml:space="preserve">Рисунок </w:t>
      </w:r>
      <w:fldSimple w:instr=" SEQ Рисунок \* ARABIC ">
        <w:bookmarkStart w:id="1100" w:name="_Ref70081811"/>
        <w:r w:rsidR="001860A9">
          <w:rPr>
            <w:noProof/>
          </w:rPr>
          <w:t>284</w:t>
        </w:r>
        <w:bookmarkEnd w:id="1100"/>
      </w:fldSimple>
      <w:bookmarkEnd w:id="1096"/>
      <w:r>
        <w:t xml:space="preserve"> – Парные ф</w:t>
      </w:r>
      <w:r w:rsidRPr="00722F7F">
        <w:t>ильтр</w:t>
      </w:r>
      <w:r>
        <w:t>ы</w:t>
      </w:r>
      <w:r w:rsidRPr="00722F7F">
        <w:t xml:space="preserve"> «</w:t>
      </w:r>
      <w:r>
        <w:t>Глава</w:t>
      </w:r>
      <w:r w:rsidRPr="00722F7F">
        <w:t>»</w:t>
      </w:r>
      <w:r>
        <w:t xml:space="preserve"> и «Подведомственные учреждения»</w:t>
      </w:r>
      <w:r w:rsidRPr="00722F7F">
        <w:t xml:space="preserve"> в отчете «Анализ реестра контрактов и их исполнения»</w:t>
      </w:r>
      <w:bookmarkEnd w:id="1097"/>
      <w:bookmarkEnd w:id="1098"/>
      <w:bookmarkEnd w:id="1099"/>
    </w:p>
    <w:p w:rsidR="00AA2C82" w:rsidRDefault="00AA2C82" w:rsidP="00AA2C82">
      <w:pPr>
        <w:keepNext/>
      </w:pPr>
      <w:r>
        <w:rPr>
          <w:noProof/>
          <w:snapToGrid/>
        </w:rPr>
        <w:drawing>
          <wp:inline distT="0" distB="0" distL="0" distR="0" wp14:anchorId="2760FDB9" wp14:editId="4EF2626C">
            <wp:extent cx="6188710" cy="3022093"/>
            <wp:effectExtent l="0" t="0" r="2540" b="6985"/>
            <wp:docPr id="65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6" cstate="print"/>
                    <a:srcRect/>
                    <a:stretch>
                      <a:fillRect/>
                    </a:stretch>
                  </pic:blipFill>
                  <pic:spPr bwMode="auto">
                    <a:xfrm>
                      <a:off x="0" y="0"/>
                      <a:ext cx="6188710" cy="3022093"/>
                    </a:xfrm>
                    <a:prstGeom prst="rect">
                      <a:avLst/>
                    </a:prstGeom>
                  </pic:spPr>
                </pic:pic>
              </a:graphicData>
            </a:graphic>
          </wp:inline>
        </w:drawing>
      </w:r>
    </w:p>
    <w:p w:rsidR="00AA2C82" w:rsidRDefault="00AA2C82" w:rsidP="00AA2C82">
      <w:pPr>
        <w:pStyle w:val="-0"/>
      </w:pPr>
      <w:bookmarkStart w:id="1101" w:name="_Ref68180745"/>
      <w:bookmarkStart w:id="1102" w:name="_Toc69214601"/>
      <w:bookmarkStart w:id="1103" w:name="_Toc69290446"/>
      <w:bookmarkStart w:id="1104" w:name="_Toc119584472"/>
      <w:r>
        <w:t xml:space="preserve">Рисунок </w:t>
      </w:r>
      <w:fldSimple w:instr=" SEQ Рисунок \* ARABIC ">
        <w:bookmarkStart w:id="1105" w:name="_Ref70081828"/>
        <w:r w:rsidR="001860A9">
          <w:rPr>
            <w:noProof/>
          </w:rPr>
          <w:t>285</w:t>
        </w:r>
        <w:bookmarkEnd w:id="1105"/>
      </w:fldSimple>
      <w:bookmarkEnd w:id="1101"/>
      <w:r>
        <w:t xml:space="preserve"> – Парные ф</w:t>
      </w:r>
      <w:r w:rsidRPr="00722F7F">
        <w:t>ильтр</w:t>
      </w:r>
      <w:r>
        <w:t>ы</w:t>
      </w:r>
      <w:r w:rsidRPr="00722F7F">
        <w:t xml:space="preserve"> «</w:t>
      </w:r>
      <w:r>
        <w:t>Глава</w:t>
      </w:r>
      <w:r w:rsidRPr="00722F7F">
        <w:t>»</w:t>
      </w:r>
      <w:r>
        <w:t xml:space="preserve"> и «Подведомственные учреждения»</w:t>
      </w:r>
      <w:r w:rsidRPr="00722F7F">
        <w:t xml:space="preserve"> в отчете «</w:t>
      </w:r>
      <w:r>
        <w:t>Планирование в сфере закупок</w:t>
      </w:r>
      <w:r w:rsidRPr="00722F7F">
        <w:t>»</w:t>
      </w:r>
      <w:bookmarkEnd w:id="1102"/>
      <w:bookmarkEnd w:id="1103"/>
      <w:bookmarkEnd w:id="1104"/>
    </w:p>
    <w:p w:rsidR="00AA2C82" w:rsidRDefault="00AA2C82" w:rsidP="00AA2C82">
      <w:pPr>
        <w:pStyle w:val="af0"/>
      </w:pPr>
      <w:r>
        <w:t>Более подробно рассмотрим принцип работы параметров на примере детализирующих отчетов «Анализ реестра контрактов и их исполнения» (</w:t>
      </w:r>
      <w:r>
        <w:fldChar w:fldCharType="begin"/>
      </w:r>
      <w:r>
        <w:instrText xml:space="preserve"> REF _Ref68180771 \h </w:instrText>
      </w:r>
      <w:r>
        <w:fldChar w:fldCharType="separate"/>
      </w:r>
      <w:r w:rsidR="00BF0BEE">
        <w:t xml:space="preserve">Рисунок </w:t>
      </w:r>
      <w:r w:rsidR="00BF0BEE">
        <w:rPr>
          <w:noProof/>
        </w:rPr>
        <w:t>286</w:t>
      </w:r>
      <w:r>
        <w:fldChar w:fldCharType="end"/>
      </w:r>
      <w:r>
        <w:t>) «Планирование в сфере закупок» (</w:t>
      </w:r>
      <w:r>
        <w:fldChar w:fldCharType="begin"/>
      </w:r>
      <w:r>
        <w:instrText xml:space="preserve"> REF _Ref68181351 \h </w:instrText>
      </w:r>
      <w:r>
        <w:fldChar w:fldCharType="separate"/>
      </w:r>
      <w:r w:rsidR="00BF0BEE">
        <w:t xml:space="preserve">Рисунок </w:t>
      </w:r>
      <w:r w:rsidR="00BF0BEE">
        <w:rPr>
          <w:noProof/>
        </w:rPr>
        <w:t>287</w:t>
      </w:r>
      <w:r>
        <w:fldChar w:fldCharType="end"/>
      </w:r>
      <w:r>
        <w:t>).</w:t>
      </w:r>
    </w:p>
    <w:p w:rsidR="00AA2C82" w:rsidRDefault="00AA2C82" w:rsidP="00AA2C82">
      <w:pPr>
        <w:pStyle w:val="af0"/>
      </w:pPr>
      <w:r>
        <w:t>В параметре «Глава» выбираем значение «</w:t>
      </w:r>
      <w:r w:rsidRPr="00CF5755">
        <w:t xml:space="preserve">020 </w:t>
      </w:r>
      <w:r>
        <w:t xml:space="preserve">– </w:t>
      </w:r>
      <w:r w:rsidRPr="00CF5755">
        <w:t>Министерство промышленности и торговли Российской Федерации</w:t>
      </w:r>
      <w:r>
        <w:t>». Далее переходим к фильтру «Подведомственные учреждения», раскрываем его и выбираем только элемент «Министерство промышленности и торговли Российской Федерации». Нажимаем на кнопку обновления.</w:t>
      </w:r>
    </w:p>
    <w:p w:rsidR="00AA2C82" w:rsidRDefault="00AA2C82" w:rsidP="00AA2C82">
      <w:pPr>
        <w:pStyle w:val="af0"/>
      </w:pPr>
      <w:r>
        <w:t>В результате работы фильтров в отчетах отображается информация только по выбранной организации – Министерству промышленности и торговли Российской Федерации.</w:t>
      </w:r>
    </w:p>
    <w:p w:rsidR="00AA2C82" w:rsidRDefault="00AA2C82" w:rsidP="00AA2C82">
      <w:pPr>
        <w:pStyle w:val="af0"/>
      </w:pPr>
      <w:r>
        <w:t>ВАЖНО! В контексте отчетов витрины «Анализ закупок товаров, работ и услуг» глава-ГРБС является подведомственным учреждением самому себе. Данное допущение было реализовано в целях обеспечения возможности вывода информации по самой организации, являющейся главой.</w:t>
      </w:r>
    </w:p>
    <w:p w:rsidR="00AA2C82" w:rsidRDefault="00AA2C82" w:rsidP="00AA2C82">
      <w:pPr>
        <w:pStyle w:val="af0"/>
        <w:keepNext/>
        <w:ind w:firstLine="0"/>
      </w:pPr>
      <w:r>
        <w:rPr>
          <w:noProof/>
          <w:snapToGrid/>
        </w:rPr>
        <w:drawing>
          <wp:inline distT="0" distB="0" distL="0" distR="0" wp14:anchorId="43B69643" wp14:editId="4EAF57B0">
            <wp:extent cx="6188710" cy="3020833"/>
            <wp:effectExtent l="0" t="0" r="2540" b="8255"/>
            <wp:docPr id="65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7" cstate="print"/>
                    <a:srcRect/>
                    <a:stretch>
                      <a:fillRect/>
                    </a:stretch>
                  </pic:blipFill>
                  <pic:spPr bwMode="auto">
                    <a:xfrm>
                      <a:off x="0" y="0"/>
                      <a:ext cx="6188710" cy="3020833"/>
                    </a:xfrm>
                    <a:prstGeom prst="rect">
                      <a:avLst/>
                    </a:prstGeom>
                  </pic:spPr>
                </pic:pic>
              </a:graphicData>
            </a:graphic>
          </wp:inline>
        </w:drawing>
      </w:r>
    </w:p>
    <w:p w:rsidR="00AA2C82" w:rsidRDefault="00AA2C82" w:rsidP="00AA2C82">
      <w:pPr>
        <w:pStyle w:val="-0"/>
      </w:pPr>
      <w:bookmarkStart w:id="1106" w:name="_Ref68180771"/>
      <w:bookmarkStart w:id="1107" w:name="_Toc69214602"/>
      <w:bookmarkStart w:id="1108" w:name="_Toc69290447"/>
      <w:bookmarkStart w:id="1109" w:name="_Toc119584473"/>
      <w:r>
        <w:t xml:space="preserve">Рисунок </w:t>
      </w:r>
      <w:fldSimple w:instr=" SEQ Рисунок \* ARABIC ">
        <w:r w:rsidR="001860A9">
          <w:rPr>
            <w:noProof/>
          </w:rPr>
          <w:t>286</w:t>
        </w:r>
      </w:fldSimple>
      <w:bookmarkEnd w:id="1106"/>
      <w:r>
        <w:t xml:space="preserve"> – </w:t>
      </w:r>
      <w:r w:rsidRPr="00732EC1">
        <w:t xml:space="preserve">Результат </w:t>
      </w:r>
      <w:r>
        <w:t>работы парных фильтров</w:t>
      </w:r>
      <w:r w:rsidRPr="00732EC1">
        <w:t xml:space="preserve"> «</w:t>
      </w:r>
      <w:r>
        <w:t>Глава</w:t>
      </w:r>
      <w:r w:rsidRPr="00732EC1">
        <w:t>»</w:t>
      </w:r>
      <w:r>
        <w:t xml:space="preserve"> и «Подведомственное учреждение»</w:t>
      </w:r>
      <w:r w:rsidRPr="00732EC1">
        <w:t xml:space="preserve"> в отчете «</w:t>
      </w:r>
      <w:r>
        <w:t>Анализ реестра контрактов и их исполнения</w:t>
      </w:r>
      <w:r w:rsidRPr="00732EC1">
        <w:t xml:space="preserve"> (детализация)»</w:t>
      </w:r>
      <w:bookmarkEnd w:id="1107"/>
      <w:bookmarkEnd w:id="1108"/>
      <w:bookmarkEnd w:id="1109"/>
    </w:p>
    <w:p w:rsidR="00AA2C82" w:rsidRDefault="00AA2C82" w:rsidP="00AA2C82">
      <w:pPr>
        <w:keepNext/>
      </w:pPr>
      <w:r>
        <w:rPr>
          <w:noProof/>
          <w:snapToGrid/>
        </w:rPr>
        <w:drawing>
          <wp:inline distT="0" distB="0" distL="0" distR="0" wp14:anchorId="37C3E27D" wp14:editId="70D4B04C">
            <wp:extent cx="6188710" cy="3016932"/>
            <wp:effectExtent l="0" t="0" r="2540" b="0"/>
            <wp:docPr id="65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8" cstate="print"/>
                    <a:srcRect/>
                    <a:stretch>
                      <a:fillRect/>
                    </a:stretch>
                  </pic:blipFill>
                  <pic:spPr bwMode="auto">
                    <a:xfrm>
                      <a:off x="0" y="0"/>
                      <a:ext cx="6188710" cy="3016932"/>
                    </a:xfrm>
                    <a:prstGeom prst="rect">
                      <a:avLst/>
                    </a:prstGeom>
                  </pic:spPr>
                </pic:pic>
              </a:graphicData>
            </a:graphic>
          </wp:inline>
        </w:drawing>
      </w:r>
    </w:p>
    <w:p w:rsidR="00AA2C82" w:rsidRPr="00CF5755" w:rsidRDefault="00AA2C82" w:rsidP="00AA2C82">
      <w:pPr>
        <w:pStyle w:val="-0"/>
      </w:pPr>
      <w:bookmarkStart w:id="1110" w:name="_Ref68181351"/>
      <w:bookmarkStart w:id="1111" w:name="_Toc69214603"/>
      <w:bookmarkStart w:id="1112" w:name="_Toc69290448"/>
      <w:bookmarkStart w:id="1113" w:name="_Toc119584474"/>
      <w:r>
        <w:t xml:space="preserve">Рисунок </w:t>
      </w:r>
      <w:fldSimple w:instr=" SEQ Рисунок \* ARABIC ">
        <w:r w:rsidR="001860A9">
          <w:rPr>
            <w:noProof/>
          </w:rPr>
          <w:t>287</w:t>
        </w:r>
      </w:fldSimple>
      <w:bookmarkEnd w:id="1110"/>
      <w:r>
        <w:t xml:space="preserve"> – Р</w:t>
      </w:r>
      <w:r w:rsidRPr="00732EC1">
        <w:t xml:space="preserve">езультат </w:t>
      </w:r>
      <w:r>
        <w:t>работы парных фильтров</w:t>
      </w:r>
      <w:r w:rsidRPr="00732EC1">
        <w:t xml:space="preserve"> «</w:t>
      </w:r>
      <w:r>
        <w:t>Глава</w:t>
      </w:r>
      <w:r w:rsidRPr="00732EC1">
        <w:t>»</w:t>
      </w:r>
      <w:r>
        <w:t xml:space="preserve"> и «Подведомственное учреждение»</w:t>
      </w:r>
      <w:r w:rsidRPr="00732EC1">
        <w:t xml:space="preserve"> в отчете «</w:t>
      </w:r>
      <w:r>
        <w:t>Планирование в сфере закупок</w:t>
      </w:r>
      <w:r w:rsidRPr="00732EC1">
        <w:t xml:space="preserve"> (детализация)»</w:t>
      </w:r>
      <w:bookmarkEnd w:id="1111"/>
      <w:bookmarkEnd w:id="1112"/>
      <w:bookmarkEnd w:id="1113"/>
    </w:p>
    <w:p w:rsidR="00AA2C82" w:rsidRDefault="00AA2C82" w:rsidP="00AA2C82">
      <w:pPr>
        <w:pStyle w:val="42"/>
      </w:pPr>
      <w:bookmarkStart w:id="1114" w:name="_Toc69214895"/>
      <w:r>
        <w:t>Субъект РФ</w:t>
      </w:r>
      <w:bookmarkEnd w:id="1114"/>
    </w:p>
    <w:p w:rsidR="00AA2C82" w:rsidRDefault="00AA2C82" w:rsidP="00AA2C82">
      <w:pPr>
        <w:pStyle w:val="af0"/>
      </w:pPr>
      <w:r>
        <w:t>ВАЖНО! Данный фильтр доступен для работы только при выборе уровня бюджета субъекта в соответствующем переключателе.</w:t>
      </w:r>
    </w:p>
    <w:p w:rsidR="00AA2C82" w:rsidRDefault="00AA2C82" w:rsidP="00AA2C82">
      <w:pPr>
        <w:pStyle w:val="af0"/>
      </w:pPr>
      <w:r>
        <w:t>Представлен выпадающим списком с возможностью многозначного выбора любых из представленных элементов-субъектов РФ.</w:t>
      </w:r>
    </w:p>
    <w:p w:rsidR="00AA2C82" w:rsidRDefault="00AA2C82" w:rsidP="00E6032D">
      <w:pPr>
        <w:pStyle w:val="af0"/>
      </w:pPr>
      <w:r>
        <w:t>Доступен для работы во всех отчетах и представлениях витрины «Анализ закупок товаров, работ, услуг».</w:t>
      </w:r>
    </w:p>
    <w:p w:rsidR="00AA2C82" w:rsidRDefault="00AA2C82" w:rsidP="00E6032D">
      <w:pPr>
        <w:pStyle w:val="-0"/>
        <w:ind w:firstLine="567"/>
        <w:jc w:val="both"/>
      </w:pPr>
      <w:r w:rsidRPr="00E6032D">
        <w:rPr>
          <w:bCs w:val="0"/>
        </w:rPr>
        <w:t>На рисунках</w:t>
      </w:r>
      <w:r w:rsidR="00E6032D" w:rsidRPr="00E6032D">
        <w:rPr>
          <w:bCs w:val="0"/>
        </w:rPr>
        <w:t xml:space="preserve"> </w:t>
      </w:r>
      <w:r w:rsidR="00E6032D" w:rsidRPr="00E6032D">
        <w:rPr>
          <w:bCs w:val="0"/>
        </w:rPr>
        <w:fldChar w:fldCharType="begin"/>
      </w:r>
      <w:r w:rsidR="00E6032D" w:rsidRPr="00E6032D">
        <w:rPr>
          <w:bCs w:val="0"/>
        </w:rPr>
        <w:instrText xml:space="preserve"> REF _Ref70081913 \h </w:instrText>
      </w:r>
      <w:r w:rsidR="00E6032D">
        <w:rPr>
          <w:bCs w:val="0"/>
        </w:rPr>
        <w:instrText xml:space="preserve"> \* MERGEFORMAT </w:instrText>
      </w:r>
      <w:r w:rsidR="00E6032D" w:rsidRPr="00E6032D">
        <w:rPr>
          <w:bCs w:val="0"/>
        </w:rPr>
      </w:r>
      <w:r w:rsidR="00E6032D" w:rsidRPr="00E6032D">
        <w:rPr>
          <w:bCs w:val="0"/>
        </w:rPr>
        <w:fldChar w:fldCharType="separate"/>
      </w:r>
      <w:r w:rsidR="00BF0BEE" w:rsidRPr="00BF0BEE">
        <w:rPr>
          <w:bCs w:val="0"/>
        </w:rPr>
        <w:t>288</w:t>
      </w:r>
      <w:r w:rsidR="00E6032D" w:rsidRPr="00E6032D">
        <w:rPr>
          <w:bCs w:val="0"/>
        </w:rPr>
        <w:fldChar w:fldCharType="end"/>
      </w:r>
      <w:r w:rsidRPr="00E6032D">
        <w:rPr>
          <w:bCs w:val="0"/>
        </w:rPr>
        <w:t xml:space="preserve"> и </w:t>
      </w:r>
      <w:r w:rsidR="00E6032D" w:rsidRPr="00E6032D">
        <w:rPr>
          <w:bCs w:val="0"/>
        </w:rPr>
        <w:fldChar w:fldCharType="begin"/>
      </w:r>
      <w:r w:rsidR="00E6032D" w:rsidRPr="00E6032D">
        <w:rPr>
          <w:bCs w:val="0"/>
        </w:rPr>
        <w:instrText xml:space="preserve"> REF _Ref70081924 \h </w:instrText>
      </w:r>
      <w:r w:rsidR="00E6032D">
        <w:rPr>
          <w:bCs w:val="0"/>
        </w:rPr>
        <w:instrText xml:space="preserve"> \* MERGEFORMAT </w:instrText>
      </w:r>
      <w:r w:rsidR="00E6032D" w:rsidRPr="00E6032D">
        <w:rPr>
          <w:bCs w:val="0"/>
        </w:rPr>
      </w:r>
      <w:r w:rsidR="00E6032D" w:rsidRPr="00E6032D">
        <w:rPr>
          <w:bCs w:val="0"/>
        </w:rPr>
        <w:fldChar w:fldCharType="separate"/>
      </w:r>
      <w:r w:rsidR="00BF0BEE" w:rsidRPr="00BF0BEE">
        <w:rPr>
          <w:bCs w:val="0"/>
        </w:rPr>
        <w:t>289</w:t>
      </w:r>
      <w:r w:rsidR="00E6032D" w:rsidRPr="00E6032D">
        <w:rPr>
          <w:bCs w:val="0"/>
        </w:rPr>
        <w:fldChar w:fldCharType="end"/>
      </w:r>
      <w:r w:rsidR="00E6032D" w:rsidRPr="00E6032D">
        <w:rPr>
          <w:bCs w:val="0"/>
        </w:rPr>
        <w:t xml:space="preserve"> </w:t>
      </w:r>
      <w:r w:rsidRPr="00E6032D">
        <w:rPr>
          <w:bCs w:val="0"/>
        </w:rPr>
        <w:t>отображена работа фильтра в основных отчетах «Анализ реестра контрактов и их исполнения» и «Планирование в сфере закупок» соответственно</w:t>
      </w:r>
      <w:r>
        <w:t>.</w:t>
      </w:r>
    </w:p>
    <w:p w:rsidR="00AA2C82" w:rsidRDefault="00AA2C82" w:rsidP="00AA2C82">
      <w:pPr>
        <w:pStyle w:val="af0"/>
        <w:keepNext/>
        <w:ind w:firstLine="0"/>
      </w:pPr>
      <w:r>
        <w:rPr>
          <w:noProof/>
          <w:snapToGrid/>
        </w:rPr>
        <w:drawing>
          <wp:inline distT="0" distB="0" distL="0" distR="0" wp14:anchorId="2A7C3A1D" wp14:editId="7ACE3097">
            <wp:extent cx="6188710" cy="3029822"/>
            <wp:effectExtent l="0" t="0" r="2540" b="0"/>
            <wp:docPr id="65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9" cstate="print"/>
                    <a:srcRect/>
                    <a:stretch>
                      <a:fillRect/>
                    </a:stretch>
                  </pic:blipFill>
                  <pic:spPr bwMode="auto">
                    <a:xfrm>
                      <a:off x="0" y="0"/>
                      <a:ext cx="6188710" cy="3029822"/>
                    </a:xfrm>
                    <a:prstGeom prst="rect">
                      <a:avLst/>
                    </a:prstGeom>
                  </pic:spPr>
                </pic:pic>
              </a:graphicData>
            </a:graphic>
          </wp:inline>
        </w:drawing>
      </w:r>
    </w:p>
    <w:p w:rsidR="00AA2C82" w:rsidRDefault="00AA2C82" w:rsidP="00AA2C82">
      <w:pPr>
        <w:pStyle w:val="-0"/>
      </w:pPr>
      <w:bookmarkStart w:id="1115" w:name="_Ref68181363"/>
      <w:bookmarkStart w:id="1116" w:name="_Toc69214604"/>
      <w:bookmarkStart w:id="1117" w:name="_Toc69290449"/>
      <w:bookmarkStart w:id="1118" w:name="_Toc119584475"/>
      <w:r>
        <w:t xml:space="preserve">Рисунок </w:t>
      </w:r>
      <w:fldSimple w:instr=" SEQ Рисунок \* ARABIC ">
        <w:bookmarkStart w:id="1119" w:name="_Ref70081913"/>
        <w:r w:rsidR="001860A9">
          <w:rPr>
            <w:noProof/>
          </w:rPr>
          <w:t>288</w:t>
        </w:r>
        <w:bookmarkEnd w:id="1119"/>
      </w:fldSimple>
      <w:bookmarkEnd w:id="1115"/>
      <w:r>
        <w:t xml:space="preserve"> – Фильтр «Субъект РФ» для основного отчета «Анализ реестра контрактов и их исполнения»</w:t>
      </w:r>
      <w:bookmarkEnd w:id="1116"/>
      <w:bookmarkEnd w:id="1117"/>
      <w:bookmarkEnd w:id="1118"/>
    </w:p>
    <w:p w:rsidR="00AA2C82" w:rsidRDefault="00AA2C82" w:rsidP="00AA2C82">
      <w:pPr>
        <w:pStyle w:val="af0"/>
        <w:keepNext/>
        <w:spacing w:before="120" w:after="120"/>
        <w:ind w:firstLine="0"/>
        <w:jc w:val="center"/>
      </w:pPr>
      <w:r>
        <w:rPr>
          <w:noProof/>
          <w:snapToGrid/>
        </w:rPr>
        <w:drawing>
          <wp:inline distT="0" distB="0" distL="0" distR="0" wp14:anchorId="532B0AB0" wp14:editId="3545E944">
            <wp:extent cx="6188710" cy="3005576"/>
            <wp:effectExtent l="0" t="0" r="2540" b="4445"/>
            <wp:docPr id="653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0" cstate="print"/>
                    <a:srcRect/>
                    <a:stretch>
                      <a:fillRect/>
                    </a:stretch>
                  </pic:blipFill>
                  <pic:spPr bwMode="auto">
                    <a:xfrm>
                      <a:off x="0" y="0"/>
                      <a:ext cx="6188710" cy="3005576"/>
                    </a:xfrm>
                    <a:prstGeom prst="rect">
                      <a:avLst/>
                    </a:prstGeom>
                  </pic:spPr>
                </pic:pic>
              </a:graphicData>
            </a:graphic>
          </wp:inline>
        </w:drawing>
      </w:r>
    </w:p>
    <w:p w:rsidR="00AA2C82" w:rsidRDefault="00AA2C82" w:rsidP="00AA2C82">
      <w:pPr>
        <w:pStyle w:val="-0"/>
      </w:pPr>
      <w:bookmarkStart w:id="1120" w:name="_Ref68181367"/>
      <w:bookmarkStart w:id="1121" w:name="_Toc69214605"/>
      <w:bookmarkStart w:id="1122" w:name="_Toc69290450"/>
      <w:bookmarkStart w:id="1123" w:name="_Toc119584476"/>
      <w:r>
        <w:t xml:space="preserve">Рисунок </w:t>
      </w:r>
      <w:fldSimple w:instr=" SEQ Рисунок \* ARABIC ">
        <w:bookmarkStart w:id="1124" w:name="_Ref70081924"/>
        <w:r w:rsidR="001860A9">
          <w:rPr>
            <w:noProof/>
          </w:rPr>
          <w:t>289</w:t>
        </w:r>
        <w:bookmarkEnd w:id="1124"/>
      </w:fldSimple>
      <w:bookmarkEnd w:id="1120"/>
      <w:r>
        <w:t xml:space="preserve"> – </w:t>
      </w:r>
      <w:r w:rsidRPr="00C34411">
        <w:t>Фильтр «Субъект РФ» для основного отчета «</w:t>
      </w:r>
      <w:r>
        <w:t>Планирование в сфере закупок</w:t>
      </w:r>
      <w:r w:rsidRPr="00C34411">
        <w:t>»</w:t>
      </w:r>
      <w:bookmarkEnd w:id="1121"/>
      <w:bookmarkEnd w:id="1122"/>
      <w:bookmarkEnd w:id="1123"/>
    </w:p>
    <w:p w:rsidR="00AA2C82" w:rsidRDefault="00AA2C82" w:rsidP="00AA2C82">
      <w:pPr>
        <w:pStyle w:val="af0"/>
      </w:pPr>
      <w:r>
        <w:t>Рассмотрим принцип работы фильтра на примере отчетов «Анализ реестра контрактов и их исполнения (детализация)» (</w:t>
      </w:r>
      <w:r>
        <w:fldChar w:fldCharType="begin"/>
      </w:r>
      <w:r>
        <w:instrText xml:space="preserve"> REF _Ref68181427 \h </w:instrText>
      </w:r>
      <w:r>
        <w:fldChar w:fldCharType="separate"/>
      </w:r>
      <w:r w:rsidR="00BF0BEE">
        <w:t xml:space="preserve">Рисунок </w:t>
      </w:r>
      <w:r w:rsidR="00BF0BEE">
        <w:rPr>
          <w:noProof/>
        </w:rPr>
        <w:t>290</w:t>
      </w:r>
      <w:r>
        <w:fldChar w:fldCharType="end"/>
      </w:r>
      <w:r>
        <w:t>) «Планирование в сфере закупок (детализация)» (</w:t>
      </w:r>
      <w:r>
        <w:fldChar w:fldCharType="begin"/>
      </w:r>
      <w:r>
        <w:instrText xml:space="preserve"> REF _Ref68181464 \h </w:instrText>
      </w:r>
      <w:r>
        <w:fldChar w:fldCharType="separate"/>
      </w:r>
      <w:r w:rsidR="00BF0BEE">
        <w:t xml:space="preserve">Рисунок </w:t>
      </w:r>
      <w:r w:rsidR="00BF0BEE">
        <w:rPr>
          <w:noProof/>
        </w:rPr>
        <w:t>291</w:t>
      </w:r>
      <w:r>
        <w:fldChar w:fldCharType="end"/>
      </w:r>
      <w:r>
        <w:t>).</w:t>
      </w:r>
    </w:p>
    <w:p w:rsidR="00AA2C82" w:rsidRDefault="00AA2C82" w:rsidP="00AA2C82">
      <w:pPr>
        <w:pStyle w:val="af0"/>
      </w:pPr>
      <w:r>
        <w:t xml:space="preserve">Выбираем уровень субъекта РФ в качестве бюджета, в разрезе которого будет отображаться информация в отчетах. В появившемся параметре «Субъект РФ» выбираем позиции «Брянская область» и «Ярославская область» и нажимаем на кнопку обновления данных. </w:t>
      </w:r>
    </w:p>
    <w:p w:rsidR="00AA2C82" w:rsidRDefault="00AA2C82" w:rsidP="00AA2C82">
      <w:pPr>
        <w:pStyle w:val="af0"/>
      </w:pPr>
      <w:r>
        <w:t>В результате работы фильтра в отчетах отображается информация только по тем организациям-заказчикам, которые территориально расположены в Ярославской или Брянской области.</w:t>
      </w:r>
    </w:p>
    <w:p w:rsidR="00AA2C82" w:rsidRDefault="00AA2C82" w:rsidP="00AA2C82">
      <w:pPr>
        <w:pStyle w:val="af0"/>
        <w:keepNext/>
        <w:ind w:firstLine="0"/>
      </w:pPr>
      <w:r>
        <w:rPr>
          <w:noProof/>
          <w:snapToGrid/>
        </w:rPr>
        <w:drawing>
          <wp:inline distT="0" distB="0" distL="0" distR="0" wp14:anchorId="56129BAF" wp14:editId="22EB7B71">
            <wp:extent cx="6188710" cy="3025018"/>
            <wp:effectExtent l="0" t="0" r="2540" b="4445"/>
            <wp:docPr id="653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1" cstate="print"/>
                    <a:srcRect/>
                    <a:stretch>
                      <a:fillRect/>
                    </a:stretch>
                  </pic:blipFill>
                  <pic:spPr bwMode="auto">
                    <a:xfrm>
                      <a:off x="0" y="0"/>
                      <a:ext cx="6188710" cy="3025018"/>
                    </a:xfrm>
                    <a:prstGeom prst="rect">
                      <a:avLst/>
                    </a:prstGeom>
                  </pic:spPr>
                </pic:pic>
              </a:graphicData>
            </a:graphic>
          </wp:inline>
        </w:drawing>
      </w:r>
    </w:p>
    <w:p w:rsidR="00AA2C82" w:rsidRDefault="00AA2C82" w:rsidP="00AA2C82">
      <w:pPr>
        <w:pStyle w:val="-0"/>
      </w:pPr>
      <w:bookmarkStart w:id="1125" w:name="_Ref68181427"/>
      <w:bookmarkStart w:id="1126" w:name="_Toc69214606"/>
      <w:bookmarkStart w:id="1127" w:name="_Toc69290451"/>
      <w:bookmarkStart w:id="1128" w:name="_Toc119584477"/>
      <w:r>
        <w:t xml:space="preserve">Рисунок </w:t>
      </w:r>
      <w:fldSimple w:instr=" SEQ Рисунок \* ARABIC ">
        <w:r w:rsidR="001860A9">
          <w:rPr>
            <w:noProof/>
          </w:rPr>
          <w:t>290</w:t>
        </w:r>
      </w:fldSimple>
      <w:bookmarkEnd w:id="1125"/>
      <w:r>
        <w:t xml:space="preserve"> – </w:t>
      </w:r>
      <w:r w:rsidRPr="00A72B84">
        <w:t>Результат работы фильтра «</w:t>
      </w:r>
      <w:r>
        <w:t>Субъект РФ</w:t>
      </w:r>
      <w:r w:rsidRPr="00A72B84">
        <w:t>» в отчете «Анализ реестра контрактов и их исполнения (детализация)»</w:t>
      </w:r>
      <w:bookmarkEnd w:id="1126"/>
      <w:bookmarkEnd w:id="1127"/>
      <w:bookmarkEnd w:id="1128"/>
    </w:p>
    <w:p w:rsidR="00AA2C82" w:rsidRDefault="00AA2C82" w:rsidP="00AA2C82">
      <w:pPr>
        <w:pStyle w:val="af0"/>
        <w:keepNext/>
        <w:spacing w:before="120" w:after="120"/>
        <w:ind w:firstLine="0"/>
        <w:jc w:val="center"/>
      </w:pPr>
      <w:r>
        <w:rPr>
          <w:noProof/>
          <w:snapToGrid/>
        </w:rPr>
        <w:drawing>
          <wp:inline distT="0" distB="0" distL="0" distR="0" wp14:anchorId="3EEB62FC" wp14:editId="67413B94">
            <wp:extent cx="6188710" cy="3021793"/>
            <wp:effectExtent l="0" t="0" r="2540" b="7620"/>
            <wp:docPr id="653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2" cstate="print"/>
                    <a:srcRect/>
                    <a:stretch>
                      <a:fillRect/>
                    </a:stretch>
                  </pic:blipFill>
                  <pic:spPr bwMode="auto">
                    <a:xfrm>
                      <a:off x="0" y="0"/>
                      <a:ext cx="6188710" cy="3021793"/>
                    </a:xfrm>
                    <a:prstGeom prst="rect">
                      <a:avLst/>
                    </a:prstGeom>
                  </pic:spPr>
                </pic:pic>
              </a:graphicData>
            </a:graphic>
          </wp:inline>
        </w:drawing>
      </w:r>
    </w:p>
    <w:p w:rsidR="00AA2C82" w:rsidRDefault="00AA2C82" w:rsidP="00AA2C82">
      <w:pPr>
        <w:pStyle w:val="-0"/>
      </w:pPr>
      <w:bookmarkStart w:id="1129" w:name="_Ref68181464"/>
      <w:bookmarkStart w:id="1130" w:name="_Toc69214607"/>
      <w:bookmarkStart w:id="1131" w:name="_Toc69290452"/>
      <w:bookmarkStart w:id="1132" w:name="_Toc119584478"/>
      <w:r>
        <w:t xml:space="preserve">Рисунок </w:t>
      </w:r>
      <w:fldSimple w:instr=" SEQ Рисунок \* ARABIC ">
        <w:r w:rsidR="001860A9">
          <w:rPr>
            <w:noProof/>
          </w:rPr>
          <w:t>291</w:t>
        </w:r>
      </w:fldSimple>
      <w:bookmarkEnd w:id="1129"/>
      <w:r>
        <w:t xml:space="preserve"> – </w:t>
      </w:r>
      <w:r w:rsidRPr="002E34C1">
        <w:t>Результат работы фильтра «Субъект РФ» в отчете «</w:t>
      </w:r>
      <w:r>
        <w:t>Планирование в сфере закупок</w:t>
      </w:r>
      <w:r w:rsidRPr="002E34C1">
        <w:t xml:space="preserve"> (детализация)»</w:t>
      </w:r>
      <w:bookmarkEnd w:id="1130"/>
      <w:bookmarkEnd w:id="1131"/>
      <w:bookmarkEnd w:id="1132"/>
    </w:p>
    <w:p w:rsidR="00AA2C82" w:rsidRDefault="00AA2C82" w:rsidP="00AA2C82">
      <w:pPr>
        <w:pStyle w:val="42"/>
      </w:pPr>
      <w:bookmarkStart w:id="1133" w:name="_Toc69214896"/>
      <w:r>
        <w:t>Муниципальное образование</w:t>
      </w:r>
      <w:bookmarkEnd w:id="1133"/>
    </w:p>
    <w:p w:rsidR="00AA2C82" w:rsidRDefault="00AA2C82" w:rsidP="00AA2C82">
      <w:pPr>
        <w:pStyle w:val="af0"/>
      </w:pPr>
      <w:r>
        <w:t>ВАЖНО! Данный фильтр доступен для работы только при выборе муниципального уровня бюджета в соответствующем переключателе.</w:t>
      </w:r>
    </w:p>
    <w:p w:rsidR="00AA2C82" w:rsidRDefault="00AA2C82" w:rsidP="00AA2C82">
      <w:pPr>
        <w:pStyle w:val="af0"/>
      </w:pPr>
      <w:r>
        <w:t>Представляет собой выпадающий список с возможностью однозначного выбора любого из представленных элементов-муниципальных образований.</w:t>
      </w:r>
    </w:p>
    <w:p w:rsidR="00AA2C82" w:rsidRDefault="00AA2C82" w:rsidP="00AA2C82">
      <w:pPr>
        <w:pStyle w:val="af0"/>
      </w:pPr>
      <w:r>
        <w:t>Доступен для работы во всех отчетах и представлениях витрины «Анализ закупок товаров, работ, услуг».</w:t>
      </w:r>
    </w:p>
    <w:p w:rsidR="00AA2C82" w:rsidRDefault="00AA2C82" w:rsidP="00AA2C82">
      <w:pPr>
        <w:pStyle w:val="af0"/>
      </w:pPr>
      <w:r>
        <w:t>На рисунках</w:t>
      </w:r>
      <w:r w:rsidR="00E6032D" w:rsidRPr="00E6032D">
        <w:t xml:space="preserve"> </w:t>
      </w:r>
      <w:r w:rsidR="00E6032D">
        <w:fldChar w:fldCharType="begin"/>
      </w:r>
      <w:r w:rsidR="00E6032D">
        <w:instrText xml:space="preserve"> REF _Ref70081985 \h </w:instrText>
      </w:r>
      <w:r w:rsidR="00E6032D">
        <w:fldChar w:fldCharType="separate"/>
      </w:r>
      <w:r w:rsidR="00BF0BEE">
        <w:rPr>
          <w:noProof/>
        </w:rPr>
        <w:t>292</w:t>
      </w:r>
      <w:r w:rsidR="00E6032D">
        <w:fldChar w:fldCharType="end"/>
      </w:r>
      <w:r w:rsidR="00E6032D">
        <w:t xml:space="preserve"> и</w:t>
      </w:r>
      <w:r w:rsidR="00E6032D" w:rsidRPr="00E6032D">
        <w:t xml:space="preserve"> </w:t>
      </w:r>
      <w:r w:rsidR="00E6032D">
        <w:fldChar w:fldCharType="begin"/>
      </w:r>
      <w:r w:rsidR="00E6032D">
        <w:instrText xml:space="preserve"> REF _Ref70081988 \h </w:instrText>
      </w:r>
      <w:r w:rsidR="00E6032D">
        <w:fldChar w:fldCharType="separate"/>
      </w:r>
      <w:r w:rsidR="00BF0BEE">
        <w:rPr>
          <w:noProof/>
        </w:rPr>
        <w:t>293</w:t>
      </w:r>
      <w:r w:rsidR="00E6032D">
        <w:fldChar w:fldCharType="end"/>
      </w:r>
      <w:r>
        <w:t xml:space="preserve"> представлена работа параметра в рамках основных представлений отчетов «Анализ реестра контрактов и их исполнения» и «Планирование в сфере закупок».</w:t>
      </w:r>
    </w:p>
    <w:p w:rsidR="00AA2C82" w:rsidRDefault="00AA2C82" w:rsidP="00AA2C82">
      <w:pPr>
        <w:pStyle w:val="af0"/>
        <w:keepNext/>
        <w:ind w:firstLine="0"/>
      </w:pPr>
      <w:r>
        <w:rPr>
          <w:noProof/>
          <w:snapToGrid/>
        </w:rPr>
        <w:drawing>
          <wp:inline distT="0" distB="0" distL="0" distR="0" wp14:anchorId="4C979B65" wp14:editId="6F314A7B">
            <wp:extent cx="6188710" cy="3023369"/>
            <wp:effectExtent l="0" t="0" r="2540" b="5715"/>
            <wp:docPr id="653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3" cstate="print"/>
                    <a:srcRect/>
                    <a:stretch>
                      <a:fillRect/>
                    </a:stretch>
                  </pic:blipFill>
                  <pic:spPr bwMode="auto">
                    <a:xfrm>
                      <a:off x="0" y="0"/>
                      <a:ext cx="6188710" cy="3023369"/>
                    </a:xfrm>
                    <a:prstGeom prst="rect">
                      <a:avLst/>
                    </a:prstGeom>
                  </pic:spPr>
                </pic:pic>
              </a:graphicData>
            </a:graphic>
          </wp:inline>
        </w:drawing>
      </w:r>
    </w:p>
    <w:p w:rsidR="00AA2C82" w:rsidRDefault="00AA2C82" w:rsidP="00AA2C82">
      <w:pPr>
        <w:pStyle w:val="-0"/>
      </w:pPr>
      <w:bookmarkStart w:id="1134" w:name="_Ref68181502"/>
      <w:bookmarkStart w:id="1135" w:name="_Toc69214608"/>
      <w:bookmarkStart w:id="1136" w:name="_Toc69290453"/>
      <w:bookmarkStart w:id="1137" w:name="_Toc119584479"/>
      <w:r>
        <w:t xml:space="preserve">Рисунок </w:t>
      </w:r>
      <w:fldSimple w:instr=" SEQ Рисунок \* ARABIC ">
        <w:bookmarkStart w:id="1138" w:name="_Ref70081985"/>
        <w:r w:rsidR="001860A9">
          <w:rPr>
            <w:noProof/>
          </w:rPr>
          <w:t>292</w:t>
        </w:r>
        <w:bookmarkEnd w:id="1138"/>
      </w:fldSimple>
      <w:bookmarkEnd w:id="1134"/>
      <w:r>
        <w:t xml:space="preserve"> – Фильтр «МО» для основного отчета «Анализ реестра контрактов и их исполнения»</w:t>
      </w:r>
      <w:bookmarkEnd w:id="1135"/>
      <w:bookmarkEnd w:id="1136"/>
      <w:bookmarkEnd w:id="1137"/>
    </w:p>
    <w:p w:rsidR="00AA2C82" w:rsidRDefault="00AA2C82" w:rsidP="00AA2C82">
      <w:pPr>
        <w:keepNext/>
      </w:pPr>
      <w:r>
        <w:rPr>
          <w:noProof/>
          <w:snapToGrid/>
        </w:rPr>
        <w:drawing>
          <wp:inline distT="0" distB="0" distL="0" distR="0" wp14:anchorId="510333E3" wp14:editId="02EA7831">
            <wp:extent cx="6188710" cy="3018489"/>
            <wp:effectExtent l="0" t="0" r="2540" b="0"/>
            <wp:docPr id="653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4" cstate="print"/>
                    <a:srcRect/>
                    <a:stretch>
                      <a:fillRect/>
                    </a:stretch>
                  </pic:blipFill>
                  <pic:spPr bwMode="auto">
                    <a:xfrm>
                      <a:off x="0" y="0"/>
                      <a:ext cx="6188710" cy="3018489"/>
                    </a:xfrm>
                    <a:prstGeom prst="rect">
                      <a:avLst/>
                    </a:prstGeom>
                  </pic:spPr>
                </pic:pic>
              </a:graphicData>
            </a:graphic>
          </wp:inline>
        </w:drawing>
      </w:r>
    </w:p>
    <w:p w:rsidR="00AA2C82" w:rsidRDefault="00AA2C82" w:rsidP="00AA2C82">
      <w:pPr>
        <w:pStyle w:val="-0"/>
      </w:pPr>
      <w:bookmarkStart w:id="1139" w:name="_Ref68181507"/>
      <w:bookmarkStart w:id="1140" w:name="_Toc69214609"/>
      <w:bookmarkStart w:id="1141" w:name="_Toc69290454"/>
      <w:bookmarkStart w:id="1142" w:name="_Toc119584480"/>
      <w:r>
        <w:t>Рисунок</w:t>
      </w:r>
      <w:r w:rsidR="00E6032D">
        <w:t xml:space="preserve"> </w:t>
      </w:r>
      <w:fldSimple w:instr=" SEQ Рисунок \* ARABIC ">
        <w:bookmarkStart w:id="1143" w:name="_Ref70081988"/>
        <w:r w:rsidR="001860A9">
          <w:rPr>
            <w:noProof/>
          </w:rPr>
          <w:t>293</w:t>
        </w:r>
        <w:bookmarkEnd w:id="1143"/>
      </w:fldSimple>
      <w:bookmarkEnd w:id="1139"/>
      <w:r>
        <w:t xml:space="preserve"> – </w:t>
      </w:r>
      <w:r w:rsidRPr="00965B2C">
        <w:t>Фильтр «МО» для основного отчета «</w:t>
      </w:r>
      <w:r>
        <w:t>Планирование в сфере закупок</w:t>
      </w:r>
      <w:r w:rsidRPr="00965B2C">
        <w:t>»</w:t>
      </w:r>
      <w:bookmarkEnd w:id="1140"/>
      <w:bookmarkEnd w:id="1141"/>
      <w:bookmarkEnd w:id="1142"/>
    </w:p>
    <w:p w:rsidR="00AA2C82" w:rsidRPr="00372456" w:rsidRDefault="00AA2C82" w:rsidP="00AA2C82">
      <w:pPr>
        <w:pStyle w:val="af0"/>
      </w:pPr>
      <w:r w:rsidRPr="00372456">
        <w:t>Рассмотрим принцип работы фильтра на примере отчетов «Анализ реестра контрактов и их исполнения (детализация)» (</w:t>
      </w:r>
      <w:r>
        <w:fldChar w:fldCharType="begin"/>
      </w:r>
      <w:r>
        <w:instrText xml:space="preserve"> REF _Ref68181530 \h </w:instrText>
      </w:r>
      <w:r>
        <w:fldChar w:fldCharType="separate"/>
      </w:r>
      <w:r w:rsidR="00BF0BEE">
        <w:t xml:space="preserve">Рисунок </w:t>
      </w:r>
      <w:r w:rsidR="00BF0BEE">
        <w:rPr>
          <w:noProof/>
        </w:rPr>
        <w:t>294</w:t>
      </w:r>
      <w:r>
        <w:fldChar w:fldCharType="end"/>
      </w:r>
      <w:r w:rsidRPr="00372456">
        <w:t>) «Планирование в сфере закупок (детализация)» (</w:t>
      </w:r>
      <w:r>
        <w:fldChar w:fldCharType="begin"/>
      </w:r>
      <w:r>
        <w:instrText xml:space="preserve"> REF _Ref68181657 \h </w:instrText>
      </w:r>
      <w:r>
        <w:fldChar w:fldCharType="separate"/>
      </w:r>
      <w:r w:rsidR="00BF0BEE">
        <w:t xml:space="preserve">Рисунок </w:t>
      </w:r>
      <w:r w:rsidR="00BF0BEE">
        <w:rPr>
          <w:noProof/>
        </w:rPr>
        <w:t>295</w:t>
      </w:r>
      <w:r>
        <w:fldChar w:fldCharType="end"/>
      </w:r>
      <w:r w:rsidRPr="00372456">
        <w:t>).</w:t>
      </w:r>
    </w:p>
    <w:p w:rsidR="00AA2C82" w:rsidRPr="00372456" w:rsidRDefault="00AA2C82" w:rsidP="00AA2C82">
      <w:pPr>
        <w:pStyle w:val="af0"/>
      </w:pPr>
      <w:r w:rsidRPr="00372456">
        <w:t xml:space="preserve">Выбираем </w:t>
      </w:r>
      <w:r>
        <w:t>муниципальный уровень</w:t>
      </w:r>
      <w:r w:rsidRPr="00372456">
        <w:t xml:space="preserve"> в качестве бюджета, в разрезе которого будет отображаться информация в отчетах. В появившемся параметре «</w:t>
      </w:r>
      <w:r>
        <w:t>МО</w:t>
      </w:r>
      <w:r w:rsidRPr="00372456">
        <w:t xml:space="preserve">» </w:t>
      </w:r>
      <w:r>
        <w:t>раскрываем ветку «Брянская область» и выбираем позицию «Город Брянск»</w:t>
      </w:r>
      <w:r w:rsidRPr="00372456">
        <w:t xml:space="preserve">. </w:t>
      </w:r>
    </w:p>
    <w:p w:rsidR="00AA2C82" w:rsidRDefault="00AA2C82" w:rsidP="00AA2C82">
      <w:pPr>
        <w:pStyle w:val="af0"/>
      </w:pPr>
      <w:r w:rsidRPr="00372456">
        <w:t xml:space="preserve">В результате работы фильтра в отчетах отображается информация только по тем организациям-заказчикам, которые территориально расположены </w:t>
      </w:r>
      <w:r>
        <w:t>в городе Брянск</w:t>
      </w:r>
      <w:r w:rsidRPr="00372456">
        <w:t>.</w:t>
      </w:r>
    </w:p>
    <w:p w:rsidR="00AA2C82" w:rsidRDefault="00AA2C82" w:rsidP="00AA2C82">
      <w:pPr>
        <w:pStyle w:val="af0"/>
        <w:keepNext/>
        <w:ind w:firstLine="0"/>
      </w:pPr>
      <w:r>
        <w:rPr>
          <w:noProof/>
          <w:snapToGrid/>
        </w:rPr>
        <w:drawing>
          <wp:inline distT="0" distB="0" distL="0" distR="0" wp14:anchorId="7811926A" wp14:editId="552AE991">
            <wp:extent cx="6188710" cy="3013689"/>
            <wp:effectExtent l="0" t="0" r="2540" b="0"/>
            <wp:docPr id="6535" name="Рисунок 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5" cstate="print"/>
                    <a:srcRect/>
                    <a:stretch>
                      <a:fillRect/>
                    </a:stretch>
                  </pic:blipFill>
                  <pic:spPr bwMode="auto">
                    <a:xfrm>
                      <a:off x="0" y="0"/>
                      <a:ext cx="6188710" cy="3013689"/>
                    </a:xfrm>
                    <a:prstGeom prst="rect">
                      <a:avLst/>
                    </a:prstGeom>
                  </pic:spPr>
                </pic:pic>
              </a:graphicData>
            </a:graphic>
          </wp:inline>
        </w:drawing>
      </w:r>
    </w:p>
    <w:p w:rsidR="00AA2C82" w:rsidRDefault="00AA2C82" w:rsidP="00AA2C82">
      <w:pPr>
        <w:pStyle w:val="-0"/>
      </w:pPr>
      <w:bookmarkStart w:id="1144" w:name="_Ref68181530"/>
      <w:bookmarkStart w:id="1145" w:name="_Toc69214610"/>
      <w:bookmarkStart w:id="1146" w:name="_Toc69290455"/>
      <w:bookmarkStart w:id="1147" w:name="_Toc119584481"/>
      <w:r>
        <w:t xml:space="preserve">Рисунок </w:t>
      </w:r>
      <w:fldSimple w:instr=" SEQ Рисунок \* ARABIC ">
        <w:r w:rsidR="001860A9">
          <w:rPr>
            <w:noProof/>
          </w:rPr>
          <w:t>294</w:t>
        </w:r>
      </w:fldSimple>
      <w:bookmarkEnd w:id="1144"/>
      <w:r>
        <w:t xml:space="preserve"> – </w:t>
      </w:r>
      <w:r w:rsidRPr="00D46DAA">
        <w:t>Результат работы фильтра «</w:t>
      </w:r>
      <w:r>
        <w:t>МО</w:t>
      </w:r>
      <w:r w:rsidRPr="00D46DAA">
        <w:t>» в отчете «Анализ реестра контрактов и их исполнения (детализация)»</w:t>
      </w:r>
      <w:bookmarkEnd w:id="1145"/>
      <w:bookmarkEnd w:id="1146"/>
      <w:bookmarkEnd w:id="1147"/>
    </w:p>
    <w:p w:rsidR="00AA2C82" w:rsidRDefault="00AA2C82" w:rsidP="00AA2C82">
      <w:pPr>
        <w:keepNext/>
      </w:pPr>
      <w:r>
        <w:rPr>
          <w:noProof/>
          <w:snapToGrid/>
        </w:rPr>
        <w:drawing>
          <wp:inline distT="0" distB="0" distL="0" distR="0" wp14:anchorId="6A4F3039" wp14:editId="7AF9DEA8">
            <wp:extent cx="6188710" cy="3028243"/>
            <wp:effectExtent l="0" t="0" r="2540" b="1270"/>
            <wp:docPr id="6536" name="Рисунок 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6" cstate="print"/>
                    <a:srcRect/>
                    <a:stretch>
                      <a:fillRect/>
                    </a:stretch>
                  </pic:blipFill>
                  <pic:spPr bwMode="auto">
                    <a:xfrm>
                      <a:off x="0" y="0"/>
                      <a:ext cx="6188710" cy="3028243"/>
                    </a:xfrm>
                    <a:prstGeom prst="rect">
                      <a:avLst/>
                    </a:prstGeom>
                  </pic:spPr>
                </pic:pic>
              </a:graphicData>
            </a:graphic>
          </wp:inline>
        </w:drawing>
      </w:r>
    </w:p>
    <w:p w:rsidR="00AA2C82" w:rsidRPr="009972F0" w:rsidRDefault="00AA2C82" w:rsidP="00AA2C82">
      <w:pPr>
        <w:pStyle w:val="-0"/>
      </w:pPr>
      <w:bookmarkStart w:id="1148" w:name="_Ref68181657"/>
      <w:bookmarkStart w:id="1149" w:name="_Toc69214611"/>
      <w:bookmarkStart w:id="1150" w:name="_Toc69290456"/>
      <w:bookmarkStart w:id="1151" w:name="_Toc119584482"/>
      <w:r>
        <w:t xml:space="preserve">Рисунок </w:t>
      </w:r>
      <w:fldSimple w:instr=" SEQ Рисунок \* ARABIC ">
        <w:r w:rsidR="001860A9">
          <w:rPr>
            <w:noProof/>
          </w:rPr>
          <w:t>295</w:t>
        </w:r>
      </w:fldSimple>
      <w:bookmarkEnd w:id="1148"/>
      <w:r>
        <w:t xml:space="preserve"> – </w:t>
      </w:r>
      <w:r w:rsidRPr="00D46DAA">
        <w:t>Результат работы фильтра «</w:t>
      </w:r>
      <w:r>
        <w:t>МО</w:t>
      </w:r>
      <w:r w:rsidRPr="00D46DAA">
        <w:t>» в отчете «</w:t>
      </w:r>
      <w:r>
        <w:t>Планирование в сфере закупок</w:t>
      </w:r>
      <w:r w:rsidRPr="00D46DAA">
        <w:t xml:space="preserve"> (детализация)»</w:t>
      </w:r>
      <w:bookmarkEnd w:id="1149"/>
      <w:bookmarkEnd w:id="1150"/>
      <w:bookmarkEnd w:id="1151"/>
    </w:p>
    <w:p w:rsidR="00AA2C82" w:rsidRDefault="00AA2C82" w:rsidP="00AA2C82">
      <w:pPr>
        <w:pStyle w:val="42"/>
      </w:pPr>
      <w:bookmarkStart w:id="1152" w:name="_Toc69214897"/>
      <w:r>
        <w:t>Национальный проект</w:t>
      </w:r>
      <w:bookmarkEnd w:id="1152"/>
    </w:p>
    <w:p w:rsidR="00AA2C82" w:rsidRDefault="00AA2C82" w:rsidP="00AA2C82">
      <w:pPr>
        <w:pStyle w:val="af0"/>
      </w:pPr>
      <w:r>
        <w:t>Фильтр представлен выпадающим списком с возможностью множественного выбора:</w:t>
      </w:r>
    </w:p>
    <w:p w:rsidR="00AA2C82" w:rsidRPr="003448BF" w:rsidRDefault="00AA2C82" w:rsidP="00DE1661">
      <w:pPr>
        <w:pStyle w:val="13"/>
      </w:pPr>
      <w:r w:rsidRPr="003448BF">
        <w:t>Все;</w:t>
      </w:r>
    </w:p>
    <w:p w:rsidR="00AA2C82" w:rsidRPr="003448BF" w:rsidRDefault="00AA2C82" w:rsidP="00DE1661">
      <w:pPr>
        <w:pStyle w:val="13"/>
      </w:pPr>
      <w:r w:rsidRPr="003448BF">
        <w:t>Вне рамок нацпроектов;</w:t>
      </w:r>
    </w:p>
    <w:p w:rsidR="00AA2C82" w:rsidRPr="003448BF" w:rsidRDefault="00AA2C82" w:rsidP="00DE1661">
      <w:pPr>
        <w:pStyle w:val="13"/>
      </w:pPr>
      <w:r w:rsidRPr="003448BF">
        <w:t>В рамках нацпроектов.</w:t>
      </w:r>
    </w:p>
    <w:p w:rsidR="00AA2C82" w:rsidRDefault="00AA2C82" w:rsidP="00AA2C82">
      <w:pPr>
        <w:pStyle w:val="af0"/>
      </w:pPr>
      <w:r>
        <w:t>Параметр реализован во всех основных представления отчетов «Анализ реестра контрактов и их исполнения» и «Планирование в сфере закупок», а также в отчетах-детализациях.</w:t>
      </w:r>
    </w:p>
    <w:p w:rsidR="00AA2C82" w:rsidRDefault="00AA2C82" w:rsidP="00AA2C82">
      <w:pPr>
        <w:pStyle w:val="af0"/>
      </w:pPr>
      <w:r>
        <w:t>При выборе значения «Вне рамок нацпроектов» будут выводиться те контракты, реализация которых не предусматривается в рамках национальных и федеральных проектов.</w:t>
      </w:r>
    </w:p>
    <w:p w:rsidR="00AA2C82" w:rsidRDefault="00AA2C82" w:rsidP="00AA2C82">
      <w:pPr>
        <w:pStyle w:val="af0"/>
      </w:pPr>
      <w:r>
        <w:t xml:space="preserve">Внутри ветки «В рамках нацпроектов» и иерархическом порядке перечислены и доступны для выбора все действующие национальные и федеральные проекты. </w:t>
      </w:r>
    </w:p>
    <w:p w:rsidR="00AA2C82" w:rsidRDefault="00AA2C82" w:rsidP="00AA2C82">
      <w:pPr>
        <w:pStyle w:val="af0"/>
      </w:pPr>
      <w:r>
        <w:t>Для наглядности рассмотрим работу фильтра в детализирующих версиях отчетов «Анализ реестра контрактов и их исполнения (</w:t>
      </w:r>
      <w:r>
        <w:fldChar w:fldCharType="begin"/>
      </w:r>
      <w:r>
        <w:instrText xml:space="preserve"> REF _Ref68181674 \h </w:instrText>
      </w:r>
      <w:r>
        <w:fldChar w:fldCharType="separate"/>
      </w:r>
      <w:r w:rsidR="00BF0BEE">
        <w:t xml:space="preserve">Рисунок </w:t>
      </w:r>
      <w:r w:rsidR="00BF0BEE">
        <w:rPr>
          <w:noProof/>
        </w:rPr>
        <w:t>296</w:t>
      </w:r>
      <w:r>
        <w:fldChar w:fldCharType="end"/>
      </w:r>
      <w:r>
        <w:t>) и «Планирование в сфере закупок» (</w:t>
      </w:r>
      <w:r>
        <w:fldChar w:fldCharType="begin"/>
      </w:r>
      <w:r>
        <w:instrText xml:space="preserve"> REF _Ref68181682 \h </w:instrText>
      </w:r>
      <w:r>
        <w:fldChar w:fldCharType="separate"/>
      </w:r>
      <w:r w:rsidR="00BF0BEE">
        <w:t xml:space="preserve">Рисунок </w:t>
      </w:r>
      <w:r w:rsidR="00BF0BEE">
        <w:rPr>
          <w:noProof/>
        </w:rPr>
        <w:t>297</w:t>
      </w:r>
      <w:r>
        <w:fldChar w:fldCharType="end"/>
      </w:r>
      <w:r>
        <w:t>). Параметру «Национальный проект»</w:t>
      </w:r>
      <w:r w:rsidRPr="00F21B89">
        <w:t xml:space="preserve"> </w:t>
      </w:r>
      <w:r>
        <w:t>зададим значение «</w:t>
      </w:r>
      <w:r w:rsidRPr="00781F48">
        <w:t xml:space="preserve">A1 </w:t>
      </w:r>
      <w:r>
        <w:t>–</w:t>
      </w:r>
      <w:r w:rsidRPr="00781F48">
        <w:t xml:space="preserve"> Федеральный проект </w:t>
      </w:r>
      <w:r>
        <w:t>«</w:t>
      </w:r>
      <w:r w:rsidRPr="00781F48">
        <w:t>Культурная среда</w:t>
      </w:r>
      <w:r>
        <w:t xml:space="preserve">». </w:t>
      </w:r>
    </w:p>
    <w:p w:rsidR="00AA2C82" w:rsidRDefault="00AA2C82" w:rsidP="00AA2C82">
      <w:pPr>
        <w:pStyle w:val="af0"/>
      </w:pPr>
      <w:r>
        <w:t>В результате работы фильтра отчеты будут отображать только те контракты и планы-графики закупок, реализация которых предусмотрена в рамках выбранного федерального проекта.</w:t>
      </w:r>
    </w:p>
    <w:p w:rsidR="00AA2C82" w:rsidRDefault="00AA2C82" w:rsidP="00AA2C82">
      <w:pPr>
        <w:pStyle w:val="af0"/>
      </w:pPr>
      <w:r>
        <w:t>Проверить данный момент можно следующим образом: 4-й и 5-й символы КЦСР (одноименное поле в таблицах) для контракта или плана-графика закупок будут соответствовать выбранному в параметре значению «</w:t>
      </w:r>
      <w:r>
        <w:rPr>
          <w:lang w:val="en-US"/>
        </w:rPr>
        <w:t>A1</w:t>
      </w:r>
      <w:r>
        <w:t xml:space="preserve">».   </w:t>
      </w:r>
    </w:p>
    <w:p w:rsidR="00AA2C82" w:rsidRDefault="00AA2C82" w:rsidP="00AA2C82">
      <w:pPr>
        <w:pStyle w:val="af0"/>
        <w:keepNext/>
        <w:ind w:firstLine="0"/>
      </w:pPr>
      <w:r>
        <w:rPr>
          <w:noProof/>
          <w:snapToGrid/>
        </w:rPr>
        <w:drawing>
          <wp:inline distT="0" distB="0" distL="0" distR="0" wp14:anchorId="5EDFDF12" wp14:editId="4D7DA21C">
            <wp:extent cx="6188710" cy="3025018"/>
            <wp:effectExtent l="0" t="0" r="2540" b="4445"/>
            <wp:docPr id="65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7" cstate="print"/>
                    <a:srcRect/>
                    <a:stretch>
                      <a:fillRect/>
                    </a:stretch>
                  </pic:blipFill>
                  <pic:spPr bwMode="auto">
                    <a:xfrm>
                      <a:off x="0" y="0"/>
                      <a:ext cx="6188710" cy="3025018"/>
                    </a:xfrm>
                    <a:prstGeom prst="rect">
                      <a:avLst/>
                    </a:prstGeom>
                  </pic:spPr>
                </pic:pic>
              </a:graphicData>
            </a:graphic>
          </wp:inline>
        </w:drawing>
      </w:r>
    </w:p>
    <w:p w:rsidR="00AA2C82" w:rsidRDefault="00AA2C82" w:rsidP="00AA2C82">
      <w:pPr>
        <w:pStyle w:val="-0"/>
      </w:pPr>
      <w:bookmarkStart w:id="1153" w:name="_Ref68181674"/>
      <w:bookmarkStart w:id="1154" w:name="_Toc69214612"/>
      <w:bookmarkStart w:id="1155" w:name="_Toc69290457"/>
      <w:bookmarkStart w:id="1156" w:name="_Toc119584483"/>
      <w:r>
        <w:t xml:space="preserve">Рисунок </w:t>
      </w:r>
      <w:fldSimple w:instr=" SEQ Рисунок \* ARABIC ">
        <w:r w:rsidR="001860A9">
          <w:rPr>
            <w:noProof/>
          </w:rPr>
          <w:t>296</w:t>
        </w:r>
      </w:fldSimple>
      <w:bookmarkEnd w:id="1153"/>
      <w:r>
        <w:t xml:space="preserve"> – Результат работы фильтра «Национальный проект» в отчете «Анализ реестра контрактов и их исполнения (детализация)»</w:t>
      </w:r>
      <w:bookmarkEnd w:id="1154"/>
      <w:bookmarkEnd w:id="1155"/>
      <w:bookmarkEnd w:id="1156"/>
    </w:p>
    <w:p w:rsidR="00AA2C82" w:rsidRDefault="00AA2C82" w:rsidP="00AA2C82">
      <w:pPr>
        <w:pStyle w:val="af0"/>
        <w:keepNext/>
        <w:ind w:firstLine="0"/>
      </w:pPr>
      <w:r>
        <w:rPr>
          <w:noProof/>
          <w:snapToGrid/>
        </w:rPr>
        <w:drawing>
          <wp:inline distT="0" distB="0" distL="0" distR="0" wp14:anchorId="67C0ED94" wp14:editId="6F6725B2">
            <wp:extent cx="6188710" cy="3028243"/>
            <wp:effectExtent l="0" t="0" r="2540" b="1270"/>
            <wp:docPr id="653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8" cstate="print"/>
                    <a:srcRect/>
                    <a:stretch>
                      <a:fillRect/>
                    </a:stretch>
                  </pic:blipFill>
                  <pic:spPr bwMode="auto">
                    <a:xfrm>
                      <a:off x="0" y="0"/>
                      <a:ext cx="6188710" cy="3028243"/>
                    </a:xfrm>
                    <a:prstGeom prst="rect">
                      <a:avLst/>
                    </a:prstGeom>
                  </pic:spPr>
                </pic:pic>
              </a:graphicData>
            </a:graphic>
          </wp:inline>
        </w:drawing>
      </w:r>
    </w:p>
    <w:p w:rsidR="00AA2C82" w:rsidRPr="002C53D2" w:rsidRDefault="00AA2C82" w:rsidP="00AA2C82">
      <w:pPr>
        <w:pStyle w:val="-0"/>
      </w:pPr>
      <w:bookmarkStart w:id="1157" w:name="_Ref68181682"/>
      <w:bookmarkStart w:id="1158" w:name="_Toc69214613"/>
      <w:bookmarkStart w:id="1159" w:name="_Toc69290458"/>
      <w:bookmarkStart w:id="1160" w:name="_Toc119584484"/>
      <w:r>
        <w:t xml:space="preserve">Рисунок </w:t>
      </w:r>
      <w:fldSimple w:instr=" SEQ Рисунок \* ARABIC ">
        <w:r w:rsidR="001860A9">
          <w:rPr>
            <w:noProof/>
          </w:rPr>
          <w:t>297</w:t>
        </w:r>
      </w:fldSimple>
      <w:bookmarkEnd w:id="1157"/>
      <w:r>
        <w:t xml:space="preserve"> – Результат работы фильтра «Национальный проект» в отчете «Планирование в сфере закупок (детализация)»</w:t>
      </w:r>
      <w:bookmarkEnd w:id="1158"/>
      <w:bookmarkEnd w:id="1159"/>
      <w:bookmarkEnd w:id="1160"/>
    </w:p>
    <w:p w:rsidR="00AA2C82" w:rsidRDefault="00AA2C82" w:rsidP="00AA2C82">
      <w:pPr>
        <w:pStyle w:val="42"/>
      </w:pPr>
      <w:bookmarkStart w:id="1161" w:name="_Toc69214898"/>
      <w:r>
        <w:t>Поисковая строка по заказчику</w:t>
      </w:r>
      <w:bookmarkEnd w:id="1161"/>
    </w:p>
    <w:p w:rsidR="00AA2C82" w:rsidRDefault="00AA2C82" w:rsidP="00AA2C82">
      <w:pPr>
        <w:pStyle w:val="af0"/>
      </w:pPr>
      <w:r w:rsidRPr="00F30E87">
        <w:t>Представляет собой строку ввода данных по заказчикам для фильтрации: ИНН, КПП или наименовани</w:t>
      </w:r>
      <w:r>
        <w:t>я</w:t>
      </w:r>
      <w:r w:rsidRPr="00F30E87">
        <w:t xml:space="preserve"> заказчика.</w:t>
      </w:r>
      <w:r>
        <w:t xml:space="preserve"> </w:t>
      </w:r>
    </w:p>
    <w:p w:rsidR="00AA2C82" w:rsidRDefault="00AA2C82" w:rsidP="00AA2C82">
      <w:pPr>
        <w:pStyle w:val="af0"/>
      </w:pPr>
      <w:r>
        <w:t>Поисковая строка доступна для работы во всех отчетах и представлениях витрины «Анализ закупок товаров, работ, услуг».</w:t>
      </w:r>
    </w:p>
    <w:p w:rsidR="00AA2C82" w:rsidRDefault="00AA2C82" w:rsidP="00AA2C82">
      <w:pPr>
        <w:pStyle w:val="af0"/>
      </w:pPr>
      <w:r>
        <w:t>На рисунках</w:t>
      </w:r>
      <w:r w:rsidR="00FB3714">
        <w:t xml:space="preserve"> </w:t>
      </w:r>
      <w:r w:rsidR="00FB3714">
        <w:fldChar w:fldCharType="begin"/>
      </w:r>
      <w:r w:rsidR="00FB3714">
        <w:instrText xml:space="preserve"> REF _Ref70082731 \h </w:instrText>
      </w:r>
      <w:r w:rsidR="00FB3714">
        <w:fldChar w:fldCharType="separate"/>
      </w:r>
      <w:r w:rsidR="00BF0BEE">
        <w:rPr>
          <w:noProof/>
        </w:rPr>
        <w:t>298</w:t>
      </w:r>
      <w:r w:rsidR="00FB3714">
        <w:fldChar w:fldCharType="end"/>
      </w:r>
      <w:r w:rsidR="00FB3714">
        <w:t xml:space="preserve"> и </w:t>
      </w:r>
      <w:r w:rsidR="00FB3714">
        <w:fldChar w:fldCharType="begin"/>
      </w:r>
      <w:r w:rsidR="00FB3714">
        <w:instrText xml:space="preserve"> REF _Ref70082732 \h </w:instrText>
      </w:r>
      <w:r w:rsidR="00FB3714">
        <w:fldChar w:fldCharType="separate"/>
      </w:r>
      <w:r w:rsidR="00BF0BEE">
        <w:rPr>
          <w:noProof/>
        </w:rPr>
        <w:t>299</w:t>
      </w:r>
      <w:r w:rsidR="00FB3714">
        <w:fldChar w:fldCharType="end"/>
      </w:r>
      <w:r>
        <w:t xml:space="preserve"> представлена работа строки в рамках основных представлений отчетов «Анализ реестра контрактов и их исполнения» и «Планирование в сфере закупок».</w:t>
      </w:r>
    </w:p>
    <w:p w:rsidR="00AA2C82" w:rsidRDefault="00AA2C82" w:rsidP="00AA2C82">
      <w:pPr>
        <w:pStyle w:val="af0"/>
        <w:keepNext/>
        <w:ind w:firstLine="0"/>
      </w:pPr>
      <w:r>
        <w:rPr>
          <w:noProof/>
          <w:snapToGrid/>
        </w:rPr>
        <w:drawing>
          <wp:inline distT="0" distB="0" distL="0" distR="0" wp14:anchorId="631E232F" wp14:editId="1638B64A">
            <wp:extent cx="6188710" cy="3025993"/>
            <wp:effectExtent l="0" t="0" r="2540" b="3175"/>
            <wp:docPr id="65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9" cstate="print"/>
                    <a:srcRect/>
                    <a:stretch>
                      <a:fillRect/>
                    </a:stretch>
                  </pic:blipFill>
                  <pic:spPr bwMode="auto">
                    <a:xfrm>
                      <a:off x="0" y="0"/>
                      <a:ext cx="6188710" cy="3025993"/>
                    </a:xfrm>
                    <a:prstGeom prst="rect">
                      <a:avLst/>
                    </a:prstGeom>
                  </pic:spPr>
                </pic:pic>
              </a:graphicData>
            </a:graphic>
          </wp:inline>
        </w:drawing>
      </w:r>
    </w:p>
    <w:p w:rsidR="00AA2C82" w:rsidRDefault="00AA2C82" w:rsidP="00AA2C82">
      <w:pPr>
        <w:pStyle w:val="-0"/>
      </w:pPr>
      <w:bookmarkStart w:id="1162" w:name="_Ref68181773"/>
      <w:bookmarkStart w:id="1163" w:name="_Toc69214614"/>
      <w:bookmarkStart w:id="1164" w:name="_Toc69290459"/>
      <w:bookmarkStart w:id="1165" w:name="_Toc119584485"/>
      <w:r>
        <w:t xml:space="preserve">Рисунок </w:t>
      </w:r>
      <w:fldSimple w:instr=" SEQ Рисунок \* ARABIC ">
        <w:bookmarkStart w:id="1166" w:name="_Ref70082731"/>
        <w:r w:rsidR="001860A9">
          <w:rPr>
            <w:noProof/>
          </w:rPr>
          <w:t>298</w:t>
        </w:r>
        <w:bookmarkEnd w:id="1166"/>
      </w:fldSimple>
      <w:bookmarkEnd w:id="1162"/>
      <w:r>
        <w:t xml:space="preserve"> – Поисковая строка данных заказчика в отчете «Анализ реестра контрактов и их исполнения»</w:t>
      </w:r>
      <w:bookmarkEnd w:id="1163"/>
      <w:bookmarkEnd w:id="1164"/>
      <w:bookmarkEnd w:id="1165"/>
    </w:p>
    <w:p w:rsidR="00AA2C82" w:rsidRDefault="00AA2C82" w:rsidP="00FB3714">
      <w:pPr>
        <w:pStyle w:val="af0"/>
        <w:ind w:firstLine="0"/>
      </w:pPr>
      <w:r>
        <w:rPr>
          <w:noProof/>
          <w:snapToGrid/>
        </w:rPr>
        <w:drawing>
          <wp:inline distT="0" distB="0" distL="0" distR="0" wp14:anchorId="18B60429" wp14:editId="19CA531E">
            <wp:extent cx="6188710" cy="3018254"/>
            <wp:effectExtent l="0" t="0" r="2540" b="0"/>
            <wp:docPr id="654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0" cstate="print"/>
                    <a:srcRect/>
                    <a:stretch>
                      <a:fillRect/>
                    </a:stretch>
                  </pic:blipFill>
                  <pic:spPr bwMode="auto">
                    <a:xfrm>
                      <a:off x="0" y="0"/>
                      <a:ext cx="6188710" cy="3018254"/>
                    </a:xfrm>
                    <a:prstGeom prst="rect">
                      <a:avLst/>
                    </a:prstGeom>
                  </pic:spPr>
                </pic:pic>
              </a:graphicData>
            </a:graphic>
          </wp:inline>
        </w:drawing>
      </w:r>
    </w:p>
    <w:p w:rsidR="00AA2C82" w:rsidRDefault="00AA2C82" w:rsidP="00AA2C82">
      <w:pPr>
        <w:pStyle w:val="-0"/>
      </w:pPr>
      <w:bookmarkStart w:id="1167" w:name="_Ref68181777"/>
      <w:bookmarkStart w:id="1168" w:name="_Toc69214615"/>
      <w:bookmarkStart w:id="1169" w:name="_Toc69290460"/>
      <w:bookmarkStart w:id="1170" w:name="_Toc119584486"/>
      <w:r>
        <w:t xml:space="preserve">Рисунок </w:t>
      </w:r>
      <w:fldSimple w:instr=" SEQ Рисунок \* ARABIC ">
        <w:bookmarkStart w:id="1171" w:name="_Ref70082732"/>
        <w:r w:rsidR="001860A9">
          <w:rPr>
            <w:noProof/>
          </w:rPr>
          <w:t>299</w:t>
        </w:r>
        <w:bookmarkEnd w:id="1171"/>
      </w:fldSimple>
      <w:bookmarkEnd w:id="1167"/>
      <w:r>
        <w:t xml:space="preserve"> – </w:t>
      </w:r>
      <w:r w:rsidRPr="002110F4">
        <w:t>Поисковая строка данных заказчика в отчете «</w:t>
      </w:r>
      <w:r>
        <w:t>Планирование в сфере закупок</w:t>
      </w:r>
      <w:r w:rsidRPr="002110F4">
        <w:t>»</w:t>
      </w:r>
      <w:bookmarkEnd w:id="1168"/>
      <w:bookmarkEnd w:id="1169"/>
      <w:bookmarkEnd w:id="1170"/>
    </w:p>
    <w:p w:rsidR="00AA2C82" w:rsidRDefault="00AA2C82" w:rsidP="00AA2C82">
      <w:pPr>
        <w:pStyle w:val="af0"/>
      </w:pPr>
      <w:r w:rsidRPr="00105E92">
        <w:t>Более подробно рассмотрим принцип работы поисковой строки на примере детализирующих представлений отчетов «Анализ реестра контрактов и их исполнения» (</w:t>
      </w:r>
      <w:r>
        <w:fldChar w:fldCharType="begin"/>
      </w:r>
      <w:r>
        <w:instrText xml:space="preserve"> REF _Ref68181831 \h  \* MERGEFORMAT </w:instrText>
      </w:r>
      <w:r>
        <w:fldChar w:fldCharType="separate"/>
      </w:r>
      <w:r w:rsidR="00BF0BEE">
        <w:t>Рисунок 300</w:t>
      </w:r>
      <w:r>
        <w:fldChar w:fldCharType="end"/>
      </w:r>
      <w:r w:rsidRPr="00105E92">
        <w:t>) и «Планирование в сфере закупок» (</w:t>
      </w:r>
      <w:r>
        <w:fldChar w:fldCharType="begin"/>
      </w:r>
      <w:r>
        <w:instrText xml:space="preserve"> REF _Ref68181844 \h  \* MERGEFORMAT </w:instrText>
      </w:r>
      <w:r>
        <w:fldChar w:fldCharType="separate"/>
      </w:r>
      <w:r w:rsidR="00BF0BEE">
        <w:t>Рисунок 301</w:t>
      </w:r>
      <w:r>
        <w:fldChar w:fldCharType="end"/>
      </w:r>
      <w:r w:rsidRPr="00105E92">
        <w:t>)</w:t>
      </w:r>
      <w:r>
        <w:t>.</w:t>
      </w:r>
    </w:p>
    <w:p w:rsidR="00AA2C82" w:rsidRDefault="00AA2C82" w:rsidP="00AA2C82">
      <w:pPr>
        <w:pStyle w:val="af0"/>
      </w:pPr>
      <w:r>
        <w:t xml:space="preserve">Введем в данное поле значение ИНН, равное </w:t>
      </w:r>
      <w:r w:rsidRPr="00105E92">
        <w:t>3811998353</w:t>
      </w:r>
      <w:r>
        <w:t xml:space="preserve"> и нажмем на кнопку обновления данных. В результате фильтрации данных отчет будет отображать сведения только о тех организациях, для которых ИНН принимает указанное значение.</w:t>
      </w:r>
    </w:p>
    <w:p w:rsidR="00AA2C82" w:rsidRDefault="00AA2C82" w:rsidP="00FB3714">
      <w:pPr>
        <w:pStyle w:val="af0"/>
        <w:ind w:firstLine="0"/>
      </w:pPr>
      <w:r>
        <w:rPr>
          <w:noProof/>
          <w:snapToGrid/>
        </w:rPr>
        <w:drawing>
          <wp:inline distT="0" distB="0" distL="0" distR="0" wp14:anchorId="01E35E8C" wp14:editId="0AAEE0A0">
            <wp:extent cx="6188710" cy="3024616"/>
            <wp:effectExtent l="0" t="0" r="2540" b="4445"/>
            <wp:docPr id="654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1" cstate="print"/>
                    <a:srcRect/>
                    <a:stretch>
                      <a:fillRect/>
                    </a:stretch>
                  </pic:blipFill>
                  <pic:spPr bwMode="auto">
                    <a:xfrm>
                      <a:off x="0" y="0"/>
                      <a:ext cx="6188710" cy="3024616"/>
                    </a:xfrm>
                    <a:prstGeom prst="rect">
                      <a:avLst/>
                    </a:prstGeom>
                  </pic:spPr>
                </pic:pic>
              </a:graphicData>
            </a:graphic>
          </wp:inline>
        </w:drawing>
      </w:r>
    </w:p>
    <w:p w:rsidR="00AA2C82" w:rsidRDefault="00AA2C82" w:rsidP="00AA2C82">
      <w:pPr>
        <w:pStyle w:val="-0"/>
      </w:pPr>
      <w:bookmarkStart w:id="1172" w:name="_Ref68181831"/>
      <w:bookmarkStart w:id="1173" w:name="_Toc69214616"/>
      <w:bookmarkStart w:id="1174" w:name="_Toc69290461"/>
      <w:bookmarkStart w:id="1175" w:name="_Toc119584487"/>
      <w:r>
        <w:t xml:space="preserve">Рисунок </w:t>
      </w:r>
      <w:fldSimple w:instr=" SEQ Рисунок \* ARABIC ">
        <w:r w:rsidR="001860A9">
          <w:rPr>
            <w:noProof/>
          </w:rPr>
          <w:t>300</w:t>
        </w:r>
      </w:fldSimple>
      <w:bookmarkEnd w:id="1172"/>
      <w:r>
        <w:t xml:space="preserve"> – Результат работы поисковой строки данных заказчика в отчете «Анализ реестра контрактов и их исполнения (детализация)»</w:t>
      </w:r>
      <w:bookmarkEnd w:id="1173"/>
      <w:bookmarkEnd w:id="1174"/>
      <w:bookmarkEnd w:id="1175"/>
    </w:p>
    <w:p w:rsidR="00AA2C82" w:rsidRDefault="00AA2C82" w:rsidP="00AA2C82">
      <w:pPr>
        <w:pStyle w:val="-0"/>
      </w:pPr>
      <w:r>
        <w:rPr>
          <w:noProof/>
          <w:snapToGrid/>
        </w:rPr>
        <w:drawing>
          <wp:inline distT="0" distB="0" distL="0" distR="0" wp14:anchorId="71EC23B4" wp14:editId="0B22AF77">
            <wp:extent cx="6188710" cy="3031152"/>
            <wp:effectExtent l="0" t="0" r="2540" b="0"/>
            <wp:docPr id="654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2" cstate="print"/>
                    <a:srcRect/>
                    <a:stretch>
                      <a:fillRect/>
                    </a:stretch>
                  </pic:blipFill>
                  <pic:spPr bwMode="auto">
                    <a:xfrm>
                      <a:off x="0" y="0"/>
                      <a:ext cx="6188710" cy="3031152"/>
                    </a:xfrm>
                    <a:prstGeom prst="rect">
                      <a:avLst/>
                    </a:prstGeom>
                  </pic:spPr>
                </pic:pic>
              </a:graphicData>
            </a:graphic>
          </wp:inline>
        </w:drawing>
      </w:r>
    </w:p>
    <w:p w:rsidR="00AA2C82" w:rsidRDefault="00AA2C82" w:rsidP="00AA2C82">
      <w:pPr>
        <w:pStyle w:val="-0"/>
      </w:pPr>
      <w:bookmarkStart w:id="1176" w:name="_Ref68181844"/>
      <w:bookmarkStart w:id="1177" w:name="_Toc69214617"/>
      <w:bookmarkStart w:id="1178" w:name="_Toc69290462"/>
      <w:bookmarkStart w:id="1179" w:name="_Toc119584488"/>
      <w:r>
        <w:t xml:space="preserve">Рисунок </w:t>
      </w:r>
      <w:fldSimple w:instr=" SEQ Рисунок \* ARABIC ">
        <w:r w:rsidR="001860A9">
          <w:rPr>
            <w:noProof/>
          </w:rPr>
          <w:t>301</w:t>
        </w:r>
      </w:fldSimple>
      <w:bookmarkEnd w:id="1176"/>
      <w:r>
        <w:t xml:space="preserve"> – </w:t>
      </w:r>
      <w:r w:rsidRPr="00126464">
        <w:t>Результат работы поисковой строки данных заказчика в отчете «</w:t>
      </w:r>
      <w:r w:rsidRPr="002B0F35">
        <w:t>Планирование</w:t>
      </w:r>
      <w:r>
        <w:t xml:space="preserve"> в сфере закупок</w:t>
      </w:r>
      <w:r w:rsidRPr="00126464">
        <w:t xml:space="preserve"> (детализация)»</w:t>
      </w:r>
      <w:bookmarkEnd w:id="1177"/>
      <w:bookmarkEnd w:id="1178"/>
      <w:bookmarkEnd w:id="1179"/>
    </w:p>
    <w:p w:rsidR="00AA2C82" w:rsidRDefault="00AA2C82" w:rsidP="00AA2C82">
      <w:pPr>
        <w:pStyle w:val="42"/>
      </w:pPr>
      <w:bookmarkStart w:id="1180" w:name="_Toc69214899"/>
      <w:r>
        <w:t>Поисковые строки по элементам КБК (детализирующие отчеты)</w:t>
      </w:r>
      <w:bookmarkEnd w:id="1180"/>
    </w:p>
    <w:p w:rsidR="00AA2C82" w:rsidRDefault="00AA2C82" w:rsidP="00AA2C82">
      <w:pPr>
        <w:pStyle w:val="af0"/>
      </w:pPr>
      <w:r>
        <w:t>Представляют собой совокупность поисковых строк по различным элементам КБК: РзПр, КЦСР, КВР, а также коду направления.</w:t>
      </w:r>
    </w:p>
    <w:p w:rsidR="00AA2C82" w:rsidRDefault="00AA2C82" w:rsidP="00AA2C82">
      <w:pPr>
        <w:pStyle w:val="af0"/>
      </w:pPr>
      <w:r>
        <w:t>Данные строки ввода доступны для работы только в детализирующих версиях отчетов витрины «Анализ закупок товаров, работ, услуг».</w:t>
      </w:r>
    </w:p>
    <w:p w:rsidR="00AA2C82" w:rsidRDefault="00AA2C82" w:rsidP="00AA2C82">
      <w:pPr>
        <w:pStyle w:val="af0"/>
      </w:pPr>
      <w:r>
        <w:t>В рамках данных поисковых строк реализована возможность множественного выбора данных путем добавления маски.</w:t>
      </w:r>
    </w:p>
    <w:p w:rsidR="00AA2C82" w:rsidRDefault="00AA2C82" w:rsidP="00AA2C82">
      <w:pPr>
        <w:pStyle w:val="af0"/>
      </w:pPr>
      <w:r>
        <w:t>В качестве примера рассмотрим работу фильтра «КЦСР» в отчетах «Анализ реестра контрактов и их исполнения (детализация)» (</w:t>
      </w:r>
      <w:r>
        <w:fldChar w:fldCharType="begin"/>
      </w:r>
      <w:r>
        <w:instrText xml:space="preserve"> REF _Ref68181935 \h  \* MERGEFORMAT </w:instrText>
      </w:r>
      <w:r>
        <w:fldChar w:fldCharType="separate"/>
      </w:r>
      <w:r w:rsidR="00BF0BEE">
        <w:t>Рисунок 302</w:t>
      </w:r>
      <w:r>
        <w:fldChar w:fldCharType="end"/>
      </w:r>
      <w:r>
        <w:t>) и «Планирование в сфере закупок (детализация)» (</w:t>
      </w:r>
      <w:r>
        <w:fldChar w:fldCharType="begin"/>
      </w:r>
      <w:r>
        <w:instrText xml:space="preserve"> REF _Ref68181941 \h  \* MERGEFORMAT </w:instrText>
      </w:r>
      <w:r>
        <w:fldChar w:fldCharType="separate"/>
      </w:r>
      <w:r w:rsidR="00BF0BEE">
        <w:t>Рисунок 303</w:t>
      </w:r>
      <w:r>
        <w:fldChar w:fldCharType="end"/>
      </w:r>
      <w:r>
        <w:t xml:space="preserve">). </w:t>
      </w:r>
    </w:p>
    <w:p w:rsidR="00AA2C82" w:rsidRDefault="00AA2C82" w:rsidP="00AA2C82">
      <w:pPr>
        <w:pStyle w:val="af0"/>
      </w:pPr>
      <w:r>
        <w:t xml:space="preserve">Через знак «+» в список фильтра добавим следующие значение КЦСР, равное </w:t>
      </w:r>
      <w:r w:rsidRPr="00F14F35">
        <w:t>2330190019</w:t>
      </w:r>
      <w:r>
        <w:t xml:space="preserve"> </w:t>
      </w:r>
      <w:r w:rsidRPr="001A43C0">
        <w:t>и нажмем на кнопку обновления данных</w:t>
      </w:r>
      <w:r>
        <w:t>.</w:t>
      </w:r>
    </w:p>
    <w:p w:rsidR="00AA2C82" w:rsidRDefault="00AA2C82" w:rsidP="00AA2C82">
      <w:pPr>
        <w:pStyle w:val="af0"/>
      </w:pPr>
      <w:r>
        <w:t>В результате отчеты будут выводить данные только по тем контрактам, для которых код целевой статьи расходов равен заданному в фильтре значению.</w:t>
      </w:r>
    </w:p>
    <w:p w:rsidR="00AA2C82" w:rsidRDefault="00AA2C82" w:rsidP="00AA2C82">
      <w:pPr>
        <w:pStyle w:val="-0"/>
      </w:pPr>
      <w:r>
        <w:rPr>
          <w:noProof/>
          <w:snapToGrid/>
        </w:rPr>
        <w:drawing>
          <wp:inline distT="0" distB="0" distL="0" distR="0" wp14:anchorId="4CB20EF8" wp14:editId="65F51669">
            <wp:extent cx="6188710" cy="3018254"/>
            <wp:effectExtent l="0" t="0" r="2540" b="0"/>
            <wp:docPr id="654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3" cstate="print"/>
                    <a:srcRect/>
                    <a:stretch>
                      <a:fillRect/>
                    </a:stretch>
                  </pic:blipFill>
                  <pic:spPr bwMode="auto">
                    <a:xfrm>
                      <a:off x="0" y="0"/>
                      <a:ext cx="6188710" cy="3018254"/>
                    </a:xfrm>
                    <a:prstGeom prst="rect">
                      <a:avLst/>
                    </a:prstGeom>
                  </pic:spPr>
                </pic:pic>
              </a:graphicData>
            </a:graphic>
          </wp:inline>
        </w:drawing>
      </w:r>
    </w:p>
    <w:p w:rsidR="00AA2C82" w:rsidRDefault="00AA2C82" w:rsidP="00AA2C82">
      <w:pPr>
        <w:pStyle w:val="-0"/>
      </w:pPr>
      <w:bookmarkStart w:id="1181" w:name="_Ref68181935"/>
      <w:bookmarkStart w:id="1182" w:name="_Toc69214618"/>
      <w:bookmarkStart w:id="1183" w:name="_Toc69290463"/>
      <w:bookmarkStart w:id="1184" w:name="_Toc119584489"/>
      <w:r>
        <w:t xml:space="preserve">Рисунок </w:t>
      </w:r>
      <w:fldSimple w:instr=" SEQ Рисунок \* ARABIC ">
        <w:r w:rsidR="001860A9">
          <w:rPr>
            <w:noProof/>
          </w:rPr>
          <w:t>302</w:t>
        </w:r>
      </w:fldSimple>
      <w:bookmarkEnd w:id="1181"/>
      <w:r>
        <w:t xml:space="preserve"> – Результат работы фильтра «КЦСР» в отчете «Анализ реестра контрактов и их исполнения (детализация)»</w:t>
      </w:r>
      <w:bookmarkEnd w:id="1182"/>
      <w:bookmarkEnd w:id="1183"/>
      <w:bookmarkEnd w:id="1184"/>
    </w:p>
    <w:p w:rsidR="00AA2C82" w:rsidRDefault="00AA2C82" w:rsidP="00AA2C82">
      <w:pPr>
        <w:pStyle w:val="af0"/>
        <w:keepNext/>
        <w:spacing w:before="120" w:after="120"/>
        <w:ind w:firstLine="0"/>
        <w:jc w:val="center"/>
      </w:pPr>
      <w:r>
        <w:rPr>
          <w:noProof/>
          <w:snapToGrid/>
        </w:rPr>
        <w:drawing>
          <wp:inline distT="0" distB="0" distL="0" distR="0" wp14:anchorId="06699D94" wp14:editId="1CCEEBAB">
            <wp:extent cx="6188710" cy="3031152"/>
            <wp:effectExtent l="0" t="0" r="2540" b="0"/>
            <wp:docPr id="654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4" cstate="print"/>
                    <a:srcRect/>
                    <a:stretch>
                      <a:fillRect/>
                    </a:stretch>
                  </pic:blipFill>
                  <pic:spPr bwMode="auto">
                    <a:xfrm>
                      <a:off x="0" y="0"/>
                      <a:ext cx="6188710" cy="3031152"/>
                    </a:xfrm>
                    <a:prstGeom prst="rect">
                      <a:avLst/>
                    </a:prstGeom>
                  </pic:spPr>
                </pic:pic>
              </a:graphicData>
            </a:graphic>
          </wp:inline>
        </w:drawing>
      </w:r>
    </w:p>
    <w:p w:rsidR="00AA2C82" w:rsidRDefault="00AA2C82" w:rsidP="00AA2C82">
      <w:pPr>
        <w:pStyle w:val="afff8"/>
        <w:jc w:val="center"/>
      </w:pPr>
      <w:bookmarkStart w:id="1185" w:name="_Ref68181941"/>
      <w:bookmarkStart w:id="1186" w:name="_Toc69214619"/>
      <w:bookmarkStart w:id="1187" w:name="_Toc69290464"/>
      <w:bookmarkStart w:id="1188" w:name="_Toc119584490"/>
      <w:r>
        <w:t xml:space="preserve">Рисунок </w:t>
      </w:r>
      <w:fldSimple w:instr=" SEQ Рисунок \* ARABIC ">
        <w:r w:rsidR="001860A9">
          <w:rPr>
            <w:noProof/>
          </w:rPr>
          <w:t>303</w:t>
        </w:r>
      </w:fldSimple>
      <w:bookmarkEnd w:id="1185"/>
      <w:r>
        <w:t xml:space="preserve"> – </w:t>
      </w:r>
      <w:r w:rsidRPr="008720F1">
        <w:t>Результат работы фильтра «КЦСР» в отчете «</w:t>
      </w:r>
      <w:r>
        <w:t>Планирование в сфере закупок</w:t>
      </w:r>
      <w:r w:rsidRPr="008720F1">
        <w:t xml:space="preserve"> (детализация)»</w:t>
      </w:r>
      <w:bookmarkEnd w:id="1186"/>
      <w:bookmarkEnd w:id="1187"/>
      <w:bookmarkEnd w:id="1188"/>
    </w:p>
    <w:p w:rsidR="00AA2C82" w:rsidRDefault="00AA2C82" w:rsidP="00AA2C82">
      <w:pPr>
        <w:pStyle w:val="35"/>
      </w:pPr>
      <w:bookmarkStart w:id="1189" w:name="_Toc69214900"/>
      <w:bookmarkStart w:id="1190" w:name="_Toc69290139"/>
      <w:bookmarkStart w:id="1191" w:name="_Toc119585104"/>
      <w:r>
        <w:t>Принципы работы фильтров, используемых в отчетах группы «Анализ реестра контрактов и их исполнения»</w:t>
      </w:r>
      <w:bookmarkEnd w:id="1189"/>
      <w:bookmarkEnd w:id="1190"/>
      <w:bookmarkEnd w:id="1191"/>
    </w:p>
    <w:p w:rsidR="00AA2C82" w:rsidRDefault="00AA2C82" w:rsidP="00AA2C82">
      <w:pPr>
        <w:pStyle w:val="42"/>
      </w:pPr>
      <w:bookmarkStart w:id="1192" w:name="_Toc69214901"/>
      <w:r>
        <w:t>Дата заключения контракта</w:t>
      </w:r>
      <w:bookmarkEnd w:id="1192"/>
    </w:p>
    <w:p w:rsidR="00AA2C82" w:rsidRDefault="00AA2C82" w:rsidP="00AA2C82">
      <w:pPr>
        <w:pStyle w:val="af0"/>
      </w:pPr>
      <w:r w:rsidRPr="00C70232">
        <w:t>Представляет собой два выпадающих списка,</w:t>
      </w:r>
      <w:r>
        <w:t xml:space="preserve"> которые позволяют выбрать временной интервал заключения контрактов.</w:t>
      </w:r>
    </w:p>
    <w:p w:rsidR="00AA2C82" w:rsidRDefault="00AA2C82" w:rsidP="00AA2C82">
      <w:pPr>
        <w:pStyle w:val="af0"/>
      </w:pPr>
      <w:r>
        <w:t>Данные фильтры доступны для работы в основном и детализирующем отчете группы «Анализ реестра контрактов и их исполнения».</w:t>
      </w:r>
    </w:p>
    <w:p w:rsidR="00AA2C82" w:rsidRDefault="00AA2C82" w:rsidP="00AA2C82">
      <w:pPr>
        <w:pStyle w:val="af0"/>
      </w:pPr>
      <w:r>
        <w:t>Принцип работы фильтра в рамках основного отчета представлен на рисунке</w:t>
      </w:r>
      <w:r w:rsidR="00FB3714">
        <w:t xml:space="preserve"> </w:t>
      </w:r>
      <w:r w:rsidR="00FB3714">
        <w:fldChar w:fldCharType="begin"/>
      </w:r>
      <w:r w:rsidR="00FB3714">
        <w:instrText xml:space="preserve"> REF _Ref70082805 \h </w:instrText>
      </w:r>
      <w:r w:rsidR="00FB3714">
        <w:fldChar w:fldCharType="separate"/>
      </w:r>
      <w:r w:rsidR="00BF0BEE">
        <w:rPr>
          <w:noProof/>
        </w:rPr>
        <w:t>304</w:t>
      </w:r>
      <w:r w:rsidR="00FB3714">
        <w:fldChar w:fldCharType="end"/>
      </w:r>
      <w:r>
        <w:t>.</w:t>
      </w:r>
    </w:p>
    <w:p w:rsidR="00AA2C82" w:rsidRDefault="00AA2C82" w:rsidP="00AA2C82">
      <w:pPr>
        <w:pStyle w:val="-0"/>
      </w:pPr>
      <w:r>
        <w:rPr>
          <w:noProof/>
          <w:snapToGrid/>
        </w:rPr>
        <w:drawing>
          <wp:inline distT="0" distB="0" distL="0" distR="0" wp14:anchorId="4933BBBD" wp14:editId="60B61979">
            <wp:extent cx="6188710" cy="3020833"/>
            <wp:effectExtent l="0" t="0" r="2540" b="8255"/>
            <wp:docPr id="6545" name="Рисунок 6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5" cstate="print"/>
                    <a:srcRect/>
                    <a:stretch>
                      <a:fillRect/>
                    </a:stretch>
                  </pic:blipFill>
                  <pic:spPr bwMode="auto">
                    <a:xfrm>
                      <a:off x="0" y="0"/>
                      <a:ext cx="6188710" cy="3020833"/>
                    </a:xfrm>
                    <a:prstGeom prst="rect">
                      <a:avLst/>
                    </a:prstGeom>
                  </pic:spPr>
                </pic:pic>
              </a:graphicData>
            </a:graphic>
          </wp:inline>
        </w:drawing>
      </w:r>
    </w:p>
    <w:p w:rsidR="00AA2C82" w:rsidRDefault="00AA2C82" w:rsidP="00AA2C82">
      <w:pPr>
        <w:pStyle w:val="-0"/>
      </w:pPr>
      <w:bookmarkStart w:id="1193" w:name="_Ref68181958"/>
      <w:bookmarkStart w:id="1194" w:name="_Toc69214620"/>
      <w:bookmarkStart w:id="1195" w:name="_Toc69290465"/>
      <w:bookmarkStart w:id="1196" w:name="_Toc119584491"/>
      <w:r>
        <w:t xml:space="preserve">Рисунок </w:t>
      </w:r>
      <w:fldSimple w:instr=" SEQ Рисунок \* ARABIC ">
        <w:bookmarkStart w:id="1197" w:name="_Ref70082805"/>
        <w:r w:rsidR="001860A9">
          <w:rPr>
            <w:noProof/>
          </w:rPr>
          <w:t>304</w:t>
        </w:r>
        <w:bookmarkEnd w:id="1197"/>
      </w:fldSimple>
      <w:bookmarkEnd w:id="1193"/>
      <w:r>
        <w:t xml:space="preserve"> – </w:t>
      </w:r>
      <w:r w:rsidRPr="008609E1">
        <w:t>Фильтр «</w:t>
      </w:r>
      <w:r>
        <w:t xml:space="preserve">Дата заключения контракта» </w:t>
      </w:r>
      <w:r w:rsidRPr="008609E1">
        <w:t>для отчета «Анализ реестра контракт</w:t>
      </w:r>
      <w:r>
        <w:t>ов</w:t>
      </w:r>
      <w:r w:rsidRPr="008609E1">
        <w:t xml:space="preserve"> и их </w:t>
      </w:r>
      <w:r w:rsidRPr="001478BB">
        <w:t>исполнения</w:t>
      </w:r>
      <w:r w:rsidRPr="008609E1">
        <w:t>»</w:t>
      </w:r>
      <w:bookmarkEnd w:id="1194"/>
      <w:bookmarkEnd w:id="1195"/>
      <w:bookmarkEnd w:id="1196"/>
    </w:p>
    <w:p w:rsidR="00AA2C82" w:rsidRDefault="00AA2C82" w:rsidP="00AA2C82">
      <w:pPr>
        <w:pStyle w:val="af0"/>
      </w:pPr>
      <w:r>
        <w:t>Для наглядности более подробно рассмотрим работу параметра в детализирующей версии отчета «Анализ реестра контракта и их исполнения». Зададим значение параметра интервалом с 01.01.2020 по 01.09.2020 и нажмем на кнопку обновления.</w:t>
      </w:r>
    </w:p>
    <w:p w:rsidR="00AA2C82" w:rsidRDefault="00AA2C82" w:rsidP="00AA2C82">
      <w:pPr>
        <w:pStyle w:val="af0"/>
      </w:pPr>
      <w:r>
        <w:t>В результате таблица будет отображать информацию только по тем контрактам, которые были заключены в указанный период (</w:t>
      </w:r>
      <w:r>
        <w:fldChar w:fldCharType="begin"/>
      </w:r>
      <w:r>
        <w:instrText xml:space="preserve"> REF _Ref68181984 \h  \* MERGEFORMAT </w:instrText>
      </w:r>
      <w:r>
        <w:fldChar w:fldCharType="separate"/>
      </w:r>
      <w:r w:rsidR="00BF0BEE">
        <w:t>Рисунок 305</w:t>
      </w:r>
      <w:r>
        <w:fldChar w:fldCharType="end"/>
      </w:r>
      <w:r>
        <w:t>).</w:t>
      </w:r>
    </w:p>
    <w:p w:rsidR="00AA2C82" w:rsidRDefault="00AA2C82" w:rsidP="00AA2C82">
      <w:pPr>
        <w:pStyle w:val="-0"/>
      </w:pPr>
      <w:r>
        <w:rPr>
          <w:noProof/>
          <w:snapToGrid/>
        </w:rPr>
        <w:drawing>
          <wp:inline distT="0" distB="0" distL="0" distR="0" wp14:anchorId="44FC32AA" wp14:editId="1A307954">
            <wp:extent cx="6188710" cy="3032365"/>
            <wp:effectExtent l="0" t="0" r="2540" b="0"/>
            <wp:docPr id="6546" name="Рисунок 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86" cstate="print"/>
                    <a:srcRect/>
                    <a:stretch>
                      <a:fillRect/>
                    </a:stretch>
                  </pic:blipFill>
                  <pic:spPr bwMode="auto">
                    <a:xfrm>
                      <a:off x="0" y="0"/>
                      <a:ext cx="6188710" cy="3032365"/>
                    </a:xfrm>
                    <a:prstGeom prst="rect">
                      <a:avLst/>
                    </a:prstGeom>
                  </pic:spPr>
                </pic:pic>
              </a:graphicData>
            </a:graphic>
          </wp:inline>
        </w:drawing>
      </w:r>
    </w:p>
    <w:p w:rsidR="00AA2C82" w:rsidRDefault="00AA2C82" w:rsidP="00AA2C82">
      <w:pPr>
        <w:pStyle w:val="-0"/>
      </w:pPr>
      <w:bookmarkStart w:id="1198" w:name="_Ref68181984"/>
      <w:bookmarkStart w:id="1199" w:name="_Toc69214621"/>
      <w:bookmarkStart w:id="1200" w:name="_Toc69290466"/>
      <w:bookmarkStart w:id="1201" w:name="_Toc119584492"/>
      <w:r>
        <w:t xml:space="preserve">Рисунок </w:t>
      </w:r>
      <w:fldSimple w:instr=" SEQ Рисунок \* ARABIC ">
        <w:r w:rsidR="001860A9">
          <w:rPr>
            <w:noProof/>
          </w:rPr>
          <w:t>305</w:t>
        </w:r>
      </w:fldSimple>
      <w:bookmarkEnd w:id="1198"/>
      <w:r>
        <w:t xml:space="preserve"> – Результат работы фильтра «Дата заключения контракта» для отчета «Анализ реестра контрактов и их исполнения (детализация)»</w:t>
      </w:r>
      <w:bookmarkEnd w:id="1199"/>
      <w:bookmarkEnd w:id="1200"/>
      <w:bookmarkEnd w:id="1201"/>
    </w:p>
    <w:p w:rsidR="00AA2C82" w:rsidRDefault="00AA2C82" w:rsidP="00AA2C82">
      <w:pPr>
        <w:pStyle w:val="42"/>
      </w:pPr>
      <w:r>
        <w:rPr>
          <w:rFonts w:ascii="Times New Roman" w:hAnsi="Times New Roman"/>
        </w:rPr>
        <w:t xml:space="preserve"> </w:t>
      </w:r>
      <w:bookmarkStart w:id="1202" w:name="_Toc69214902"/>
      <w:r>
        <w:t>Сопровождение контракта</w:t>
      </w:r>
      <w:bookmarkEnd w:id="1202"/>
    </w:p>
    <w:p w:rsidR="00AA2C82" w:rsidRDefault="00AA2C82" w:rsidP="00AA2C82">
      <w:pPr>
        <w:pStyle w:val="af0"/>
      </w:pPr>
      <w:r w:rsidRPr="00C76224">
        <w:t xml:space="preserve">Фильтр </w:t>
      </w:r>
      <w:r>
        <w:t>представлен выпадающим списком с возможностью множественного выбора:</w:t>
      </w:r>
    </w:p>
    <w:p w:rsidR="00AA2C82" w:rsidRPr="001478BB" w:rsidRDefault="00AA2C82" w:rsidP="00DE1661">
      <w:pPr>
        <w:pStyle w:val="13"/>
      </w:pPr>
      <w:r w:rsidRPr="001478BB">
        <w:t>Все;</w:t>
      </w:r>
    </w:p>
    <w:p w:rsidR="00AA2C82" w:rsidRPr="001478BB" w:rsidRDefault="00AA2C82" w:rsidP="00DE1661">
      <w:pPr>
        <w:pStyle w:val="13"/>
      </w:pPr>
      <w:r w:rsidRPr="001478BB">
        <w:t>Без сопровождения;</w:t>
      </w:r>
    </w:p>
    <w:p w:rsidR="00AA2C82" w:rsidRPr="001478BB" w:rsidRDefault="00AA2C82" w:rsidP="00DE1661">
      <w:pPr>
        <w:pStyle w:val="13"/>
      </w:pPr>
      <w:r w:rsidRPr="001478BB">
        <w:t>С сопровождением.</w:t>
      </w:r>
    </w:p>
    <w:p w:rsidR="00AA2C82" w:rsidRDefault="00AA2C82" w:rsidP="00AA2C82">
      <w:pPr>
        <w:pStyle w:val="af0"/>
      </w:pPr>
      <w:r w:rsidRPr="00292049">
        <w:t>При выборе значения «Без сопровождения» в основном и детализирующем отчетах группы «Анализ реестра контрактов и их исполнения» будет отображаться информация только по тем контрактам, для которых не предусмотрено сопровождение.</w:t>
      </w:r>
    </w:p>
    <w:p w:rsidR="00AA2C82" w:rsidRDefault="00AA2C82" w:rsidP="00AA2C82">
      <w:pPr>
        <w:pStyle w:val="af0"/>
      </w:pPr>
      <w:r>
        <w:t>При выборе позиции «С сопровождением» наблюдается противоположная ситуация: в отчетах будут отображаться сведения по тем контрактам, для которых предусмотрено казначейское или банковское сопровождение.</w:t>
      </w:r>
    </w:p>
    <w:p w:rsidR="00AA2C82" w:rsidRDefault="00AA2C82" w:rsidP="00AA2C82">
      <w:pPr>
        <w:pStyle w:val="af0"/>
      </w:pPr>
      <w:r>
        <w:t>Примеры работы параметра для основного и детализирующих отчетов группы «Анализ реестра контрактов и их исполнения» представлены на рисунках</w:t>
      </w:r>
      <w:r w:rsidR="00FB3714">
        <w:t xml:space="preserve"> </w:t>
      </w:r>
      <w:r w:rsidR="00FB3714">
        <w:fldChar w:fldCharType="begin"/>
      </w:r>
      <w:r w:rsidR="00FB3714">
        <w:instrText xml:space="preserve"> REF _Ref70082843 \h </w:instrText>
      </w:r>
      <w:r w:rsidR="00FB3714">
        <w:fldChar w:fldCharType="separate"/>
      </w:r>
      <w:r w:rsidR="00BF0BEE">
        <w:rPr>
          <w:noProof/>
        </w:rPr>
        <w:t>306</w:t>
      </w:r>
      <w:r w:rsidR="00FB3714">
        <w:fldChar w:fldCharType="end"/>
      </w:r>
      <w:r w:rsidR="00FB3714">
        <w:t xml:space="preserve"> и </w:t>
      </w:r>
      <w:r w:rsidR="00FB3714">
        <w:fldChar w:fldCharType="begin"/>
      </w:r>
      <w:r w:rsidR="00FB3714">
        <w:instrText xml:space="preserve"> REF _Ref70082845 \h </w:instrText>
      </w:r>
      <w:r w:rsidR="00FB3714">
        <w:fldChar w:fldCharType="separate"/>
      </w:r>
      <w:r w:rsidR="00BF0BEE">
        <w:rPr>
          <w:noProof/>
        </w:rPr>
        <w:t>307</w:t>
      </w:r>
      <w:r w:rsidR="00FB3714">
        <w:fldChar w:fldCharType="end"/>
      </w:r>
      <w:r>
        <w:t xml:space="preserve"> соответственно.</w:t>
      </w:r>
    </w:p>
    <w:p w:rsidR="00AA2C82" w:rsidRDefault="00AA2C82" w:rsidP="00321FCA">
      <w:pPr>
        <w:pStyle w:val="afffff7"/>
      </w:pPr>
      <w:r>
        <w:rPr>
          <w:noProof/>
          <w:lang w:eastAsia="ru-RU"/>
        </w:rPr>
        <w:drawing>
          <wp:inline distT="0" distB="0" distL="0" distR="0" wp14:anchorId="50AB4FA0" wp14:editId="571A8B3C">
            <wp:extent cx="6188710" cy="2981932"/>
            <wp:effectExtent l="0" t="0" r="2540" b="9525"/>
            <wp:docPr id="654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7" cstate="print"/>
                    <a:srcRect b="1758"/>
                    <a:stretch>
                      <a:fillRect/>
                    </a:stretch>
                  </pic:blipFill>
                  <pic:spPr bwMode="auto">
                    <a:xfrm>
                      <a:off x="0" y="0"/>
                      <a:ext cx="6188710" cy="2981932"/>
                    </a:xfrm>
                    <a:prstGeom prst="rect">
                      <a:avLst/>
                    </a:prstGeom>
                  </pic:spPr>
                </pic:pic>
              </a:graphicData>
            </a:graphic>
          </wp:inline>
        </w:drawing>
      </w:r>
    </w:p>
    <w:p w:rsidR="00AA2C82" w:rsidRDefault="00AA2C82" w:rsidP="00AA2C82">
      <w:pPr>
        <w:pStyle w:val="-0"/>
      </w:pPr>
      <w:bookmarkStart w:id="1203" w:name="_Ref68182022"/>
      <w:bookmarkStart w:id="1204" w:name="_Toc69214622"/>
      <w:bookmarkStart w:id="1205" w:name="_Toc69290467"/>
      <w:bookmarkStart w:id="1206" w:name="_Toc119584493"/>
      <w:r>
        <w:t xml:space="preserve">Рисунок </w:t>
      </w:r>
      <w:fldSimple w:instr=" SEQ Рисунок \* ARABIC ">
        <w:bookmarkStart w:id="1207" w:name="_Ref70082843"/>
        <w:r w:rsidR="001860A9">
          <w:rPr>
            <w:noProof/>
          </w:rPr>
          <w:t>306</w:t>
        </w:r>
        <w:bookmarkEnd w:id="1207"/>
      </w:fldSimple>
      <w:bookmarkEnd w:id="1203"/>
      <w:r>
        <w:t xml:space="preserve"> – Фильтр «Сопровождение контракта» для отчета «Анализ реестра контракта и их исполнения»</w:t>
      </w:r>
      <w:bookmarkEnd w:id="1204"/>
      <w:bookmarkEnd w:id="1205"/>
      <w:bookmarkEnd w:id="1206"/>
    </w:p>
    <w:p w:rsidR="00AA2C82" w:rsidRDefault="00AA2C82" w:rsidP="00AA2C82">
      <w:pPr>
        <w:pStyle w:val="af0"/>
        <w:keepNext/>
        <w:spacing w:before="120" w:after="120"/>
        <w:ind w:firstLine="0"/>
        <w:jc w:val="center"/>
      </w:pPr>
      <w:r>
        <w:rPr>
          <w:noProof/>
          <w:snapToGrid/>
        </w:rPr>
        <w:drawing>
          <wp:inline distT="0" distB="0" distL="0" distR="0" wp14:anchorId="305C5C08" wp14:editId="62437393">
            <wp:extent cx="6188710" cy="3024946"/>
            <wp:effectExtent l="0" t="0" r="2540" b="4445"/>
            <wp:docPr id="654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8" cstate="print"/>
                    <a:srcRect/>
                    <a:stretch>
                      <a:fillRect/>
                    </a:stretch>
                  </pic:blipFill>
                  <pic:spPr bwMode="auto">
                    <a:xfrm>
                      <a:off x="0" y="0"/>
                      <a:ext cx="6188710" cy="3024946"/>
                    </a:xfrm>
                    <a:prstGeom prst="rect">
                      <a:avLst/>
                    </a:prstGeom>
                  </pic:spPr>
                </pic:pic>
              </a:graphicData>
            </a:graphic>
          </wp:inline>
        </w:drawing>
      </w:r>
    </w:p>
    <w:p w:rsidR="00AA2C82" w:rsidRPr="00292049" w:rsidRDefault="00AA2C82" w:rsidP="00AA2C82">
      <w:pPr>
        <w:pStyle w:val="-0"/>
      </w:pPr>
      <w:bookmarkStart w:id="1208" w:name="_Ref68182027"/>
      <w:bookmarkStart w:id="1209" w:name="_Toc69214623"/>
      <w:bookmarkStart w:id="1210" w:name="_Toc69290468"/>
      <w:bookmarkStart w:id="1211" w:name="_Toc119584494"/>
      <w:r w:rsidRPr="00021068">
        <w:t xml:space="preserve">Рисунок </w:t>
      </w:r>
      <w:fldSimple w:instr=" SEQ Рисунок \* ARABIC ">
        <w:bookmarkStart w:id="1212" w:name="_Ref70082845"/>
        <w:r w:rsidR="001860A9">
          <w:rPr>
            <w:noProof/>
          </w:rPr>
          <w:t>307</w:t>
        </w:r>
        <w:bookmarkEnd w:id="1212"/>
      </w:fldSimple>
      <w:bookmarkEnd w:id="1208"/>
      <w:r w:rsidRPr="00021068">
        <w:t xml:space="preserve"> – Фильтр «Сопровождение контракта» для отчета «Анализ реестра контракта и их исполнения (детализация)»</w:t>
      </w:r>
      <w:bookmarkEnd w:id="1209"/>
      <w:bookmarkEnd w:id="1210"/>
      <w:bookmarkEnd w:id="1211"/>
    </w:p>
    <w:p w:rsidR="00AA2C82" w:rsidRDefault="00AA2C82" w:rsidP="00AA2C82">
      <w:pPr>
        <w:pStyle w:val="42"/>
      </w:pPr>
      <w:bookmarkStart w:id="1213" w:name="_Toc69214903"/>
      <w:r>
        <w:t>Способ закупки (детализирующий отчет)</w:t>
      </w:r>
      <w:bookmarkEnd w:id="1213"/>
    </w:p>
    <w:p w:rsidR="00AA2C82" w:rsidRPr="001478BB" w:rsidRDefault="00AA2C82" w:rsidP="00AA2C82">
      <w:pPr>
        <w:pStyle w:val="af0"/>
      </w:pPr>
      <w:r w:rsidRPr="001478BB">
        <w:t>Представляет собой выпадающий список с возможностью множественного выбора любых из представленных способов закупки в рамках отчета «Анализ реестра контрактов и их исполнения (детализация)».</w:t>
      </w:r>
    </w:p>
    <w:p w:rsidR="00AA2C82" w:rsidRPr="001478BB" w:rsidRDefault="00AA2C82" w:rsidP="00AA2C82">
      <w:pPr>
        <w:pStyle w:val="af0"/>
      </w:pPr>
      <w:r w:rsidRPr="001478BB">
        <w:t>В качестве примера выберем два способа закупки: «Закупка у единственного поставщика (подрядчика, исполнителя)» и «Открытый конкурс в электронной форме» и нажмем на кнопку обновления. В результате работы фильтра отчет будет отражать только те контракты, для которых был установлен способ закупки «Закупка у единственного поставщика (подрядчика, исполнителя)» или «Открытый аукцион в электронной форме» (</w:t>
      </w:r>
      <w:r w:rsidRPr="001478BB">
        <w:fldChar w:fldCharType="begin"/>
      </w:r>
      <w:r w:rsidRPr="001478BB">
        <w:instrText xml:space="preserve"> REF _Ref68182121 \h  \* MERGEFORMAT </w:instrText>
      </w:r>
      <w:r w:rsidRPr="001478BB">
        <w:fldChar w:fldCharType="separate"/>
      </w:r>
      <w:r w:rsidR="00BF0BEE">
        <w:t>Рисунок 308</w:t>
      </w:r>
      <w:r w:rsidRPr="001478BB">
        <w:fldChar w:fldCharType="end"/>
      </w:r>
      <w:r w:rsidRPr="001478BB">
        <w:t>).</w:t>
      </w:r>
    </w:p>
    <w:p w:rsidR="00AA2C82" w:rsidRDefault="00AA2C82" w:rsidP="00AA2C82">
      <w:pPr>
        <w:pStyle w:val="-0"/>
      </w:pPr>
      <w:r>
        <w:rPr>
          <w:noProof/>
          <w:snapToGrid/>
        </w:rPr>
        <w:drawing>
          <wp:inline distT="0" distB="0" distL="0" distR="0" wp14:anchorId="50B5B1FB" wp14:editId="6579D362">
            <wp:extent cx="6188710" cy="3031468"/>
            <wp:effectExtent l="0" t="0" r="2540" b="0"/>
            <wp:docPr id="6549" name="Рисунок 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9" cstate="print"/>
                    <a:srcRect/>
                    <a:stretch>
                      <a:fillRect/>
                    </a:stretch>
                  </pic:blipFill>
                  <pic:spPr bwMode="auto">
                    <a:xfrm>
                      <a:off x="0" y="0"/>
                      <a:ext cx="6188710" cy="3031468"/>
                    </a:xfrm>
                    <a:prstGeom prst="rect">
                      <a:avLst/>
                    </a:prstGeom>
                  </pic:spPr>
                </pic:pic>
              </a:graphicData>
            </a:graphic>
          </wp:inline>
        </w:drawing>
      </w:r>
    </w:p>
    <w:p w:rsidR="00AA2C82" w:rsidRPr="00A50091" w:rsidRDefault="00AA2C82" w:rsidP="00AA2C82">
      <w:pPr>
        <w:pStyle w:val="-0"/>
      </w:pPr>
      <w:bookmarkStart w:id="1214" w:name="_Ref68182121"/>
      <w:bookmarkStart w:id="1215" w:name="_Toc69214624"/>
      <w:bookmarkStart w:id="1216" w:name="_Toc69290469"/>
      <w:bookmarkStart w:id="1217" w:name="_Toc119584495"/>
      <w:r>
        <w:t xml:space="preserve">Рисунок </w:t>
      </w:r>
      <w:fldSimple w:instr=" SEQ Рисунок \* ARABIC ">
        <w:r w:rsidR="001860A9">
          <w:rPr>
            <w:noProof/>
          </w:rPr>
          <w:t>308</w:t>
        </w:r>
      </w:fldSimple>
      <w:bookmarkEnd w:id="1214"/>
      <w:r>
        <w:t xml:space="preserve"> – Результат работы фильтра «</w:t>
      </w:r>
      <w:r w:rsidRPr="001478BB">
        <w:t>Способ</w:t>
      </w:r>
      <w:r>
        <w:t xml:space="preserve"> закупки»</w:t>
      </w:r>
      <w:bookmarkEnd w:id="1215"/>
      <w:bookmarkEnd w:id="1216"/>
      <w:bookmarkEnd w:id="1217"/>
    </w:p>
    <w:p w:rsidR="00AA2C82" w:rsidRPr="008B109E" w:rsidRDefault="00AA2C82" w:rsidP="00AA2C82">
      <w:pPr>
        <w:pStyle w:val="42"/>
      </w:pPr>
      <w:bookmarkStart w:id="1218" w:name="_Toc69214904"/>
      <w:r>
        <w:t>Поисковая строка по номеру контракта</w:t>
      </w:r>
      <w:r w:rsidRPr="00AF76FC">
        <w:t>/</w:t>
      </w:r>
      <w:r>
        <w:t>извещения (детализирующий отчет)</w:t>
      </w:r>
      <w:bookmarkEnd w:id="1218"/>
    </w:p>
    <w:p w:rsidR="00AA2C82" w:rsidRDefault="00AA2C82" w:rsidP="00AA2C82">
      <w:pPr>
        <w:pStyle w:val="af0"/>
      </w:pPr>
      <w:r w:rsidRPr="008B109E">
        <w:t>Представляет собой текстовую строку для отбора данных отчета</w:t>
      </w:r>
      <w:r>
        <w:t xml:space="preserve"> «Анализ реестра контрактов и их исполнения (детализация)» по реестровому номеру контракта или по номеру извещения об осуществлении закупки.</w:t>
      </w:r>
    </w:p>
    <w:p w:rsidR="00AA2C82" w:rsidRDefault="00AA2C82" w:rsidP="00AA2C82">
      <w:pPr>
        <w:pStyle w:val="af0"/>
      </w:pPr>
      <w:r>
        <w:t xml:space="preserve">В качестве примера введем в данное поле номер контракта </w:t>
      </w:r>
      <w:r w:rsidRPr="00857C01">
        <w:t>1782001100221000001</w:t>
      </w:r>
      <w:r>
        <w:t xml:space="preserve"> и нажмем кнопку обновления данных. В результате таблица будет отражать данные только по контракту с соответствующим реестровым номером (</w:t>
      </w:r>
      <w:r w:rsidR="009E73DD">
        <w:t xml:space="preserve">Рисунок </w:t>
      </w:r>
      <w:r w:rsidR="009E73DD">
        <w:fldChar w:fldCharType="begin"/>
      </w:r>
      <w:r w:rsidR="009E73DD">
        <w:instrText xml:space="preserve"> REF _Ref70082898 \h </w:instrText>
      </w:r>
      <w:r w:rsidR="009E73DD">
        <w:fldChar w:fldCharType="separate"/>
      </w:r>
      <w:r w:rsidR="00BF0BEE">
        <w:rPr>
          <w:noProof/>
        </w:rPr>
        <w:t>309</w:t>
      </w:r>
      <w:r w:rsidR="009E73DD">
        <w:fldChar w:fldCharType="end"/>
      </w:r>
      <w:r>
        <w:t>).</w:t>
      </w:r>
    </w:p>
    <w:p w:rsidR="009E73DD" w:rsidRDefault="00AA2C82" w:rsidP="009E73DD">
      <w:pPr>
        <w:pStyle w:val="-0"/>
        <w:keepNext/>
      </w:pPr>
      <w:r>
        <w:rPr>
          <w:noProof/>
          <w:snapToGrid/>
        </w:rPr>
        <w:drawing>
          <wp:inline distT="0" distB="0" distL="0" distR="0" wp14:anchorId="0DAF3158" wp14:editId="1504AF2C">
            <wp:extent cx="6188710" cy="3028783"/>
            <wp:effectExtent l="0" t="0" r="2540" b="635"/>
            <wp:docPr id="65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0" cstate="print"/>
                    <a:srcRect/>
                    <a:stretch>
                      <a:fillRect/>
                    </a:stretch>
                  </pic:blipFill>
                  <pic:spPr bwMode="auto">
                    <a:xfrm>
                      <a:off x="0" y="0"/>
                      <a:ext cx="6188710" cy="3028783"/>
                    </a:xfrm>
                    <a:prstGeom prst="rect">
                      <a:avLst/>
                    </a:prstGeom>
                  </pic:spPr>
                </pic:pic>
              </a:graphicData>
            </a:graphic>
          </wp:inline>
        </w:drawing>
      </w:r>
    </w:p>
    <w:p w:rsidR="00AA2C82" w:rsidRDefault="009E73DD" w:rsidP="009E73DD">
      <w:pPr>
        <w:pStyle w:val="-0"/>
      </w:pPr>
      <w:bookmarkStart w:id="1219" w:name="_Toc119584496"/>
      <w:r>
        <w:t xml:space="preserve">Рисунок </w:t>
      </w:r>
      <w:fldSimple w:instr=" SEQ Рисунок \* ARABIC ">
        <w:bookmarkStart w:id="1220" w:name="_Ref70082898"/>
        <w:r w:rsidR="001860A9">
          <w:rPr>
            <w:noProof/>
          </w:rPr>
          <w:t>309</w:t>
        </w:r>
        <w:bookmarkEnd w:id="1220"/>
      </w:fldSimple>
      <w:r>
        <w:t xml:space="preserve"> – Результат работы поисковой строки по номеру контракта</w:t>
      </w:r>
      <w:bookmarkEnd w:id="1219"/>
    </w:p>
    <w:p w:rsidR="00AA2C82" w:rsidRDefault="00AA2C82" w:rsidP="00AA2C82">
      <w:pPr>
        <w:pStyle w:val="af0"/>
        <w:spacing w:before="120" w:after="120"/>
      </w:pPr>
      <w:r>
        <w:t>Далее введем номер извещения (предварительно очистив поисковую строку) 0373100074220000011 и также нажмем на кнопку обновления данных. Таблица отчета будет содержать информацию только по тому контракту, в рамках которого было сформировано извещение об осуществлении закупки с соответствующим номером (</w:t>
      </w:r>
      <w:r>
        <w:fldChar w:fldCharType="begin"/>
      </w:r>
      <w:r>
        <w:instrText xml:space="preserve"> REF _Ref68182176 \h </w:instrText>
      </w:r>
      <w:r>
        <w:fldChar w:fldCharType="separate"/>
      </w:r>
      <w:r w:rsidR="00BF0BEE">
        <w:t xml:space="preserve">Рисунок </w:t>
      </w:r>
      <w:r w:rsidR="00BF0BEE">
        <w:rPr>
          <w:noProof/>
        </w:rPr>
        <w:t>310</w:t>
      </w:r>
      <w:r>
        <w:fldChar w:fldCharType="end"/>
      </w:r>
      <w:r>
        <w:t>).</w:t>
      </w:r>
    </w:p>
    <w:p w:rsidR="00AA2C82" w:rsidRDefault="00AA2C82" w:rsidP="00AA2C82">
      <w:pPr>
        <w:pStyle w:val="af0"/>
        <w:keepNext/>
        <w:spacing w:before="120" w:after="120"/>
        <w:ind w:firstLine="0"/>
      </w:pPr>
      <w:r>
        <w:rPr>
          <w:noProof/>
          <w:snapToGrid/>
        </w:rPr>
        <w:drawing>
          <wp:inline distT="0" distB="0" distL="0" distR="0" wp14:anchorId="6FC0F948" wp14:editId="5928383D">
            <wp:extent cx="6188710" cy="2982032"/>
            <wp:effectExtent l="0" t="0" r="2540" b="8890"/>
            <wp:docPr id="65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1" cstate="print"/>
                    <a:srcRect b="1549"/>
                    <a:stretch>
                      <a:fillRect/>
                    </a:stretch>
                  </pic:blipFill>
                  <pic:spPr bwMode="auto">
                    <a:xfrm>
                      <a:off x="0" y="0"/>
                      <a:ext cx="6188710" cy="2982032"/>
                    </a:xfrm>
                    <a:prstGeom prst="rect">
                      <a:avLst/>
                    </a:prstGeom>
                  </pic:spPr>
                </pic:pic>
              </a:graphicData>
            </a:graphic>
          </wp:inline>
        </w:drawing>
      </w:r>
    </w:p>
    <w:p w:rsidR="00AA2C82" w:rsidRDefault="00AA2C82" w:rsidP="00AA2C82">
      <w:pPr>
        <w:pStyle w:val="af0"/>
        <w:spacing w:before="120" w:after="120"/>
        <w:jc w:val="center"/>
      </w:pPr>
      <w:bookmarkStart w:id="1221" w:name="_Ref68182176"/>
      <w:bookmarkStart w:id="1222" w:name="_Toc69214626"/>
      <w:bookmarkStart w:id="1223" w:name="_Toc69290471"/>
      <w:bookmarkStart w:id="1224" w:name="_Toc119584497"/>
      <w:r>
        <w:t xml:space="preserve">Рисунок </w:t>
      </w:r>
      <w:fldSimple w:instr=" SEQ Рисунок \* ARABIC ">
        <w:r w:rsidR="001860A9">
          <w:rPr>
            <w:noProof/>
          </w:rPr>
          <w:t>310</w:t>
        </w:r>
      </w:fldSimple>
      <w:bookmarkEnd w:id="1221"/>
      <w:r>
        <w:t xml:space="preserve"> – </w:t>
      </w:r>
      <w:r w:rsidRPr="00672946">
        <w:t>Результат работы поис</w:t>
      </w:r>
      <w:r>
        <w:t>ковой строки по номеру извещения</w:t>
      </w:r>
      <w:bookmarkEnd w:id="1222"/>
      <w:bookmarkEnd w:id="1223"/>
      <w:bookmarkEnd w:id="1224"/>
    </w:p>
    <w:p w:rsidR="00AA2C82" w:rsidRPr="008B109E" w:rsidRDefault="00AA2C82" w:rsidP="00AA2C82">
      <w:pPr>
        <w:pStyle w:val="af0"/>
        <w:spacing w:before="120" w:after="120"/>
      </w:pPr>
      <w:r>
        <w:t>Также в рамках фильтра предусмотрена возможность отбора данных по части слова.</w:t>
      </w:r>
    </w:p>
    <w:p w:rsidR="00AA2C82" w:rsidRDefault="00AA2C82" w:rsidP="00AA2C82">
      <w:pPr>
        <w:pStyle w:val="42"/>
      </w:pPr>
      <w:bookmarkStart w:id="1225" w:name="_Toc69214905"/>
      <w:r>
        <w:t>Поисковая строка по поставщику (детализирующий отчет)</w:t>
      </w:r>
      <w:bookmarkEnd w:id="1225"/>
    </w:p>
    <w:p w:rsidR="00AA2C82" w:rsidRDefault="00AA2C82" w:rsidP="00AA2C82">
      <w:pPr>
        <w:pStyle w:val="af0"/>
      </w:pPr>
      <w:r w:rsidRPr="00001F96">
        <w:t>Представляет собой текстовую строку для отбора данных отчета «Анализ реестра контрактов и их исполнения (детализация)» по основным данных поставщиков</w:t>
      </w:r>
      <w:r>
        <w:t>: полному наименованию, ИНН или КПП.</w:t>
      </w:r>
    </w:p>
    <w:p w:rsidR="00AA2C82" w:rsidRDefault="00AA2C82" w:rsidP="00AA2C82">
      <w:pPr>
        <w:pStyle w:val="af0"/>
      </w:pPr>
      <w:r>
        <w:t>Принцип работы данного фильтра аналогичен поисковой строке по заказчику.</w:t>
      </w:r>
    </w:p>
    <w:p w:rsidR="00AA2C82" w:rsidRDefault="00AA2C82" w:rsidP="00AA2C82">
      <w:pPr>
        <w:pStyle w:val="af0"/>
      </w:pPr>
      <w:r>
        <w:t xml:space="preserve">В качестве примера в данное поле введем значение ИНН </w:t>
      </w:r>
      <w:r w:rsidRPr="00F258CF">
        <w:t>3906005282</w:t>
      </w:r>
      <w:r>
        <w:t xml:space="preserve"> и нажмем на кнопку обновления данных.</w:t>
      </w:r>
    </w:p>
    <w:p w:rsidR="00AA2C82" w:rsidRDefault="00AA2C82" w:rsidP="00AA2C82">
      <w:pPr>
        <w:pStyle w:val="af0"/>
      </w:pPr>
      <w:r>
        <w:t>В результате таблица детализирующего отчета будет отображать данные только по тем контрактам, которые были заключены с указанным в поисковой строке поставщиком (</w:t>
      </w:r>
      <w:r>
        <w:fldChar w:fldCharType="begin"/>
      </w:r>
      <w:r>
        <w:instrText xml:space="preserve"> REF _Ref68182188 \h  \* MERGEFORMAT </w:instrText>
      </w:r>
      <w:r>
        <w:fldChar w:fldCharType="separate"/>
      </w:r>
      <w:r w:rsidR="00BF0BEE">
        <w:t>Рисунок 311</w:t>
      </w:r>
      <w:r>
        <w:fldChar w:fldCharType="end"/>
      </w:r>
      <w:r>
        <w:t>).</w:t>
      </w:r>
    </w:p>
    <w:p w:rsidR="00AA2C82" w:rsidRDefault="00AA2C82" w:rsidP="00AA2C82">
      <w:pPr>
        <w:pStyle w:val="-0"/>
      </w:pPr>
      <w:r>
        <w:rPr>
          <w:noProof/>
          <w:snapToGrid/>
        </w:rPr>
        <w:drawing>
          <wp:inline distT="0" distB="0" distL="0" distR="0" wp14:anchorId="77026A60" wp14:editId="32B7EC7F">
            <wp:extent cx="6188710" cy="3020833"/>
            <wp:effectExtent l="0" t="0" r="2540" b="8255"/>
            <wp:docPr id="6552" name="Рисунок 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92" cstate="print"/>
                    <a:srcRect/>
                    <a:stretch>
                      <a:fillRect/>
                    </a:stretch>
                  </pic:blipFill>
                  <pic:spPr bwMode="auto">
                    <a:xfrm>
                      <a:off x="0" y="0"/>
                      <a:ext cx="6188710" cy="3020833"/>
                    </a:xfrm>
                    <a:prstGeom prst="rect">
                      <a:avLst/>
                    </a:prstGeom>
                  </pic:spPr>
                </pic:pic>
              </a:graphicData>
            </a:graphic>
          </wp:inline>
        </w:drawing>
      </w:r>
    </w:p>
    <w:p w:rsidR="00AA2C82" w:rsidRPr="00001F96" w:rsidRDefault="00AA2C82" w:rsidP="00AA2C82">
      <w:pPr>
        <w:pStyle w:val="-0"/>
      </w:pPr>
      <w:bookmarkStart w:id="1226" w:name="_Ref68182188"/>
      <w:bookmarkStart w:id="1227" w:name="_Toc69214627"/>
      <w:bookmarkStart w:id="1228" w:name="_Toc69290472"/>
      <w:bookmarkStart w:id="1229" w:name="_Toc119584498"/>
      <w:r>
        <w:t xml:space="preserve">Рисунок </w:t>
      </w:r>
      <w:fldSimple w:instr=" SEQ Рисунок \* ARABIC ">
        <w:r w:rsidR="001860A9">
          <w:rPr>
            <w:noProof/>
          </w:rPr>
          <w:t>311</w:t>
        </w:r>
      </w:fldSimple>
      <w:bookmarkEnd w:id="1226"/>
      <w:r>
        <w:t xml:space="preserve"> – </w:t>
      </w:r>
      <w:r w:rsidRPr="00380318">
        <w:t xml:space="preserve">Результат </w:t>
      </w:r>
      <w:r w:rsidRPr="00341708">
        <w:t>работы</w:t>
      </w:r>
      <w:r w:rsidRPr="00380318">
        <w:t xml:space="preserve"> поис</w:t>
      </w:r>
      <w:r>
        <w:t>ковой строки по данным поставщика</w:t>
      </w:r>
      <w:bookmarkEnd w:id="1227"/>
      <w:bookmarkEnd w:id="1228"/>
      <w:bookmarkEnd w:id="1229"/>
    </w:p>
    <w:p w:rsidR="00AA2C82" w:rsidRDefault="00AA2C82" w:rsidP="00AA2C82">
      <w:pPr>
        <w:pStyle w:val="42"/>
      </w:pPr>
      <w:bookmarkStart w:id="1230" w:name="_Toc69214906"/>
      <w:r>
        <w:t>Поисковая строка по предмету контракта (детализирующий отчет)</w:t>
      </w:r>
      <w:bookmarkEnd w:id="1230"/>
    </w:p>
    <w:p w:rsidR="00AA2C82" w:rsidRDefault="00AA2C82" w:rsidP="00AA2C82">
      <w:pPr>
        <w:pStyle w:val="af0"/>
      </w:pPr>
      <w:r w:rsidRPr="007A37D6">
        <w:t>Представляет собой текстовую строку для отбора данных отчета «Анализ реестра конт</w:t>
      </w:r>
      <w:r>
        <w:t>ракта и их исполнения (детализация)</w:t>
      </w:r>
      <w:r w:rsidRPr="007A37D6">
        <w:t>»</w:t>
      </w:r>
      <w:r>
        <w:t xml:space="preserve"> по предмету контракта.</w:t>
      </w:r>
    </w:p>
    <w:p w:rsidR="00AA2C82" w:rsidRDefault="00AA2C82" w:rsidP="00AA2C82">
      <w:pPr>
        <w:pStyle w:val="af0"/>
      </w:pPr>
      <w:r>
        <w:t>В качестве примера введем в данное поле значение «ГСМ» и нажмем на кнопку обновления данных. В результате таблица будет отображать только те контракты, для которых формулировка предмета содержит значение «ГСМ» (</w:t>
      </w:r>
      <w:r>
        <w:fldChar w:fldCharType="begin"/>
      </w:r>
      <w:r>
        <w:instrText xml:space="preserve"> REF _Ref68182235 \h  \* MERGEFORMAT </w:instrText>
      </w:r>
      <w:r>
        <w:fldChar w:fldCharType="separate"/>
      </w:r>
      <w:r w:rsidR="00BF0BEE">
        <w:t>Рисунок 312</w:t>
      </w:r>
      <w:r>
        <w:fldChar w:fldCharType="end"/>
      </w:r>
      <w:r>
        <w:t>).</w:t>
      </w:r>
    </w:p>
    <w:p w:rsidR="00AA2C82" w:rsidRDefault="00AA2C82" w:rsidP="00AA2C82">
      <w:pPr>
        <w:pStyle w:val="-0"/>
        <w:keepNext/>
      </w:pPr>
      <w:r>
        <w:rPr>
          <w:noProof/>
          <w:snapToGrid/>
        </w:rPr>
        <w:drawing>
          <wp:inline distT="0" distB="0" distL="0" distR="0" wp14:anchorId="54F89548" wp14:editId="5F83E07E">
            <wp:extent cx="6188710" cy="3031468"/>
            <wp:effectExtent l="0" t="0" r="2540" b="0"/>
            <wp:docPr id="6553" name="Рисунок 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3" cstate="print"/>
                    <a:srcRect/>
                    <a:stretch>
                      <a:fillRect/>
                    </a:stretch>
                  </pic:blipFill>
                  <pic:spPr bwMode="auto">
                    <a:xfrm>
                      <a:off x="0" y="0"/>
                      <a:ext cx="6188710" cy="3031468"/>
                    </a:xfrm>
                    <a:prstGeom prst="rect">
                      <a:avLst/>
                    </a:prstGeom>
                  </pic:spPr>
                </pic:pic>
              </a:graphicData>
            </a:graphic>
          </wp:inline>
        </w:drawing>
      </w:r>
    </w:p>
    <w:p w:rsidR="00AA2C82" w:rsidRPr="007A37D6" w:rsidRDefault="00AA2C82" w:rsidP="00AA2C82">
      <w:pPr>
        <w:pStyle w:val="-0"/>
      </w:pPr>
      <w:bookmarkStart w:id="1231" w:name="_Ref68182235"/>
      <w:bookmarkStart w:id="1232" w:name="_Toc69214628"/>
      <w:bookmarkStart w:id="1233" w:name="_Toc69290473"/>
      <w:bookmarkStart w:id="1234" w:name="_Toc119584499"/>
      <w:r>
        <w:t xml:space="preserve">Рисунок </w:t>
      </w:r>
      <w:fldSimple w:instr=" SEQ Рисунок \* ARABIC ">
        <w:r w:rsidR="001860A9">
          <w:rPr>
            <w:noProof/>
          </w:rPr>
          <w:t>312</w:t>
        </w:r>
      </w:fldSimple>
      <w:bookmarkEnd w:id="1231"/>
      <w:r>
        <w:t xml:space="preserve"> – Результат работы поисковой строки «Предмет контракта»</w:t>
      </w:r>
      <w:bookmarkEnd w:id="1232"/>
      <w:bookmarkEnd w:id="1233"/>
      <w:bookmarkEnd w:id="1234"/>
    </w:p>
    <w:p w:rsidR="00AA2C82" w:rsidRDefault="00AA2C82" w:rsidP="00AA2C82">
      <w:pPr>
        <w:pStyle w:val="42"/>
      </w:pPr>
      <w:bookmarkStart w:id="1235" w:name="_Toc69214907"/>
      <w:r>
        <w:t>Цена контракта (детализирующий отчет)</w:t>
      </w:r>
      <w:bookmarkEnd w:id="1235"/>
    </w:p>
    <w:p w:rsidR="00AA2C82" w:rsidRDefault="00AA2C82" w:rsidP="00AA2C82">
      <w:pPr>
        <w:pStyle w:val="af0"/>
      </w:pPr>
      <w:r w:rsidRPr="00E32391">
        <w:t>Представлен двумя текстовыми строками, которые позволяют выбрать интервал</w:t>
      </w:r>
      <w:r>
        <w:t xml:space="preserve"> цен контракта.</w:t>
      </w:r>
    </w:p>
    <w:p w:rsidR="00AA2C82" w:rsidRDefault="00AA2C82" w:rsidP="00AA2C82">
      <w:pPr>
        <w:pStyle w:val="af0"/>
      </w:pPr>
      <w:r>
        <w:t>Данные фильтры доступны для работы в детализирующей версии отчета «Анализ реестра контрактов и их исполнения».</w:t>
      </w:r>
    </w:p>
    <w:p w:rsidR="00AA2C82" w:rsidRDefault="00AA2C82" w:rsidP="00AA2C82">
      <w:pPr>
        <w:pStyle w:val="af0"/>
      </w:pPr>
      <w:r>
        <w:t>В качестве примера введем в данные поле интервал с 1 по 5 тысяч рублей и нажмем на кнопку обновления данных. В результате таблица будет отображать только те контракты, сумма которых не превышает значения, заданные в рамках интервала (</w:t>
      </w:r>
      <w:r>
        <w:fldChar w:fldCharType="begin"/>
      </w:r>
      <w:r>
        <w:instrText xml:space="preserve"> REF _Ref68182251 \h  \* MERGEFORMAT </w:instrText>
      </w:r>
      <w:r>
        <w:fldChar w:fldCharType="separate"/>
      </w:r>
      <w:r w:rsidR="00BF0BEE">
        <w:t>Рисунок 313</w:t>
      </w:r>
      <w:r>
        <w:fldChar w:fldCharType="end"/>
      </w:r>
      <w:r>
        <w:t>).</w:t>
      </w:r>
    </w:p>
    <w:p w:rsidR="00AA2C82" w:rsidRDefault="00AA2C82" w:rsidP="00AA2C82">
      <w:pPr>
        <w:pStyle w:val="-0"/>
        <w:keepNext/>
      </w:pPr>
      <w:r>
        <w:rPr>
          <w:noProof/>
          <w:snapToGrid/>
        </w:rPr>
        <w:drawing>
          <wp:inline distT="0" distB="0" distL="0" distR="0" wp14:anchorId="61482CD8" wp14:editId="28ED49F7">
            <wp:extent cx="6188710" cy="3020833"/>
            <wp:effectExtent l="0" t="0" r="2540" b="8255"/>
            <wp:docPr id="6554" name="Рисунок 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4" cstate="print"/>
                    <a:srcRect/>
                    <a:stretch>
                      <a:fillRect/>
                    </a:stretch>
                  </pic:blipFill>
                  <pic:spPr bwMode="auto">
                    <a:xfrm>
                      <a:off x="0" y="0"/>
                      <a:ext cx="6188710" cy="3020833"/>
                    </a:xfrm>
                    <a:prstGeom prst="rect">
                      <a:avLst/>
                    </a:prstGeom>
                  </pic:spPr>
                </pic:pic>
              </a:graphicData>
            </a:graphic>
          </wp:inline>
        </w:drawing>
      </w:r>
    </w:p>
    <w:p w:rsidR="00AA2C82" w:rsidRDefault="00AA2C82" w:rsidP="00AA2C82">
      <w:pPr>
        <w:pStyle w:val="-0"/>
      </w:pPr>
      <w:bookmarkStart w:id="1236" w:name="_Ref68182251"/>
      <w:bookmarkStart w:id="1237" w:name="_Toc69214629"/>
      <w:bookmarkStart w:id="1238" w:name="_Toc69290474"/>
      <w:bookmarkStart w:id="1239" w:name="_Toc119584500"/>
      <w:r>
        <w:t xml:space="preserve">Рисунок </w:t>
      </w:r>
      <w:fldSimple w:instr=" SEQ Рисунок \* ARABIC ">
        <w:r w:rsidR="001860A9">
          <w:rPr>
            <w:noProof/>
          </w:rPr>
          <w:t>313</w:t>
        </w:r>
      </w:fldSimple>
      <w:bookmarkEnd w:id="1236"/>
      <w:r>
        <w:t xml:space="preserve"> – Результат работы фильтра «Цена контракта»</w:t>
      </w:r>
      <w:bookmarkEnd w:id="1237"/>
      <w:bookmarkEnd w:id="1238"/>
      <w:bookmarkEnd w:id="1239"/>
    </w:p>
    <w:p w:rsidR="00AA2C82" w:rsidRDefault="00AA2C82" w:rsidP="00AA2C82">
      <w:pPr>
        <w:pStyle w:val="35"/>
      </w:pPr>
      <w:bookmarkStart w:id="1240" w:name="_Toc69214908"/>
      <w:bookmarkStart w:id="1241" w:name="_Toc69290140"/>
      <w:bookmarkStart w:id="1242" w:name="_Toc119585105"/>
      <w:bookmarkEnd w:id="1025"/>
      <w:r>
        <w:t>Принципы работы фильтров, используемых в отчетах группы «Планирование в сфере закупок»</w:t>
      </w:r>
      <w:bookmarkEnd w:id="1240"/>
      <w:bookmarkEnd w:id="1241"/>
      <w:bookmarkEnd w:id="1242"/>
    </w:p>
    <w:p w:rsidR="00AA2C82" w:rsidRDefault="00AA2C82" w:rsidP="00AA2C82">
      <w:pPr>
        <w:pStyle w:val="42"/>
      </w:pPr>
      <w:bookmarkStart w:id="1243" w:name="_Toc69214909"/>
      <w:r>
        <w:t>Год ПГЗ</w:t>
      </w:r>
      <w:bookmarkEnd w:id="1243"/>
    </w:p>
    <w:p w:rsidR="00AA2C82" w:rsidRDefault="00AA2C82" w:rsidP="00AA2C82">
      <w:pPr>
        <w:pStyle w:val="af0"/>
      </w:pPr>
      <w:r w:rsidRPr="00C70232">
        <w:t xml:space="preserve">Представляет собой выпадающий список </w:t>
      </w:r>
      <w:r>
        <w:t>с перечнем периодов, за которые сформированы планы-графики закупок. В рамках данного параметра предусмотрена возможность однозначного выбора.</w:t>
      </w:r>
    </w:p>
    <w:p w:rsidR="00AA2C82" w:rsidRDefault="00AA2C82" w:rsidP="00AA2C82">
      <w:pPr>
        <w:pStyle w:val="af0"/>
      </w:pPr>
      <w:r>
        <w:t>Принцип работы фильтра аналогичен как для основного представления (</w:t>
      </w:r>
      <w:r>
        <w:fldChar w:fldCharType="begin"/>
      </w:r>
      <w:r>
        <w:instrText xml:space="preserve"> REF _Ref68182302 \h  \* MERGEFORMAT </w:instrText>
      </w:r>
      <w:r>
        <w:fldChar w:fldCharType="separate"/>
      </w:r>
      <w:r w:rsidR="00BF0BEE">
        <w:t>Рисунок 314</w:t>
      </w:r>
      <w:r>
        <w:fldChar w:fldCharType="end"/>
      </w:r>
      <w:r>
        <w:t>), так и для детализирующего отчета (</w:t>
      </w:r>
      <w:r>
        <w:fldChar w:fldCharType="begin"/>
      </w:r>
      <w:r>
        <w:instrText xml:space="preserve"> REF _Ref68182307 \h  \* MERGEFORMAT </w:instrText>
      </w:r>
      <w:r>
        <w:fldChar w:fldCharType="separate"/>
      </w:r>
      <w:r w:rsidR="00BF0BEE">
        <w:t>Рисунок 315</w:t>
      </w:r>
      <w:r>
        <w:fldChar w:fldCharType="end"/>
      </w:r>
      <w:r>
        <w:t>). При выборе элемента-года ПГЗ и нажатии на кнопку обновления данных в таблицах отчетов будут отображаться данные только по тем пл</w:t>
      </w:r>
      <w:r w:rsidR="006E6595">
        <w:t>а</w:t>
      </w:r>
      <w:r>
        <w:t>нам-графикам закупок, которые были сформированы в выбранном году.</w:t>
      </w:r>
    </w:p>
    <w:p w:rsidR="00AA2C82" w:rsidRDefault="00AA2C82" w:rsidP="00AA2C82">
      <w:pPr>
        <w:pStyle w:val="-0"/>
      </w:pPr>
      <w:r>
        <w:rPr>
          <w:noProof/>
          <w:snapToGrid/>
        </w:rPr>
        <w:drawing>
          <wp:inline distT="0" distB="0" distL="0" distR="0" wp14:anchorId="323B46FF" wp14:editId="271F7C4E">
            <wp:extent cx="6188710" cy="3025773"/>
            <wp:effectExtent l="0" t="0" r="2540" b="3810"/>
            <wp:docPr id="6555" name="Рисунок 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5" cstate="print"/>
                    <a:srcRect/>
                    <a:stretch>
                      <a:fillRect/>
                    </a:stretch>
                  </pic:blipFill>
                  <pic:spPr bwMode="auto">
                    <a:xfrm>
                      <a:off x="0" y="0"/>
                      <a:ext cx="6188710" cy="3025773"/>
                    </a:xfrm>
                    <a:prstGeom prst="rect">
                      <a:avLst/>
                    </a:prstGeom>
                  </pic:spPr>
                </pic:pic>
              </a:graphicData>
            </a:graphic>
          </wp:inline>
        </w:drawing>
      </w:r>
    </w:p>
    <w:p w:rsidR="00AA2C82" w:rsidRDefault="00AA2C82" w:rsidP="00AA2C82">
      <w:pPr>
        <w:pStyle w:val="-0"/>
      </w:pPr>
      <w:bookmarkStart w:id="1244" w:name="_Ref68182302"/>
      <w:bookmarkStart w:id="1245" w:name="_Toc69214630"/>
      <w:bookmarkStart w:id="1246" w:name="_Toc69290475"/>
      <w:bookmarkStart w:id="1247" w:name="_Toc119584501"/>
      <w:r>
        <w:t xml:space="preserve">Рисунок </w:t>
      </w:r>
      <w:fldSimple w:instr=" SEQ Рисунок \* ARABIC ">
        <w:r w:rsidR="001860A9">
          <w:rPr>
            <w:noProof/>
          </w:rPr>
          <w:t>314</w:t>
        </w:r>
      </w:fldSimple>
      <w:bookmarkEnd w:id="1244"/>
      <w:r>
        <w:t xml:space="preserve"> – Фильтр «Год ПГЗ» для отчета «Планирование в сфере закупок»</w:t>
      </w:r>
      <w:bookmarkEnd w:id="1245"/>
      <w:bookmarkEnd w:id="1246"/>
      <w:bookmarkEnd w:id="1247"/>
    </w:p>
    <w:p w:rsidR="00AA2C82" w:rsidRDefault="00AA2C82" w:rsidP="00AA2C82">
      <w:pPr>
        <w:pStyle w:val="-0"/>
      </w:pPr>
      <w:r>
        <w:rPr>
          <w:noProof/>
          <w:snapToGrid/>
        </w:rPr>
        <w:drawing>
          <wp:inline distT="0" distB="0" distL="0" distR="0" wp14:anchorId="7DF083BD" wp14:editId="0EFAEDD6">
            <wp:extent cx="6188710" cy="3031578"/>
            <wp:effectExtent l="0" t="0" r="2540" b="0"/>
            <wp:docPr id="6556" name="Рисунок 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6" cstate="print"/>
                    <a:srcRect/>
                    <a:stretch>
                      <a:fillRect/>
                    </a:stretch>
                  </pic:blipFill>
                  <pic:spPr bwMode="auto">
                    <a:xfrm>
                      <a:off x="0" y="0"/>
                      <a:ext cx="6188710" cy="3031578"/>
                    </a:xfrm>
                    <a:prstGeom prst="rect">
                      <a:avLst/>
                    </a:prstGeom>
                  </pic:spPr>
                </pic:pic>
              </a:graphicData>
            </a:graphic>
          </wp:inline>
        </w:drawing>
      </w:r>
    </w:p>
    <w:p w:rsidR="00AA2C82" w:rsidRPr="00206C4C" w:rsidRDefault="00AA2C82" w:rsidP="00AA2C82">
      <w:pPr>
        <w:pStyle w:val="-0"/>
      </w:pPr>
      <w:bookmarkStart w:id="1248" w:name="_Ref68182307"/>
      <w:bookmarkStart w:id="1249" w:name="_Toc69214631"/>
      <w:bookmarkStart w:id="1250" w:name="_Toc69290476"/>
      <w:bookmarkStart w:id="1251" w:name="_Toc119584502"/>
      <w:r>
        <w:t xml:space="preserve">Рисунок </w:t>
      </w:r>
      <w:fldSimple w:instr=" SEQ Рисунок \* ARABIC ">
        <w:r w:rsidR="001860A9">
          <w:rPr>
            <w:noProof/>
          </w:rPr>
          <w:t>315</w:t>
        </w:r>
      </w:fldSimple>
      <w:bookmarkEnd w:id="1248"/>
      <w:r>
        <w:t xml:space="preserve"> – Фильтр «Год ПГЗ» для отчета «Планирование в сфере закупок (детализация)»</w:t>
      </w:r>
      <w:bookmarkEnd w:id="1249"/>
      <w:bookmarkEnd w:id="1250"/>
      <w:bookmarkEnd w:id="1251"/>
    </w:p>
    <w:p w:rsidR="005D77E1" w:rsidRPr="00206C4C" w:rsidRDefault="005D77E1" w:rsidP="000D79D6">
      <w:pPr>
        <w:pStyle w:val="26"/>
      </w:pPr>
      <w:bookmarkStart w:id="1252" w:name="_Toc37845333"/>
      <w:bookmarkStart w:id="1253" w:name="_Toc69290141"/>
      <w:bookmarkStart w:id="1254" w:name="_Toc37845339"/>
      <w:bookmarkStart w:id="1255" w:name="_Toc119585106"/>
      <w:bookmarkEnd w:id="773"/>
      <w:r>
        <w:t>Витрина</w:t>
      </w:r>
      <w:r w:rsidRPr="00206C4C">
        <w:t xml:space="preserve"> «</w:t>
      </w:r>
      <w:r w:rsidR="000D79D6" w:rsidRPr="000D79D6">
        <w:t>Бюджетный (бухгалтерский) учет</w:t>
      </w:r>
      <w:r w:rsidRPr="00206C4C">
        <w:t>»</w:t>
      </w:r>
      <w:bookmarkEnd w:id="1252"/>
      <w:bookmarkEnd w:id="1253"/>
      <w:bookmarkEnd w:id="1255"/>
    </w:p>
    <w:p w:rsidR="005D77E1" w:rsidRPr="00206C4C" w:rsidRDefault="005D77E1" w:rsidP="005D77E1">
      <w:pPr>
        <w:pStyle w:val="af0"/>
        <w:rPr>
          <w:rFonts w:eastAsia="Calibri"/>
        </w:rPr>
      </w:pPr>
      <w:r w:rsidRPr="00206C4C">
        <w:rPr>
          <w:rFonts w:eastAsia="Calibri"/>
        </w:rPr>
        <w:t>В рамках витрины реализован мониторинг бухгалтерского учета и отчетности государственных и муниципальных учреждений федерального уровня. Полученные данные позволяют оперативно оценивать финансовое состояние учреждений и своевременно производить корректирующие действия.</w:t>
      </w:r>
    </w:p>
    <w:p w:rsidR="005D77E1" w:rsidRPr="00C63CD0" w:rsidRDefault="005D77E1" w:rsidP="005D77E1">
      <w:pPr>
        <w:pStyle w:val="-"/>
      </w:pPr>
      <w:bookmarkStart w:id="1256" w:name="_Toc37845347"/>
      <w:bookmarkStart w:id="1257" w:name="_Toc69290214"/>
      <w:bookmarkStart w:id="1258" w:name="_Toc119585183"/>
      <w:r w:rsidRPr="00206C4C">
        <w:t xml:space="preserve">Таблица </w:t>
      </w:r>
      <w:fldSimple w:instr=" SEQ Таблица \* ARABIC ">
        <w:r w:rsidR="00BF0BEE">
          <w:rPr>
            <w:noProof/>
          </w:rPr>
          <w:t>42</w:t>
        </w:r>
      </w:fldSimple>
      <w:r w:rsidRPr="00206C4C">
        <w:t xml:space="preserve"> </w:t>
      </w:r>
      <w:r>
        <w:t>–</w:t>
      </w:r>
      <w:r w:rsidRPr="00C63CD0">
        <w:t xml:space="preserve"> </w:t>
      </w:r>
      <w:r w:rsidRPr="00206C4C">
        <w:t>Перечень аналитических отчетов витрины «</w:t>
      </w:r>
      <w:r w:rsidR="000D79D6" w:rsidRPr="000D79D6">
        <w:t>Бюджетный (бухгалтерский) учет</w:t>
      </w:r>
      <w:r w:rsidRPr="00206C4C">
        <w:t>» и соответствующих таблиц БД</w:t>
      </w:r>
      <w:bookmarkEnd w:id="1256"/>
      <w:bookmarkEnd w:id="1257"/>
      <w:bookmarkEnd w:id="1258"/>
    </w:p>
    <w:tbl>
      <w:tblPr>
        <w:tblStyle w:val="affe"/>
        <w:tblW w:w="0" w:type="auto"/>
        <w:tblLook w:val="04A0" w:firstRow="1" w:lastRow="0" w:firstColumn="1" w:lastColumn="0" w:noHBand="0" w:noVBand="1"/>
      </w:tblPr>
      <w:tblGrid>
        <w:gridCol w:w="1960"/>
        <w:gridCol w:w="4816"/>
        <w:gridCol w:w="2794"/>
      </w:tblGrid>
      <w:tr w:rsidR="005D77E1" w:rsidRPr="00757A93" w:rsidTr="00DA2A3D">
        <w:trPr>
          <w:tblHeader/>
        </w:trPr>
        <w:tc>
          <w:tcPr>
            <w:tcW w:w="1960" w:type="dxa"/>
            <w:shd w:val="clear" w:color="auto" w:fill="D9D9D9" w:themeFill="background1" w:themeFillShade="D9"/>
            <w:vAlign w:val="center"/>
          </w:tcPr>
          <w:p w:rsidR="005D77E1" w:rsidRPr="00757A93" w:rsidRDefault="005D77E1" w:rsidP="00E9324B">
            <w:pPr>
              <w:ind w:firstLine="0"/>
              <w:jc w:val="center"/>
              <w:rPr>
                <w:b/>
                <w:szCs w:val="24"/>
              </w:rPr>
            </w:pPr>
            <w:r w:rsidRPr="00757A93">
              <w:rPr>
                <w:b/>
                <w:szCs w:val="24"/>
              </w:rPr>
              <w:t>Наименование аналитического отчета</w:t>
            </w:r>
          </w:p>
        </w:tc>
        <w:tc>
          <w:tcPr>
            <w:tcW w:w="4816" w:type="dxa"/>
            <w:shd w:val="clear" w:color="auto" w:fill="D9D9D9" w:themeFill="background1" w:themeFillShade="D9"/>
            <w:vAlign w:val="center"/>
          </w:tcPr>
          <w:p w:rsidR="005D77E1" w:rsidRPr="00757A93" w:rsidRDefault="005D77E1" w:rsidP="00E9324B">
            <w:pPr>
              <w:ind w:firstLine="0"/>
              <w:jc w:val="center"/>
              <w:rPr>
                <w:b/>
                <w:szCs w:val="24"/>
              </w:rPr>
            </w:pPr>
            <w:r w:rsidRPr="00757A93">
              <w:rPr>
                <w:b/>
                <w:szCs w:val="24"/>
              </w:rPr>
              <w:t>Код отчета</w:t>
            </w:r>
          </w:p>
        </w:tc>
        <w:tc>
          <w:tcPr>
            <w:tcW w:w="2794" w:type="dxa"/>
            <w:shd w:val="clear" w:color="auto" w:fill="D9D9D9" w:themeFill="background1" w:themeFillShade="D9"/>
            <w:vAlign w:val="center"/>
          </w:tcPr>
          <w:p w:rsidR="005D77E1" w:rsidRPr="00757A93" w:rsidRDefault="005D77E1" w:rsidP="00E9324B">
            <w:pPr>
              <w:ind w:firstLine="0"/>
              <w:jc w:val="center"/>
              <w:rPr>
                <w:b/>
                <w:szCs w:val="24"/>
              </w:rPr>
            </w:pPr>
            <w:r w:rsidRPr="00757A93">
              <w:rPr>
                <w:b/>
                <w:szCs w:val="24"/>
              </w:rPr>
              <w:t>Название таблицы БД</w:t>
            </w:r>
          </w:p>
        </w:tc>
      </w:tr>
      <w:tr w:rsidR="005D77E1" w:rsidRPr="00757A93" w:rsidTr="00E9324B">
        <w:tc>
          <w:tcPr>
            <w:tcW w:w="1960" w:type="dxa"/>
            <w:vMerge w:val="restart"/>
            <w:vAlign w:val="center"/>
          </w:tcPr>
          <w:p w:rsidR="005D77E1" w:rsidRPr="00757A93" w:rsidRDefault="005D77E1" w:rsidP="00E9324B">
            <w:pPr>
              <w:ind w:firstLine="0"/>
              <w:rPr>
                <w:rStyle w:val="tooltip"/>
                <w:szCs w:val="24"/>
              </w:rPr>
            </w:pPr>
            <w:r w:rsidRPr="00757A93">
              <w:rPr>
                <w:rStyle w:val="tooltip"/>
                <w:szCs w:val="24"/>
              </w:rPr>
              <w:t>Сведения о ФХД ФОИВ</w:t>
            </w:r>
          </w:p>
        </w:tc>
        <w:tc>
          <w:tcPr>
            <w:tcW w:w="4816" w:type="dxa"/>
            <w:vMerge w:val="restart"/>
            <w:vAlign w:val="center"/>
          </w:tcPr>
          <w:p w:rsidR="005D77E1" w:rsidRPr="00757A93" w:rsidRDefault="005D77E1" w:rsidP="00E9324B">
            <w:pPr>
              <w:ind w:firstLine="0"/>
              <w:jc w:val="left"/>
              <w:rPr>
                <w:snapToGrid/>
                <w:color w:val="auto"/>
                <w:szCs w:val="24"/>
              </w:rPr>
            </w:pPr>
            <w:r w:rsidRPr="00757A93">
              <w:rPr>
                <w:snapToGrid/>
                <w:color w:val="auto"/>
                <w:szCs w:val="24"/>
              </w:rPr>
              <w:t>PIAO_103_003_mainBookAccreditationReport</w:t>
            </w:r>
          </w:p>
        </w:tc>
        <w:tc>
          <w:tcPr>
            <w:tcW w:w="2794" w:type="dxa"/>
            <w:vAlign w:val="center"/>
          </w:tcPr>
          <w:p w:rsidR="005D77E1" w:rsidRPr="00757A93" w:rsidRDefault="005D77E1" w:rsidP="00E9324B">
            <w:pPr>
              <w:ind w:firstLine="0"/>
              <w:rPr>
                <w:szCs w:val="24"/>
              </w:rPr>
            </w:pPr>
            <w:r w:rsidRPr="00757A93">
              <w:rPr>
                <w:szCs w:val="24"/>
              </w:rPr>
              <w:t>D_GK_ACCOUNTS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D_GK_BUDGET</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D_GK_INSTITUTE</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D_GK_KBK</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lang w:val="en-US"/>
              </w:rPr>
              <w:t>D</w:t>
            </w:r>
            <w:r w:rsidRPr="00757A93">
              <w:rPr>
                <w:szCs w:val="24"/>
              </w:rPr>
              <w:t>_</w:t>
            </w:r>
            <w:r w:rsidRPr="00757A93">
              <w:rPr>
                <w:szCs w:val="24"/>
                <w:lang w:val="en-US"/>
              </w:rPr>
              <w:t>GK</w:t>
            </w:r>
            <w:r w:rsidRPr="00757A93">
              <w:rPr>
                <w:szCs w:val="24"/>
              </w:rPr>
              <w:t>_</w:t>
            </w:r>
            <w:r w:rsidRPr="00757A93">
              <w:rPr>
                <w:szCs w:val="24"/>
                <w:lang w:val="en-US"/>
              </w:rPr>
              <w:t>KOSGU</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D_GK_KVSR</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F_GK_DATA</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D_GK_SUBJECTS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D_GK_OSACCOUNTS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T_GK_INSTPLANFULL</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FX_GK_KOSGU</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FX_GK_ACTIONKIND</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FX_GK_INCOME</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F_GK_</w:t>
            </w:r>
            <w:r w:rsidRPr="00757A93">
              <w:rPr>
                <w:szCs w:val="24"/>
                <w:lang w:val="en-US"/>
              </w:rPr>
              <w:t>DKZ</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FX_GK_BALANCE</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T_GK_DKZMB_TEMP</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T_GK_OSMB_TEMP</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F_GK_</w:t>
            </w:r>
            <w:r w:rsidRPr="00757A93">
              <w:rPr>
                <w:szCs w:val="24"/>
                <w:lang w:val="en-US"/>
              </w:rPr>
              <w:t>OS</w:t>
            </w:r>
          </w:p>
        </w:tc>
      </w:tr>
      <w:tr w:rsidR="005D77E1" w:rsidRPr="00757A93" w:rsidTr="00E9324B">
        <w:tc>
          <w:tcPr>
            <w:tcW w:w="1960" w:type="dxa"/>
            <w:vMerge w:val="restart"/>
            <w:vAlign w:val="center"/>
          </w:tcPr>
          <w:p w:rsidR="005D77E1" w:rsidRPr="00757A93" w:rsidRDefault="005D77E1" w:rsidP="00E9324B">
            <w:pPr>
              <w:ind w:firstLine="0"/>
              <w:rPr>
                <w:rStyle w:val="tooltip"/>
                <w:szCs w:val="24"/>
              </w:rPr>
            </w:pPr>
            <w:r w:rsidRPr="00757A93">
              <w:rPr>
                <w:rStyle w:val="tooltip"/>
                <w:szCs w:val="24"/>
              </w:rPr>
              <w:t>Сведения о ФХД ФОИВ Качество данных</w:t>
            </w:r>
          </w:p>
        </w:tc>
        <w:tc>
          <w:tcPr>
            <w:tcW w:w="4816" w:type="dxa"/>
            <w:vMerge w:val="restart"/>
            <w:vAlign w:val="center"/>
          </w:tcPr>
          <w:p w:rsidR="005D77E1" w:rsidRPr="00757A93" w:rsidRDefault="005D77E1" w:rsidP="00E9324B">
            <w:pPr>
              <w:ind w:firstLine="0"/>
              <w:jc w:val="left"/>
              <w:rPr>
                <w:snapToGrid/>
                <w:color w:val="auto"/>
                <w:szCs w:val="24"/>
              </w:rPr>
            </w:pPr>
            <w:r w:rsidRPr="00757A93">
              <w:rPr>
                <w:snapToGrid/>
                <w:color w:val="auto"/>
                <w:szCs w:val="24"/>
              </w:rPr>
              <w:t>PIAO_103_003_mainBookDataQualityReport</w:t>
            </w:r>
          </w:p>
        </w:tc>
        <w:tc>
          <w:tcPr>
            <w:tcW w:w="2794" w:type="dxa"/>
            <w:vAlign w:val="center"/>
          </w:tcPr>
          <w:p w:rsidR="005D77E1" w:rsidRPr="00757A93" w:rsidRDefault="005D77E1" w:rsidP="00E9324B">
            <w:pPr>
              <w:ind w:firstLine="0"/>
              <w:rPr>
                <w:szCs w:val="24"/>
              </w:rPr>
            </w:pPr>
            <w:r w:rsidRPr="00757A93">
              <w:rPr>
                <w:szCs w:val="24"/>
              </w:rPr>
              <w:t>D_GK_SUBJECTS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D_GK_ACCOUNTS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D_GK_KBK</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D_GK_BUDGET</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D_GK_CONTRACTOR</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T_GK_INSTPLANFULL</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T_GK_</w:t>
            </w:r>
            <w:r w:rsidRPr="00757A93">
              <w:rPr>
                <w:szCs w:val="24"/>
                <w:lang w:val="en-US"/>
              </w:rPr>
              <w:t>TOFK</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FX_GK_KOSGU</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FX_GK_ACTIONKIND</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FX_GK_INCOME</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napToGrid/>
                <w:color w:val="auto"/>
                <w:szCs w:val="24"/>
              </w:rPr>
            </w:pPr>
          </w:p>
        </w:tc>
        <w:tc>
          <w:tcPr>
            <w:tcW w:w="2794" w:type="dxa"/>
            <w:vAlign w:val="center"/>
          </w:tcPr>
          <w:p w:rsidR="005D77E1" w:rsidRPr="00757A93" w:rsidRDefault="005D77E1" w:rsidP="00E9324B">
            <w:pPr>
              <w:ind w:firstLine="0"/>
              <w:rPr>
                <w:szCs w:val="24"/>
              </w:rPr>
            </w:pPr>
            <w:r w:rsidRPr="00757A93">
              <w:rPr>
                <w:szCs w:val="24"/>
              </w:rPr>
              <w:t>F_GK_DKZ</w:t>
            </w:r>
          </w:p>
        </w:tc>
      </w:tr>
      <w:tr w:rsidR="005D77E1" w:rsidRPr="00757A93" w:rsidTr="00E9324B">
        <w:tc>
          <w:tcPr>
            <w:tcW w:w="1960" w:type="dxa"/>
            <w:vMerge w:val="restart"/>
            <w:vAlign w:val="center"/>
          </w:tcPr>
          <w:p w:rsidR="005D77E1" w:rsidRPr="00757A93" w:rsidRDefault="005D77E1" w:rsidP="00E9324B">
            <w:pPr>
              <w:ind w:firstLine="0"/>
              <w:rPr>
                <w:rStyle w:val="tooltip"/>
                <w:szCs w:val="24"/>
              </w:rPr>
            </w:pPr>
            <w:r w:rsidRPr="00757A93">
              <w:rPr>
                <w:rStyle w:val="tooltip"/>
                <w:szCs w:val="24"/>
              </w:rPr>
              <w:t>Дебиторская и кредиторская задолженность</w:t>
            </w:r>
          </w:p>
        </w:tc>
        <w:tc>
          <w:tcPr>
            <w:tcW w:w="4816" w:type="dxa"/>
            <w:vMerge w:val="restart"/>
            <w:vAlign w:val="center"/>
          </w:tcPr>
          <w:p w:rsidR="005D77E1" w:rsidRPr="00757A93" w:rsidRDefault="005D77E1" w:rsidP="00E9324B">
            <w:pPr>
              <w:ind w:firstLine="0"/>
              <w:jc w:val="left"/>
              <w:rPr>
                <w:snapToGrid/>
                <w:color w:val="auto"/>
                <w:szCs w:val="24"/>
              </w:rPr>
            </w:pPr>
            <w:r w:rsidRPr="00757A93">
              <w:rPr>
                <w:szCs w:val="24"/>
              </w:rPr>
              <w:t>PIAO_103_003_mainBookDKZ</w:t>
            </w:r>
          </w:p>
        </w:tc>
        <w:tc>
          <w:tcPr>
            <w:tcW w:w="2794" w:type="dxa"/>
            <w:vAlign w:val="center"/>
          </w:tcPr>
          <w:p w:rsidR="005D77E1" w:rsidRPr="00757A93" w:rsidRDefault="005D77E1" w:rsidP="00E9324B">
            <w:pPr>
              <w:ind w:firstLine="0"/>
              <w:rPr>
                <w:szCs w:val="24"/>
              </w:rPr>
            </w:pPr>
            <w:r w:rsidRPr="00757A93">
              <w:rPr>
                <w:szCs w:val="24"/>
              </w:rPr>
              <w:t>D_GK_SUBJECTS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D_GK_ACCOUNTS</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D_GK_KBK</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D_GK_BUDGET</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D_GK_CONTRACTOR</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T_GK_INSTPLANFULL</w:t>
            </w:r>
          </w:p>
        </w:tc>
      </w:tr>
      <w:tr w:rsidR="005D77E1" w:rsidRPr="00757A93" w:rsidTr="00E9324B">
        <w:tc>
          <w:tcPr>
            <w:tcW w:w="1960" w:type="dxa"/>
            <w:vMerge/>
            <w:vAlign w:val="center"/>
          </w:tcPr>
          <w:p w:rsidR="005D77E1" w:rsidRPr="00757A93" w:rsidRDefault="005D77E1" w:rsidP="00E9324B">
            <w:pPr>
              <w:rPr>
                <w:rStyle w:val="tooltip"/>
                <w:szCs w:val="24"/>
              </w:rPr>
            </w:pPr>
          </w:p>
        </w:tc>
        <w:tc>
          <w:tcPr>
            <w:tcW w:w="4816" w:type="dxa"/>
            <w:vMerge/>
            <w:vAlign w:val="center"/>
          </w:tcPr>
          <w:p w:rsidR="005D77E1" w:rsidRPr="00757A93" w:rsidRDefault="005D77E1" w:rsidP="00E9324B">
            <w:pPr>
              <w:jc w:val="left"/>
              <w:rPr>
                <w:szCs w:val="24"/>
              </w:rPr>
            </w:pPr>
          </w:p>
        </w:tc>
        <w:tc>
          <w:tcPr>
            <w:tcW w:w="2794" w:type="dxa"/>
            <w:vAlign w:val="center"/>
          </w:tcPr>
          <w:p w:rsidR="005D77E1" w:rsidRPr="00757A93" w:rsidRDefault="005D77E1" w:rsidP="00E9324B">
            <w:pPr>
              <w:ind w:firstLine="0"/>
              <w:rPr>
                <w:szCs w:val="24"/>
              </w:rPr>
            </w:pPr>
            <w:r w:rsidRPr="00757A93">
              <w:rPr>
                <w:szCs w:val="24"/>
              </w:rPr>
              <w:t>T_GK_</w:t>
            </w:r>
            <w:r w:rsidRPr="00757A93">
              <w:rPr>
                <w:szCs w:val="24"/>
                <w:lang w:val="en-US"/>
              </w:rPr>
              <w:t>TOFK</w:t>
            </w:r>
          </w:p>
        </w:tc>
      </w:tr>
      <w:tr w:rsidR="005D77E1" w:rsidRPr="00757A93" w:rsidTr="00E9324B">
        <w:tc>
          <w:tcPr>
            <w:tcW w:w="1960" w:type="dxa"/>
            <w:vMerge/>
            <w:vAlign w:val="center"/>
          </w:tcPr>
          <w:p w:rsidR="005D77E1" w:rsidRPr="00757A93" w:rsidRDefault="005D77E1" w:rsidP="00E9324B">
            <w:pPr>
              <w:rPr>
                <w:rStyle w:val="tooltip"/>
                <w:szCs w:val="24"/>
                <w:lang w:val="en-US"/>
              </w:rPr>
            </w:pPr>
          </w:p>
        </w:tc>
        <w:tc>
          <w:tcPr>
            <w:tcW w:w="4816" w:type="dxa"/>
            <w:vMerge/>
            <w:vAlign w:val="center"/>
          </w:tcPr>
          <w:p w:rsidR="005D77E1" w:rsidRPr="00757A93" w:rsidRDefault="005D77E1" w:rsidP="00E9324B">
            <w:pPr>
              <w:jc w:val="left"/>
              <w:rPr>
                <w:szCs w:val="24"/>
                <w:lang w:val="en-US"/>
              </w:rPr>
            </w:pPr>
          </w:p>
        </w:tc>
        <w:tc>
          <w:tcPr>
            <w:tcW w:w="2794" w:type="dxa"/>
            <w:vAlign w:val="center"/>
          </w:tcPr>
          <w:p w:rsidR="005D77E1" w:rsidRPr="00757A93" w:rsidRDefault="005D77E1" w:rsidP="00E9324B">
            <w:pPr>
              <w:ind w:firstLine="0"/>
              <w:rPr>
                <w:szCs w:val="24"/>
                <w:lang w:val="en-US"/>
              </w:rPr>
            </w:pPr>
            <w:r w:rsidRPr="00757A93">
              <w:rPr>
                <w:szCs w:val="24"/>
              </w:rPr>
              <w:t>FX_GK_KOSGU</w:t>
            </w:r>
          </w:p>
        </w:tc>
      </w:tr>
      <w:tr w:rsidR="005D77E1" w:rsidRPr="00757A93" w:rsidTr="00E9324B">
        <w:tc>
          <w:tcPr>
            <w:tcW w:w="1960" w:type="dxa"/>
            <w:vMerge/>
            <w:vAlign w:val="center"/>
          </w:tcPr>
          <w:p w:rsidR="005D77E1" w:rsidRPr="00757A93" w:rsidRDefault="005D77E1" w:rsidP="00E9324B">
            <w:pPr>
              <w:rPr>
                <w:rStyle w:val="tooltip"/>
                <w:szCs w:val="24"/>
                <w:lang w:val="en-US"/>
              </w:rPr>
            </w:pPr>
          </w:p>
        </w:tc>
        <w:tc>
          <w:tcPr>
            <w:tcW w:w="4816" w:type="dxa"/>
            <w:vMerge/>
            <w:vAlign w:val="center"/>
          </w:tcPr>
          <w:p w:rsidR="005D77E1" w:rsidRPr="00757A93" w:rsidRDefault="005D77E1" w:rsidP="00E9324B">
            <w:pPr>
              <w:jc w:val="left"/>
              <w:rPr>
                <w:szCs w:val="24"/>
                <w:lang w:val="en-US"/>
              </w:rPr>
            </w:pPr>
          </w:p>
        </w:tc>
        <w:tc>
          <w:tcPr>
            <w:tcW w:w="2794" w:type="dxa"/>
            <w:vAlign w:val="center"/>
          </w:tcPr>
          <w:p w:rsidR="005D77E1" w:rsidRPr="00757A93" w:rsidRDefault="005D77E1" w:rsidP="00E9324B">
            <w:pPr>
              <w:ind w:firstLine="0"/>
              <w:rPr>
                <w:szCs w:val="24"/>
                <w:lang w:val="en-US"/>
              </w:rPr>
            </w:pPr>
            <w:r w:rsidRPr="00757A93">
              <w:rPr>
                <w:szCs w:val="24"/>
              </w:rPr>
              <w:t>FX_GK_ACTIONKIND</w:t>
            </w:r>
          </w:p>
        </w:tc>
      </w:tr>
      <w:tr w:rsidR="005D77E1" w:rsidRPr="00757A93" w:rsidTr="00E9324B">
        <w:tc>
          <w:tcPr>
            <w:tcW w:w="1960" w:type="dxa"/>
            <w:vMerge/>
            <w:vAlign w:val="center"/>
          </w:tcPr>
          <w:p w:rsidR="005D77E1" w:rsidRPr="00757A93" w:rsidRDefault="005D77E1" w:rsidP="00E9324B">
            <w:pPr>
              <w:rPr>
                <w:rStyle w:val="tooltip"/>
                <w:szCs w:val="24"/>
                <w:lang w:val="en-US"/>
              </w:rPr>
            </w:pPr>
          </w:p>
        </w:tc>
        <w:tc>
          <w:tcPr>
            <w:tcW w:w="4816" w:type="dxa"/>
            <w:vMerge/>
            <w:vAlign w:val="center"/>
          </w:tcPr>
          <w:p w:rsidR="005D77E1" w:rsidRPr="00757A93" w:rsidRDefault="005D77E1" w:rsidP="00E9324B">
            <w:pPr>
              <w:jc w:val="left"/>
              <w:rPr>
                <w:szCs w:val="24"/>
                <w:lang w:val="en-US"/>
              </w:rPr>
            </w:pPr>
          </w:p>
        </w:tc>
        <w:tc>
          <w:tcPr>
            <w:tcW w:w="2794" w:type="dxa"/>
            <w:vAlign w:val="center"/>
          </w:tcPr>
          <w:p w:rsidR="005D77E1" w:rsidRPr="00757A93" w:rsidRDefault="005D77E1" w:rsidP="00E9324B">
            <w:pPr>
              <w:ind w:firstLine="0"/>
              <w:rPr>
                <w:szCs w:val="24"/>
              </w:rPr>
            </w:pPr>
            <w:r w:rsidRPr="00757A93">
              <w:rPr>
                <w:szCs w:val="24"/>
              </w:rPr>
              <w:t>FX_GK_INCOME</w:t>
            </w:r>
          </w:p>
        </w:tc>
      </w:tr>
      <w:tr w:rsidR="005D77E1" w:rsidRPr="00757A93" w:rsidTr="00E9324B">
        <w:tc>
          <w:tcPr>
            <w:tcW w:w="1960" w:type="dxa"/>
            <w:vMerge/>
            <w:vAlign w:val="center"/>
          </w:tcPr>
          <w:p w:rsidR="005D77E1" w:rsidRPr="00757A93" w:rsidRDefault="005D77E1" w:rsidP="00E9324B">
            <w:pPr>
              <w:rPr>
                <w:rStyle w:val="tooltip"/>
                <w:szCs w:val="24"/>
                <w:lang w:val="en-US"/>
              </w:rPr>
            </w:pPr>
          </w:p>
        </w:tc>
        <w:tc>
          <w:tcPr>
            <w:tcW w:w="4816" w:type="dxa"/>
            <w:vMerge/>
            <w:vAlign w:val="center"/>
          </w:tcPr>
          <w:p w:rsidR="005D77E1" w:rsidRPr="00757A93" w:rsidRDefault="005D77E1" w:rsidP="00E9324B">
            <w:pPr>
              <w:jc w:val="left"/>
              <w:rPr>
                <w:szCs w:val="24"/>
                <w:lang w:val="en-US"/>
              </w:rPr>
            </w:pPr>
          </w:p>
        </w:tc>
        <w:tc>
          <w:tcPr>
            <w:tcW w:w="2794" w:type="dxa"/>
            <w:vAlign w:val="center"/>
          </w:tcPr>
          <w:p w:rsidR="005D77E1" w:rsidRPr="00757A93" w:rsidRDefault="005D77E1" w:rsidP="00E9324B">
            <w:pPr>
              <w:ind w:firstLine="0"/>
              <w:rPr>
                <w:szCs w:val="24"/>
                <w:lang w:val="en-US"/>
              </w:rPr>
            </w:pPr>
            <w:r w:rsidRPr="00757A93">
              <w:rPr>
                <w:szCs w:val="24"/>
              </w:rPr>
              <w:t>F_GK_DKZ</w:t>
            </w:r>
          </w:p>
        </w:tc>
      </w:tr>
    </w:tbl>
    <w:p w:rsidR="005D77E1" w:rsidRPr="00206C4C" w:rsidRDefault="005D77E1" w:rsidP="00AB35C4">
      <w:pPr>
        <w:pStyle w:val="35"/>
      </w:pPr>
      <w:bookmarkStart w:id="1259" w:name="_Toc37845335"/>
      <w:bookmarkStart w:id="1260" w:name="_Toc69290142"/>
      <w:bookmarkStart w:id="1261" w:name="_Toc119585107"/>
      <w:r w:rsidRPr="00206C4C">
        <w:t>Отчет «Сведения о ФХД ФОИВ»</w:t>
      </w:r>
      <w:bookmarkEnd w:id="1259"/>
      <w:bookmarkEnd w:id="1260"/>
      <w:r w:rsidR="00AB35C4">
        <w:t xml:space="preserve"> (</w:t>
      </w:r>
      <w:r w:rsidR="00AB35C4" w:rsidRPr="00AB35C4">
        <w:t>PIAO_103_003_mainBookAccreditationReport</w:t>
      </w:r>
      <w:r w:rsidR="00AB35C4">
        <w:t>)</w:t>
      </w:r>
      <w:bookmarkEnd w:id="1261"/>
    </w:p>
    <w:p w:rsidR="005D77E1" w:rsidRPr="00206C4C" w:rsidRDefault="005D77E1" w:rsidP="005D77E1">
      <w:pPr>
        <w:pStyle w:val="af0"/>
        <w:rPr>
          <w:rStyle w:val="af1"/>
        </w:rPr>
      </w:pPr>
      <w:r w:rsidRPr="00206C4C">
        <w:rPr>
          <w:rStyle w:val="af1"/>
        </w:rPr>
        <w:t>Для перехода к отчету «</w:t>
      </w:r>
      <w:r w:rsidRPr="00206C4C">
        <w:rPr>
          <w:szCs w:val="28"/>
        </w:rPr>
        <w:t>Сведения о ФХД ФОИВ</w:t>
      </w:r>
      <w:r w:rsidRPr="00206C4C">
        <w:rPr>
          <w:rStyle w:val="af1"/>
        </w:rPr>
        <w:t>» необходимо перейти к витрине «</w:t>
      </w:r>
      <w:r w:rsidR="000D79D6" w:rsidRPr="000D79D6">
        <w:rPr>
          <w:rStyle w:val="af1"/>
        </w:rPr>
        <w:t>Бюджетный (бухгалтерский) учет</w:t>
      </w:r>
      <w:r w:rsidRPr="00206C4C">
        <w:rPr>
          <w:rStyle w:val="af1"/>
        </w:rPr>
        <w:t>» и кликнуть мышью по плашке с наименование отчета «</w:t>
      </w:r>
      <w:r w:rsidRPr="00206C4C">
        <w:rPr>
          <w:szCs w:val="28"/>
        </w:rPr>
        <w:t>Сведения о ФХД ФОИВ</w:t>
      </w:r>
      <w:r w:rsidRPr="00206C4C">
        <w:rPr>
          <w:rStyle w:val="af1"/>
        </w:rPr>
        <w:t>».</w:t>
      </w:r>
    </w:p>
    <w:p w:rsidR="005D77E1" w:rsidRPr="00206C4C" w:rsidRDefault="005D77E1" w:rsidP="005D77E1">
      <w:pPr>
        <w:pStyle w:val="42"/>
      </w:pPr>
      <w:r w:rsidRPr="00206C4C">
        <w:t>Представление «Основные показатели»</w:t>
      </w:r>
    </w:p>
    <w:p w:rsidR="005D77E1" w:rsidRPr="00206C4C" w:rsidRDefault="005D77E1" w:rsidP="005D77E1">
      <w:pPr>
        <w:pStyle w:val="af0"/>
      </w:pPr>
      <w:r w:rsidRPr="00206C4C">
        <w:t>Представление «Основные показатели» обеспечивает наглядное представление основных показателей деятельности субъектов учета, передавших полномочия по ведению бухгалтерского учета в Федеральное Казначейство, по следующим направлениям (Рисунок</w:t>
      </w:r>
      <w:r w:rsidR="00004D51">
        <w:t xml:space="preserve"> </w:t>
      </w:r>
      <w:r w:rsidR="00004D51">
        <w:fldChar w:fldCharType="begin"/>
      </w:r>
      <w:r w:rsidR="00004D51">
        <w:instrText xml:space="preserve"> REF _Ref70083947 \h </w:instrText>
      </w:r>
      <w:r w:rsidR="00004D51">
        <w:fldChar w:fldCharType="separate"/>
      </w:r>
      <w:r w:rsidR="00BF0BEE">
        <w:rPr>
          <w:noProof/>
        </w:rPr>
        <w:t>316</w:t>
      </w:r>
      <w:r w:rsidR="00004D51">
        <w:fldChar w:fldCharType="end"/>
      </w:r>
      <w:r w:rsidRPr="00206C4C">
        <w:t>):</w:t>
      </w:r>
    </w:p>
    <w:p w:rsidR="005D77E1" w:rsidRPr="00206C4C" w:rsidRDefault="005D77E1" w:rsidP="00DE1661">
      <w:pPr>
        <w:pStyle w:val="13"/>
      </w:pPr>
      <w:r w:rsidRPr="00206C4C">
        <w:t>Число ГРБС и субъектов учета, передавших полномочия по ведению бухгалтерского учета в Федеральное Казначейство, и анализирующихся в ПИАО на текущую дату;</w:t>
      </w:r>
    </w:p>
    <w:p w:rsidR="005D77E1" w:rsidRPr="00206C4C" w:rsidRDefault="005D77E1" w:rsidP="00DE1661">
      <w:pPr>
        <w:pStyle w:val="13"/>
      </w:pPr>
      <w:r w:rsidRPr="00206C4C">
        <w:t>Основные показатели баланса субъектов учета, агрегировано по всем субъектам;</w:t>
      </w:r>
    </w:p>
    <w:p w:rsidR="005D77E1" w:rsidRPr="00206C4C" w:rsidRDefault="005D77E1" w:rsidP="00DE1661">
      <w:pPr>
        <w:pStyle w:val="13"/>
      </w:pPr>
      <w:r w:rsidRPr="00206C4C">
        <w:t>Структура нефинансовых активов субъектов учета, агрегировано;</w:t>
      </w:r>
    </w:p>
    <w:p w:rsidR="005D77E1" w:rsidRPr="00206C4C" w:rsidRDefault="005D77E1" w:rsidP="00DE1661">
      <w:pPr>
        <w:pStyle w:val="13"/>
      </w:pPr>
      <w:r w:rsidRPr="00206C4C">
        <w:t>Структура финансовых активов, в том числе дебиторской задолженности, агрегировано;</w:t>
      </w:r>
    </w:p>
    <w:p w:rsidR="005D77E1" w:rsidRPr="00206C4C" w:rsidRDefault="005D77E1" w:rsidP="00DE1661">
      <w:pPr>
        <w:pStyle w:val="13"/>
      </w:pPr>
      <w:r w:rsidRPr="00206C4C">
        <w:t>Структура обязательств, в том числе кредиторской  задолженности, агрегировано;</w:t>
      </w:r>
    </w:p>
    <w:p w:rsidR="005D77E1" w:rsidRPr="00206C4C" w:rsidRDefault="005D77E1" w:rsidP="00DE1661">
      <w:pPr>
        <w:pStyle w:val="13"/>
      </w:pPr>
      <w:r w:rsidRPr="00206C4C">
        <w:t>Исполнение бюджета по доходам, расходам и источникам, агрегировано.</w:t>
      </w:r>
    </w:p>
    <w:p w:rsidR="00004D51" w:rsidRDefault="00004D51" w:rsidP="00004D51">
      <w:pPr>
        <w:pStyle w:val="afffff7"/>
        <w:keepNext/>
      </w:pPr>
      <w:r>
        <w:rPr>
          <w:noProof/>
          <w:lang w:eastAsia="ru-RU"/>
        </w:rPr>
        <w:drawing>
          <wp:inline distT="0" distB="0" distL="0" distR="0" wp14:anchorId="4B82EE1A" wp14:editId="78F54098">
            <wp:extent cx="5939790" cy="2889280"/>
            <wp:effectExtent l="0" t="0" r="3810" b="6350"/>
            <wp:docPr id="5879" name="Рисунок 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7"/>
                    <a:stretch>
                      <a:fillRect/>
                    </a:stretch>
                  </pic:blipFill>
                  <pic:spPr>
                    <a:xfrm>
                      <a:off x="0" y="0"/>
                      <a:ext cx="5939790" cy="2889280"/>
                    </a:xfrm>
                    <a:prstGeom prst="rect">
                      <a:avLst/>
                    </a:prstGeom>
                  </pic:spPr>
                </pic:pic>
              </a:graphicData>
            </a:graphic>
          </wp:inline>
        </w:drawing>
      </w:r>
    </w:p>
    <w:p w:rsidR="005D77E1" w:rsidRPr="00206C4C" w:rsidRDefault="00004D51" w:rsidP="00004D51">
      <w:pPr>
        <w:pStyle w:val="-0"/>
      </w:pPr>
      <w:bookmarkStart w:id="1262" w:name="_Toc119584503"/>
      <w:r w:rsidRPr="00206C4C">
        <w:rPr>
          <w:szCs w:val="28"/>
        </w:rPr>
        <w:t xml:space="preserve">Рисунок </w:t>
      </w:r>
      <w:fldSimple w:instr=" SEQ Рисунок \* ARABIC ">
        <w:bookmarkStart w:id="1263" w:name="_Ref70083947"/>
        <w:r w:rsidR="001860A9">
          <w:rPr>
            <w:noProof/>
          </w:rPr>
          <w:t>316</w:t>
        </w:r>
        <w:bookmarkEnd w:id="1263"/>
      </w:fldSimple>
      <w:r w:rsidRPr="00206C4C">
        <w:rPr>
          <w:szCs w:val="28"/>
        </w:rPr>
        <w:t xml:space="preserve"> – </w:t>
      </w:r>
      <w:r w:rsidRPr="00206C4C">
        <w:t>Макет отчета «Сведения о ФХД ФОИВ». Представление «Основные показатели»</w:t>
      </w:r>
      <w:bookmarkEnd w:id="1262"/>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Преднастроенные таблицы на основе данных по «Главная книга» (F_GK_DATA);</w:t>
      </w:r>
    </w:p>
    <w:p w:rsidR="005D77E1" w:rsidRPr="00206C4C" w:rsidRDefault="005D77E1" w:rsidP="00DE1661">
      <w:pPr>
        <w:pStyle w:val="13"/>
      </w:pPr>
      <w:r w:rsidRPr="00206C4C">
        <w:t>Преднастроенные таблицы на основе данных по «Нефинансовым активам» (F_</w:t>
      </w:r>
      <w:r w:rsidRPr="00206C4C">
        <w:rPr>
          <w:lang w:val="en-US"/>
        </w:rPr>
        <w:t>GK</w:t>
      </w:r>
      <w:r w:rsidRPr="00206C4C">
        <w:t>_</w:t>
      </w:r>
      <w:r w:rsidRPr="00206C4C">
        <w:rPr>
          <w:lang w:val="en-US"/>
        </w:rPr>
        <w:t>OS</w:t>
      </w:r>
      <w:r w:rsidRPr="00206C4C">
        <w:t>);</w:t>
      </w:r>
    </w:p>
    <w:p w:rsidR="005D77E1" w:rsidRPr="00206C4C" w:rsidRDefault="005D77E1" w:rsidP="00DE1661">
      <w:pPr>
        <w:pStyle w:val="13"/>
      </w:pPr>
      <w:r w:rsidRPr="00206C4C">
        <w:t>Преднастроенные таблицы на основе данных по «Дебиторская задолженность» (F_</w:t>
      </w:r>
      <w:r w:rsidRPr="00206C4C">
        <w:rPr>
          <w:lang w:val="en-US"/>
        </w:rPr>
        <w:t>GK</w:t>
      </w:r>
      <w:r w:rsidRPr="00206C4C">
        <w:t>_</w:t>
      </w:r>
      <w:r w:rsidRPr="00206C4C">
        <w:rPr>
          <w:lang w:val="en-US"/>
        </w:rPr>
        <w:t>DKZ</w:t>
      </w:r>
      <w:r w:rsidRPr="00206C4C">
        <w:t>).</w:t>
      </w:r>
    </w:p>
    <w:p w:rsidR="005D77E1" w:rsidRPr="00206C4C" w:rsidRDefault="005D77E1" w:rsidP="005D77E1">
      <w:pPr>
        <w:pStyle w:val="af0"/>
      </w:pPr>
      <w:r w:rsidRPr="00206C4C">
        <w:t>Параметры представления:</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 xml:space="preserve">Иерархический фильтр по основным строкам баланса. </w:t>
      </w:r>
    </w:p>
    <w:p w:rsidR="005D77E1" w:rsidRPr="00206C4C" w:rsidRDefault="005D77E1" w:rsidP="005D77E1">
      <w:pPr>
        <w:pStyle w:val="af0"/>
      </w:pPr>
      <w:r w:rsidRPr="00206C4C">
        <w:t>Из представления обеспечены переходы в следующие виды детализации:</w:t>
      </w:r>
    </w:p>
    <w:p w:rsidR="005D77E1" w:rsidRPr="00206C4C" w:rsidRDefault="005D77E1" w:rsidP="00DE1661">
      <w:pPr>
        <w:pStyle w:val="13"/>
      </w:pPr>
      <w:r w:rsidRPr="00206C4C">
        <w:t>Баланс</w:t>
      </w:r>
    </w:p>
    <w:p w:rsidR="005D77E1" w:rsidRPr="00206C4C" w:rsidRDefault="005D77E1" w:rsidP="00DE1661">
      <w:pPr>
        <w:pStyle w:val="13"/>
      </w:pPr>
      <w:r w:rsidRPr="00206C4C">
        <w:t>Информация по нефинансовым активам;</w:t>
      </w:r>
    </w:p>
    <w:p w:rsidR="005D77E1" w:rsidRPr="00206C4C" w:rsidRDefault="005D77E1" w:rsidP="00DE1661">
      <w:pPr>
        <w:pStyle w:val="13"/>
      </w:pPr>
      <w:r w:rsidRPr="00206C4C">
        <w:t>Информация по дебиторской задолженности;</w:t>
      </w:r>
    </w:p>
    <w:p w:rsidR="005D77E1" w:rsidRPr="00206C4C" w:rsidRDefault="005D77E1" w:rsidP="00DE1661">
      <w:pPr>
        <w:pStyle w:val="13"/>
      </w:pPr>
      <w:r w:rsidRPr="00206C4C">
        <w:t>Информация по кредиторской задолженности;</w:t>
      </w:r>
    </w:p>
    <w:p w:rsidR="005D77E1" w:rsidRPr="00206C4C" w:rsidRDefault="005D77E1" w:rsidP="00DE1661">
      <w:pPr>
        <w:pStyle w:val="13"/>
      </w:pPr>
      <w:r w:rsidRPr="00206C4C">
        <w:t>Информация по исполнению бюджета по доходам</w:t>
      </w:r>
    </w:p>
    <w:p w:rsidR="005D77E1" w:rsidRPr="00206C4C" w:rsidRDefault="005D77E1" w:rsidP="00DE1661">
      <w:pPr>
        <w:pStyle w:val="13"/>
      </w:pPr>
      <w:r w:rsidRPr="00206C4C">
        <w:t>Информация по исполнению бюджета по расходам;</w:t>
      </w:r>
    </w:p>
    <w:p w:rsidR="005D77E1" w:rsidRPr="00206C4C" w:rsidRDefault="005D77E1" w:rsidP="00DE1661">
      <w:pPr>
        <w:pStyle w:val="13"/>
      </w:pPr>
      <w:r w:rsidRPr="00206C4C">
        <w:t>Информация по исполнению бюджета по источникам.</w:t>
      </w:r>
    </w:p>
    <w:p w:rsidR="005D77E1" w:rsidRPr="00206C4C" w:rsidRDefault="005D77E1" w:rsidP="005D77E1">
      <w:pPr>
        <w:pStyle w:val="42"/>
      </w:pPr>
      <w:r w:rsidRPr="00206C4C">
        <w:t>Представление «Баланс»</w:t>
      </w:r>
    </w:p>
    <w:p w:rsidR="005D77E1" w:rsidRPr="00206C4C" w:rsidRDefault="005D77E1" w:rsidP="005D77E1">
      <w:pPr>
        <w:pStyle w:val="af0"/>
      </w:pPr>
      <w:r w:rsidRPr="00206C4C">
        <w:t xml:space="preserve">Представление «Баланс» обеспечивает создание оперативного баланса субъектов учета (в том числе агрегировано по всем переданным субъектам учета) с учетом действующей нормативной документации, регламентирующей составление бюджетной отчетности (Рисунок </w:t>
      </w:r>
      <w:r w:rsidR="00004D51">
        <w:fldChar w:fldCharType="begin"/>
      </w:r>
      <w:r w:rsidR="00004D51">
        <w:instrText xml:space="preserve"> REF _Ref70084023 \h </w:instrText>
      </w:r>
      <w:r w:rsidR="00004D51">
        <w:fldChar w:fldCharType="separate"/>
      </w:r>
      <w:r w:rsidR="00BF0BEE">
        <w:rPr>
          <w:noProof/>
        </w:rPr>
        <w:t>317</w:t>
      </w:r>
      <w:r w:rsidR="00004D51">
        <w:fldChar w:fldCharType="end"/>
      </w:r>
      <w:r w:rsidRPr="00206C4C">
        <w:t>), в том числе:</w:t>
      </w:r>
    </w:p>
    <w:p w:rsidR="005D77E1" w:rsidRPr="00206C4C" w:rsidRDefault="005D77E1" w:rsidP="00DE1661">
      <w:pPr>
        <w:pStyle w:val="13"/>
      </w:pPr>
      <w:r w:rsidRPr="00206C4C">
        <w:t>Приказ Минфина РФ от 28 декабря 2010 г.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004D51" w:rsidRDefault="00004D51" w:rsidP="00004D51">
      <w:pPr>
        <w:pStyle w:val="afffff7"/>
        <w:keepNext/>
      </w:pPr>
      <w:r>
        <w:rPr>
          <w:noProof/>
          <w:lang w:eastAsia="ru-RU"/>
        </w:rPr>
        <w:drawing>
          <wp:inline distT="0" distB="0" distL="0" distR="0" wp14:anchorId="73BC0FA9" wp14:editId="10B1BDC2">
            <wp:extent cx="5939790" cy="2895410"/>
            <wp:effectExtent l="0" t="0" r="3810" b="635"/>
            <wp:docPr id="5880" name="Рисунок 5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stretch>
                      <a:fillRect/>
                    </a:stretch>
                  </pic:blipFill>
                  <pic:spPr>
                    <a:xfrm>
                      <a:off x="0" y="0"/>
                      <a:ext cx="5939790" cy="2895410"/>
                    </a:xfrm>
                    <a:prstGeom prst="rect">
                      <a:avLst/>
                    </a:prstGeom>
                  </pic:spPr>
                </pic:pic>
              </a:graphicData>
            </a:graphic>
          </wp:inline>
        </w:drawing>
      </w:r>
    </w:p>
    <w:p w:rsidR="005D77E1" w:rsidRPr="00206C4C" w:rsidRDefault="00004D51" w:rsidP="00004D51">
      <w:pPr>
        <w:pStyle w:val="-0"/>
      </w:pPr>
      <w:bookmarkStart w:id="1264" w:name="_Toc119584504"/>
      <w:r w:rsidRPr="00206C4C">
        <w:t xml:space="preserve">Рисунок </w:t>
      </w:r>
      <w:fldSimple w:instr=" SEQ Рисунок \* ARABIC ">
        <w:bookmarkStart w:id="1265" w:name="_Ref70084023"/>
        <w:r w:rsidR="001860A9">
          <w:rPr>
            <w:noProof/>
          </w:rPr>
          <w:t>317</w:t>
        </w:r>
        <w:bookmarkEnd w:id="1265"/>
      </w:fldSimple>
      <w:r w:rsidRPr="00206C4C">
        <w:t xml:space="preserve"> – Макет отчета «Сведения о ФХД ФОИВ». Представление «Баланс»</w:t>
      </w:r>
      <w:bookmarkEnd w:id="1264"/>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регистра «Главная книга» (F_GK_DATA);</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 xml:space="preserve">Иерархический фильтр по основным строкам баланса. </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учреждениям. Переход с колонки «Показатель», как показано на рисунке</w:t>
      </w:r>
      <w:r w:rsidR="00004D51">
        <w:t xml:space="preserve"> </w:t>
      </w:r>
      <w:r w:rsidR="00004D51">
        <w:fldChar w:fldCharType="begin"/>
      </w:r>
      <w:r w:rsidR="00004D51">
        <w:instrText xml:space="preserve"> REF _Ref70084100 \h </w:instrText>
      </w:r>
      <w:r w:rsidR="00004D51">
        <w:fldChar w:fldCharType="separate"/>
      </w:r>
      <w:r w:rsidR="00BF0BEE">
        <w:rPr>
          <w:noProof/>
        </w:rPr>
        <w:t>318</w:t>
      </w:r>
      <w:r w:rsidR="00004D51">
        <w:fldChar w:fldCharType="end"/>
      </w:r>
      <w:r w:rsidRPr="00206C4C">
        <w:t>;</w:t>
      </w:r>
    </w:p>
    <w:p w:rsidR="00004D51" w:rsidRDefault="00004D51" w:rsidP="00004D51">
      <w:pPr>
        <w:pStyle w:val="afffff7"/>
        <w:keepNext/>
      </w:pPr>
      <w:r>
        <w:rPr>
          <w:noProof/>
          <w:lang w:eastAsia="ru-RU"/>
        </w:rPr>
        <w:drawing>
          <wp:inline distT="0" distB="0" distL="0" distR="0" wp14:anchorId="0DC97C98" wp14:editId="05BD80C7">
            <wp:extent cx="5939790" cy="2895410"/>
            <wp:effectExtent l="0" t="0" r="3810" b="635"/>
            <wp:docPr id="5881" name="Рисунок 5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9"/>
                    <a:stretch>
                      <a:fillRect/>
                    </a:stretch>
                  </pic:blipFill>
                  <pic:spPr>
                    <a:xfrm>
                      <a:off x="0" y="0"/>
                      <a:ext cx="5939790" cy="2895410"/>
                    </a:xfrm>
                    <a:prstGeom prst="rect">
                      <a:avLst/>
                    </a:prstGeom>
                  </pic:spPr>
                </pic:pic>
              </a:graphicData>
            </a:graphic>
          </wp:inline>
        </w:drawing>
      </w:r>
    </w:p>
    <w:p w:rsidR="005D77E1" w:rsidRPr="00206C4C" w:rsidRDefault="00004D51" w:rsidP="00004D51">
      <w:pPr>
        <w:pStyle w:val="-0"/>
      </w:pPr>
      <w:bookmarkStart w:id="1266" w:name="_Toc119584505"/>
      <w:r>
        <w:t xml:space="preserve">Рисунок </w:t>
      </w:r>
      <w:fldSimple w:instr=" SEQ Рисунок \* ARABIC ">
        <w:bookmarkStart w:id="1267" w:name="_Ref70084100"/>
        <w:r w:rsidR="001860A9">
          <w:rPr>
            <w:noProof/>
          </w:rPr>
          <w:t>318</w:t>
        </w:r>
        <w:bookmarkEnd w:id="1267"/>
      </w:fldSimple>
      <w:r>
        <w:t xml:space="preserve"> –</w:t>
      </w:r>
      <w:r w:rsidRPr="00004D51">
        <w:t xml:space="preserve"> </w:t>
      </w:r>
      <w:r w:rsidRPr="00206C4C">
        <w:t>Отчет «Сведения о ФХД ФОИВ». Представление «Баланс». Переход в детализацию по учреждениям и КБК.</w:t>
      </w:r>
      <w:bookmarkEnd w:id="1266"/>
    </w:p>
    <w:p w:rsidR="005D77E1" w:rsidRPr="00206C4C" w:rsidRDefault="005D77E1" w:rsidP="00DE1661">
      <w:pPr>
        <w:pStyle w:val="13"/>
      </w:pPr>
      <w:r w:rsidRPr="00206C4C">
        <w:t xml:space="preserve">Детализация по КБК. Переход с колонки «Показатель», как показано на рисунке </w:t>
      </w:r>
      <w:r w:rsidR="00152349">
        <w:fldChar w:fldCharType="begin"/>
      </w:r>
      <w:r w:rsidR="00152349">
        <w:instrText xml:space="preserve"> REF _Ref70084100 \h </w:instrText>
      </w:r>
      <w:r w:rsidR="00152349">
        <w:fldChar w:fldCharType="separate"/>
      </w:r>
      <w:r w:rsidR="00BF0BEE">
        <w:rPr>
          <w:noProof/>
        </w:rPr>
        <w:t>318</w:t>
      </w:r>
      <w:r w:rsidR="00152349">
        <w:fldChar w:fldCharType="end"/>
      </w:r>
      <w:r w:rsidRPr="00206C4C">
        <w:t>.</w:t>
      </w:r>
    </w:p>
    <w:p w:rsidR="005D77E1" w:rsidRPr="00206C4C" w:rsidRDefault="005D77E1" w:rsidP="005D77E1">
      <w:pPr>
        <w:pStyle w:val="42"/>
      </w:pPr>
      <w:r w:rsidRPr="00206C4C">
        <w:t>Представление «Нефинансовые активы»</w:t>
      </w:r>
    </w:p>
    <w:p w:rsidR="005D77E1" w:rsidRPr="00206C4C" w:rsidRDefault="005D77E1" w:rsidP="005D77E1">
      <w:pPr>
        <w:pStyle w:val="af0"/>
      </w:pPr>
      <w:r w:rsidRPr="00206C4C">
        <w:t xml:space="preserve">Представление «Нефинансовые активы - Инфографика» представлено на рисунке </w:t>
      </w:r>
      <w:r w:rsidR="008F1BEB">
        <w:fldChar w:fldCharType="begin"/>
      </w:r>
      <w:r w:rsidR="008F1BEB">
        <w:instrText xml:space="preserve"> REF _Ref70085307 \h </w:instrText>
      </w:r>
      <w:r w:rsidR="008F1BEB">
        <w:fldChar w:fldCharType="separate"/>
      </w:r>
      <w:r w:rsidR="00BF0BEE">
        <w:rPr>
          <w:noProof/>
        </w:rPr>
        <w:t>319</w:t>
      </w:r>
      <w:r w:rsidR="008F1BEB">
        <w:fldChar w:fldCharType="end"/>
      </w:r>
      <w:r w:rsidRPr="00206C4C">
        <w:t xml:space="preserve"> и обеспечивает визуальное представление в виде инфографики следующей информации:</w:t>
      </w:r>
    </w:p>
    <w:p w:rsidR="005D77E1" w:rsidRPr="00206C4C" w:rsidRDefault="005D77E1" w:rsidP="00DE1661">
      <w:pPr>
        <w:pStyle w:val="13"/>
      </w:pPr>
      <w:r w:rsidRPr="00206C4C">
        <w:t>Структура и состав нефинансовых активов субъектов учета (балансодержателей) в разрезе категорий имущества;</w:t>
      </w:r>
    </w:p>
    <w:p w:rsidR="005D77E1" w:rsidRPr="00206C4C" w:rsidRDefault="005D77E1" w:rsidP="00DE1661">
      <w:pPr>
        <w:pStyle w:val="13"/>
      </w:pPr>
      <w:r w:rsidRPr="00206C4C">
        <w:t>Структура каждой выбранной категории имущества в разрезе ГРБС.</w:t>
      </w:r>
    </w:p>
    <w:p w:rsidR="00152349" w:rsidRDefault="00152349" w:rsidP="00152349">
      <w:pPr>
        <w:pStyle w:val="afffff7"/>
        <w:keepNext/>
      </w:pPr>
      <w:r>
        <w:rPr>
          <w:noProof/>
          <w:lang w:eastAsia="ru-RU"/>
        </w:rPr>
        <w:drawing>
          <wp:inline distT="0" distB="0" distL="0" distR="0" wp14:anchorId="5202168D" wp14:editId="35280B45">
            <wp:extent cx="5939790" cy="2898475"/>
            <wp:effectExtent l="0" t="0" r="3810" b="0"/>
            <wp:docPr id="5882" name="Рисунок 5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0"/>
                    <a:stretch>
                      <a:fillRect/>
                    </a:stretch>
                  </pic:blipFill>
                  <pic:spPr>
                    <a:xfrm>
                      <a:off x="0" y="0"/>
                      <a:ext cx="5939790" cy="2898475"/>
                    </a:xfrm>
                    <a:prstGeom prst="rect">
                      <a:avLst/>
                    </a:prstGeom>
                  </pic:spPr>
                </pic:pic>
              </a:graphicData>
            </a:graphic>
          </wp:inline>
        </w:drawing>
      </w:r>
    </w:p>
    <w:p w:rsidR="005D77E1" w:rsidRPr="00206C4C" w:rsidRDefault="00152349" w:rsidP="00152349">
      <w:pPr>
        <w:pStyle w:val="-0"/>
      </w:pPr>
      <w:bookmarkStart w:id="1268" w:name="_Toc119584506"/>
      <w:r w:rsidRPr="00206C4C">
        <w:t xml:space="preserve">Рисунок </w:t>
      </w:r>
      <w:fldSimple w:instr=" SEQ Рисунок \* ARABIC ">
        <w:bookmarkStart w:id="1269" w:name="_Ref70085307"/>
        <w:r w:rsidR="001860A9">
          <w:rPr>
            <w:noProof/>
          </w:rPr>
          <w:t>319</w:t>
        </w:r>
        <w:bookmarkEnd w:id="1269"/>
      </w:fldSimple>
      <w:r w:rsidRPr="00206C4C">
        <w:t xml:space="preserve"> – Макет отчета «Сведения о ФХД ФОИВ». Представление «Нефинансовые активы - Инфографика»</w:t>
      </w:r>
      <w:bookmarkEnd w:id="1268"/>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Суммы. Плоский список, состоящий из элементов: балансовая стоимость, остаточная стоимость.</w:t>
      </w:r>
    </w:p>
    <w:p w:rsidR="005D77E1" w:rsidRPr="00206C4C" w:rsidRDefault="005D77E1" w:rsidP="005D77E1">
      <w:pPr>
        <w:pStyle w:val="af0"/>
      </w:pPr>
      <w:r w:rsidRPr="00206C4C">
        <w:t>Из отчета должны быть обеспечены переходы в следующие виды детализации:</w:t>
      </w:r>
    </w:p>
    <w:p w:rsidR="005D77E1" w:rsidRPr="00206C4C" w:rsidRDefault="005D77E1" w:rsidP="00DE1661">
      <w:pPr>
        <w:pStyle w:val="13"/>
      </w:pPr>
      <w:r w:rsidRPr="00206C4C">
        <w:t>Детализация по самым дорогим нефинансовым активам (Рисунок</w:t>
      </w:r>
      <w:r w:rsidR="00AE0C81">
        <w:t xml:space="preserve"> </w:t>
      </w:r>
      <w:r w:rsidR="00AE0C81">
        <w:fldChar w:fldCharType="begin"/>
      </w:r>
      <w:r w:rsidR="00AE0C81">
        <w:instrText xml:space="preserve"> REF _Ref70085611 \h </w:instrText>
      </w:r>
      <w:r w:rsidR="00AE0C81">
        <w:fldChar w:fldCharType="separate"/>
      </w:r>
      <w:r w:rsidR="00BF0BEE">
        <w:rPr>
          <w:noProof/>
        </w:rPr>
        <w:t>320</w:t>
      </w:r>
      <w:r w:rsidR="00AE0C81">
        <w:fldChar w:fldCharType="end"/>
      </w:r>
      <w:r w:rsidRPr="00206C4C">
        <w:t>);</w:t>
      </w:r>
    </w:p>
    <w:p w:rsidR="00152349" w:rsidRDefault="00152349" w:rsidP="00152349">
      <w:pPr>
        <w:pStyle w:val="afffff7"/>
        <w:keepNext/>
      </w:pPr>
      <w:r>
        <w:rPr>
          <w:noProof/>
          <w:lang w:eastAsia="ru-RU"/>
        </w:rPr>
        <w:drawing>
          <wp:inline distT="0" distB="0" distL="0" distR="0" wp14:anchorId="5C452D0F" wp14:editId="64DE6DDE">
            <wp:extent cx="5939790" cy="2887440"/>
            <wp:effectExtent l="0" t="0" r="3810" b="8255"/>
            <wp:docPr id="5883" name="Рисунок 5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1"/>
                    <a:stretch>
                      <a:fillRect/>
                    </a:stretch>
                  </pic:blipFill>
                  <pic:spPr>
                    <a:xfrm>
                      <a:off x="0" y="0"/>
                      <a:ext cx="5939790" cy="2887440"/>
                    </a:xfrm>
                    <a:prstGeom prst="rect">
                      <a:avLst/>
                    </a:prstGeom>
                  </pic:spPr>
                </pic:pic>
              </a:graphicData>
            </a:graphic>
          </wp:inline>
        </w:drawing>
      </w:r>
    </w:p>
    <w:p w:rsidR="005D77E1" w:rsidRPr="00206C4C" w:rsidRDefault="00152349" w:rsidP="00152349">
      <w:pPr>
        <w:pStyle w:val="-0"/>
      </w:pPr>
      <w:bookmarkStart w:id="1270" w:name="_Toc119584507"/>
      <w:r w:rsidRPr="00206C4C">
        <w:t xml:space="preserve">Рисунок </w:t>
      </w:r>
      <w:fldSimple w:instr=" SEQ Рисунок \* ARABIC ">
        <w:bookmarkStart w:id="1271" w:name="_Ref70085611"/>
        <w:r w:rsidR="001860A9">
          <w:rPr>
            <w:noProof/>
          </w:rPr>
          <w:t>320</w:t>
        </w:r>
        <w:bookmarkEnd w:id="1271"/>
      </w:fldSimple>
      <w:r w:rsidRPr="00206C4C">
        <w:t xml:space="preserve"> – Отчет «Сведения о ФХД ФОИВ». Представление «Нефинансовые активы» -  «Инфографика». Переход к детализации по самым дорогим нефинансовыми активам</w:t>
      </w:r>
      <w:bookmarkEnd w:id="1270"/>
    </w:p>
    <w:p w:rsidR="005D77E1" w:rsidRPr="00206C4C" w:rsidRDefault="005D77E1" w:rsidP="00DE1661">
      <w:pPr>
        <w:pStyle w:val="13"/>
      </w:pPr>
      <w:r w:rsidRPr="00206C4C">
        <w:t>Детализация по списку (Рисунок</w:t>
      </w:r>
      <w:r w:rsidR="00AE0C81">
        <w:t xml:space="preserve"> </w:t>
      </w:r>
      <w:r w:rsidR="00AE0C81">
        <w:fldChar w:fldCharType="begin"/>
      </w:r>
      <w:r w:rsidR="00AE0C81">
        <w:instrText xml:space="preserve"> REF _Ref70085612 \h </w:instrText>
      </w:r>
      <w:r w:rsidR="00AE0C81">
        <w:fldChar w:fldCharType="separate"/>
      </w:r>
      <w:r w:rsidR="00BF0BEE">
        <w:rPr>
          <w:noProof/>
        </w:rPr>
        <w:t>321</w:t>
      </w:r>
      <w:r w:rsidR="00AE0C81">
        <w:fldChar w:fldCharType="end"/>
      </w:r>
      <w:r w:rsidRPr="00206C4C">
        <w:t>).</w:t>
      </w:r>
    </w:p>
    <w:p w:rsidR="00152349" w:rsidRDefault="00152349" w:rsidP="00152349">
      <w:pPr>
        <w:pStyle w:val="afffff7"/>
        <w:keepNext/>
      </w:pPr>
      <w:r>
        <w:rPr>
          <w:noProof/>
          <w:lang w:eastAsia="ru-RU"/>
        </w:rPr>
        <w:drawing>
          <wp:inline distT="0" distB="0" distL="0" distR="0" wp14:anchorId="4429BA2F" wp14:editId="0FD8836E">
            <wp:extent cx="5939790" cy="2906445"/>
            <wp:effectExtent l="0" t="0" r="3810" b="8255"/>
            <wp:docPr id="5884" name="Рисунок 5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2"/>
                    <a:stretch>
                      <a:fillRect/>
                    </a:stretch>
                  </pic:blipFill>
                  <pic:spPr>
                    <a:xfrm>
                      <a:off x="0" y="0"/>
                      <a:ext cx="5939790" cy="2906445"/>
                    </a:xfrm>
                    <a:prstGeom prst="rect">
                      <a:avLst/>
                    </a:prstGeom>
                  </pic:spPr>
                </pic:pic>
              </a:graphicData>
            </a:graphic>
          </wp:inline>
        </w:drawing>
      </w:r>
    </w:p>
    <w:p w:rsidR="005D77E1" w:rsidRPr="00206C4C" w:rsidRDefault="00152349" w:rsidP="00152349">
      <w:pPr>
        <w:pStyle w:val="afff8"/>
        <w:jc w:val="center"/>
      </w:pPr>
      <w:bookmarkStart w:id="1272" w:name="_Toc119584508"/>
      <w:r w:rsidRPr="00206C4C">
        <w:t xml:space="preserve">Рисунок </w:t>
      </w:r>
      <w:fldSimple w:instr=" SEQ Рисунок \* ARABIC ">
        <w:bookmarkStart w:id="1273" w:name="_Ref70085612"/>
        <w:r w:rsidR="001860A9">
          <w:rPr>
            <w:noProof/>
          </w:rPr>
          <w:t>321</w:t>
        </w:r>
        <w:bookmarkEnd w:id="1273"/>
      </w:fldSimple>
      <w:r w:rsidRPr="00206C4C">
        <w:t xml:space="preserve"> – Отчет «Сведения о ФХД ФОИВ». Представление «Нефинансовые активы» - «Инфографика». Переход к детализации по списку объектов</w:t>
      </w:r>
      <w:bookmarkEnd w:id="1272"/>
    </w:p>
    <w:p w:rsidR="005D77E1" w:rsidRPr="00206C4C" w:rsidRDefault="005D77E1" w:rsidP="005D77E1">
      <w:pPr>
        <w:pStyle w:val="42"/>
      </w:pPr>
      <w:r w:rsidRPr="00206C4C">
        <w:t>Представление «Нефинансовые активы» - «Структура НФА» - «Таблица» - «По категориям»</w:t>
      </w:r>
    </w:p>
    <w:p w:rsidR="005D77E1" w:rsidRPr="00206C4C" w:rsidRDefault="005D77E1" w:rsidP="005D77E1">
      <w:pPr>
        <w:pStyle w:val="af0"/>
      </w:pPr>
      <w:r w:rsidRPr="00206C4C">
        <w:t xml:space="preserve">Представление «Нефинансовые активы – Структура НФА – Таблица – По категориям» представление на рисунке </w:t>
      </w:r>
      <w:r w:rsidR="00B06CAB">
        <w:fldChar w:fldCharType="begin"/>
      </w:r>
      <w:r w:rsidR="00B06CAB">
        <w:instrText xml:space="preserve"> REF _Ref70084459 \h </w:instrText>
      </w:r>
      <w:r w:rsidR="00B06CAB">
        <w:fldChar w:fldCharType="separate"/>
      </w:r>
      <w:r w:rsidR="00BF0BEE">
        <w:rPr>
          <w:noProof/>
        </w:rPr>
        <w:t>322</w:t>
      </w:r>
      <w:r w:rsidR="00B06CAB">
        <w:fldChar w:fldCharType="end"/>
      </w:r>
      <w:r w:rsidRPr="00206C4C">
        <w:t xml:space="preserve"> и обеспечивает аналитику по структуре нефинансовых активов в разрезе категорий, с отображением следующих показателей:</w:t>
      </w:r>
    </w:p>
    <w:p w:rsidR="005D77E1" w:rsidRPr="00206C4C" w:rsidRDefault="005D77E1" w:rsidP="00DE1661">
      <w:pPr>
        <w:pStyle w:val="13"/>
      </w:pPr>
      <w:r w:rsidRPr="00206C4C">
        <w:t xml:space="preserve"> Категория (ГРБС/ Субъект учета);</w:t>
      </w:r>
    </w:p>
    <w:p w:rsidR="005D77E1" w:rsidRPr="00206C4C" w:rsidRDefault="005D77E1" w:rsidP="00DE1661">
      <w:pPr>
        <w:pStyle w:val="13"/>
      </w:pPr>
      <w:r w:rsidRPr="00206C4C">
        <w:t>Доля категории в балансовой (остаточной) стоимости имущества;</w:t>
      </w:r>
    </w:p>
    <w:p w:rsidR="005D77E1" w:rsidRPr="00206C4C" w:rsidRDefault="005D77E1" w:rsidP="00DE1661">
      <w:pPr>
        <w:pStyle w:val="13"/>
      </w:pPr>
      <w:r w:rsidRPr="00206C4C">
        <w:t>Балансовая стоимость имущества;</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Количество объектов;</w:t>
      </w:r>
    </w:p>
    <w:p w:rsidR="005D77E1" w:rsidRPr="00206C4C" w:rsidRDefault="005D77E1" w:rsidP="00DE1661">
      <w:pPr>
        <w:pStyle w:val="13"/>
      </w:pPr>
      <w:r w:rsidRPr="00206C4C">
        <w:t>Средний процент износа.</w:t>
      </w:r>
    </w:p>
    <w:p w:rsidR="00B06CAB" w:rsidRDefault="00B06CAB" w:rsidP="00B06CAB">
      <w:pPr>
        <w:pStyle w:val="afffff7"/>
        <w:keepNext/>
      </w:pPr>
      <w:r>
        <w:rPr>
          <w:noProof/>
          <w:lang w:eastAsia="ru-RU"/>
        </w:rPr>
        <w:drawing>
          <wp:inline distT="0" distB="0" distL="0" distR="0" wp14:anchorId="0036CB16" wp14:editId="5119C057">
            <wp:extent cx="5939790" cy="2886214"/>
            <wp:effectExtent l="0" t="0" r="3810" b="9525"/>
            <wp:docPr id="5885" name="Рисунок 5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3"/>
                    <a:stretch>
                      <a:fillRect/>
                    </a:stretch>
                  </pic:blipFill>
                  <pic:spPr>
                    <a:xfrm>
                      <a:off x="0" y="0"/>
                      <a:ext cx="5939790" cy="2886214"/>
                    </a:xfrm>
                    <a:prstGeom prst="rect">
                      <a:avLst/>
                    </a:prstGeom>
                  </pic:spPr>
                </pic:pic>
              </a:graphicData>
            </a:graphic>
          </wp:inline>
        </w:drawing>
      </w:r>
    </w:p>
    <w:p w:rsidR="005D77E1" w:rsidRPr="00206C4C" w:rsidRDefault="00B06CAB" w:rsidP="00B06CAB">
      <w:pPr>
        <w:pStyle w:val="-0"/>
      </w:pPr>
      <w:bookmarkStart w:id="1274" w:name="_Toc119584509"/>
      <w:r w:rsidRPr="00206C4C">
        <w:t xml:space="preserve">Рисунок </w:t>
      </w:r>
      <w:fldSimple w:instr=" SEQ Рисунок \* ARABIC ">
        <w:bookmarkStart w:id="1275" w:name="_Ref70084459"/>
        <w:r w:rsidR="001860A9">
          <w:rPr>
            <w:noProof/>
          </w:rPr>
          <w:t>322</w:t>
        </w:r>
        <w:bookmarkEnd w:id="1275"/>
      </w:fldSimple>
      <w:r w:rsidRPr="00206C4C">
        <w:t xml:space="preserve"> – Макет отчета «Сведения о ФХД ФОИВ». Представление «Нефинансовые активы» – «Структура НФА» – «Таблица» –« По категориям»</w:t>
      </w:r>
      <w:bookmarkEnd w:id="1274"/>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Категория. Плоский список со множественным выбором с категориями нефинансовых активов;</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Суммы. Плоский список, состоящий из элементов: балансовая стоимость, остаточная стоимость. В данном отчете используется для изменения базовой суммы, от которой рассчитывается доля в стоимости имущества.</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списку объектов.</w:t>
      </w:r>
    </w:p>
    <w:p w:rsidR="005D77E1" w:rsidRPr="00206C4C" w:rsidRDefault="005D77E1" w:rsidP="005D77E1">
      <w:pPr>
        <w:pStyle w:val="42"/>
      </w:pPr>
      <w:r w:rsidRPr="00206C4C">
        <w:t>Представление «Нефинансовые активы» - «Структура НФА» - «Таблица» - «По счетам»</w:t>
      </w:r>
    </w:p>
    <w:p w:rsidR="005D77E1" w:rsidRPr="00206C4C" w:rsidRDefault="005D77E1" w:rsidP="005D77E1">
      <w:pPr>
        <w:pStyle w:val="af0"/>
      </w:pPr>
      <w:r w:rsidRPr="00206C4C">
        <w:t xml:space="preserve">Представление «Нефинансовые активы – Структура НФА – Таблица – По счетам» представлено на рисунке </w:t>
      </w:r>
      <w:r w:rsidR="00852FAC">
        <w:fldChar w:fldCharType="begin"/>
      </w:r>
      <w:r w:rsidR="00852FAC">
        <w:instrText xml:space="preserve"> REF _Ref70086016 \h </w:instrText>
      </w:r>
      <w:r w:rsidR="00852FAC">
        <w:fldChar w:fldCharType="separate"/>
      </w:r>
      <w:r w:rsidR="00BF0BEE">
        <w:rPr>
          <w:noProof/>
        </w:rPr>
        <w:t>323</w:t>
      </w:r>
      <w:r w:rsidR="00852FAC">
        <w:fldChar w:fldCharType="end"/>
      </w:r>
      <w:r w:rsidRPr="00206C4C">
        <w:t xml:space="preserve"> и  обеспечивает аналитику по структуре нефинансовых активов в разрезе счетов, с отображением следующих показателей:</w:t>
      </w:r>
    </w:p>
    <w:p w:rsidR="005D77E1" w:rsidRPr="00206C4C" w:rsidRDefault="005D77E1" w:rsidP="00DE1661">
      <w:pPr>
        <w:pStyle w:val="13"/>
      </w:pPr>
      <w:r w:rsidRPr="00206C4C">
        <w:t xml:space="preserve"> Счет (ГРБС/ Субъект учета);</w:t>
      </w:r>
    </w:p>
    <w:p w:rsidR="005D77E1" w:rsidRPr="00206C4C" w:rsidRDefault="005D77E1" w:rsidP="00DE1661">
      <w:pPr>
        <w:pStyle w:val="13"/>
      </w:pPr>
      <w:r w:rsidRPr="00206C4C">
        <w:t>Доля категории в балансовой (остаточной) стоимости имущества;</w:t>
      </w:r>
    </w:p>
    <w:p w:rsidR="005D77E1" w:rsidRPr="00206C4C" w:rsidRDefault="005D77E1" w:rsidP="00DE1661">
      <w:pPr>
        <w:pStyle w:val="13"/>
      </w:pPr>
      <w:r w:rsidRPr="00206C4C">
        <w:t>Балансовая стоимость имущества;</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Количество объектов;</w:t>
      </w:r>
    </w:p>
    <w:p w:rsidR="005D77E1" w:rsidRPr="00206C4C" w:rsidRDefault="005D77E1" w:rsidP="00DE1661">
      <w:pPr>
        <w:pStyle w:val="13"/>
      </w:pPr>
      <w:r w:rsidRPr="00206C4C">
        <w:t>Средний процент износа.</w:t>
      </w:r>
    </w:p>
    <w:p w:rsidR="00852FAC" w:rsidRDefault="00852FAC" w:rsidP="00852FAC">
      <w:pPr>
        <w:pStyle w:val="afffff7"/>
        <w:keepNext/>
      </w:pPr>
      <w:r>
        <w:rPr>
          <w:noProof/>
          <w:lang w:eastAsia="ru-RU"/>
        </w:rPr>
        <w:drawing>
          <wp:inline distT="0" distB="0" distL="0" distR="0" wp14:anchorId="63F4B008" wp14:editId="3D1216BF">
            <wp:extent cx="5939790" cy="2892345"/>
            <wp:effectExtent l="0" t="0" r="3810" b="3810"/>
            <wp:docPr id="5821" name="Рисунок 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4"/>
                    <a:stretch>
                      <a:fillRect/>
                    </a:stretch>
                  </pic:blipFill>
                  <pic:spPr>
                    <a:xfrm>
                      <a:off x="0" y="0"/>
                      <a:ext cx="5939790" cy="2892345"/>
                    </a:xfrm>
                    <a:prstGeom prst="rect">
                      <a:avLst/>
                    </a:prstGeom>
                  </pic:spPr>
                </pic:pic>
              </a:graphicData>
            </a:graphic>
          </wp:inline>
        </w:drawing>
      </w:r>
    </w:p>
    <w:p w:rsidR="005D77E1" w:rsidRPr="00206C4C" w:rsidRDefault="00852FAC" w:rsidP="00852FAC">
      <w:pPr>
        <w:pStyle w:val="-0"/>
      </w:pPr>
      <w:bookmarkStart w:id="1276" w:name="_Toc119584510"/>
      <w:r w:rsidRPr="00206C4C">
        <w:t xml:space="preserve">Рисунок </w:t>
      </w:r>
      <w:fldSimple w:instr=" SEQ Рисунок \* ARABIC ">
        <w:bookmarkStart w:id="1277" w:name="_Ref70086016"/>
        <w:r w:rsidR="001860A9">
          <w:rPr>
            <w:noProof/>
          </w:rPr>
          <w:t>323</w:t>
        </w:r>
        <w:bookmarkEnd w:id="1277"/>
      </w:fldSimple>
      <w:r w:rsidRPr="00206C4C">
        <w:t xml:space="preserve"> – Макет отчета «Сведения о ФХД ФОИВ». Представление «Нефинансовые активы» – «Структура НФА» – «Таблица» – «По счетам»</w:t>
      </w:r>
      <w:bookmarkEnd w:id="1276"/>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Категория. Плоский список со множественным выбором с категориями нефинансовых активов;</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Суммы. Плоский список, состоящий из элементов: балансовая стоимость, остаточная стоимость. В данном отчете используется для изменения базовой суммы, от которой рассчитывается доля в стоимости имущества.</w:t>
      </w:r>
    </w:p>
    <w:p w:rsidR="005D77E1" w:rsidRPr="00206C4C" w:rsidRDefault="005D77E1" w:rsidP="005D77E1">
      <w:pPr>
        <w:pStyle w:val="af0"/>
      </w:pPr>
      <w:r w:rsidRPr="00206C4C">
        <w:t>Из отчета должны быть обеспечены переходы в следующие виды детализации:</w:t>
      </w:r>
    </w:p>
    <w:p w:rsidR="005D77E1" w:rsidRPr="00206C4C" w:rsidRDefault="005D77E1" w:rsidP="00DE1661">
      <w:pPr>
        <w:pStyle w:val="13"/>
      </w:pPr>
      <w:r w:rsidRPr="00206C4C">
        <w:t>Детализация по списку объектов.</w:t>
      </w:r>
    </w:p>
    <w:p w:rsidR="005D77E1" w:rsidRPr="00206C4C" w:rsidRDefault="005D77E1" w:rsidP="005D77E1">
      <w:pPr>
        <w:pStyle w:val="42"/>
      </w:pPr>
      <w:r w:rsidRPr="00206C4C">
        <w:t xml:space="preserve">Представление «Нефинансовые активы» - «ГРБС» </w:t>
      </w:r>
    </w:p>
    <w:p w:rsidR="005D77E1" w:rsidRPr="00206C4C" w:rsidRDefault="005D77E1" w:rsidP="005D77E1">
      <w:pPr>
        <w:pStyle w:val="af0"/>
      </w:pPr>
      <w:r w:rsidRPr="00206C4C">
        <w:t xml:space="preserve">Представление «Нефинансовые активы – ГРБС» представление на рисунке </w:t>
      </w:r>
      <w:r w:rsidR="00852FAC">
        <w:fldChar w:fldCharType="begin"/>
      </w:r>
      <w:r w:rsidR="00852FAC">
        <w:instrText xml:space="preserve"> REF _Ref70086017 \h </w:instrText>
      </w:r>
      <w:r w:rsidR="00852FAC">
        <w:fldChar w:fldCharType="separate"/>
      </w:r>
      <w:r w:rsidR="00BF0BEE">
        <w:rPr>
          <w:noProof/>
        </w:rPr>
        <w:t>324</w:t>
      </w:r>
      <w:r w:rsidR="00852FAC">
        <w:fldChar w:fldCharType="end"/>
      </w:r>
      <w:r w:rsidRPr="00206C4C">
        <w:t xml:space="preserve"> и обеспечивает возможность сопоставления стоимости имущества среди ГРБС и субъектов учета (в рамках выбранного ГРБС), и включает следующие показатели:</w:t>
      </w:r>
    </w:p>
    <w:p w:rsidR="005D77E1" w:rsidRPr="00206C4C" w:rsidRDefault="005D77E1" w:rsidP="00DE1661">
      <w:pPr>
        <w:pStyle w:val="13"/>
      </w:pPr>
      <w:r w:rsidRPr="00206C4C">
        <w:t xml:space="preserve"> ГРБС/ Субъект учета;</w:t>
      </w:r>
    </w:p>
    <w:p w:rsidR="005D77E1" w:rsidRPr="00206C4C" w:rsidRDefault="005D77E1" w:rsidP="00DE1661">
      <w:pPr>
        <w:pStyle w:val="13"/>
      </w:pPr>
      <w:r w:rsidRPr="00206C4C">
        <w:t>Доля категории в балансовой (остаточной) стоимости имущества;</w:t>
      </w:r>
    </w:p>
    <w:p w:rsidR="005D77E1" w:rsidRPr="00206C4C" w:rsidRDefault="005D77E1" w:rsidP="00DE1661">
      <w:pPr>
        <w:pStyle w:val="13"/>
      </w:pPr>
      <w:r w:rsidRPr="00206C4C">
        <w:t>Балансовая стоимость имущества;</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Количество объектов;</w:t>
      </w:r>
    </w:p>
    <w:p w:rsidR="005D77E1" w:rsidRPr="00206C4C" w:rsidRDefault="005D77E1" w:rsidP="00DE1661">
      <w:pPr>
        <w:pStyle w:val="13"/>
      </w:pPr>
      <w:r w:rsidRPr="00206C4C">
        <w:t>Средний процент износа.</w:t>
      </w:r>
    </w:p>
    <w:p w:rsidR="00852FAC" w:rsidRDefault="00852FAC" w:rsidP="00852FAC">
      <w:pPr>
        <w:pStyle w:val="afffff7"/>
        <w:keepNext/>
      </w:pPr>
      <w:r>
        <w:rPr>
          <w:noProof/>
          <w:lang w:eastAsia="ru-RU"/>
        </w:rPr>
        <w:drawing>
          <wp:inline distT="0" distB="0" distL="0" distR="0" wp14:anchorId="79FF702E" wp14:editId="577F89E6">
            <wp:extent cx="5939790" cy="2900314"/>
            <wp:effectExtent l="0" t="0" r="3810" b="0"/>
            <wp:docPr id="5822" name="Рисунок 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5"/>
                    <a:stretch>
                      <a:fillRect/>
                    </a:stretch>
                  </pic:blipFill>
                  <pic:spPr>
                    <a:xfrm>
                      <a:off x="0" y="0"/>
                      <a:ext cx="5939790" cy="2900314"/>
                    </a:xfrm>
                    <a:prstGeom prst="rect">
                      <a:avLst/>
                    </a:prstGeom>
                  </pic:spPr>
                </pic:pic>
              </a:graphicData>
            </a:graphic>
          </wp:inline>
        </w:drawing>
      </w:r>
    </w:p>
    <w:p w:rsidR="005D77E1" w:rsidRPr="00206C4C" w:rsidRDefault="00852FAC" w:rsidP="00852FAC">
      <w:pPr>
        <w:pStyle w:val="-0"/>
      </w:pPr>
      <w:bookmarkStart w:id="1278" w:name="_Toc119584511"/>
      <w:r w:rsidRPr="00206C4C">
        <w:t xml:space="preserve">Рисунок </w:t>
      </w:r>
      <w:fldSimple w:instr=" SEQ Рисунок \* ARABIC ">
        <w:bookmarkStart w:id="1279" w:name="_Ref70086017"/>
        <w:r w:rsidR="001860A9">
          <w:rPr>
            <w:noProof/>
          </w:rPr>
          <w:t>324</w:t>
        </w:r>
        <w:bookmarkEnd w:id="1279"/>
      </w:fldSimple>
      <w:r w:rsidRPr="00206C4C">
        <w:t xml:space="preserve"> – Макет отчета «Сведения о ФХД ФОИВ». Представление «Нефинансовые активы –</w:t>
      </w:r>
      <w:r>
        <w:t xml:space="preserve"> </w:t>
      </w:r>
      <w:r w:rsidRPr="00206C4C">
        <w:t>По ГРБС»</w:t>
      </w:r>
      <w:bookmarkEnd w:id="1278"/>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Категория. Плоский список со множественным выбором с категориями нефинансовых активов;</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Суммы. Плоский список, состоящий из элементов: балансовая стоимость, остаточная стоимость. В данном отчете используется для изменения базовой суммы, от которой рассчитывается доля в стоимости имущества.</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списку объектов;</w:t>
      </w:r>
    </w:p>
    <w:p w:rsidR="005D77E1" w:rsidRPr="00206C4C" w:rsidRDefault="005D77E1" w:rsidP="00DE1661">
      <w:pPr>
        <w:pStyle w:val="13"/>
      </w:pPr>
      <w:r w:rsidRPr="00206C4C">
        <w:t>Детализация по структуре по категориям;</w:t>
      </w:r>
    </w:p>
    <w:p w:rsidR="005D77E1" w:rsidRPr="00206C4C" w:rsidRDefault="005D77E1" w:rsidP="00DE1661">
      <w:pPr>
        <w:pStyle w:val="13"/>
      </w:pPr>
      <w:r w:rsidRPr="00206C4C">
        <w:t>Детализация по структуре по счетам.</w:t>
      </w:r>
    </w:p>
    <w:p w:rsidR="005D77E1" w:rsidRPr="00206C4C" w:rsidRDefault="005D77E1" w:rsidP="005D77E1">
      <w:pPr>
        <w:pStyle w:val="42"/>
      </w:pPr>
      <w:r w:rsidRPr="00206C4C">
        <w:t>Представление «Нефинансовые активы» – «Объекты» – «По типам Учреждений»</w:t>
      </w:r>
    </w:p>
    <w:p w:rsidR="005D77E1" w:rsidRPr="00206C4C" w:rsidRDefault="005D77E1" w:rsidP="005D77E1">
      <w:pPr>
        <w:pStyle w:val="af0"/>
      </w:pPr>
      <w:r w:rsidRPr="00206C4C">
        <w:t xml:space="preserve">Представление «Нефинансовые активы – Объекты  – По типам Учреждений» представление на рисунке </w:t>
      </w:r>
      <w:r w:rsidR="00024DFF">
        <w:fldChar w:fldCharType="begin"/>
      </w:r>
      <w:r w:rsidR="00024DFF">
        <w:instrText xml:space="preserve"> REF _Ref70086018 \h </w:instrText>
      </w:r>
      <w:r w:rsidR="00024DFF">
        <w:fldChar w:fldCharType="separate"/>
      </w:r>
      <w:r w:rsidR="00BF0BEE">
        <w:rPr>
          <w:noProof/>
        </w:rPr>
        <w:t>325</w:t>
      </w:r>
      <w:r w:rsidR="00024DFF">
        <w:fldChar w:fldCharType="end"/>
      </w:r>
      <w:r w:rsidRPr="00206C4C">
        <w:t xml:space="preserve"> и  обеспечивает возможность анализа  стоимости имущества в разрезе Центрального аппарата, Территориальных органов и ФКУ, и должен включать следующие показатели:</w:t>
      </w:r>
    </w:p>
    <w:p w:rsidR="005D77E1" w:rsidRPr="00206C4C" w:rsidRDefault="005D77E1" w:rsidP="00DE1661">
      <w:pPr>
        <w:pStyle w:val="13"/>
      </w:pPr>
      <w:r w:rsidRPr="00206C4C">
        <w:t xml:space="preserve"> Счет;</w:t>
      </w:r>
    </w:p>
    <w:p w:rsidR="005D77E1" w:rsidRPr="00206C4C" w:rsidRDefault="005D77E1" w:rsidP="00DE1661">
      <w:pPr>
        <w:pStyle w:val="13"/>
      </w:pPr>
      <w:r w:rsidRPr="00206C4C">
        <w:t>ГРБС;</w:t>
      </w:r>
    </w:p>
    <w:p w:rsidR="005D77E1" w:rsidRPr="00206C4C" w:rsidRDefault="005D77E1" w:rsidP="00DE1661">
      <w:pPr>
        <w:pStyle w:val="13"/>
      </w:pPr>
      <w:r w:rsidRPr="00206C4C">
        <w:t>Количество объектов;</w:t>
      </w:r>
    </w:p>
    <w:p w:rsidR="005D77E1" w:rsidRPr="00206C4C" w:rsidRDefault="005D77E1" w:rsidP="00DE1661">
      <w:pPr>
        <w:pStyle w:val="13"/>
      </w:pPr>
      <w:r w:rsidRPr="00206C4C">
        <w:t>Средняя (балансовая) стоимость на один объект;</w:t>
      </w:r>
    </w:p>
    <w:p w:rsidR="005D77E1" w:rsidRPr="00206C4C" w:rsidRDefault="005D77E1" w:rsidP="00DE1661">
      <w:pPr>
        <w:pStyle w:val="13"/>
      </w:pPr>
      <w:r w:rsidRPr="00206C4C">
        <w:t>Балансовая стоимость имущества;</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Коэффициент износа.</w:t>
      </w:r>
    </w:p>
    <w:p w:rsidR="00024DFF" w:rsidRDefault="00024DFF" w:rsidP="00024DFF">
      <w:pPr>
        <w:pStyle w:val="afffff7"/>
        <w:keepNext/>
      </w:pPr>
      <w:r>
        <w:rPr>
          <w:noProof/>
          <w:lang w:eastAsia="ru-RU"/>
        </w:rPr>
        <w:drawing>
          <wp:inline distT="0" distB="0" distL="0" distR="0" wp14:anchorId="52DA19B1" wp14:editId="14186CAD">
            <wp:extent cx="5939790" cy="2888054"/>
            <wp:effectExtent l="0" t="0" r="3810" b="7620"/>
            <wp:docPr id="5823" name="Рисунок 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6"/>
                    <a:stretch>
                      <a:fillRect/>
                    </a:stretch>
                  </pic:blipFill>
                  <pic:spPr>
                    <a:xfrm>
                      <a:off x="0" y="0"/>
                      <a:ext cx="5939790" cy="2888054"/>
                    </a:xfrm>
                    <a:prstGeom prst="rect">
                      <a:avLst/>
                    </a:prstGeom>
                  </pic:spPr>
                </pic:pic>
              </a:graphicData>
            </a:graphic>
          </wp:inline>
        </w:drawing>
      </w:r>
    </w:p>
    <w:p w:rsidR="005D77E1" w:rsidRPr="00206C4C" w:rsidRDefault="00024DFF" w:rsidP="00024DFF">
      <w:pPr>
        <w:pStyle w:val="-0"/>
      </w:pPr>
      <w:bookmarkStart w:id="1280" w:name="_Toc119584512"/>
      <w:r w:rsidRPr="00206C4C">
        <w:t xml:space="preserve">Рисунок </w:t>
      </w:r>
      <w:fldSimple w:instr=" SEQ Рисунок \* ARABIC ">
        <w:bookmarkStart w:id="1281" w:name="_Ref70086018"/>
        <w:r w:rsidR="001860A9">
          <w:rPr>
            <w:noProof/>
          </w:rPr>
          <w:t>325</w:t>
        </w:r>
        <w:bookmarkEnd w:id="1281"/>
      </w:fldSimple>
      <w:r w:rsidRPr="00206C4C">
        <w:t xml:space="preserve"> – Макет отчета «Сведения о ФХД ФОИВ». Представление «Нефинансовые активы» – «Объекты» - «По типам учреждений»</w:t>
      </w:r>
      <w:bookmarkEnd w:id="1280"/>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списку объектов;</w:t>
      </w:r>
    </w:p>
    <w:p w:rsidR="005D77E1" w:rsidRPr="00206C4C" w:rsidRDefault="005D77E1" w:rsidP="003E7653">
      <w:pPr>
        <w:pStyle w:val="13"/>
      </w:pPr>
      <w:r w:rsidRPr="00206C4C">
        <w:t>Де</w:t>
      </w:r>
      <w:r w:rsidR="003E7653">
        <w:t>тализация по структуре по ГРБС.</w:t>
      </w:r>
    </w:p>
    <w:p w:rsidR="005D77E1" w:rsidRPr="00206C4C" w:rsidRDefault="005D77E1" w:rsidP="003E7653">
      <w:pPr>
        <w:pStyle w:val="42"/>
        <w:keepNext/>
      </w:pPr>
      <w:r w:rsidRPr="00206C4C">
        <w:t>Представление «Нефинансовые активы» – «Объекты» – «10 самых дорогих»</w:t>
      </w:r>
    </w:p>
    <w:p w:rsidR="005D77E1" w:rsidRPr="00206C4C" w:rsidRDefault="005D77E1" w:rsidP="005D77E1">
      <w:pPr>
        <w:pStyle w:val="af0"/>
      </w:pPr>
      <w:r w:rsidRPr="00206C4C">
        <w:t xml:space="preserve">Представление «Нефинансовые активы – Объекты – 10 самых дорогих» представлено на рисунке </w:t>
      </w:r>
      <w:r w:rsidR="00CD7D7E">
        <w:fldChar w:fldCharType="begin"/>
      </w:r>
      <w:r w:rsidR="00CD7D7E">
        <w:instrText xml:space="preserve"> REF _Ref70086043 \h </w:instrText>
      </w:r>
      <w:r w:rsidR="00CD7D7E">
        <w:fldChar w:fldCharType="separate"/>
      </w:r>
      <w:r w:rsidR="00BF0BEE">
        <w:rPr>
          <w:noProof/>
        </w:rPr>
        <w:t>326</w:t>
      </w:r>
      <w:r w:rsidR="00CD7D7E">
        <w:fldChar w:fldCharType="end"/>
      </w:r>
      <w:r w:rsidRPr="00206C4C">
        <w:t xml:space="preserve"> и обеспечивает возможность просмотра 10 самых дорогих по балансовой (остаточной) стоимости объектов и включает следующие показатели:</w:t>
      </w:r>
    </w:p>
    <w:p w:rsidR="005D77E1" w:rsidRPr="00206C4C" w:rsidRDefault="005D77E1" w:rsidP="00DE1661">
      <w:pPr>
        <w:pStyle w:val="13"/>
      </w:pPr>
      <w:r w:rsidRPr="00206C4C">
        <w:t>Наименование (номенклатура) имущества;</w:t>
      </w:r>
    </w:p>
    <w:p w:rsidR="005D77E1" w:rsidRPr="00206C4C" w:rsidRDefault="005D77E1" w:rsidP="00DE1661">
      <w:pPr>
        <w:pStyle w:val="13"/>
      </w:pPr>
      <w:r w:rsidRPr="00206C4C">
        <w:t>Инвентарный номер (при наличии);</w:t>
      </w:r>
    </w:p>
    <w:p w:rsidR="005D77E1" w:rsidRPr="00206C4C" w:rsidRDefault="005D77E1" w:rsidP="00DE1661">
      <w:pPr>
        <w:pStyle w:val="13"/>
      </w:pPr>
      <w:r w:rsidRPr="00206C4C">
        <w:t>ГРБС – Глава владельца имущества;</w:t>
      </w:r>
    </w:p>
    <w:p w:rsidR="005D77E1" w:rsidRPr="00206C4C" w:rsidRDefault="005D77E1" w:rsidP="00DE1661">
      <w:pPr>
        <w:pStyle w:val="13"/>
      </w:pPr>
      <w:r w:rsidRPr="00206C4C">
        <w:t>Балансовая (остаточная) стоимость имущества.</w:t>
      </w:r>
    </w:p>
    <w:p w:rsidR="00CD7D7E" w:rsidRDefault="00CD7D7E" w:rsidP="00CD7D7E">
      <w:pPr>
        <w:pStyle w:val="afffff7"/>
        <w:keepNext/>
      </w:pPr>
      <w:r>
        <w:rPr>
          <w:noProof/>
          <w:lang w:eastAsia="ru-RU"/>
        </w:rPr>
        <w:drawing>
          <wp:inline distT="0" distB="0" distL="0" distR="0" wp14:anchorId="080DE65E" wp14:editId="184B5C7F">
            <wp:extent cx="5939790" cy="2884375"/>
            <wp:effectExtent l="0" t="0" r="381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7"/>
                    <a:stretch>
                      <a:fillRect/>
                    </a:stretch>
                  </pic:blipFill>
                  <pic:spPr>
                    <a:xfrm>
                      <a:off x="0" y="0"/>
                      <a:ext cx="5939790" cy="2884375"/>
                    </a:xfrm>
                    <a:prstGeom prst="rect">
                      <a:avLst/>
                    </a:prstGeom>
                  </pic:spPr>
                </pic:pic>
              </a:graphicData>
            </a:graphic>
          </wp:inline>
        </w:drawing>
      </w:r>
    </w:p>
    <w:p w:rsidR="005D77E1" w:rsidRPr="00206C4C" w:rsidRDefault="00CD7D7E" w:rsidP="00CD7D7E">
      <w:pPr>
        <w:pStyle w:val="-0"/>
      </w:pPr>
      <w:bookmarkStart w:id="1282" w:name="_Toc119584513"/>
      <w:r w:rsidRPr="00206C4C">
        <w:t xml:space="preserve">Рисунок </w:t>
      </w:r>
      <w:fldSimple w:instr=" SEQ Рисунок \* ARABIC ">
        <w:bookmarkStart w:id="1283" w:name="_Ref70086043"/>
        <w:r w:rsidR="001860A9">
          <w:rPr>
            <w:noProof/>
          </w:rPr>
          <w:t>326</w:t>
        </w:r>
        <w:bookmarkEnd w:id="1283"/>
      </w:fldSimple>
      <w:r w:rsidRPr="00206C4C">
        <w:t xml:space="preserve"> – Макет отчета «Сведения о ФХД ФОИВ». Представление «Нефинансовые активы» – «Объекты» – «10 самых дорогих»</w:t>
      </w:r>
      <w:bookmarkEnd w:id="1282"/>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Категория. Плоский список со множественным выбором с категориями нефинансовых активов;</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 xml:space="preserve">Суммы. Плоский список, состоящий из элементов: балансовая стоимость, остаточная стоимость. </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списку объектов;</w:t>
      </w:r>
    </w:p>
    <w:p w:rsidR="005D77E1" w:rsidRPr="00206C4C" w:rsidRDefault="005D77E1" w:rsidP="00DE1661">
      <w:pPr>
        <w:pStyle w:val="13"/>
        <w:rPr>
          <w:color w:val="0070C0"/>
          <w:lang w:eastAsia="x-none"/>
        </w:rPr>
      </w:pPr>
      <w:r w:rsidRPr="00206C4C">
        <w:t>Детализация  по инвентарной карточке объекта.</w:t>
      </w:r>
    </w:p>
    <w:p w:rsidR="005D77E1" w:rsidRPr="00206C4C" w:rsidRDefault="005D77E1" w:rsidP="005D77E1">
      <w:pPr>
        <w:pStyle w:val="42"/>
      </w:pPr>
      <w:r w:rsidRPr="00206C4C">
        <w:t>Представление «Нефинансовые активы» – «Объекты» – «Список объектов»</w:t>
      </w:r>
    </w:p>
    <w:p w:rsidR="005D77E1" w:rsidRPr="00206C4C" w:rsidRDefault="005D77E1" w:rsidP="005D77E1">
      <w:pPr>
        <w:pStyle w:val="af0"/>
      </w:pPr>
      <w:r w:rsidRPr="00206C4C">
        <w:t xml:space="preserve">Представление  «Нефинансовые активы» – «Объекты» - «Список объектов» представлено на рисунке </w:t>
      </w:r>
      <w:r w:rsidR="00944C14">
        <w:fldChar w:fldCharType="begin"/>
      </w:r>
      <w:r w:rsidR="00944C14">
        <w:instrText xml:space="preserve"> REF _Ref70086560 \h </w:instrText>
      </w:r>
      <w:r w:rsidR="00944C14">
        <w:fldChar w:fldCharType="separate"/>
      </w:r>
      <w:r w:rsidR="00BF0BEE">
        <w:rPr>
          <w:noProof/>
        </w:rPr>
        <w:t>327</w:t>
      </w:r>
      <w:r w:rsidR="00944C14">
        <w:fldChar w:fldCharType="end"/>
      </w:r>
      <w:r w:rsidRPr="00206C4C">
        <w:t xml:space="preserve"> и содержит полный перечень объектов всех субъектов учета, информация по которым передается в ПИАО и включать следующие показатели:</w:t>
      </w:r>
    </w:p>
    <w:p w:rsidR="005D77E1" w:rsidRPr="00206C4C" w:rsidRDefault="005D77E1" w:rsidP="00DE1661">
      <w:pPr>
        <w:pStyle w:val="13"/>
      </w:pPr>
      <w:r w:rsidRPr="00206C4C">
        <w:t>Наименование нефинансового актива (номенклатура);</w:t>
      </w:r>
    </w:p>
    <w:p w:rsidR="005D77E1" w:rsidRPr="00206C4C" w:rsidRDefault="005D77E1" w:rsidP="00DE1661">
      <w:pPr>
        <w:pStyle w:val="13"/>
      </w:pPr>
      <w:r w:rsidRPr="00206C4C">
        <w:t>Категория нефинансового актива;</w:t>
      </w:r>
    </w:p>
    <w:p w:rsidR="005D77E1" w:rsidRPr="00206C4C" w:rsidRDefault="005D77E1" w:rsidP="00DE1661">
      <w:pPr>
        <w:pStyle w:val="13"/>
      </w:pPr>
      <w:r w:rsidRPr="00206C4C">
        <w:t>Инвентарный номер;</w:t>
      </w:r>
    </w:p>
    <w:p w:rsidR="005D77E1" w:rsidRPr="00206C4C" w:rsidRDefault="005D77E1" w:rsidP="00DE1661">
      <w:pPr>
        <w:pStyle w:val="13"/>
      </w:pPr>
      <w:r w:rsidRPr="00206C4C">
        <w:t>ОКОФ;</w:t>
      </w:r>
    </w:p>
    <w:p w:rsidR="005D77E1" w:rsidRPr="00206C4C" w:rsidRDefault="005D77E1" w:rsidP="00DE1661">
      <w:pPr>
        <w:pStyle w:val="13"/>
      </w:pPr>
      <w:r w:rsidRPr="00206C4C">
        <w:t>Амортизационная группа;</w:t>
      </w:r>
    </w:p>
    <w:p w:rsidR="005D77E1" w:rsidRPr="00206C4C" w:rsidRDefault="005D77E1" w:rsidP="00DE1661">
      <w:pPr>
        <w:pStyle w:val="13"/>
      </w:pPr>
      <w:r w:rsidRPr="00206C4C">
        <w:t>Способ начисления амортизации;</w:t>
      </w:r>
    </w:p>
    <w:p w:rsidR="005D77E1" w:rsidRPr="00206C4C" w:rsidRDefault="005D77E1" w:rsidP="00DE1661">
      <w:pPr>
        <w:pStyle w:val="13"/>
      </w:pPr>
      <w:r w:rsidRPr="00206C4C">
        <w:t>Дата принятия к учету;</w:t>
      </w:r>
    </w:p>
    <w:p w:rsidR="005D77E1" w:rsidRPr="00206C4C" w:rsidRDefault="005D77E1" w:rsidP="00DE1661">
      <w:pPr>
        <w:pStyle w:val="13"/>
      </w:pPr>
      <w:r w:rsidRPr="00206C4C">
        <w:t>Состояние;</w:t>
      </w:r>
    </w:p>
    <w:p w:rsidR="005D77E1" w:rsidRPr="00206C4C" w:rsidRDefault="005D77E1" w:rsidP="00DE1661">
      <w:pPr>
        <w:pStyle w:val="13"/>
      </w:pPr>
      <w:r w:rsidRPr="00206C4C">
        <w:t>Срок полезного использования, месяцев;</w:t>
      </w:r>
    </w:p>
    <w:p w:rsidR="005D77E1" w:rsidRPr="00206C4C" w:rsidRDefault="005D77E1" w:rsidP="00DE1661">
      <w:pPr>
        <w:pStyle w:val="13"/>
      </w:pPr>
      <w:r w:rsidRPr="00206C4C">
        <w:t>Процент износа;</w:t>
      </w:r>
    </w:p>
    <w:p w:rsidR="005D77E1" w:rsidRPr="00206C4C" w:rsidRDefault="005D77E1" w:rsidP="00DE1661">
      <w:pPr>
        <w:pStyle w:val="13"/>
      </w:pPr>
      <w:r w:rsidRPr="00206C4C">
        <w:t>Балансовая стоимость имущества;</w:t>
      </w:r>
    </w:p>
    <w:p w:rsidR="005D77E1" w:rsidRPr="00206C4C" w:rsidRDefault="005D77E1" w:rsidP="00DE1661">
      <w:pPr>
        <w:pStyle w:val="13"/>
      </w:pPr>
      <w:r w:rsidRPr="00206C4C">
        <w:t>Количество;</w:t>
      </w:r>
    </w:p>
    <w:p w:rsidR="005D77E1" w:rsidRPr="00206C4C" w:rsidRDefault="005D77E1" w:rsidP="00DE1661">
      <w:pPr>
        <w:pStyle w:val="13"/>
      </w:pPr>
      <w:r w:rsidRPr="00206C4C">
        <w:t>Единицы измерения, используемые при учете;</w:t>
      </w:r>
    </w:p>
    <w:p w:rsidR="005D77E1" w:rsidRPr="00206C4C" w:rsidRDefault="005D77E1" w:rsidP="00DE1661">
      <w:pPr>
        <w:pStyle w:val="13"/>
      </w:pPr>
      <w:r w:rsidRPr="00206C4C">
        <w:t>Сумма амортизации;</w:t>
      </w:r>
    </w:p>
    <w:p w:rsidR="005D77E1" w:rsidRPr="00206C4C" w:rsidRDefault="005D77E1" w:rsidP="00DE1661">
      <w:pPr>
        <w:pStyle w:val="13"/>
      </w:pPr>
      <w:r w:rsidRPr="00206C4C">
        <w:t>Сумма обесценения;</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Балансодержатель;</w:t>
      </w:r>
    </w:p>
    <w:p w:rsidR="005D77E1" w:rsidRPr="00206C4C" w:rsidRDefault="005D77E1" w:rsidP="00DE1661">
      <w:pPr>
        <w:pStyle w:val="13"/>
      </w:pPr>
      <w:r w:rsidRPr="00206C4C">
        <w:t>Местонахождение.</w:t>
      </w:r>
    </w:p>
    <w:p w:rsidR="00944C14" w:rsidRDefault="00944C14" w:rsidP="00944C14">
      <w:pPr>
        <w:pStyle w:val="afffff7"/>
        <w:keepNext/>
      </w:pPr>
      <w:r>
        <w:rPr>
          <w:noProof/>
          <w:lang w:eastAsia="ru-RU"/>
        </w:rPr>
        <w:drawing>
          <wp:inline distT="0" distB="0" distL="0" distR="0" wp14:anchorId="1E283E65" wp14:editId="08EE5C65">
            <wp:extent cx="5939790" cy="2892345"/>
            <wp:effectExtent l="0" t="0" r="3810" b="3810"/>
            <wp:docPr id="5886" name="Рисунок 5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8"/>
                    <a:stretch>
                      <a:fillRect/>
                    </a:stretch>
                  </pic:blipFill>
                  <pic:spPr>
                    <a:xfrm>
                      <a:off x="0" y="0"/>
                      <a:ext cx="5939790" cy="2892345"/>
                    </a:xfrm>
                    <a:prstGeom prst="rect">
                      <a:avLst/>
                    </a:prstGeom>
                  </pic:spPr>
                </pic:pic>
              </a:graphicData>
            </a:graphic>
          </wp:inline>
        </w:drawing>
      </w:r>
    </w:p>
    <w:p w:rsidR="005D77E1" w:rsidRPr="00206C4C" w:rsidRDefault="00944C14" w:rsidP="00944C14">
      <w:pPr>
        <w:pStyle w:val="-0"/>
      </w:pPr>
      <w:bookmarkStart w:id="1284" w:name="_Toc119584514"/>
      <w:r w:rsidRPr="00206C4C">
        <w:t xml:space="preserve">Рисунок </w:t>
      </w:r>
      <w:fldSimple w:instr=" SEQ Рисунок \* ARABIC ">
        <w:bookmarkStart w:id="1285" w:name="_Ref70086560"/>
        <w:r w:rsidR="001860A9">
          <w:rPr>
            <w:noProof/>
          </w:rPr>
          <w:t>327</w:t>
        </w:r>
        <w:bookmarkEnd w:id="1285"/>
      </w:fldSimple>
      <w:r w:rsidRPr="00206C4C">
        <w:t xml:space="preserve"> – Макет отчета «Сведения о ФХД ФОИВ». </w:t>
      </w:r>
      <w:r w:rsidRPr="00944C14">
        <w:t>Представление</w:t>
      </w:r>
      <w:r w:rsidRPr="00206C4C">
        <w:t xml:space="preserve"> «Нефинансовые активы» – «Объекты» – «Список объектов»</w:t>
      </w:r>
      <w:bookmarkEnd w:id="1284"/>
      <w:r w:rsidRPr="00206C4C">
        <w:t xml:space="preserve"> </w:t>
      </w:r>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Счет. Иерархический список со счетами, относящиеся к нефинансовым активам;</w:t>
      </w:r>
    </w:p>
    <w:p w:rsidR="005D77E1" w:rsidRPr="00206C4C" w:rsidRDefault="005D77E1" w:rsidP="00DE1661">
      <w:pPr>
        <w:pStyle w:val="13"/>
      </w:pPr>
      <w:r w:rsidRPr="00206C4C">
        <w:t>Категория. Плоский список со множественным выбором с категориями нефинансовых активов;</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Количество. Плоский список для подсчета числа объектов нефинансовых активов, состоящий из элементов: ед.изм., тыс.ед.изм., млн ед.изм., млрд ед.изм.;</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Балансодержатель (субъект учета, по которому ведется учет нефинансовых активов).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Суммы. Плоский список, состоящий из элементов: балансовая стоимость, остаточная стоимость. В данном отчете используется для изменения базовой суммы, от которой рассчитывается доля в стоимости имущества;</w:t>
      </w:r>
    </w:p>
    <w:p w:rsidR="005D77E1" w:rsidRPr="00206C4C" w:rsidRDefault="005D77E1" w:rsidP="00DE1661">
      <w:pPr>
        <w:pStyle w:val="13"/>
      </w:pPr>
      <w:r w:rsidRPr="00206C4C">
        <w:t>Выбор имущества без инвентарного номера. Чек-бокс одинарная галочка;</w:t>
      </w:r>
    </w:p>
    <w:p w:rsidR="005D77E1" w:rsidRPr="00206C4C" w:rsidRDefault="005D77E1" w:rsidP="00DE1661">
      <w:pPr>
        <w:pStyle w:val="13"/>
      </w:pPr>
      <w:r w:rsidRPr="00206C4C">
        <w:t>Поиск имущества по наименованию и инвентарному номеру.</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rPr>
          <w:color w:val="0070C0"/>
          <w:lang w:eastAsia="x-none"/>
        </w:rPr>
      </w:pPr>
      <w:r w:rsidRPr="00206C4C">
        <w:t>Детализация информации по объекту в инвентарной карточке.</w:t>
      </w:r>
    </w:p>
    <w:p w:rsidR="005D77E1" w:rsidRPr="00206C4C" w:rsidRDefault="005D77E1" w:rsidP="005D77E1">
      <w:pPr>
        <w:pStyle w:val="42"/>
      </w:pPr>
      <w:r w:rsidRPr="00206C4C">
        <w:t>Представление «Нефинансовые активы» – «Объекты» – «Инвентарная карточка»</w:t>
      </w:r>
    </w:p>
    <w:p w:rsidR="005D77E1" w:rsidRPr="00206C4C" w:rsidRDefault="005D77E1" w:rsidP="005D77E1">
      <w:pPr>
        <w:pStyle w:val="af0"/>
      </w:pPr>
      <w:r w:rsidRPr="00206C4C">
        <w:t>Представление «Нефинансовые активы – Объекты – Инвентарная карточка» представлено на рисунке</w:t>
      </w:r>
      <w:r w:rsidR="00D25613">
        <w:t xml:space="preserve"> </w:t>
      </w:r>
      <w:r w:rsidR="00D25613">
        <w:fldChar w:fldCharType="begin"/>
      </w:r>
      <w:r w:rsidR="00D25613">
        <w:instrText xml:space="preserve"> REF _Ref70086674 \h </w:instrText>
      </w:r>
      <w:r w:rsidR="00D25613">
        <w:fldChar w:fldCharType="separate"/>
      </w:r>
      <w:r w:rsidR="00BF0BEE">
        <w:rPr>
          <w:noProof/>
        </w:rPr>
        <w:t>328</w:t>
      </w:r>
      <w:r w:rsidR="00D25613">
        <w:fldChar w:fldCharType="end"/>
      </w:r>
      <w:r w:rsidRPr="00206C4C">
        <w:t>,  содержит сведения об объекте учета, выбранном в отчете «Нефинансовые активы – Список объектов», информация по которым передается в ПИАО и включает, в том числе, следующие показатели:</w:t>
      </w:r>
    </w:p>
    <w:p w:rsidR="005D77E1" w:rsidRPr="00206C4C" w:rsidRDefault="005D77E1" w:rsidP="00DE1661">
      <w:pPr>
        <w:pStyle w:val="13"/>
      </w:pPr>
      <w:r w:rsidRPr="00206C4C">
        <w:t>Наименование нефинансового актива (номенклатура);</w:t>
      </w:r>
    </w:p>
    <w:p w:rsidR="005D77E1" w:rsidRPr="00206C4C" w:rsidRDefault="005D77E1" w:rsidP="00DE1661">
      <w:pPr>
        <w:pStyle w:val="13"/>
      </w:pPr>
      <w:r w:rsidRPr="00206C4C">
        <w:t>Инвентарный номер;</w:t>
      </w:r>
    </w:p>
    <w:p w:rsidR="005D77E1" w:rsidRPr="00206C4C" w:rsidRDefault="005D77E1" w:rsidP="00DE1661">
      <w:pPr>
        <w:pStyle w:val="13"/>
      </w:pPr>
      <w:r w:rsidRPr="00206C4C">
        <w:t>ОКОФ;</w:t>
      </w:r>
    </w:p>
    <w:p w:rsidR="005D77E1" w:rsidRPr="00206C4C" w:rsidRDefault="005D77E1" w:rsidP="00DE1661">
      <w:pPr>
        <w:pStyle w:val="13"/>
      </w:pPr>
      <w:r w:rsidRPr="00206C4C">
        <w:t>Амортизационная группа;</w:t>
      </w:r>
    </w:p>
    <w:p w:rsidR="005D77E1" w:rsidRPr="00206C4C" w:rsidRDefault="005D77E1" w:rsidP="00DE1661">
      <w:pPr>
        <w:pStyle w:val="13"/>
      </w:pPr>
      <w:r w:rsidRPr="00206C4C">
        <w:t>Способ начисления амортизации;</w:t>
      </w:r>
    </w:p>
    <w:p w:rsidR="005D77E1" w:rsidRPr="00206C4C" w:rsidRDefault="005D77E1" w:rsidP="00DE1661">
      <w:pPr>
        <w:pStyle w:val="13"/>
      </w:pPr>
      <w:r w:rsidRPr="00206C4C">
        <w:t>Дата принятия к учету;</w:t>
      </w:r>
    </w:p>
    <w:p w:rsidR="005D77E1" w:rsidRPr="00206C4C" w:rsidRDefault="005D77E1" w:rsidP="00DE1661">
      <w:pPr>
        <w:pStyle w:val="13"/>
      </w:pPr>
      <w:r w:rsidRPr="00206C4C">
        <w:t>Состояние;</w:t>
      </w:r>
    </w:p>
    <w:p w:rsidR="005D77E1" w:rsidRPr="00206C4C" w:rsidRDefault="005D77E1" w:rsidP="00DE1661">
      <w:pPr>
        <w:pStyle w:val="13"/>
      </w:pPr>
      <w:r w:rsidRPr="00206C4C">
        <w:t>Срок полезного использования, месяцев;</w:t>
      </w:r>
    </w:p>
    <w:p w:rsidR="005D77E1" w:rsidRPr="00206C4C" w:rsidRDefault="005D77E1" w:rsidP="00DE1661">
      <w:pPr>
        <w:pStyle w:val="13"/>
      </w:pPr>
      <w:r w:rsidRPr="00206C4C">
        <w:t>Процент износа;</w:t>
      </w:r>
    </w:p>
    <w:p w:rsidR="005D77E1" w:rsidRPr="00206C4C" w:rsidRDefault="005D77E1" w:rsidP="00DE1661">
      <w:pPr>
        <w:pStyle w:val="13"/>
      </w:pPr>
      <w:r w:rsidRPr="00206C4C">
        <w:t>Балансовая стоимость;</w:t>
      </w:r>
    </w:p>
    <w:p w:rsidR="005D77E1" w:rsidRPr="00206C4C" w:rsidRDefault="005D77E1" w:rsidP="00DE1661">
      <w:pPr>
        <w:pStyle w:val="13"/>
      </w:pPr>
      <w:r w:rsidRPr="00206C4C">
        <w:t>Количество;</w:t>
      </w:r>
    </w:p>
    <w:p w:rsidR="005D77E1" w:rsidRPr="00206C4C" w:rsidRDefault="005D77E1" w:rsidP="00DE1661">
      <w:pPr>
        <w:pStyle w:val="13"/>
      </w:pPr>
      <w:r w:rsidRPr="00206C4C">
        <w:t>Единицы измерения, используемые при учете;</w:t>
      </w:r>
    </w:p>
    <w:p w:rsidR="005D77E1" w:rsidRPr="00206C4C" w:rsidRDefault="005D77E1" w:rsidP="00DE1661">
      <w:pPr>
        <w:pStyle w:val="13"/>
      </w:pPr>
      <w:r w:rsidRPr="00206C4C">
        <w:t>Цена, рублей за единицу;</w:t>
      </w:r>
    </w:p>
    <w:p w:rsidR="005D77E1" w:rsidRPr="00206C4C" w:rsidRDefault="005D77E1" w:rsidP="00DE1661">
      <w:pPr>
        <w:pStyle w:val="13"/>
      </w:pPr>
      <w:r w:rsidRPr="00206C4C">
        <w:t>Сумма амортизации;</w:t>
      </w:r>
    </w:p>
    <w:p w:rsidR="005D77E1" w:rsidRPr="00206C4C" w:rsidRDefault="005D77E1" w:rsidP="00DE1661">
      <w:pPr>
        <w:pStyle w:val="13"/>
      </w:pPr>
      <w:r w:rsidRPr="00206C4C">
        <w:t>Сумма обесценения;</w:t>
      </w:r>
    </w:p>
    <w:p w:rsidR="005D77E1" w:rsidRPr="00206C4C" w:rsidRDefault="005D77E1" w:rsidP="00DE1661">
      <w:pPr>
        <w:pStyle w:val="13"/>
      </w:pPr>
      <w:r w:rsidRPr="00206C4C">
        <w:t>Остаточная стоимость имущества;</w:t>
      </w:r>
    </w:p>
    <w:p w:rsidR="005D77E1" w:rsidRPr="00206C4C" w:rsidRDefault="005D77E1" w:rsidP="00DE1661">
      <w:pPr>
        <w:pStyle w:val="13"/>
      </w:pPr>
      <w:r w:rsidRPr="00206C4C">
        <w:t>Балансодержатель;</w:t>
      </w:r>
    </w:p>
    <w:p w:rsidR="005D77E1" w:rsidRPr="00206C4C" w:rsidRDefault="005D77E1" w:rsidP="00DE1661">
      <w:pPr>
        <w:pStyle w:val="13"/>
      </w:pPr>
      <w:r w:rsidRPr="00206C4C">
        <w:t>Информация о договоре;</w:t>
      </w:r>
    </w:p>
    <w:p w:rsidR="005D77E1" w:rsidRPr="00206C4C" w:rsidRDefault="005D77E1" w:rsidP="00DE1661">
      <w:pPr>
        <w:pStyle w:val="13"/>
      </w:pPr>
      <w:r w:rsidRPr="00206C4C">
        <w:t>Информация о контрагенте;</w:t>
      </w:r>
    </w:p>
    <w:p w:rsidR="005D77E1" w:rsidRPr="00206C4C" w:rsidRDefault="005D77E1" w:rsidP="00DE1661">
      <w:pPr>
        <w:pStyle w:val="13"/>
      </w:pPr>
      <w:r w:rsidRPr="00206C4C">
        <w:t>Местонахождение;</w:t>
      </w:r>
    </w:p>
    <w:p w:rsidR="005D77E1" w:rsidRPr="00206C4C" w:rsidRDefault="005D77E1" w:rsidP="00DE1661">
      <w:pPr>
        <w:pStyle w:val="13"/>
      </w:pPr>
      <w:r w:rsidRPr="00206C4C">
        <w:t>Счет учета имущества.</w:t>
      </w:r>
    </w:p>
    <w:p w:rsidR="00D25613" w:rsidRDefault="00D25613" w:rsidP="00D25613">
      <w:pPr>
        <w:pStyle w:val="afffff7"/>
        <w:keepNext/>
      </w:pPr>
      <w:r>
        <w:rPr>
          <w:noProof/>
          <w:lang w:eastAsia="ru-RU"/>
        </w:rPr>
        <w:drawing>
          <wp:inline distT="0" distB="0" distL="0" distR="0" wp14:anchorId="3B5B4EE8" wp14:editId="38EEE74F">
            <wp:extent cx="5939790" cy="2891119"/>
            <wp:effectExtent l="0" t="0" r="3810" b="5080"/>
            <wp:docPr id="5887" name="Рисунок 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9"/>
                    <a:stretch>
                      <a:fillRect/>
                    </a:stretch>
                  </pic:blipFill>
                  <pic:spPr>
                    <a:xfrm>
                      <a:off x="0" y="0"/>
                      <a:ext cx="5939790" cy="2891119"/>
                    </a:xfrm>
                    <a:prstGeom prst="rect">
                      <a:avLst/>
                    </a:prstGeom>
                  </pic:spPr>
                </pic:pic>
              </a:graphicData>
            </a:graphic>
          </wp:inline>
        </w:drawing>
      </w:r>
    </w:p>
    <w:p w:rsidR="005D77E1" w:rsidRPr="00206C4C" w:rsidRDefault="00D25613" w:rsidP="00D25613">
      <w:pPr>
        <w:pStyle w:val="-0"/>
      </w:pPr>
      <w:bookmarkStart w:id="1286" w:name="_Toc119584515"/>
      <w:r w:rsidRPr="00206C4C">
        <w:t xml:space="preserve">Рисунок </w:t>
      </w:r>
      <w:fldSimple w:instr=" SEQ Рисунок \* ARABIC ">
        <w:bookmarkStart w:id="1287" w:name="_Ref70086674"/>
        <w:r w:rsidR="001860A9">
          <w:rPr>
            <w:noProof/>
          </w:rPr>
          <w:t>328</w:t>
        </w:r>
        <w:bookmarkEnd w:id="1287"/>
      </w:fldSimple>
      <w:r w:rsidRPr="00206C4C">
        <w:t xml:space="preserve"> – Макет отчета «Сведения о ФХД ФОИВ». Представление «Нефинансовые активы» – «Объекты» – «Инвентарная карточка»</w:t>
      </w:r>
      <w:bookmarkEnd w:id="1286"/>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«Нефинансовые активы» (F_GK_</w:t>
      </w:r>
      <w:r w:rsidRPr="00206C4C">
        <w:rPr>
          <w:lang w:val="en-US"/>
        </w:rPr>
        <w:t>OS</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Default="005D77E1" w:rsidP="00DE1661">
      <w:pPr>
        <w:pStyle w:val="13"/>
      </w:pPr>
      <w:r w:rsidRPr="00206C4C">
        <w:t>Единицы измерения. Плоский список с элементами: руб., тыс. руб., млн. руб., млрд. руб.</w:t>
      </w:r>
    </w:p>
    <w:p w:rsidR="00396077" w:rsidRDefault="00944C14" w:rsidP="00AA057B">
      <w:pPr>
        <w:pStyle w:val="42"/>
      </w:pPr>
      <w:r>
        <w:t>Представление «</w:t>
      </w:r>
      <w:r w:rsidR="00A56702">
        <w:t xml:space="preserve">Исполнение </w:t>
      </w:r>
      <w:r w:rsidR="00AA057B">
        <w:t>бюджета</w:t>
      </w:r>
      <w:r>
        <w:t>»</w:t>
      </w:r>
      <w:r w:rsidR="00AA057B">
        <w:t xml:space="preserve"> - «Доходы»</w:t>
      </w:r>
    </w:p>
    <w:p w:rsidR="00AA057B" w:rsidRDefault="00AA057B" w:rsidP="00AA057B">
      <w:pPr>
        <w:pStyle w:val="af0"/>
      </w:pPr>
      <w:r>
        <w:t>Представление «Исполнение бюджета» - «Доходы» обеспечивает расчет следующих показателей в разрезе основных видов доходов:</w:t>
      </w:r>
    </w:p>
    <w:p w:rsidR="00AA057B" w:rsidRDefault="00AA057B" w:rsidP="00DE1661">
      <w:pPr>
        <w:pStyle w:val="13"/>
      </w:pPr>
      <w:r>
        <w:t>Группа/подгруппа доходов;</w:t>
      </w:r>
    </w:p>
    <w:p w:rsidR="00AA057B" w:rsidRDefault="00AA057B" w:rsidP="00DE1661">
      <w:pPr>
        <w:pStyle w:val="13"/>
      </w:pPr>
      <w:r w:rsidRPr="00475844">
        <w:t>Дебиторская (кредиторская) задолженность на начало года;</w:t>
      </w:r>
    </w:p>
    <w:p w:rsidR="00AA057B" w:rsidRDefault="00AA057B" w:rsidP="00DE1661">
      <w:pPr>
        <w:pStyle w:val="13"/>
      </w:pPr>
      <w:r>
        <w:t>Дебиторская задолженность на начало года;</w:t>
      </w:r>
    </w:p>
    <w:p w:rsidR="00AA057B" w:rsidRPr="00475844" w:rsidRDefault="00AA057B" w:rsidP="00DE1661">
      <w:pPr>
        <w:pStyle w:val="13"/>
      </w:pPr>
      <w:r>
        <w:t>Кредиторская задолженность на начало года;</w:t>
      </w:r>
    </w:p>
    <w:p w:rsidR="00AA057B" w:rsidRPr="00475844" w:rsidRDefault="00AA057B" w:rsidP="00DE1661">
      <w:pPr>
        <w:pStyle w:val="13"/>
      </w:pPr>
      <w:r w:rsidRPr="00475844">
        <w:t>Прогноз поступлений;</w:t>
      </w:r>
    </w:p>
    <w:p w:rsidR="00AA057B" w:rsidRDefault="00AA057B" w:rsidP="00DE1661">
      <w:pPr>
        <w:pStyle w:val="13"/>
      </w:pPr>
      <w:r w:rsidRPr="00475844">
        <w:t>Начислено</w:t>
      </w:r>
      <w:r>
        <w:t xml:space="preserve"> задолженности</w:t>
      </w:r>
      <w:r w:rsidRPr="00475844">
        <w:t xml:space="preserve"> с начала года;</w:t>
      </w:r>
    </w:p>
    <w:p w:rsidR="00AA057B" w:rsidRDefault="00AA057B" w:rsidP="00DE1661">
      <w:pPr>
        <w:pStyle w:val="13"/>
      </w:pPr>
      <w:r>
        <w:t>Всего уменьшено задолженности с начала года;</w:t>
      </w:r>
    </w:p>
    <w:p w:rsidR="00AA057B" w:rsidRPr="00475844" w:rsidRDefault="00AA057B" w:rsidP="00DE1661">
      <w:pPr>
        <w:pStyle w:val="13"/>
      </w:pPr>
      <w:r>
        <w:t>В т. ч. кассовое исполнение</w:t>
      </w:r>
      <w:r w:rsidRPr="00475844">
        <w:t xml:space="preserve"> с начала года;</w:t>
      </w:r>
    </w:p>
    <w:p w:rsidR="00AA057B" w:rsidRDefault="00AA057B" w:rsidP="00DE1661">
      <w:pPr>
        <w:pStyle w:val="13"/>
      </w:pPr>
      <w:r w:rsidRPr="00475844">
        <w:t>Дебиторская (кредиторская) задолженность на конец периода;</w:t>
      </w:r>
    </w:p>
    <w:p w:rsidR="00AA057B" w:rsidRDefault="00AA057B" w:rsidP="00DE1661">
      <w:pPr>
        <w:pStyle w:val="13"/>
      </w:pPr>
      <w:r>
        <w:t>Дебиторская задолженность на конец периода;</w:t>
      </w:r>
    </w:p>
    <w:p w:rsidR="00AA057B" w:rsidRDefault="00AA057B" w:rsidP="00DE1661">
      <w:pPr>
        <w:pStyle w:val="13"/>
      </w:pPr>
      <w:r>
        <w:t>Кредиторская задолженность на конец периода;</w:t>
      </w:r>
    </w:p>
    <w:p w:rsidR="00AA057B" w:rsidRPr="00D768FE" w:rsidRDefault="00AA057B" w:rsidP="00DE1661">
      <w:pPr>
        <w:pStyle w:val="13"/>
      </w:pPr>
      <w:r>
        <w:t>Процент исполнения прогноза.</w:t>
      </w:r>
    </w:p>
    <w:p w:rsidR="00AA057B" w:rsidRDefault="00AA057B" w:rsidP="00AA057B">
      <w:pPr>
        <w:rPr>
          <w:sz w:val="28"/>
          <w:szCs w:val="28"/>
        </w:rPr>
      </w:pPr>
      <w:r>
        <w:rPr>
          <w:sz w:val="28"/>
          <w:szCs w:val="28"/>
        </w:rPr>
        <w:t>Источники данных для отчета:</w:t>
      </w:r>
    </w:p>
    <w:p w:rsidR="00AA057B" w:rsidRDefault="00AA057B" w:rsidP="00DE1661">
      <w:pPr>
        <w:pStyle w:val="13"/>
      </w:pPr>
      <w:r>
        <w:t>Данные на основе информации регистра «Главная книга» (</w:t>
      </w:r>
      <w:r w:rsidRPr="00020AFE">
        <w:t>F_GK_DATA</w:t>
      </w:r>
      <w:r>
        <w:t>);</w:t>
      </w:r>
    </w:p>
    <w:p w:rsidR="00AA057B" w:rsidRDefault="00AA057B" w:rsidP="00DE1661">
      <w:pPr>
        <w:pStyle w:val="13"/>
      </w:pPr>
      <w:r>
        <w:t>Данные на основе информации по «Дебиторская задолженность» (F_</w:t>
      </w:r>
      <w:r>
        <w:rPr>
          <w:lang w:val="en-US"/>
        </w:rPr>
        <w:t>GK</w:t>
      </w:r>
      <w:r>
        <w:t>_</w:t>
      </w:r>
      <w:r>
        <w:rPr>
          <w:lang w:val="en-US"/>
        </w:rPr>
        <w:t>DKZ</w:t>
      </w:r>
      <w:r>
        <w:t>).</w:t>
      </w:r>
    </w:p>
    <w:p w:rsidR="00AA057B" w:rsidRDefault="00AA057B" w:rsidP="00AA057B">
      <w:pPr>
        <w:rPr>
          <w:sz w:val="28"/>
          <w:szCs w:val="28"/>
        </w:rPr>
      </w:pPr>
      <w:r>
        <w:rPr>
          <w:sz w:val="28"/>
          <w:szCs w:val="28"/>
        </w:rPr>
        <w:t>Параметры отчета:</w:t>
      </w:r>
    </w:p>
    <w:p w:rsidR="00AA057B" w:rsidRPr="00D768FE" w:rsidRDefault="00AA057B"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AA057B" w:rsidRPr="00D768FE" w:rsidRDefault="00AA057B" w:rsidP="00DE1661">
      <w:pPr>
        <w:pStyle w:val="13"/>
      </w:pPr>
      <w:r w:rsidRPr="00D768FE">
        <w:t>Единицы измерения</w:t>
      </w:r>
      <w:r>
        <w:t>. Плоский список с элементами:</w:t>
      </w:r>
      <w:r w:rsidRPr="00D768FE">
        <w:t xml:space="preserve"> руб., тыс. руб., млн. руб., млрд. руб.</w:t>
      </w:r>
    </w:p>
    <w:p w:rsidR="00AA057B" w:rsidRPr="00D768FE" w:rsidRDefault="00AA057B" w:rsidP="00DE1661">
      <w:pPr>
        <w:pStyle w:val="13"/>
      </w:pPr>
      <w:r w:rsidRPr="00D768FE">
        <w:t>Код главы</w:t>
      </w:r>
      <w:r>
        <w:t>. Плоский список с перечнем Глав субъектов учета, по которым производится анализ в ПИАО</w:t>
      </w:r>
      <w:r w:rsidRPr="00D768FE">
        <w:t>;</w:t>
      </w:r>
    </w:p>
    <w:p w:rsidR="00AA057B" w:rsidRPr="00D768FE" w:rsidRDefault="00AA057B" w:rsidP="00DE1661">
      <w:pPr>
        <w:pStyle w:val="13"/>
      </w:pPr>
      <w:r w:rsidRPr="00D768FE">
        <w:t>ТОФК</w:t>
      </w:r>
      <w:r>
        <w:t>. Плоский список с перечнем ТОФК обслуживания субъектов учета, по которым производится анализ в ПИАО</w:t>
      </w:r>
      <w:r w:rsidRPr="00D768FE">
        <w:t>;</w:t>
      </w:r>
    </w:p>
    <w:p w:rsidR="00AA057B" w:rsidRDefault="00AA057B" w:rsidP="00DE1661">
      <w:pPr>
        <w:pStyle w:val="13"/>
      </w:pPr>
      <w:r w:rsidRPr="00D768FE">
        <w:t>Субъект учета</w:t>
      </w:r>
      <w:r>
        <w:t>.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находящиеся в ведении данной Главы.</w:t>
      </w:r>
    </w:p>
    <w:p w:rsidR="00AA057B" w:rsidRPr="00D768FE" w:rsidRDefault="00AA057B" w:rsidP="00AA057B">
      <w:pPr>
        <w:rPr>
          <w:color w:val="auto"/>
          <w:sz w:val="28"/>
          <w:szCs w:val="28"/>
        </w:rPr>
      </w:pPr>
      <w:r>
        <w:rPr>
          <w:color w:val="auto"/>
          <w:sz w:val="28"/>
          <w:szCs w:val="28"/>
        </w:rPr>
        <w:t xml:space="preserve">Из </w:t>
      </w:r>
      <w:r w:rsidR="00DC2EA7">
        <w:rPr>
          <w:color w:val="auto"/>
          <w:sz w:val="28"/>
          <w:szCs w:val="28"/>
        </w:rPr>
        <w:t>представления</w:t>
      </w:r>
      <w:r>
        <w:rPr>
          <w:color w:val="auto"/>
          <w:sz w:val="28"/>
          <w:szCs w:val="28"/>
        </w:rPr>
        <w:t xml:space="preserve"> обеспечены переходы в следующие виды детализации:</w:t>
      </w:r>
    </w:p>
    <w:p w:rsidR="00AA057B" w:rsidRDefault="00AA057B" w:rsidP="00DE1661">
      <w:pPr>
        <w:pStyle w:val="13"/>
      </w:pPr>
      <w:r>
        <w:t>Детализация по учреждениям;</w:t>
      </w:r>
    </w:p>
    <w:p w:rsidR="00AA057B" w:rsidRDefault="00AA057B" w:rsidP="00DE1661">
      <w:pPr>
        <w:pStyle w:val="13"/>
      </w:pPr>
      <w:r>
        <w:t>Детализация по КБК;</w:t>
      </w:r>
    </w:p>
    <w:p w:rsidR="00AA057B" w:rsidRDefault="00AA057B" w:rsidP="00DE1661">
      <w:pPr>
        <w:pStyle w:val="13"/>
      </w:pPr>
      <w:r>
        <w:t>Детализация дебиторской и кредиторской задолженности по договорам.</w:t>
      </w:r>
    </w:p>
    <w:p w:rsidR="00AA057B" w:rsidRDefault="00AA057B" w:rsidP="00AA057B">
      <w:pPr>
        <w:pStyle w:val="-"/>
        <w:rPr>
          <w:noProof/>
        </w:rPr>
      </w:pPr>
      <w:bookmarkStart w:id="1288" w:name="_Toc54347200"/>
      <w:bookmarkStart w:id="1289" w:name="_Toc119585184"/>
      <w:r>
        <w:t xml:space="preserve">Таблица </w:t>
      </w:r>
      <w:fldSimple w:instr=" SEQ Таблица \* ARABIC ">
        <w:r w:rsidR="00BF0BEE">
          <w:rPr>
            <w:noProof/>
          </w:rPr>
          <w:t>43</w:t>
        </w:r>
      </w:fldSimple>
      <w:r>
        <w:rPr>
          <w:noProof/>
        </w:rPr>
        <w:t xml:space="preserve"> –</w:t>
      </w:r>
      <w:r>
        <w:t xml:space="preserve"> Перечень граф и параметров представления «Исполнение бюджета» – «Доходы»</w:t>
      </w:r>
      <w:bookmarkEnd w:id="1288"/>
      <w:bookmarkEnd w:id="1289"/>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021"/>
        <w:gridCol w:w="1926"/>
        <w:gridCol w:w="1281"/>
        <w:gridCol w:w="3211"/>
        <w:gridCol w:w="1128"/>
      </w:tblGrid>
      <w:tr w:rsidR="00010838" w:rsidRPr="000A04FC" w:rsidTr="00010838">
        <w:trPr>
          <w:cantSplit/>
          <w:trHeight w:val="347"/>
          <w:tblHeader/>
        </w:trPr>
        <w:tc>
          <w:tcPr>
            <w:tcW w:w="646" w:type="pct"/>
            <w:shd w:val="clear" w:color="auto" w:fill="D9D9D9" w:themeFill="background1" w:themeFillShade="D9"/>
            <w:vAlign w:val="center"/>
            <w:hideMark/>
          </w:tcPr>
          <w:p w:rsidR="00010838" w:rsidRPr="000A04FC" w:rsidRDefault="00010838" w:rsidP="00DC2EA7">
            <w:pPr>
              <w:jc w:val="center"/>
              <w:rPr>
                <w:b/>
                <w:bCs/>
                <w:szCs w:val="24"/>
              </w:rPr>
            </w:pPr>
            <w:r w:rsidRPr="000A04FC">
              <w:rPr>
                <w:b/>
                <w:bCs/>
                <w:szCs w:val="24"/>
              </w:rPr>
              <w:t>Тип изменения</w:t>
            </w:r>
          </w:p>
        </w:tc>
        <w:tc>
          <w:tcPr>
            <w:tcW w:w="519" w:type="pct"/>
            <w:shd w:val="clear" w:color="auto" w:fill="D9D9D9" w:themeFill="background1" w:themeFillShade="D9"/>
            <w:vAlign w:val="center"/>
            <w:hideMark/>
          </w:tcPr>
          <w:p w:rsidR="00010838" w:rsidRPr="000A04FC" w:rsidRDefault="00010838" w:rsidP="00DC2EA7">
            <w:pPr>
              <w:jc w:val="center"/>
              <w:rPr>
                <w:b/>
                <w:bCs/>
                <w:szCs w:val="24"/>
              </w:rPr>
            </w:pPr>
            <w:r w:rsidRPr="000A04FC">
              <w:rPr>
                <w:b/>
                <w:bCs/>
                <w:szCs w:val="24"/>
              </w:rPr>
              <w:t>Тип</w:t>
            </w:r>
          </w:p>
        </w:tc>
        <w:tc>
          <w:tcPr>
            <w:tcW w:w="979" w:type="pct"/>
            <w:shd w:val="clear" w:color="auto" w:fill="D9D9D9" w:themeFill="background1" w:themeFillShade="D9"/>
            <w:vAlign w:val="center"/>
            <w:hideMark/>
          </w:tcPr>
          <w:p w:rsidR="00010838" w:rsidRPr="000A04FC" w:rsidRDefault="00010838" w:rsidP="00DC2EA7">
            <w:pPr>
              <w:jc w:val="center"/>
              <w:rPr>
                <w:b/>
                <w:bCs/>
                <w:szCs w:val="24"/>
              </w:rPr>
            </w:pPr>
            <w:r w:rsidRPr="000A04FC">
              <w:rPr>
                <w:b/>
                <w:bCs/>
                <w:szCs w:val="24"/>
              </w:rPr>
              <w:t>Наименование</w:t>
            </w:r>
          </w:p>
        </w:tc>
        <w:tc>
          <w:tcPr>
            <w:tcW w:w="651" w:type="pct"/>
            <w:shd w:val="clear" w:color="auto" w:fill="D9D9D9" w:themeFill="background1" w:themeFillShade="D9"/>
          </w:tcPr>
          <w:p w:rsidR="00010838" w:rsidRPr="000A04FC" w:rsidRDefault="00010838" w:rsidP="00DC2EA7">
            <w:pPr>
              <w:jc w:val="center"/>
              <w:rPr>
                <w:b/>
                <w:bCs/>
                <w:szCs w:val="24"/>
              </w:rPr>
            </w:pPr>
            <w:r w:rsidRPr="000A04FC">
              <w:rPr>
                <w:b/>
                <w:bCs/>
                <w:szCs w:val="24"/>
              </w:rPr>
              <w:t>Источник данных</w:t>
            </w:r>
          </w:p>
        </w:tc>
        <w:tc>
          <w:tcPr>
            <w:tcW w:w="1632" w:type="pct"/>
            <w:shd w:val="clear" w:color="auto" w:fill="D9D9D9" w:themeFill="background1" w:themeFillShade="D9"/>
            <w:vAlign w:val="center"/>
          </w:tcPr>
          <w:p w:rsidR="00010838" w:rsidRPr="000A04FC" w:rsidRDefault="00010838" w:rsidP="00DC2EA7">
            <w:pPr>
              <w:jc w:val="center"/>
              <w:rPr>
                <w:b/>
                <w:bCs/>
                <w:szCs w:val="24"/>
              </w:rPr>
            </w:pPr>
            <w:r w:rsidRPr="000A04FC">
              <w:rPr>
                <w:b/>
                <w:bCs/>
                <w:szCs w:val="24"/>
              </w:rPr>
              <w:t>Примечание</w:t>
            </w:r>
          </w:p>
        </w:tc>
        <w:tc>
          <w:tcPr>
            <w:tcW w:w="573" w:type="pct"/>
            <w:shd w:val="clear" w:color="auto" w:fill="D9D9D9" w:themeFill="background1" w:themeFillShade="D9"/>
            <w:vAlign w:val="center"/>
          </w:tcPr>
          <w:p w:rsidR="00010838" w:rsidRPr="000A04FC" w:rsidRDefault="00010838" w:rsidP="00DC2EA7">
            <w:pPr>
              <w:jc w:val="center"/>
              <w:rPr>
                <w:b/>
                <w:bCs/>
                <w:szCs w:val="24"/>
              </w:rPr>
            </w:pPr>
            <w:r w:rsidRPr="000A04FC">
              <w:rPr>
                <w:b/>
                <w:bCs/>
                <w:szCs w:val="24"/>
              </w:rPr>
              <w:t>Пример</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Показатель</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 xml:space="preserve">Наименование показателя соответствует </w:t>
            </w:r>
            <w:r w:rsidRPr="000A04FC">
              <w:rPr>
                <w:rFonts w:ascii="Times New Roman" w:hAnsi="Times New Roman" w:cs="Times New Roman"/>
                <w:color w:val="000000"/>
                <w:sz w:val="24"/>
                <w:szCs w:val="24"/>
              </w:rPr>
              <w:t>коду классификации доходов бюджетов</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Style w:val="GOSTSymItalic"/>
                <w:rFonts w:ascii="Times New Roman" w:hAnsi="Times New Roman" w:cs="Times New Roman"/>
                <w:sz w:val="24"/>
                <w:szCs w:val="24"/>
              </w:rPr>
              <w:t>ГОСУДАРСТВЕННАЯ ПОШЛИНА</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Группа/подгруппа доходов</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Выбор группы/подгруппы из КД бюджета</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Style w:val="GOSTSymItalic"/>
                <w:rFonts w:ascii="Times New Roman" w:hAnsi="Times New Roman" w:cs="Times New Roman"/>
                <w:sz w:val="24"/>
                <w:szCs w:val="24"/>
              </w:rPr>
              <w:t>108</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Дебиторская (кредиторская) задолженность на начало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начало года (Дт-Кт) по 205 счету + Остаток на начало года (Дт-Кт) по 209 счету</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-219 708,49</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Дебиторская задолженность на начало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начало года Дт по счету 205 + Остаток на начало года Дт по счету 209.</w:t>
            </w:r>
          </w:p>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573" w:type="pct"/>
          </w:tcPr>
          <w:tbl>
            <w:tblPr>
              <w:tblW w:w="0" w:type="auto"/>
              <w:tblCellSpacing w:w="0" w:type="dxa"/>
              <w:tblLayout w:type="fixed"/>
              <w:tblCellMar>
                <w:left w:w="0" w:type="dxa"/>
                <w:right w:w="0" w:type="dxa"/>
              </w:tblCellMar>
              <w:tblLook w:val="04A0" w:firstRow="1" w:lastRow="0" w:firstColumn="1" w:lastColumn="0" w:noHBand="0" w:noVBand="1"/>
            </w:tblPr>
            <w:tblGrid>
              <w:gridCol w:w="2250"/>
              <w:gridCol w:w="2250"/>
            </w:tblGrid>
            <w:tr w:rsidR="00010838" w:rsidRPr="000A04FC" w:rsidTr="00DC2EA7">
              <w:trPr>
                <w:tblCellSpacing w:w="0" w:type="dxa"/>
              </w:trPr>
              <w:tc>
                <w:tcPr>
                  <w:tcW w:w="2250" w:type="dxa"/>
                  <w:vAlign w:val="center"/>
                </w:tcPr>
                <w:p w:rsidR="00010838" w:rsidRPr="000A04FC" w:rsidRDefault="00010838" w:rsidP="00DC2EA7">
                  <w:pPr>
                    <w:jc w:val="right"/>
                    <w:rPr>
                      <w:szCs w:val="24"/>
                    </w:rPr>
                  </w:pPr>
                </w:p>
              </w:tc>
              <w:tc>
                <w:tcPr>
                  <w:tcW w:w="2250" w:type="dxa"/>
                  <w:vAlign w:val="center"/>
                </w:tcPr>
                <w:p w:rsidR="00010838" w:rsidRPr="000A04FC" w:rsidRDefault="00010838" w:rsidP="00DC2EA7">
                  <w:pPr>
                    <w:rPr>
                      <w:szCs w:val="24"/>
                    </w:rPr>
                  </w:pPr>
                </w:p>
              </w:tc>
            </w:tr>
          </w:tbl>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21,80</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Кредиторская задолженность на начало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начало года Кт по счету 205 + Остаток на начало года Кт по счету 209</w:t>
            </w:r>
          </w:p>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219 730,29</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Изменение алгоритма</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Прогноз поступлений</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конец периода (Кт-Дт) по счету 50411</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1 117 336,60</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Изменение названия</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Начислено задолженности с начала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Обороты по Дт с начала года по счету 205 + Обороты по Дт с начала года по счету 209</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300 129,74</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Всего уменьшено задолженности с начала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Оборот по Кт счету 205 + Оборот по Кт счету 209</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414 310,83</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В т. ч. кассовое исполнение с начала года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Оборот по Дт 21002 минус Оборот по Кт 21002</w:t>
            </w:r>
          </w:p>
        </w:tc>
        <w:tc>
          <w:tcPr>
            <w:tcW w:w="573"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403 732,37</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 xml:space="preserve">Изменение алгоритма </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Дебиторская (кредиторская) задолженность на конец периода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Расчет</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Дебиторская (кредиторская) задолженность на начало года +  Начислено задолженности с начала года -  Всего уменьшено задолженности с начала года</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-333 889,58</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Дебиторская задолженность на конец периода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конец периода Дт по счету 205 + Остаток на начало года Дт по счету 209</w:t>
            </w:r>
          </w:p>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573"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391,74</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Новое</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Кредиторская задолженность на конец периода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МВУ ПУИО, регистр «Главная книга»</w:t>
            </w: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Остаток на конец периода Кт по счету 205 + Остаток на начало года Кт по счету 209</w:t>
            </w:r>
          </w:p>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sz w:val="24"/>
                <w:szCs w:val="24"/>
              </w:rPr>
              <w:t>334 281,32</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Графа</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Процент исполнения прогноза</w:t>
            </w:r>
          </w:p>
        </w:tc>
        <w:tc>
          <w:tcPr>
            <w:tcW w:w="651"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Расчет</w:t>
            </w:r>
          </w:p>
        </w:tc>
        <w:tc>
          <w:tcPr>
            <w:tcW w:w="1632"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Отношение кассового исполнения с начала года к прогнозу поступлений в процентах.</w:t>
            </w:r>
          </w:p>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Добавлена гистограмма</w:t>
            </w:r>
          </w:p>
        </w:tc>
        <w:tc>
          <w:tcPr>
            <w:tcW w:w="573" w:type="pct"/>
          </w:tcPr>
          <w:p w:rsidR="00010838" w:rsidRPr="000A04FC" w:rsidRDefault="00010838" w:rsidP="00DC2EA7">
            <w:pPr>
              <w:pStyle w:val="GOSTTablenorm0"/>
              <w:rPr>
                <w:rStyle w:val="GOSTSymItalic"/>
                <w:rFonts w:ascii="Times New Roman" w:hAnsi="Times New Roman" w:cs="Times New Roman"/>
                <w:i w:val="0"/>
                <w:sz w:val="24"/>
                <w:szCs w:val="24"/>
              </w:rPr>
            </w:pPr>
            <w:r w:rsidRPr="000A04FC">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402C910C" wp14:editId="08C560EA">
                      <wp:simplePos x="0" y="0"/>
                      <wp:positionH relativeFrom="column">
                        <wp:posOffset>27305</wp:posOffset>
                      </wp:positionH>
                      <wp:positionV relativeFrom="paragraph">
                        <wp:posOffset>29209</wp:posOffset>
                      </wp:positionV>
                      <wp:extent cx="257175" cy="142875"/>
                      <wp:effectExtent l="0" t="0" r="28575" b="28575"/>
                      <wp:wrapNone/>
                      <wp:docPr id="352" name="Прямоугольник 352"/>
                      <wp:cNvGraphicFramePr/>
                      <a:graphic xmlns:a="http://schemas.openxmlformats.org/drawingml/2006/main">
                        <a:graphicData uri="http://schemas.microsoft.com/office/word/2010/wordprocessingShape">
                          <wps:wsp>
                            <wps:cNvSpPr/>
                            <wps:spPr>
                              <a:xfrm>
                                <a:off x="0" y="0"/>
                                <a:ext cx="257175" cy="14287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52" o:spid="_x0000_s1026" style="position:absolute;margin-left:2.15pt;margin-top:2.3pt;width:20.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" fillcolor="#00b050" strokecolor="#00b050" strokeweight="2pt"/>
                  </w:pict>
                </mc:Fallback>
              </mc:AlternateContent>
            </w:r>
            <w:r w:rsidRPr="000A04FC">
              <w:rPr>
                <w:rFonts w:ascii="Times New Roman" w:hAnsi="Times New Roman" w:cs="Times New Roman"/>
                <w:sz w:val="24"/>
                <w:szCs w:val="24"/>
              </w:rPr>
              <w:t xml:space="preserve">              36,13%</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Фильтр</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Дата</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Выпадающий список с выбором определенной даты с использованием календаря</w:t>
            </w:r>
          </w:p>
        </w:tc>
        <w:tc>
          <w:tcPr>
            <w:tcW w:w="573" w:type="pct"/>
          </w:tcPr>
          <w:p w:rsidR="00010838" w:rsidRPr="000A04FC" w:rsidRDefault="00010838" w:rsidP="00DC2EA7">
            <w:pPr>
              <w:pStyle w:val="GOSTTablenorm0"/>
              <w:rPr>
                <w:rFonts w:ascii="Times New Roman" w:hAnsi="Times New Roman" w:cs="Times New Roman"/>
                <w:noProof/>
                <w:sz w:val="24"/>
                <w:szCs w:val="24"/>
              </w:rPr>
            </w:pPr>
            <w:r w:rsidRPr="000A04FC">
              <w:rPr>
                <w:rFonts w:ascii="Times New Roman" w:hAnsi="Times New Roman" w:cs="Times New Roman"/>
                <w:noProof/>
                <w:sz w:val="24"/>
                <w:szCs w:val="24"/>
              </w:rPr>
              <w:t>30.06.2020</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Фильтр</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Единицы измерения</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Плоский список с элементами: руб., тыс. руб., млн. руб., млрд. руб.</w:t>
            </w:r>
          </w:p>
        </w:tc>
        <w:tc>
          <w:tcPr>
            <w:tcW w:w="573" w:type="pct"/>
          </w:tcPr>
          <w:p w:rsidR="00010838" w:rsidRPr="000A04FC" w:rsidRDefault="00010838" w:rsidP="00DC2EA7">
            <w:pPr>
              <w:pStyle w:val="GOSTTablenorm0"/>
              <w:rPr>
                <w:rFonts w:ascii="Times New Roman" w:hAnsi="Times New Roman" w:cs="Times New Roman"/>
                <w:noProof/>
                <w:sz w:val="24"/>
                <w:szCs w:val="24"/>
              </w:rPr>
            </w:pPr>
            <w:r w:rsidRPr="000A04FC">
              <w:rPr>
                <w:rFonts w:ascii="Times New Roman" w:hAnsi="Times New Roman" w:cs="Times New Roman"/>
                <w:noProof/>
                <w:sz w:val="24"/>
                <w:szCs w:val="24"/>
              </w:rPr>
              <w:t>Тыс руб</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Фильтр</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Код главы</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Плоский список с перечнем Глав субъектов учета</w:t>
            </w:r>
          </w:p>
        </w:tc>
        <w:tc>
          <w:tcPr>
            <w:tcW w:w="573" w:type="pct"/>
          </w:tcPr>
          <w:p w:rsidR="00010838" w:rsidRPr="000A04FC" w:rsidRDefault="00010838" w:rsidP="00DC2EA7">
            <w:pPr>
              <w:pStyle w:val="GOSTTablenorm0"/>
              <w:rPr>
                <w:rFonts w:ascii="Times New Roman" w:hAnsi="Times New Roman" w:cs="Times New Roman"/>
                <w:noProof/>
                <w:sz w:val="24"/>
                <w:szCs w:val="24"/>
              </w:rPr>
            </w:pPr>
            <w:r w:rsidRPr="000A04FC">
              <w:rPr>
                <w:rFonts w:ascii="Times New Roman" w:hAnsi="Times New Roman" w:cs="Times New Roman"/>
                <w:noProof/>
                <w:sz w:val="24"/>
                <w:szCs w:val="24"/>
              </w:rPr>
              <w:t>092</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Фильтр</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ТОФК</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Плоский список с перечнем ТОФК обслуживания субъектов учета</w:t>
            </w:r>
          </w:p>
        </w:tc>
        <w:tc>
          <w:tcPr>
            <w:tcW w:w="573" w:type="pct"/>
          </w:tcPr>
          <w:p w:rsidR="00010838" w:rsidRPr="000A04FC" w:rsidRDefault="00010838" w:rsidP="00DC2EA7">
            <w:pPr>
              <w:pStyle w:val="GOSTTablenorm0"/>
              <w:rPr>
                <w:rFonts w:ascii="Times New Roman" w:hAnsi="Times New Roman" w:cs="Times New Roman"/>
                <w:noProof/>
                <w:sz w:val="24"/>
                <w:szCs w:val="24"/>
              </w:rPr>
            </w:pPr>
            <w:r w:rsidRPr="000A04FC">
              <w:rPr>
                <w:rFonts w:ascii="Times New Roman" w:hAnsi="Times New Roman" w:cs="Times New Roman"/>
                <w:noProof/>
                <w:sz w:val="24"/>
                <w:szCs w:val="24"/>
              </w:rPr>
              <w:t>УФК по Республике Башкортостан</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Фильтр</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Субъект учета</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Плоский список: перечень субъектов учета</w:t>
            </w:r>
          </w:p>
        </w:tc>
        <w:tc>
          <w:tcPr>
            <w:tcW w:w="573" w:type="pct"/>
          </w:tcPr>
          <w:p w:rsidR="00010838" w:rsidRPr="000A04FC" w:rsidRDefault="00010838" w:rsidP="00DC2EA7">
            <w:pPr>
              <w:pStyle w:val="GOSTTablenorm0"/>
              <w:rPr>
                <w:rFonts w:ascii="Times New Roman" w:hAnsi="Times New Roman" w:cs="Times New Roman"/>
                <w:noProof/>
                <w:sz w:val="24"/>
                <w:szCs w:val="24"/>
              </w:rPr>
            </w:pPr>
            <w:r w:rsidRPr="000A04FC">
              <w:rPr>
                <w:rFonts w:ascii="Times New Roman" w:hAnsi="Times New Roman" w:cs="Times New Roman"/>
                <w:noProof/>
                <w:sz w:val="24"/>
                <w:szCs w:val="24"/>
              </w:rPr>
              <w:t>МИНФИН РОССИИ</w:t>
            </w: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Переход</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Детализация по учреждениям</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 xml:space="preserve">Переход с графы показатель в представление «Исполнение бюджета по доходам - по учреждениям» </w:t>
            </w:r>
          </w:p>
        </w:tc>
        <w:tc>
          <w:tcPr>
            <w:tcW w:w="573" w:type="pct"/>
          </w:tcPr>
          <w:p w:rsidR="00010838" w:rsidRPr="000A04FC" w:rsidRDefault="00010838" w:rsidP="00DC2EA7">
            <w:pPr>
              <w:pStyle w:val="GOSTTablenorm0"/>
              <w:rPr>
                <w:rFonts w:ascii="Times New Roman" w:hAnsi="Times New Roman" w:cs="Times New Roman"/>
                <w:noProof/>
                <w:sz w:val="24"/>
                <w:szCs w:val="24"/>
              </w:rPr>
            </w:pP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Без изменений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Переход</w:t>
            </w:r>
          </w:p>
        </w:tc>
        <w:tc>
          <w:tcPr>
            <w:tcW w:w="97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Детализация по КБК</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Переход с графы показатель в представление «Исполнение бюджета по доходам - по КБК»</w:t>
            </w:r>
          </w:p>
        </w:tc>
        <w:tc>
          <w:tcPr>
            <w:tcW w:w="573" w:type="pct"/>
          </w:tcPr>
          <w:p w:rsidR="00010838" w:rsidRPr="000A04FC" w:rsidRDefault="00010838" w:rsidP="00DC2EA7">
            <w:pPr>
              <w:pStyle w:val="GOSTTablenorm0"/>
              <w:rPr>
                <w:rFonts w:ascii="Times New Roman" w:hAnsi="Times New Roman" w:cs="Times New Roman"/>
                <w:noProof/>
                <w:sz w:val="24"/>
                <w:szCs w:val="24"/>
              </w:rPr>
            </w:pPr>
          </w:p>
        </w:tc>
      </w:tr>
      <w:tr w:rsidR="00010838" w:rsidRPr="000A04FC" w:rsidTr="00010838">
        <w:trPr>
          <w:cantSplit/>
          <w:trHeight w:val="223"/>
        </w:trPr>
        <w:tc>
          <w:tcPr>
            <w:tcW w:w="646" w:type="pct"/>
            <w:shd w:val="clear" w:color="auto" w:fill="auto"/>
          </w:tcPr>
          <w:p w:rsidR="00010838" w:rsidRPr="000A04FC" w:rsidRDefault="00010838" w:rsidP="005C6E50">
            <w:pPr>
              <w:numPr>
                <w:ilvl w:val="0"/>
                <w:numId w:val="110"/>
              </w:numPr>
              <w:rPr>
                <w:szCs w:val="24"/>
              </w:rPr>
            </w:pPr>
            <w:r w:rsidRPr="000A04FC">
              <w:rPr>
                <w:szCs w:val="24"/>
              </w:rPr>
              <w:t>Новый</w:t>
            </w:r>
          </w:p>
        </w:tc>
        <w:tc>
          <w:tcPr>
            <w:tcW w:w="519" w:type="pct"/>
            <w:shd w:val="clear" w:color="auto" w:fill="auto"/>
          </w:tcPr>
          <w:p w:rsidR="00010838" w:rsidRPr="000A04FC" w:rsidRDefault="00010838" w:rsidP="00DC2EA7">
            <w:pPr>
              <w:pStyle w:val="GOSTTablenorm0"/>
              <w:rPr>
                <w:rFonts w:ascii="Times New Roman" w:hAnsi="Times New Roman" w:cs="Times New Roman"/>
                <w:sz w:val="24"/>
                <w:szCs w:val="24"/>
              </w:rPr>
            </w:pPr>
            <w:r w:rsidRPr="000A04FC">
              <w:rPr>
                <w:rFonts w:ascii="Times New Roman" w:hAnsi="Times New Roman" w:cs="Times New Roman"/>
                <w:sz w:val="24"/>
                <w:szCs w:val="24"/>
              </w:rPr>
              <w:t>Переход</w:t>
            </w:r>
          </w:p>
        </w:tc>
        <w:tc>
          <w:tcPr>
            <w:tcW w:w="979" w:type="pct"/>
            <w:shd w:val="clear" w:color="auto" w:fill="auto"/>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Детализация дебиторской и кредиторской задолженности по договорам</w:t>
            </w:r>
          </w:p>
        </w:tc>
        <w:tc>
          <w:tcPr>
            <w:tcW w:w="651" w:type="pct"/>
          </w:tcPr>
          <w:p w:rsidR="00010838" w:rsidRPr="000A04FC" w:rsidRDefault="00010838" w:rsidP="00DC2EA7">
            <w:pPr>
              <w:pStyle w:val="GOSTTablenorm0"/>
              <w:rPr>
                <w:rFonts w:ascii="Times New Roman" w:hAnsi="Times New Roman" w:cs="Times New Roman"/>
                <w:sz w:val="24"/>
                <w:szCs w:val="24"/>
              </w:rPr>
            </w:pPr>
          </w:p>
        </w:tc>
        <w:tc>
          <w:tcPr>
            <w:tcW w:w="1632" w:type="pct"/>
          </w:tcPr>
          <w:p w:rsidR="00010838" w:rsidRPr="000A04FC" w:rsidRDefault="00010838" w:rsidP="00DC2EA7">
            <w:pPr>
              <w:pStyle w:val="GOSTTablenorm0"/>
              <w:jc w:val="left"/>
              <w:rPr>
                <w:rFonts w:ascii="Times New Roman" w:hAnsi="Times New Roman" w:cs="Times New Roman"/>
                <w:sz w:val="24"/>
                <w:szCs w:val="24"/>
              </w:rPr>
            </w:pPr>
            <w:r w:rsidRPr="000A04FC">
              <w:rPr>
                <w:rFonts w:ascii="Times New Roman" w:hAnsi="Times New Roman" w:cs="Times New Roman"/>
                <w:sz w:val="24"/>
                <w:szCs w:val="24"/>
              </w:rPr>
              <w:t>Переход с графы дебиторская задолженность на начало года, кредиторская задолженность на начало года, дебиторская задолженность на конец периода, кредиторская задолженность на конец периода в отчет «Дебиторская и кредиторская задолженность - Договоры»</w:t>
            </w:r>
          </w:p>
        </w:tc>
        <w:tc>
          <w:tcPr>
            <w:tcW w:w="573" w:type="pct"/>
          </w:tcPr>
          <w:p w:rsidR="00010838" w:rsidRPr="000A04FC" w:rsidRDefault="00010838" w:rsidP="00DC2EA7">
            <w:pPr>
              <w:pStyle w:val="GOSTTablenorm0"/>
              <w:rPr>
                <w:rFonts w:ascii="Times New Roman" w:hAnsi="Times New Roman" w:cs="Times New Roman"/>
                <w:noProof/>
                <w:sz w:val="24"/>
                <w:szCs w:val="24"/>
              </w:rPr>
            </w:pPr>
          </w:p>
        </w:tc>
      </w:tr>
    </w:tbl>
    <w:p w:rsidR="00DC2EA7" w:rsidRDefault="00DC2EA7" w:rsidP="00DC2EA7">
      <w:pPr>
        <w:pStyle w:val="ac"/>
        <w:keepNext/>
      </w:pPr>
      <w:r>
        <w:rPr>
          <w:noProof/>
          <w:snapToGrid/>
        </w:rPr>
        <w:drawing>
          <wp:inline distT="0" distB="0" distL="0" distR="0" wp14:anchorId="1723A589" wp14:editId="4D9238E8">
            <wp:extent cx="5939790" cy="2892345"/>
            <wp:effectExtent l="0" t="0" r="3810" b="381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0"/>
                    <a:stretch>
                      <a:fillRect/>
                    </a:stretch>
                  </pic:blipFill>
                  <pic:spPr>
                    <a:xfrm>
                      <a:off x="0" y="0"/>
                      <a:ext cx="5939790" cy="2892345"/>
                    </a:xfrm>
                    <a:prstGeom prst="rect">
                      <a:avLst/>
                    </a:prstGeom>
                  </pic:spPr>
                </pic:pic>
              </a:graphicData>
            </a:graphic>
          </wp:inline>
        </w:drawing>
      </w:r>
    </w:p>
    <w:p w:rsidR="00AA057B" w:rsidRDefault="00DC2EA7" w:rsidP="00DC2EA7">
      <w:pPr>
        <w:pStyle w:val="-0"/>
      </w:pPr>
      <w:bookmarkStart w:id="1290" w:name="_Toc119584516"/>
      <w:r>
        <w:t xml:space="preserve">Рисунок </w:t>
      </w:r>
      <w:fldSimple w:instr=" SEQ Рисунок \* ARABIC ">
        <w:r w:rsidR="001860A9">
          <w:rPr>
            <w:noProof/>
          </w:rPr>
          <w:t>329</w:t>
        </w:r>
      </w:fldSimple>
      <w:r w:rsidRPr="00206C4C">
        <w:t xml:space="preserve"> – Макет отчета «Сведения о ФХД ФОИВ». Представление «</w:t>
      </w:r>
      <w:r>
        <w:t>Исполнение бюджета</w:t>
      </w:r>
      <w:r w:rsidRPr="00206C4C">
        <w:t>» – «</w:t>
      </w:r>
      <w:r>
        <w:t>Доходы</w:t>
      </w:r>
      <w:r w:rsidRPr="00206C4C">
        <w:t>»</w:t>
      </w:r>
      <w:bookmarkEnd w:id="1290"/>
    </w:p>
    <w:p w:rsidR="00DC2EA7" w:rsidRDefault="00DC2EA7" w:rsidP="00DC2EA7">
      <w:pPr>
        <w:pStyle w:val="42"/>
      </w:pPr>
      <w:r>
        <w:t>Представление «Исполнение бюджета» - «</w:t>
      </w:r>
      <w:r w:rsidR="000A04FC">
        <w:t>Расходы</w:t>
      </w:r>
      <w:r>
        <w:t>»</w:t>
      </w:r>
    </w:p>
    <w:p w:rsidR="00697058" w:rsidRDefault="00697058" w:rsidP="00697058">
      <w:pPr>
        <w:pStyle w:val="af0"/>
      </w:pPr>
      <w:r>
        <w:t>Представление «Исполнение бюджета» - «Расходы» обеспечивает расчет следующих показателей в разрезе основных видов расходов:</w:t>
      </w:r>
    </w:p>
    <w:p w:rsidR="00697058" w:rsidRDefault="00697058" w:rsidP="00DE1661">
      <w:pPr>
        <w:pStyle w:val="13"/>
      </w:pPr>
      <w:r>
        <w:t>К</w:t>
      </w:r>
      <w:r w:rsidRPr="00475844">
        <w:t>редиторская</w:t>
      </w:r>
      <w:r>
        <w:t xml:space="preserve"> (дебиторская</w:t>
      </w:r>
      <w:r w:rsidRPr="00475844">
        <w:t>) задолженность на начало года;</w:t>
      </w:r>
    </w:p>
    <w:p w:rsidR="00697058" w:rsidRDefault="00697058" w:rsidP="00DE1661">
      <w:pPr>
        <w:pStyle w:val="13"/>
      </w:pPr>
      <w:r>
        <w:t>Кредиторская задолженность на начало года;</w:t>
      </w:r>
    </w:p>
    <w:p w:rsidR="00697058" w:rsidRPr="00475844" w:rsidRDefault="00697058" w:rsidP="00DE1661">
      <w:pPr>
        <w:pStyle w:val="13"/>
      </w:pPr>
      <w:r>
        <w:t>Дебиторская задолженность на начало года;</w:t>
      </w:r>
    </w:p>
    <w:p w:rsidR="00697058" w:rsidRPr="00475844" w:rsidRDefault="00697058" w:rsidP="00DE1661">
      <w:pPr>
        <w:pStyle w:val="13"/>
      </w:pPr>
      <w:r w:rsidRPr="000A2A6B">
        <w:t>Утверждено ЛБО на текущий период</w:t>
      </w:r>
      <w:r w:rsidRPr="00475844">
        <w:t>;</w:t>
      </w:r>
    </w:p>
    <w:p w:rsidR="00697058" w:rsidRDefault="00697058" w:rsidP="00DE1661">
      <w:pPr>
        <w:pStyle w:val="13"/>
      </w:pPr>
      <w:r w:rsidRPr="000A2A6B">
        <w:t>Утверждено ЛБО на 1-й год планового периода</w:t>
      </w:r>
      <w:r w:rsidRPr="00475844">
        <w:t>;</w:t>
      </w:r>
    </w:p>
    <w:p w:rsidR="00697058" w:rsidRPr="000A2A6B" w:rsidRDefault="00697058" w:rsidP="00DE1661">
      <w:pPr>
        <w:pStyle w:val="13"/>
      </w:pPr>
      <w:r w:rsidRPr="000A2A6B">
        <w:t>Утверждено ЛБО на 2-й год планового периода;</w:t>
      </w:r>
    </w:p>
    <w:p w:rsidR="00697058" w:rsidRPr="000A2A6B" w:rsidRDefault="00697058" w:rsidP="00DE1661">
      <w:pPr>
        <w:pStyle w:val="13"/>
      </w:pPr>
      <w:r w:rsidRPr="000A2A6B">
        <w:t>Доведено ЛБО на текущий год;</w:t>
      </w:r>
    </w:p>
    <w:p w:rsidR="00697058" w:rsidRPr="000A2A6B" w:rsidRDefault="00697058" w:rsidP="00DE1661">
      <w:pPr>
        <w:pStyle w:val="13"/>
      </w:pPr>
      <w:r w:rsidRPr="000A2A6B">
        <w:t>Доведено ЛБО на 1-й год планового периода;</w:t>
      </w:r>
    </w:p>
    <w:p w:rsidR="00697058" w:rsidRPr="000A2A6B" w:rsidRDefault="00697058" w:rsidP="00DE1661">
      <w:pPr>
        <w:pStyle w:val="13"/>
      </w:pPr>
      <w:r w:rsidRPr="000A2A6B">
        <w:t>Доведено ЛБО на 2-й год планового периода;</w:t>
      </w:r>
    </w:p>
    <w:p w:rsidR="00697058" w:rsidRPr="000A2A6B" w:rsidRDefault="00697058" w:rsidP="00DE1661">
      <w:pPr>
        <w:pStyle w:val="13"/>
      </w:pPr>
      <w:r w:rsidRPr="000A2A6B">
        <w:t>Принимаемые БО текущего года;</w:t>
      </w:r>
    </w:p>
    <w:p w:rsidR="00697058" w:rsidRPr="000A2A6B" w:rsidRDefault="00697058" w:rsidP="00DE1661">
      <w:pPr>
        <w:pStyle w:val="13"/>
      </w:pPr>
      <w:r w:rsidRPr="000A2A6B">
        <w:t>Принимаемые БО 1-го</w:t>
      </w:r>
      <w:r>
        <w:t xml:space="preserve"> года</w:t>
      </w:r>
      <w:r w:rsidRPr="000A2A6B">
        <w:t xml:space="preserve"> планового периода;</w:t>
      </w:r>
    </w:p>
    <w:p w:rsidR="00697058" w:rsidRPr="000A2A6B" w:rsidRDefault="00697058" w:rsidP="00DE1661">
      <w:pPr>
        <w:pStyle w:val="13"/>
      </w:pPr>
      <w:r w:rsidRPr="000A2A6B">
        <w:t>Принимаемые БО 2-го</w:t>
      </w:r>
      <w:r>
        <w:t xml:space="preserve"> года</w:t>
      </w:r>
      <w:r w:rsidRPr="000A2A6B">
        <w:t xml:space="preserve"> планового периода;</w:t>
      </w:r>
    </w:p>
    <w:p w:rsidR="00697058" w:rsidRPr="000A2A6B" w:rsidRDefault="00697058" w:rsidP="00DE1661">
      <w:pPr>
        <w:pStyle w:val="13"/>
      </w:pPr>
      <w:r w:rsidRPr="000A2A6B">
        <w:t>Принято бюджетных обязательств текущего года;</w:t>
      </w:r>
    </w:p>
    <w:p w:rsidR="00697058" w:rsidRPr="000A2A6B" w:rsidRDefault="00697058" w:rsidP="00DE1661">
      <w:pPr>
        <w:pStyle w:val="13"/>
      </w:pPr>
      <w:r w:rsidRPr="000A2A6B">
        <w:t>Принято бюджетных обязательств 1-го</w:t>
      </w:r>
      <w:r>
        <w:t xml:space="preserve"> года</w:t>
      </w:r>
      <w:r w:rsidRPr="000A2A6B">
        <w:t xml:space="preserve"> планового периода;</w:t>
      </w:r>
    </w:p>
    <w:p w:rsidR="00697058" w:rsidRPr="000A2A6B" w:rsidRDefault="00697058" w:rsidP="00DE1661">
      <w:pPr>
        <w:pStyle w:val="13"/>
      </w:pPr>
      <w:r w:rsidRPr="000A2A6B">
        <w:t>Принято бюджетных обязательств 2-го</w:t>
      </w:r>
      <w:r>
        <w:t xml:space="preserve"> года</w:t>
      </w:r>
      <w:r w:rsidRPr="000A2A6B">
        <w:t xml:space="preserve"> планового периода;</w:t>
      </w:r>
    </w:p>
    <w:p w:rsidR="00697058" w:rsidRPr="000A2A6B" w:rsidRDefault="00697058" w:rsidP="00DE1661">
      <w:pPr>
        <w:pStyle w:val="13"/>
      </w:pPr>
      <w:r w:rsidRPr="000A2A6B">
        <w:t>Принято денежных обязательств в текущем финансовом году;</w:t>
      </w:r>
    </w:p>
    <w:p w:rsidR="00697058" w:rsidRPr="000A2A6B" w:rsidRDefault="00697058" w:rsidP="00DE1661">
      <w:pPr>
        <w:pStyle w:val="13"/>
      </w:pPr>
      <w:r w:rsidRPr="000A2A6B">
        <w:t>Принято денежных обязательств в 1-м году планового периода;</w:t>
      </w:r>
    </w:p>
    <w:p w:rsidR="00697058" w:rsidRPr="000A2A6B" w:rsidRDefault="00697058" w:rsidP="00DE1661">
      <w:pPr>
        <w:pStyle w:val="13"/>
      </w:pPr>
      <w:r w:rsidRPr="000A2A6B">
        <w:t>Принято денежных обязательств во 2-м году планового периода;</w:t>
      </w:r>
    </w:p>
    <w:p w:rsidR="00697058" w:rsidRDefault="00697058" w:rsidP="00DE1661">
      <w:pPr>
        <w:pStyle w:val="13"/>
      </w:pPr>
      <w:r w:rsidRPr="000A2A6B">
        <w:t>Начислено задолженности с начала года;</w:t>
      </w:r>
    </w:p>
    <w:p w:rsidR="00697058" w:rsidRPr="000A2A6B" w:rsidRDefault="00697058" w:rsidP="00DE1661">
      <w:pPr>
        <w:pStyle w:val="13"/>
      </w:pPr>
      <w:r>
        <w:t>Всего уменьшено задолженности с начала года;</w:t>
      </w:r>
    </w:p>
    <w:p w:rsidR="00697058" w:rsidRPr="000A2A6B" w:rsidRDefault="00697058" w:rsidP="00DE1661">
      <w:pPr>
        <w:pStyle w:val="13"/>
      </w:pPr>
      <w:r>
        <w:t>В т. ч. кассовое и</w:t>
      </w:r>
      <w:r w:rsidRPr="000A2A6B">
        <w:t>сполнено с начала года;</w:t>
      </w:r>
    </w:p>
    <w:p w:rsidR="00697058" w:rsidRDefault="00697058" w:rsidP="00DE1661">
      <w:pPr>
        <w:pStyle w:val="13"/>
      </w:pPr>
      <w:r>
        <w:t>К</w:t>
      </w:r>
      <w:r w:rsidRPr="00475844">
        <w:t>редиторская</w:t>
      </w:r>
      <w:r>
        <w:t xml:space="preserve"> (дебиторская</w:t>
      </w:r>
      <w:r w:rsidRPr="00475844">
        <w:t xml:space="preserve">) задолженность на </w:t>
      </w:r>
      <w:r>
        <w:t>конец периода;</w:t>
      </w:r>
    </w:p>
    <w:p w:rsidR="00697058" w:rsidRDefault="00697058" w:rsidP="00DE1661">
      <w:pPr>
        <w:pStyle w:val="13"/>
      </w:pPr>
      <w:r>
        <w:t>Кредиторская задолженность на конец периода;</w:t>
      </w:r>
    </w:p>
    <w:p w:rsidR="00697058" w:rsidRDefault="00697058" w:rsidP="00DE1661">
      <w:pPr>
        <w:pStyle w:val="13"/>
      </w:pPr>
      <w:r>
        <w:t>Дебиторская задолженность на конец периода;</w:t>
      </w:r>
    </w:p>
    <w:p w:rsidR="00697058" w:rsidRPr="000A2A6B" w:rsidRDefault="00697058" w:rsidP="00DE1661">
      <w:pPr>
        <w:pStyle w:val="13"/>
      </w:pPr>
      <w:r w:rsidRPr="000A2A6B">
        <w:t>Процент исполнения бюджета</w:t>
      </w:r>
      <w:r>
        <w:t>;</w:t>
      </w:r>
    </w:p>
    <w:p w:rsidR="00697058" w:rsidRPr="000A2A6B" w:rsidRDefault="00697058" w:rsidP="00DE1661">
      <w:pPr>
        <w:pStyle w:val="13"/>
      </w:pPr>
      <w:r w:rsidRPr="000A2A6B">
        <w:t>Не исполнено доведенных ЛБО;</w:t>
      </w:r>
    </w:p>
    <w:p w:rsidR="00697058" w:rsidRPr="000A2A6B" w:rsidRDefault="00697058" w:rsidP="00DE1661">
      <w:pPr>
        <w:pStyle w:val="13"/>
      </w:pPr>
      <w:r w:rsidRPr="000A2A6B">
        <w:t>Принято обязательств сверх доведенных ЛБО в текущем финансовом году;</w:t>
      </w:r>
    </w:p>
    <w:p w:rsidR="00697058" w:rsidRPr="000A2A6B" w:rsidRDefault="00697058" w:rsidP="00DE1661">
      <w:pPr>
        <w:pStyle w:val="13"/>
      </w:pPr>
      <w:r w:rsidRPr="000A2A6B">
        <w:t>Принято обязательств сверх доведенных ЛБО по 1-му году планового периода;</w:t>
      </w:r>
    </w:p>
    <w:p w:rsidR="00697058" w:rsidRPr="000A2A6B" w:rsidRDefault="00697058" w:rsidP="00DE1661">
      <w:pPr>
        <w:pStyle w:val="13"/>
      </w:pPr>
      <w:r w:rsidRPr="000A2A6B">
        <w:t>Принято обязательств сверх доведенных ЛБО по 2-му году планового периода;</w:t>
      </w:r>
    </w:p>
    <w:p w:rsidR="00697058" w:rsidRPr="000A2A6B" w:rsidRDefault="00697058" w:rsidP="00DE1661">
      <w:pPr>
        <w:pStyle w:val="13"/>
      </w:pPr>
      <w:r w:rsidRPr="000A2A6B">
        <w:t>Остаток БО к принятию по текущему году;</w:t>
      </w:r>
    </w:p>
    <w:p w:rsidR="00697058" w:rsidRPr="00475844" w:rsidRDefault="00697058" w:rsidP="00DE1661">
      <w:pPr>
        <w:pStyle w:val="13"/>
      </w:pPr>
      <w:r w:rsidRPr="000A2A6B">
        <w:t>Остаток БО к принятию по 1-му плановому периоду;</w:t>
      </w:r>
    </w:p>
    <w:p w:rsidR="00697058" w:rsidRDefault="00697058" w:rsidP="00DE1661">
      <w:pPr>
        <w:pStyle w:val="13"/>
      </w:pPr>
      <w:r w:rsidRPr="000A2A6B">
        <w:t>Остаток БО к принятию по 2-му плановому периоду</w:t>
      </w:r>
      <w:r>
        <w:t>.</w:t>
      </w:r>
    </w:p>
    <w:p w:rsidR="00697058" w:rsidRDefault="00697058" w:rsidP="00697058">
      <w:pPr>
        <w:rPr>
          <w:sz w:val="28"/>
          <w:szCs w:val="28"/>
        </w:rPr>
      </w:pPr>
      <w:r>
        <w:rPr>
          <w:sz w:val="28"/>
          <w:szCs w:val="28"/>
        </w:rPr>
        <w:t>Источники данных для отчета:</w:t>
      </w:r>
    </w:p>
    <w:p w:rsidR="00697058" w:rsidRDefault="00697058" w:rsidP="00DE1661">
      <w:pPr>
        <w:pStyle w:val="13"/>
      </w:pPr>
      <w:r>
        <w:t>Данные на основе информации регистра «Главная книга» (</w:t>
      </w:r>
      <w:r w:rsidRPr="00020AFE">
        <w:t>F_GK_DATA</w:t>
      </w:r>
      <w:r>
        <w:t>);</w:t>
      </w:r>
    </w:p>
    <w:p w:rsidR="00697058" w:rsidRDefault="00697058" w:rsidP="00DE1661">
      <w:pPr>
        <w:pStyle w:val="13"/>
      </w:pPr>
      <w:r>
        <w:t>Данные на основе информации по «Дебиторская задолженность» (F_</w:t>
      </w:r>
      <w:r>
        <w:rPr>
          <w:lang w:val="en-US"/>
        </w:rPr>
        <w:t>GK</w:t>
      </w:r>
      <w:r>
        <w:t>_</w:t>
      </w:r>
      <w:r>
        <w:rPr>
          <w:lang w:val="en-US"/>
        </w:rPr>
        <w:t>DKZ</w:t>
      </w:r>
      <w:r>
        <w:t>).</w:t>
      </w:r>
    </w:p>
    <w:p w:rsidR="00697058" w:rsidRDefault="00697058" w:rsidP="00697058">
      <w:pPr>
        <w:rPr>
          <w:sz w:val="28"/>
          <w:szCs w:val="28"/>
        </w:rPr>
      </w:pPr>
      <w:r>
        <w:rPr>
          <w:sz w:val="28"/>
          <w:szCs w:val="28"/>
        </w:rPr>
        <w:t>Параметры отчета:</w:t>
      </w:r>
    </w:p>
    <w:p w:rsidR="00697058" w:rsidRPr="00D768FE" w:rsidRDefault="00697058"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697058" w:rsidRPr="00D768FE" w:rsidRDefault="00697058" w:rsidP="00DE1661">
      <w:pPr>
        <w:pStyle w:val="13"/>
      </w:pPr>
      <w:r w:rsidRPr="00D768FE">
        <w:t>Единицы измерения</w:t>
      </w:r>
      <w:r>
        <w:t>. Плоский список с элементами:</w:t>
      </w:r>
      <w:r w:rsidRPr="00D768FE">
        <w:t xml:space="preserve"> руб., тыс. руб., млн. руб., млрд. руб.</w:t>
      </w:r>
    </w:p>
    <w:p w:rsidR="00697058" w:rsidRPr="00D768FE" w:rsidRDefault="00697058" w:rsidP="00DE1661">
      <w:pPr>
        <w:pStyle w:val="13"/>
      </w:pPr>
      <w:r w:rsidRPr="00D768FE">
        <w:t>Код главы</w:t>
      </w:r>
      <w:r>
        <w:t>. Плоский список с перечнем Глав субъектов учета, по которым производится анализ в ПИАО</w:t>
      </w:r>
      <w:r w:rsidRPr="00D768FE">
        <w:t>;</w:t>
      </w:r>
    </w:p>
    <w:p w:rsidR="00697058" w:rsidRPr="00D768FE" w:rsidRDefault="00697058" w:rsidP="00DE1661">
      <w:pPr>
        <w:pStyle w:val="13"/>
      </w:pPr>
      <w:r w:rsidRPr="00D768FE">
        <w:t>ТОФК</w:t>
      </w:r>
      <w:r>
        <w:t>. Плоский список с перечнем ТОФК обслуживания субъектов учета, по которым производится анализ в ПИАО</w:t>
      </w:r>
      <w:r w:rsidRPr="00D768FE">
        <w:t>;</w:t>
      </w:r>
    </w:p>
    <w:p w:rsidR="00697058" w:rsidRDefault="00697058" w:rsidP="00DE1661">
      <w:pPr>
        <w:pStyle w:val="13"/>
      </w:pPr>
      <w:r w:rsidRPr="00D768FE">
        <w:t>Субъект учета</w:t>
      </w:r>
      <w:r>
        <w:t>.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находящиеся в ведении данной Главы;</w:t>
      </w:r>
    </w:p>
    <w:p w:rsidR="00697058" w:rsidRDefault="00697058" w:rsidP="00DE1661">
      <w:pPr>
        <w:pStyle w:val="13"/>
      </w:pPr>
      <w:r>
        <w:t>Чек-бокс «Одинарная галочка», по которому отображаются колонки, изначально скрытые для отображения.</w:t>
      </w:r>
    </w:p>
    <w:p w:rsidR="00697058" w:rsidRPr="00FA2966" w:rsidRDefault="00697058" w:rsidP="00FA2966">
      <w:pPr>
        <w:pStyle w:val="-"/>
        <w:rPr>
          <w:noProof/>
        </w:rPr>
      </w:pPr>
      <w:bookmarkStart w:id="1291" w:name="_Toc54347203"/>
      <w:bookmarkStart w:id="1292" w:name="_Toc119585185"/>
      <w:r>
        <w:t xml:space="preserve">Таблица </w:t>
      </w:r>
      <w:fldSimple w:instr=" SEQ Таблица \* ARABIC ">
        <w:r w:rsidR="00BF0BEE">
          <w:rPr>
            <w:noProof/>
          </w:rPr>
          <w:t>44</w:t>
        </w:r>
      </w:fldSimple>
      <w:r w:rsidR="00FA2966">
        <w:rPr>
          <w:noProof/>
        </w:rPr>
        <w:t xml:space="preserve"> –</w:t>
      </w:r>
      <w:r>
        <w:t xml:space="preserve"> Перечень граф и параметров отчета «Исполнение бюджета – Расходы»</w:t>
      </w:r>
      <w:bookmarkEnd w:id="1291"/>
      <w:bookmarkEnd w:id="1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12"/>
        <w:gridCol w:w="1025"/>
        <w:gridCol w:w="1724"/>
        <w:gridCol w:w="1537"/>
        <w:gridCol w:w="2461"/>
        <w:gridCol w:w="1714"/>
      </w:tblGrid>
      <w:tr w:rsidR="000C3E37" w:rsidRPr="00FA2966" w:rsidTr="000C3E37">
        <w:trPr>
          <w:cantSplit/>
          <w:trHeight w:val="347"/>
          <w:tblHeader/>
        </w:trPr>
        <w:tc>
          <w:tcPr>
            <w:tcW w:w="700" w:type="pct"/>
            <w:shd w:val="clear" w:color="auto" w:fill="D9D9D9" w:themeFill="background1" w:themeFillShade="D9"/>
            <w:vAlign w:val="center"/>
            <w:hideMark/>
          </w:tcPr>
          <w:p w:rsidR="000C3E37" w:rsidRPr="00FA2966" w:rsidRDefault="000C3E37" w:rsidP="00697058">
            <w:pPr>
              <w:jc w:val="center"/>
              <w:rPr>
                <w:b/>
                <w:bCs/>
                <w:szCs w:val="24"/>
              </w:rPr>
            </w:pPr>
            <w:r w:rsidRPr="00FA2966">
              <w:rPr>
                <w:b/>
                <w:bCs/>
                <w:szCs w:val="24"/>
              </w:rPr>
              <w:t>Тип изменения</w:t>
            </w:r>
          </w:p>
        </w:tc>
        <w:tc>
          <w:tcPr>
            <w:tcW w:w="526" w:type="pct"/>
            <w:gridSpan w:val="2"/>
            <w:shd w:val="clear" w:color="auto" w:fill="D9D9D9" w:themeFill="background1" w:themeFillShade="D9"/>
            <w:vAlign w:val="center"/>
            <w:hideMark/>
          </w:tcPr>
          <w:p w:rsidR="000C3E37" w:rsidRPr="00FA2966" w:rsidRDefault="000C3E37" w:rsidP="00697058">
            <w:pPr>
              <w:jc w:val="center"/>
              <w:rPr>
                <w:b/>
                <w:bCs/>
                <w:szCs w:val="24"/>
              </w:rPr>
            </w:pPr>
            <w:r w:rsidRPr="00FA2966">
              <w:rPr>
                <w:b/>
                <w:bCs/>
                <w:szCs w:val="24"/>
              </w:rPr>
              <w:t>Тип</w:t>
            </w:r>
          </w:p>
        </w:tc>
        <w:tc>
          <w:tcPr>
            <w:tcW w:w="875" w:type="pct"/>
            <w:shd w:val="clear" w:color="auto" w:fill="D9D9D9" w:themeFill="background1" w:themeFillShade="D9"/>
            <w:vAlign w:val="center"/>
            <w:hideMark/>
          </w:tcPr>
          <w:p w:rsidR="000C3E37" w:rsidRPr="00FA2966" w:rsidRDefault="000C3E37" w:rsidP="00697058">
            <w:pPr>
              <w:jc w:val="center"/>
              <w:rPr>
                <w:b/>
                <w:bCs/>
                <w:szCs w:val="24"/>
              </w:rPr>
            </w:pPr>
            <w:r w:rsidRPr="00FA2966">
              <w:rPr>
                <w:b/>
                <w:bCs/>
                <w:szCs w:val="24"/>
              </w:rPr>
              <w:t>Наименование</w:t>
            </w:r>
          </w:p>
        </w:tc>
        <w:tc>
          <w:tcPr>
            <w:tcW w:w="780" w:type="pct"/>
            <w:shd w:val="clear" w:color="auto" w:fill="D9D9D9" w:themeFill="background1" w:themeFillShade="D9"/>
          </w:tcPr>
          <w:p w:rsidR="000C3E37" w:rsidRPr="00FA2966" w:rsidRDefault="000C3E37" w:rsidP="00697058">
            <w:pPr>
              <w:jc w:val="center"/>
              <w:rPr>
                <w:b/>
                <w:bCs/>
                <w:szCs w:val="24"/>
              </w:rPr>
            </w:pPr>
            <w:r w:rsidRPr="00FA2966">
              <w:rPr>
                <w:b/>
                <w:bCs/>
                <w:szCs w:val="24"/>
              </w:rPr>
              <w:t>Источник данных</w:t>
            </w:r>
          </w:p>
        </w:tc>
        <w:tc>
          <w:tcPr>
            <w:tcW w:w="1249" w:type="pct"/>
            <w:shd w:val="clear" w:color="auto" w:fill="D9D9D9" w:themeFill="background1" w:themeFillShade="D9"/>
            <w:vAlign w:val="center"/>
          </w:tcPr>
          <w:p w:rsidR="000C3E37" w:rsidRPr="00FA2966" w:rsidRDefault="000C3E37" w:rsidP="00697058">
            <w:pPr>
              <w:jc w:val="center"/>
              <w:rPr>
                <w:b/>
                <w:bCs/>
                <w:szCs w:val="24"/>
              </w:rPr>
            </w:pPr>
            <w:r w:rsidRPr="00FA2966">
              <w:rPr>
                <w:b/>
                <w:bCs/>
                <w:szCs w:val="24"/>
              </w:rPr>
              <w:t>Примечание</w:t>
            </w:r>
          </w:p>
        </w:tc>
        <w:tc>
          <w:tcPr>
            <w:tcW w:w="871" w:type="pct"/>
            <w:shd w:val="clear" w:color="auto" w:fill="D9D9D9" w:themeFill="background1" w:themeFillShade="D9"/>
            <w:vAlign w:val="center"/>
          </w:tcPr>
          <w:p w:rsidR="000C3E37" w:rsidRPr="00FA2966" w:rsidRDefault="000C3E37" w:rsidP="00697058">
            <w:pPr>
              <w:jc w:val="center"/>
              <w:rPr>
                <w:b/>
                <w:bCs/>
                <w:szCs w:val="24"/>
              </w:rPr>
            </w:pPr>
            <w:r w:rsidRPr="00FA2966">
              <w:rPr>
                <w:b/>
                <w:bCs/>
                <w:szCs w:val="24"/>
              </w:rPr>
              <w:t>Пример</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Показатель</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Наименование показателя соответствует коду видов расходов</w:t>
            </w:r>
          </w:p>
        </w:tc>
        <w:tc>
          <w:tcPr>
            <w:tcW w:w="871" w:type="pct"/>
          </w:tcPr>
          <w:p w:rsidR="000C3E37" w:rsidRPr="00FA2966" w:rsidRDefault="000C3E37" w:rsidP="00697058">
            <w:pPr>
              <w:rPr>
                <w:szCs w:val="24"/>
              </w:rPr>
            </w:pPr>
            <w:r w:rsidRPr="00FA2966">
              <w:rPr>
                <w:szCs w:val="24"/>
              </w:rPr>
              <w:t>Социальное обеспечение и иные выплаты населению</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Кредиторская (дебиторская) задолженность на начало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начало года (Кт-Дт) по счетам 301, 302, 303, 30402, 30403, 30406, 206, 208, 209 (при условии что 209 – расходный</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-9473133,65</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Кредиторская задолженность на начало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начало года Кт по счетам 301, 302, 303, 30402, 30403, 30406, 206, 208, 209 (при условии, что 209 – расходный)</w:t>
            </w:r>
          </w:p>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561 583,27</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Дебиторская задолженность на начало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начало года Дт по счетам 301, 302, 303, 30402, 30403, 30406, 206, 208, 209 (при условии, что 209 – расходный)</w:t>
            </w:r>
          </w:p>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10 034 716,92</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ind w:left="0"/>
              <w:jc w:val="left"/>
              <w:rPr>
                <w:rFonts w:ascii="Times New Roman" w:hAnsi="Times New Roman" w:cs="Times New Roman"/>
                <w:sz w:val="24"/>
                <w:szCs w:val="24"/>
              </w:rPr>
            </w:pPr>
            <w:r w:rsidRPr="00FA2966">
              <w:rPr>
                <w:rFonts w:ascii="Times New Roman" w:hAnsi="Times New Roman" w:cs="Times New Roman"/>
                <w:sz w:val="24"/>
                <w:szCs w:val="24"/>
              </w:rPr>
              <w:t>Утверждено ЛБО на текущий период</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(Дт-Кт) по счету 50111</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121 138 406,48</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Утверждено ЛБО на 1-й год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(Дт-Кт) по счету 50121</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125 526 830,31</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Утверждено ЛБО на 2-й год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(Дт-Кт) по счету 50131</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155 136 260,59</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Доведено ЛБО на текущий год</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счетам 50113, 50115</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115 011 876,96</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Доведено ЛБО на 1-й год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счетам 50123, 50125</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112 381 709,36</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Доведено ЛБО на 2-й год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счетам 50133, 50135</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146 716 241,77</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Принимаемые БО текущего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(Кт-Дт) по счету 50217</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5 349 770,18</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Принимаемые БО 1-го года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(Кт-Дт) по счету 50227</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1 326 377,38</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Принимаемые БО 2-го года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(Кт-Дт) по счету 50237</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610 958,80</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бюджетных обязательств текущего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счету 50211</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85 661 646,52</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бюджетных обязательств 1-го года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счету 50221</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33 216 522,57</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бюджетных обязательств 2-го года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кредиту с начала года по счету 50231</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1 178 226,94</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денежных обязательств в текущем финансовом году</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по кредиту (Кт-Дт) по счету 50212</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25 099 861,82</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денежных обязательств в 1-м году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по кредиту (Кт-Дт) по счету 50222</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34 387,33</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денежных обязательств во 2-м году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по кредиту (Кт-Дт) по счету 50232</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575,75</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Начислено задолженности с начала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с начала года по кредиту по счетам 301, 302, 303, 30402, 30403, 30406, 206, 208, 209 (при условии что 209 – расходный)</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23 974 799,39</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Всего уменьшено задолженности с начала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с начала года по дебету по счетам 301, 302, 303, 30402, 30403, 30406, 206, 208, 209 (при условии что 209 – расходный)</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28 235 585,70</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В т. ч. кассовое исполнено с начала года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Оборот по Кт минус Оборот по Дт 30405</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27 266 099,42</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Кредиторская (дебиторская) задолженность на конец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Кредиторская (дебиторская) задолженность на конец периода +  Начислено задолженности с начала года -  Всего уменьшено задолженности с начала года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-13 733 919,95</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Кредиторская задолженность на конец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Кт по счетам 301, 302, 303, 30402, 30403, 30406, 206, 208, 209 (при условии, что 209 – расходный)</w:t>
            </w:r>
          </w:p>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3 576 332,19</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Новое</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Дебиторская задолженность на конец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МВУ ПУИО, регистр «Главная книга»</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на конец периода Дт по счетам 301, 302, 303, 30402, 30403, 30406, 206, 208, 209 (при условии, что 209 – расходный)</w:t>
            </w:r>
          </w:p>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Добавлена возможность детализации в отчете «Дебиторская и кредиторская задолженность – Договоры»</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17 310 252,15</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Процент исполнения бюджета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Отношение кассового исполнения с начала года к утвержденным ЛБО на текущий год в процентах</w:t>
            </w:r>
          </w:p>
        </w:tc>
        <w:tc>
          <w:tcPr>
            <w:tcW w:w="871" w:type="pct"/>
          </w:tcPr>
          <w:p w:rsidR="000C3E37" w:rsidRPr="00FA2966" w:rsidRDefault="000C3E37" w:rsidP="00697058">
            <w:pPr>
              <w:pStyle w:val="GOSTTablenorm0"/>
              <w:rPr>
                <w:rStyle w:val="GOSTSymItalic"/>
                <w:rFonts w:ascii="Times New Roman" w:hAnsi="Times New Roman" w:cs="Times New Roman"/>
                <w:i w:val="0"/>
                <w:sz w:val="24"/>
                <w:szCs w:val="24"/>
              </w:rPr>
            </w:pPr>
            <w:r w:rsidRPr="00FA2966">
              <w:rPr>
                <w:rStyle w:val="GOSTSymItalic"/>
                <w:rFonts w:ascii="Times New Roman" w:hAnsi="Times New Roman" w:cs="Times New Roman"/>
                <w:sz w:val="24"/>
                <w:szCs w:val="24"/>
              </w:rPr>
              <w:t>22,51%</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Не исполнено доведенных ЛБО</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Разница между Довенено ЛБО на текущий год и кассовым исполнением с начала года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87 745 777,54</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обязательств сверх доведенных ЛБО в текущем финансовом году</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Разница между Принято бюджетных обязательств текущего года и Доведено ЛБО на текущий год</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обязательств сверх доведенных ЛБО по 1-му году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Разница между Принято бюджетных обязательств 1-го года планового периода и Доведено ЛБО на 1-й год планового периода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Принято обязательств сверх доведенных ЛБО по 2-му году планового периода</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Разница между Принято бюджетных обязательств 2-го года планового периода и Доведено ЛБО на 2-й год планового периода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БО к принятию по текущему году</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Разница между Доведено ЛБО на текущий год, Принимаемые БО текущего года и Принято бюджетных обязательств текущего года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24 000 460,27</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БО к принятию по 1-му плановому периоду</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Разница между Доведено ЛБО на 1-й год планового периода, Принимаемые БО 1-го года планового периода и Принято бюджетных обязательств 1-го года планового периода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77 838 809,42</w:t>
            </w:r>
          </w:p>
        </w:tc>
      </w:tr>
      <w:tr w:rsidR="000C3E37" w:rsidRPr="00FA2966" w:rsidTr="000C3E37">
        <w:trPr>
          <w:cantSplit/>
          <w:trHeight w:val="223"/>
        </w:trPr>
        <w:tc>
          <w:tcPr>
            <w:tcW w:w="700" w:type="pct"/>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6" w:type="pct"/>
            <w:gridSpan w:val="2"/>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Графа</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Остаток БО к принятию по 2-му плановому периоду</w:t>
            </w:r>
          </w:p>
        </w:tc>
        <w:tc>
          <w:tcPr>
            <w:tcW w:w="780"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Расчет</w:t>
            </w: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Разница между Доведено ЛБО на 2-й год планового периода, Принимаемые БО 2-го года планового периода и Принято бюджетных обязательств 2-го года планового периода</w:t>
            </w:r>
          </w:p>
        </w:tc>
        <w:tc>
          <w:tcPr>
            <w:tcW w:w="871"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144 927 056,03</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Фильтр</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Дата</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Выпадающий список с выбором определенной даты с использованием календаря</w:t>
            </w:r>
          </w:p>
        </w:tc>
        <w:tc>
          <w:tcPr>
            <w:tcW w:w="871" w:type="pct"/>
          </w:tcPr>
          <w:p w:rsidR="000C3E37" w:rsidRPr="00FA2966" w:rsidRDefault="000C3E37" w:rsidP="00697058">
            <w:pPr>
              <w:pStyle w:val="GOSTTablenorm0"/>
              <w:rPr>
                <w:rFonts w:ascii="Times New Roman" w:hAnsi="Times New Roman" w:cs="Times New Roman"/>
                <w:noProof/>
                <w:sz w:val="24"/>
                <w:szCs w:val="24"/>
              </w:rPr>
            </w:pPr>
            <w:r w:rsidRPr="00FA2966">
              <w:rPr>
                <w:rFonts w:ascii="Times New Roman" w:hAnsi="Times New Roman" w:cs="Times New Roman"/>
                <w:noProof/>
                <w:sz w:val="24"/>
                <w:szCs w:val="24"/>
              </w:rPr>
              <w:t>30.06.2020</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Фильтр</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Единицы измерения</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Плоский список с элементами: руб., тыс. руб., млн. руб., млрд. руб.</w:t>
            </w:r>
          </w:p>
        </w:tc>
        <w:tc>
          <w:tcPr>
            <w:tcW w:w="871" w:type="pct"/>
          </w:tcPr>
          <w:p w:rsidR="000C3E37" w:rsidRPr="00FA2966" w:rsidRDefault="000C3E37" w:rsidP="00697058">
            <w:pPr>
              <w:pStyle w:val="GOSTTablenorm0"/>
              <w:rPr>
                <w:rFonts w:ascii="Times New Roman" w:hAnsi="Times New Roman" w:cs="Times New Roman"/>
                <w:noProof/>
                <w:sz w:val="24"/>
                <w:szCs w:val="24"/>
              </w:rPr>
            </w:pPr>
            <w:r w:rsidRPr="00FA2966">
              <w:rPr>
                <w:rFonts w:ascii="Times New Roman" w:hAnsi="Times New Roman" w:cs="Times New Roman"/>
                <w:noProof/>
                <w:sz w:val="24"/>
                <w:szCs w:val="24"/>
              </w:rPr>
              <w:t>Тыс руб</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Фильтр</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Код главы</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Плоский список с перечнем Глав субъектов учета</w:t>
            </w:r>
          </w:p>
        </w:tc>
        <w:tc>
          <w:tcPr>
            <w:tcW w:w="871" w:type="pct"/>
          </w:tcPr>
          <w:p w:rsidR="000C3E37" w:rsidRPr="00FA2966" w:rsidRDefault="000C3E37" w:rsidP="00697058">
            <w:pPr>
              <w:pStyle w:val="GOSTTablenorm0"/>
              <w:rPr>
                <w:rFonts w:ascii="Times New Roman" w:hAnsi="Times New Roman" w:cs="Times New Roman"/>
                <w:noProof/>
                <w:sz w:val="24"/>
                <w:szCs w:val="24"/>
              </w:rPr>
            </w:pPr>
            <w:r w:rsidRPr="00FA2966">
              <w:rPr>
                <w:rFonts w:ascii="Times New Roman" w:hAnsi="Times New Roman" w:cs="Times New Roman"/>
                <w:noProof/>
                <w:sz w:val="24"/>
                <w:szCs w:val="24"/>
              </w:rPr>
              <w:t>092</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Фильтр</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ТОФК</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Плоский список с перечнем ТОФК обслуживания субъектов учета</w:t>
            </w:r>
          </w:p>
        </w:tc>
        <w:tc>
          <w:tcPr>
            <w:tcW w:w="871" w:type="pct"/>
          </w:tcPr>
          <w:p w:rsidR="000C3E37" w:rsidRPr="00FA2966" w:rsidRDefault="000C3E37" w:rsidP="00697058">
            <w:pPr>
              <w:pStyle w:val="GOSTTablenorm0"/>
              <w:rPr>
                <w:rFonts w:ascii="Times New Roman" w:hAnsi="Times New Roman" w:cs="Times New Roman"/>
                <w:noProof/>
                <w:sz w:val="24"/>
                <w:szCs w:val="24"/>
              </w:rPr>
            </w:pPr>
            <w:r w:rsidRPr="00FA2966">
              <w:rPr>
                <w:rFonts w:ascii="Times New Roman" w:hAnsi="Times New Roman" w:cs="Times New Roman"/>
                <w:noProof/>
                <w:sz w:val="24"/>
                <w:szCs w:val="24"/>
              </w:rPr>
              <w:t>УФК по Республике Башкортостан</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Фильтр</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Субъект учета</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Плоский список: перечень субъектов учета</w:t>
            </w:r>
          </w:p>
        </w:tc>
        <w:tc>
          <w:tcPr>
            <w:tcW w:w="871" w:type="pct"/>
          </w:tcPr>
          <w:p w:rsidR="000C3E37" w:rsidRPr="00FA2966" w:rsidRDefault="000C3E37" w:rsidP="00697058">
            <w:pPr>
              <w:pStyle w:val="GOSTTablenorm0"/>
              <w:rPr>
                <w:rFonts w:ascii="Times New Roman" w:hAnsi="Times New Roman" w:cs="Times New Roman"/>
                <w:noProof/>
                <w:sz w:val="24"/>
                <w:szCs w:val="24"/>
              </w:rPr>
            </w:pPr>
            <w:r w:rsidRPr="00FA2966">
              <w:rPr>
                <w:rFonts w:ascii="Times New Roman" w:hAnsi="Times New Roman" w:cs="Times New Roman"/>
                <w:noProof/>
                <w:sz w:val="24"/>
                <w:szCs w:val="24"/>
              </w:rPr>
              <w:t>МИНФИН РОССИИ</w:t>
            </w: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Переход</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Детализация по учреждениям</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 xml:space="preserve">Переход с графы показатель в представление «Исполнение бюджета по расходам - по учреждениям» </w:t>
            </w:r>
          </w:p>
        </w:tc>
        <w:tc>
          <w:tcPr>
            <w:tcW w:w="871" w:type="pct"/>
          </w:tcPr>
          <w:p w:rsidR="000C3E37" w:rsidRPr="00FA2966" w:rsidRDefault="000C3E37" w:rsidP="00697058">
            <w:pPr>
              <w:pStyle w:val="GOSTTablenorm0"/>
              <w:rPr>
                <w:rFonts w:ascii="Times New Roman" w:hAnsi="Times New Roman" w:cs="Times New Roman"/>
                <w:noProof/>
                <w:sz w:val="24"/>
                <w:szCs w:val="24"/>
              </w:rPr>
            </w:pP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Без изменений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Переход</w:t>
            </w:r>
          </w:p>
        </w:tc>
        <w:tc>
          <w:tcPr>
            <w:tcW w:w="875"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Детализация по КБК</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Переход с графы показатель в представление «Исполнение бюджета по расходам - по КБК»</w:t>
            </w:r>
          </w:p>
        </w:tc>
        <w:tc>
          <w:tcPr>
            <w:tcW w:w="871" w:type="pct"/>
          </w:tcPr>
          <w:p w:rsidR="000C3E37" w:rsidRPr="00FA2966" w:rsidRDefault="000C3E37" w:rsidP="00697058">
            <w:pPr>
              <w:pStyle w:val="GOSTTablenorm0"/>
              <w:rPr>
                <w:rFonts w:ascii="Times New Roman" w:hAnsi="Times New Roman" w:cs="Times New Roman"/>
                <w:noProof/>
                <w:sz w:val="24"/>
                <w:szCs w:val="24"/>
              </w:rPr>
            </w:pPr>
          </w:p>
        </w:tc>
      </w:tr>
      <w:tr w:rsidR="000C3E37" w:rsidRPr="00FA2966" w:rsidTr="000C3E37">
        <w:trPr>
          <w:cantSplit/>
          <w:trHeight w:val="223"/>
        </w:trPr>
        <w:tc>
          <w:tcPr>
            <w:tcW w:w="706" w:type="pct"/>
            <w:gridSpan w:val="2"/>
            <w:shd w:val="clear" w:color="auto" w:fill="auto"/>
          </w:tcPr>
          <w:p w:rsidR="000C3E37" w:rsidRPr="00FA2966" w:rsidRDefault="000C3E37" w:rsidP="005C6E50">
            <w:pPr>
              <w:numPr>
                <w:ilvl w:val="0"/>
                <w:numId w:val="111"/>
              </w:numPr>
              <w:rPr>
                <w:szCs w:val="24"/>
              </w:rPr>
            </w:pPr>
            <w:r w:rsidRPr="00FA2966">
              <w:rPr>
                <w:szCs w:val="24"/>
              </w:rPr>
              <w:t>Новый</w:t>
            </w:r>
          </w:p>
        </w:tc>
        <w:tc>
          <w:tcPr>
            <w:tcW w:w="520" w:type="pct"/>
            <w:shd w:val="clear" w:color="auto" w:fill="auto"/>
          </w:tcPr>
          <w:p w:rsidR="000C3E37" w:rsidRPr="00FA2966" w:rsidRDefault="000C3E37" w:rsidP="00697058">
            <w:pPr>
              <w:pStyle w:val="GOSTTablenorm0"/>
              <w:rPr>
                <w:rFonts w:ascii="Times New Roman" w:hAnsi="Times New Roman" w:cs="Times New Roman"/>
                <w:sz w:val="24"/>
                <w:szCs w:val="24"/>
              </w:rPr>
            </w:pPr>
            <w:r w:rsidRPr="00FA2966">
              <w:rPr>
                <w:rFonts w:ascii="Times New Roman" w:hAnsi="Times New Roman" w:cs="Times New Roman"/>
                <w:sz w:val="24"/>
                <w:szCs w:val="24"/>
              </w:rPr>
              <w:t>Переход</w:t>
            </w:r>
          </w:p>
        </w:tc>
        <w:tc>
          <w:tcPr>
            <w:tcW w:w="875" w:type="pct"/>
            <w:shd w:val="clear" w:color="auto" w:fill="auto"/>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Детализация дебиторской и кредиторской задолженности по договорам</w:t>
            </w:r>
          </w:p>
        </w:tc>
        <w:tc>
          <w:tcPr>
            <w:tcW w:w="780" w:type="pct"/>
          </w:tcPr>
          <w:p w:rsidR="000C3E37" w:rsidRPr="00FA2966" w:rsidRDefault="000C3E37" w:rsidP="00697058">
            <w:pPr>
              <w:pStyle w:val="GOSTTablenorm0"/>
              <w:rPr>
                <w:rFonts w:ascii="Times New Roman" w:hAnsi="Times New Roman" w:cs="Times New Roman"/>
                <w:sz w:val="24"/>
                <w:szCs w:val="24"/>
              </w:rPr>
            </w:pPr>
          </w:p>
        </w:tc>
        <w:tc>
          <w:tcPr>
            <w:tcW w:w="1249" w:type="pct"/>
          </w:tcPr>
          <w:p w:rsidR="000C3E37" w:rsidRPr="00FA2966" w:rsidRDefault="000C3E37" w:rsidP="00697058">
            <w:pPr>
              <w:pStyle w:val="GOSTTablenorm0"/>
              <w:jc w:val="left"/>
              <w:rPr>
                <w:rFonts w:ascii="Times New Roman" w:hAnsi="Times New Roman" w:cs="Times New Roman"/>
                <w:sz w:val="24"/>
                <w:szCs w:val="24"/>
              </w:rPr>
            </w:pPr>
            <w:r w:rsidRPr="00FA2966">
              <w:rPr>
                <w:rFonts w:ascii="Times New Roman" w:hAnsi="Times New Roman" w:cs="Times New Roman"/>
                <w:sz w:val="24"/>
                <w:szCs w:val="24"/>
              </w:rPr>
              <w:t>Переход с графы кредиторская задолженность на начало года, дебиторская задолженность на начало года, кредиторская задолженность на конец периода, дебиторская задолженность на конец периода в отчет «Дебиторская и кредиторская задолженность - Договоры»</w:t>
            </w:r>
          </w:p>
        </w:tc>
        <w:tc>
          <w:tcPr>
            <w:tcW w:w="871" w:type="pct"/>
          </w:tcPr>
          <w:p w:rsidR="000C3E37" w:rsidRPr="00FA2966" w:rsidRDefault="000C3E37" w:rsidP="00697058">
            <w:pPr>
              <w:pStyle w:val="GOSTTablenorm0"/>
              <w:rPr>
                <w:rFonts w:ascii="Times New Roman" w:hAnsi="Times New Roman" w:cs="Times New Roman"/>
                <w:noProof/>
                <w:sz w:val="24"/>
                <w:szCs w:val="24"/>
              </w:rPr>
            </w:pPr>
          </w:p>
        </w:tc>
      </w:tr>
    </w:tbl>
    <w:p w:rsidR="00697058" w:rsidRDefault="00697058" w:rsidP="00697058">
      <w:pPr>
        <w:pStyle w:val="ac"/>
        <w:keepNext/>
      </w:pPr>
      <w:r>
        <w:rPr>
          <w:noProof/>
          <w:snapToGrid/>
        </w:rPr>
        <w:drawing>
          <wp:inline distT="0" distB="0" distL="0" distR="0" wp14:anchorId="7D9E08B3" wp14:editId="32C0B4DD">
            <wp:extent cx="5939790" cy="2894184"/>
            <wp:effectExtent l="0" t="0" r="3810" b="1905"/>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1"/>
                    <a:stretch>
                      <a:fillRect/>
                    </a:stretch>
                  </pic:blipFill>
                  <pic:spPr>
                    <a:xfrm>
                      <a:off x="0" y="0"/>
                      <a:ext cx="5939790" cy="2894184"/>
                    </a:xfrm>
                    <a:prstGeom prst="rect">
                      <a:avLst/>
                    </a:prstGeom>
                  </pic:spPr>
                </pic:pic>
              </a:graphicData>
            </a:graphic>
          </wp:inline>
        </w:drawing>
      </w:r>
    </w:p>
    <w:p w:rsidR="000A04FC" w:rsidRDefault="00697058" w:rsidP="00697058">
      <w:pPr>
        <w:pStyle w:val="-0"/>
      </w:pPr>
      <w:bookmarkStart w:id="1293" w:name="_Toc119584517"/>
      <w:r>
        <w:t xml:space="preserve">Рисунок </w:t>
      </w:r>
      <w:fldSimple w:instr=" SEQ Рисунок \* ARABIC ">
        <w:r w:rsidR="001860A9">
          <w:rPr>
            <w:noProof/>
          </w:rPr>
          <w:t>330</w:t>
        </w:r>
      </w:fldSimple>
      <w:r w:rsidRPr="00206C4C">
        <w:t xml:space="preserve"> – Макет отчета «Сведения о ФХД ФОИВ». Представление «</w:t>
      </w:r>
      <w:r>
        <w:t>Исполнение бюджета</w:t>
      </w:r>
      <w:r w:rsidRPr="00206C4C">
        <w:t>» – «</w:t>
      </w:r>
      <w:r w:rsidR="000C28E5">
        <w:t>Расходы</w:t>
      </w:r>
      <w:r w:rsidRPr="00206C4C">
        <w:t>»</w:t>
      </w:r>
      <w:bookmarkEnd w:id="1293"/>
    </w:p>
    <w:p w:rsidR="000C28E5" w:rsidRDefault="000C28E5" w:rsidP="000C28E5">
      <w:pPr>
        <w:pStyle w:val="42"/>
      </w:pPr>
      <w:r>
        <w:t>Представление «Исполнение бюджета» - «Источники»</w:t>
      </w:r>
    </w:p>
    <w:p w:rsidR="000C28E5" w:rsidRDefault="004301E7" w:rsidP="000C28E5">
      <w:pPr>
        <w:pStyle w:val="af0"/>
      </w:pPr>
      <w:r>
        <w:t>Представление</w:t>
      </w:r>
      <w:r w:rsidR="000C28E5">
        <w:t xml:space="preserve"> «Исполнение бюджета</w:t>
      </w:r>
      <w:r>
        <w:t>»</w:t>
      </w:r>
      <w:r w:rsidR="000C28E5">
        <w:t xml:space="preserve"> - </w:t>
      </w:r>
      <w:r>
        <w:t>«</w:t>
      </w:r>
      <w:r w:rsidR="000C28E5">
        <w:t>Источники» обеспечива</w:t>
      </w:r>
      <w:r>
        <w:t>ет</w:t>
      </w:r>
      <w:r w:rsidR="000C28E5">
        <w:t xml:space="preserve"> расчет следующих показателей в разрезе основных видов источников:</w:t>
      </w:r>
    </w:p>
    <w:p w:rsidR="000C28E5" w:rsidRDefault="000C28E5" w:rsidP="00DE1661">
      <w:pPr>
        <w:pStyle w:val="13"/>
      </w:pPr>
      <w:r>
        <w:t>Группа/подгруппа источников финансирования;</w:t>
      </w:r>
    </w:p>
    <w:p w:rsidR="000C28E5" w:rsidRPr="00475844" w:rsidRDefault="000C28E5" w:rsidP="00DE1661">
      <w:pPr>
        <w:pStyle w:val="13"/>
      </w:pPr>
      <w:r>
        <w:t>Бюджетные назначения</w:t>
      </w:r>
      <w:r w:rsidRPr="00475844">
        <w:t>;</w:t>
      </w:r>
    </w:p>
    <w:p w:rsidR="000C28E5" w:rsidRPr="00475844" w:rsidRDefault="000C28E5" w:rsidP="00DE1661">
      <w:pPr>
        <w:pStyle w:val="13"/>
      </w:pPr>
      <w:r w:rsidRPr="00D14604">
        <w:t>Кассовое исполнение с начала года</w:t>
      </w:r>
      <w:r w:rsidRPr="00475844">
        <w:t>;</w:t>
      </w:r>
    </w:p>
    <w:p w:rsidR="000C28E5" w:rsidRDefault="000C28E5" w:rsidP="00DE1661">
      <w:pPr>
        <w:pStyle w:val="13"/>
      </w:pPr>
      <w:r w:rsidRPr="00D14604">
        <w:t>Процент исполнения прогноза</w:t>
      </w:r>
      <w:r w:rsidRPr="00475844">
        <w:t>;</w:t>
      </w:r>
    </w:p>
    <w:p w:rsidR="000C28E5" w:rsidRDefault="000C28E5" w:rsidP="00DE1661">
      <w:pPr>
        <w:pStyle w:val="13"/>
      </w:pPr>
      <w:r w:rsidRPr="00D14604">
        <w:t>Не исполнено</w:t>
      </w:r>
      <w:r>
        <w:t>.</w:t>
      </w:r>
    </w:p>
    <w:p w:rsidR="000C28E5" w:rsidRDefault="000C28E5" w:rsidP="000C28E5">
      <w:pPr>
        <w:rPr>
          <w:sz w:val="28"/>
          <w:szCs w:val="28"/>
        </w:rPr>
      </w:pPr>
      <w:r>
        <w:rPr>
          <w:sz w:val="28"/>
          <w:szCs w:val="28"/>
        </w:rPr>
        <w:t>Источники данных для отчета:</w:t>
      </w:r>
    </w:p>
    <w:p w:rsidR="000C28E5" w:rsidRDefault="000C28E5" w:rsidP="00DE1661">
      <w:pPr>
        <w:pStyle w:val="13"/>
      </w:pPr>
      <w:r>
        <w:t>Данные на основе информации регистра «Главная книга» (</w:t>
      </w:r>
      <w:r w:rsidRPr="00020AFE">
        <w:t>F_GK_DATA</w:t>
      </w:r>
      <w:r>
        <w:t>);</w:t>
      </w:r>
    </w:p>
    <w:p w:rsidR="000C28E5" w:rsidRDefault="000C28E5" w:rsidP="00DE1661">
      <w:pPr>
        <w:pStyle w:val="13"/>
      </w:pPr>
      <w:r>
        <w:t>Данные на основе информации по «Дебиторская задолженность» (F_</w:t>
      </w:r>
      <w:r>
        <w:rPr>
          <w:lang w:val="en-US"/>
        </w:rPr>
        <w:t>GK</w:t>
      </w:r>
      <w:r>
        <w:t>_</w:t>
      </w:r>
      <w:r>
        <w:rPr>
          <w:lang w:val="en-US"/>
        </w:rPr>
        <w:t>DKZ</w:t>
      </w:r>
      <w:r>
        <w:t>).</w:t>
      </w:r>
    </w:p>
    <w:p w:rsidR="000C28E5" w:rsidRDefault="000C28E5" w:rsidP="000C28E5">
      <w:pPr>
        <w:rPr>
          <w:sz w:val="28"/>
          <w:szCs w:val="28"/>
        </w:rPr>
      </w:pPr>
      <w:r>
        <w:rPr>
          <w:sz w:val="28"/>
          <w:szCs w:val="28"/>
        </w:rPr>
        <w:t>Параметры отчета:</w:t>
      </w:r>
    </w:p>
    <w:p w:rsidR="000C28E5" w:rsidRPr="00D768FE" w:rsidRDefault="000C28E5"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0C28E5" w:rsidRPr="00D768FE" w:rsidRDefault="000C28E5" w:rsidP="00DE1661">
      <w:pPr>
        <w:pStyle w:val="13"/>
      </w:pPr>
      <w:r w:rsidRPr="00D768FE">
        <w:t>Единицы измерения</w:t>
      </w:r>
      <w:r>
        <w:t>. Плоский список с элементами:</w:t>
      </w:r>
      <w:r w:rsidRPr="00D768FE">
        <w:t xml:space="preserve"> руб., тыс. руб., млн. руб., млрд. руб.</w:t>
      </w:r>
    </w:p>
    <w:p w:rsidR="000C28E5" w:rsidRPr="00D768FE" w:rsidRDefault="000C28E5" w:rsidP="00DE1661">
      <w:pPr>
        <w:pStyle w:val="13"/>
      </w:pPr>
      <w:r w:rsidRPr="00D768FE">
        <w:t>Код главы</w:t>
      </w:r>
      <w:r>
        <w:t>. Плоский список с перечнем Глав субъектов учета, по которым производится анализ в ПИАО</w:t>
      </w:r>
      <w:r w:rsidRPr="00D768FE">
        <w:t>;</w:t>
      </w:r>
    </w:p>
    <w:p w:rsidR="000C28E5" w:rsidRPr="00D768FE" w:rsidRDefault="000C28E5" w:rsidP="00DE1661">
      <w:pPr>
        <w:pStyle w:val="13"/>
      </w:pPr>
      <w:r w:rsidRPr="00D768FE">
        <w:t>ТОФК</w:t>
      </w:r>
      <w:r>
        <w:t>. Плоский список с перечнем ТОФК обслуживания субъектов учета, по которым производится анализ в ПИАО</w:t>
      </w:r>
      <w:r w:rsidRPr="00D768FE">
        <w:t>;</w:t>
      </w:r>
    </w:p>
    <w:p w:rsidR="000C28E5" w:rsidRDefault="000C28E5" w:rsidP="00DE1661">
      <w:pPr>
        <w:pStyle w:val="13"/>
      </w:pPr>
      <w:r w:rsidRPr="00D768FE">
        <w:t>Субъект учета</w:t>
      </w:r>
      <w:r>
        <w:t>.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находящиеся в ведении данной Главы.</w:t>
      </w:r>
    </w:p>
    <w:p w:rsidR="000C28E5" w:rsidRDefault="000C28E5" w:rsidP="00F51CD7">
      <w:pPr>
        <w:pStyle w:val="-"/>
        <w:rPr>
          <w:noProof/>
        </w:rPr>
      </w:pPr>
      <w:bookmarkStart w:id="1294" w:name="_Toc54347206"/>
      <w:bookmarkStart w:id="1295" w:name="_Toc119585186"/>
      <w:r>
        <w:t xml:space="preserve">Таблица </w:t>
      </w:r>
      <w:fldSimple w:instr=" SEQ Таблица \* ARABIC ">
        <w:r w:rsidR="00BF0BEE">
          <w:rPr>
            <w:noProof/>
          </w:rPr>
          <w:t>45</w:t>
        </w:r>
      </w:fldSimple>
      <w:r w:rsidR="00A84242">
        <w:rPr>
          <w:noProof/>
        </w:rPr>
        <w:t xml:space="preserve"> –</w:t>
      </w:r>
      <w:r>
        <w:t xml:space="preserve"> </w:t>
      </w:r>
      <w:r w:rsidRPr="00CA0DEB">
        <w:t xml:space="preserve">Перечень граф и параметров </w:t>
      </w:r>
      <w:r w:rsidR="00A84242">
        <w:t>представления</w:t>
      </w:r>
      <w:r w:rsidRPr="00CA0DEB">
        <w:t xml:space="preserve"> «Исполнение бюджета</w:t>
      </w:r>
      <w:r w:rsidR="00A84242">
        <w:t>»</w:t>
      </w:r>
      <w:r w:rsidRPr="00CA0DEB">
        <w:t xml:space="preserve"> –</w:t>
      </w:r>
      <w:r>
        <w:t xml:space="preserve"> </w:t>
      </w:r>
      <w:r w:rsidR="00A84242">
        <w:t>«</w:t>
      </w:r>
      <w:r>
        <w:t>Источники»</w:t>
      </w:r>
      <w:bookmarkEnd w:id="1294"/>
      <w:bookmarkEnd w:id="1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2"/>
        <w:gridCol w:w="1236"/>
        <w:gridCol w:w="1573"/>
        <w:gridCol w:w="1342"/>
        <w:gridCol w:w="2749"/>
        <w:gridCol w:w="1561"/>
      </w:tblGrid>
      <w:tr w:rsidR="000C3E37" w:rsidRPr="00A84242" w:rsidTr="000C3E37">
        <w:trPr>
          <w:cantSplit/>
          <w:trHeight w:val="347"/>
          <w:tblHeader/>
        </w:trPr>
        <w:tc>
          <w:tcPr>
            <w:tcW w:w="707" w:type="pct"/>
            <w:shd w:val="clear" w:color="auto" w:fill="D9D9D9" w:themeFill="background1" w:themeFillShade="D9"/>
            <w:vAlign w:val="center"/>
            <w:hideMark/>
          </w:tcPr>
          <w:p w:rsidR="000C3E37" w:rsidRPr="00A84242" w:rsidRDefault="000C3E37" w:rsidP="004301E7">
            <w:pPr>
              <w:jc w:val="center"/>
              <w:rPr>
                <w:b/>
                <w:bCs/>
                <w:color w:val="auto"/>
                <w:szCs w:val="24"/>
              </w:rPr>
            </w:pPr>
            <w:r w:rsidRPr="00A84242">
              <w:rPr>
                <w:b/>
                <w:bCs/>
                <w:color w:val="auto"/>
                <w:szCs w:val="24"/>
              </w:rPr>
              <w:t>Тип изменения</w:t>
            </w:r>
          </w:p>
        </w:tc>
        <w:tc>
          <w:tcPr>
            <w:tcW w:w="627" w:type="pct"/>
            <w:shd w:val="clear" w:color="auto" w:fill="D9D9D9" w:themeFill="background1" w:themeFillShade="D9"/>
            <w:vAlign w:val="center"/>
            <w:hideMark/>
          </w:tcPr>
          <w:p w:rsidR="000C3E37" w:rsidRPr="00A84242" w:rsidRDefault="000C3E37" w:rsidP="004301E7">
            <w:pPr>
              <w:jc w:val="center"/>
              <w:rPr>
                <w:b/>
                <w:bCs/>
                <w:color w:val="auto"/>
                <w:szCs w:val="24"/>
              </w:rPr>
            </w:pPr>
            <w:r w:rsidRPr="00A84242">
              <w:rPr>
                <w:b/>
                <w:bCs/>
                <w:color w:val="auto"/>
                <w:szCs w:val="24"/>
              </w:rPr>
              <w:t>Тип</w:t>
            </w:r>
          </w:p>
        </w:tc>
        <w:tc>
          <w:tcPr>
            <w:tcW w:w="798" w:type="pct"/>
            <w:shd w:val="clear" w:color="auto" w:fill="D9D9D9" w:themeFill="background1" w:themeFillShade="D9"/>
            <w:vAlign w:val="center"/>
            <w:hideMark/>
          </w:tcPr>
          <w:p w:rsidR="000C3E37" w:rsidRPr="00A84242" w:rsidRDefault="000C3E37" w:rsidP="004301E7">
            <w:pPr>
              <w:jc w:val="center"/>
              <w:rPr>
                <w:b/>
                <w:bCs/>
                <w:color w:val="auto"/>
                <w:szCs w:val="24"/>
              </w:rPr>
            </w:pPr>
            <w:r w:rsidRPr="00A84242">
              <w:rPr>
                <w:b/>
                <w:bCs/>
                <w:color w:val="auto"/>
                <w:szCs w:val="24"/>
              </w:rPr>
              <w:t>Наименование</w:t>
            </w:r>
          </w:p>
        </w:tc>
        <w:tc>
          <w:tcPr>
            <w:tcW w:w="681" w:type="pct"/>
            <w:shd w:val="clear" w:color="auto" w:fill="D9D9D9" w:themeFill="background1" w:themeFillShade="D9"/>
          </w:tcPr>
          <w:p w:rsidR="000C3E37" w:rsidRPr="00A84242" w:rsidRDefault="000C3E37" w:rsidP="004301E7">
            <w:pPr>
              <w:jc w:val="center"/>
              <w:rPr>
                <w:b/>
                <w:bCs/>
                <w:color w:val="auto"/>
                <w:szCs w:val="24"/>
              </w:rPr>
            </w:pPr>
            <w:r w:rsidRPr="00A84242">
              <w:rPr>
                <w:b/>
                <w:bCs/>
                <w:color w:val="auto"/>
                <w:szCs w:val="24"/>
              </w:rPr>
              <w:t>Источник данных</w:t>
            </w:r>
          </w:p>
        </w:tc>
        <w:tc>
          <w:tcPr>
            <w:tcW w:w="1395" w:type="pct"/>
            <w:shd w:val="clear" w:color="auto" w:fill="D9D9D9" w:themeFill="background1" w:themeFillShade="D9"/>
            <w:vAlign w:val="center"/>
          </w:tcPr>
          <w:p w:rsidR="000C3E37" w:rsidRPr="00A84242" w:rsidRDefault="000C3E37" w:rsidP="004301E7">
            <w:pPr>
              <w:jc w:val="center"/>
              <w:rPr>
                <w:b/>
                <w:bCs/>
                <w:color w:val="auto"/>
                <w:szCs w:val="24"/>
              </w:rPr>
            </w:pPr>
            <w:r w:rsidRPr="00A84242">
              <w:rPr>
                <w:b/>
                <w:bCs/>
                <w:color w:val="auto"/>
                <w:szCs w:val="24"/>
              </w:rPr>
              <w:t>Примечание</w:t>
            </w:r>
          </w:p>
        </w:tc>
        <w:tc>
          <w:tcPr>
            <w:tcW w:w="793" w:type="pct"/>
            <w:shd w:val="clear" w:color="auto" w:fill="D9D9D9" w:themeFill="background1" w:themeFillShade="D9"/>
            <w:vAlign w:val="center"/>
          </w:tcPr>
          <w:p w:rsidR="000C3E37" w:rsidRPr="00A84242" w:rsidRDefault="000C3E37" w:rsidP="004301E7">
            <w:pPr>
              <w:jc w:val="center"/>
              <w:rPr>
                <w:b/>
                <w:bCs/>
                <w:color w:val="auto"/>
                <w:szCs w:val="24"/>
              </w:rPr>
            </w:pPr>
            <w:r w:rsidRPr="00A84242">
              <w:rPr>
                <w:b/>
                <w:bCs/>
                <w:color w:val="auto"/>
                <w:szCs w:val="24"/>
              </w:rPr>
              <w:t>Пример</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Показатель</w:t>
            </w:r>
          </w:p>
        </w:tc>
        <w:tc>
          <w:tcPr>
            <w:tcW w:w="681" w:type="pct"/>
          </w:tcPr>
          <w:p w:rsidR="000C3E37" w:rsidRPr="00A84242" w:rsidRDefault="000C3E37" w:rsidP="004301E7">
            <w:pPr>
              <w:ind w:left="57" w:right="57"/>
              <w:rPr>
                <w:snapToGrid/>
                <w:color w:val="auto"/>
                <w:szCs w:val="24"/>
              </w:rPr>
            </w:pPr>
          </w:p>
        </w:tc>
        <w:tc>
          <w:tcPr>
            <w:tcW w:w="1395" w:type="pct"/>
          </w:tcPr>
          <w:p w:rsidR="000C3E37" w:rsidRPr="00A84242" w:rsidRDefault="000C3E37" w:rsidP="004301E7">
            <w:pPr>
              <w:ind w:left="57" w:right="57"/>
              <w:jc w:val="left"/>
              <w:rPr>
                <w:snapToGrid/>
                <w:color w:val="auto"/>
                <w:szCs w:val="24"/>
              </w:rPr>
            </w:pPr>
            <w:r w:rsidRPr="00A84242">
              <w:rPr>
                <w:snapToGrid/>
                <w:color w:val="auto"/>
                <w:szCs w:val="24"/>
              </w:rPr>
              <w:t xml:space="preserve">Наименование показателя соответствует </w:t>
            </w:r>
            <w:r w:rsidRPr="00A84242">
              <w:rPr>
                <w:szCs w:val="24"/>
              </w:rPr>
              <w:t>коду классификации источников финансирования дефицитов бюджетов</w:t>
            </w:r>
          </w:p>
        </w:tc>
        <w:tc>
          <w:tcPr>
            <w:tcW w:w="793" w:type="pct"/>
          </w:tcPr>
          <w:p w:rsidR="000C3E37" w:rsidRPr="00A84242" w:rsidRDefault="000C3E37" w:rsidP="004301E7">
            <w:pPr>
              <w:ind w:left="57" w:right="57"/>
              <w:rPr>
                <w:snapToGrid/>
                <w:color w:val="auto"/>
                <w:szCs w:val="24"/>
              </w:rPr>
            </w:pPr>
            <w:r w:rsidRPr="00A84242">
              <w:rPr>
                <w:snapToGrid/>
                <w:color w:val="auto"/>
                <w:szCs w:val="24"/>
              </w:rPr>
              <w:t>Источники внутреннего финансирования дефицитов бюджетов</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Новое</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Группа/подгруппа источников финансирования</w:t>
            </w:r>
          </w:p>
        </w:tc>
        <w:tc>
          <w:tcPr>
            <w:tcW w:w="681" w:type="pct"/>
          </w:tcPr>
          <w:p w:rsidR="000C3E37" w:rsidRPr="00A84242" w:rsidRDefault="000C3E37" w:rsidP="004301E7">
            <w:pPr>
              <w:ind w:left="57" w:right="57"/>
              <w:rPr>
                <w:snapToGrid/>
                <w:color w:val="auto"/>
                <w:szCs w:val="24"/>
              </w:rPr>
            </w:pPr>
            <w:r w:rsidRPr="00A84242">
              <w:rPr>
                <w:snapToGrid/>
                <w:color w:val="auto"/>
                <w:szCs w:val="24"/>
              </w:rPr>
              <w:t>МВУ ПУИО, регистр «Главная книга»</w:t>
            </w:r>
          </w:p>
        </w:tc>
        <w:tc>
          <w:tcPr>
            <w:tcW w:w="1395" w:type="pct"/>
          </w:tcPr>
          <w:p w:rsidR="000C3E37" w:rsidRPr="00A84242" w:rsidRDefault="000C3E37" w:rsidP="004301E7">
            <w:pPr>
              <w:ind w:left="57" w:right="57"/>
              <w:jc w:val="left"/>
              <w:rPr>
                <w:snapToGrid/>
                <w:color w:val="auto"/>
                <w:szCs w:val="24"/>
              </w:rPr>
            </w:pPr>
            <w:r w:rsidRPr="00A84242">
              <w:rPr>
                <w:snapToGrid/>
                <w:color w:val="auto"/>
                <w:szCs w:val="24"/>
              </w:rPr>
              <w:t>Выбор группы/подгруппы из КИФ бюджета</w:t>
            </w:r>
          </w:p>
        </w:tc>
        <w:tc>
          <w:tcPr>
            <w:tcW w:w="793" w:type="pct"/>
          </w:tcPr>
          <w:p w:rsidR="000C3E37" w:rsidRPr="00A84242" w:rsidRDefault="000C3E37" w:rsidP="004301E7">
            <w:pPr>
              <w:ind w:left="57" w:right="57"/>
              <w:rPr>
                <w:snapToGrid/>
                <w:color w:val="auto"/>
                <w:szCs w:val="24"/>
              </w:rPr>
            </w:pPr>
            <w:r w:rsidRPr="00A84242">
              <w:rPr>
                <w:snapToGrid/>
                <w:color w:val="auto"/>
                <w:szCs w:val="24"/>
              </w:rPr>
              <w:t>0106</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Бюджетные назначения</w:t>
            </w:r>
          </w:p>
        </w:tc>
        <w:tc>
          <w:tcPr>
            <w:tcW w:w="681" w:type="pct"/>
          </w:tcPr>
          <w:p w:rsidR="000C3E37" w:rsidRPr="00A84242" w:rsidRDefault="000C3E37" w:rsidP="004301E7">
            <w:pPr>
              <w:ind w:left="57" w:right="57"/>
              <w:rPr>
                <w:snapToGrid/>
                <w:color w:val="auto"/>
                <w:szCs w:val="24"/>
              </w:rPr>
            </w:pPr>
            <w:r w:rsidRPr="00A84242">
              <w:rPr>
                <w:snapToGrid/>
                <w:color w:val="auto"/>
                <w:szCs w:val="24"/>
              </w:rPr>
              <w:t>МВУ ПУИО, регистр «Главная книга»</w:t>
            </w:r>
          </w:p>
        </w:tc>
        <w:tc>
          <w:tcPr>
            <w:tcW w:w="1395" w:type="pct"/>
          </w:tcPr>
          <w:p w:rsidR="000C3E37" w:rsidRPr="00A84242" w:rsidRDefault="000C3E37" w:rsidP="004301E7">
            <w:pPr>
              <w:ind w:left="57" w:right="57"/>
              <w:jc w:val="left"/>
              <w:rPr>
                <w:snapToGrid/>
                <w:color w:val="auto"/>
                <w:szCs w:val="24"/>
              </w:rPr>
            </w:pPr>
            <w:r w:rsidRPr="00A84242">
              <w:rPr>
                <w:snapToGrid/>
                <w:color w:val="auto"/>
                <w:szCs w:val="24"/>
              </w:rPr>
              <w:t>Остаток на конец периода (Дт-Кт) по счетам 503, 504</w:t>
            </w:r>
          </w:p>
        </w:tc>
        <w:tc>
          <w:tcPr>
            <w:tcW w:w="793" w:type="pct"/>
          </w:tcPr>
          <w:p w:rsidR="000C3E37" w:rsidRPr="00A84242" w:rsidRDefault="000C3E37" w:rsidP="004301E7">
            <w:pPr>
              <w:ind w:left="57" w:right="57"/>
              <w:rPr>
                <w:snapToGrid/>
                <w:color w:val="auto"/>
                <w:szCs w:val="24"/>
              </w:rPr>
            </w:pPr>
            <w:r w:rsidRPr="00A84242">
              <w:rPr>
                <w:snapToGrid/>
                <w:color w:val="auto"/>
                <w:szCs w:val="24"/>
              </w:rPr>
              <w:t>32 310,62</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Кассовое исполнение с начала года</w:t>
            </w:r>
          </w:p>
        </w:tc>
        <w:tc>
          <w:tcPr>
            <w:tcW w:w="681" w:type="pct"/>
          </w:tcPr>
          <w:p w:rsidR="000C3E37" w:rsidRPr="00A84242" w:rsidRDefault="000C3E37" w:rsidP="004301E7">
            <w:pPr>
              <w:ind w:left="57" w:right="57"/>
              <w:rPr>
                <w:snapToGrid/>
                <w:color w:val="auto"/>
                <w:szCs w:val="24"/>
              </w:rPr>
            </w:pPr>
            <w:r w:rsidRPr="00A84242">
              <w:rPr>
                <w:snapToGrid/>
                <w:color w:val="auto"/>
                <w:szCs w:val="24"/>
              </w:rPr>
              <w:t>МВУ ПУИО, регистр «Главная книга»</w:t>
            </w:r>
          </w:p>
        </w:tc>
        <w:tc>
          <w:tcPr>
            <w:tcW w:w="1395" w:type="pct"/>
          </w:tcPr>
          <w:p w:rsidR="000C3E37" w:rsidRPr="00A84242" w:rsidRDefault="000C3E37" w:rsidP="004301E7">
            <w:pPr>
              <w:ind w:left="57" w:right="57"/>
              <w:jc w:val="left"/>
              <w:rPr>
                <w:snapToGrid/>
                <w:color w:val="auto"/>
                <w:szCs w:val="24"/>
              </w:rPr>
            </w:pPr>
            <w:r w:rsidRPr="00A84242">
              <w:rPr>
                <w:snapToGrid/>
                <w:color w:val="auto"/>
                <w:szCs w:val="24"/>
              </w:rPr>
              <w:t>(Оборот по Дт 21002 минус Оборот по Кт 21002) минус (Оборот по Кт 30405 минус оборот по Дт по счету 30405)</w:t>
            </w:r>
          </w:p>
        </w:tc>
        <w:tc>
          <w:tcPr>
            <w:tcW w:w="793" w:type="pct"/>
          </w:tcPr>
          <w:tbl>
            <w:tblPr>
              <w:tblW w:w="0" w:type="auto"/>
              <w:tblCellSpacing w:w="0" w:type="dxa"/>
              <w:tblLayout w:type="fixed"/>
              <w:tblCellMar>
                <w:left w:w="0" w:type="dxa"/>
                <w:right w:w="0" w:type="dxa"/>
              </w:tblCellMar>
              <w:tblLook w:val="04A0" w:firstRow="1" w:lastRow="0" w:firstColumn="1" w:lastColumn="0" w:noHBand="0" w:noVBand="1"/>
            </w:tblPr>
            <w:tblGrid>
              <w:gridCol w:w="2250"/>
              <w:gridCol w:w="2250"/>
            </w:tblGrid>
            <w:tr w:rsidR="000C3E37" w:rsidRPr="00A84242" w:rsidTr="004301E7">
              <w:trPr>
                <w:tblCellSpacing w:w="0" w:type="dxa"/>
              </w:trPr>
              <w:tc>
                <w:tcPr>
                  <w:tcW w:w="2250" w:type="dxa"/>
                  <w:vAlign w:val="center"/>
                </w:tcPr>
                <w:p w:rsidR="000C3E37" w:rsidRPr="00A84242" w:rsidRDefault="000C3E37" w:rsidP="004301E7">
                  <w:pPr>
                    <w:jc w:val="right"/>
                    <w:rPr>
                      <w:snapToGrid/>
                      <w:color w:val="auto"/>
                      <w:szCs w:val="24"/>
                    </w:rPr>
                  </w:pPr>
                </w:p>
              </w:tc>
              <w:tc>
                <w:tcPr>
                  <w:tcW w:w="2250" w:type="dxa"/>
                  <w:vAlign w:val="center"/>
                </w:tcPr>
                <w:p w:rsidR="000C3E37" w:rsidRPr="00A84242" w:rsidRDefault="000C3E37" w:rsidP="004301E7">
                  <w:pPr>
                    <w:jc w:val="left"/>
                    <w:rPr>
                      <w:snapToGrid/>
                      <w:color w:val="auto"/>
                      <w:szCs w:val="24"/>
                    </w:rPr>
                  </w:pPr>
                </w:p>
              </w:tc>
            </w:tr>
          </w:tbl>
          <w:p w:rsidR="000C3E37" w:rsidRPr="00A84242" w:rsidRDefault="000C3E37" w:rsidP="004301E7">
            <w:pPr>
              <w:ind w:left="57" w:right="57"/>
              <w:rPr>
                <w:snapToGrid/>
                <w:color w:val="auto"/>
                <w:szCs w:val="24"/>
              </w:rPr>
            </w:pPr>
            <w:r w:rsidRPr="00A84242">
              <w:rPr>
                <w:snapToGrid/>
                <w:color w:val="auto"/>
                <w:szCs w:val="24"/>
              </w:rPr>
              <w:t>-537 338 571,28</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Процент исполнения прогноза</w:t>
            </w:r>
          </w:p>
        </w:tc>
        <w:tc>
          <w:tcPr>
            <w:tcW w:w="681" w:type="pct"/>
          </w:tcPr>
          <w:p w:rsidR="000C3E37" w:rsidRPr="00A84242" w:rsidRDefault="000C3E37" w:rsidP="004301E7">
            <w:pPr>
              <w:ind w:left="57" w:right="57"/>
              <w:rPr>
                <w:snapToGrid/>
                <w:color w:val="auto"/>
                <w:szCs w:val="24"/>
              </w:rPr>
            </w:pPr>
            <w:r w:rsidRPr="00A84242">
              <w:rPr>
                <w:snapToGrid/>
                <w:color w:val="auto"/>
                <w:szCs w:val="24"/>
              </w:rPr>
              <w:t>Расчет</w:t>
            </w:r>
          </w:p>
        </w:tc>
        <w:tc>
          <w:tcPr>
            <w:tcW w:w="1395" w:type="pct"/>
          </w:tcPr>
          <w:p w:rsidR="000C3E37" w:rsidRPr="00A84242" w:rsidRDefault="000C3E37" w:rsidP="004301E7">
            <w:pPr>
              <w:ind w:left="57" w:right="57"/>
              <w:rPr>
                <w:snapToGrid/>
                <w:color w:val="auto"/>
                <w:szCs w:val="24"/>
              </w:rPr>
            </w:pPr>
            <w:r w:rsidRPr="00A84242">
              <w:rPr>
                <w:snapToGrid/>
                <w:color w:val="auto"/>
                <w:szCs w:val="24"/>
              </w:rPr>
              <w:t>Отношение кассового исполнения с начала года к  бюджетным назначениям в процентах. Добавлена гистограмма</w:t>
            </w:r>
          </w:p>
        </w:tc>
        <w:tc>
          <w:tcPr>
            <w:tcW w:w="793" w:type="pct"/>
          </w:tcPr>
          <w:p w:rsidR="000C3E37" w:rsidRPr="00A84242" w:rsidRDefault="000C3E37" w:rsidP="004301E7">
            <w:pPr>
              <w:ind w:left="57" w:right="57"/>
              <w:rPr>
                <w:snapToGrid/>
                <w:color w:val="auto"/>
                <w:szCs w:val="24"/>
              </w:rPr>
            </w:pPr>
            <w:r w:rsidRPr="00A84242">
              <w:rPr>
                <w:noProof/>
                <w:snapToGrid/>
                <w:color w:val="auto"/>
                <w:szCs w:val="24"/>
              </w:rPr>
              <mc:AlternateContent>
                <mc:Choice Requires="wps">
                  <w:drawing>
                    <wp:anchor distT="0" distB="0" distL="114300" distR="114300" simplePos="0" relativeHeight="251665408" behindDoc="0" locked="0" layoutInCell="1" allowOverlap="1" wp14:anchorId="25E74340" wp14:editId="340BB43C">
                      <wp:simplePos x="0" y="0"/>
                      <wp:positionH relativeFrom="column">
                        <wp:posOffset>27305</wp:posOffset>
                      </wp:positionH>
                      <wp:positionV relativeFrom="paragraph">
                        <wp:posOffset>29209</wp:posOffset>
                      </wp:positionV>
                      <wp:extent cx="257175" cy="142875"/>
                      <wp:effectExtent l="0" t="0" r="28575" b="28575"/>
                      <wp:wrapNone/>
                      <wp:docPr id="726" name="Прямоугольник 726"/>
                      <wp:cNvGraphicFramePr/>
                      <a:graphic xmlns:a="http://schemas.openxmlformats.org/drawingml/2006/main">
                        <a:graphicData uri="http://schemas.microsoft.com/office/word/2010/wordprocessingShape">
                          <wps:wsp>
                            <wps:cNvSpPr/>
                            <wps:spPr>
                              <a:xfrm>
                                <a:off x="0" y="0"/>
                                <a:ext cx="257175" cy="142875"/>
                              </a:xfrm>
                              <a:prstGeom prst="rect">
                                <a:avLst/>
                              </a:prstGeom>
                              <a:solidFill>
                                <a:srgbClr val="00B050"/>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26" o:spid="_x0000_s1026" style="position:absolute;margin-left:2.15pt;margin-top:2.3pt;width:20.2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" fillcolor="#00b050" strokecolor="#00b050" strokeweight="2pt"/>
                  </w:pict>
                </mc:Fallback>
              </mc:AlternateContent>
            </w:r>
            <w:r w:rsidRPr="00A84242">
              <w:rPr>
                <w:snapToGrid/>
                <w:color w:val="auto"/>
                <w:szCs w:val="24"/>
              </w:rPr>
              <w:t xml:space="preserve">              -1 663 040,12%</w:t>
            </w:r>
          </w:p>
          <w:p w:rsidR="000C3E37" w:rsidRPr="00A84242" w:rsidRDefault="000C3E37" w:rsidP="004301E7">
            <w:pPr>
              <w:ind w:left="57" w:right="57"/>
              <w:rPr>
                <w:snapToGrid/>
                <w:color w:val="auto"/>
                <w:szCs w:val="24"/>
              </w:rPr>
            </w:pPr>
            <w:r w:rsidRPr="00A84242">
              <w:rPr>
                <w:snapToGrid/>
                <w:color w:val="auto"/>
                <w:szCs w:val="24"/>
              </w:rPr>
              <w:tab/>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Графа</w:t>
            </w:r>
          </w:p>
        </w:tc>
        <w:tc>
          <w:tcPr>
            <w:tcW w:w="798" w:type="pct"/>
            <w:shd w:val="clear" w:color="auto" w:fill="auto"/>
          </w:tcPr>
          <w:p w:rsidR="000C3E37" w:rsidRPr="00A84242" w:rsidRDefault="000C3E37" w:rsidP="004301E7">
            <w:pPr>
              <w:ind w:left="57" w:right="57"/>
              <w:rPr>
                <w:snapToGrid/>
                <w:color w:val="auto"/>
                <w:szCs w:val="24"/>
              </w:rPr>
            </w:pPr>
            <w:r w:rsidRPr="00A84242">
              <w:rPr>
                <w:snapToGrid/>
                <w:color w:val="auto"/>
                <w:szCs w:val="24"/>
              </w:rPr>
              <w:t>Не исполнено</w:t>
            </w:r>
          </w:p>
        </w:tc>
        <w:tc>
          <w:tcPr>
            <w:tcW w:w="681" w:type="pct"/>
          </w:tcPr>
          <w:p w:rsidR="000C3E37" w:rsidRPr="00A84242" w:rsidRDefault="000C3E37" w:rsidP="004301E7">
            <w:pPr>
              <w:ind w:left="57" w:right="57"/>
              <w:rPr>
                <w:snapToGrid/>
                <w:color w:val="auto"/>
                <w:szCs w:val="24"/>
              </w:rPr>
            </w:pPr>
            <w:r w:rsidRPr="00A84242">
              <w:rPr>
                <w:snapToGrid/>
                <w:color w:val="auto"/>
                <w:szCs w:val="24"/>
              </w:rPr>
              <w:t>Расчет</w:t>
            </w:r>
          </w:p>
        </w:tc>
        <w:tc>
          <w:tcPr>
            <w:tcW w:w="1395" w:type="pct"/>
          </w:tcPr>
          <w:p w:rsidR="000C3E37" w:rsidRPr="00A84242" w:rsidRDefault="000C3E37" w:rsidP="004301E7">
            <w:pPr>
              <w:ind w:left="57" w:right="57"/>
              <w:rPr>
                <w:snapToGrid/>
                <w:color w:val="auto"/>
                <w:szCs w:val="24"/>
              </w:rPr>
            </w:pPr>
            <w:r w:rsidRPr="00A84242">
              <w:rPr>
                <w:snapToGrid/>
                <w:color w:val="auto"/>
                <w:szCs w:val="24"/>
              </w:rPr>
              <w:t>Разница между бюджетными назначениями кассовым исполнением с начала года</w:t>
            </w:r>
          </w:p>
        </w:tc>
        <w:tc>
          <w:tcPr>
            <w:tcW w:w="793" w:type="pct"/>
          </w:tcPr>
          <w:p w:rsidR="000C3E37" w:rsidRPr="00A84242" w:rsidRDefault="000C3E37" w:rsidP="004301E7">
            <w:pPr>
              <w:ind w:left="57" w:right="57"/>
              <w:rPr>
                <w:noProof/>
                <w:snapToGrid/>
                <w:color w:val="auto"/>
                <w:szCs w:val="24"/>
              </w:rPr>
            </w:pPr>
            <w:r w:rsidRPr="00A84242">
              <w:rPr>
                <w:noProof/>
                <w:snapToGrid/>
                <w:color w:val="auto"/>
                <w:szCs w:val="24"/>
              </w:rPr>
              <w:t>537 370 881,90</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Фильтр</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Дата</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jc w:val="left"/>
              <w:rPr>
                <w:rFonts w:ascii="Times New Roman" w:hAnsi="Times New Roman" w:cs="Times New Roman"/>
                <w:sz w:val="24"/>
                <w:szCs w:val="24"/>
              </w:rPr>
            </w:pPr>
            <w:r w:rsidRPr="00A84242">
              <w:rPr>
                <w:rFonts w:ascii="Times New Roman" w:hAnsi="Times New Roman" w:cs="Times New Roman"/>
                <w:sz w:val="24"/>
                <w:szCs w:val="24"/>
              </w:rPr>
              <w:t>Выпадающий список с выбором определенной даты с использованием календаря</w:t>
            </w:r>
          </w:p>
        </w:tc>
        <w:tc>
          <w:tcPr>
            <w:tcW w:w="793" w:type="pct"/>
          </w:tcPr>
          <w:p w:rsidR="000C3E37" w:rsidRPr="00A84242" w:rsidRDefault="000C3E37" w:rsidP="004301E7">
            <w:pPr>
              <w:pStyle w:val="GOSTTablenorm0"/>
              <w:rPr>
                <w:rFonts w:ascii="Times New Roman" w:hAnsi="Times New Roman" w:cs="Times New Roman"/>
                <w:noProof/>
                <w:sz w:val="24"/>
                <w:szCs w:val="24"/>
              </w:rPr>
            </w:pPr>
            <w:r w:rsidRPr="00A84242">
              <w:rPr>
                <w:rFonts w:ascii="Times New Roman" w:hAnsi="Times New Roman" w:cs="Times New Roman"/>
                <w:noProof/>
                <w:sz w:val="24"/>
                <w:szCs w:val="24"/>
              </w:rPr>
              <w:t>30.06.2020</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Фильтр</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Единицы измерения</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Плоский список с элементами: руб., тыс. руб., млн. руб., млрд. руб.</w:t>
            </w:r>
          </w:p>
        </w:tc>
        <w:tc>
          <w:tcPr>
            <w:tcW w:w="793" w:type="pct"/>
          </w:tcPr>
          <w:p w:rsidR="000C3E37" w:rsidRPr="00A84242" w:rsidRDefault="000C3E37" w:rsidP="004301E7">
            <w:pPr>
              <w:pStyle w:val="GOSTTablenorm0"/>
              <w:rPr>
                <w:rFonts w:ascii="Times New Roman" w:hAnsi="Times New Roman" w:cs="Times New Roman"/>
                <w:noProof/>
                <w:sz w:val="24"/>
                <w:szCs w:val="24"/>
              </w:rPr>
            </w:pPr>
            <w:r w:rsidRPr="00A84242">
              <w:rPr>
                <w:rFonts w:ascii="Times New Roman" w:hAnsi="Times New Roman" w:cs="Times New Roman"/>
                <w:noProof/>
                <w:sz w:val="24"/>
                <w:szCs w:val="24"/>
              </w:rPr>
              <w:t>Тыс руб</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Фильтр</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Код главы</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Плоский список с перечнем Глав субъектов учета</w:t>
            </w:r>
          </w:p>
        </w:tc>
        <w:tc>
          <w:tcPr>
            <w:tcW w:w="793" w:type="pct"/>
          </w:tcPr>
          <w:p w:rsidR="000C3E37" w:rsidRPr="00A84242" w:rsidRDefault="000C3E37" w:rsidP="004301E7">
            <w:pPr>
              <w:pStyle w:val="GOSTTablenorm0"/>
              <w:rPr>
                <w:rFonts w:ascii="Times New Roman" w:hAnsi="Times New Roman" w:cs="Times New Roman"/>
                <w:noProof/>
                <w:sz w:val="24"/>
                <w:szCs w:val="24"/>
              </w:rPr>
            </w:pPr>
            <w:r w:rsidRPr="00A84242">
              <w:rPr>
                <w:rFonts w:ascii="Times New Roman" w:hAnsi="Times New Roman" w:cs="Times New Roman"/>
                <w:noProof/>
                <w:sz w:val="24"/>
                <w:szCs w:val="24"/>
              </w:rPr>
              <w:t>092</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Фильтр</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ТОФК</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Плоский список с перечнем ТОФК обслуживания субъектов учета</w:t>
            </w:r>
          </w:p>
        </w:tc>
        <w:tc>
          <w:tcPr>
            <w:tcW w:w="793" w:type="pct"/>
          </w:tcPr>
          <w:p w:rsidR="000C3E37" w:rsidRPr="00A84242" w:rsidRDefault="000C3E37" w:rsidP="004301E7">
            <w:pPr>
              <w:pStyle w:val="GOSTTablenorm0"/>
              <w:rPr>
                <w:rFonts w:ascii="Times New Roman" w:hAnsi="Times New Roman" w:cs="Times New Roman"/>
                <w:noProof/>
                <w:sz w:val="24"/>
                <w:szCs w:val="24"/>
              </w:rPr>
            </w:pPr>
            <w:r w:rsidRPr="00A84242">
              <w:rPr>
                <w:rFonts w:ascii="Times New Roman" w:hAnsi="Times New Roman" w:cs="Times New Roman"/>
                <w:noProof/>
                <w:sz w:val="24"/>
                <w:szCs w:val="24"/>
              </w:rPr>
              <w:t>УФК по Республике Башкортостан</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Фильтр</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Субъект учета</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Плоский список: перечень субъектов учета</w:t>
            </w:r>
          </w:p>
        </w:tc>
        <w:tc>
          <w:tcPr>
            <w:tcW w:w="793" w:type="pct"/>
          </w:tcPr>
          <w:p w:rsidR="000C3E37" w:rsidRPr="00A84242" w:rsidRDefault="000C3E37" w:rsidP="004301E7">
            <w:pPr>
              <w:pStyle w:val="GOSTTablenorm0"/>
              <w:rPr>
                <w:rFonts w:ascii="Times New Roman" w:hAnsi="Times New Roman" w:cs="Times New Roman"/>
                <w:noProof/>
                <w:sz w:val="24"/>
                <w:szCs w:val="24"/>
              </w:rPr>
            </w:pPr>
            <w:r w:rsidRPr="00A84242">
              <w:rPr>
                <w:rFonts w:ascii="Times New Roman" w:hAnsi="Times New Roman" w:cs="Times New Roman"/>
                <w:noProof/>
                <w:sz w:val="24"/>
                <w:szCs w:val="24"/>
              </w:rPr>
              <w:t>МИНФИН РОССИИ</w:t>
            </w: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Переход</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Детализация по учреждениям</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jc w:val="left"/>
              <w:rPr>
                <w:rFonts w:ascii="Times New Roman" w:hAnsi="Times New Roman" w:cs="Times New Roman"/>
                <w:sz w:val="24"/>
                <w:szCs w:val="24"/>
              </w:rPr>
            </w:pPr>
            <w:r w:rsidRPr="00A84242">
              <w:rPr>
                <w:rFonts w:ascii="Times New Roman" w:hAnsi="Times New Roman" w:cs="Times New Roman"/>
                <w:sz w:val="24"/>
                <w:szCs w:val="24"/>
              </w:rPr>
              <w:t xml:space="preserve">Переход с графы показатель в представление «Исполнение бюджета по источникам - по учреждениям» </w:t>
            </w:r>
          </w:p>
        </w:tc>
        <w:tc>
          <w:tcPr>
            <w:tcW w:w="793" w:type="pct"/>
          </w:tcPr>
          <w:p w:rsidR="000C3E37" w:rsidRPr="00A84242" w:rsidRDefault="000C3E37" w:rsidP="004301E7">
            <w:pPr>
              <w:pStyle w:val="GOSTTablenorm0"/>
              <w:rPr>
                <w:rFonts w:ascii="Times New Roman" w:hAnsi="Times New Roman" w:cs="Times New Roman"/>
                <w:noProof/>
                <w:sz w:val="24"/>
                <w:szCs w:val="24"/>
              </w:rPr>
            </w:pPr>
          </w:p>
        </w:tc>
      </w:tr>
      <w:tr w:rsidR="000C3E37" w:rsidRPr="00A84242" w:rsidTr="000C3E37">
        <w:trPr>
          <w:cantSplit/>
          <w:trHeight w:val="223"/>
        </w:trPr>
        <w:tc>
          <w:tcPr>
            <w:tcW w:w="707" w:type="pct"/>
            <w:shd w:val="clear" w:color="auto" w:fill="auto"/>
          </w:tcPr>
          <w:p w:rsidR="000C3E37" w:rsidRPr="000C3E37" w:rsidRDefault="000C3E37" w:rsidP="005C6E50">
            <w:pPr>
              <w:numPr>
                <w:ilvl w:val="0"/>
                <w:numId w:val="112"/>
              </w:numPr>
              <w:spacing w:after="200" w:line="276" w:lineRule="auto"/>
              <w:jc w:val="left"/>
              <w:rPr>
                <w:color w:val="auto"/>
                <w:szCs w:val="24"/>
              </w:rPr>
            </w:pPr>
            <w:r w:rsidRPr="000C3E37">
              <w:rPr>
                <w:color w:val="auto"/>
                <w:szCs w:val="24"/>
              </w:rPr>
              <w:t>Без изменений</w:t>
            </w:r>
          </w:p>
        </w:tc>
        <w:tc>
          <w:tcPr>
            <w:tcW w:w="627"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Переход</w:t>
            </w:r>
          </w:p>
        </w:tc>
        <w:tc>
          <w:tcPr>
            <w:tcW w:w="798" w:type="pct"/>
            <w:shd w:val="clear" w:color="auto" w:fill="auto"/>
          </w:tcPr>
          <w:p w:rsidR="000C3E37" w:rsidRPr="00A84242" w:rsidRDefault="000C3E37" w:rsidP="004301E7">
            <w:pPr>
              <w:pStyle w:val="GOSTTablenorm0"/>
              <w:rPr>
                <w:rFonts w:ascii="Times New Roman" w:hAnsi="Times New Roman" w:cs="Times New Roman"/>
                <w:sz w:val="24"/>
                <w:szCs w:val="24"/>
              </w:rPr>
            </w:pPr>
            <w:r w:rsidRPr="00A84242">
              <w:rPr>
                <w:rFonts w:ascii="Times New Roman" w:hAnsi="Times New Roman" w:cs="Times New Roman"/>
                <w:sz w:val="24"/>
                <w:szCs w:val="24"/>
              </w:rPr>
              <w:t>Детализация по КБК</w:t>
            </w:r>
          </w:p>
        </w:tc>
        <w:tc>
          <w:tcPr>
            <w:tcW w:w="681" w:type="pct"/>
          </w:tcPr>
          <w:p w:rsidR="000C3E37" w:rsidRPr="00A84242" w:rsidRDefault="000C3E37" w:rsidP="004301E7">
            <w:pPr>
              <w:pStyle w:val="GOSTTablenorm0"/>
              <w:rPr>
                <w:rFonts w:ascii="Times New Roman" w:hAnsi="Times New Roman" w:cs="Times New Roman"/>
                <w:sz w:val="24"/>
                <w:szCs w:val="24"/>
              </w:rPr>
            </w:pPr>
          </w:p>
        </w:tc>
        <w:tc>
          <w:tcPr>
            <w:tcW w:w="1395" w:type="pct"/>
          </w:tcPr>
          <w:p w:rsidR="000C3E37" w:rsidRPr="00A84242" w:rsidRDefault="000C3E37" w:rsidP="004301E7">
            <w:pPr>
              <w:pStyle w:val="GOSTTablenorm0"/>
              <w:jc w:val="left"/>
              <w:rPr>
                <w:rFonts w:ascii="Times New Roman" w:hAnsi="Times New Roman" w:cs="Times New Roman"/>
                <w:sz w:val="24"/>
                <w:szCs w:val="24"/>
              </w:rPr>
            </w:pPr>
            <w:r w:rsidRPr="00A84242">
              <w:rPr>
                <w:rFonts w:ascii="Times New Roman" w:hAnsi="Times New Roman" w:cs="Times New Roman"/>
                <w:sz w:val="24"/>
                <w:szCs w:val="24"/>
              </w:rPr>
              <w:t>Переход с графы показатель в представление «Исполнение бюджета по источникам - по КБК»</w:t>
            </w:r>
          </w:p>
        </w:tc>
        <w:tc>
          <w:tcPr>
            <w:tcW w:w="793" w:type="pct"/>
          </w:tcPr>
          <w:p w:rsidR="000C3E37" w:rsidRPr="00A84242" w:rsidRDefault="000C3E37" w:rsidP="004301E7">
            <w:pPr>
              <w:pStyle w:val="GOSTTablenorm0"/>
              <w:rPr>
                <w:rFonts w:ascii="Times New Roman" w:hAnsi="Times New Roman" w:cs="Times New Roman"/>
                <w:noProof/>
                <w:sz w:val="24"/>
                <w:szCs w:val="24"/>
              </w:rPr>
            </w:pPr>
          </w:p>
        </w:tc>
      </w:tr>
    </w:tbl>
    <w:p w:rsidR="000C28E5" w:rsidRDefault="000C28E5" w:rsidP="000C28E5">
      <w:pPr>
        <w:pStyle w:val="-0"/>
        <w:keepNext/>
      </w:pPr>
      <w:r>
        <w:rPr>
          <w:noProof/>
          <w:snapToGrid/>
        </w:rPr>
        <w:drawing>
          <wp:inline distT="0" distB="0" distL="0" distR="0" wp14:anchorId="400E2E4D" wp14:editId="7B1304E7">
            <wp:extent cx="5939790" cy="2889280"/>
            <wp:effectExtent l="0" t="0" r="3810" b="635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2"/>
                    <a:stretch>
                      <a:fillRect/>
                    </a:stretch>
                  </pic:blipFill>
                  <pic:spPr>
                    <a:xfrm>
                      <a:off x="0" y="0"/>
                      <a:ext cx="5939790" cy="2889280"/>
                    </a:xfrm>
                    <a:prstGeom prst="rect">
                      <a:avLst/>
                    </a:prstGeom>
                  </pic:spPr>
                </pic:pic>
              </a:graphicData>
            </a:graphic>
          </wp:inline>
        </w:drawing>
      </w:r>
    </w:p>
    <w:p w:rsidR="000C28E5" w:rsidRDefault="000C28E5" w:rsidP="00F51CD7">
      <w:pPr>
        <w:pStyle w:val="-0"/>
      </w:pPr>
      <w:bookmarkStart w:id="1296" w:name="_Toc119584518"/>
      <w:r>
        <w:t xml:space="preserve">Рисунок </w:t>
      </w:r>
      <w:fldSimple w:instr=" SEQ Рисунок \* ARABIC ">
        <w:r w:rsidR="001860A9">
          <w:rPr>
            <w:noProof/>
          </w:rPr>
          <w:t>331</w:t>
        </w:r>
      </w:fldSimple>
      <w:r w:rsidRPr="00206C4C">
        <w:t xml:space="preserve"> – Макет отчета «Сведения о ФХД ФОИВ». Представление «</w:t>
      </w:r>
      <w:r>
        <w:t>Исполнение бюджета</w:t>
      </w:r>
      <w:r w:rsidRPr="00206C4C">
        <w:t>» – «</w:t>
      </w:r>
      <w:r>
        <w:t>Источники</w:t>
      </w:r>
      <w:r w:rsidRPr="00206C4C">
        <w:t>»</w:t>
      </w:r>
      <w:bookmarkEnd w:id="1296"/>
    </w:p>
    <w:p w:rsidR="005D77E1" w:rsidRPr="00206C4C" w:rsidRDefault="005D77E1" w:rsidP="00CD6B8A">
      <w:pPr>
        <w:pStyle w:val="35"/>
      </w:pPr>
      <w:bookmarkStart w:id="1297" w:name="_Toc37845336"/>
      <w:bookmarkStart w:id="1298" w:name="_Toc69290143"/>
      <w:bookmarkStart w:id="1299" w:name="_Toc119585108"/>
      <w:r w:rsidRPr="00206C4C">
        <w:t>Отчет «Сведения о ФХД ФОИВ. Качество данных»</w:t>
      </w:r>
      <w:bookmarkEnd w:id="1297"/>
      <w:bookmarkEnd w:id="1298"/>
      <w:r w:rsidR="00CD6B8A">
        <w:t xml:space="preserve"> (</w:t>
      </w:r>
      <w:r w:rsidR="00CD6B8A" w:rsidRPr="00CD6B8A">
        <w:t>PIAO_103_003_mainBookDataQualityReport</w:t>
      </w:r>
      <w:r w:rsidR="00CD6B8A">
        <w:t>)</w:t>
      </w:r>
      <w:bookmarkEnd w:id="1299"/>
    </w:p>
    <w:p w:rsidR="005D77E1" w:rsidRPr="00206C4C" w:rsidRDefault="005D77E1" w:rsidP="005D77E1">
      <w:pPr>
        <w:pStyle w:val="af0"/>
        <w:rPr>
          <w:snapToGrid/>
          <w:szCs w:val="24"/>
        </w:rPr>
      </w:pPr>
      <w:r w:rsidRPr="00206C4C">
        <w:t xml:space="preserve">Аналитический отчет «Сведения о ФХД ФОИВ. Качество данных» содержит информацию о финансово-хозяйственной деятельности </w:t>
      </w:r>
      <w:r w:rsidRPr="00206C4C">
        <w:rPr>
          <w:color w:val="auto"/>
        </w:rPr>
        <w:t xml:space="preserve">субъектов учета </w:t>
      </w:r>
      <w:r w:rsidRPr="00206C4C">
        <w:rPr>
          <w:snapToGrid/>
          <w:szCs w:val="24"/>
        </w:rPr>
        <w:t xml:space="preserve">(ФОИВ, казенных учреждений) осуществивших передачу полномочий по ведению бухгалтерского учета в Федеральное казначейство.  </w:t>
      </w:r>
    </w:p>
    <w:p w:rsidR="005D77E1" w:rsidRPr="00206C4C" w:rsidRDefault="005D77E1" w:rsidP="005D77E1">
      <w:pPr>
        <w:pStyle w:val="af0"/>
        <w:rPr>
          <w:snapToGrid/>
          <w:szCs w:val="24"/>
        </w:rPr>
      </w:pPr>
      <w:r w:rsidRPr="00206C4C">
        <w:t>Отчет обеспечивает</w:t>
      </w:r>
      <w:r w:rsidRPr="00206C4C">
        <w:rPr>
          <w:color w:val="auto"/>
        </w:rPr>
        <w:t xml:space="preserve"> повышение качества предоставляемых данных по направлениям</w:t>
      </w:r>
      <w:r w:rsidRPr="00206C4C">
        <w:rPr>
          <w:snapToGrid/>
          <w:szCs w:val="24"/>
        </w:rPr>
        <w:t>:</w:t>
      </w:r>
    </w:p>
    <w:p w:rsidR="005D77E1" w:rsidRPr="00206C4C" w:rsidRDefault="005D77E1" w:rsidP="000C3E37">
      <w:pPr>
        <w:pStyle w:val="13"/>
        <w:rPr>
          <w:snapToGrid/>
        </w:rPr>
      </w:pPr>
      <w:r w:rsidRPr="00206C4C">
        <w:rPr>
          <w:snapToGrid/>
        </w:rPr>
        <w:t>Анализ исполнения бюджета;</w:t>
      </w:r>
    </w:p>
    <w:p w:rsidR="005D77E1" w:rsidRPr="00206C4C" w:rsidRDefault="005D77E1" w:rsidP="000C3E37">
      <w:pPr>
        <w:pStyle w:val="13"/>
        <w:rPr>
          <w:snapToGrid/>
        </w:rPr>
      </w:pPr>
      <w:r w:rsidRPr="00206C4C">
        <w:rPr>
          <w:snapToGrid/>
        </w:rPr>
        <w:t>Анализ дебиторской и кредиторской задолженности;</w:t>
      </w:r>
    </w:p>
    <w:p w:rsidR="005D77E1" w:rsidRPr="00206C4C" w:rsidRDefault="005D77E1" w:rsidP="000C3E37">
      <w:pPr>
        <w:pStyle w:val="13"/>
        <w:rPr>
          <w:snapToGrid/>
        </w:rPr>
      </w:pPr>
      <w:r w:rsidRPr="00206C4C">
        <w:rPr>
          <w:snapToGrid/>
        </w:rPr>
        <w:t>Анализ нефинансовых активов.</w:t>
      </w:r>
    </w:p>
    <w:p w:rsidR="005D77E1" w:rsidRPr="00206C4C" w:rsidRDefault="005D77E1" w:rsidP="005D77E1">
      <w:pPr>
        <w:pStyle w:val="af0"/>
        <w:rPr>
          <w:snapToGrid/>
          <w:szCs w:val="24"/>
        </w:rPr>
      </w:pPr>
      <w:r w:rsidRPr="00206C4C">
        <w:rPr>
          <w:snapToGrid/>
          <w:szCs w:val="24"/>
        </w:rPr>
        <w:t>В том числе производит проверку сопоставимости данных между разными направлениями и источниками информации.</w:t>
      </w:r>
    </w:p>
    <w:p w:rsidR="005D77E1" w:rsidRPr="00206C4C" w:rsidRDefault="005D77E1" w:rsidP="005D77E1">
      <w:pPr>
        <w:pStyle w:val="42"/>
      </w:pPr>
      <w:bookmarkStart w:id="1300" w:name="_Toc19452024"/>
      <w:r w:rsidRPr="00206C4C">
        <w:t xml:space="preserve">Представление </w:t>
      </w:r>
      <w:bookmarkEnd w:id="1300"/>
      <w:r w:rsidRPr="00206C4C">
        <w:t>«Мониторинг загрузки» – «Статистика загрузки» - «Свод»</w:t>
      </w:r>
    </w:p>
    <w:p w:rsidR="005D77E1" w:rsidRPr="00206C4C" w:rsidRDefault="005D77E1" w:rsidP="005D77E1">
      <w:pPr>
        <w:pStyle w:val="af0"/>
      </w:pPr>
      <w:r w:rsidRPr="00206C4C">
        <w:t xml:space="preserve">Представление «Мониторинг загрузки» – «Статистика загрузки» - «Свод» представлено на рисунке </w:t>
      </w:r>
      <w:r w:rsidR="0041558A">
        <w:fldChar w:fldCharType="begin"/>
      </w:r>
      <w:r w:rsidR="0041558A">
        <w:instrText xml:space="preserve"> REF _Ref70090174 \h </w:instrText>
      </w:r>
      <w:r w:rsidR="0041558A">
        <w:fldChar w:fldCharType="separate"/>
      </w:r>
      <w:r w:rsidR="00BF0BEE">
        <w:rPr>
          <w:noProof/>
        </w:rPr>
        <w:t>332</w:t>
      </w:r>
      <w:r w:rsidR="0041558A">
        <w:fldChar w:fldCharType="end"/>
      </w:r>
      <w:r w:rsidRPr="00206C4C">
        <w:t xml:space="preserve"> и обеспечивает наглядное представление статистики загрузки данных, получаемых по вэб-сервисному взаимодействию с МВУ ПУИО.</w:t>
      </w:r>
    </w:p>
    <w:p w:rsidR="0041558A" w:rsidRDefault="0041558A" w:rsidP="0041558A">
      <w:pPr>
        <w:pStyle w:val="afffff7"/>
        <w:keepNext/>
      </w:pPr>
      <w:r>
        <w:rPr>
          <w:noProof/>
          <w:lang w:eastAsia="ru-RU"/>
        </w:rPr>
        <w:drawing>
          <wp:inline distT="0" distB="0" distL="0" distR="0" wp14:anchorId="23B01651" wp14:editId="3554F9C4">
            <wp:extent cx="5939790" cy="2894184"/>
            <wp:effectExtent l="0" t="0" r="3810" b="1905"/>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3"/>
                    <a:stretch>
                      <a:fillRect/>
                    </a:stretch>
                  </pic:blipFill>
                  <pic:spPr>
                    <a:xfrm>
                      <a:off x="0" y="0"/>
                      <a:ext cx="5939790" cy="2894184"/>
                    </a:xfrm>
                    <a:prstGeom prst="rect">
                      <a:avLst/>
                    </a:prstGeom>
                  </pic:spPr>
                </pic:pic>
              </a:graphicData>
            </a:graphic>
          </wp:inline>
        </w:drawing>
      </w:r>
    </w:p>
    <w:p w:rsidR="005D77E1" w:rsidRPr="00206C4C" w:rsidRDefault="0041558A" w:rsidP="0041558A">
      <w:pPr>
        <w:pStyle w:val="-0"/>
      </w:pPr>
      <w:bookmarkStart w:id="1301" w:name="_Toc119584519"/>
      <w:r w:rsidRPr="00206C4C">
        <w:t xml:space="preserve">Рисунок </w:t>
      </w:r>
      <w:fldSimple w:instr=" SEQ Рисунок \* ARABIC ">
        <w:bookmarkStart w:id="1302" w:name="_Ref70090174"/>
        <w:r w:rsidR="001860A9">
          <w:rPr>
            <w:noProof/>
          </w:rPr>
          <w:t>332</w:t>
        </w:r>
        <w:bookmarkEnd w:id="1302"/>
      </w:fldSimple>
      <w:r w:rsidRPr="00206C4C">
        <w:t xml:space="preserve"> – Макет отчета «Сведения о ФХД ФОИВ. Качество данных». Представление «Мониторинг загрузки» – «Статистика загрузки» - «Свод»</w:t>
      </w:r>
      <w:bookmarkEnd w:id="1301"/>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Сервисная таблица с результатами загрузки данных по «Главная книга» (</w:t>
      </w:r>
      <w:r w:rsidRPr="00206C4C">
        <w:rPr>
          <w:lang w:val="en-US"/>
        </w:rPr>
        <w:t>T</w:t>
      </w:r>
      <w:r w:rsidRPr="00206C4C">
        <w:t>_</w:t>
      </w:r>
      <w:r w:rsidRPr="00206C4C">
        <w:rPr>
          <w:lang w:val="en-US"/>
        </w:rPr>
        <w:t>GK</w:t>
      </w:r>
      <w:r w:rsidRPr="00206C4C">
        <w:t>_</w:t>
      </w:r>
      <w:r w:rsidRPr="00206C4C">
        <w:rPr>
          <w:lang w:val="en-US"/>
        </w:rPr>
        <w:t>SERVICELOAD</w:t>
      </w:r>
      <w:r w:rsidRPr="00206C4C">
        <w:t>);</w:t>
      </w:r>
    </w:p>
    <w:p w:rsidR="005D77E1" w:rsidRPr="00206C4C" w:rsidRDefault="005D77E1" w:rsidP="00DE1661">
      <w:pPr>
        <w:pStyle w:val="13"/>
      </w:pPr>
      <w:r w:rsidRPr="00206C4C">
        <w:t>Сервисная таблица с результатами загрузки данных по «Нефинансовые активы» (</w:t>
      </w:r>
      <w:r w:rsidRPr="00206C4C">
        <w:rPr>
          <w:lang w:val="en-US"/>
        </w:rPr>
        <w:t>T</w:t>
      </w:r>
      <w:r w:rsidRPr="00206C4C">
        <w:t>_</w:t>
      </w:r>
      <w:r w:rsidRPr="00206C4C">
        <w:rPr>
          <w:lang w:val="en-US"/>
        </w:rPr>
        <w:t>GK</w:t>
      </w:r>
      <w:r w:rsidRPr="00206C4C">
        <w:t>_</w:t>
      </w:r>
      <w:r w:rsidRPr="00206C4C">
        <w:rPr>
          <w:lang w:val="en-US"/>
        </w:rPr>
        <w:t>OSSERVICELOAD</w:t>
      </w:r>
      <w:r w:rsidRPr="00206C4C">
        <w:t>);</w:t>
      </w:r>
    </w:p>
    <w:p w:rsidR="005D77E1" w:rsidRPr="00206C4C" w:rsidRDefault="005D77E1" w:rsidP="00DE1661">
      <w:pPr>
        <w:pStyle w:val="13"/>
      </w:pPr>
      <w:r w:rsidRPr="00206C4C">
        <w:t>Сервисная таблица с результатами загрузки данных по «Нефинансовые активы» (</w:t>
      </w:r>
      <w:r w:rsidRPr="00206C4C">
        <w:rPr>
          <w:lang w:val="en-US"/>
        </w:rPr>
        <w:t>T</w:t>
      </w:r>
      <w:r w:rsidRPr="00206C4C">
        <w:t>_</w:t>
      </w:r>
      <w:r w:rsidRPr="00206C4C">
        <w:rPr>
          <w:lang w:val="en-US"/>
        </w:rPr>
        <w:t>GK</w:t>
      </w:r>
      <w:r w:rsidRPr="00206C4C">
        <w:t>_</w:t>
      </w:r>
      <w:r w:rsidRPr="00206C4C">
        <w:rPr>
          <w:lang w:val="en-US"/>
        </w:rPr>
        <w:t>DKZSERVICELOAD</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 xml:space="preserve">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 </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статусам загрузки.</w:t>
      </w:r>
    </w:p>
    <w:p w:rsidR="005D77E1" w:rsidRPr="00206C4C" w:rsidRDefault="005D77E1" w:rsidP="005D77E1">
      <w:pPr>
        <w:pStyle w:val="42"/>
      </w:pPr>
      <w:r w:rsidRPr="00206C4C">
        <w:t>Представление «Мониторинг загрузки» – «Статистика загрузки» - «Статусы загрузки»</w:t>
      </w:r>
    </w:p>
    <w:p w:rsidR="005D77E1" w:rsidRPr="00206C4C" w:rsidRDefault="005D77E1" w:rsidP="005D77E1">
      <w:pPr>
        <w:pStyle w:val="af0"/>
      </w:pPr>
      <w:r w:rsidRPr="00206C4C">
        <w:t xml:space="preserve">Представление «Мониторинг загрузки» – «Статистика загрузки» – «Статусы загрузки» представлено на рисунке </w:t>
      </w:r>
      <w:r w:rsidR="0041558A">
        <w:fldChar w:fldCharType="begin"/>
      </w:r>
      <w:r w:rsidR="0041558A">
        <w:instrText xml:space="preserve"> REF _Ref70090237 \h </w:instrText>
      </w:r>
      <w:r w:rsidR="0041558A">
        <w:fldChar w:fldCharType="separate"/>
      </w:r>
      <w:r w:rsidR="00BF0BEE">
        <w:rPr>
          <w:noProof/>
        </w:rPr>
        <w:t>333</w:t>
      </w:r>
      <w:r w:rsidR="0041558A">
        <w:fldChar w:fldCharType="end"/>
      </w:r>
      <w:r w:rsidRPr="00206C4C">
        <w:t xml:space="preserve"> и обеспечивает наглядное представление статистики загрузки данных, получаемых по вэб-сервисному взаимодействию с МВУ ПУИО, по всем загруженным пакетам, в том числе с предоставлением следующей информации:</w:t>
      </w:r>
    </w:p>
    <w:p w:rsidR="005D77E1" w:rsidRPr="00206C4C" w:rsidRDefault="005D77E1" w:rsidP="00DE1661">
      <w:pPr>
        <w:pStyle w:val="13"/>
      </w:pPr>
      <w:r w:rsidRPr="00206C4C">
        <w:t>Дата загрузки в ПИАО;</w:t>
      </w:r>
    </w:p>
    <w:p w:rsidR="005D77E1" w:rsidRPr="00206C4C" w:rsidRDefault="005D77E1" w:rsidP="00DE1661">
      <w:pPr>
        <w:pStyle w:val="13"/>
      </w:pPr>
      <w:r w:rsidRPr="00206C4C">
        <w:t>Статус передачи в ПИАО;</w:t>
      </w:r>
    </w:p>
    <w:p w:rsidR="005D77E1" w:rsidRPr="00206C4C" w:rsidRDefault="005D77E1" w:rsidP="00DE1661">
      <w:pPr>
        <w:pStyle w:val="13"/>
      </w:pPr>
      <w:r w:rsidRPr="00206C4C">
        <w:rPr>
          <w:lang w:val="en-US"/>
        </w:rPr>
        <w:t>ID</w:t>
      </w:r>
      <w:r w:rsidRPr="003058BC">
        <w:t xml:space="preserve"> </w:t>
      </w:r>
      <w:r w:rsidRPr="00206C4C">
        <w:t>переданного пакета;</w:t>
      </w:r>
    </w:p>
    <w:p w:rsidR="005D77E1" w:rsidRPr="00206C4C" w:rsidRDefault="005D77E1" w:rsidP="00DE1661">
      <w:pPr>
        <w:pStyle w:val="13"/>
      </w:pPr>
      <w:r w:rsidRPr="00206C4C">
        <w:t>Сведения о загружаемой организации;</w:t>
      </w:r>
    </w:p>
    <w:p w:rsidR="005D77E1" w:rsidRPr="00206C4C" w:rsidRDefault="005D77E1" w:rsidP="00DE1661">
      <w:pPr>
        <w:pStyle w:val="13"/>
      </w:pPr>
      <w:r w:rsidRPr="00206C4C">
        <w:t>Код статуса загрузки;</w:t>
      </w:r>
    </w:p>
    <w:p w:rsidR="005D77E1" w:rsidRPr="00206C4C" w:rsidRDefault="005D77E1" w:rsidP="00DE1661">
      <w:pPr>
        <w:pStyle w:val="13"/>
      </w:pPr>
      <w:r w:rsidRPr="00206C4C">
        <w:t>Расшифровка ошибки загрузки (при наличии).</w:t>
      </w:r>
    </w:p>
    <w:p w:rsidR="0041558A" w:rsidRDefault="0041558A" w:rsidP="0041558A">
      <w:pPr>
        <w:pStyle w:val="afffff7"/>
        <w:keepNext/>
      </w:pPr>
      <w:r>
        <w:rPr>
          <w:noProof/>
          <w:lang w:eastAsia="ru-RU"/>
        </w:rPr>
        <w:drawing>
          <wp:inline distT="0" distB="0" distL="0" distR="0" wp14:anchorId="17FEB3F7" wp14:editId="214AC374">
            <wp:extent cx="5939790" cy="2898475"/>
            <wp:effectExtent l="0" t="0" r="381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4"/>
                    <a:stretch>
                      <a:fillRect/>
                    </a:stretch>
                  </pic:blipFill>
                  <pic:spPr>
                    <a:xfrm>
                      <a:off x="0" y="0"/>
                      <a:ext cx="5939790" cy="2898475"/>
                    </a:xfrm>
                    <a:prstGeom prst="rect">
                      <a:avLst/>
                    </a:prstGeom>
                  </pic:spPr>
                </pic:pic>
              </a:graphicData>
            </a:graphic>
          </wp:inline>
        </w:drawing>
      </w:r>
    </w:p>
    <w:p w:rsidR="005D77E1" w:rsidRPr="00206C4C" w:rsidRDefault="0041558A" w:rsidP="0041558A">
      <w:pPr>
        <w:pStyle w:val="-0"/>
      </w:pPr>
      <w:bookmarkStart w:id="1303" w:name="_Toc119584520"/>
      <w:r w:rsidRPr="00206C4C">
        <w:rPr>
          <w:szCs w:val="28"/>
        </w:rPr>
        <w:t xml:space="preserve">Рисунок </w:t>
      </w:r>
      <w:fldSimple w:instr=" SEQ Рисунок \* ARABIC ">
        <w:bookmarkStart w:id="1304" w:name="_Ref70090237"/>
        <w:r w:rsidR="001860A9">
          <w:rPr>
            <w:noProof/>
          </w:rPr>
          <w:t>333</w:t>
        </w:r>
        <w:bookmarkEnd w:id="1304"/>
      </w:fldSimple>
      <w:r w:rsidRPr="00206C4C">
        <w:rPr>
          <w:szCs w:val="28"/>
        </w:rPr>
        <w:t xml:space="preserve"> – </w:t>
      </w:r>
      <w:r w:rsidRPr="00206C4C">
        <w:t>Макет отчета «Сведения о ФХД ФОИВ. Качество данных». Представление «Мониторинг загрузки» – «Статистика загрузки» - «статусы загрузки»</w:t>
      </w:r>
      <w:bookmarkEnd w:id="1303"/>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Сервисная таблица с результатами загрузки данных по «Главная книга» (</w:t>
      </w:r>
      <w:r w:rsidRPr="00206C4C">
        <w:rPr>
          <w:lang w:val="en-US"/>
        </w:rPr>
        <w:t>T</w:t>
      </w:r>
      <w:r w:rsidRPr="00206C4C">
        <w:t>_</w:t>
      </w:r>
      <w:r w:rsidRPr="00206C4C">
        <w:rPr>
          <w:lang w:val="en-US"/>
        </w:rPr>
        <w:t>GK</w:t>
      </w:r>
      <w:r w:rsidRPr="00206C4C">
        <w:t>_</w:t>
      </w:r>
      <w:r w:rsidRPr="00206C4C">
        <w:rPr>
          <w:lang w:val="en-US"/>
        </w:rPr>
        <w:t>SERVICELOAD</w:t>
      </w:r>
      <w:r w:rsidRPr="00206C4C">
        <w:t>);</w:t>
      </w:r>
    </w:p>
    <w:p w:rsidR="005D77E1" w:rsidRPr="00206C4C" w:rsidRDefault="005D77E1" w:rsidP="00DE1661">
      <w:pPr>
        <w:pStyle w:val="13"/>
      </w:pPr>
      <w:r w:rsidRPr="00206C4C">
        <w:t>Сервисная таблица с результатами загрузки данных по «Нефинансовые активы» (</w:t>
      </w:r>
      <w:r w:rsidRPr="00206C4C">
        <w:rPr>
          <w:lang w:val="en-US"/>
        </w:rPr>
        <w:t>T</w:t>
      </w:r>
      <w:r w:rsidRPr="00206C4C">
        <w:t>_</w:t>
      </w:r>
      <w:r w:rsidRPr="00206C4C">
        <w:rPr>
          <w:lang w:val="en-US"/>
        </w:rPr>
        <w:t>GK</w:t>
      </w:r>
      <w:r w:rsidRPr="00206C4C">
        <w:t>_</w:t>
      </w:r>
      <w:r w:rsidRPr="00206C4C">
        <w:rPr>
          <w:lang w:val="en-US"/>
        </w:rPr>
        <w:t>OSSERVICELOAD</w:t>
      </w:r>
      <w:r w:rsidRPr="00206C4C">
        <w:t>);</w:t>
      </w:r>
    </w:p>
    <w:p w:rsidR="005D77E1" w:rsidRPr="00206C4C" w:rsidRDefault="005D77E1" w:rsidP="00DE1661">
      <w:pPr>
        <w:pStyle w:val="13"/>
      </w:pPr>
      <w:r w:rsidRPr="00206C4C">
        <w:t>Сервисная таблица с результатами загрузки данных по «Нефинансовые активы» (</w:t>
      </w:r>
      <w:r w:rsidRPr="00206C4C">
        <w:rPr>
          <w:lang w:val="en-US"/>
        </w:rPr>
        <w:t>T</w:t>
      </w:r>
      <w:r w:rsidRPr="00206C4C">
        <w:t>_</w:t>
      </w:r>
      <w:r w:rsidRPr="00206C4C">
        <w:rPr>
          <w:lang w:val="en-US"/>
        </w:rPr>
        <w:t>GK</w:t>
      </w:r>
      <w:r w:rsidRPr="00206C4C">
        <w:t>_</w:t>
      </w:r>
      <w:r w:rsidRPr="00206C4C">
        <w:rPr>
          <w:lang w:val="en-US"/>
        </w:rPr>
        <w:t>DKZSERVICELOAD</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Статус передачи. Плоский список со множественным выбором: загружено без замечаний; загружено с замечаниями; не загружено; не предоставляется в ПИАО.</w:t>
      </w:r>
    </w:p>
    <w:p w:rsidR="005D77E1" w:rsidRPr="00206C4C" w:rsidRDefault="005D77E1" w:rsidP="005D77E1">
      <w:pPr>
        <w:pStyle w:val="42"/>
      </w:pPr>
      <w:r w:rsidRPr="00206C4C">
        <w:t>Представление «</w:t>
      </w:r>
      <w:r w:rsidR="00E21712">
        <w:t>Корректность ДКЗ</w:t>
      </w:r>
      <w:r w:rsidRPr="00206C4C">
        <w:t>»</w:t>
      </w:r>
    </w:p>
    <w:p w:rsidR="00B75D76" w:rsidRDefault="00E21712" w:rsidP="00B75D76">
      <w:pPr>
        <w:pStyle w:val="af0"/>
      </w:pPr>
      <w:r>
        <w:t>Представление</w:t>
      </w:r>
      <w:r w:rsidR="00B75D76" w:rsidRPr="00D70712">
        <w:t xml:space="preserve"> «</w:t>
      </w:r>
      <w:r w:rsidR="00B75D76">
        <w:t>Корректность ДКЗ</w:t>
      </w:r>
      <w:r w:rsidR="00B75D76" w:rsidRPr="00D70712">
        <w:t>» отчета «Сведени</w:t>
      </w:r>
      <w:r w:rsidR="00B75D76">
        <w:t xml:space="preserve">я о ФХД ФОИВ. Качество данных» </w:t>
      </w:r>
      <w:r w:rsidR="00B75D76" w:rsidRPr="00D70712">
        <w:t xml:space="preserve">содержат информацию о наличии </w:t>
      </w:r>
      <w:r w:rsidR="00B75D76">
        <w:t xml:space="preserve">расхождений, выявленных при сверке аналитического </w:t>
      </w:r>
      <w:r w:rsidR="00B75D76" w:rsidRPr="00D70712">
        <w:t xml:space="preserve">учета </w:t>
      </w:r>
      <w:r w:rsidR="00B75D76">
        <w:t xml:space="preserve">дебиторской и кредиторской задолженности </w:t>
      </w:r>
      <w:r w:rsidR="00B75D76" w:rsidRPr="00D70712">
        <w:t xml:space="preserve">и данных главной книги (соблюдение требования непротиворечивости показателей), полученных в результате загрузки данных </w:t>
      </w:r>
      <w:r w:rsidR="00B75D76">
        <w:t xml:space="preserve">бюджетного </w:t>
      </w:r>
      <w:r w:rsidR="00B75D76" w:rsidRPr="00D70712">
        <w:t xml:space="preserve">учета </w:t>
      </w:r>
      <w:r w:rsidR="00B75D76">
        <w:t>субъектов централизованного учета</w:t>
      </w:r>
      <w:r w:rsidR="00B75D76" w:rsidRPr="00D70712">
        <w:t>.</w:t>
      </w:r>
    </w:p>
    <w:p w:rsidR="00B75D76" w:rsidRDefault="00E21712" w:rsidP="00B75D76">
      <w:pPr>
        <w:pStyle w:val="af0"/>
      </w:pPr>
      <w:r>
        <w:t>Представление</w:t>
      </w:r>
      <w:r w:rsidR="00B75D76">
        <w:t xml:space="preserve"> создан</w:t>
      </w:r>
      <w:r>
        <w:t>о</w:t>
      </w:r>
      <w:r w:rsidR="00B75D76">
        <w:t xml:space="preserve"> в табличной форме и содержат следующие представления:</w:t>
      </w:r>
    </w:p>
    <w:p w:rsidR="00B75D76" w:rsidRPr="00475844" w:rsidRDefault="00B75D76" w:rsidP="00DE1661">
      <w:pPr>
        <w:pStyle w:val="13"/>
      </w:pPr>
      <w:r>
        <w:t xml:space="preserve">ГРБС </w:t>
      </w:r>
      <w:r w:rsidRPr="00460997">
        <w:t xml:space="preserve">– </w:t>
      </w:r>
      <w:r>
        <w:t>Счет;</w:t>
      </w:r>
    </w:p>
    <w:p w:rsidR="00B75D76" w:rsidRPr="00D768FE" w:rsidRDefault="00B75D76" w:rsidP="00DE1661">
      <w:pPr>
        <w:pStyle w:val="13"/>
      </w:pPr>
      <w:r>
        <w:t>Счет – ГРБС</w:t>
      </w:r>
      <w:r w:rsidRPr="00475844">
        <w:t>.</w:t>
      </w:r>
    </w:p>
    <w:p w:rsidR="00B75D76" w:rsidRDefault="00B75D76" w:rsidP="00B75D76">
      <w:pPr>
        <w:rPr>
          <w:sz w:val="28"/>
          <w:szCs w:val="28"/>
        </w:rPr>
      </w:pPr>
      <w:r>
        <w:rPr>
          <w:sz w:val="28"/>
          <w:szCs w:val="28"/>
        </w:rPr>
        <w:t>Источники данных для представления:</w:t>
      </w:r>
    </w:p>
    <w:p w:rsidR="00B75D76" w:rsidRPr="000C3E37" w:rsidRDefault="00B75D76" w:rsidP="000C3E37">
      <w:pPr>
        <w:pStyle w:val="13"/>
      </w:pPr>
      <w:r w:rsidRPr="000C3E37">
        <w:t>Данные на основе информации регистра «Главная книга» (F_GK_DATA);</w:t>
      </w:r>
    </w:p>
    <w:p w:rsidR="00B75D76" w:rsidRDefault="00B75D76" w:rsidP="000C3E37">
      <w:pPr>
        <w:pStyle w:val="13"/>
      </w:pPr>
      <w:r w:rsidRPr="000C3E37">
        <w:t>Данные на основе информации «Дебиторская и кредиторская</w:t>
      </w:r>
      <w:r w:rsidRPr="005C603D">
        <w:t xml:space="preserve"> задолженность» (F_GK_DKZ)</w:t>
      </w:r>
      <w:r>
        <w:t>.</w:t>
      </w:r>
    </w:p>
    <w:p w:rsidR="00B75D76" w:rsidRDefault="00B75D76" w:rsidP="00B75D76">
      <w:pPr>
        <w:rPr>
          <w:sz w:val="28"/>
          <w:szCs w:val="28"/>
        </w:rPr>
      </w:pPr>
      <w:r>
        <w:rPr>
          <w:sz w:val="28"/>
          <w:szCs w:val="28"/>
        </w:rPr>
        <w:t>Параметры представления:</w:t>
      </w:r>
    </w:p>
    <w:p w:rsidR="00B75D76" w:rsidRPr="00D768FE" w:rsidRDefault="00B75D76"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B75D76" w:rsidRDefault="00B75D76" w:rsidP="00DE1661">
      <w:pPr>
        <w:pStyle w:val="13"/>
      </w:pPr>
      <w:r w:rsidRPr="00D768FE">
        <w:t>Единицы измерения</w:t>
      </w:r>
      <w:r>
        <w:t>. Плоский список с элементами:</w:t>
      </w:r>
      <w:r w:rsidRPr="00D768FE">
        <w:t xml:space="preserve"> руб., тыс. руб., млн. руб., млрд. руб.</w:t>
      </w:r>
      <w:r w:rsidRPr="006459B1">
        <w:t xml:space="preserve"> </w:t>
      </w:r>
    </w:p>
    <w:p w:rsidR="00B75D76" w:rsidRPr="00D768FE" w:rsidRDefault="00B75D76" w:rsidP="00DE1661">
      <w:pPr>
        <w:pStyle w:val="13"/>
      </w:pPr>
      <w:r>
        <w:t>Счет. Иерархический список со счетами, относящимися к учету дебиторской и кредиторской задолженности;</w:t>
      </w:r>
    </w:p>
    <w:p w:rsidR="00B75D76" w:rsidRPr="00D768FE" w:rsidRDefault="00B75D76" w:rsidP="00DE1661">
      <w:pPr>
        <w:pStyle w:val="13"/>
      </w:pPr>
      <w:r w:rsidRPr="00D768FE">
        <w:t>Код главы</w:t>
      </w:r>
      <w:r>
        <w:t>. Плоский список с перечнем Глав субъектов учета, по которым производится анализ в ПИАО</w:t>
      </w:r>
      <w:r w:rsidRPr="00D768FE">
        <w:t>;</w:t>
      </w:r>
    </w:p>
    <w:p w:rsidR="00B75D76" w:rsidRDefault="00B75D76" w:rsidP="00DE1661">
      <w:pPr>
        <w:pStyle w:val="13"/>
      </w:pPr>
      <w:r w:rsidRPr="00D768FE">
        <w:t>Субъект учета</w:t>
      </w:r>
      <w:r>
        <w:t>. Плоский список: перечень субъектов централизованного учета, анализируемых в ПИАО. Фильтр зависит от выбора в фильтре «Код Главы»: отображаются только субъекты учета, находящиеся в ведении данной Главы;</w:t>
      </w:r>
    </w:p>
    <w:p w:rsidR="00B75D76" w:rsidRDefault="00B75D76" w:rsidP="00DE1661">
      <w:pPr>
        <w:pStyle w:val="13"/>
      </w:pPr>
      <w:r>
        <w:t>Период. Плоский список с элементами: по периоду, на начало года.</w:t>
      </w:r>
    </w:p>
    <w:p w:rsidR="00B75D76" w:rsidRDefault="00B75D76" w:rsidP="00DE1661">
      <w:pPr>
        <w:pStyle w:val="13"/>
      </w:pPr>
      <w:r>
        <w:t>Чек-бокс одинарная галочка «Показать проблемы». При простановке галочки выводятся только строки, содержащие расхождения, выявленные при сверке показателей.</w:t>
      </w:r>
    </w:p>
    <w:p w:rsidR="00B75D76" w:rsidRDefault="00B75D76" w:rsidP="00B75D76">
      <w:pPr>
        <w:rPr>
          <w:sz w:val="28"/>
          <w:szCs w:val="28"/>
          <w:lang w:eastAsia="x-none"/>
        </w:rPr>
      </w:pPr>
      <w:r>
        <w:rPr>
          <w:sz w:val="28"/>
          <w:szCs w:val="28"/>
          <w:lang w:eastAsia="x-none"/>
        </w:rPr>
        <w:t xml:space="preserve">Алгоритм расчета показателей представлен в Таблице </w:t>
      </w:r>
      <w:r w:rsidR="00E21712">
        <w:rPr>
          <w:sz w:val="28"/>
          <w:szCs w:val="28"/>
          <w:lang w:eastAsia="x-none"/>
        </w:rPr>
        <w:fldChar w:fldCharType="begin"/>
      </w:r>
      <w:r w:rsidR="00E21712">
        <w:rPr>
          <w:sz w:val="28"/>
          <w:szCs w:val="28"/>
          <w:lang w:eastAsia="x-none"/>
        </w:rPr>
        <w:instrText xml:space="preserve"> REF _Ref70090618 \h </w:instrText>
      </w:r>
      <w:r w:rsidR="00E21712">
        <w:rPr>
          <w:sz w:val="28"/>
          <w:szCs w:val="28"/>
          <w:lang w:eastAsia="x-none"/>
        </w:rPr>
      </w:r>
      <w:r w:rsidR="00E21712">
        <w:rPr>
          <w:sz w:val="28"/>
          <w:szCs w:val="28"/>
          <w:lang w:eastAsia="x-none"/>
        </w:rPr>
        <w:fldChar w:fldCharType="separate"/>
      </w:r>
      <w:r w:rsidR="00BF0BEE">
        <w:rPr>
          <w:noProof/>
        </w:rPr>
        <w:t>46</w:t>
      </w:r>
      <w:r w:rsidR="00E21712">
        <w:rPr>
          <w:sz w:val="28"/>
          <w:szCs w:val="28"/>
          <w:lang w:eastAsia="x-none"/>
        </w:rPr>
        <w:fldChar w:fldCharType="end"/>
      </w:r>
      <w:r>
        <w:rPr>
          <w:sz w:val="28"/>
          <w:szCs w:val="28"/>
          <w:lang w:eastAsia="x-none"/>
        </w:rPr>
        <w:t xml:space="preserve"> </w:t>
      </w:r>
    </w:p>
    <w:p w:rsidR="00B75D76" w:rsidRDefault="00B75D76" w:rsidP="00B75D76">
      <w:pPr>
        <w:pStyle w:val="-"/>
        <w:rPr>
          <w:noProof/>
        </w:rPr>
      </w:pPr>
      <w:bookmarkStart w:id="1305" w:name="_Toc38621166"/>
      <w:bookmarkStart w:id="1306" w:name="_Toc38883805"/>
      <w:bookmarkStart w:id="1307" w:name="_Toc54345190"/>
      <w:bookmarkStart w:id="1308" w:name="_Toc119585187"/>
      <w:r>
        <w:t xml:space="preserve">Таблица </w:t>
      </w:r>
      <w:fldSimple w:instr=" SEQ Таблица \* ARABIC ">
        <w:bookmarkStart w:id="1309" w:name="_Ref70090618"/>
        <w:r w:rsidR="00BF0BEE">
          <w:rPr>
            <w:noProof/>
          </w:rPr>
          <w:t>46</w:t>
        </w:r>
        <w:bookmarkEnd w:id="1309"/>
      </w:fldSimple>
      <w:r>
        <w:rPr>
          <w:noProof/>
        </w:rPr>
        <w:t xml:space="preserve"> –</w:t>
      </w:r>
      <w:r>
        <w:t xml:space="preserve"> Алгоритм расче</w:t>
      </w:r>
      <w:r w:rsidR="007B7C5C">
        <w:t>та основных показателей отчета «</w:t>
      </w:r>
      <w:r>
        <w:t>Корректность ДКЗ</w:t>
      </w:r>
      <w:bookmarkEnd w:id="1305"/>
      <w:bookmarkEnd w:id="1306"/>
      <w:bookmarkEnd w:id="1307"/>
      <w:r w:rsidR="007B7C5C">
        <w:t>»</w:t>
      </w:r>
      <w:bookmarkEnd w:id="1308"/>
    </w:p>
    <w:tbl>
      <w:tblPr>
        <w:tblW w:w="9798"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744"/>
        <w:gridCol w:w="3485"/>
        <w:gridCol w:w="2610"/>
      </w:tblGrid>
      <w:tr w:rsidR="00B75D76" w:rsidRPr="00B75D76" w:rsidTr="00B75D76">
        <w:trPr>
          <w:trHeight w:val="300"/>
          <w:tblHeader/>
        </w:trPr>
        <w:tc>
          <w:tcPr>
            <w:tcW w:w="489" w:type="pct"/>
            <w:shd w:val="clear" w:color="auto" w:fill="D9D9D9" w:themeFill="background1" w:themeFillShade="D9"/>
            <w:noWrap/>
            <w:vAlign w:val="center"/>
            <w:hideMark/>
          </w:tcPr>
          <w:p w:rsidR="00B75D76" w:rsidRPr="00B75D76" w:rsidRDefault="00B75D76" w:rsidP="00B75D76">
            <w:pPr>
              <w:jc w:val="center"/>
              <w:rPr>
                <w:b/>
                <w:snapToGrid/>
                <w:szCs w:val="24"/>
              </w:rPr>
            </w:pPr>
            <w:r w:rsidRPr="00B75D76">
              <w:rPr>
                <w:b/>
                <w:snapToGrid/>
                <w:szCs w:val="24"/>
              </w:rPr>
              <w:t>Нумерация в таблице</w:t>
            </w:r>
          </w:p>
        </w:tc>
        <w:tc>
          <w:tcPr>
            <w:tcW w:w="1400" w:type="pct"/>
            <w:shd w:val="clear" w:color="auto" w:fill="D9D9D9" w:themeFill="background1" w:themeFillShade="D9"/>
            <w:noWrap/>
            <w:vAlign w:val="center"/>
            <w:hideMark/>
          </w:tcPr>
          <w:p w:rsidR="00B75D76" w:rsidRPr="00B75D76" w:rsidRDefault="00B75D76" w:rsidP="00B75D76">
            <w:pPr>
              <w:jc w:val="center"/>
              <w:rPr>
                <w:b/>
                <w:snapToGrid/>
                <w:szCs w:val="24"/>
              </w:rPr>
            </w:pPr>
            <w:r w:rsidRPr="00B75D76">
              <w:rPr>
                <w:b/>
                <w:snapToGrid/>
                <w:szCs w:val="24"/>
              </w:rPr>
              <w:t>Наименование</w:t>
            </w:r>
          </w:p>
        </w:tc>
        <w:tc>
          <w:tcPr>
            <w:tcW w:w="1778" w:type="pct"/>
            <w:shd w:val="clear" w:color="auto" w:fill="D9D9D9" w:themeFill="background1" w:themeFillShade="D9"/>
            <w:noWrap/>
            <w:vAlign w:val="center"/>
            <w:hideMark/>
          </w:tcPr>
          <w:p w:rsidR="00B75D76" w:rsidRPr="00B75D76" w:rsidRDefault="00B75D76" w:rsidP="00B75D76">
            <w:pPr>
              <w:jc w:val="center"/>
              <w:rPr>
                <w:b/>
                <w:snapToGrid/>
                <w:szCs w:val="24"/>
              </w:rPr>
            </w:pPr>
            <w:r w:rsidRPr="00B75D76">
              <w:rPr>
                <w:b/>
                <w:snapToGrid/>
                <w:szCs w:val="24"/>
              </w:rPr>
              <w:t>Алгоритм</w:t>
            </w:r>
          </w:p>
        </w:tc>
        <w:tc>
          <w:tcPr>
            <w:tcW w:w="1332" w:type="pct"/>
            <w:shd w:val="clear" w:color="auto" w:fill="D9D9D9" w:themeFill="background1" w:themeFillShade="D9"/>
            <w:noWrap/>
            <w:vAlign w:val="center"/>
            <w:hideMark/>
          </w:tcPr>
          <w:p w:rsidR="00B75D76" w:rsidRPr="00B75D76" w:rsidRDefault="00B75D76" w:rsidP="00B75D76">
            <w:pPr>
              <w:jc w:val="center"/>
              <w:rPr>
                <w:b/>
                <w:snapToGrid/>
                <w:szCs w:val="24"/>
              </w:rPr>
            </w:pPr>
            <w:r w:rsidRPr="00B75D76">
              <w:rPr>
                <w:b/>
                <w:snapToGrid/>
                <w:szCs w:val="24"/>
              </w:rPr>
              <w:t>Источник данных</w:t>
            </w:r>
          </w:p>
        </w:tc>
      </w:tr>
      <w:tr w:rsidR="00B75D76" w:rsidRPr="00B75D76" w:rsidTr="00B75D76">
        <w:trPr>
          <w:trHeight w:val="3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3</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Данные по счету начало года/по периоду в Главной книге Дебет</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Остаток по счетам учета дебиторской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"Главная книга"</w:t>
            </w:r>
          </w:p>
        </w:tc>
      </w:tr>
      <w:tr w:rsidR="00B75D76" w:rsidRPr="00B75D76" w:rsidTr="00B75D76">
        <w:trPr>
          <w:trHeight w:val="3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4</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Данные по счету начало года/по периоду в Главной книге Кредит</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Остаток по счетам учета кредиторской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"Главная книга"</w:t>
            </w:r>
          </w:p>
        </w:tc>
      </w:tr>
      <w:tr w:rsidR="00B75D76" w:rsidRPr="00B75D76" w:rsidTr="00B75D76">
        <w:trPr>
          <w:trHeight w:val="3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5</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Свернутый остаток по счету</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Свернутый остаток по счетам учета дебиторской и кредиторской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"Главная книга"</w:t>
            </w:r>
          </w:p>
        </w:tc>
      </w:tr>
      <w:tr w:rsidR="00B75D76" w:rsidRPr="00B75D76" w:rsidTr="00B75D76">
        <w:trPr>
          <w:trHeight w:val="6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6</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Тип остатка (Дт/Кт)</w:t>
            </w:r>
          </w:p>
        </w:tc>
        <w:tc>
          <w:tcPr>
            <w:tcW w:w="1778" w:type="pct"/>
            <w:shd w:val="clear" w:color="auto" w:fill="auto"/>
            <w:vAlign w:val="bottom"/>
            <w:hideMark/>
          </w:tcPr>
          <w:p w:rsidR="00B75D76" w:rsidRPr="00B75D76" w:rsidRDefault="00B75D76" w:rsidP="00B75D76">
            <w:pPr>
              <w:jc w:val="left"/>
              <w:rPr>
                <w:snapToGrid/>
                <w:szCs w:val="24"/>
              </w:rPr>
            </w:pPr>
            <w:r w:rsidRPr="00B75D76">
              <w:rPr>
                <w:snapToGrid/>
                <w:szCs w:val="24"/>
              </w:rPr>
              <w:t>Определяется тип остатка (Дт/Кт) подсвечивается красным цветом остаток счета, у которого нарушено соответствие принадлежности счета к балансу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"Главная книга"</w:t>
            </w:r>
          </w:p>
        </w:tc>
      </w:tr>
      <w:tr w:rsidR="00B75D76" w:rsidRPr="00B75D76" w:rsidTr="00B75D76">
        <w:trPr>
          <w:trHeight w:val="6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7</w:t>
            </w:r>
          </w:p>
        </w:tc>
        <w:tc>
          <w:tcPr>
            <w:tcW w:w="1400" w:type="pct"/>
            <w:shd w:val="clear" w:color="auto" w:fill="auto"/>
            <w:vAlign w:val="bottom"/>
            <w:hideMark/>
          </w:tcPr>
          <w:p w:rsidR="00B75D76" w:rsidRPr="00B75D76" w:rsidRDefault="00B75D76" w:rsidP="00B75D76">
            <w:pPr>
              <w:jc w:val="left"/>
              <w:rPr>
                <w:snapToGrid/>
                <w:szCs w:val="24"/>
              </w:rPr>
            </w:pPr>
            <w:r w:rsidRPr="00B75D76">
              <w:rPr>
                <w:snapToGrid/>
                <w:szCs w:val="24"/>
              </w:rPr>
              <w:t>Данные по счету на начало года/по периоду по Расшифровке дебиторской и кредиторской задолженности Дебет</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Остаток по счетам учета дебиторской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"Дебиторская и кредиторская задолженность"</w:t>
            </w:r>
          </w:p>
        </w:tc>
      </w:tr>
      <w:tr w:rsidR="00B75D76" w:rsidRPr="00B75D76" w:rsidTr="00B75D76">
        <w:trPr>
          <w:trHeight w:val="6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8</w:t>
            </w:r>
          </w:p>
        </w:tc>
        <w:tc>
          <w:tcPr>
            <w:tcW w:w="1400" w:type="pct"/>
            <w:shd w:val="clear" w:color="auto" w:fill="auto"/>
            <w:vAlign w:val="bottom"/>
            <w:hideMark/>
          </w:tcPr>
          <w:p w:rsidR="00B75D76" w:rsidRPr="00B75D76" w:rsidRDefault="00B75D76" w:rsidP="00B75D76">
            <w:pPr>
              <w:jc w:val="left"/>
              <w:rPr>
                <w:snapToGrid/>
                <w:szCs w:val="24"/>
              </w:rPr>
            </w:pPr>
            <w:r w:rsidRPr="00B75D76">
              <w:rPr>
                <w:snapToGrid/>
                <w:szCs w:val="24"/>
              </w:rPr>
              <w:t>Данные по счету на начало года/по периоду по Расшифровке дебиторской и кредиторской задолженности Кредит</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Остаток по счетам учета кредиторской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"Дебиторская и кредиторская задолженность"</w:t>
            </w:r>
          </w:p>
        </w:tc>
      </w:tr>
      <w:tr w:rsidR="00B75D76" w:rsidRPr="00B75D76" w:rsidTr="00B75D76">
        <w:trPr>
          <w:trHeight w:val="6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9</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Свернутый остаток по счету</w:t>
            </w:r>
          </w:p>
        </w:tc>
        <w:tc>
          <w:tcPr>
            <w:tcW w:w="1778" w:type="pct"/>
            <w:shd w:val="clear" w:color="auto" w:fill="auto"/>
            <w:vAlign w:val="bottom"/>
            <w:hideMark/>
          </w:tcPr>
          <w:p w:rsidR="00B75D76" w:rsidRPr="00B75D76" w:rsidRDefault="00B75D76" w:rsidP="00B75D76">
            <w:pPr>
              <w:jc w:val="left"/>
              <w:rPr>
                <w:snapToGrid/>
                <w:szCs w:val="24"/>
              </w:rPr>
            </w:pPr>
            <w:r w:rsidRPr="00B75D76">
              <w:rPr>
                <w:snapToGrid/>
                <w:szCs w:val="24"/>
              </w:rPr>
              <w:t>Свернутый остаток по счетам учета дебиторской и кредиторской задолженности на начало года/по периоду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"Дебиторская и кредиторская задолженность"</w:t>
            </w:r>
          </w:p>
        </w:tc>
      </w:tr>
      <w:tr w:rsidR="00B75D76" w:rsidRPr="00B75D76" w:rsidTr="00B75D76">
        <w:trPr>
          <w:trHeight w:val="6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10</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Тип остатка (Дт/Кт)</w:t>
            </w:r>
          </w:p>
        </w:tc>
        <w:tc>
          <w:tcPr>
            <w:tcW w:w="1778" w:type="pct"/>
            <w:shd w:val="clear" w:color="auto" w:fill="auto"/>
            <w:vAlign w:val="bottom"/>
            <w:hideMark/>
          </w:tcPr>
          <w:p w:rsidR="00B75D76" w:rsidRPr="00B75D76" w:rsidRDefault="00B75D76" w:rsidP="00B75D76">
            <w:pPr>
              <w:jc w:val="left"/>
              <w:rPr>
                <w:snapToGrid/>
                <w:szCs w:val="24"/>
              </w:rPr>
            </w:pPr>
            <w:r w:rsidRPr="00B75D76">
              <w:rPr>
                <w:snapToGrid/>
                <w:szCs w:val="24"/>
              </w:rPr>
              <w:t>Определяется тип остатка (Дт/Кт) подсвечивается красным цветом остаток счета, у которого нарушено соответствие принадлежности счета к балансу</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МВУ ПУИО, регистр "Дебиторская и кредиторская задолженность"</w:t>
            </w:r>
          </w:p>
        </w:tc>
      </w:tr>
      <w:tr w:rsidR="00B75D76" w:rsidRPr="00B75D76" w:rsidTr="00B75D76">
        <w:trPr>
          <w:trHeight w:val="300"/>
        </w:trPr>
        <w:tc>
          <w:tcPr>
            <w:tcW w:w="489" w:type="pct"/>
            <w:shd w:val="clear" w:color="auto" w:fill="auto"/>
            <w:noWrap/>
            <w:vAlign w:val="bottom"/>
            <w:hideMark/>
          </w:tcPr>
          <w:p w:rsidR="00B75D76" w:rsidRPr="00B75D76" w:rsidRDefault="00B75D76" w:rsidP="00B75D76">
            <w:pPr>
              <w:jc w:val="left"/>
              <w:rPr>
                <w:snapToGrid/>
                <w:szCs w:val="24"/>
              </w:rPr>
            </w:pPr>
            <w:r w:rsidRPr="00B75D76">
              <w:rPr>
                <w:snapToGrid/>
                <w:szCs w:val="24"/>
              </w:rPr>
              <w:t>11=5-9</w:t>
            </w:r>
          </w:p>
        </w:tc>
        <w:tc>
          <w:tcPr>
            <w:tcW w:w="1400" w:type="pct"/>
            <w:shd w:val="clear" w:color="auto" w:fill="auto"/>
            <w:noWrap/>
            <w:vAlign w:val="bottom"/>
            <w:hideMark/>
          </w:tcPr>
          <w:p w:rsidR="00B75D76" w:rsidRPr="00B75D76" w:rsidRDefault="00B75D76" w:rsidP="00B75D76">
            <w:pPr>
              <w:jc w:val="left"/>
              <w:rPr>
                <w:snapToGrid/>
                <w:szCs w:val="24"/>
              </w:rPr>
            </w:pPr>
            <w:r w:rsidRPr="00B75D76">
              <w:rPr>
                <w:snapToGrid/>
                <w:szCs w:val="24"/>
              </w:rPr>
              <w:t>Расхождение</w:t>
            </w:r>
          </w:p>
        </w:tc>
        <w:tc>
          <w:tcPr>
            <w:tcW w:w="1778" w:type="pct"/>
            <w:shd w:val="clear" w:color="auto" w:fill="auto"/>
            <w:noWrap/>
            <w:vAlign w:val="bottom"/>
            <w:hideMark/>
          </w:tcPr>
          <w:p w:rsidR="00B75D76" w:rsidRPr="00B75D76" w:rsidRDefault="00B75D76" w:rsidP="00B75D76">
            <w:pPr>
              <w:jc w:val="left"/>
              <w:rPr>
                <w:snapToGrid/>
                <w:szCs w:val="24"/>
              </w:rPr>
            </w:pPr>
            <w:r w:rsidRPr="00B75D76">
              <w:rPr>
                <w:snapToGrid/>
                <w:szCs w:val="24"/>
              </w:rPr>
              <w:t>Определяется расчетным путем</w:t>
            </w:r>
          </w:p>
        </w:tc>
        <w:tc>
          <w:tcPr>
            <w:tcW w:w="1332" w:type="pct"/>
            <w:shd w:val="clear" w:color="auto" w:fill="auto"/>
            <w:noWrap/>
            <w:vAlign w:val="bottom"/>
            <w:hideMark/>
          </w:tcPr>
          <w:p w:rsidR="00B75D76" w:rsidRPr="00B75D76" w:rsidRDefault="00B75D76" w:rsidP="00B75D76">
            <w:pPr>
              <w:jc w:val="left"/>
              <w:rPr>
                <w:snapToGrid/>
                <w:szCs w:val="24"/>
              </w:rPr>
            </w:pPr>
            <w:r w:rsidRPr="00B75D76">
              <w:rPr>
                <w:snapToGrid/>
                <w:szCs w:val="24"/>
              </w:rPr>
              <w:t>Расчетная</w:t>
            </w:r>
          </w:p>
        </w:tc>
      </w:tr>
    </w:tbl>
    <w:p w:rsidR="00B75D76" w:rsidRDefault="00B75D76" w:rsidP="009A18E6">
      <w:pPr>
        <w:pStyle w:val="-0"/>
      </w:pPr>
      <w:r>
        <w:rPr>
          <w:noProof/>
          <w:snapToGrid/>
        </w:rPr>
        <w:drawing>
          <wp:inline distT="0" distB="0" distL="0" distR="0" wp14:anchorId="4C38FFDF" wp14:editId="41BCF9D5">
            <wp:extent cx="5939790" cy="2898475"/>
            <wp:effectExtent l="0" t="0" r="381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5"/>
                    <a:stretch>
                      <a:fillRect/>
                    </a:stretch>
                  </pic:blipFill>
                  <pic:spPr>
                    <a:xfrm>
                      <a:off x="0" y="0"/>
                      <a:ext cx="5939790" cy="2898475"/>
                    </a:xfrm>
                    <a:prstGeom prst="rect">
                      <a:avLst/>
                    </a:prstGeom>
                  </pic:spPr>
                </pic:pic>
              </a:graphicData>
            </a:graphic>
          </wp:inline>
        </w:drawing>
      </w:r>
    </w:p>
    <w:p w:rsidR="005D77E1" w:rsidRDefault="00B75D76" w:rsidP="00B75D76">
      <w:pPr>
        <w:pStyle w:val="-0"/>
      </w:pPr>
      <w:bookmarkStart w:id="1310" w:name="_Toc119584521"/>
      <w:r>
        <w:t xml:space="preserve">Рисунок </w:t>
      </w:r>
      <w:fldSimple w:instr=" SEQ Рисунок \* ARABIC ">
        <w:r w:rsidR="001860A9">
          <w:rPr>
            <w:noProof/>
          </w:rPr>
          <w:t>334</w:t>
        </w:r>
      </w:fldSimple>
      <w:r w:rsidRPr="00206C4C">
        <w:rPr>
          <w:szCs w:val="28"/>
        </w:rPr>
        <w:t xml:space="preserve"> – </w:t>
      </w:r>
      <w:r w:rsidRPr="00206C4C">
        <w:t>Макет отчета «Сведения о ФХД ФОИВ. Качество данных». Представление «</w:t>
      </w:r>
      <w:r>
        <w:t>Корректность ДКЗ</w:t>
      </w:r>
      <w:r w:rsidRPr="00206C4C">
        <w:t xml:space="preserve">» </w:t>
      </w:r>
      <w:r w:rsidR="00E21712">
        <w:t>(Колонки 1-6)</w:t>
      </w:r>
      <w:bookmarkEnd w:id="1310"/>
    </w:p>
    <w:p w:rsidR="003D1EF2" w:rsidRDefault="003D1EF2" w:rsidP="003D1EF2">
      <w:pPr>
        <w:pStyle w:val="-0"/>
        <w:keepNext/>
      </w:pPr>
      <w:r>
        <w:rPr>
          <w:noProof/>
          <w:snapToGrid/>
        </w:rPr>
        <w:drawing>
          <wp:inline distT="0" distB="0" distL="0" distR="0" wp14:anchorId="09C948D5" wp14:editId="09FBCECD">
            <wp:extent cx="5939790" cy="2890506"/>
            <wp:effectExtent l="0" t="0" r="3810" b="5715"/>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6"/>
                    <a:stretch>
                      <a:fillRect/>
                    </a:stretch>
                  </pic:blipFill>
                  <pic:spPr>
                    <a:xfrm>
                      <a:off x="0" y="0"/>
                      <a:ext cx="5939790" cy="2890506"/>
                    </a:xfrm>
                    <a:prstGeom prst="rect">
                      <a:avLst/>
                    </a:prstGeom>
                  </pic:spPr>
                </pic:pic>
              </a:graphicData>
            </a:graphic>
          </wp:inline>
        </w:drawing>
      </w:r>
    </w:p>
    <w:p w:rsidR="00E21712" w:rsidRPr="00206C4C" w:rsidRDefault="003D1EF2" w:rsidP="003D1EF2">
      <w:pPr>
        <w:pStyle w:val="-0"/>
      </w:pPr>
      <w:bookmarkStart w:id="1311" w:name="_Toc119584522"/>
      <w:r>
        <w:t xml:space="preserve">Рисунок </w:t>
      </w:r>
      <w:fldSimple w:instr=" SEQ Рисунок \* ARABIC ">
        <w:r w:rsidR="001860A9">
          <w:rPr>
            <w:noProof/>
          </w:rPr>
          <w:t>335</w:t>
        </w:r>
      </w:fldSimple>
      <w:r w:rsidRPr="00206C4C">
        <w:rPr>
          <w:szCs w:val="28"/>
        </w:rPr>
        <w:t xml:space="preserve"> – </w:t>
      </w:r>
      <w:r w:rsidRPr="00206C4C">
        <w:t>Макет отчета «Сведения о ФХД ФОИВ. Качество данных». Представление «</w:t>
      </w:r>
      <w:r>
        <w:t>Корректность ДКЗ</w:t>
      </w:r>
      <w:r w:rsidRPr="00206C4C">
        <w:t xml:space="preserve">» </w:t>
      </w:r>
      <w:r>
        <w:t>(Колонки 7-11)</w:t>
      </w:r>
      <w:bookmarkEnd w:id="1311"/>
    </w:p>
    <w:p w:rsidR="003D1EF2" w:rsidRPr="00206C4C" w:rsidRDefault="003D1EF2" w:rsidP="003D1EF2">
      <w:pPr>
        <w:pStyle w:val="42"/>
      </w:pPr>
      <w:r w:rsidRPr="00206C4C">
        <w:t>Представление «</w:t>
      </w:r>
      <w:r>
        <w:t>Корректность ДКЗ по КБК</w:t>
      </w:r>
      <w:r w:rsidRPr="00206C4C">
        <w:t>»</w:t>
      </w:r>
    </w:p>
    <w:p w:rsidR="003D1EF2" w:rsidRDefault="000C3604" w:rsidP="003D1EF2">
      <w:pPr>
        <w:pStyle w:val="af0"/>
      </w:pPr>
      <w:r>
        <w:t>Представление</w:t>
      </w:r>
      <w:r w:rsidR="003D1EF2" w:rsidRPr="00D70712">
        <w:t xml:space="preserve"> «</w:t>
      </w:r>
      <w:r w:rsidR="003D1EF2">
        <w:t>Корректность ДКЗ по КБК</w:t>
      </w:r>
      <w:r w:rsidR="003D1EF2" w:rsidRPr="00D70712">
        <w:t>» отчета «Сведени</w:t>
      </w:r>
      <w:r w:rsidR="003D1EF2">
        <w:t xml:space="preserve">я о ФХД ФОИВ. Качество данных» </w:t>
      </w:r>
      <w:r w:rsidR="003D1EF2" w:rsidRPr="00D70712">
        <w:t xml:space="preserve">содержат информацию о наличии </w:t>
      </w:r>
      <w:r w:rsidR="003D1EF2">
        <w:t xml:space="preserve">расхождений, выявленных при сверке аналитического </w:t>
      </w:r>
      <w:r w:rsidR="003D1EF2" w:rsidRPr="00D70712">
        <w:t xml:space="preserve">учета </w:t>
      </w:r>
      <w:r w:rsidR="003D1EF2">
        <w:t xml:space="preserve">дебиторской и кредиторской задолженности </w:t>
      </w:r>
      <w:r w:rsidR="003D1EF2" w:rsidRPr="00D70712">
        <w:t>и данных главной книги</w:t>
      </w:r>
      <w:r w:rsidR="003D1EF2">
        <w:t xml:space="preserve"> в разрезе КБК </w:t>
      </w:r>
      <w:r w:rsidR="003D1EF2" w:rsidRPr="00D70712">
        <w:t xml:space="preserve">(соблюдение требования непротиворечивости показателей), полученных в результате загрузки данных </w:t>
      </w:r>
      <w:r w:rsidR="003D1EF2">
        <w:t>бюджетного</w:t>
      </w:r>
      <w:r w:rsidR="003D1EF2" w:rsidRPr="00D70712">
        <w:t xml:space="preserve"> учета </w:t>
      </w:r>
      <w:r w:rsidR="003D1EF2">
        <w:t>субъектов централизованного учета</w:t>
      </w:r>
      <w:r w:rsidR="003D1EF2" w:rsidRPr="00D70712">
        <w:t>.</w:t>
      </w:r>
    </w:p>
    <w:p w:rsidR="003D1EF2" w:rsidRDefault="000C3604" w:rsidP="003D1EF2">
      <w:pPr>
        <w:pStyle w:val="af0"/>
      </w:pPr>
      <w:r>
        <w:t xml:space="preserve">Представление </w:t>
      </w:r>
      <w:r w:rsidR="003D1EF2">
        <w:t>создан</w:t>
      </w:r>
      <w:r>
        <w:t>о</w:t>
      </w:r>
      <w:r w:rsidR="003D1EF2">
        <w:t xml:space="preserve"> в табличной форме и содержат одно представление.</w:t>
      </w:r>
    </w:p>
    <w:p w:rsidR="003D1EF2" w:rsidRDefault="003D1EF2" w:rsidP="003D1EF2">
      <w:pPr>
        <w:rPr>
          <w:sz w:val="28"/>
          <w:szCs w:val="28"/>
        </w:rPr>
      </w:pPr>
      <w:r>
        <w:rPr>
          <w:sz w:val="28"/>
          <w:szCs w:val="28"/>
        </w:rPr>
        <w:t>Источники данных для представления:</w:t>
      </w:r>
    </w:p>
    <w:p w:rsidR="003D1EF2" w:rsidRPr="009A18E6" w:rsidRDefault="003D1EF2" w:rsidP="009A18E6">
      <w:pPr>
        <w:pStyle w:val="13"/>
      </w:pPr>
      <w:r w:rsidRPr="009A18E6">
        <w:t>Данные на основе информации регистра «Главная книга» (F_GK_DATA);</w:t>
      </w:r>
    </w:p>
    <w:p w:rsidR="003D1EF2" w:rsidRPr="009A18E6" w:rsidRDefault="003D1EF2" w:rsidP="009A18E6">
      <w:pPr>
        <w:pStyle w:val="13"/>
      </w:pPr>
      <w:r w:rsidRPr="009A18E6">
        <w:t>Данные на основе информации «Дебиторская и кредиторская задолженность» (F_GK_DKZ).</w:t>
      </w:r>
    </w:p>
    <w:p w:rsidR="003D1EF2" w:rsidRDefault="003D1EF2" w:rsidP="003D1EF2">
      <w:pPr>
        <w:rPr>
          <w:sz w:val="28"/>
          <w:szCs w:val="28"/>
        </w:rPr>
      </w:pPr>
      <w:r>
        <w:rPr>
          <w:sz w:val="28"/>
          <w:szCs w:val="28"/>
        </w:rPr>
        <w:t>Параметры представления:</w:t>
      </w:r>
    </w:p>
    <w:p w:rsidR="003D1EF2" w:rsidRPr="00D768FE" w:rsidRDefault="003D1EF2"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3D1EF2" w:rsidRDefault="003D1EF2" w:rsidP="00DE1661">
      <w:pPr>
        <w:pStyle w:val="13"/>
      </w:pPr>
      <w:r w:rsidRPr="00D768FE">
        <w:t>Единицы измерения</w:t>
      </w:r>
      <w:r>
        <w:t>. Плоский список с элементами:</w:t>
      </w:r>
      <w:r w:rsidRPr="00D768FE">
        <w:t xml:space="preserve"> руб., тыс. руб., млн. руб., млрд. руб.</w:t>
      </w:r>
      <w:r w:rsidRPr="006459B1">
        <w:t xml:space="preserve"> </w:t>
      </w:r>
    </w:p>
    <w:p w:rsidR="003D1EF2" w:rsidRPr="00D768FE" w:rsidRDefault="003D1EF2" w:rsidP="00DE1661">
      <w:pPr>
        <w:pStyle w:val="13"/>
      </w:pPr>
      <w:r>
        <w:t>Счет. Иерархический список со счетами, относящимися к учету дебиторской и кредиторской задолженности;</w:t>
      </w:r>
    </w:p>
    <w:p w:rsidR="003D1EF2" w:rsidRPr="00D768FE" w:rsidRDefault="003D1EF2" w:rsidP="00DE1661">
      <w:pPr>
        <w:pStyle w:val="13"/>
      </w:pPr>
      <w:r w:rsidRPr="00D768FE">
        <w:t>Код главы</w:t>
      </w:r>
      <w:r>
        <w:t>. Плоский список с перечнем Глав субъектов централизованного учета, по которым производится анализ в ПИАО</w:t>
      </w:r>
      <w:r w:rsidRPr="00D768FE">
        <w:t>;</w:t>
      </w:r>
    </w:p>
    <w:p w:rsidR="003D1EF2" w:rsidRDefault="003D1EF2" w:rsidP="00DE1661">
      <w:pPr>
        <w:pStyle w:val="13"/>
      </w:pPr>
      <w:r w:rsidRPr="00D768FE">
        <w:t>Субъект учета</w:t>
      </w:r>
      <w:r>
        <w:t>. Плоский список: перечень субъектов централизованного учета, анализируемых в ПИАО. Фильтр зависит от выбора в фильтре «Код Главы»: отображаются только субъекты учета, находящиеся в ведении данной Главы;</w:t>
      </w:r>
    </w:p>
    <w:p w:rsidR="003D1EF2" w:rsidRDefault="003D1EF2" w:rsidP="00DE1661">
      <w:pPr>
        <w:pStyle w:val="13"/>
      </w:pPr>
      <w:r>
        <w:t>Период. Плоский список с элементами: по периоду, на начало года.</w:t>
      </w:r>
    </w:p>
    <w:p w:rsidR="003D1EF2" w:rsidRDefault="003D1EF2" w:rsidP="00DE1661">
      <w:pPr>
        <w:pStyle w:val="13"/>
      </w:pPr>
      <w:r>
        <w:t>Чек-бокс одинарная галочка «Показать проблемы». При простановке галочки выводятся только строки, содержащие расхождения, выявленные при сверке показателей.</w:t>
      </w:r>
    </w:p>
    <w:p w:rsidR="003D1EF2" w:rsidRDefault="003D1EF2" w:rsidP="009A18E6">
      <w:pPr>
        <w:pStyle w:val="af0"/>
      </w:pPr>
      <w:r>
        <w:t xml:space="preserve">Алгоритм расчета показателей представлен в Таблице </w:t>
      </w:r>
      <w:r>
        <w:fldChar w:fldCharType="begin"/>
      </w:r>
      <w:r>
        <w:instrText xml:space="preserve"> REF _Ref70090871 \h </w:instrText>
      </w:r>
      <w:r>
        <w:fldChar w:fldCharType="separate"/>
      </w:r>
      <w:r w:rsidR="00BF0BEE">
        <w:rPr>
          <w:noProof/>
        </w:rPr>
        <w:t>47</w:t>
      </w:r>
      <w:r>
        <w:fldChar w:fldCharType="end"/>
      </w:r>
    </w:p>
    <w:p w:rsidR="003D1EF2" w:rsidRPr="00380CA3" w:rsidRDefault="003D1EF2" w:rsidP="009A18E6">
      <w:pPr>
        <w:pStyle w:val="-"/>
        <w:rPr>
          <w:noProof/>
        </w:rPr>
      </w:pPr>
      <w:r>
        <w:rPr>
          <w:szCs w:val="28"/>
          <w:lang w:eastAsia="x-none"/>
        </w:rPr>
        <w:t xml:space="preserve"> </w:t>
      </w:r>
      <w:bookmarkStart w:id="1312" w:name="_Toc38621167"/>
      <w:bookmarkStart w:id="1313" w:name="_Toc38883806"/>
      <w:bookmarkStart w:id="1314" w:name="_Toc54345191"/>
      <w:bookmarkStart w:id="1315" w:name="_Toc119585188"/>
      <w:r>
        <w:t xml:space="preserve">Таблица </w:t>
      </w:r>
      <w:fldSimple w:instr=" SEQ Таблица \* ARABIC ">
        <w:bookmarkStart w:id="1316" w:name="_Ref70090871"/>
        <w:r w:rsidR="00BF0BEE">
          <w:rPr>
            <w:noProof/>
          </w:rPr>
          <w:t>47</w:t>
        </w:r>
        <w:bookmarkEnd w:id="1316"/>
      </w:fldSimple>
      <w:r>
        <w:rPr>
          <w:noProof/>
        </w:rPr>
        <w:t xml:space="preserve"> –</w:t>
      </w:r>
      <w:r>
        <w:t xml:space="preserve"> Алгоритм расчета основных показателей отчета «Корректность ДКЗ по КБК</w:t>
      </w:r>
      <w:bookmarkEnd w:id="1312"/>
      <w:bookmarkEnd w:id="1313"/>
      <w:bookmarkEnd w:id="1314"/>
      <w:bookmarkEnd w:id="13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755"/>
        <w:gridCol w:w="3553"/>
        <w:gridCol w:w="2540"/>
      </w:tblGrid>
      <w:tr w:rsidR="003D1EF2" w:rsidRPr="00712380" w:rsidTr="003D1EF2">
        <w:trPr>
          <w:trHeight w:val="300"/>
          <w:tblHeader/>
        </w:trPr>
        <w:tc>
          <w:tcPr>
            <w:tcW w:w="510" w:type="pct"/>
            <w:shd w:val="clear" w:color="auto" w:fill="D9D9D9" w:themeFill="background1" w:themeFillShade="D9"/>
            <w:noWrap/>
            <w:vAlign w:val="center"/>
            <w:hideMark/>
          </w:tcPr>
          <w:p w:rsidR="003D1EF2" w:rsidRPr="00712380" w:rsidRDefault="003D1EF2" w:rsidP="003D1EF2">
            <w:pPr>
              <w:jc w:val="center"/>
              <w:rPr>
                <w:b/>
                <w:szCs w:val="24"/>
              </w:rPr>
            </w:pPr>
            <w:r w:rsidRPr="00712380">
              <w:rPr>
                <w:b/>
                <w:szCs w:val="24"/>
              </w:rPr>
              <w:t>Нумерация в таблице</w:t>
            </w:r>
          </w:p>
        </w:tc>
        <w:tc>
          <w:tcPr>
            <w:tcW w:w="1398" w:type="pct"/>
            <w:shd w:val="clear" w:color="auto" w:fill="D9D9D9" w:themeFill="background1" w:themeFillShade="D9"/>
            <w:noWrap/>
            <w:vAlign w:val="center"/>
            <w:hideMark/>
          </w:tcPr>
          <w:p w:rsidR="003D1EF2" w:rsidRPr="00712380" w:rsidRDefault="003D1EF2" w:rsidP="003D1EF2">
            <w:pPr>
              <w:jc w:val="center"/>
              <w:rPr>
                <w:b/>
                <w:szCs w:val="24"/>
              </w:rPr>
            </w:pPr>
            <w:r w:rsidRPr="00712380">
              <w:rPr>
                <w:b/>
                <w:szCs w:val="24"/>
              </w:rPr>
              <w:t>Наименование</w:t>
            </w:r>
          </w:p>
        </w:tc>
        <w:tc>
          <w:tcPr>
            <w:tcW w:w="1803" w:type="pct"/>
            <w:shd w:val="clear" w:color="auto" w:fill="D9D9D9" w:themeFill="background1" w:themeFillShade="D9"/>
            <w:noWrap/>
            <w:vAlign w:val="center"/>
            <w:hideMark/>
          </w:tcPr>
          <w:p w:rsidR="003D1EF2" w:rsidRPr="00712380" w:rsidRDefault="003D1EF2" w:rsidP="003D1EF2">
            <w:pPr>
              <w:jc w:val="center"/>
              <w:rPr>
                <w:b/>
                <w:szCs w:val="24"/>
              </w:rPr>
            </w:pPr>
            <w:r w:rsidRPr="00712380">
              <w:rPr>
                <w:b/>
                <w:szCs w:val="24"/>
              </w:rPr>
              <w:t>Алгоритм</w:t>
            </w:r>
          </w:p>
        </w:tc>
        <w:tc>
          <w:tcPr>
            <w:tcW w:w="1289" w:type="pct"/>
            <w:shd w:val="clear" w:color="auto" w:fill="D9D9D9" w:themeFill="background1" w:themeFillShade="D9"/>
            <w:noWrap/>
            <w:vAlign w:val="center"/>
            <w:hideMark/>
          </w:tcPr>
          <w:p w:rsidR="003D1EF2" w:rsidRPr="00712380" w:rsidRDefault="003D1EF2" w:rsidP="003D1EF2">
            <w:pPr>
              <w:jc w:val="center"/>
              <w:rPr>
                <w:b/>
                <w:szCs w:val="24"/>
              </w:rPr>
            </w:pPr>
            <w:r w:rsidRPr="00712380">
              <w:rPr>
                <w:b/>
                <w:szCs w:val="24"/>
              </w:rPr>
              <w:t>Источник данных</w:t>
            </w:r>
          </w:p>
        </w:tc>
      </w:tr>
      <w:tr w:rsidR="003D1EF2" w:rsidRPr="00712380" w:rsidTr="003D1EF2">
        <w:trPr>
          <w:trHeight w:val="300"/>
        </w:trPr>
        <w:tc>
          <w:tcPr>
            <w:tcW w:w="510" w:type="pct"/>
            <w:shd w:val="clear" w:color="auto" w:fill="auto"/>
            <w:noWrap/>
            <w:hideMark/>
          </w:tcPr>
          <w:p w:rsidR="003D1EF2" w:rsidRPr="00712380" w:rsidRDefault="003D1EF2" w:rsidP="003D1EF2">
            <w:pPr>
              <w:jc w:val="left"/>
              <w:rPr>
                <w:szCs w:val="24"/>
              </w:rPr>
            </w:pPr>
            <w:r w:rsidRPr="00712380">
              <w:rPr>
                <w:szCs w:val="24"/>
              </w:rPr>
              <w:t>3</w:t>
            </w:r>
          </w:p>
        </w:tc>
        <w:tc>
          <w:tcPr>
            <w:tcW w:w="1398" w:type="pct"/>
            <w:shd w:val="clear" w:color="auto" w:fill="auto"/>
            <w:noWrap/>
            <w:hideMark/>
          </w:tcPr>
          <w:p w:rsidR="003D1EF2" w:rsidRPr="00712380" w:rsidRDefault="003D1EF2" w:rsidP="003D1EF2">
            <w:pPr>
              <w:jc w:val="left"/>
              <w:rPr>
                <w:szCs w:val="24"/>
              </w:rPr>
            </w:pPr>
            <w:r w:rsidRPr="00712380">
              <w:rPr>
                <w:szCs w:val="24"/>
              </w:rPr>
              <w:t>Данные по счету начало года/по периоду в Главной книге Дебет</w:t>
            </w:r>
          </w:p>
        </w:tc>
        <w:tc>
          <w:tcPr>
            <w:tcW w:w="1803" w:type="pct"/>
            <w:shd w:val="clear" w:color="auto" w:fill="auto"/>
            <w:noWrap/>
            <w:hideMark/>
          </w:tcPr>
          <w:p w:rsidR="003D1EF2" w:rsidRPr="00712380" w:rsidRDefault="003D1EF2" w:rsidP="003D1EF2">
            <w:pPr>
              <w:jc w:val="left"/>
              <w:rPr>
                <w:szCs w:val="24"/>
              </w:rPr>
            </w:pPr>
            <w:r w:rsidRPr="00712380">
              <w:rPr>
                <w:szCs w:val="24"/>
              </w:rPr>
              <w:t>Остаток по счетам учета дебиторской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"Главная книга"</w:t>
            </w:r>
          </w:p>
        </w:tc>
      </w:tr>
      <w:tr w:rsidR="003D1EF2" w:rsidRPr="00712380" w:rsidTr="003D1EF2">
        <w:trPr>
          <w:trHeight w:val="300"/>
        </w:trPr>
        <w:tc>
          <w:tcPr>
            <w:tcW w:w="510" w:type="pct"/>
            <w:shd w:val="clear" w:color="auto" w:fill="auto"/>
            <w:noWrap/>
            <w:hideMark/>
          </w:tcPr>
          <w:p w:rsidR="003D1EF2" w:rsidRPr="00712380" w:rsidRDefault="003D1EF2" w:rsidP="003D1EF2">
            <w:pPr>
              <w:jc w:val="left"/>
              <w:rPr>
                <w:szCs w:val="24"/>
              </w:rPr>
            </w:pPr>
            <w:r w:rsidRPr="00712380">
              <w:rPr>
                <w:szCs w:val="24"/>
              </w:rPr>
              <w:t>4</w:t>
            </w:r>
          </w:p>
        </w:tc>
        <w:tc>
          <w:tcPr>
            <w:tcW w:w="1398" w:type="pct"/>
            <w:shd w:val="clear" w:color="auto" w:fill="auto"/>
            <w:noWrap/>
            <w:hideMark/>
          </w:tcPr>
          <w:p w:rsidR="003D1EF2" w:rsidRPr="00712380" w:rsidRDefault="003D1EF2" w:rsidP="003D1EF2">
            <w:pPr>
              <w:jc w:val="left"/>
              <w:rPr>
                <w:szCs w:val="24"/>
              </w:rPr>
            </w:pPr>
            <w:r w:rsidRPr="00712380">
              <w:rPr>
                <w:szCs w:val="24"/>
              </w:rPr>
              <w:t>Данные по счету начало года/по периоду в Главной книге Кредит</w:t>
            </w:r>
          </w:p>
        </w:tc>
        <w:tc>
          <w:tcPr>
            <w:tcW w:w="1803" w:type="pct"/>
            <w:shd w:val="clear" w:color="auto" w:fill="auto"/>
            <w:noWrap/>
            <w:hideMark/>
          </w:tcPr>
          <w:p w:rsidR="003D1EF2" w:rsidRPr="00712380" w:rsidRDefault="003D1EF2" w:rsidP="003D1EF2">
            <w:pPr>
              <w:jc w:val="left"/>
              <w:rPr>
                <w:szCs w:val="24"/>
              </w:rPr>
            </w:pPr>
            <w:r w:rsidRPr="00712380">
              <w:rPr>
                <w:szCs w:val="24"/>
              </w:rPr>
              <w:t>Остаток по счетам учета кредиторской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"Главная книга"</w:t>
            </w:r>
          </w:p>
        </w:tc>
      </w:tr>
      <w:tr w:rsidR="003D1EF2" w:rsidRPr="00712380" w:rsidTr="003D1EF2">
        <w:trPr>
          <w:trHeight w:val="300"/>
        </w:trPr>
        <w:tc>
          <w:tcPr>
            <w:tcW w:w="510" w:type="pct"/>
            <w:shd w:val="clear" w:color="auto" w:fill="auto"/>
            <w:noWrap/>
            <w:hideMark/>
          </w:tcPr>
          <w:p w:rsidR="003D1EF2" w:rsidRPr="00712380" w:rsidRDefault="003D1EF2" w:rsidP="003D1EF2">
            <w:pPr>
              <w:jc w:val="left"/>
              <w:rPr>
                <w:szCs w:val="24"/>
              </w:rPr>
            </w:pPr>
            <w:r w:rsidRPr="00712380">
              <w:rPr>
                <w:szCs w:val="24"/>
              </w:rPr>
              <w:t>5</w:t>
            </w:r>
          </w:p>
        </w:tc>
        <w:tc>
          <w:tcPr>
            <w:tcW w:w="1398" w:type="pct"/>
            <w:shd w:val="clear" w:color="auto" w:fill="auto"/>
            <w:noWrap/>
            <w:hideMark/>
          </w:tcPr>
          <w:p w:rsidR="003D1EF2" w:rsidRPr="00712380" w:rsidRDefault="003D1EF2" w:rsidP="003D1EF2">
            <w:pPr>
              <w:jc w:val="left"/>
              <w:rPr>
                <w:szCs w:val="24"/>
              </w:rPr>
            </w:pPr>
            <w:r>
              <w:rPr>
                <w:szCs w:val="24"/>
              </w:rPr>
              <w:t>Свернутый остаток</w:t>
            </w:r>
            <w:r w:rsidRPr="00712380">
              <w:rPr>
                <w:szCs w:val="24"/>
              </w:rPr>
              <w:t xml:space="preserve"> по счету</w:t>
            </w:r>
          </w:p>
        </w:tc>
        <w:tc>
          <w:tcPr>
            <w:tcW w:w="1803" w:type="pct"/>
            <w:shd w:val="clear" w:color="auto" w:fill="auto"/>
            <w:noWrap/>
            <w:hideMark/>
          </w:tcPr>
          <w:p w:rsidR="003D1EF2" w:rsidRPr="00712380" w:rsidRDefault="003D1EF2" w:rsidP="003D1EF2">
            <w:pPr>
              <w:jc w:val="left"/>
              <w:rPr>
                <w:szCs w:val="24"/>
              </w:rPr>
            </w:pPr>
            <w:r w:rsidRPr="00712380">
              <w:rPr>
                <w:szCs w:val="24"/>
              </w:rPr>
              <w:t>Све</w:t>
            </w:r>
            <w:r>
              <w:rPr>
                <w:szCs w:val="24"/>
              </w:rPr>
              <w:t xml:space="preserve">рнутый остаток </w:t>
            </w:r>
            <w:r w:rsidRPr="00712380">
              <w:rPr>
                <w:szCs w:val="24"/>
              </w:rPr>
              <w:t>по счетам учета дебиторской и кредиторской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"Главная книга"</w:t>
            </w:r>
          </w:p>
        </w:tc>
      </w:tr>
      <w:tr w:rsidR="003D1EF2" w:rsidRPr="00712380" w:rsidTr="003D1EF2">
        <w:trPr>
          <w:trHeight w:val="600"/>
        </w:trPr>
        <w:tc>
          <w:tcPr>
            <w:tcW w:w="510" w:type="pct"/>
            <w:shd w:val="clear" w:color="auto" w:fill="auto"/>
            <w:noWrap/>
            <w:hideMark/>
          </w:tcPr>
          <w:p w:rsidR="003D1EF2" w:rsidRPr="00712380" w:rsidRDefault="003D1EF2" w:rsidP="003D1EF2">
            <w:pPr>
              <w:jc w:val="left"/>
              <w:rPr>
                <w:szCs w:val="24"/>
              </w:rPr>
            </w:pPr>
            <w:r w:rsidRPr="00712380">
              <w:rPr>
                <w:szCs w:val="24"/>
              </w:rPr>
              <w:t>6</w:t>
            </w:r>
          </w:p>
        </w:tc>
        <w:tc>
          <w:tcPr>
            <w:tcW w:w="1398" w:type="pct"/>
            <w:shd w:val="clear" w:color="auto" w:fill="auto"/>
            <w:noWrap/>
            <w:hideMark/>
          </w:tcPr>
          <w:p w:rsidR="003D1EF2" w:rsidRPr="00712380" w:rsidRDefault="003D1EF2" w:rsidP="003D1EF2">
            <w:pPr>
              <w:jc w:val="left"/>
              <w:rPr>
                <w:szCs w:val="24"/>
              </w:rPr>
            </w:pPr>
            <w:r w:rsidRPr="00712380">
              <w:rPr>
                <w:szCs w:val="24"/>
              </w:rPr>
              <w:t>Тип остатка (Дт/Кт)</w:t>
            </w:r>
          </w:p>
        </w:tc>
        <w:tc>
          <w:tcPr>
            <w:tcW w:w="1803" w:type="pct"/>
            <w:shd w:val="clear" w:color="auto" w:fill="auto"/>
            <w:hideMark/>
          </w:tcPr>
          <w:p w:rsidR="003D1EF2" w:rsidRPr="00712380" w:rsidRDefault="003D1EF2" w:rsidP="003D1EF2">
            <w:pPr>
              <w:jc w:val="left"/>
              <w:rPr>
                <w:szCs w:val="24"/>
              </w:rPr>
            </w:pPr>
            <w:r w:rsidRPr="00712380">
              <w:rPr>
                <w:szCs w:val="24"/>
              </w:rPr>
              <w:t>Определяется тип остатка (Дт/Кт) подсвечивается красным цветом остаток счета, у которого нарушено соответствие принадлежности счета к балансу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"Главная книга"</w:t>
            </w:r>
          </w:p>
        </w:tc>
      </w:tr>
      <w:tr w:rsidR="003D1EF2" w:rsidRPr="00712380" w:rsidTr="003D1EF2">
        <w:trPr>
          <w:trHeight w:val="600"/>
        </w:trPr>
        <w:tc>
          <w:tcPr>
            <w:tcW w:w="510" w:type="pct"/>
            <w:shd w:val="clear" w:color="auto" w:fill="auto"/>
            <w:noWrap/>
            <w:hideMark/>
          </w:tcPr>
          <w:p w:rsidR="003D1EF2" w:rsidRPr="00712380" w:rsidRDefault="003D1EF2" w:rsidP="003D1EF2">
            <w:pPr>
              <w:jc w:val="left"/>
              <w:rPr>
                <w:szCs w:val="24"/>
              </w:rPr>
            </w:pPr>
            <w:r w:rsidRPr="00712380">
              <w:rPr>
                <w:szCs w:val="24"/>
              </w:rPr>
              <w:t>7</w:t>
            </w:r>
          </w:p>
        </w:tc>
        <w:tc>
          <w:tcPr>
            <w:tcW w:w="1398" w:type="pct"/>
            <w:shd w:val="clear" w:color="auto" w:fill="auto"/>
            <w:hideMark/>
          </w:tcPr>
          <w:p w:rsidR="003D1EF2" w:rsidRPr="00712380" w:rsidRDefault="003D1EF2" w:rsidP="003D1EF2">
            <w:pPr>
              <w:jc w:val="left"/>
              <w:rPr>
                <w:szCs w:val="24"/>
              </w:rPr>
            </w:pPr>
            <w:r w:rsidRPr="00712380">
              <w:rPr>
                <w:szCs w:val="24"/>
              </w:rPr>
              <w:t>Данные по счету на начало года/по периоду по Расшифровке дебиторской и кредиторской задолженности Дебет</w:t>
            </w:r>
          </w:p>
        </w:tc>
        <w:tc>
          <w:tcPr>
            <w:tcW w:w="1803" w:type="pct"/>
            <w:shd w:val="clear" w:color="auto" w:fill="auto"/>
            <w:noWrap/>
            <w:hideMark/>
          </w:tcPr>
          <w:p w:rsidR="003D1EF2" w:rsidRPr="00712380" w:rsidRDefault="003D1EF2" w:rsidP="003D1EF2">
            <w:pPr>
              <w:jc w:val="left"/>
              <w:rPr>
                <w:szCs w:val="24"/>
              </w:rPr>
            </w:pPr>
            <w:r w:rsidRPr="00712380">
              <w:rPr>
                <w:szCs w:val="24"/>
              </w:rPr>
              <w:t>Остаток по счетам учета дебиторской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"Дебиторская и кредиторская задолженность"</w:t>
            </w:r>
          </w:p>
        </w:tc>
      </w:tr>
      <w:tr w:rsidR="003D1EF2" w:rsidRPr="00712380" w:rsidTr="003D1EF2">
        <w:trPr>
          <w:trHeight w:val="600"/>
        </w:trPr>
        <w:tc>
          <w:tcPr>
            <w:tcW w:w="510" w:type="pct"/>
            <w:shd w:val="clear" w:color="auto" w:fill="auto"/>
            <w:noWrap/>
            <w:hideMark/>
          </w:tcPr>
          <w:p w:rsidR="003D1EF2" w:rsidRPr="00712380" w:rsidRDefault="003D1EF2" w:rsidP="003D1EF2">
            <w:pPr>
              <w:jc w:val="left"/>
              <w:rPr>
                <w:szCs w:val="24"/>
              </w:rPr>
            </w:pPr>
            <w:r w:rsidRPr="00712380">
              <w:rPr>
                <w:szCs w:val="24"/>
              </w:rPr>
              <w:t>8</w:t>
            </w:r>
          </w:p>
        </w:tc>
        <w:tc>
          <w:tcPr>
            <w:tcW w:w="1398" w:type="pct"/>
            <w:shd w:val="clear" w:color="auto" w:fill="auto"/>
            <w:hideMark/>
          </w:tcPr>
          <w:p w:rsidR="003D1EF2" w:rsidRPr="00712380" w:rsidRDefault="003D1EF2" w:rsidP="003D1EF2">
            <w:pPr>
              <w:jc w:val="left"/>
              <w:rPr>
                <w:szCs w:val="24"/>
              </w:rPr>
            </w:pPr>
            <w:r w:rsidRPr="00712380">
              <w:rPr>
                <w:szCs w:val="24"/>
              </w:rPr>
              <w:t>Данные по счету на начало года/по периоду по Расшифровке дебиторской и кредиторской задолженности Кредит</w:t>
            </w:r>
          </w:p>
        </w:tc>
        <w:tc>
          <w:tcPr>
            <w:tcW w:w="1803" w:type="pct"/>
            <w:shd w:val="clear" w:color="auto" w:fill="auto"/>
            <w:noWrap/>
            <w:hideMark/>
          </w:tcPr>
          <w:p w:rsidR="003D1EF2" w:rsidRPr="00712380" w:rsidRDefault="003D1EF2" w:rsidP="003D1EF2">
            <w:pPr>
              <w:jc w:val="left"/>
              <w:rPr>
                <w:szCs w:val="24"/>
              </w:rPr>
            </w:pPr>
            <w:r w:rsidRPr="00712380">
              <w:rPr>
                <w:szCs w:val="24"/>
              </w:rPr>
              <w:t>Остаток по счетам учета кредиторской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"Дебиторская и кредиторская задолженность"</w:t>
            </w:r>
          </w:p>
        </w:tc>
      </w:tr>
      <w:tr w:rsidR="003D1EF2" w:rsidRPr="00712380" w:rsidTr="003D1EF2">
        <w:trPr>
          <w:trHeight w:val="600"/>
        </w:trPr>
        <w:tc>
          <w:tcPr>
            <w:tcW w:w="510" w:type="pct"/>
            <w:shd w:val="clear" w:color="auto" w:fill="auto"/>
            <w:noWrap/>
            <w:hideMark/>
          </w:tcPr>
          <w:p w:rsidR="003D1EF2" w:rsidRPr="00712380" w:rsidRDefault="003D1EF2" w:rsidP="003D1EF2">
            <w:pPr>
              <w:jc w:val="left"/>
              <w:rPr>
                <w:szCs w:val="24"/>
              </w:rPr>
            </w:pPr>
            <w:r w:rsidRPr="00712380">
              <w:rPr>
                <w:szCs w:val="24"/>
              </w:rPr>
              <w:t>9</w:t>
            </w:r>
          </w:p>
        </w:tc>
        <w:tc>
          <w:tcPr>
            <w:tcW w:w="1398" w:type="pct"/>
            <w:shd w:val="clear" w:color="auto" w:fill="auto"/>
            <w:noWrap/>
            <w:hideMark/>
          </w:tcPr>
          <w:p w:rsidR="003D1EF2" w:rsidRPr="00712380" w:rsidRDefault="003D1EF2" w:rsidP="003D1EF2">
            <w:pPr>
              <w:jc w:val="left"/>
              <w:rPr>
                <w:szCs w:val="24"/>
              </w:rPr>
            </w:pPr>
            <w:r>
              <w:rPr>
                <w:szCs w:val="24"/>
              </w:rPr>
              <w:t>Свернутый остаток</w:t>
            </w:r>
            <w:r w:rsidRPr="00712380">
              <w:rPr>
                <w:szCs w:val="24"/>
              </w:rPr>
              <w:t xml:space="preserve"> по счету</w:t>
            </w:r>
          </w:p>
        </w:tc>
        <w:tc>
          <w:tcPr>
            <w:tcW w:w="1803" w:type="pct"/>
            <w:shd w:val="clear" w:color="auto" w:fill="auto"/>
            <w:hideMark/>
          </w:tcPr>
          <w:p w:rsidR="003D1EF2" w:rsidRPr="00712380" w:rsidRDefault="003D1EF2" w:rsidP="003D1EF2">
            <w:pPr>
              <w:jc w:val="left"/>
              <w:rPr>
                <w:szCs w:val="24"/>
              </w:rPr>
            </w:pPr>
            <w:r>
              <w:rPr>
                <w:szCs w:val="24"/>
              </w:rPr>
              <w:t>Свернутый остаток</w:t>
            </w:r>
            <w:r w:rsidRPr="00712380">
              <w:rPr>
                <w:szCs w:val="24"/>
              </w:rPr>
              <w:t xml:space="preserve"> по счетам учета дебиторской и кредиторской задолженности на начало года/по периоду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"Дебиторская и кредиторская задолженность"</w:t>
            </w:r>
          </w:p>
        </w:tc>
      </w:tr>
      <w:tr w:rsidR="003D1EF2" w:rsidRPr="00712380" w:rsidTr="003D1EF2">
        <w:trPr>
          <w:trHeight w:val="600"/>
        </w:trPr>
        <w:tc>
          <w:tcPr>
            <w:tcW w:w="510" w:type="pct"/>
            <w:shd w:val="clear" w:color="auto" w:fill="auto"/>
            <w:noWrap/>
            <w:hideMark/>
          </w:tcPr>
          <w:p w:rsidR="003D1EF2" w:rsidRPr="00712380" w:rsidRDefault="003D1EF2" w:rsidP="003D1EF2">
            <w:pPr>
              <w:jc w:val="left"/>
              <w:rPr>
                <w:szCs w:val="24"/>
              </w:rPr>
            </w:pPr>
            <w:r w:rsidRPr="00712380">
              <w:rPr>
                <w:szCs w:val="24"/>
              </w:rPr>
              <w:t>10</w:t>
            </w:r>
          </w:p>
        </w:tc>
        <w:tc>
          <w:tcPr>
            <w:tcW w:w="1398" w:type="pct"/>
            <w:shd w:val="clear" w:color="auto" w:fill="auto"/>
            <w:noWrap/>
            <w:hideMark/>
          </w:tcPr>
          <w:p w:rsidR="003D1EF2" w:rsidRPr="00712380" w:rsidRDefault="003D1EF2" w:rsidP="003D1EF2">
            <w:pPr>
              <w:jc w:val="left"/>
              <w:rPr>
                <w:szCs w:val="24"/>
              </w:rPr>
            </w:pPr>
            <w:r w:rsidRPr="00712380">
              <w:rPr>
                <w:szCs w:val="24"/>
              </w:rPr>
              <w:t>Тип остатка (Дт/Кт)</w:t>
            </w:r>
          </w:p>
        </w:tc>
        <w:tc>
          <w:tcPr>
            <w:tcW w:w="1803" w:type="pct"/>
            <w:shd w:val="clear" w:color="auto" w:fill="auto"/>
            <w:hideMark/>
          </w:tcPr>
          <w:p w:rsidR="003D1EF2" w:rsidRPr="00712380" w:rsidRDefault="003D1EF2" w:rsidP="003D1EF2">
            <w:pPr>
              <w:jc w:val="left"/>
              <w:rPr>
                <w:szCs w:val="24"/>
              </w:rPr>
            </w:pPr>
            <w:r w:rsidRPr="00712380">
              <w:rPr>
                <w:szCs w:val="24"/>
              </w:rPr>
              <w:t>Определяется тип остатка (Дт/Кт) подсвечивается красным цветом остаток счета, у которого нарушено соответствие принадлежности счета к балансу</w:t>
            </w:r>
          </w:p>
        </w:tc>
        <w:tc>
          <w:tcPr>
            <w:tcW w:w="1289" w:type="pct"/>
            <w:shd w:val="clear" w:color="auto" w:fill="auto"/>
            <w:noWrap/>
            <w:hideMark/>
          </w:tcPr>
          <w:p w:rsidR="003D1EF2" w:rsidRPr="00712380" w:rsidRDefault="003D1EF2" w:rsidP="003D1EF2">
            <w:pPr>
              <w:jc w:val="left"/>
              <w:rPr>
                <w:szCs w:val="24"/>
              </w:rPr>
            </w:pPr>
            <w:r w:rsidRPr="00712380">
              <w:rPr>
                <w:szCs w:val="24"/>
              </w:rPr>
              <w:t>МВУ ПУИО, регистр "Дебиторская и кредиторская задолженность"</w:t>
            </w:r>
          </w:p>
        </w:tc>
      </w:tr>
      <w:tr w:rsidR="003D1EF2" w:rsidRPr="00712380" w:rsidTr="003D1EF2">
        <w:trPr>
          <w:trHeight w:val="300"/>
        </w:trPr>
        <w:tc>
          <w:tcPr>
            <w:tcW w:w="510" w:type="pct"/>
            <w:shd w:val="clear" w:color="auto" w:fill="auto"/>
            <w:noWrap/>
            <w:hideMark/>
          </w:tcPr>
          <w:p w:rsidR="003D1EF2" w:rsidRPr="00712380" w:rsidRDefault="003D1EF2" w:rsidP="003D1EF2">
            <w:pPr>
              <w:jc w:val="left"/>
              <w:rPr>
                <w:szCs w:val="24"/>
              </w:rPr>
            </w:pPr>
            <w:r w:rsidRPr="00712380">
              <w:rPr>
                <w:szCs w:val="24"/>
              </w:rPr>
              <w:t>11=5-9</w:t>
            </w:r>
          </w:p>
        </w:tc>
        <w:tc>
          <w:tcPr>
            <w:tcW w:w="1398" w:type="pct"/>
            <w:shd w:val="clear" w:color="auto" w:fill="auto"/>
            <w:noWrap/>
            <w:hideMark/>
          </w:tcPr>
          <w:p w:rsidR="003D1EF2" w:rsidRPr="00712380" w:rsidRDefault="003D1EF2" w:rsidP="003D1EF2">
            <w:pPr>
              <w:jc w:val="left"/>
              <w:rPr>
                <w:szCs w:val="24"/>
              </w:rPr>
            </w:pPr>
            <w:r w:rsidRPr="00712380">
              <w:rPr>
                <w:szCs w:val="24"/>
              </w:rPr>
              <w:t>Расхождение</w:t>
            </w:r>
          </w:p>
        </w:tc>
        <w:tc>
          <w:tcPr>
            <w:tcW w:w="1803" w:type="pct"/>
            <w:shd w:val="clear" w:color="auto" w:fill="auto"/>
            <w:noWrap/>
            <w:hideMark/>
          </w:tcPr>
          <w:p w:rsidR="003D1EF2" w:rsidRPr="00712380" w:rsidRDefault="003D1EF2" w:rsidP="003D1EF2">
            <w:pPr>
              <w:jc w:val="left"/>
              <w:rPr>
                <w:szCs w:val="24"/>
              </w:rPr>
            </w:pPr>
            <w:r w:rsidRPr="00712380">
              <w:rPr>
                <w:szCs w:val="24"/>
              </w:rPr>
              <w:t>Определяется р</w:t>
            </w:r>
            <w:r>
              <w:rPr>
                <w:szCs w:val="24"/>
              </w:rPr>
              <w:t>а</w:t>
            </w:r>
            <w:r w:rsidRPr="00712380">
              <w:rPr>
                <w:szCs w:val="24"/>
              </w:rPr>
              <w:t>счетным путем</w:t>
            </w:r>
          </w:p>
        </w:tc>
        <w:tc>
          <w:tcPr>
            <w:tcW w:w="1289" w:type="pct"/>
            <w:shd w:val="clear" w:color="auto" w:fill="auto"/>
            <w:noWrap/>
            <w:hideMark/>
          </w:tcPr>
          <w:p w:rsidR="003D1EF2" w:rsidRPr="00712380" w:rsidRDefault="003D1EF2" w:rsidP="003D1EF2">
            <w:pPr>
              <w:jc w:val="left"/>
              <w:rPr>
                <w:szCs w:val="24"/>
              </w:rPr>
            </w:pPr>
            <w:r w:rsidRPr="00712380">
              <w:rPr>
                <w:szCs w:val="24"/>
              </w:rPr>
              <w:t>Расчетная</w:t>
            </w:r>
          </w:p>
        </w:tc>
      </w:tr>
    </w:tbl>
    <w:p w:rsidR="000C3604" w:rsidRDefault="000C3604" w:rsidP="009A18E6">
      <w:pPr>
        <w:pStyle w:val="-0"/>
      </w:pPr>
      <w:r>
        <w:rPr>
          <w:noProof/>
          <w:snapToGrid/>
        </w:rPr>
        <w:drawing>
          <wp:inline distT="0" distB="0" distL="0" distR="0" wp14:anchorId="1C394386" wp14:editId="5BE0363B">
            <wp:extent cx="5939790" cy="2892345"/>
            <wp:effectExtent l="0" t="0" r="3810" b="381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7"/>
                    <a:stretch>
                      <a:fillRect/>
                    </a:stretch>
                  </pic:blipFill>
                  <pic:spPr>
                    <a:xfrm>
                      <a:off x="0" y="0"/>
                      <a:ext cx="5939790" cy="2892345"/>
                    </a:xfrm>
                    <a:prstGeom prst="rect">
                      <a:avLst/>
                    </a:prstGeom>
                  </pic:spPr>
                </pic:pic>
              </a:graphicData>
            </a:graphic>
          </wp:inline>
        </w:drawing>
      </w:r>
    </w:p>
    <w:p w:rsidR="003D1EF2" w:rsidRDefault="000C3604" w:rsidP="000C3604">
      <w:pPr>
        <w:pStyle w:val="-0"/>
      </w:pPr>
      <w:bookmarkStart w:id="1317" w:name="_Toc119584523"/>
      <w:r>
        <w:t xml:space="preserve">Рисунок </w:t>
      </w:r>
      <w:fldSimple w:instr=" SEQ Рисунок \* ARABIC ">
        <w:r w:rsidR="001860A9">
          <w:rPr>
            <w:noProof/>
          </w:rPr>
          <w:t>336</w:t>
        </w:r>
      </w:fldSimple>
      <w:r w:rsidRPr="00206C4C">
        <w:rPr>
          <w:szCs w:val="28"/>
        </w:rPr>
        <w:t xml:space="preserve"> – </w:t>
      </w:r>
      <w:r w:rsidRPr="00206C4C">
        <w:t>Макет отчета «Сведения о ФХД ФОИВ. Качество данных». Представление «</w:t>
      </w:r>
      <w:r>
        <w:t>Корректность ДКЗ по КБК</w:t>
      </w:r>
      <w:r w:rsidRPr="00206C4C">
        <w:t>»</w:t>
      </w:r>
      <w:bookmarkEnd w:id="1317"/>
      <w:r w:rsidRPr="00206C4C">
        <w:t xml:space="preserve"> </w:t>
      </w:r>
    </w:p>
    <w:p w:rsidR="00E95EFD" w:rsidRPr="00206C4C" w:rsidRDefault="00E95EFD" w:rsidP="00E95EFD">
      <w:pPr>
        <w:pStyle w:val="42"/>
      </w:pPr>
      <w:r w:rsidRPr="00206C4C">
        <w:t>Представление «</w:t>
      </w:r>
      <w:r>
        <w:t>Разделение ДКЗ</w:t>
      </w:r>
      <w:r w:rsidRPr="00206C4C">
        <w:t>»</w:t>
      </w:r>
    </w:p>
    <w:p w:rsidR="00E95EFD" w:rsidRPr="0020366A" w:rsidRDefault="00D33F1B" w:rsidP="009A18E6">
      <w:pPr>
        <w:pStyle w:val="af0"/>
      </w:pPr>
      <w:r>
        <w:t>Представление</w:t>
      </w:r>
      <w:r w:rsidR="00E95EFD" w:rsidRPr="0020366A">
        <w:t xml:space="preserve"> «Разделение ДКЗ» отчета «Сведения о ФХД ФОИВ. Качество д</w:t>
      </w:r>
      <w:r w:rsidR="00E95EFD">
        <w:t>анных</w:t>
      </w:r>
      <w:r w:rsidR="00E95EFD" w:rsidRPr="0020366A">
        <w:t xml:space="preserve">» содержат информацию о принадлежности данных по счетам бухгалтерского учета </w:t>
      </w:r>
      <w:r w:rsidR="00E95EFD">
        <w:t xml:space="preserve">к определенному </w:t>
      </w:r>
      <w:r w:rsidR="00E95EFD" w:rsidRPr="0020366A">
        <w:t>типу задолженности</w:t>
      </w:r>
      <w:r w:rsidR="00E95EFD">
        <w:t>,</w:t>
      </w:r>
      <w:r w:rsidR="00E95EFD" w:rsidRPr="0020366A">
        <w:t xml:space="preserve"> либо </w:t>
      </w:r>
      <w:r w:rsidR="00E95EFD">
        <w:t>не</w:t>
      </w:r>
      <w:r w:rsidR="00E95EFD" w:rsidRPr="0020366A">
        <w:t>принадлежности ни</w:t>
      </w:r>
      <w:r w:rsidR="00E95EFD">
        <w:t xml:space="preserve"> к </w:t>
      </w:r>
      <w:r w:rsidR="00E95EFD" w:rsidRPr="0020366A">
        <w:t xml:space="preserve">какому из типов </w:t>
      </w:r>
      <w:r w:rsidR="00E95EFD">
        <w:t xml:space="preserve">задолженности </w:t>
      </w:r>
      <w:r w:rsidR="00E95EFD" w:rsidRPr="0020366A">
        <w:t>и отсутствие данных</w:t>
      </w:r>
      <w:r w:rsidR="00E95EFD">
        <w:t xml:space="preserve"> в аналитическом отчете</w:t>
      </w:r>
      <w:r w:rsidR="00E95EFD" w:rsidRPr="0020366A">
        <w:t xml:space="preserve"> по дебиторской и кредиторской задолженности; содержать информацию о принадлежности счета бухгалтерского учета к плану счетов</w:t>
      </w:r>
      <w:r w:rsidR="00E95EFD">
        <w:t xml:space="preserve"> в соответствии с</w:t>
      </w:r>
      <w:r w:rsidR="00E95EFD" w:rsidRPr="0020366A">
        <w:t xml:space="preserve"> Приказ</w:t>
      </w:r>
      <w:r w:rsidR="00E95EFD">
        <w:t>ом</w:t>
      </w:r>
      <w:r w:rsidR="00E95EFD" w:rsidRPr="0020366A">
        <w:t xml:space="preserve"> Федерального </w:t>
      </w:r>
      <w:r w:rsidR="00E95EFD">
        <w:t xml:space="preserve">казначейства от 31 декабря 2019 г. N </w:t>
      </w:r>
      <w:r w:rsidR="00E95EFD" w:rsidRPr="0020366A">
        <w:t xml:space="preserve">40н "Об утверждении Рабочего плана счетов централизованного бухгалтерского учета и Порядка его применения"; содержать информацию о принадлежности счета бухгалтерского учета к </w:t>
      </w:r>
      <w:r w:rsidR="00E95EFD">
        <w:t>п</w:t>
      </w:r>
      <w:r w:rsidR="00E95EFD" w:rsidRPr="0020366A">
        <w:t>лану счетов в соответствии с Приказ</w:t>
      </w:r>
      <w:r w:rsidR="00E95EFD">
        <w:t xml:space="preserve">ом Минфина РФ от 6 декабря 2010 г. N </w:t>
      </w:r>
      <w:r w:rsidR="00E95EFD" w:rsidRPr="0020366A">
        <w:t>162н "</w:t>
      </w:r>
      <w:r w:rsidR="00E95EFD">
        <w:t xml:space="preserve"> </w:t>
      </w:r>
      <w:r w:rsidR="00E95EFD" w:rsidRPr="0020366A">
        <w:t>Об утверждении Плана счетов бюджетного учета и Инструкции по его применению"</w:t>
      </w:r>
      <w:r w:rsidR="00E95EFD">
        <w:t xml:space="preserve">; </w:t>
      </w:r>
      <w:r w:rsidR="00E95EFD" w:rsidRPr="0020366A">
        <w:t xml:space="preserve">содержать информацию о принадлежности данных по счету структуре баланса (соблюдение требования непротиворечивости показателей), полученных в результате загрузки данных </w:t>
      </w:r>
      <w:r w:rsidR="00E95EFD">
        <w:t xml:space="preserve">бюджетного </w:t>
      </w:r>
      <w:r w:rsidR="00E95EFD" w:rsidRPr="0020366A">
        <w:t xml:space="preserve">учета </w:t>
      </w:r>
      <w:r w:rsidR="00E95EFD">
        <w:t>субъектов централизованного учета</w:t>
      </w:r>
      <w:r w:rsidR="00E95EFD" w:rsidRPr="0020366A">
        <w:t>.</w:t>
      </w:r>
    </w:p>
    <w:p w:rsidR="00E95EFD" w:rsidRDefault="00D33F1B" w:rsidP="00E95EFD">
      <w:pPr>
        <w:pStyle w:val="af0"/>
      </w:pPr>
      <w:r>
        <w:t>Представление</w:t>
      </w:r>
      <w:r w:rsidR="00E95EFD">
        <w:t xml:space="preserve"> создан</w:t>
      </w:r>
      <w:r>
        <w:t>о</w:t>
      </w:r>
      <w:r w:rsidR="00E95EFD">
        <w:t xml:space="preserve"> в табличной форме и содержат одно представление с построчной индикацией наличия проблем.</w:t>
      </w:r>
    </w:p>
    <w:p w:rsidR="00E95EFD" w:rsidRDefault="00E95EFD" w:rsidP="00E95EFD">
      <w:pPr>
        <w:rPr>
          <w:sz w:val="28"/>
          <w:szCs w:val="28"/>
        </w:rPr>
      </w:pPr>
      <w:r>
        <w:rPr>
          <w:sz w:val="28"/>
          <w:szCs w:val="28"/>
        </w:rPr>
        <w:t>Источники данных для представления:</w:t>
      </w:r>
    </w:p>
    <w:p w:rsidR="00E95EFD" w:rsidRDefault="00E95EFD" w:rsidP="009A18E6">
      <w:pPr>
        <w:pStyle w:val="13"/>
      </w:pPr>
      <w:r w:rsidRPr="005C603D">
        <w:t xml:space="preserve">Данные </w:t>
      </w:r>
      <w:r w:rsidRPr="009A18E6">
        <w:t>на</w:t>
      </w:r>
      <w:r w:rsidRPr="005C603D">
        <w:t xml:space="preserve"> основе информации «Дебиторская и кредиторская задолженность» (F_GK_DKZ)</w:t>
      </w:r>
      <w:r>
        <w:t>.</w:t>
      </w:r>
    </w:p>
    <w:p w:rsidR="00E95EFD" w:rsidRDefault="00E95EFD" w:rsidP="00E95EFD">
      <w:pPr>
        <w:rPr>
          <w:sz w:val="28"/>
          <w:szCs w:val="28"/>
        </w:rPr>
      </w:pPr>
      <w:r>
        <w:rPr>
          <w:sz w:val="28"/>
          <w:szCs w:val="28"/>
        </w:rPr>
        <w:t>Параметры представления:</w:t>
      </w:r>
    </w:p>
    <w:p w:rsidR="00E95EFD" w:rsidRPr="00D768FE" w:rsidRDefault="00E95EFD"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E95EFD" w:rsidRDefault="00E95EFD" w:rsidP="00DE1661">
      <w:pPr>
        <w:pStyle w:val="13"/>
      </w:pPr>
      <w:r w:rsidRPr="00D768FE">
        <w:t>Единицы измерения</w:t>
      </w:r>
      <w:r>
        <w:t>. Плоский список с элементами:</w:t>
      </w:r>
      <w:r w:rsidRPr="00D768FE">
        <w:t xml:space="preserve"> руб., тыс. руб., млн. руб., млрд. руб.</w:t>
      </w:r>
      <w:r w:rsidRPr="006459B1">
        <w:t xml:space="preserve"> </w:t>
      </w:r>
    </w:p>
    <w:p w:rsidR="00E95EFD" w:rsidRPr="00D768FE" w:rsidRDefault="00E95EFD" w:rsidP="00DE1661">
      <w:pPr>
        <w:pStyle w:val="13"/>
      </w:pPr>
      <w:r>
        <w:t>Счет. Иерархический список со счетами, относящимися к учету дебиторской и кредиторской задолженности;</w:t>
      </w:r>
    </w:p>
    <w:p w:rsidR="00E95EFD" w:rsidRDefault="00E95EFD" w:rsidP="00DE1661">
      <w:pPr>
        <w:pStyle w:val="13"/>
      </w:pPr>
      <w:r w:rsidRPr="00D768FE">
        <w:t>Код главы</w:t>
      </w:r>
      <w:r>
        <w:t>. Плоский список с перечнем Глав субъектов централизованного учета, по которым производится анализ в ПИАО</w:t>
      </w:r>
      <w:r w:rsidRPr="00D768FE">
        <w:t>;</w:t>
      </w:r>
    </w:p>
    <w:p w:rsidR="00E95EFD" w:rsidRDefault="00E95EFD" w:rsidP="00DE1661">
      <w:pPr>
        <w:pStyle w:val="13"/>
      </w:pPr>
      <w:r w:rsidRPr="00D768FE">
        <w:t>Субъект учета</w:t>
      </w:r>
      <w:r>
        <w:t>. Плоский список: перечень субъектов централизованного учета, анализируемых в ПИАО. Фильтр зависит от выбора в фильтре «Код Главы»: отображаются только субъекты учета, находящиеся в ведении данной Главы;</w:t>
      </w:r>
    </w:p>
    <w:p w:rsidR="00E95EFD" w:rsidRDefault="00E95EFD" w:rsidP="00DE1661">
      <w:pPr>
        <w:pStyle w:val="13"/>
      </w:pPr>
      <w:r>
        <w:t>Период. Плоский список с элементами: по периоду, на начало года.</w:t>
      </w:r>
    </w:p>
    <w:p w:rsidR="00E95EFD" w:rsidRDefault="00E95EFD" w:rsidP="00DE1661">
      <w:pPr>
        <w:pStyle w:val="13"/>
      </w:pPr>
      <w:r>
        <w:t>Тип задолженности. Плоский список с элементами: показать все, дебиторская задолженность, кредиторская задолженность.</w:t>
      </w:r>
    </w:p>
    <w:p w:rsidR="00E95EFD" w:rsidRDefault="00E95EFD" w:rsidP="00DE1661">
      <w:pPr>
        <w:pStyle w:val="13"/>
      </w:pPr>
      <w:r>
        <w:t>Чек-бокс одинарная галочка «Не попадают в отчет по ДКЗ». При простановке галочки выводятся только строки, содержащие данные по счетам бухгалтерского учета, не попадающие в аналитический отчет по дебиторской и кредиторской задолженности.</w:t>
      </w:r>
    </w:p>
    <w:p w:rsidR="00E95EFD" w:rsidRDefault="00E95EFD" w:rsidP="00DE1661">
      <w:pPr>
        <w:pStyle w:val="13"/>
      </w:pPr>
      <w:r w:rsidRPr="0091598E">
        <w:t>Чек-бокс одинарная галочка</w:t>
      </w:r>
      <w:r>
        <w:t xml:space="preserve"> «Отсутствуют в плане счетов Приказ 40н». При простановке галочки выводятся строки, содержащие данные по счетам бухгалтерского учета, отсутствующие в плане счетов по Приказу</w:t>
      </w:r>
      <w:r w:rsidRPr="00D63F1A">
        <w:t xml:space="preserve"> Федерального казначейства от 31 декабря 2019 г. N 40н "Об утверждении Рабочего плана счетов централизованного бухгалтерского учета и </w:t>
      </w:r>
      <w:r>
        <w:t>Порядка его применения".</w:t>
      </w:r>
    </w:p>
    <w:p w:rsidR="00E95EFD" w:rsidRPr="00E95ACE" w:rsidRDefault="00E95EFD" w:rsidP="00DE1661">
      <w:pPr>
        <w:pStyle w:val="13"/>
      </w:pPr>
      <w:r w:rsidRPr="00E95ACE">
        <w:t>Чек-бокс одинарная галочка «Отсу</w:t>
      </w:r>
      <w:r>
        <w:t>тствуют в плане счетов Приказ 162</w:t>
      </w:r>
      <w:r w:rsidRPr="00E95ACE">
        <w:t xml:space="preserve">н». При простановке галочки выводятся строки, содержащие данные по счетам бухгалтерского учета, отсутствующие в плане счетов по </w:t>
      </w:r>
      <w:r>
        <w:t>Приказу</w:t>
      </w:r>
      <w:r w:rsidRPr="00E95ACE">
        <w:t xml:space="preserve"> Минфина РФ от 6 декабря 2010 г. N 162н "Об утверждении Плана счетов бюджетного учета и Инструкции по его применению"</w:t>
      </w:r>
      <w:r>
        <w:t>.</w:t>
      </w:r>
    </w:p>
    <w:p w:rsidR="00E95EFD" w:rsidRDefault="00E95EFD" w:rsidP="00DE1661">
      <w:pPr>
        <w:pStyle w:val="13"/>
      </w:pPr>
      <w:r w:rsidRPr="00E95ACE">
        <w:t>Чек-бокс одинарная галочка</w:t>
      </w:r>
      <w:r>
        <w:t xml:space="preserve"> «Остаток отсутствует в структуре баланса». При простановке галочки выводятся строки, содержащие данные по счетам бухгалтерского учета с нарушением соответствия принадлежности остатка счета к балансу (дебетовый остаток на пассивном счете и кредитовый остаток на активном счете).</w:t>
      </w:r>
    </w:p>
    <w:p w:rsidR="00E95EFD" w:rsidRDefault="00E95EFD" w:rsidP="00DE1661">
      <w:pPr>
        <w:pStyle w:val="13"/>
      </w:pPr>
      <w:r>
        <w:t>Описание фонарных групп:</w:t>
      </w:r>
    </w:p>
    <w:p w:rsidR="00E95EFD" w:rsidRDefault="00E95EFD" w:rsidP="00DE1661">
      <w:pPr>
        <w:pStyle w:val="13"/>
      </w:pPr>
      <w:r>
        <w:t>Зеленый индикатор: попадает в отчет, присутствует в плане счетов.</w:t>
      </w:r>
    </w:p>
    <w:p w:rsidR="00E95EFD" w:rsidRDefault="00E95EFD" w:rsidP="00DE1661">
      <w:pPr>
        <w:pStyle w:val="13"/>
      </w:pPr>
      <w:r>
        <w:t>Красный индикатор: не попадает в отчет, отсутствует в плане счетов.</w:t>
      </w:r>
    </w:p>
    <w:p w:rsidR="00E95EFD" w:rsidRDefault="00E95EFD" w:rsidP="00DE1661">
      <w:pPr>
        <w:pStyle w:val="13"/>
        <w:rPr>
          <w:snapToGrid/>
        </w:rPr>
      </w:pPr>
      <w:r>
        <w:t>Описание расчета фонарных групп для каждого из представлений должно приводиться в справке в описании отчета.</w:t>
      </w:r>
    </w:p>
    <w:p w:rsidR="00E95EFD" w:rsidRDefault="00E95EFD" w:rsidP="0009251F">
      <w:pPr>
        <w:pStyle w:val="af0"/>
      </w:pPr>
      <w:r w:rsidRPr="00784FEE">
        <w:t xml:space="preserve">Алгоритм расчета показателей представлен в Таблице </w:t>
      </w:r>
      <w:r w:rsidR="00D33F1B">
        <w:fldChar w:fldCharType="begin"/>
      </w:r>
      <w:r w:rsidR="00D33F1B">
        <w:instrText xml:space="preserve"> REF _Ref70091122 \h </w:instrText>
      </w:r>
      <w:r w:rsidR="00D33F1B">
        <w:fldChar w:fldCharType="separate"/>
      </w:r>
      <w:r w:rsidR="00BF0BEE">
        <w:rPr>
          <w:noProof/>
        </w:rPr>
        <w:t>48</w:t>
      </w:r>
      <w:r w:rsidR="00D33F1B">
        <w:fldChar w:fldCharType="end"/>
      </w:r>
    </w:p>
    <w:p w:rsidR="00E95EFD" w:rsidRDefault="00E95EFD" w:rsidP="00D33F1B">
      <w:pPr>
        <w:pStyle w:val="-"/>
        <w:rPr>
          <w:noProof/>
        </w:rPr>
      </w:pPr>
      <w:bookmarkStart w:id="1318" w:name="_Toc38621168"/>
      <w:bookmarkStart w:id="1319" w:name="_Toc38883807"/>
      <w:bookmarkStart w:id="1320" w:name="_Toc54345192"/>
      <w:bookmarkStart w:id="1321" w:name="_Toc119585189"/>
      <w:r>
        <w:t xml:space="preserve">Таблица </w:t>
      </w:r>
      <w:fldSimple w:instr=" SEQ Таблица \* ARABIC ">
        <w:bookmarkStart w:id="1322" w:name="_Ref70091122"/>
        <w:r w:rsidR="00BF0BEE">
          <w:rPr>
            <w:noProof/>
          </w:rPr>
          <w:t>48</w:t>
        </w:r>
        <w:bookmarkEnd w:id="1322"/>
      </w:fldSimple>
      <w:r w:rsidR="00D33F1B">
        <w:rPr>
          <w:noProof/>
        </w:rPr>
        <w:t xml:space="preserve"> –</w:t>
      </w:r>
      <w:r>
        <w:t xml:space="preserve"> Алгоритм расчета основных показателей отчета "Разделение ДКЗ"</w:t>
      </w:r>
      <w:bookmarkEnd w:id="1318"/>
      <w:bookmarkEnd w:id="1319"/>
      <w:bookmarkEnd w:id="1320"/>
      <w:bookmarkEnd w:id="1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112"/>
        <w:gridCol w:w="3521"/>
        <w:gridCol w:w="2299"/>
      </w:tblGrid>
      <w:tr w:rsidR="00E95EFD" w:rsidRPr="004B1EA8" w:rsidTr="00B02CBF">
        <w:trPr>
          <w:trHeight w:val="300"/>
          <w:tblHeader/>
        </w:trPr>
        <w:tc>
          <w:tcPr>
            <w:tcW w:w="470" w:type="pct"/>
            <w:shd w:val="clear" w:color="auto" w:fill="D9D9D9" w:themeFill="background1" w:themeFillShade="D9"/>
            <w:noWrap/>
            <w:vAlign w:val="center"/>
            <w:hideMark/>
          </w:tcPr>
          <w:p w:rsidR="00E95EFD" w:rsidRPr="00784FEE" w:rsidRDefault="00E95EFD" w:rsidP="00D33F1B">
            <w:pPr>
              <w:jc w:val="center"/>
              <w:rPr>
                <w:b/>
                <w:szCs w:val="24"/>
              </w:rPr>
            </w:pPr>
            <w:r w:rsidRPr="00784FEE">
              <w:rPr>
                <w:b/>
                <w:szCs w:val="24"/>
              </w:rPr>
              <w:t>Нумерация в таблице</w:t>
            </w:r>
          </w:p>
        </w:tc>
        <w:tc>
          <w:tcPr>
            <w:tcW w:w="1578" w:type="pct"/>
            <w:shd w:val="clear" w:color="auto" w:fill="D9D9D9" w:themeFill="background1" w:themeFillShade="D9"/>
            <w:noWrap/>
            <w:vAlign w:val="center"/>
            <w:hideMark/>
          </w:tcPr>
          <w:p w:rsidR="00E95EFD" w:rsidRPr="00784FEE" w:rsidRDefault="00E95EFD" w:rsidP="00D33F1B">
            <w:pPr>
              <w:jc w:val="center"/>
              <w:rPr>
                <w:b/>
                <w:szCs w:val="24"/>
              </w:rPr>
            </w:pPr>
            <w:r w:rsidRPr="00784FEE">
              <w:rPr>
                <w:b/>
                <w:szCs w:val="24"/>
              </w:rPr>
              <w:t>Наименование</w:t>
            </w:r>
          </w:p>
        </w:tc>
        <w:tc>
          <w:tcPr>
            <w:tcW w:w="1785" w:type="pct"/>
            <w:shd w:val="clear" w:color="auto" w:fill="D9D9D9" w:themeFill="background1" w:themeFillShade="D9"/>
            <w:noWrap/>
            <w:vAlign w:val="center"/>
            <w:hideMark/>
          </w:tcPr>
          <w:p w:rsidR="00E95EFD" w:rsidRPr="00784FEE" w:rsidRDefault="00E95EFD" w:rsidP="00D33F1B">
            <w:pPr>
              <w:jc w:val="center"/>
              <w:rPr>
                <w:b/>
                <w:szCs w:val="24"/>
              </w:rPr>
            </w:pPr>
            <w:r w:rsidRPr="00784FEE">
              <w:rPr>
                <w:b/>
                <w:szCs w:val="24"/>
              </w:rPr>
              <w:t>Алгоритм</w:t>
            </w:r>
          </w:p>
        </w:tc>
        <w:tc>
          <w:tcPr>
            <w:tcW w:w="1167" w:type="pct"/>
            <w:shd w:val="clear" w:color="auto" w:fill="D9D9D9" w:themeFill="background1" w:themeFillShade="D9"/>
            <w:noWrap/>
            <w:vAlign w:val="center"/>
            <w:hideMark/>
          </w:tcPr>
          <w:p w:rsidR="00E95EFD" w:rsidRPr="00784FEE" w:rsidRDefault="00E95EFD" w:rsidP="00D33F1B">
            <w:pPr>
              <w:jc w:val="center"/>
              <w:rPr>
                <w:b/>
                <w:szCs w:val="24"/>
              </w:rPr>
            </w:pPr>
            <w:r w:rsidRPr="00784FEE">
              <w:rPr>
                <w:b/>
                <w:szCs w:val="24"/>
              </w:rPr>
              <w:t>Источник данных</w:t>
            </w:r>
          </w:p>
        </w:tc>
      </w:tr>
      <w:tr w:rsidR="00E95EFD" w:rsidRPr="004B1EA8" w:rsidTr="00B02CBF">
        <w:trPr>
          <w:trHeight w:val="300"/>
        </w:trPr>
        <w:tc>
          <w:tcPr>
            <w:tcW w:w="470" w:type="pct"/>
            <w:shd w:val="clear" w:color="auto" w:fill="auto"/>
            <w:noWrap/>
            <w:hideMark/>
          </w:tcPr>
          <w:p w:rsidR="00E95EFD" w:rsidRPr="004B1EA8" w:rsidRDefault="00E95EFD" w:rsidP="003058BC">
            <w:pPr>
              <w:jc w:val="left"/>
              <w:rPr>
                <w:szCs w:val="24"/>
              </w:rPr>
            </w:pPr>
            <w:r w:rsidRPr="004B1EA8">
              <w:rPr>
                <w:szCs w:val="24"/>
              </w:rPr>
              <w:t>3</w:t>
            </w:r>
          </w:p>
        </w:tc>
        <w:tc>
          <w:tcPr>
            <w:tcW w:w="1578" w:type="pct"/>
            <w:shd w:val="clear" w:color="auto" w:fill="auto"/>
            <w:noWrap/>
            <w:hideMark/>
          </w:tcPr>
          <w:p w:rsidR="00E95EFD" w:rsidRPr="004B1EA8" w:rsidRDefault="00E95EFD" w:rsidP="003058BC">
            <w:pPr>
              <w:jc w:val="left"/>
              <w:rPr>
                <w:szCs w:val="24"/>
              </w:rPr>
            </w:pPr>
            <w:r w:rsidRPr="004B1EA8">
              <w:rPr>
                <w:szCs w:val="24"/>
              </w:rPr>
              <w:t xml:space="preserve">Данные по счету </w:t>
            </w:r>
            <w:r>
              <w:rPr>
                <w:szCs w:val="24"/>
              </w:rPr>
              <w:t>на дату по расшифровке дебиторской и кредиторской задолженности</w:t>
            </w:r>
            <w:r w:rsidRPr="004B1EA8">
              <w:rPr>
                <w:szCs w:val="24"/>
              </w:rPr>
              <w:t xml:space="preserve"> Дебет</w:t>
            </w:r>
          </w:p>
        </w:tc>
        <w:tc>
          <w:tcPr>
            <w:tcW w:w="1785" w:type="pct"/>
            <w:shd w:val="clear" w:color="auto" w:fill="auto"/>
            <w:noWrap/>
            <w:hideMark/>
          </w:tcPr>
          <w:p w:rsidR="00E95EFD" w:rsidRPr="004B1EA8" w:rsidRDefault="00E95EFD" w:rsidP="003058BC">
            <w:pPr>
              <w:jc w:val="left"/>
              <w:rPr>
                <w:szCs w:val="24"/>
              </w:rPr>
            </w:pPr>
            <w:r w:rsidRPr="004B1EA8">
              <w:rPr>
                <w:szCs w:val="24"/>
              </w:rPr>
              <w:t>Остаток по счетам учета дебиторской задолженности на начало года/по периоду</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27"/>
        </w:trPr>
        <w:tc>
          <w:tcPr>
            <w:tcW w:w="470" w:type="pct"/>
            <w:shd w:val="clear" w:color="auto" w:fill="auto"/>
            <w:noWrap/>
            <w:hideMark/>
          </w:tcPr>
          <w:p w:rsidR="00E95EFD" w:rsidRPr="004B1EA8" w:rsidRDefault="00E95EFD" w:rsidP="003058BC">
            <w:pPr>
              <w:jc w:val="left"/>
              <w:rPr>
                <w:szCs w:val="24"/>
              </w:rPr>
            </w:pPr>
            <w:r w:rsidRPr="004B1EA8">
              <w:rPr>
                <w:szCs w:val="24"/>
              </w:rPr>
              <w:t>4</w:t>
            </w:r>
          </w:p>
        </w:tc>
        <w:tc>
          <w:tcPr>
            <w:tcW w:w="1578" w:type="pct"/>
            <w:shd w:val="clear" w:color="auto" w:fill="auto"/>
            <w:noWrap/>
            <w:hideMark/>
          </w:tcPr>
          <w:p w:rsidR="00E95EFD" w:rsidRPr="004B1EA8" w:rsidRDefault="00E95EFD" w:rsidP="003058BC">
            <w:pPr>
              <w:jc w:val="left"/>
              <w:rPr>
                <w:szCs w:val="24"/>
              </w:rPr>
            </w:pPr>
            <w:r w:rsidRPr="004B1EA8">
              <w:rPr>
                <w:szCs w:val="24"/>
              </w:rPr>
              <w:t xml:space="preserve">Данные по счету </w:t>
            </w:r>
            <w:r>
              <w:rPr>
                <w:szCs w:val="24"/>
              </w:rPr>
              <w:t>на дату по расшифровке дебиторской и кредиторской задолженности</w:t>
            </w:r>
            <w:r w:rsidRPr="004B1EA8">
              <w:rPr>
                <w:szCs w:val="24"/>
              </w:rPr>
              <w:t xml:space="preserve"> Кредит</w:t>
            </w:r>
          </w:p>
        </w:tc>
        <w:tc>
          <w:tcPr>
            <w:tcW w:w="1785" w:type="pct"/>
            <w:shd w:val="clear" w:color="auto" w:fill="auto"/>
            <w:noWrap/>
            <w:hideMark/>
          </w:tcPr>
          <w:p w:rsidR="00E95EFD" w:rsidRPr="004B1EA8" w:rsidRDefault="00E95EFD" w:rsidP="003058BC">
            <w:pPr>
              <w:jc w:val="left"/>
              <w:rPr>
                <w:szCs w:val="24"/>
              </w:rPr>
            </w:pPr>
            <w:r w:rsidRPr="004B1EA8">
              <w:rPr>
                <w:szCs w:val="24"/>
              </w:rPr>
              <w:t>Остаток по счетам учета кредиторской задолженности на начало года/по периоду</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00"/>
        </w:trPr>
        <w:tc>
          <w:tcPr>
            <w:tcW w:w="470" w:type="pct"/>
            <w:shd w:val="clear" w:color="auto" w:fill="auto"/>
            <w:noWrap/>
            <w:hideMark/>
          </w:tcPr>
          <w:p w:rsidR="00E95EFD" w:rsidRPr="004B1EA8" w:rsidRDefault="00E95EFD" w:rsidP="003058BC">
            <w:pPr>
              <w:jc w:val="left"/>
              <w:rPr>
                <w:szCs w:val="24"/>
              </w:rPr>
            </w:pPr>
            <w:r w:rsidRPr="004B1EA8">
              <w:rPr>
                <w:szCs w:val="24"/>
              </w:rPr>
              <w:t>5</w:t>
            </w:r>
          </w:p>
        </w:tc>
        <w:tc>
          <w:tcPr>
            <w:tcW w:w="1578" w:type="pct"/>
            <w:shd w:val="clear" w:color="auto" w:fill="auto"/>
            <w:noWrap/>
            <w:hideMark/>
          </w:tcPr>
          <w:p w:rsidR="00E95EFD" w:rsidRPr="004B1EA8" w:rsidRDefault="00E95EFD" w:rsidP="003058BC">
            <w:pPr>
              <w:jc w:val="left"/>
              <w:rPr>
                <w:szCs w:val="24"/>
              </w:rPr>
            </w:pPr>
            <w:r>
              <w:rPr>
                <w:szCs w:val="24"/>
              </w:rPr>
              <w:t>Свернутый остаток</w:t>
            </w:r>
            <w:r w:rsidRPr="004B1EA8">
              <w:rPr>
                <w:szCs w:val="24"/>
              </w:rPr>
              <w:t xml:space="preserve"> по счету</w:t>
            </w:r>
          </w:p>
        </w:tc>
        <w:tc>
          <w:tcPr>
            <w:tcW w:w="1785" w:type="pct"/>
            <w:shd w:val="clear" w:color="auto" w:fill="auto"/>
            <w:noWrap/>
            <w:hideMark/>
          </w:tcPr>
          <w:p w:rsidR="00E95EFD" w:rsidRPr="004B1EA8" w:rsidRDefault="00E95EFD" w:rsidP="003058BC">
            <w:pPr>
              <w:jc w:val="left"/>
              <w:rPr>
                <w:szCs w:val="24"/>
              </w:rPr>
            </w:pPr>
            <w:r>
              <w:rPr>
                <w:szCs w:val="24"/>
              </w:rPr>
              <w:t>Свернутый остаток</w:t>
            </w:r>
            <w:r w:rsidRPr="004B1EA8">
              <w:rPr>
                <w:szCs w:val="24"/>
              </w:rPr>
              <w:t xml:space="preserve"> по счетам учета дебиторской и кредиторской задолженности на начало года/по периоду</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600"/>
        </w:trPr>
        <w:tc>
          <w:tcPr>
            <w:tcW w:w="470" w:type="pct"/>
            <w:shd w:val="clear" w:color="auto" w:fill="auto"/>
            <w:noWrap/>
            <w:hideMark/>
          </w:tcPr>
          <w:p w:rsidR="00E95EFD" w:rsidRPr="004B1EA8" w:rsidRDefault="00E95EFD" w:rsidP="003058BC">
            <w:pPr>
              <w:jc w:val="left"/>
              <w:rPr>
                <w:szCs w:val="24"/>
              </w:rPr>
            </w:pPr>
            <w:r w:rsidRPr="004B1EA8">
              <w:rPr>
                <w:szCs w:val="24"/>
              </w:rPr>
              <w:t>6</w:t>
            </w:r>
          </w:p>
        </w:tc>
        <w:tc>
          <w:tcPr>
            <w:tcW w:w="1578" w:type="pct"/>
            <w:shd w:val="clear" w:color="auto" w:fill="auto"/>
            <w:noWrap/>
            <w:hideMark/>
          </w:tcPr>
          <w:p w:rsidR="00E95EFD" w:rsidRPr="004B1EA8" w:rsidRDefault="00E95EFD" w:rsidP="003058BC">
            <w:pPr>
              <w:jc w:val="left"/>
              <w:rPr>
                <w:szCs w:val="24"/>
              </w:rPr>
            </w:pPr>
            <w:r w:rsidRPr="004B1EA8">
              <w:rPr>
                <w:szCs w:val="24"/>
              </w:rPr>
              <w:t>Тип остатка (Дт/Кт)</w:t>
            </w:r>
          </w:p>
        </w:tc>
        <w:tc>
          <w:tcPr>
            <w:tcW w:w="1785" w:type="pct"/>
            <w:shd w:val="clear" w:color="auto" w:fill="auto"/>
            <w:hideMark/>
          </w:tcPr>
          <w:p w:rsidR="00E95EFD" w:rsidRPr="004B1EA8" w:rsidRDefault="00E95EFD" w:rsidP="003058BC">
            <w:pPr>
              <w:jc w:val="left"/>
              <w:rPr>
                <w:szCs w:val="24"/>
              </w:rPr>
            </w:pPr>
            <w:r w:rsidRPr="004B1EA8">
              <w:rPr>
                <w:szCs w:val="24"/>
              </w:rPr>
              <w:t>Определяется тип остатка (Дт/Кт) подсвечивается красным цветом остаток счета,</w:t>
            </w:r>
            <w:r>
              <w:rPr>
                <w:szCs w:val="24"/>
              </w:rPr>
              <w:t xml:space="preserve"> у которого нарушено соответстви</w:t>
            </w:r>
            <w:r w:rsidRPr="004B1EA8">
              <w:rPr>
                <w:szCs w:val="24"/>
              </w:rPr>
              <w:t>е принадлежности счета к балансу</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00"/>
        </w:trPr>
        <w:tc>
          <w:tcPr>
            <w:tcW w:w="470" w:type="pct"/>
            <w:shd w:val="clear" w:color="auto" w:fill="auto"/>
            <w:noWrap/>
            <w:hideMark/>
          </w:tcPr>
          <w:p w:rsidR="00E95EFD" w:rsidRPr="004B1EA8" w:rsidRDefault="00E95EFD" w:rsidP="003058BC">
            <w:pPr>
              <w:jc w:val="left"/>
              <w:rPr>
                <w:szCs w:val="24"/>
              </w:rPr>
            </w:pPr>
            <w:r w:rsidRPr="004B1EA8">
              <w:rPr>
                <w:szCs w:val="24"/>
              </w:rPr>
              <w:t>7</w:t>
            </w:r>
          </w:p>
        </w:tc>
        <w:tc>
          <w:tcPr>
            <w:tcW w:w="1578" w:type="pct"/>
            <w:shd w:val="clear" w:color="auto" w:fill="auto"/>
            <w:hideMark/>
          </w:tcPr>
          <w:p w:rsidR="00E95EFD" w:rsidRPr="004B1EA8" w:rsidRDefault="00E95EFD" w:rsidP="003058BC">
            <w:pPr>
              <w:jc w:val="left"/>
              <w:rPr>
                <w:szCs w:val="24"/>
              </w:rPr>
            </w:pPr>
            <w:r w:rsidRPr="004B1EA8">
              <w:rPr>
                <w:szCs w:val="24"/>
              </w:rPr>
              <w:t>Попадает в аналитический отчет по ДКЗ/ Статус</w:t>
            </w:r>
          </w:p>
        </w:tc>
        <w:tc>
          <w:tcPr>
            <w:tcW w:w="1785" w:type="pct"/>
            <w:shd w:val="clear" w:color="auto" w:fill="auto"/>
            <w:noWrap/>
            <w:hideMark/>
          </w:tcPr>
          <w:p w:rsidR="00E95EFD" w:rsidRPr="004B1EA8" w:rsidRDefault="00E95EFD" w:rsidP="003058BC">
            <w:pPr>
              <w:jc w:val="left"/>
              <w:rPr>
                <w:szCs w:val="24"/>
              </w:rPr>
            </w:pPr>
            <w:r>
              <w:rPr>
                <w:szCs w:val="24"/>
              </w:rPr>
              <w:t>Определяет</w:t>
            </w:r>
            <w:r w:rsidRPr="004B1EA8">
              <w:rPr>
                <w:szCs w:val="24"/>
              </w:rPr>
              <w:t>с</w:t>
            </w:r>
            <w:r>
              <w:rPr>
                <w:szCs w:val="24"/>
              </w:rPr>
              <w:t>я</w:t>
            </w:r>
            <w:r w:rsidRPr="004B1EA8">
              <w:rPr>
                <w:szCs w:val="24"/>
              </w:rPr>
              <w:t xml:space="preserve"> статус задолженности: дебиторская/кредиторская</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00"/>
        </w:trPr>
        <w:tc>
          <w:tcPr>
            <w:tcW w:w="470" w:type="pct"/>
            <w:shd w:val="clear" w:color="auto" w:fill="auto"/>
            <w:noWrap/>
            <w:hideMark/>
          </w:tcPr>
          <w:p w:rsidR="00E95EFD" w:rsidRPr="004B1EA8" w:rsidRDefault="00E95EFD" w:rsidP="003058BC">
            <w:pPr>
              <w:jc w:val="left"/>
              <w:rPr>
                <w:szCs w:val="24"/>
              </w:rPr>
            </w:pPr>
            <w:r w:rsidRPr="004B1EA8">
              <w:rPr>
                <w:szCs w:val="24"/>
              </w:rPr>
              <w:t>8</w:t>
            </w:r>
          </w:p>
        </w:tc>
        <w:tc>
          <w:tcPr>
            <w:tcW w:w="1578" w:type="pct"/>
            <w:shd w:val="clear" w:color="auto" w:fill="auto"/>
            <w:hideMark/>
          </w:tcPr>
          <w:p w:rsidR="00E95EFD" w:rsidRPr="004B1EA8" w:rsidRDefault="00E95EFD" w:rsidP="003058BC">
            <w:pPr>
              <w:jc w:val="left"/>
              <w:rPr>
                <w:szCs w:val="24"/>
              </w:rPr>
            </w:pPr>
            <w:r w:rsidRPr="004B1EA8">
              <w:rPr>
                <w:szCs w:val="24"/>
              </w:rPr>
              <w:t>Попадает в аналитический отчет по ДКЗ</w:t>
            </w:r>
          </w:p>
        </w:tc>
        <w:tc>
          <w:tcPr>
            <w:tcW w:w="1785" w:type="pct"/>
            <w:shd w:val="clear" w:color="auto" w:fill="auto"/>
            <w:noWrap/>
            <w:hideMark/>
          </w:tcPr>
          <w:p w:rsidR="00E95EFD" w:rsidRPr="004B1EA8" w:rsidRDefault="00E95EFD" w:rsidP="003058BC">
            <w:pPr>
              <w:jc w:val="left"/>
              <w:rPr>
                <w:szCs w:val="24"/>
              </w:rPr>
            </w:pPr>
            <w:r w:rsidRPr="004B1EA8">
              <w:rPr>
                <w:szCs w:val="24"/>
              </w:rPr>
              <w:t>Индикатор зеленый -</w:t>
            </w:r>
            <w:r>
              <w:rPr>
                <w:szCs w:val="24"/>
              </w:rPr>
              <w:t xml:space="preserve"> </w:t>
            </w:r>
            <w:r w:rsidRPr="004B1EA8">
              <w:rPr>
                <w:szCs w:val="24"/>
              </w:rPr>
              <w:t>"ДА", Индикатор красный - "НЕТ"</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00"/>
        </w:trPr>
        <w:tc>
          <w:tcPr>
            <w:tcW w:w="470" w:type="pct"/>
            <w:shd w:val="clear" w:color="auto" w:fill="auto"/>
            <w:noWrap/>
            <w:hideMark/>
          </w:tcPr>
          <w:p w:rsidR="00E95EFD" w:rsidRPr="004B1EA8" w:rsidRDefault="00E95EFD" w:rsidP="003058BC">
            <w:pPr>
              <w:jc w:val="left"/>
              <w:rPr>
                <w:szCs w:val="24"/>
              </w:rPr>
            </w:pPr>
            <w:r w:rsidRPr="004B1EA8">
              <w:rPr>
                <w:szCs w:val="24"/>
              </w:rPr>
              <w:t>9</w:t>
            </w:r>
          </w:p>
        </w:tc>
        <w:tc>
          <w:tcPr>
            <w:tcW w:w="1578" w:type="pct"/>
            <w:shd w:val="clear" w:color="auto" w:fill="auto"/>
            <w:noWrap/>
            <w:hideMark/>
          </w:tcPr>
          <w:p w:rsidR="00E95EFD" w:rsidRPr="004B1EA8" w:rsidRDefault="00E95EFD" w:rsidP="003058BC">
            <w:pPr>
              <w:jc w:val="left"/>
              <w:rPr>
                <w:szCs w:val="24"/>
              </w:rPr>
            </w:pPr>
            <w:r w:rsidRPr="004B1EA8">
              <w:rPr>
                <w:szCs w:val="24"/>
              </w:rPr>
              <w:t>Есть в плане счетов</w:t>
            </w:r>
            <w:r>
              <w:rPr>
                <w:szCs w:val="24"/>
              </w:rPr>
              <w:t xml:space="preserve"> Приказ 40н</w:t>
            </w:r>
          </w:p>
        </w:tc>
        <w:tc>
          <w:tcPr>
            <w:tcW w:w="1785" w:type="pct"/>
            <w:shd w:val="clear" w:color="auto" w:fill="auto"/>
            <w:hideMark/>
          </w:tcPr>
          <w:p w:rsidR="00E95EFD" w:rsidRPr="004B1EA8" w:rsidRDefault="00E95EFD" w:rsidP="003058BC">
            <w:pPr>
              <w:jc w:val="left"/>
              <w:rPr>
                <w:szCs w:val="24"/>
              </w:rPr>
            </w:pPr>
            <w:r w:rsidRPr="004B1EA8">
              <w:rPr>
                <w:szCs w:val="24"/>
              </w:rPr>
              <w:t>Индикатор зеленый -</w:t>
            </w:r>
            <w:r>
              <w:rPr>
                <w:szCs w:val="24"/>
              </w:rPr>
              <w:t xml:space="preserve"> </w:t>
            </w:r>
            <w:r w:rsidRPr="004B1EA8">
              <w:rPr>
                <w:szCs w:val="24"/>
              </w:rPr>
              <w:t>"ДА", Индикатор красный - "НЕТ"</w:t>
            </w:r>
          </w:p>
        </w:tc>
        <w:tc>
          <w:tcPr>
            <w:tcW w:w="1167" w:type="pct"/>
            <w:shd w:val="clear" w:color="auto" w:fill="auto"/>
            <w:noWrap/>
            <w:hideMark/>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r w:rsidR="00E95EFD" w:rsidRPr="004B1EA8" w:rsidTr="00B02CBF">
        <w:trPr>
          <w:trHeight w:val="300"/>
        </w:trPr>
        <w:tc>
          <w:tcPr>
            <w:tcW w:w="470" w:type="pct"/>
            <w:shd w:val="clear" w:color="auto" w:fill="auto"/>
            <w:noWrap/>
          </w:tcPr>
          <w:p w:rsidR="00E95EFD" w:rsidRPr="004B1EA8" w:rsidRDefault="00E95EFD" w:rsidP="003058BC">
            <w:pPr>
              <w:jc w:val="left"/>
              <w:rPr>
                <w:szCs w:val="24"/>
              </w:rPr>
            </w:pPr>
            <w:r>
              <w:rPr>
                <w:szCs w:val="24"/>
              </w:rPr>
              <w:t>10</w:t>
            </w:r>
          </w:p>
        </w:tc>
        <w:tc>
          <w:tcPr>
            <w:tcW w:w="1578" w:type="pct"/>
            <w:shd w:val="clear" w:color="auto" w:fill="auto"/>
            <w:noWrap/>
          </w:tcPr>
          <w:p w:rsidR="00E95EFD" w:rsidRPr="004B1EA8" w:rsidRDefault="00E95EFD" w:rsidP="003058BC">
            <w:pPr>
              <w:jc w:val="left"/>
              <w:rPr>
                <w:szCs w:val="24"/>
              </w:rPr>
            </w:pPr>
            <w:r w:rsidRPr="004B1EA8">
              <w:rPr>
                <w:szCs w:val="24"/>
              </w:rPr>
              <w:t>Есть в плане счетов</w:t>
            </w:r>
            <w:r>
              <w:rPr>
                <w:szCs w:val="24"/>
              </w:rPr>
              <w:t xml:space="preserve"> Приказ 162н</w:t>
            </w:r>
          </w:p>
        </w:tc>
        <w:tc>
          <w:tcPr>
            <w:tcW w:w="1785" w:type="pct"/>
            <w:shd w:val="clear" w:color="auto" w:fill="auto"/>
          </w:tcPr>
          <w:p w:rsidR="00E95EFD" w:rsidRPr="004B1EA8" w:rsidRDefault="00E95EFD" w:rsidP="003058BC">
            <w:pPr>
              <w:jc w:val="left"/>
              <w:rPr>
                <w:szCs w:val="24"/>
              </w:rPr>
            </w:pPr>
            <w:r w:rsidRPr="004B1EA8">
              <w:rPr>
                <w:szCs w:val="24"/>
              </w:rPr>
              <w:t>Индикатор зеленый -</w:t>
            </w:r>
            <w:r>
              <w:rPr>
                <w:szCs w:val="24"/>
              </w:rPr>
              <w:t xml:space="preserve"> </w:t>
            </w:r>
            <w:r w:rsidRPr="004B1EA8">
              <w:rPr>
                <w:szCs w:val="24"/>
              </w:rPr>
              <w:t>"ДА", Индикатор красный - "НЕТ"</w:t>
            </w:r>
          </w:p>
        </w:tc>
        <w:tc>
          <w:tcPr>
            <w:tcW w:w="1167" w:type="pct"/>
            <w:shd w:val="clear" w:color="auto" w:fill="auto"/>
            <w:noWrap/>
          </w:tcPr>
          <w:p w:rsidR="00E95EFD" w:rsidRPr="004B1EA8" w:rsidRDefault="00E95EFD" w:rsidP="003058BC">
            <w:pPr>
              <w:jc w:val="left"/>
              <w:rPr>
                <w:szCs w:val="24"/>
              </w:rPr>
            </w:pPr>
            <w:r w:rsidRPr="004B1EA8">
              <w:rPr>
                <w:szCs w:val="24"/>
              </w:rPr>
              <w:t>МВУ ПУИО, регистр "Дебиторская и кредиторская задолженность"</w:t>
            </w:r>
          </w:p>
        </w:tc>
      </w:tr>
    </w:tbl>
    <w:p w:rsidR="00B02CBF" w:rsidRDefault="00B02CBF" w:rsidP="00B02CBF">
      <w:pPr>
        <w:pStyle w:val="af0"/>
        <w:keepNext/>
      </w:pPr>
    </w:p>
    <w:p w:rsidR="00B02CBF" w:rsidRDefault="00B02CBF" w:rsidP="00B02CBF">
      <w:pPr>
        <w:pStyle w:val="af0"/>
        <w:keepNext/>
        <w:ind w:firstLine="0"/>
      </w:pPr>
      <w:r>
        <w:rPr>
          <w:noProof/>
          <w:snapToGrid/>
        </w:rPr>
        <w:drawing>
          <wp:inline distT="0" distB="0" distL="0" distR="0" wp14:anchorId="438D6B5F" wp14:editId="235CF19B">
            <wp:extent cx="5939790" cy="2892345"/>
            <wp:effectExtent l="0" t="0" r="3810" b="381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8"/>
                    <a:stretch>
                      <a:fillRect/>
                    </a:stretch>
                  </pic:blipFill>
                  <pic:spPr>
                    <a:xfrm>
                      <a:off x="0" y="0"/>
                      <a:ext cx="5939790" cy="2892345"/>
                    </a:xfrm>
                    <a:prstGeom prst="rect">
                      <a:avLst/>
                    </a:prstGeom>
                  </pic:spPr>
                </pic:pic>
              </a:graphicData>
            </a:graphic>
          </wp:inline>
        </w:drawing>
      </w:r>
    </w:p>
    <w:p w:rsidR="003D1EF2" w:rsidRDefault="00B02CBF" w:rsidP="00B02CBF">
      <w:pPr>
        <w:pStyle w:val="-0"/>
      </w:pPr>
      <w:bookmarkStart w:id="1323" w:name="_Toc119584524"/>
      <w:r>
        <w:t xml:space="preserve">Рисунок </w:t>
      </w:r>
      <w:fldSimple w:instr=" SEQ Рисунок \* ARABIC ">
        <w:r w:rsidR="001860A9">
          <w:rPr>
            <w:noProof/>
          </w:rPr>
          <w:t>337</w:t>
        </w:r>
      </w:fldSimple>
      <w:r w:rsidRPr="00206C4C">
        <w:rPr>
          <w:szCs w:val="28"/>
        </w:rPr>
        <w:t xml:space="preserve"> – </w:t>
      </w:r>
      <w:r w:rsidRPr="00206C4C">
        <w:t>Макет отчета «Сведения о ФХД ФОИВ. Качество данных». Представление «</w:t>
      </w:r>
      <w:r>
        <w:t>Разделение ДКЗ</w:t>
      </w:r>
      <w:r w:rsidRPr="00206C4C">
        <w:t>»</w:t>
      </w:r>
      <w:bookmarkEnd w:id="1323"/>
      <w:r w:rsidRPr="00206C4C">
        <w:t xml:space="preserve"> </w:t>
      </w:r>
    </w:p>
    <w:p w:rsidR="00C82045" w:rsidRPr="00206C4C" w:rsidRDefault="00C82045" w:rsidP="00C82045">
      <w:pPr>
        <w:pStyle w:val="42"/>
      </w:pPr>
      <w:r w:rsidRPr="00206C4C">
        <w:t>Представление «</w:t>
      </w:r>
      <w:r w:rsidR="00B02CBF">
        <w:t>Незакрытые остатки</w:t>
      </w:r>
      <w:r>
        <w:t xml:space="preserve"> ДКЗ</w:t>
      </w:r>
      <w:r w:rsidRPr="00206C4C">
        <w:t>»</w:t>
      </w:r>
    </w:p>
    <w:p w:rsidR="00C82045" w:rsidRPr="0020366A" w:rsidRDefault="002B1AEA" w:rsidP="0009251F">
      <w:pPr>
        <w:pStyle w:val="af0"/>
      </w:pPr>
      <w:r>
        <w:t>Представление</w:t>
      </w:r>
      <w:r w:rsidR="00C82045">
        <w:t xml:space="preserve"> «Незакрытые остатки</w:t>
      </w:r>
      <w:r w:rsidR="00C82045" w:rsidRPr="0020366A">
        <w:t xml:space="preserve"> ДКЗ» отчета «Сведения о ФХД ФОИВ. Качество д</w:t>
      </w:r>
      <w:r w:rsidR="00C82045">
        <w:t>анных</w:t>
      </w:r>
      <w:r w:rsidR="00C82045" w:rsidRPr="0020366A">
        <w:t>» содержат информацию о</w:t>
      </w:r>
      <w:r w:rsidR="00C82045">
        <w:t>б организациях, имеющих</w:t>
      </w:r>
      <w:r w:rsidR="00C82045" w:rsidRPr="009608D6">
        <w:t xml:space="preserve"> незакрытые остатки по каждому конкретному счету учета дебиторск</w:t>
      </w:r>
      <w:r w:rsidR="00C82045">
        <w:t>ой и кредиторской задолженности. П</w:t>
      </w:r>
      <w:r w:rsidR="00C82045" w:rsidRPr="009608D6">
        <w:t>ри этом аналитика КБК, контрагент и договор должна быть одинаковой и одновременно присутствовать и дебетовый и кредитовый остаток по счету на выбранную дату</w:t>
      </w:r>
      <w:r w:rsidR="00C82045">
        <w:t xml:space="preserve">, </w:t>
      </w:r>
      <w:r w:rsidR="00C82045">
        <w:rPr>
          <w:snapToGrid/>
        </w:rPr>
        <w:t>в</w:t>
      </w:r>
      <w:r w:rsidR="00C82045" w:rsidRPr="00CC48DA">
        <w:rPr>
          <w:snapToGrid/>
        </w:rPr>
        <w:t xml:space="preserve"> отчет отобраны все счета учета дебиторской и </w:t>
      </w:r>
      <w:r w:rsidR="00C82045">
        <w:rPr>
          <w:snapToGrid/>
        </w:rPr>
        <w:t xml:space="preserve">кредиторской задолженности, кроме </w:t>
      </w:r>
      <w:r w:rsidR="00C82045" w:rsidRPr="00CC48DA">
        <w:rPr>
          <w:snapToGrid/>
        </w:rPr>
        <w:t>данных по счетам 30300 "Расчеты по платежам в бюджеты", 40140 "Доходы будущих периодов", 40160 "Резервы предстоящих расходов"</w:t>
      </w:r>
      <w:r w:rsidR="00C82045" w:rsidRPr="00CC48DA">
        <w:t xml:space="preserve"> (соблюдение требования непротиворечивости показателей), полученных</w:t>
      </w:r>
      <w:r w:rsidR="00C82045" w:rsidRPr="0020366A">
        <w:t xml:space="preserve"> в результате загрузки данных </w:t>
      </w:r>
      <w:r w:rsidR="00C82045">
        <w:t xml:space="preserve">бюджетного </w:t>
      </w:r>
      <w:r w:rsidR="00C82045" w:rsidRPr="0020366A">
        <w:t xml:space="preserve">учета </w:t>
      </w:r>
      <w:r w:rsidR="00C82045">
        <w:t>субъектов централизованного учета</w:t>
      </w:r>
      <w:r w:rsidR="00C82045" w:rsidRPr="0020366A">
        <w:t>.</w:t>
      </w:r>
    </w:p>
    <w:p w:rsidR="00C82045" w:rsidRDefault="002B1AEA" w:rsidP="00C82045">
      <w:pPr>
        <w:pStyle w:val="af0"/>
      </w:pPr>
      <w:r>
        <w:t>Представление</w:t>
      </w:r>
      <w:r w:rsidR="00C82045">
        <w:t xml:space="preserve"> создан</w:t>
      </w:r>
      <w:r>
        <w:t>о</w:t>
      </w:r>
      <w:r w:rsidR="00C82045">
        <w:t xml:space="preserve"> в табличной форме и содержат одно представление с построчной индикацией наличия проблем.</w:t>
      </w:r>
    </w:p>
    <w:p w:rsidR="00C82045" w:rsidRDefault="00C82045" w:rsidP="00C82045">
      <w:pPr>
        <w:rPr>
          <w:sz w:val="28"/>
          <w:szCs w:val="28"/>
        </w:rPr>
      </w:pPr>
      <w:r>
        <w:rPr>
          <w:sz w:val="28"/>
          <w:szCs w:val="28"/>
        </w:rPr>
        <w:t>Источники данных для представления:</w:t>
      </w:r>
    </w:p>
    <w:p w:rsidR="00C82045" w:rsidRDefault="00C82045" w:rsidP="0009251F">
      <w:pPr>
        <w:pStyle w:val="13"/>
      </w:pPr>
      <w:r w:rsidRPr="005C603D">
        <w:t>Данные на основе информации «Дебиторская и кредиторская задолженность» (F_GK_DKZ)</w:t>
      </w:r>
      <w:r>
        <w:t>.</w:t>
      </w:r>
    </w:p>
    <w:p w:rsidR="00C82045" w:rsidRDefault="00C82045" w:rsidP="00C82045">
      <w:pPr>
        <w:rPr>
          <w:sz w:val="28"/>
          <w:szCs w:val="28"/>
        </w:rPr>
      </w:pPr>
      <w:r>
        <w:rPr>
          <w:sz w:val="28"/>
          <w:szCs w:val="28"/>
        </w:rPr>
        <w:t>Параметры представления:</w:t>
      </w:r>
    </w:p>
    <w:p w:rsidR="00C82045" w:rsidRPr="00D768FE" w:rsidRDefault="00C82045" w:rsidP="00DE1661">
      <w:pPr>
        <w:pStyle w:val="13"/>
      </w:pPr>
      <w:r w:rsidRPr="00D768FE">
        <w:t>Дата</w:t>
      </w:r>
      <w:r>
        <w:t>. В</w:t>
      </w:r>
      <w:r w:rsidRPr="00184E6B">
        <w:t xml:space="preserve">ыпадающий список с выбором определенной </w:t>
      </w:r>
      <w:r>
        <w:t>даты с использованием календаря</w:t>
      </w:r>
      <w:r w:rsidRPr="00D768FE">
        <w:t>;</w:t>
      </w:r>
    </w:p>
    <w:p w:rsidR="00C82045" w:rsidRDefault="00C82045" w:rsidP="00DE1661">
      <w:pPr>
        <w:pStyle w:val="13"/>
      </w:pPr>
      <w:r w:rsidRPr="00D768FE">
        <w:t>Единицы измерения</w:t>
      </w:r>
      <w:r>
        <w:t>. Плоский список с элементами:</w:t>
      </w:r>
      <w:r w:rsidRPr="00D768FE">
        <w:t xml:space="preserve"> руб., тыс. руб., млн. руб., млрд. руб.</w:t>
      </w:r>
      <w:r w:rsidRPr="006459B1">
        <w:t xml:space="preserve"> </w:t>
      </w:r>
    </w:p>
    <w:p w:rsidR="00C82045" w:rsidRPr="00D768FE" w:rsidRDefault="00C82045" w:rsidP="00DE1661">
      <w:pPr>
        <w:pStyle w:val="13"/>
      </w:pPr>
      <w:r>
        <w:t>Счет. Иерархический список со счетами, относящимися к учету дебиторской и кредиторской задолженности;</w:t>
      </w:r>
    </w:p>
    <w:p w:rsidR="00C82045" w:rsidRDefault="00C82045" w:rsidP="00DE1661">
      <w:pPr>
        <w:pStyle w:val="13"/>
      </w:pPr>
      <w:r w:rsidRPr="00D768FE">
        <w:t>Код главы</w:t>
      </w:r>
      <w:r>
        <w:t>. Плоский список с перечнем Глав субъектов централизованного учета, по которым производится анализ в ПИАО</w:t>
      </w:r>
      <w:r w:rsidRPr="00D768FE">
        <w:t>;</w:t>
      </w:r>
    </w:p>
    <w:p w:rsidR="00C82045" w:rsidRDefault="00C82045" w:rsidP="00DE1661">
      <w:pPr>
        <w:pStyle w:val="13"/>
      </w:pPr>
      <w:r w:rsidRPr="00AC3E8B">
        <w:t>ТОФК. Плоский список с перечнем ТОФК</w:t>
      </w:r>
      <w:r>
        <w:t xml:space="preserve">, </w:t>
      </w:r>
      <w:r w:rsidRPr="00AC3E8B">
        <w:t>обслужива</w:t>
      </w:r>
      <w:r>
        <w:t>ющих</w:t>
      </w:r>
      <w:r w:rsidRPr="00AC3E8B">
        <w:t xml:space="preserve"> субъект</w:t>
      </w:r>
      <w:r>
        <w:t>ы централизованного</w:t>
      </w:r>
      <w:r w:rsidRPr="00AC3E8B">
        <w:t xml:space="preserve"> учета, по которым производится анализ в ПИАО;</w:t>
      </w:r>
    </w:p>
    <w:p w:rsidR="00C82045" w:rsidRDefault="00C82045" w:rsidP="00DE1661">
      <w:pPr>
        <w:pStyle w:val="13"/>
      </w:pPr>
      <w:r w:rsidRPr="00D768FE">
        <w:t>Субъект учета</w:t>
      </w:r>
      <w:r>
        <w:t>. Плоский список: перечень субъектов учета, передавших полномочия по ведению бухгалтерского учета Федеральному казначейству, и анализируемых в ПИАО. Фильтр зависит от выбора в фильтре «Код Главы»: отображаются только субъекты учета, находящиеся в ведении данной Главы;</w:t>
      </w:r>
    </w:p>
    <w:p w:rsidR="00C82045" w:rsidRDefault="00C82045" w:rsidP="00DE1661">
      <w:pPr>
        <w:pStyle w:val="13"/>
        <w:rPr>
          <w:lang w:eastAsia="x-none"/>
        </w:rPr>
      </w:pPr>
      <w:r w:rsidRPr="00E95ACE">
        <w:t>Чек-бокс одинарная галочка</w:t>
      </w:r>
      <w:r>
        <w:t xml:space="preserve"> «Одинаковый незакрытый остаток по аналитике». При простановке галочки выводятся строки, по каждому счету бухгалтерского учета, содержащие одинаковые остатки по дебету и по кредиту на выбранную дату.</w:t>
      </w:r>
    </w:p>
    <w:p w:rsidR="00C82045" w:rsidRDefault="00C82045" w:rsidP="00DE1661">
      <w:pPr>
        <w:pStyle w:val="13"/>
      </w:pPr>
      <w:r>
        <w:t>Описание фонарных групп:</w:t>
      </w:r>
    </w:p>
    <w:p w:rsidR="00C82045" w:rsidRDefault="00C82045" w:rsidP="00DE1661">
      <w:pPr>
        <w:pStyle w:val="13"/>
      </w:pPr>
      <w:r>
        <w:t>Красный индикатор: присутствуют одинаковые незакрытые остатки одновременно по дебету и по кредиту.</w:t>
      </w:r>
    </w:p>
    <w:p w:rsidR="00C82045" w:rsidRDefault="00C82045" w:rsidP="00DE1661">
      <w:pPr>
        <w:pStyle w:val="13"/>
        <w:rPr>
          <w:snapToGrid/>
        </w:rPr>
      </w:pPr>
      <w:r>
        <w:t>Описание расчета фонарных групп для каждого из представлений приводится в справке в описании отчета.</w:t>
      </w:r>
    </w:p>
    <w:p w:rsidR="00C82045" w:rsidRDefault="00C82045" w:rsidP="0009251F">
      <w:pPr>
        <w:pStyle w:val="af0"/>
      </w:pPr>
      <w:r w:rsidRPr="00784FEE">
        <w:t xml:space="preserve">Алгоритм расчета показателей представлен в Таблице </w:t>
      </w:r>
      <w:r w:rsidR="002B1AEA">
        <w:fldChar w:fldCharType="begin"/>
      </w:r>
      <w:r w:rsidR="002B1AEA">
        <w:instrText xml:space="preserve"> REF _Ref70091439 \h </w:instrText>
      </w:r>
      <w:r w:rsidR="002B1AEA">
        <w:fldChar w:fldCharType="separate"/>
      </w:r>
      <w:r w:rsidR="00BF0BEE">
        <w:rPr>
          <w:noProof/>
        </w:rPr>
        <w:t>49</w:t>
      </w:r>
      <w:r w:rsidR="002B1AEA">
        <w:fldChar w:fldCharType="end"/>
      </w:r>
    </w:p>
    <w:p w:rsidR="00C82045" w:rsidRDefault="00C82045" w:rsidP="002B1AEA">
      <w:pPr>
        <w:pStyle w:val="-"/>
        <w:rPr>
          <w:noProof/>
        </w:rPr>
      </w:pPr>
      <w:bookmarkStart w:id="1324" w:name="_Toc38883808"/>
      <w:bookmarkStart w:id="1325" w:name="_Toc54345193"/>
      <w:bookmarkStart w:id="1326" w:name="_Toc119585190"/>
      <w:r>
        <w:t xml:space="preserve">Таблица </w:t>
      </w:r>
      <w:fldSimple w:instr=" SEQ Таблица \* ARABIC ">
        <w:bookmarkStart w:id="1327" w:name="_Ref70091439"/>
        <w:r w:rsidR="00BF0BEE">
          <w:rPr>
            <w:noProof/>
          </w:rPr>
          <w:t>49</w:t>
        </w:r>
        <w:bookmarkEnd w:id="1327"/>
      </w:fldSimple>
      <w:r w:rsidR="002B1AEA">
        <w:rPr>
          <w:noProof/>
        </w:rPr>
        <w:t xml:space="preserve"> –</w:t>
      </w:r>
      <w:r w:rsidR="002B1AEA">
        <w:t xml:space="preserve"> </w:t>
      </w:r>
      <w:r>
        <w:t>Алгоритм расчета основных показателей отчета "Незакрытые остатки ДКЗ"</w:t>
      </w:r>
      <w:bookmarkEnd w:id="1324"/>
      <w:bookmarkEnd w:id="1325"/>
      <w:bookmarkEnd w:id="13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2150"/>
        <w:gridCol w:w="3539"/>
        <w:gridCol w:w="3005"/>
      </w:tblGrid>
      <w:tr w:rsidR="00C82045" w:rsidRPr="00140F1F" w:rsidTr="002B1AEA">
        <w:trPr>
          <w:trHeight w:val="300"/>
          <w:tblHeader/>
        </w:trPr>
        <w:tc>
          <w:tcPr>
            <w:tcW w:w="0" w:type="auto"/>
            <w:shd w:val="clear" w:color="auto" w:fill="D9D9D9" w:themeFill="background1" w:themeFillShade="D9"/>
            <w:noWrap/>
            <w:vAlign w:val="center"/>
            <w:hideMark/>
          </w:tcPr>
          <w:p w:rsidR="00C82045" w:rsidRPr="002D70A0" w:rsidRDefault="00C82045" w:rsidP="002B1AEA">
            <w:pPr>
              <w:jc w:val="center"/>
              <w:rPr>
                <w:b/>
                <w:snapToGrid/>
                <w:szCs w:val="24"/>
              </w:rPr>
            </w:pPr>
            <w:r w:rsidRPr="002D70A0">
              <w:rPr>
                <w:b/>
                <w:snapToGrid/>
                <w:szCs w:val="24"/>
              </w:rPr>
              <w:t>Нумерация в таблице</w:t>
            </w:r>
          </w:p>
        </w:tc>
        <w:tc>
          <w:tcPr>
            <w:tcW w:w="0" w:type="auto"/>
            <w:shd w:val="clear" w:color="auto" w:fill="D9D9D9" w:themeFill="background1" w:themeFillShade="D9"/>
            <w:noWrap/>
            <w:vAlign w:val="center"/>
            <w:hideMark/>
          </w:tcPr>
          <w:p w:rsidR="00C82045" w:rsidRPr="002D70A0" w:rsidRDefault="00C82045" w:rsidP="002B1AEA">
            <w:pPr>
              <w:jc w:val="center"/>
              <w:rPr>
                <w:b/>
                <w:snapToGrid/>
                <w:szCs w:val="24"/>
              </w:rPr>
            </w:pPr>
            <w:r w:rsidRPr="002D70A0">
              <w:rPr>
                <w:b/>
                <w:snapToGrid/>
                <w:szCs w:val="24"/>
              </w:rPr>
              <w:t>Наименование</w:t>
            </w:r>
          </w:p>
        </w:tc>
        <w:tc>
          <w:tcPr>
            <w:tcW w:w="0" w:type="auto"/>
            <w:shd w:val="clear" w:color="auto" w:fill="D9D9D9" w:themeFill="background1" w:themeFillShade="D9"/>
            <w:noWrap/>
            <w:vAlign w:val="center"/>
            <w:hideMark/>
          </w:tcPr>
          <w:p w:rsidR="00C82045" w:rsidRPr="002D70A0" w:rsidRDefault="00C82045" w:rsidP="002B1AEA">
            <w:pPr>
              <w:jc w:val="center"/>
              <w:rPr>
                <w:b/>
                <w:snapToGrid/>
                <w:szCs w:val="24"/>
              </w:rPr>
            </w:pPr>
            <w:r w:rsidRPr="002D70A0">
              <w:rPr>
                <w:b/>
                <w:snapToGrid/>
                <w:szCs w:val="24"/>
              </w:rPr>
              <w:t>Алгоритм</w:t>
            </w:r>
          </w:p>
        </w:tc>
        <w:tc>
          <w:tcPr>
            <w:tcW w:w="0" w:type="auto"/>
            <w:shd w:val="clear" w:color="auto" w:fill="D9D9D9" w:themeFill="background1" w:themeFillShade="D9"/>
            <w:noWrap/>
            <w:vAlign w:val="center"/>
            <w:hideMark/>
          </w:tcPr>
          <w:p w:rsidR="00C82045" w:rsidRPr="002D70A0" w:rsidRDefault="00C82045" w:rsidP="002B1AEA">
            <w:pPr>
              <w:jc w:val="center"/>
              <w:rPr>
                <w:b/>
                <w:snapToGrid/>
                <w:szCs w:val="24"/>
              </w:rPr>
            </w:pPr>
            <w:r w:rsidRPr="002D70A0">
              <w:rPr>
                <w:b/>
                <w:snapToGrid/>
                <w:szCs w:val="24"/>
              </w:rPr>
              <w:t>Источник данных</w:t>
            </w:r>
          </w:p>
        </w:tc>
      </w:tr>
      <w:tr w:rsidR="00C82045" w:rsidRPr="00140F1F" w:rsidTr="003058BC">
        <w:trPr>
          <w:trHeight w:val="63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Организация/Код по СвР</w:t>
            </w:r>
          </w:p>
        </w:tc>
        <w:tc>
          <w:tcPr>
            <w:tcW w:w="0" w:type="auto"/>
            <w:shd w:val="clear" w:color="auto" w:fill="auto"/>
            <w:hideMark/>
          </w:tcPr>
          <w:p w:rsidR="00C82045" w:rsidRPr="00140F1F" w:rsidRDefault="00C82045" w:rsidP="003058BC">
            <w:pPr>
              <w:jc w:val="left"/>
              <w:rPr>
                <w:snapToGrid/>
                <w:szCs w:val="24"/>
              </w:rPr>
            </w:pPr>
            <w:r>
              <w:rPr>
                <w:snapToGrid/>
                <w:szCs w:val="24"/>
              </w:rPr>
              <w:t>Код по СвР организации</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66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2</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Организация/Наименование</w:t>
            </w:r>
          </w:p>
        </w:tc>
        <w:tc>
          <w:tcPr>
            <w:tcW w:w="0" w:type="auto"/>
            <w:hideMark/>
          </w:tcPr>
          <w:p w:rsidR="00C82045" w:rsidRPr="00140F1F" w:rsidRDefault="00C82045" w:rsidP="003058BC">
            <w:pPr>
              <w:jc w:val="left"/>
              <w:rPr>
                <w:snapToGrid/>
                <w:szCs w:val="24"/>
              </w:rPr>
            </w:pPr>
            <w:r>
              <w:rPr>
                <w:snapToGrid/>
                <w:szCs w:val="24"/>
              </w:rPr>
              <w:t>Наименование организации</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1091"/>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3</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Счет</w:t>
            </w:r>
          </w:p>
        </w:tc>
        <w:tc>
          <w:tcPr>
            <w:tcW w:w="0" w:type="auto"/>
            <w:shd w:val="clear" w:color="auto" w:fill="auto"/>
            <w:hideMark/>
          </w:tcPr>
          <w:p w:rsidR="00C82045" w:rsidRPr="00140F1F" w:rsidRDefault="00C82045" w:rsidP="003058BC">
            <w:pPr>
              <w:jc w:val="left"/>
              <w:rPr>
                <w:snapToGrid/>
                <w:szCs w:val="24"/>
              </w:rPr>
            </w:pPr>
            <w:r>
              <w:rPr>
                <w:snapToGrid/>
                <w:szCs w:val="24"/>
              </w:rPr>
              <w:t>Счет бухгалтерского учета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4</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Наименование</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Наименование счета бухгалтерского учета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5</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КБК</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Код бюджетной классификации, указанный в номере счета бухгалтерского учета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6</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Контрагент/ИНН</w:t>
            </w:r>
          </w:p>
        </w:tc>
        <w:tc>
          <w:tcPr>
            <w:tcW w:w="0" w:type="auto"/>
            <w:shd w:val="clear" w:color="auto" w:fill="auto"/>
            <w:hideMark/>
          </w:tcPr>
          <w:p w:rsidR="00C82045" w:rsidRPr="00140F1F" w:rsidRDefault="00C82045" w:rsidP="003058BC">
            <w:pPr>
              <w:jc w:val="left"/>
              <w:rPr>
                <w:snapToGrid/>
                <w:szCs w:val="24"/>
              </w:rPr>
            </w:pPr>
            <w:r>
              <w:rPr>
                <w:snapToGrid/>
                <w:szCs w:val="24"/>
              </w:rPr>
              <w:t>ИНН</w:t>
            </w:r>
            <w:r w:rsidRPr="00140F1F">
              <w:rPr>
                <w:snapToGrid/>
                <w:szCs w:val="24"/>
              </w:rPr>
              <w:t xml:space="preserve"> контрагента, являющегося элементом аналитики на счетах бухгалтерского учета по дебиторской и кредиторской задолженности</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7</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Контрагент/КПП</w:t>
            </w:r>
          </w:p>
        </w:tc>
        <w:tc>
          <w:tcPr>
            <w:tcW w:w="0" w:type="auto"/>
            <w:hideMark/>
          </w:tcPr>
          <w:p w:rsidR="00C82045" w:rsidRPr="00140F1F" w:rsidRDefault="00C82045" w:rsidP="003058BC">
            <w:pPr>
              <w:jc w:val="left"/>
              <w:rPr>
                <w:snapToGrid/>
                <w:szCs w:val="24"/>
              </w:rPr>
            </w:pPr>
            <w:r>
              <w:rPr>
                <w:snapToGrid/>
                <w:szCs w:val="24"/>
              </w:rPr>
              <w:t>КПП</w:t>
            </w:r>
            <w:r w:rsidRPr="00140F1F">
              <w:rPr>
                <w:snapToGrid/>
                <w:szCs w:val="24"/>
              </w:rPr>
              <w:t xml:space="preserve"> контрагента, являющегося элементом аналитики на счетах бухгалтерского учета по дебиторской и кредиторской задолженности</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1171"/>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8</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Контрагент/Наименование</w:t>
            </w:r>
          </w:p>
        </w:tc>
        <w:tc>
          <w:tcPr>
            <w:tcW w:w="0" w:type="auto"/>
            <w:hideMark/>
          </w:tcPr>
          <w:p w:rsidR="00C82045" w:rsidRPr="00140F1F" w:rsidRDefault="00C82045" w:rsidP="003058BC">
            <w:pPr>
              <w:jc w:val="left"/>
              <w:rPr>
                <w:snapToGrid/>
                <w:szCs w:val="24"/>
              </w:rPr>
            </w:pPr>
            <w:r>
              <w:rPr>
                <w:snapToGrid/>
                <w:szCs w:val="24"/>
              </w:rPr>
              <w:t>Наименование</w:t>
            </w:r>
            <w:r w:rsidRPr="00140F1F">
              <w:rPr>
                <w:snapToGrid/>
                <w:szCs w:val="24"/>
              </w:rPr>
              <w:t xml:space="preserve"> контрагента, являющегося элементом аналитики на счетах бухгалтерского учета по дебиторской и кредиторской задолженности</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600"/>
        </w:trPr>
        <w:tc>
          <w:tcPr>
            <w:tcW w:w="0" w:type="auto"/>
            <w:shd w:val="clear" w:color="auto" w:fill="auto"/>
            <w:noWrap/>
          </w:tcPr>
          <w:p w:rsidR="00C82045" w:rsidRPr="00140F1F" w:rsidRDefault="00C82045" w:rsidP="003058BC">
            <w:pPr>
              <w:jc w:val="left"/>
              <w:rPr>
                <w:snapToGrid/>
                <w:szCs w:val="24"/>
              </w:rPr>
            </w:pPr>
            <w:r w:rsidRPr="00140F1F">
              <w:rPr>
                <w:snapToGrid/>
                <w:szCs w:val="24"/>
              </w:rPr>
              <w:t>9</w:t>
            </w:r>
          </w:p>
        </w:tc>
        <w:tc>
          <w:tcPr>
            <w:tcW w:w="0" w:type="auto"/>
            <w:shd w:val="clear" w:color="auto" w:fill="auto"/>
            <w:noWrap/>
          </w:tcPr>
          <w:p w:rsidR="00C82045" w:rsidRPr="00140F1F" w:rsidRDefault="00C82045" w:rsidP="003058BC">
            <w:pPr>
              <w:jc w:val="left"/>
              <w:rPr>
                <w:snapToGrid/>
                <w:szCs w:val="24"/>
              </w:rPr>
            </w:pPr>
            <w:r w:rsidRPr="00140F1F">
              <w:rPr>
                <w:snapToGrid/>
                <w:szCs w:val="24"/>
              </w:rPr>
              <w:t>Реквизиты договора</w:t>
            </w:r>
          </w:p>
        </w:tc>
        <w:tc>
          <w:tcPr>
            <w:tcW w:w="0" w:type="auto"/>
            <w:shd w:val="clear" w:color="auto" w:fill="auto"/>
          </w:tcPr>
          <w:p w:rsidR="00C82045" w:rsidRPr="00140F1F" w:rsidRDefault="00C82045" w:rsidP="003058BC">
            <w:pPr>
              <w:jc w:val="left"/>
              <w:rPr>
                <w:snapToGrid/>
                <w:szCs w:val="24"/>
              </w:rPr>
            </w:pPr>
            <w:r w:rsidRPr="00140F1F">
              <w:rPr>
                <w:snapToGrid/>
                <w:szCs w:val="24"/>
              </w:rPr>
              <w:t>Данные договора, являющегося элементом аналитики на счетах бухгалтерского учета по дебиторской и кредиторской задолженности</w:t>
            </w:r>
          </w:p>
        </w:tc>
        <w:tc>
          <w:tcPr>
            <w:tcW w:w="0" w:type="auto"/>
            <w:shd w:val="clear" w:color="auto" w:fill="auto"/>
            <w:noWrap/>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6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10</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Остаток на начало года/Дебет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Дебетовый остаток по счету учета на начало года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11</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Остаток на начало года/Кредит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Кредитовый остаток по счету учета на начало года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12</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Оборот за период/Дебет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Дебетовый оборот по счету учета за период с начала года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13</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Оборот за период/Кредит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Кредитовый оборот по счету учета за период с начала года</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14</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Остаток на текущую дату/Дебет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Дебетовый остаток по счету учета на выбранную дату</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15</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Остаток на текущую дату/Кредит</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Кредитовый остаток по счету учета на выбранную дату</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r w:rsidR="00C82045" w:rsidRPr="00140F1F" w:rsidTr="003058BC">
        <w:trPr>
          <w:trHeight w:val="300"/>
        </w:trPr>
        <w:tc>
          <w:tcPr>
            <w:tcW w:w="0" w:type="auto"/>
            <w:shd w:val="clear" w:color="auto" w:fill="auto"/>
            <w:noWrap/>
            <w:hideMark/>
          </w:tcPr>
          <w:p w:rsidR="00C82045" w:rsidRPr="00140F1F" w:rsidRDefault="00C82045" w:rsidP="003058BC">
            <w:pPr>
              <w:jc w:val="left"/>
              <w:rPr>
                <w:snapToGrid/>
                <w:szCs w:val="24"/>
              </w:rPr>
            </w:pPr>
            <w:r w:rsidRPr="00140F1F">
              <w:rPr>
                <w:snapToGrid/>
                <w:szCs w:val="24"/>
              </w:rPr>
              <w:t>16</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Одинаковый незакрытый остаток по аналитике</w:t>
            </w:r>
          </w:p>
        </w:tc>
        <w:tc>
          <w:tcPr>
            <w:tcW w:w="0" w:type="auto"/>
            <w:shd w:val="clear" w:color="auto" w:fill="auto"/>
            <w:hideMark/>
          </w:tcPr>
          <w:p w:rsidR="00C82045" w:rsidRPr="00140F1F" w:rsidRDefault="00C82045" w:rsidP="003058BC">
            <w:pPr>
              <w:jc w:val="left"/>
              <w:rPr>
                <w:snapToGrid/>
                <w:szCs w:val="24"/>
              </w:rPr>
            </w:pPr>
            <w:r w:rsidRPr="00140F1F">
              <w:rPr>
                <w:snapToGrid/>
                <w:szCs w:val="24"/>
              </w:rPr>
              <w:t>Индикатор красный для одинаковых незакрытых остатков одновременно по дебету и по кредиту на выбранную дату</w:t>
            </w:r>
          </w:p>
        </w:tc>
        <w:tc>
          <w:tcPr>
            <w:tcW w:w="0" w:type="auto"/>
            <w:shd w:val="clear" w:color="auto" w:fill="auto"/>
            <w:noWrap/>
            <w:hideMark/>
          </w:tcPr>
          <w:p w:rsidR="00C82045" w:rsidRPr="00140F1F" w:rsidRDefault="00C82045" w:rsidP="003058BC">
            <w:pPr>
              <w:jc w:val="left"/>
              <w:rPr>
                <w:snapToGrid/>
                <w:szCs w:val="24"/>
              </w:rPr>
            </w:pPr>
            <w:r w:rsidRPr="00140F1F">
              <w:rPr>
                <w:snapToGrid/>
                <w:szCs w:val="24"/>
              </w:rPr>
              <w:t>МВУ ПУИО, регистр "Дебиторская и кредиторская задолженность"</w:t>
            </w:r>
          </w:p>
        </w:tc>
      </w:tr>
    </w:tbl>
    <w:p w:rsidR="00E95EFD" w:rsidRDefault="00E95EFD" w:rsidP="005D77E1">
      <w:pPr>
        <w:pStyle w:val="af0"/>
      </w:pPr>
    </w:p>
    <w:p w:rsidR="003058BC" w:rsidRDefault="003058BC" w:rsidP="0009251F">
      <w:pPr>
        <w:pStyle w:val="-0"/>
      </w:pPr>
      <w:r>
        <w:rPr>
          <w:noProof/>
          <w:snapToGrid/>
        </w:rPr>
        <w:drawing>
          <wp:inline distT="0" distB="0" distL="0" distR="0" wp14:anchorId="3FAD95D5" wp14:editId="0159F402">
            <wp:extent cx="5939790" cy="2884375"/>
            <wp:effectExtent l="0" t="0" r="381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9"/>
                    <a:stretch>
                      <a:fillRect/>
                    </a:stretch>
                  </pic:blipFill>
                  <pic:spPr>
                    <a:xfrm>
                      <a:off x="0" y="0"/>
                      <a:ext cx="5939790" cy="2884375"/>
                    </a:xfrm>
                    <a:prstGeom prst="rect">
                      <a:avLst/>
                    </a:prstGeom>
                  </pic:spPr>
                </pic:pic>
              </a:graphicData>
            </a:graphic>
          </wp:inline>
        </w:drawing>
      </w:r>
    </w:p>
    <w:p w:rsidR="00E95EFD" w:rsidRDefault="003058BC" w:rsidP="003058BC">
      <w:pPr>
        <w:pStyle w:val="-0"/>
      </w:pPr>
      <w:bookmarkStart w:id="1328" w:name="_Toc119584525"/>
      <w:r>
        <w:t xml:space="preserve">Рисунок </w:t>
      </w:r>
      <w:fldSimple w:instr=" SEQ Рисунок \* ARABIC ">
        <w:r w:rsidR="001860A9">
          <w:rPr>
            <w:noProof/>
          </w:rPr>
          <w:t>338</w:t>
        </w:r>
      </w:fldSimple>
      <w:r w:rsidRPr="00206C4C">
        <w:rPr>
          <w:szCs w:val="28"/>
        </w:rPr>
        <w:t xml:space="preserve"> – </w:t>
      </w:r>
      <w:r w:rsidRPr="00206C4C">
        <w:t>Макет отчета «Сведения о ФХД ФОИВ. Качество данных». Представление «</w:t>
      </w:r>
      <w:r>
        <w:t>Незакрытые остатки ДКЗ</w:t>
      </w:r>
      <w:r w:rsidRPr="00206C4C">
        <w:t>»</w:t>
      </w:r>
      <w:bookmarkEnd w:id="1328"/>
    </w:p>
    <w:p w:rsidR="003058BC" w:rsidRDefault="003058BC" w:rsidP="0009251F">
      <w:pPr>
        <w:pStyle w:val="42"/>
        <w:keepNext/>
      </w:pPr>
      <w:r w:rsidRPr="00206C4C">
        <w:t>Представление «</w:t>
      </w:r>
      <w:r>
        <w:t>Применение классификаторов и счетов учета</w:t>
      </w:r>
      <w:r w:rsidRPr="00206C4C">
        <w:t>»</w:t>
      </w:r>
    </w:p>
    <w:p w:rsidR="00255A46" w:rsidRDefault="00255A46" w:rsidP="00255A46">
      <w:pPr>
        <w:pStyle w:val="af0"/>
      </w:pPr>
      <w:r>
        <w:t>Представление «</w:t>
      </w:r>
      <w:r w:rsidRPr="005638FF">
        <w:t>Применение классификаторов и счетов учета</w:t>
      </w:r>
      <w:r>
        <w:t xml:space="preserve">» группы отчетов </w:t>
      </w:r>
      <w:r w:rsidRPr="00DB2D83">
        <w:t>содерж</w:t>
      </w:r>
      <w:r>
        <w:t>и</w:t>
      </w:r>
      <w:r w:rsidRPr="00DB2D83">
        <w:t>т информацию о корректности применения классификаторо</w:t>
      </w:r>
      <w:r>
        <w:t>в и счетов бухгалтерского учета:</w:t>
      </w:r>
    </w:p>
    <w:p w:rsidR="00255A46" w:rsidRDefault="00255A46" w:rsidP="00DE1661">
      <w:pPr>
        <w:pStyle w:val="13"/>
      </w:pPr>
      <w:r>
        <w:t>Соответствие применения типа КБК счету бухгалтерского учета на основании Приказа Минфина России от 06.12.2010 № 162н «Об утверждении Плана счетов бюджетного учета и Инструкции по его применению» (с учетом изменений, внесенных приказом Минфина России от 28.10.2020 № 246н) (прилагается);</w:t>
      </w:r>
    </w:p>
    <w:p w:rsidR="00255A46" w:rsidRPr="00697BAC" w:rsidRDefault="00255A46" w:rsidP="00DE1661">
      <w:pPr>
        <w:pStyle w:val="13"/>
      </w:pPr>
      <w:r>
        <w:rPr>
          <w:szCs w:val="28"/>
        </w:rPr>
        <w:t>Соответствие п</w:t>
      </w:r>
      <w:r w:rsidRPr="00714713">
        <w:rPr>
          <w:szCs w:val="28"/>
        </w:rPr>
        <w:t>рименени</w:t>
      </w:r>
      <w:r>
        <w:rPr>
          <w:szCs w:val="28"/>
        </w:rPr>
        <w:t>я типа</w:t>
      </w:r>
      <w:r w:rsidRPr="00714713">
        <w:rPr>
          <w:szCs w:val="28"/>
        </w:rPr>
        <w:t xml:space="preserve"> КБК</w:t>
      </w:r>
      <w:r>
        <w:rPr>
          <w:szCs w:val="28"/>
        </w:rPr>
        <w:t xml:space="preserve"> счету</w:t>
      </w:r>
      <w:r w:rsidRPr="00714713">
        <w:rPr>
          <w:szCs w:val="28"/>
        </w:rPr>
        <w:t xml:space="preserve"> </w:t>
      </w:r>
      <w:r>
        <w:rPr>
          <w:szCs w:val="28"/>
        </w:rPr>
        <w:t xml:space="preserve">бухгалтерского </w:t>
      </w:r>
      <w:r w:rsidRPr="00714713">
        <w:rPr>
          <w:szCs w:val="28"/>
        </w:rPr>
        <w:t xml:space="preserve">учета на основании </w:t>
      </w:r>
      <w:r>
        <w:t>Приказа Федерального казначейства от 17.12.2020 № 41н «Об утверждении Рабочего плана счетов централизованного бухгалтерского учета и Порядка его применения, а также признании утратившим силу приказа Федерального казначейства от 31 декабря 2019 г. № 40н» (Зарегистрировано в Минюсте России 05.02.2021 № 62423);</w:t>
      </w:r>
    </w:p>
    <w:p w:rsidR="00255A46" w:rsidRPr="00697BAC" w:rsidRDefault="00255A46" w:rsidP="00DE1661">
      <w:pPr>
        <w:pStyle w:val="13"/>
      </w:pPr>
      <w:r>
        <w:t>Соответствие применения КОСГУ счету бухгалтерского учета на основании</w:t>
      </w:r>
      <w:r w:rsidRPr="00697BAC">
        <w:t xml:space="preserve"> </w:t>
      </w:r>
      <w:r>
        <w:t>Приказа Федерального казначейства от 17.12.2020 № 41н «Об утверждении Рабочего плана счетов централизованного бухгалтерского учета и Порядка его применения, а также признании утратившим силу приказа Федерального казначейства от 31 декабря 2019 г. № 40н» (Зарегистрировано в Минюсте России 05.02.2021 № 62423);</w:t>
      </w:r>
    </w:p>
    <w:p w:rsidR="00255A46" w:rsidRDefault="00255A46" w:rsidP="00DE1661">
      <w:pPr>
        <w:pStyle w:val="13"/>
      </w:pPr>
      <w:r>
        <w:t>Соответствие применения КОСГУ счету бухгалтерского учета на основании</w:t>
      </w:r>
      <w:r w:rsidRPr="00697BAC">
        <w:t xml:space="preserve"> </w:t>
      </w:r>
      <w:r>
        <w:t>Приказа Минфина России от 06.12.2010 № 162н «Об утверждении Плана счетов бюджетного учета и Инструкции по его применению» (с учетом изменений, внесенных приказом Минфина России от 28.10.2020 № 246н) (прилагается);</w:t>
      </w:r>
    </w:p>
    <w:p w:rsidR="00255A46" w:rsidRDefault="00255A46" w:rsidP="00DE1661">
      <w:pPr>
        <w:pStyle w:val="13"/>
      </w:pPr>
      <w:r>
        <w:t>Соответствие применения КВР – КОСГУ на основании «Таблицы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применяемой в 2021 году», разработанной Министерством финансов Российской Федерации по состоянию на 15.01.2021;</w:t>
      </w:r>
    </w:p>
    <w:p w:rsidR="00255A46" w:rsidRDefault="00255A46" w:rsidP="00DE1661">
      <w:pPr>
        <w:pStyle w:val="13"/>
      </w:pPr>
      <w:r w:rsidRPr="00CF6C52">
        <w:rPr>
          <w:rFonts w:eastAsia="Calibri"/>
          <w:szCs w:val="28"/>
        </w:rPr>
        <w:t xml:space="preserve">Соответствие применения АГПВД – КОСГУ на основании </w:t>
      </w:r>
      <w:r>
        <w:rPr>
          <w:rFonts w:eastAsia="Calibri"/>
          <w:szCs w:val="28"/>
        </w:rPr>
        <w:t>«</w:t>
      </w:r>
      <w:r>
        <w:t>Таблицы соответствия кодов классификации доходов и статей (подстатей) КОСГУ кодам Классификации доходов, установленным Руководством по статистике государственных финансов (СГФ – 2014), применяемой с 1 января 2021 года», разработанной Министерством финансов Российской Федерации по состоянию на 12.01.2021;</w:t>
      </w:r>
    </w:p>
    <w:p w:rsidR="00255A46" w:rsidRPr="00697BAC" w:rsidRDefault="00255A46" w:rsidP="00DE1661">
      <w:pPr>
        <w:pStyle w:val="13"/>
      </w:pPr>
      <w:r w:rsidRPr="00697BAC">
        <w:t>Соответствие типа счета бухгалтерского учета (активный, пассивный, активно-пассивный) его остатку на счете бухгалтерского учета (дебетовый либо кредитовый, дебетовый и кредитовый)</w:t>
      </w:r>
      <w:r>
        <w:t>.</w:t>
      </w:r>
    </w:p>
    <w:p w:rsidR="00255A46" w:rsidRDefault="00255A46" w:rsidP="00255A46">
      <w:pPr>
        <w:pStyle w:val="af0"/>
      </w:pPr>
      <w:r>
        <w:t>Представление создано в табличной форме и содержат одно представление с построчной индикацией наличия проблем.</w:t>
      </w:r>
    </w:p>
    <w:p w:rsidR="00255A46" w:rsidRDefault="00255A46" w:rsidP="00255A46">
      <w:pPr>
        <w:rPr>
          <w:sz w:val="28"/>
          <w:szCs w:val="28"/>
        </w:rPr>
      </w:pPr>
      <w:r>
        <w:rPr>
          <w:sz w:val="28"/>
          <w:szCs w:val="28"/>
        </w:rPr>
        <w:t>Источники данных для отчета:</w:t>
      </w:r>
    </w:p>
    <w:p w:rsidR="00255A46" w:rsidRPr="005575B4" w:rsidRDefault="00255A46" w:rsidP="0009251F">
      <w:pPr>
        <w:pStyle w:val="13"/>
        <w:rPr>
          <w:rFonts w:eastAsia="Calibri"/>
        </w:rPr>
      </w:pPr>
      <w:r w:rsidRPr="005575B4">
        <w:rPr>
          <w:rFonts w:eastAsia="Calibri"/>
        </w:rPr>
        <w:t>Данные на основе информации регистра «Главная книга» (F_GK_DATA)</w:t>
      </w:r>
    </w:p>
    <w:p w:rsidR="00255A46" w:rsidRDefault="00255A46" w:rsidP="0009251F">
      <w:pPr>
        <w:pStyle w:val="13"/>
      </w:pPr>
      <w:r w:rsidRPr="005575B4">
        <w:rPr>
          <w:rFonts w:eastAsia="Calibri"/>
        </w:rPr>
        <w:t>Данные на основе информации регистра «Рабочий план счетов ФОИВ» (D_GK_ACCPIANFOIV</w:t>
      </w:r>
      <w:r w:rsidRPr="005575B4">
        <w:t>)</w:t>
      </w:r>
    </w:p>
    <w:p w:rsidR="00255A46" w:rsidRPr="005575B4" w:rsidRDefault="00255A46" w:rsidP="0009251F">
      <w:pPr>
        <w:pStyle w:val="13"/>
      </w:pPr>
      <w:r w:rsidRPr="005575B4">
        <w:rPr>
          <w:rFonts w:eastAsia="Calibri"/>
        </w:rPr>
        <w:t>Данные на основе информации регистра «Рабочий план счетов Ф</w:t>
      </w:r>
      <w:r>
        <w:rPr>
          <w:rFonts w:eastAsia="Calibri"/>
        </w:rPr>
        <w:t>К</w:t>
      </w:r>
      <w:r w:rsidRPr="005575B4">
        <w:rPr>
          <w:rFonts w:eastAsia="Calibri"/>
        </w:rPr>
        <w:t>» (D_GK_ACCPIANF</w:t>
      </w:r>
      <w:r>
        <w:rPr>
          <w:rFonts w:eastAsia="Calibri"/>
          <w:lang w:val="en-US"/>
        </w:rPr>
        <w:t>K</w:t>
      </w:r>
      <w:r w:rsidRPr="005575B4">
        <w:t>)</w:t>
      </w:r>
    </w:p>
    <w:p w:rsidR="00255A46" w:rsidRDefault="00255A46" w:rsidP="00255A46">
      <w:pPr>
        <w:pStyle w:val="af0"/>
      </w:pPr>
      <w:r>
        <w:t>Описание фонарных групп:</w:t>
      </w:r>
    </w:p>
    <w:p w:rsidR="00255A46" w:rsidRPr="00551358" w:rsidRDefault="00255A46" w:rsidP="00DE1661">
      <w:pPr>
        <w:pStyle w:val="13"/>
      </w:pPr>
      <w:r w:rsidRPr="00551358">
        <w:t>Зеленый индикатор: соответствует требованиям;</w:t>
      </w:r>
    </w:p>
    <w:p w:rsidR="00255A46" w:rsidRPr="00551358" w:rsidRDefault="00255A46" w:rsidP="00DE1661">
      <w:pPr>
        <w:pStyle w:val="13"/>
      </w:pPr>
      <w:r w:rsidRPr="00551358">
        <w:t>Красный индикатор: не соответствует требованиям;</w:t>
      </w:r>
    </w:p>
    <w:p w:rsidR="00255A46" w:rsidRPr="00551358" w:rsidRDefault="00255A46" w:rsidP="00DE1661">
      <w:pPr>
        <w:pStyle w:val="13"/>
      </w:pPr>
      <w:r w:rsidRPr="00551358">
        <w:t>Серый индикатор: проверка отсутствует.</w:t>
      </w:r>
    </w:p>
    <w:p w:rsidR="00255A46" w:rsidRDefault="00255A46" w:rsidP="00255A46">
      <w:pPr>
        <w:pStyle w:val="af0"/>
        <w:rPr>
          <w:snapToGrid/>
        </w:rPr>
      </w:pPr>
      <w:r>
        <w:t>Описание расчета фонарных групп представления должно приводиться в справке в описании отчета.</w:t>
      </w:r>
    </w:p>
    <w:p w:rsidR="00255A46" w:rsidRDefault="00255A46" w:rsidP="00255A46">
      <w:pPr>
        <w:pStyle w:val="af0"/>
        <w:rPr>
          <w:color w:val="auto"/>
          <w:szCs w:val="28"/>
        </w:rPr>
      </w:pPr>
      <w:r w:rsidRPr="000B38E2">
        <w:rPr>
          <w:color w:val="auto"/>
          <w:szCs w:val="28"/>
        </w:rPr>
        <w:t xml:space="preserve">Алгоритм расчета основных показателей отчета представлен в </w:t>
      </w:r>
      <w:r>
        <w:rPr>
          <w:color w:val="auto"/>
          <w:szCs w:val="28"/>
        </w:rPr>
        <w:t xml:space="preserve">Таблице </w:t>
      </w:r>
      <w:r>
        <w:rPr>
          <w:color w:val="auto"/>
          <w:szCs w:val="28"/>
        </w:rPr>
        <w:fldChar w:fldCharType="begin"/>
      </w:r>
      <w:r>
        <w:rPr>
          <w:color w:val="auto"/>
          <w:szCs w:val="28"/>
        </w:rPr>
        <w:instrText xml:space="preserve"> REF _Ref82435852 \h </w:instrText>
      </w:r>
      <w:r>
        <w:rPr>
          <w:color w:val="auto"/>
          <w:szCs w:val="28"/>
        </w:rPr>
      </w:r>
      <w:r>
        <w:rPr>
          <w:color w:val="auto"/>
          <w:szCs w:val="28"/>
        </w:rPr>
        <w:fldChar w:fldCharType="separate"/>
      </w:r>
      <w:r w:rsidR="00BF0BEE">
        <w:rPr>
          <w:noProof/>
        </w:rPr>
        <w:t>50</w:t>
      </w:r>
      <w:r>
        <w:rPr>
          <w:color w:val="auto"/>
          <w:szCs w:val="28"/>
        </w:rPr>
        <w:fldChar w:fldCharType="end"/>
      </w:r>
    </w:p>
    <w:p w:rsidR="00255A46" w:rsidRDefault="00255A46" w:rsidP="00255A46">
      <w:pPr>
        <w:pStyle w:val="-"/>
      </w:pPr>
      <w:bookmarkStart w:id="1329" w:name="_Toc26871183"/>
      <w:bookmarkStart w:id="1330" w:name="_Toc80797980"/>
      <w:bookmarkStart w:id="1331" w:name="_Toc119585191"/>
      <w:r>
        <w:t xml:space="preserve">Таблица </w:t>
      </w:r>
      <w:fldSimple w:instr=" SEQ Таблица \* ARABIC ">
        <w:bookmarkStart w:id="1332" w:name="_Ref82435852"/>
        <w:r w:rsidR="00BF0BEE">
          <w:rPr>
            <w:noProof/>
          </w:rPr>
          <w:t>50</w:t>
        </w:r>
        <w:bookmarkEnd w:id="1332"/>
      </w:fldSimple>
      <w:r>
        <w:t xml:space="preserve"> – </w:t>
      </w:r>
      <w:r w:rsidRPr="00255A46">
        <w:t>Алгоритм</w:t>
      </w:r>
      <w:r w:rsidRPr="003410A2">
        <w:t xml:space="preserve"> расчета основных показателей отчета </w:t>
      </w:r>
      <w:r>
        <w:t>«</w:t>
      </w:r>
      <w:r w:rsidRPr="003410A2">
        <w:t>Применение классификаторов и счетов учета</w:t>
      </w:r>
      <w:bookmarkEnd w:id="1329"/>
      <w:r>
        <w:t>»</w:t>
      </w:r>
      <w:bookmarkEnd w:id="1330"/>
      <w:bookmarkEnd w:id="1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1951"/>
        <w:gridCol w:w="3523"/>
        <w:gridCol w:w="3234"/>
      </w:tblGrid>
      <w:tr w:rsidR="00255A46" w:rsidRPr="003821D7" w:rsidTr="0009251F">
        <w:trPr>
          <w:trHeight w:val="630"/>
          <w:tblHeader/>
        </w:trPr>
        <w:tc>
          <w:tcPr>
            <w:tcW w:w="581" w:type="pct"/>
            <w:shd w:val="clear" w:color="auto" w:fill="D9D9D9" w:themeFill="background1" w:themeFillShade="D9"/>
            <w:vAlign w:val="center"/>
            <w:hideMark/>
          </w:tcPr>
          <w:p w:rsidR="00255A46" w:rsidRPr="003821D7" w:rsidRDefault="00255A46" w:rsidP="00255A46">
            <w:pPr>
              <w:jc w:val="center"/>
              <w:rPr>
                <w:b/>
                <w:bCs/>
                <w:snapToGrid/>
                <w:szCs w:val="24"/>
              </w:rPr>
            </w:pPr>
            <w:r w:rsidRPr="003821D7">
              <w:rPr>
                <w:b/>
                <w:bCs/>
                <w:snapToGrid/>
                <w:szCs w:val="24"/>
              </w:rPr>
              <w:t xml:space="preserve">№ </w:t>
            </w:r>
            <w:r>
              <w:rPr>
                <w:b/>
                <w:bCs/>
                <w:snapToGrid/>
                <w:szCs w:val="24"/>
              </w:rPr>
              <w:t>колонки в таблице</w:t>
            </w:r>
          </w:p>
        </w:tc>
        <w:tc>
          <w:tcPr>
            <w:tcW w:w="990" w:type="pct"/>
            <w:shd w:val="clear" w:color="auto" w:fill="D9D9D9" w:themeFill="background1" w:themeFillShade="D9"/>
            <w:vAlign w:val="center"/>
            <w:hideMark/>
          </w:tcPr>
          <w:p w:rsidR="00255A46" w:rsidRPr="003821D7" w:rsidRDefault="00255A46" w:rsidP="00255A46">
            <w:pPr>
              <w:jc w:val="center"/>
              <w:rPr>
                <w:b/>
                <w:bCs/>
                <w:snapToGrid/>
                <w:szCs w:val="24"/>
              </w:rPr>
            </w:pPr>
            <w:r>
              <w:rPr>
                <w:b/>
                <w:bCs/>
                <w:snapToGrid/>
                <w:szCs w:val="24"/>
              </w:rPr>
              <w:t>Наименование</w:t>
            </w:r>
          </w:p>
        </w:tc>
        <w:tc>
          <w:tcPr>
            <w:tcW w:w="1788" w:type="pct"/>
            <w:shd w:val="clear" w:color="auto" w:fill="D9D9D9" w:themeFill="background1" w:themeFillShade="D9"/>
            <w:vAlign w:val="center"/>
            <w:hideMark/>
          </w:tcPr>
          <w:p w:rsidR="00255A46" w:rsidRPr="003821D7" w:rsidRDefault="00255A46" w:rsidP="00255A46">
            <w:pPr>
              <w:jc w:val="center"/>
              <w:rPr>
                <w:b/>
                <w:bCs/>
                <w:snapToGrid/>
                <w:szCs w:val="24"/>
              </w:rPr>
            </w:pPr>
            <w:r w:rsidRPr="003821D7">
              <w:rPr>
                <w:b/>
                <w:bCs/>
                <w:snapToGrid/>
                <w:szCs w:val="24"/>
              </w:rPr>
              <w:t>Алгоритм расчета</w:t>
            </w:r>
          </w:p>
        </w:tc>
        <w:tc>
          <w:tcPr>
            <w:tcW w:w="1642" w:type="pct"/>
            <w:shd w:val="clear" w:color="auto" w:fill="D9D9D9" w:themeFill="background1" w:themeFillShade="D9"/>
            <w:vAlign w:val="center"/>
            <w:hideMark/>
          </w:tcPr>
          <w:p w:rsidR="00255A46" w:rsidRPr="003821D7" w:rsidRDefault="00255A46" w:rsidP="00255A46">
            <w:pPr>
              <w:jc w:val="center"/>
              <w:rPr>
                <w:b/>
                <w:bCs/>
                <w:snapToGrid/>
                <w:szCs w:val="24"/>
              </w:rPr>
            </w:pPr>
            <w:r w:rsidRPr="003821D7">
              <w:rPr>
                <w:b/>
                <w:bCs/>
                <w:snapToGrid/>
                <w:szCs w:val="24"/>
              </w:rPr>
              <w:t>Источник данных</w:t>
            </w:r>
          </w:p>
        </w:tc>
      </w:tr>
      <w:tr w:rsidR="00255A46" w:rsidRPr="003821D7" w:rsidTr="00255A46">
        <w:trPr>
          <w:trHeight w:val="1260"/>
        </w:trPr>
        <w:tc>
          <w:tcPr>
            <w:tcW w:w="581" w:type="pct"/>
            <w:shd w:val="clear" w:color="auto" w:fill="auto"/>
            <w:hideMark/>
          </w:tcPr>
          <w:p w:rsidR="00255A46" w:rsidRPr="003821D7" w:rsidRDefault="00255A46" w:rsidP="00255A46">
            <w:pPr>
              <w:jc w:val="left"/>
              <w:rPr>
                <w:snapToGrid/>
                <w:szCs w:val="24"/>
              </w:rPr>
            </w:pPr>
            <w:r w:rsidRPr="0017509A">
              <w:t>3</w:t>
            </w:r>
          </w:p>
        </w:tc>
        <w:tc>
          <w:tcPr>
            <w:tcW w:w="990" w:type="pct"/>
            <w:shd w:val="clear" w:color="auto" w:fill="auto"/>
            <w:hideMark/>
          </w:tcPr>
          <w:p w:rsidR="00255A46" w:rsidRPr="003821D7" w:rsidRDefault="00255A46" w:rsidP="00255A46">
            <w:pPr>
              <w:jc w:val="left"/>
              <w:rPr>
                <w:snapToGrid/>
                <w:szCs w:val="24"/>
              </w:rPr>
            </w:pPr>
            <w:r w:rsidRPr="0017509A">
              <w:t>Дебетовый остаток на начало года</w:t>
            </w:r>
          </w:p>
        </w:tc>
        <w:tc>
          <w:tcPr>
            <w:tcW w:w="1788" w:type="pct"/>
            <w:shd w:val="clear" w:color="auto" w:fill="auto"/>
            <w:hideMark/>
          </w:tcPr>
          <w:p w:rsidR="00255A46" w:rsidRPr="003821D7" w:rsidRDefault="00255A46" w:rsidP="00255A46">
            <w:pPr>
              <w:jc w:val="left"/>
              <w:rPr>
                <w:snapToGrid/>
                <w:szCs w:val="24"/>
              </w:rPr>
            </w:pPr>
            <w:r w:rsidRPr="0017509A">
              <w:t xml:space="preserve">Остаток на начало года по дебету по источнику «Главная книга» на выбранную дату по соответствующему счету </w:t>
            </w:r>
          </w:p>
        </w:tc>
        <w:tc>
          <w:tcPr>
            <w:tcW w:w="1642" w:type="pct"/>
            <w:shd w:val="clear" w:color="auto" w:fill="auto"/>
            <w:hideMark/>
          </w:tcPr>
          <w:p w:rsidR="00255A46" w:rsidRPr="003821D7" w:rsidRDefault="00255A46" w:rsidP="00255A46">
            <w:pPr>
              <w:jc w:val="left"/>
              <w:rPr>
                <w:snapToGrid/>
                <w:szCs w:val="24"/>
              </w:rPr>
            </w:pPr>
            <w:r w:rsidRPr="0017509A">
              <w:t>МВУ ПУИО, регистр «Главная книга»</w:t>
            </w:r>
          </w:p>
        </w:tc>
      </w:tr>
      <w:tr w:rsidR="00255A46" w:rsidRPr="003821D7" w:rsidTr="00255A46">
        <w:trPr>
          <w:trHeight w:val="1260"/>
        </w:trPr>
        <w:tc>
          <w:tcPr>
            <w:tcW w:w="581" w:type="pct"/>
            <w:shd w:val="clear" w:color="auto" w:fill="auto"/>
            <w:hideMark/>
          </w:tcPr>
          <w:p w:rsidR="00255A46" w:rsidRPr="003821D7" w:rsidRDefault="00255A46" w:rsidP="00255A46">
            <w:pPr>
              <w:jc w:val="left"/>
              <w:rPr>
                <w:snapToGrid/>
                <w:szCs w:val="24"/>
              </w:rPr>
            </w:pPr>
            <w:r w:rsidRPr="0017509A">
              <w:t>4</w:t>
            </w:r>
          </w:p>
        </w:tc>
        <w:tc>
          <w:tcPr>
            <w:tcW w:w="990" w:type="pct"/>
            <w:shd w:val="clear" w:color="auto" w:fill="auto"/>
            <w:hideMark/>
          </w:tcPr>
          <w:p w:rsidR="00255A46" w:rsidRPr="003821D7" w:rsidRDefault="00255A46" w:rsidP="00255A46">
            <w:pPr>
              <w:jc w:val="left"/>
              <w:rPr>
                <w:snapToGrid/>
                <w:szCs w:val="24"/>
              </w:rPr>
            </w:pPr>
            <w:r w:rsidRPr="0017509A">
              <w:t>Кредитовый остаток на начало года</w:t>
            </w:r>
          </w:p>
        </w:tc>
        <w:tc>
          <w:tcPr>
            <w:tcW w:w="1788" w:type="pct"/>
            <w:shd w:val="clear" w:color="auto" w:fill="auto"/>
            <w:hideMark/>
          </w:tcPr>
          <w:p w:rsidR="00255A46" w:rsidRPr="003821D7" w:rsidRDefault="00255A46" w:rsidP="00255A46">
            <w:pPr>
              <w:jc w:val="left"/>
              <w:rPr>
                <w:snapToGrid/>
                <w:szCs w:val="24"/>
              </w:rPr>
            </w:pPr>
            <w:r w:rsidRPr="0017509A">
              <w:t xml:space="preserve">Остаток на начало года по кредиту по источнику «Главная книга» на выбранную дату по соответствующему счету </w:t>
            </w:r>
          </w:p>
        </w:tc>
        <w:tc>
          <w:tcPr>
            <w:tcW w:w="1642" w:type="pct"/>
            <w:shd w:val="clear" w:color="auto" w:fill="auto"/>
            <w:hideMark/>
          </w:tcPr>
          <w:p w:rsidR="00255A46" w:rsidRPr="003821D7" w:rsidRDefault="00255A46" w:rsidP="00255A46">
            <w:pPr>
              <w:jc w:val="left"/>
              <w:rPr>
                <w:snapToGrid/>
                <w:szCs w:val="24"/>
              </w:rPr>
            </w:pPr>
            <w:r w:rsidRPr="0017509A">
              <w:t>МВУ ПУИО, регистр «Главная книга»</w:t>
            </w:r>
          </w:p>
        </w:tc>
      </w:tr>
      <w:tr w:rsidR="00255A46" w:rsidRPr="003821D7" w:rsidTr="00255A46">
        <w:trPr>
          <w:trHeight w:val="1260"/>
        </w:trPr>
        <w:tc>
          <w:tcPr>
            <w:tcW w:w="581" w:type="pct"/>
            <w:shd w:val="clear" w:color="auto" w:fill="auto"/>
          </w:tcPr>
          <w:p w:rsidR="00255A46" w:rsidRPr="0017509A" w:rsidRDefault="00255A46" w:rsidP="00255A46">
            <w:pPr>
              <w:jc w:val="left"/>
            </w:pPr>
            <w:r>
              <w:rPr>
                <w:snapToGrid/>
                <w:szCs w:val="24"/>
              </w:rPr>
              <w:t>5</w:t>
            </w:r>
          </w:p>
        </w:tc>
        <w:tc>
          <w:tcPr>
            <w:tcW w:w="990" w:type="pct"/>
            <w:shd w:val="clear" w:color="auto" w:fill="auto"/>
          </w:tcPr>
          <w:p w:rsidR="00255A46" w:rsidRPr="0017509A" w:rsidRDefault="00255A46" w:rsidP="00255A46">
            <w:pPr>
              <w:jc w:val="left"/>
            </w:pPr>
            <w:r w:rsidRPr="00CB550D">
              <w:rPr>
                <w:snapToGrid/>
                <w:szCs w:val="24"/>
              </w:rPr>
              <w:t xml:space="preserve">Свернутый остаток по счету </w:t>
            </w:r>
            <w:r>
              <w:rPr>
                <w:snapToGrid/>
                <w:szCs w:val="24"/>
              </w:rPr>
              <w:t>на начало года</w:t>
            </w:r>
          </w:p>
        </w:tc>
        <w:tc>
          <w:tcPr>
            <w:tcW w:w="1788" w:type="pct"/>
            <w:shd w:val="clear" w:color="auto" w:fill="auto"/>
          </w:tcPr>
          <w:p w:rsidR="00255A46" w:rsidRPr="0017509A" w:rsidRDefault="00255A46" w:rsidP="00255A46">
            <w:pPr>
              <w:jc w:val="left"/>
            </w:pPr>
            <w:r w:rsidRPr="0042165F">
              <w:rPr>
                <w:snapToGrid/>
                <w:szCs w:val="24"/>
              </w:rPr>
              <w:t>Св</w:t>
            </w:r>
            <w:r>
              <w:rPr>
                <w:snapToGrid/>
                <w:szCs w:val="24"/>
              </w:rPr>
              <w:t>ернутый остаток на начало года</w:t>
            </w:r>
            <w:r w:rsidRPr="0042165F">
              <w:rPr>
                <w:snapToGrid/>
                <w:szCs w:val="24"/>
              </w:rPr>
              <w:t xml:space="preserve"> по источнику «Главная книга» на выбранную дату по соответствующему счету</w:t>
            </w:r>
          </w:p>
        </w:tc>
        <w:tc>
          <w:tcPr>
            <w:tcW w:w="1642" w:type="pct"/>
            <w:shd w:val="clear" w:color="auto" w:fill="auto"/>
          </w:tcPr>
          <w:p w:rsidR="00255A46" w:rsidRPr="0017509A" w:rsidRDefault="00255A46" w:rsidP="00255A46">
            <w:pPr>
              <w:jc w:val="left"/>
            </w:pPr>
            <w:r>
              <w:rPr>
                <w:snapToGrid/>
                <w:szCs w:val="24"/>
              </w:rPr>
              <w:t>МВУ ПУИО, регистр «</w:t>
            </w:r>
            <w:r w:rsidRPr="00CB550D">
              <w:rPr>
                <w:snapToGrid/>
                <w:szCs w:val="24"/>
              </w:rPr>
              <w:t>Главная книга</w:t>
            </w:r>
            <w:r>
              <w:rPr>
                <w:snapToGrid/>
                <w:szCs w:val="24"/>
              </w:rPr>
              <w:t>»</w:t>
            </w:r>
          </w:p>
        </w:tc>
      </w:tr>
      <w:tr w:rsidR="00255A46" w:rsidRPr="003821D7" w:rsidTr="00255A46">
        <w:trPr>
          <w:trHeight w:val="1260"/>
        </w:trPr>
        <w:tc>
          <w:tcPr>
            <w:tcW w:w="581" w:type="pct"/>
            <w:shd w:val="clear" w:color="auto" w:fill="auto"/>
          </w:tcPr>
          <w:p w:rsidR="00255A46" w:rsidRPr="0017509A" w:rsidRDefault="00255A46" w:rsidP="00255A46">
            <w:pPr>
              <w:jc w:val="left"/>
            </w:pPr>
            <w:r>
              <w:rPr>
                <w:snapToGrid/>
                <w:szCs w:val="24"/>
              </w:rPr>
              <w:t>6</w:t>
            </w:r>
          </w:p>
        </w:tc>
        <w:tc>
          <w:tcPr>
            <w:tcW w:w="990" w:type="pct"/>
            <w:shd w:val="clear" w:color="auto" w:fill="auto"/>
          </w:tcPr>
          <w:p w:rsidR="00255A46" w:rsidRPr="0017509A" w:rsidRDefault="00255A46" w:rsidP="00255A46">
            <w:pPr>
              <w:jc w:val="left"/>
            </w:pPr>
            <w:r>
              <w:rPr>
                <w:snapToGrid/>
                <w:szCs w:val="24"/>
              </w:rPr>
              <w:t>Дебетовый остаток на начало периода</w:t>
            </w:r>
          </w:p>
        </w:tc>
        <w:tc>
          <w:tcPr>
            <w:tcW w:w="1788" w:type="pct"/>
            <w:shd w:val="clear" w:color="auto" w:fill="auto"/>
          </w:tcPr>
          <w:p w:rsidR="00255A46" w:rsidRPr="0017509A" w:rsidRDefault="00255A46" w:rsidP="00255A46">
            <w:pPr>
              <w:jc w:val="left"/>
            </w:pPr>
            <w:r>
              <w:rPr>
                <w:snapToGrid/>
                <w:szCs w:val="24"/>
              </w:rPr>
              <w:t>Остаток на начало периода</w:t>
            </w:r>
            <w:r w:rsidRPr="00C82768">
              <w:rPr>
                <w:snapToGrid/>
                <w:szCs w:val="24"/>
              </w:rPr>
              <w:t xml:space="preserve"> по дебету по источнику «Главная книга» на выбранную дату по соответствующему счету</w:t>
            </w:r>
          </w:p>
        </w:tc>
        <w:tc>
          <w:tcPr>
            <w:tcW w:w="1642" w:type="pct"/>
            <w:shd w:val="clear" w:color="auto" w:fill="auto"/>
          </w:tcPr>
          <w:p w:rsidR="00255A46" w:rsidRPr="0017509A" w:rsidRDefault="00255A46" w:rsidP="00255A46">
            <w:pPr>
              <w:jc w:val="left"/>
            </w:pPr>
            <w:r w:rsidRPr="00C82768">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Pr="0017509A" w:rsidRDefault="00255A46" w:rsidP="00255A46">
            <w:pPr>
              <w:jc w:val="left"/>
            </w:pPr>
            <w:r>
              <w:rPr>
                <w:snapToGrid/>
                <w:szCs w:val="24"/>
              </w:rPr>
              <w:t>7</w:t>
            </w:r>
          </w:p>
        </w:tc>
        <w:tc>
          <w:tcPr>
            <w:tcW w:w="990" w:type="pct"/>
            <w:shd w:val="clear" w:color="auto" w:fill="auto"/>
          </w:tcPr>
          <w:p w:rsidR="00255A46" w:rsidRPr="0017509A" w:rsidRDefault="00255A46" w:rsidP="00255A46">
            <w:pPr>
              <w:jc w:val="left"/>
            </w:pPr>
            <w:r>
              <w:rPr>
                <w:snapToGrid/>
                <w:szCs w:val="24"/>
              </w:rPr>
              <w:t>Кредитовый остаток на начало периода</w:t>
            </w:r>
          </w:p>
        </w:tc>
        <w:tc>
          <w:tcPr>
            <w:tcW w:w="1788" w:type="pct"/>
            <w:shd w:val="clear" w:color="auto" w:fill="auto"/>
          </w:tcPr>
          <w:p w:rsidR="00255A46" w:rsidRPr="0017509A" w:rsidRDefault="00255A46" w:rsidP="00255A46">
            <w:pPr>
              <w:jc w:val="left"/>
            </w:pPr>
            <w:r>
              <w:rPr>
                <w:snapToGrid/>
                <w:szCs w:val="24"/>
              </w:rPr>
              <w:t>Остаток на начало периода</w:t>
            </w:r>
            <w:r w:rsidRPr="00C82768">
              <w:rPr>
                <w:snapToGrid/>
                <w:szCs w:val="24"/>
              </w:rPr>
              <w:t xml:space="preserve"> по кредиту по источнику «Главная книга» на выбранную дату по соответствующему счету</w:t>
            </w:r>
          </w:p>
        </w:tc>
        <w:tc>
          <w:tcPr>
            <w:tcW w:w="1642" w:type="pct"/>
            <w:shd w:val="clear" w:color="auto" w:fill="auto"/>
          </w:tcPr>
          <w:p w:rsidR="00255A46" w:rsidRPr="0017509A" w:rsidRDefault="00255A46" w:rsidP="00255A46">
            <w:pPr>
              <w:jc w:val="left"/>
            </w:pPr>
            <w:r w:rsidRPr="00C82768">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Pr="0017509A" w:rsidRDefault="00255A46" w:rsidP="00255A46">
            <w:pPr>
              <w:jc w:val="left"/>
            </w:pPr>
            <w:r>
              <w:rPr>
                <w:snapToGrid/>
                <w:szCs w:val="24"/>
              </w:rPr>
              <w:t>8</w:t>
            </w:r>
          </w:p>
        </w:tc>
        <w:tc>
          <w:tcPr>
            <w:tcW w:w="990" w:type="pct"/>
            <w:shd w:val="clear" w:color="auto" w:fill="auto"/>
          </w:tcPr>
          <w:p w:rsidR="00255A46" w:rsidRPr="0017509A" w:rsidRDefault="00255A46" w:rsidP="00255A46">
            <w:pPr>
              <w:jc w:val="left"/>
            </w:pPr>
            <w:r>
              <w:rPr>
                <w:snapToGrid/>
                <w:szCs w:val="24"/>
              </w:rPr>
              <w:t>Свернутый остаток по счету на начало периода</w:t>
            </w:r>
          </w:p>
        </w:tc>
        <w:tc>
          <w:tcPr>
            <w:tcW w:w="1788" w:type="pct"/>
            <w:shd w:val="clear" w:color="auto" w:fill="auto"/>
          </w:tcPr>
          <w:p w:rsidR="00255A46" w:rsidRPr="0017509A" w:rsidRDefault="00255A46" w:rsidP="00255A46">
            <w:pPr>
              <w:jc w:val="left"/>
            </w:pPr>
            <w:r w:rsidRPr="00D51D08">
              <w:rPr>
                <w:snapToGrid/>
                <w:szCs w:val="24"/>
              </w:rPr>
              <w:t>Свернутый остаток на начало периода по источнику «Главная книга» на выбранную дату по соответствующему счету</w:t>
            </w:r>
          </w:p>
        </w:tc>
        <w:tc>
          <w:tcPr>
            <w:tcW w:w="1642" w:type="pct"/>
            <w:shd w:val="clear" w:color="auto" w:fill="auto"/>
          </w:tcPr>
          <w:p w:rsidR="00255A46" w:rsidRPr="0017509A" w:rsidRDefault="00255A46" w:rsidP="00255A46">
            <w:pPr>
              <w:jc w:val="left"/>
            </w:pPr>
            <w:r w:rsidRPr="00D51D08">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Pr="0017509A" w:rsidRDefault="00255A46" w:rsidP="00255A46">
            <w:pPr>
              <w:jc w:val="left"/>
            </w:pPr>
            <w:r>
              <w:rPr>
                <w:snapToGrid/>
                <w:szCs w:val="24"/>
              </w:rPr>
              <w:t>9</w:t>
            </w:r>
          </w:p>
        </w:tc>
        <w:tc>
          <w:tcPr>
            <w:tcW w:w="990" w:type="pct"/>
            <w:shd w:val="clear" w:color="auto" w:fill="auto"/>
          </w:tcPr>
          <w:p w:rsidR="00255A46" w:rsidRPr="0017509A" w:rsidRDefault="00255A46" w:rsidP="00255A46">
            <w:pPr>
              <w:jc w:val="left"/>
            </w:pPr>
            <w:r>
              <w:rPr>
                <w:snapToGrid/>
                <w:szCs w:val="24"/>
              </w:rPr>
              <w:t>Дебетовый оборот за период</w:t>
            </w:r>
          </w:p>
        </w:tc>
        <w:tc>
          <w:tcPr>
            <w:tcW w:w="1788" w:type="pct"/>
            <w:shd w:val="clear" w:color="auto" w:fill="auto"/>
          </w:tcPr>
          <w:p w:rsidR="00255A46" w:rsidRPr="0017509A" w:rsidRDefault="00255A46" w:rsidP="00255A46">
            <w:pPr>
              <w:jc w:val="left"/>
            </w:pPr>
            <w:r w:rsidRPr="004914A8">
              <w:rPr>
                <w:snapToGrid/>
                <w:szCs w:val="24"/>
              </w:rPr>
              <w:t>Оборот за период по дебету по источнику «Главная книга» на выбранную дату по соответствующему счету</w:t>
            </w:r>
          </w:p>
        </w:tc>
        <w:tc>
          <w:tcPr>
            <w:tcW w:w="1642" w:type="pct"/>
            <w:shd w:val="clear" w:color="auto" w:fill="auto"/>
          </w:tcPr>
          <w:p w:rsidR="00255A46" w:rsidRPr="0017509A" w:rsidRDefault="00255A46" w:rsidP="00255A46">
            <w:pPr>
              <w:jc w:val="left"/>
            </w:pPr>
            <w:r>
              <w:rPr>
                <w:snapToGrid/>
                <w:szCs w:val="24"/>
              </w:rPr>
              <w:t>МВУ ПУИО, регистр «</w:t>
            </w:r>
            <w:r w:rsidRPr="004914A8">
              <w:rPr>
                <w:snapToGrid/>
                <w:szCs w:val="24"/>
              </w:rPr>
              <w:t>Главная</w:t>
            </w:r>
            <w:r>
              <w:rPr>
                <w:snapToGrid/>
                <w:szCs w:val="24"/>
              </w:rPr>
              <w:t xml:space="preserve">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10</w:t>
            </w:r>
          </w:p>
        </w:tc>
        <w:tc>
          <w:tcPr>
            <w:tcW w:w="990" w:type="pct"/>
            <w:shd w:val="clear" w:color="auto" w:fill="auto"/>
          </w:tcPr>
          <w:p w:rsidR="00255A46" w:rsidRDefault="00255A46" w:rsidP="00255A46">
            <w:pPr>
              <w:jc w:val="left"/>
              <w:rPr>
                <w:snapToGrid/>
                <w:szCs w:val="24"/>
              </w:rPr>
            </w:pPr>
            <w:r>
              <w:rPr>
                <w:snapToGrid/>
                <w:szCs w:val="24"/>
              </w:rPr>
              <w:t>Кредитовый оборот за период</w:t>
            </w:r>
          </w:p>
        </w:tc>
        <w:tc>
          <w:tcPr>
            <w:tcW w:w="1788" w:type="pct"/>
            <w:shd w:val="clear" w:color="auto" w:fill="auto"/>
          </w:tcPr>
          <w:p w:rsidR="00255A46" w:rsidRPr="004914A8" w:rsidRDefault="00255A46" w:rsidP="00255A46">
            <w:pPr>
              <w:jc w:val="left"/>
              <w:rPr>
                <w:snapToGrid/>
                <w:szCs w:val="24"/>
              </w:rPr>
            </w:pPr>
            <w:r w:rsidRPr="004914A8">
              <w:rPr>
                <w:snapToGrid/>
                <w:szCs w:val="24"/>
              </w:rPr>
              <w:t>Оборот за период по кредиту по источнику «Главная книга» на выбранную дату по соответствующему счету</w:t>
            </w:r>
          </w:p>
        </w:tc>
        <w:tc>
          <w:tcPr>
            <w:tcW w:w="1642" w:type="pct"/>
            <w:shd w:val="clear" w:color="auto" w:fill="auto"/>
          </w:tcPr>
          <w:p w:rsidR="00255A46" w:rsidRDefault="00255A46" w:rsidP="00255A46">
            <w:pPr>
              <w:jc w:val="left"/>
              <w:rPr>
                <w:snapToGrid/>
                <w:szCs w:val="24"/>
              </w:rPr>
            </w:pPr>
            <w:r>
              <w:rPr>
                <w:snapToGrid/>
                <w:szCs w:val="24"/>
              </w:rPr>
              <w:t>МВУ ПУИО, регистр «Главная книга»</w:t>
            </w:r>
          </w:p>
        </w:tc>
      </w:tr>
      <w:tr w:rsidR="00255A46" w:rsidRPr="003821D7" w:rsidTr="00255A46">
        <w:trPr>
          <w:trHeight w:val="1390"/>
        </w:trPr>
        <w:tc>
          <w:tcPr>
            <w:tcW w:w="581" w:type="pct"/>
            <w:shd w:val="clear" w:color="auto" w:fill="auto"/>
          </w:tcPr>
          <w:p w:rsidR="00255A46" w:rsidRDefault="00255A46" w:rsidP="00255A46">
            <w:pPr>
              <w:jc w:val="left"/>
              <w:rPr>
                <w:snapToGrid/>
                <w:szCs w:val="24"/>
              </w:rPr>
            </w:pPr>
            <w:r>
              <w:rPr>
                <w:snapToGrid/>
                <w:szCs w:val="24"/>
              </w:rPr>
              <w:t>11</w:t>
            </w:r>
          </w:p>
        </w:tc>
        <w:tc>
          <w:tcPr>
            <w:tcW w:w="990" w:type="pct"/>
            <w:shd w:val="clear" w:color="auto" w:fill="auto"/>
          </w:tcPr>
          <w:p w:rsidR="00255A46" w:rsidRDefault="00255A46" w:rsidP="00255A46">
            <w:pPr>
              <w:jc w:val="left"/>
              <w:rPr>
                <w:snapToGrid/>
                <w:szCs w:val="24"/>
              </w:rPr>
            </w:pPr>
            <w:r>
              <w:rPr>
                <w:snapToGrid/>
                <w:szCs w:val="24"/>
              </w:rPr>
              <w:t>Дебетовый оборот за период с начала года</w:t>
            </w:r>
          </w:p>
        </w:tc>
        <w:tc>
          <w:tcPr>
            <w:tcW w:w="1788" w:type="pct"/>
            <w:shd w:val="clear" w:color="auto" w:fill="auto"/>
          </w:tcPr>
          <w:p w:rsidR="00255A46" w:rsidRPr="004914A8" w:rsidRDefault="00255A46" w:rsidP="00255A46">
            <w:pPr>
              <w:jc w:val="left"/>
              <w:rPr>
                <w:snapToGrid/>
                <w:szCs w:val="24"/>
              </w:rPr>
            </w:pPr>
            <w:r w:rsidRPr="004C74E9">
              <w:rPr>
                <w:snapToGrid/>
                <w:szCs w:val="24"/>
              </w:rPr>
              <w:t>Оборот за период с начала года по дебету по источнику «Главная книга» на выбранную дату по соответствующему счету</w:t>
            </w:r>
          </w:p>
        </w:tc>
        <w:tc>
          <w:tcPr>
            <w:tcW w:w="1642" w:type="pct"/>
            <w:shd w:val="clear" w:color="auto" w:fill="auto"/>
          </w:tcPr>
          <w:p w:rsidR="00255A46" w:rsidRDefault="00255A46" w:rsidP="00255A46">
            <w:pPr>
              <w:jc w:val="left"/>
              <w:rPr>
                <w:snapToGrid/>
                <w:szCs w:val="24"/>
              </w:rPr>
            </w:pPr>
            <w:r w:rsidRPr="004C74E9">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12</w:t>
            </w:r>
          </w:p>
        </w:tc>
        <w:tc>
          <w:tcPr>
            <w:tcW w:w="990" w:type="pct"/>
            <w:shd w:val="clear" w:color="auto" w:fill="auto"/>
          </w:tcPr>
          <w:p w:rsidR="00255A46" w:rsidRDefault="00255A46" w:rsidP="00255A46">
            <w:pPr>
              <w:jc w:val="left"/>
              <w:rPr>
                <w:snapToGrid/>
                <w:szCs w:val="24"/>
              </w:rPr>
            </w:pPr>
            <w:r>
              <w:rPr>
                <w:snapToGrid/>
                <w:szCs w:val="24"/>
              </w:rPr>
              <w:t>Кредитовый оборот за период с начала года</w:t>
            </w:r>
          </w:p>
        </w:tc>
        <w:tc>
          <w:tcPr>
            <w:tcW w:w="1788" w:type="pct"/>
            <w:shd w:val="clear" w:color="auto" w:fill="auto"/>
          </w:tcPr>
          <w:p w:rsidR="00255A46" w:rsidRPr="004914A8" w:rsidRDefault="00255A46" w:rsidP="00255A46">
            <w:pPr>
              <w:jc w:val="left"/>
              <w:rPr>
                <w:snapToGrid/>
                <w:szCs w:val="24"/>
              </w:rPr>
            </w:pPr>
            <w:r w:rsidRPr="004C74E9">
              <w:rPr>
                <w:snapToGrid/>
                <w:szCs w:val="24"/>
              </w:rPr>
              <w:t>Оборот за период с начала года по кредиту по источнику «Главная книга» на выбранную дату по соответствующему счету</w:t>
            </w:r>
          </w:p>
        </w:tc>
        <w:tc>
          <w:tcPr>
            <w:tcW w:w="1642" w:type="pct"/>
            <w:shd w:val="clear" w:color="auto" w:fill="auto"/>
          </w:tcPr>
          <w:p w:rsidR="00255A46" w:rsidRDefault="00255A46" w:rsidP="00255A46">
            <w:pPr>
              <w:jc w:val="left"/>
              <w:rPr>
                <w:snapToGrid/>
                <w:szCs w:val="24"/>
              </w:rPr>
            </w:pPr>
            <w:r w:rsidRPr="004C74E9">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13</w:t>
            </w:r>
          </w:p>
        </w:tc>
        <w:tc>
          <w:tcPr>
            <w:tcW w:w="990" w:type="pct"/>
            <w:shd w:val="clear" w:color="auto" w:fill="auto"/>
          </w:tcPr>
          <w:p w:rsidR="00255A46" w:rsidRDefault="00255A46" w:rsidP="00255A46">
            <w:pPr>
              <w:jc w:val="left"/>
              <w:rPr>
                <w:snapToGrid/>
                <w:szCs w:val="24"/>
              </w:rPr>
            </w:pPr>
            <w:r>
              <w:rPr>
                <w:snapToGrid/>
                <w:szCs w:val="24"/>
              </w:rPr>
              <w:t>Дебетовый остаток на конец периода</w:t>
            </w:r>
          </w:p>
        </w:tc>
        <w:tc>
          <w:tcPr>
            <w:tcW w:w="1788" w:type="pct"/>
            <w:shd w:val="clear" w:color="auto" w:fill="auto"/>
          </w:tcPr>
          <w:p w:rsidR="00255A46" w:rsidRPr="004914A8" w:rsidRDefault="00255A46" w:rsidP="00255A46">
            <w:pPr>
              <w:jc w:val="left"/>
              <w:rPr>
                <w:snapToGrid/>
                <w:szCs w:val="24"/>
              </w:rPr>
            </w:pPr>
            <w:r w:rsidRPr="004914A8">
              <w:rPr>
                <w:snapToGrid/>
                <w:szCs w:val="24"/>
              </w:rPr>
              <w:t xml:space="preserve">Остаток на конец периода по дебету по источнику «Главная книга» на выбранную дату по соответствующему счету </w:t>
            </w:r>
          </w:p>
        </w:tc>
        <w:tc>
          <w:tcPr>
            <w:tcW w:w="1642" w:type="pct"/>
            <w:shd w:val="clear" w:color="auto" w:fill="auto"/>
          </w:tcPr>
          <w:p w:rsidR="00255A46" w:rsidRDefault="00255A46" w:rsidP="00255A46">
            <w:pPr>
              <w:jc w:val="left"/>
              <w:rPr>
                <w:snapToGrid/>
                <w:szCs w:val="24"/>
              </w:rPr>
            </w:pPr>
            <w:r>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14</w:t>
            </w:r>
          </w:p>
        </w:tc>
        <w:tc>
          <w:tcPr>
            <w:tcW w:w="990" w:type="pct"/>
            <w:shd w:val="clear" w:color="auto" w:fill="auto"/>
          </w:tcPr>
          <w:p w:rsidR="00255A46" w:rsidRDefault="00255A46" w:rsidP="00255A46">
            <w:pPr>
              <w:jc w:val="left"/>
              <w:rPr>
                <w:snapToGrid/>
                <w:szCs w:val="24"/>
              </w:rPr>
            </w:pPr>
            <w:r>
              <w:rPr>
                <w:snapToGrid/>
                <w:szCs w:val="24"/>
              </w:rPr>
              <w:t>Кредитовый остаток на конец периода</w:t>
            </w:r>
          </w:p>
        </w:tc>
        <w:tc>
          <w:tcPr>
            <w:tcW w:w="1788" w:type="pct"/>
            <w:shd w:val="clear" w:color="auto" w:fill="auto"/>
          </w:tcPr>
          <w:p w:rsidR="00255A46" w:rsidRPr="004914A8" w:rsidRDefault="00255A46" w:rsidP="00255A46">
            <w:pPr>
              <w:jc w:val="left"/>
              <w:rPr>
                <w:snapToGrid/>
                <w:szCs w:val="24"/>
              </w:rPr>
            </w:pPr>
            <w:r w:rsidRPr="004914A8">
              <w:rPr>
                <w:snapToGrid/>
                <w:szCs w:val="24"/>
              </w:rPr>
              <w:t xml:space="preserve">Остаток на конец периода по кредиту по источнику «Главная книга» на выбранную дату по соответствующему счету </w:t>
            </w:r>
          </w:p>
        </w:tc>
        <w:tc>
          <w:tcPr>
            <w:tcW w:w="1642" w:type="pct"/>
            <w:shd w:val="clear" w:color="auto" w:fill="auto"/>
          </w:tcPr>
          <w:p w:rsidR="00255A46" w:rsidRDefault="00255A46" w:rsidP="00255A46">
            <w:pPr>
              <w:jc w:val="left"/>
              <w:rPr>
                <w:snapToGrid/>
                <w:szCs w:val="24"/>
              </w:rPr>
            </w:pPr>
            <w:r w:rsidRPr="004914A8">
              <w:rPr>
                <w:snapToGrid/>
                <w:szCs w:val="24"/>
              </w:rPr>
              <w:t>МВУ ПУИ</w:t>
            </w:r>
            <w:r>
              <w:rPr>
                <w:snapToGrid/>
                <w:szCs w:val="24"/>
              </w:rPr>
              <w:t>О, регистр «Главная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15</w:t>
            </w:r>
          </w:p>
        </w:tc>
        <w:tc>
          <w:tcPr>
            <w:tcW w:w="990" w:type="pct"/>
            <w:shd w:val="clear" w:color="auto" w:fill="auto"/>
          </w:tcPr>
          <w:p w:rsidR="00255A46" w:rsidRDefault="00255A46" w:rsidP="00255A46">
            <w:pPr>
              <w:jc w:val="left"/>
              <w:rPr>
                <w:snapToGrid/>
                <w:szCs w:val="24"/>
              </w:rPr>
            </w:pPr>
            <w:r w:rsidRPr="00C13E01">
              <w:rPr>
                <w:snapToGrid/>
                <w:szCs w:val="24"/>
              </w:rPr>
              <w:t xml:space="preserve">Свернутый остаток по счету </w:t>
            </w:r>
            <w:r>
              <w:rPr>
                <w:snapToGrid/>
                <w:szCs w:val="24"/>
              </w:rPr>
              <w:t>на конец периода</w:t>
            </w:r>
          </w:p>
        </w:tc>
        <w:tc>
          <w:tcPr>
            <w:tcW w:w="1788" w:type="pct"/>
            <w:shd w:val="clear" w:color="auto" w:fill="auto"/>
          </w:tcPr>
          <w:p w:rsidR="00255A46" w:rsidRPr="004914A8" w:rsidRDefault="00255A46" w:rsidP="00255A46">
            <w:pPr>
              <w:jc w:val="left"/>
              <w:rPr>
                <w:snapToGrid/>
                <w:szCs w:val="24"/>
              </w:rPr>
            </w:pPr>
            <w:r w:rsidRPr="00C13E01">
              <w:rPr>
                <w:snapToGrid/>
                <w:szCs w:val="24"/>
              </w:rPr>
              <w:t>Свернутый о</w:t>
            </w:r>
            <w:r>
              <w:rPr>
                <w:snapToGrid/>
                <w:szCs w:val="24"/>
              </w:rPr>
              <w:t xml:space="preserve">статок на конец периода </w:t>
            </w:r>
            <w:r w:rsidRPr="00C13E01">
              <w:rPr>
                <w:snapToGrid/>
                <w:szCs w:val="24"/>
              </w:rPr>
              <w:t>по источнику</w:t>
            </w:r>
            <w:r>
              <w:rPr>
                <w:snapToGrid/>
                <w:szCs w:val="24"/>
              </w:rPr>
              <w:t xml:space="preserve"> «Главная книга» </w:t>
            </w:r>
            <w:r w:rsidRPr="00C13E01">
              <w:rPr>
                <w:snapToGrid/>
                <w:szCs w:val="24"/>
              </w:rPr>
              <w:t>на выбранную дату по соответствующему счету</w:t>
            </w:r>
          </w:p>
        </w:tc>
        <w:tc>
          <w:tcPr>
            <w:tcW w:w="1642" w:type="pct"/>
            <w:shd w:val="clear" w:color="auto" w:fill="auto"/>
          </w:tcPr>
          <w:p w:rsidR="00255A46" w:rsidRDefault="00255A46" w:rsidP="00255A46">
            <w:pPr>
              <w:jc w:val="left"/>
              <w:rPr>
                <w:snapToGrid/>
                <w:szCs w:val="24"/>
              </w:rPr>
            </w:pPr>
            <w:r>
              <w:rPr>
                <w:snapToGrid/>
                <w:szCs w:val="24"/>
              </w:rPr>
              <w:t>МВУ ПУИО, регистр «</w:t>
            </w:r>
            <w:r w:rsidRPr="004914A8">
              <w:rPr>
                <w:snapToGrid/>
                <w:szCs w:val="24"/>
              </w:rPr>
              <w:t>Главная книга</w:t>
            </w:r>
            <w:r>
              <w:rPr>
                <w:snapToGrid/>
                <w:szCs w:val="24"/>
              </w:rPr>
              <w:t>»</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16</w:t>
            </w:r>
          </w:p>
        </w:tc>
        <w:tc>
          <w:tcPr>
            <w:tcW w:w="990" w:type="pct"/>
            <w:shd w:val="clear" w:color="auto" w:fill="auto"/>
          </w:tcPr>
          <w:p w:rsidR="00255A46" w:rsidRDefault="00255A46" w:rsidP="00255A46">
            <w:pPr>
              <w:jc w:val="left"/>
              <w:rPr>
                <w:snapToGrid/>
                <w:szCs w:val="24"/>
              </w:rPr>
            </w:pPr>
            <w:r>
              <w:rPr>
                <w:snapToGrid/>
                <w:szCs w:val="24"/>
              </w:rPr>
              <w:t>Номер журнала операций</w:t>
            </w:r>
          </w:p>
        </w:tc>
        <w:tc>
          <w:tcPr>
            <w:tcW w:w="1788" w:type="pct"/>
            <w:shd w:val="clear" w:color="auto" w:fill="auto"/>
          </w:tcPr>
          <w:p w:rsidR="00255A46" w:rsidRPr="004914A8" w:rsidRDefault="00255A46" w:rsidP="00255A46">
            <w:pPr>
              <w:jc w:val="left"/>
              <w:rPr>
                <w:snapToGrid/>
                <w:szCs w:val="24"/>
              </w:rPr>
            </w:pPr>
            <w:r w:rsidRPr="007A0EA8">
              <w:rPr>
                <w:snapToGrid/>
                <w:szCs w:val="24"/>
              </w:rPr>
              <w:t xml:space="preserve">Номер журнала операций по источнику </w:t>
            </w:r>
            <w:r>
              <w:rPr>
                <w:snapToGrid/>
                <w:szCs w:val="24"/>
              </w:rPr>
              <w:t>«</w:t>
            </w:r>
            <w:r w:rsidRPr="007A0EA8">
              <w:rPr>
                <w:snapToGrid/>
                <w:szCs w:val="24"/>
              </w:rPr>
              <w:t>Главная книга</w:t>
            </w:r>
            <w:r>
              <w:rPr>
                <w:snapToGrid/>
                <w:szCs w:val="24"/>
              </w:rPr>
              <w:t>»</w:t>
            </w:r>
          </w:p>
        </w:tc>
        <w:tc>
          <w:tcPr>
            <w:tcW w:w="1642" w:type="pct"/>
            <w:shd w:val="clear" w:color="auto" w:fill="auto"/>
          </w:tcPr>
          <w:p w:rsidR="00255A46" w:rsidRDefault="00255A46" w:rsidP="00255A46">
            <w:pPr>
              <w:jc w:val="left"/>
              <w:rPr>
                <w:snapToGrid/>
                <w:szCs w:val="24"/>
              </w:rPr>
            </w:pPr>
            <w:r w:rsidRPr="007A0EA8">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Default="00255A46" w:rsidP="00255A46">
            <w:pPr>
              <w:jc w:val="left"/>
              <w:rPr>
                <w:snapToGrid/>
                <w:szCs w:val="24"/>
              </w:rPr>
            </w:pPr>
            <w:r>
              <w:rPr>
                <w:snapToGrid/>
                <w:szCs w:val="24"/>
              </w:rPr>
              <w:t>17</w:t>
            </w:r>
          </w:p>
        </w:tc>
        <w:tc>
          <w:tcPr>
            <w:tcW w:w="990" w:type="pct"/>
            <w:shd w:val="clear" w:color="auto" w:fill="auto"/>
          </w:tcPr>
          <w:p w:rsidR="00255A46" w:rsidRDefault="00255A46" w:rsidP="00255A46">
            <w:pPr>
              <w:jc w:val="left"/>
              <w:rPr>
                <w:snapToGrid/>
                <w:szCs w:val="24"/>
              </w:rPr>
            </w:pPr>
            <w:r>
              <w:rPr>
                <w:snapToGrid/>
                <w:szCs w:val="24"/>
              </w:rPr>
              <w:t>Уровень</w:t>
            </w:r>
          </w:p>
        </w:tc>
        <w:tc>
          <w:tcPr>
            <w:tcW w:w="1788" w:type="pct"/>
            <w:shd w:val="clear" w:color="auto" w:fill="auto"/>
          </w:tcPr>
          <w:p w:rsidR="00255A46" w:rsidRPr="007A0EA8" w:rsidRDefault="00255A46" w:rsidP="00255A46">
            <w:pPr>
              <w:jc w:val="left"/>
              <w:rPr>
                <w:snapToGrid/>
                <w:szCs w:val="24"/>
              </w:rPr>
            </w:pPr>
            <w:r>
              <w:rPr>
                <w:snapToGrid/>
                <w:szCs w:val="24"/>
              </w:rPr>
              <w:t>Уровень иерархии по источнику «Главная книга»</w:t>
            </w:r>
          </w:p>
        </w:tc>
        <w:tc>
          <w:tcPr>
            <w:tcW w:w="1642" w:type="pct"/>
            <w:shd w:val="clear" w:color="auto" w:fill="auto"/>
          </w:tcPr>
          <w:p w:rsidR="00255A46" w:rsidRPr="007A0EA8" w:rsidRDefault="00255A46" w:rsidP="00255A46">
            <w:pPr>
              <w:jc w:val="left"/>
              <w:rPr>
                <w:snapToGrid/>
                <w:szCs w:val="24"/>
              </w:rPr>
            </w:pPr>
            <w:r w:rsidRPr="007A0EA8">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Pr="005575B4" w:rsidRDefault="00255A46" w:rsidP="00255A46">
            <w:pPr>
              <w:jc w:val="left"/>
              <w:rPr>
                <w:bCs/>
                <w:snapToGrid/>
                <w:szCs w:val="24"/>
              </w:rPr>
            </w:pPr>
            <w:r w:rsidRPr="005575B4">
              <w:rPr>
                <w:bCs/>
                <w:snapToGrid/>
                <w:szCs w:val="24"/>
              </w:rPr>
              <w:t>18</w:t>
            </w:r>
          </w:p>
        </w:tc>
        <w:tc>
          <w:tcPr>
            <w:tcW w:w="990" w:type="pct"/>
            <w:shd w:val="clear" w:color="auto" w:fill="auto"/>
          </w:tcPr>
          <w:p w:rsidR="00255A46" w:rsidRDefault="00255A46" w:rsidP="00255A46">
            <w:pPr>
              <w:jc w:val="left"/>
              <w:rPr>
                <w:b/>
                <w:bCs/>
                <w:snapToGrid/>
                <w:szCs w:val="24"/>
              </w:rPr>
            </w:pPr>
            <w:r w:rsidRPr="00EA6E3D">
              <w:rPr>
                <w:snapToGrid/>
                <w:szCs w:val="24"/>
              </w:rPr>
              <w:t xml:space="preserve">Индикатор проверки по Приказу </w:t>
            </w:r>
            <w:r>
              <w:rPr>
                <w:snapToGrid/>
                <w:szCs w:val="24"/>
              </w:rPr>
              <w:t>Минфина РФ на текущий год</w:t>
            </w:r>
            <w:r w:rsidRPr="00EA6E3D">
              <w:rPr>
                <w:snapToGrid/>
                <w:szCs w:val="24"/>
              </w:rPr>
              <w:t xml:space="preserve"> </w:t>
            </w:r>
          </w:p>
        </w:tc>
        <w:tc>
          <w:tcPr>
            <w:tcW w:w="1788" w:type="pct"/>
            <w:shd w:val="clear" w:color="auto" w:fill="auto"/>
          </w:tcPr>
          <w:p w:rsidR="00255A46" w:rsidRPr="003821D7" w:rsidRDefault="00255A46" w:rsidP="00255A46">
            <w:pPr>
              <w:jc w:val="left"/>
              <w:rPr>
                <w:b/>
                <w:bCs/>
                <w:snapToGrid/>
                <w:szCs w:val="24"/>
              </w:rPr>
            </w:pPr>
            <w:r w:rsidRPr="00ED1A82">
              <w:rPr>
                <w:szCs w:val="24"/>
              </w:rPr>
              <w:t>Индик</w:t>
            </w:r>
            <w:r>
              <w:rPr>
                <w:szCs w:val="24"/>
              </w:rPr>
              <w:t>атор зеленый – «Соответствует»</w:t>
            </w:r>
            <w:r w:rsidRPr="00ED1A82">
              <w:rPr>
                <w:szCs w:val="24"/>
              </w:rPr>
              <w:t>, индикатор красный</w:t>
            </w:r>
            <w:r>
              <w:rPr>
                <w:szCs w:val="24"/>
              </w:rPr>
              <w:t xml:space="preserve"> – «</w:t>
            </w:r>
            <w:r w:rsidRPr="00ED1A82">
              <w:rPr>
                <w:szCs w:val="24"/>
              </w:rPr>
              <w:t>Не соответствует</w:t>
            </w:r>
            <w:r>
              <w:rPr>
                <w:szCs w:val="24"/>
              </w:rPr>
              <w:t>»</w:t>
            </w:r>
            <w:r w:rsidRPr="00ED1A82">
              <w:rPr>
                <w:szCs w:val="24"/>
              </w:rPr>
              <w:t xml:space="preserve"> (проводится сравнение типа КБК для счета по Приказу 162н с типом КБК для счета в данных главной книги на 3 и 4 уровн</w:t>
            </w:r>
            <w:r>
              <w:rPr>
                <w:szCs w:val="24"/>
              </w:rPr>
              <w:t>ях</w:t>
            </w:r>
            <w:r w:rsidRPr="00ED1A82">
              <w:rPr>
                <w:szCs w:val="24"/>
              </w:rPr>
              <w:t xml:space="preserve"> иерархии)</w:t>
            </w:r>
          </w:p>
        </w:tc>
        <w:tc>
          <w:tcPr>
            <w:tcW w:w="1642" w:type="pct"/>
            <w:shd w:val="clear" w:color="auto" w:fill="auto"/>
          </w:tcPr>
          <w:p w:rsidR="00255A46" w:rsidRPr="003821D7" w:rsidRDefault="00255A46" w:rsidP="00255A46">
            <w:pPr>
              <w:jc w:val="left"/>
              <w:rPr>
                <w:b/>
                <w:bCs/>
                <w:snapToGrid/>
                <w:szCs w:val="24"/>
              </w:rPr>
            </w:pPr>
            <w:r>
              <w:rPr>
                <w:snapToGrid/>
                <w:szCs w:val="24"/>
              </w:rPr>
              <w:t>МВУ ПУИО, регистр «</w:t>
            </w:r>
            <w:r w:rsidRPr="004914A8">
              <w:rPr>
                <w:snapToGrid/>
                <w:szCs w:val="24"/>
              </w:rPr>
              <w:t>Главная книга</w:t>
            </w:r>
            <w:r>
              <w:rPr>
                <w:snapToGrid/>
                <w:szCs w:val="24"/>
              </w:rPr>
              <w:t>»</w:t>
            </w:r>
          </w:p>
        </w:tc>
      </w:tr>
      <w:tr w:rsidR="00255A46" w:rsidRPr="003821D7" w:rsidTr="00255A46">
        <w:trPr>
          <w:trHeight w:val="1924"/>
        </w:trPr>
        <w:tc>
          <w:tcPr>
            <w:tcW w:w="581" w:type="pct"/>
            <w:shd w:val="clear" w:color="auto" w:fill="auto"/>
          </w:tcPr>
          <w:p w:rsidR="00255A46" w:rsidRPr="005575B4" w:rsidRDefault="00255A46" w:rsidP="00255A46">
            <w:pPr>
              <w:jc w:val="left"/>
              <w:rPr>
                <w:bCs/>
                <w:snapToGrid/>
                <w:szCs w:val="24"/>
              </w:rPr>
            </w:pPr>
            <w:r w:rsidRPr="005575B4">
              <w:rPr>
                <w:bCs/>
                <w:snapToGrid/>
                <w:szCs w:val="24"/>
              </w:rPr>
              <w:t>19</w:t>
            </w:r>
          </w:p>
        </w:tc>
        <w:tc>
          <w:tcPr>
            <w:tcW w:w="990" w:type="pct"/>
            <w:shd w:val="clear" w:color="auto" w:fill="auto"/>
          </w:tcPr>
          <w:p w:rsidR="00255A46" w:rsidRDefault="00255A46" w:rsidP="00255A46">
            <w:pPr>
              <w:jc w:val="left"/>
              <w:rPr>
                <w:b/>
                <w:bCs/>
                <w:snapToGrid/>
                <w:szCs w:val="24"/>
              </w:rPr>
            </w:pPr>
            <w:r>
              <w:rPr>
                <w:snapToGrid/>
                <w:szCs w:val="24"/>
              </w:rPr>
              <w:t xml:space="preserve">Приказ </w:t>
            </w:r>
            <w:r w:rsidRPr="001857DC">
              <w:rPr>
                <w:snapToGrid/>
                <w:szCs w:val="24"/>
              </w:rPr>
              <w:t>Минфина РФ на текущий год</w:t>
            </w:r>
          </w:p>
        </w:tc>
        <w:tc>
          <w:tcPr>
            <w:tcW w:w="1788" w:type="pct"/>
            <w:shd w:val="clear" w:color="auto" w:fill="auto"/>
          </w:tcPr>
          <w:p w:rsidR="00255A46" w:rsidRPr="003821D7" w:rsidRDefault="00255A46" w:rsidP="00255A46">
            <w:pPr>
              <w:jc w:val="left"/>
              <w:rPr>
                <w:b/>
                <w:bCs/>
                <w:snapToGrid/>
                <w:szCs w:val="24"/>
              </w:rPr>
            </w:pPr>
            <w:r w:rsidRPr="00557008">
              <w:rPr>
                <w:snapToGrid/>
                <w:szCs w:val="24"/>
              </w:rPr>
              <w:t>Определяется тип КБК для счета на основании Приказа 162н (гКБК, КРБ, КДБ, КИФ)</w:t>
            </w:r>
          </w:p>
        </w:tc>
        <w:tc>
          <w:tcPr>
            <w:tcW w:w="1642" w:type="pct"/>
            <w:shd w:val="clear" w:color="auto" w:fill="auto"/>
          </w:tcPr>
          <w:p w:rsidR="00255A46" w:rsidRPr="003821D7" w:rsidRDefault="00255A46" w:rsidP="00255A46">
            <w:pPr>
              <w:jc w:val="left"/>
              <w:rPr>
                <w:b/>
                <w:bCs/>
                <w:snapToGrid/>
                <w:szCs w:val="24"/>
              </w:rPr>
            </w:pPr>
            <w: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jc w:val="left"/>
              <w:rPr>
                <w:bCs/>
                <w:snapToGrid/>
                <w:szCs w:val="24"/>
              </w:rPr>
            </w:pPr>
            <w:r w:rsidRPr="005575B4">
              <w:rPr>
                <w:bCs/>
                <w:snapToGrid/>
                <w:szCs w:val="24"/>
              </w:rPr>
              <w:t>20</w:t>
            </w:r>
          </w:p>
        </w:tc>
        <w:tc>
          <w:tcPr>
            <w:tcW w:w="990" w:type="pct"/>
            <w:shd w:val="clear" w:color="auto" w:fill="auto"/>
          </w:tcPr>
          <w:p w:rsidR="00255A46" w:rsidRDefault="00255A46" w:rsidP="00255A46">
            <w:pPr>
              <w:jc w:val="left"/>
              <w:rPr>
                <w:b/>
                <w:bCs/>
                <w:snapToGrid/>
                <w:szCs w:val="24"/>
              </w:rPr>
            </w:pPr>
            <w:r>
              <w:rPr>
                <w:snapToGrid/>
                <w:szCs w:val="24"/>
              </w:rPr>
              <w:t>Индикатор проверки по Приказу ФК РФ на текущий год</w:t>
            </w:r>
          </w:p>
        </w:tc>
        <w:tc>
          <w:tcPr>
            <w:tcW w:w="1788" w:type="pct"/>
            <w:shd w:val="clear" w:color="auto" w:fill="auto"/>
          </w:tcPr>
          <w:p w:rsidR="00255A46" w:rsidRPr="003821D7" w:rsidRDefault="00255A46" w:rsidP="00255A46">
            <w:pPr>
              <w:jc w:val="left"/>
              <w:rPr>
                <w:b/>
                <w:bCs/>
                <w:snapToGrid/>
                <w:szCs w:val="24"/>
              </w:rPr>
            </w:pPr>
            <w:r w:rsidRPr="001B6C8A">
              <w:rPr>
                <w:szCs w:val="24"/>
              </w:rPr>
              <w:t>Индикатор зеленый</w:t>
            </w:r>
            <w:r>
              <w:rPr>
                <w:szCs w:val="24"/>
              </w:rPr>
              <w:t xml:space="preserve"> – «</w:t>
            </w:r>
            <w:r w:rsidRPr="001B6C8A">
              <w:rPr>
                <w:szCs w:val="24"/>
              </w:rPr>
              <w:t>Соответствует</w:t>
            </w:r>
            <w:r>
              <w:rPr>
                <w:szCs w:val="24"/>
              </w:rPr>
              <w:t>»</w:t>
            </w:r>
            <w:r w:rsidRPr="001B6C8A">
              <w:rPr>
                <w:szCs w:val="24"/>
              </w:rPr>
              <w:t>, индикатор красный</w:t>
            </w:r>
            <w:r>
              <w:rPr>
                <w:szCs w:val="24"/>
              </w:rPr>
              <w:t xml:space="preserve"> – «</w:t>
            </w:r>
            <w:r w:rsidRPr="001B6C8A">
              <w:rPr>
                <w:szCs w:val="24"/>
              </w:rPr>
              <w:t>Не соответствует</w:t>
            </w:r>
            <w:r>
              <w:rPr>
                <w:szCs w:val="24"/>
              </w:rPr>
              <w:t>»</w:t>
            </w:r>
            <w:r w:rsidRPr="001B6C8A">
              <w:rPr>
                <w:szCs w:val="24"/>
              </w:rPr>
              <w:t xml:space="preserve"> (проводится сравнение </w:t>
            </w:r>
            <w:r>
              <w:rPr>
                <w:szCs w:val="24"/>
              </w:rPr>
              <w:t>типа КБК для счета по Приказу 41</w:t>
            </w:r>
            <w:r w:rsidRPr="001B6C8A">
              <w:rPr>
                <w:szCs w:val="24"/>
              </w:rPr>
              <w:t>н с типом КБК для счета в данн</w:t>
            </w:r>
            <w:r>
              <w:rPr>
                <w:szCs w:val="24"/>
              </w:rPr>
              <w:t>ых главной книги на 3 и 4 уровнях</w:t>
            </w:r>
            <w:r w:rsidRPr="001B6C8A">
              <w:rPr>
                <w:szCs w:val="24"/>
              </w:rPr>
              <w:t xml:space="preserve"> иерархии)</w:t>
            </w:r>
          </w:p>
        </w:tc>
        <w:tc>
          <w:tcPr>
            <w:tcW w:w="1642" w:type="pct"/>
            <w:shd w:val="clear" w:color="auto" w:fill="auto"/>
          </w:tcPr>
          <w:p w:rsidR="00255A46" w:rsidRDefault="00255A46" w:rsidP="00255A46">
            <w:pPr>
              <w:jc w:val="left"/>
              <w:rPr>
                <w:snapToGrid/>
                <w:szCs w:val="24"/>
              </w:rPr>
            </w:pPr>
            <w:r w:rsidRPr="00C13E01">
              <w:rPr>
                <w:snapToGrid/>
                <w:szCs w:val="24"/>
              </w:rPr>
              <w:t xml:space="preserve">МВУ ПУИО, регистр </w:t>
            </w:r>
            <w:r>
              <w:rPr>
                <w:snapToGrid/>
                <w:szCs w:val="24"/>
              </w:rPr>
              <w:t xml:space="preserve">«Главная книга», </w:t>
            </w:r>
          </w:p>
          <w:p w:rsidR="00255A46" w:rsidRPr="003821D7" w:rsidRDefault="00255A46" w:rsidP="00255A46">
            <w:pPr>
              <w:jc w:val="left"/>
              <w:rPr>
                <w:b/>
                <w:bCs/>
                <w:snapToGrid/>
                <w:szCs w:val="24"/>
              </w:rPr>
            </w:pPr>
            <w:r>
              <w:t>регистр «Рабочий план счетов ФК»</w:t>
            </w:r>
          </w:p>
        </w:tc>
      </w:tr>
      <w:tr w:rsidR="00255A46" w:rsidRPr="003821D7" w:rsidTr="00255A46">
        <w:trPr>
          <w:trHeight w:val="1260"/>
        </w:trPr>
        <w:tc>
          <w:tcPr>
            <w:tcW w:w="581" w:type="pct"/>
            <w:shd w:val="clear" w:color="auto" w:fill="auto"/>
          </w:tcPr>
          <w:p w:rsidR="00255A46" w:rsidRPr="005575B4" w:rsidRDefault="00255A46" w:rsidP="00255A46">
            <w:pPr>
              <w:jc w:val="left"/>
              <w:rPr>
                <w:bCs/>
                <w:snapToGrid/>
                <w:szCs w:val="24"/>
              </w:rPr>
            </w:pPr>
            <w:r w:rsidRPr="005575B4">
              <w:rPr>
                <w:bCs/>
                <w:snapToGrid/>
                <w:szCs w:val="24"/>
              </w:rPr>
              <w:t>21</w:t>
            </w:r>
          </w:p>
        </w:tc>
        <w:tc>
          <w:tcPr>
            <w:tcW w:w="990" w:type="pct"/>
            <w:shd w:val="clear" w:color="auto" w:fill="auto"/>
          </w:tcPr>
          <w:p w:rsidR="00255A46" w:rsidRPr="003821D7" w:rsidRDefault="00255A46" w:rsidP="00255A46">
            <w:pPr>
              <w:jc w:val="left"/>
              <w:rPr>
                <w:snapToGrid/>
                <w:szCs w:val="24"/>
              </w:rPr>
            </w:pPr>
            <w:r>
              <w:rPr>
                <w:snapToGrid/>
                <w:szCs w:val="24"/>
              </w:rPr>
              <w:t>Приказ ФК РФ на текущий год</w:t>
            </w:r>
          </w:p>
        </w:tc>
        <w:tc>
          <w:tcPr>
            <w:tcW w:w="1788" w:type="pct"/>
            <w:shd w:val="clear" w:color="auto" w:fill="auto"/>
          </w:tcPr>
          <w:p w:rsidR="00255A46" w:rsidRPr="003821D7" w:rsidRDefault="00255A46" w:rsidP="00255A46">
            <w:pPr>
              <w:jc w:val="left"/>
              <w:rPr>
                <w:snapToGrid/>
                <w:szCs w:val="24"/>
              </w:rPr>
            </w:pPr>
            <w:r w:rsidRPr="001B6C8A">
              <w:rPr>
                <w:snapToGrid/>
                <w:szCs w:val="24"/>
              </w:rPr>
              <w:t>Определяется тип КБК д</w:t>
            </w:r>
            <w:r>
              <w:rPr>
                <w:snapToGrid/>
                <w:szCs w:val="24"/>
              </w:rPr>
              <w:t>ля счета на основании Приказа 41</w:t>
            </w:r>
            <w:r w:rsidRPr="001B6C8A">
              <w:rPr>
                <w:snapToGrid/>
                <w:szCs w:val="24"/>
              </w:rPr>
              <w:t>н (гКБК, КРБ, КДБ, КИФ)</w:t>
            </w:r>
          </w:p>
        </w:tc>
        <w:tc>
          <w:tcPr>
            <w:tcW w:w="1642" w:type="pct"/>
            <w:shd w:val="clear" w:color="auto" w:fill="auto"/>
          </w:tcPr>
          <w:p w:rsidR="00255A46" w:rsidRPr="003821D7" w:rsidRDefault="00255A46" w:rsidP="00255A46">
            <w:pPr>
              <w:jc w:val="left"/>
              <w:rPr>
                <w:snapToGrid/>
                <w:szCs w:val="24"/>
              </w:rPr>
            </w:pPr>
            <w:r>
              <w:t>регистр «Рабочий план счетов ФК»</w:t>
            </w:r>
          </w:p>
        </w:tc>
      </w:tr>
      <w:tr w:rsidR="00255A46" w:rsidRPr="003821D7" w:rsidTr="00255A46">
        <w:trPr>
          <w:trHeight w:val="1260"/>
        </w:trPr>
        <w:tc>
          <w:tcPr>
            <w:tcW w:w="581" w:type="pct"/>
            <w:shd w:val="clear" w:color="auto" w:fill="auto"/>
          </w:tcPr>
          <w:p w:rsidR="00255A46" w:rsidRPr="005575B4" w:rsidRDefault="00255A46" w:rsidP="00255A46">
            <w:pPr>
              <w:jc w:val="left"/>
              <w:rPr>
                <w:bCs/>
                <w:snapToGrid/>
                <w:szCs w:val="24"/>
              </w:rPr>
            </w:pPr>
            <w:r w:rsidRPr="005575B4">
              <w:rPr>
                <w:bCs/>
                <w:snapToGrid/>
                <w:szCs w:val="24"/>
              </w:rPr>
              <w:t>22</w:t>
            </w:r>
          </w:p>
        </w:tc>
        <w:tc>
          <w:tcPr>
            <w:tcW w:w="990" w:type="pct"/>
            <w:shd w:val="clear" w:color="auto" w:fill="auto"/>
          </w:tcPr>
          <w:p w:rsidR="00255A46" w:rsidRDefault="00255A46" w:rsidP="00255A46">
            <w:pPr>
              <w:jc w:val="left"/>
              <w:rPr>
                <w:b/>
                <w:bCs/>
                <w:snapToGrid/>
                <w:szCs w:val="24"/>
              </w:rPr>
            </w:pPr>
            <w:r w:rsidRPr="00EA6E3D">
              <w:rPr>
                <w:snapToGrid/>
                <w:szCs w:val="24"/>
              </w:rPr>
              <w:t>Данные Главной книги</w:t>
            </w:r>
          </w:p>
        </w:tc>
        <w:tc>
          <w:tcPr>
            <w:tcW w:w="1788" w:type="pct"/>
            <w:shd w:val="clear" w:color="auto" w:fill="auto"/>
          </w:tcPr>
          <w:p w:rsidR="00255A46" w:rsidRPr="003821D7" w:rsidRDefault="00255A46" w:rsidP="00255A46">
            <w:pPr>
              <w:jc w:val="left"/>
              <w:rPr>
                <w:b/>
                <w:bCs/>
                <w:snapToGrid/>
                <w:szCs w:val="24"/>
              </w:rPr>
            </w:pPr>
            <w:r w:rsidRPr="001B6C8A">
              <w:rPr>
                <w:snapToGrid/>
                <w:szCs w:val="24"/>
              </w:rPr>
              <w:t>Определяется тип КБК на основании источника «Главная книга» (гКБК, КРБ, КДБ, КИФ)</w:t>
            </w:r>
          </w:p>
        </w:tc>
        <w:tc>
          <w:tcPr>
            <w:tcW w:w="1642" w:type="pct"/>
            <w:shd w:val="clear" w:color="auto" w:fill="auto"/>
          </w:tcPr>
          <w:p w:rsidR="00255A46" w:rsidRPr="003821D7" w:rsidRDefault="00255A46" w:rsidP="00255A46">
            <w:pPr>
              <w:jc w:val="left"/>
              <w:rPr>
                <w:b/>
                <w:bCs/>
                <w:snapToGrid/>
                <w:szCs w:val="24"/>
              </w:rPr>
            </w:pPr>
            <w:r w:rsidRPr="00C13E01">
              <w:rPr>
                <w:snapToGrid/>
                <w:szCs w:val="24"/>
              </w:rPr>
              <w:t>МВУ ПУИО, регистр "Главная книга</w:t>
            </w:r>
          </w:p>
        </w:tc>
      </w:tr>
      <w:tr w:rsidR="00255A46" w:rsidRPr="003821D7" w:rsidTr="00255A46">
        <w:trPr>
          <w:trHeight w:val="1260"/>
        </w:trPr>
        <w:tc>
          <w:tcPr>
            <w:tcW w:w="581" w:type="pct"/>
            <w:shd w:val="clear" w:color="auto" w:fill="auto"/>
          </w:tcPr>
          <w:p w:rsidR="00255A46" w:rsidRPr="005575B4" w:rsidRDefault="00255A46" w:rsidP="00255A46">
            <w:pPr>
              <w:jc w:val="left"/>
              <w:rPr>
                <w:bCs/>
                <w:snapToGrid/>
                <w:szCs w:val="24"/>
              </w:rPr>
            </w:pPr>
            <w:r w:rsidRPr="005575B4">
              <w:rPr>
                <w:bCs/>
                <w:snapToGrid/>
                <w:szCs w:val="24"/>
              </w:rPr>
              <w:t>23</w:t>
            </w:r>
          </w:p>
        </w:tc>
        <w:tc>
          <w:tcPr>
            <w:tcW w:w="990" w:type="pct"/>
            <w:shd w:val="clear" w:color="auto" w:fill="auto"/>
          </w:tcPr>
          <w:p w:rsidR="00255A46" w:rsidRDefault="00255A46" w:rsidP="00255A46">
            <w:pPr>
              <w:jc w:val="left"/>
              <w:rPr>
                <w:b/>
                <w:bCs/>
                <w:snapToGrid/>
                <w:szCs w:val="24"/>
              </w:rPr>
            </w:pPr>
            <w:r w:rsidRPr="00EA6E3D">
              <w:rPr>
                <w:snapToGrid/>
                <w:szCs w:val="24"/>
              </w:rPr>
              <w:t xml:space="preserve">Индикатор проверки Счет </w:t>
            </w:r>
            <w:r>
              <w:rPr>
                <w:snapToGrid/>
                <w:szCs w:val="24"/>
              </w:rPr>
              <w:t>–</w:t>
            </w:r>
            <w:r w:rsidRPr="00EA6E3D">
              <w:rPr>
                <w:snapToGrid/>
                <w:szCs w:val="24"/>
              </w:rPr>
              <w:t xml:space="preserve"> КОСГУ</w:t>
            </w:r>
            <w:r>
              <w:rPr>
                <w:snapToGrid/>
                <w:szCs w:val="24"/>
              </w:rPr>
              <w:t xml:space="preserve"> </w:t>
            </w:r>
            <w:r w:rsidRPr="00D709B8">
              <w:rPr>
                <w:snapToGrid/>
                <w:szCs w:val="24"/>
              </w:rPr>
              <w:t xml:space="preserve">в соответствии с требованиями </w:t>
            </w:r>
            <w:r>
              <w:rPr>
                <w:snapToGrid/>
                <w:szCs w:val="24"/>
              </w:rPr>
              <w:t>ФК</w:t>
            </w:r>
            <w:r w:rsidRPr="00D709B8">
              <w:rPr>
                <w:snapToGrid/>
                <w:szCs w:val="24"/>
              </w:rPr>
              <w:t xml:space="preserve"> РФ</w:t>
            </w:r>
          </w:p>
        </w:tc>
        <w:tc>
          <w:tcPr>
            <w:tcW w:w="1788" w:type="pct"/>
            <w:shd w:val="clear" w:color="auto" w:fill="auto"/>
          </w:tcPr>
          <w:p w:rsidR="00255A46" w:rsidRPr="003821D7" w:rsidRDefault="00255A46" w:rsidP="00255A46">
            <w:pPr>
              <w:jc w:val="left"/>
              <w:rPr>
                <w:b/>
                <w:bCs/>
                <w:snapToGrid/>
                <w:szCs w:val="24"/>
              </w:rPr>
            </w:pPr>
            <w:r w:rsidRPr="00636BB4">
              <w:rPr>
                <w:szCs w:val="24"/>
              </w:rPr>
              <w:t>Индикатор зеленый</w:t>
            </w:r>
            <w:r>
              <w:rPr>
                <w:szCs w:val="24"/>
              </w:rPr>
              <w:t xml:space="preserve"> – «</w:t>
            </w:r>
            <w:r w:rsidRPr="00636BB4">
              <w:rPr>
                <w:szCs w:val="24"/>
              </w:rPr>
              <w:t>Соответствует</w:t>
            </w:r>
            <w:r>
              <w:rPr>
                <w:szCs w:val="24"/>
              </w:rPr>
              <w:t>»</w:t>
            </w:r>
            <w:r w:rsidRPr="00636BB4">
              <w:rPr>
                <w:szCs w:val="24"/>
              </w:rPr>
              <w:t>, индикатор красный</w:t>
            </w:r>
            <w:r>
              <w:rPr>
                <w:szCs w:val="24"/>
              </w:rPr>
              <w:t xml:space="preserve"> – «</w:t>
            </w:r>
            <w:r w:rsidRPr="00636BB4">
              <w:rPr>
                <w:szCs w:val="24"/>
              </w:rPr>
              <w:t>Не соответствует</w:t>
            </w:r>
            <w:r>
              <w:rPr>
                <w:szCs w:val="24"/>
              </w:rPr>
              <w:t>»</w:t>
            </w:r>
            <w:r w:rsidRPr="00636BB4">
              <w:rPr>
                <w:szCs w:val="24"/>
              </w:rPr>
              <w:t>, индикатор серый</w:t>
            </w:r>
            <w:r>
              <w:rPr>
                <w:szCs w:val="24"/>
              </w:rPr>
              <w:t xml:space="preserve"> – «</w:t>
            </w:r>
            <w:r w:rsidRPr="00636BB4">
              <w:rPr>
                <w:szCs w:val="24"/>
              </w:rPr>
              <w:t>Проверка отсутствует</w:t>
            </w:r>
            <w:r>
              <w:rPr>
                <w:szCs w:val="24"/>
              </w:rPr>
              <w:t>»</w:t>
            </w:r>
            <w:r w:rsidRPr="00636BB4">
              <w:rPr>
                <w:szCs w:val="24"/>
              </w:rPr>
              <w:t xml:space="preserve"> (проводится сравнение КОСГУ для счета на основании Приказа </w:t>
            </w:r>
            <w:r>
              <w:rPr>
                <w:szCs w:val="24"/>
              </w:rPr>
              <w:t>41</w:t>
            </w:r>
            <w:r w:rsidRPr="00636BB4">
              <w:rPr>
                <w:szCs w:val="24"/>
              </w:rPr>
              <w:t>н с КОСГУ для счета в данных главной книги на всех уровнях иерархии)</w:t>
            </w:r>
          </w:p>
        </w:tc>
        <w:tc>
          <w:tcPr>
            <w:tcW w:w="1642" w:type="pct"/>
            <w:shd w:val="clear" w:color="auto" w:fill="auto"/>
          </w:tcPr>
          <w:p w:rsidR="00255A46" w:rsidRDefault="00255A46" w:rsidP="00255A46">
            <w:pPr>
              <w:jc w:val="left"/>
              <w:rPr>
                <w:snapToGrid/>
                <w:szCs w:val="24"/>
              </w:rPr>
            </w:pPr>
            <w:r w:rsidRPr="00C13E01">
              <w:rPr>
                <w:snapToGrid/>
                <w:szCs w:val="24"/>
              </w:rPr>
              <w:t xml:space="preserve">МВУ ПУИО, регистр </w:t>
            </w:r>
            <w:r>
              <w:rPr>
                <w:snapToGrid/>
                <w:szCs w:val="24"/>
              </w:rPr>
              <w:t xml:space="preserve">«Главная книга», </w:t>
            </w:r>
          </w:p>
          <w:p w:rsidR="00255A46" w:rsidRPr="003821D7" w:rsidRDefault="00255A46" w:rsidP="00255A46">
            <w:pPr>
              <w:jc w:val="left"/>
              <w:rPr>
                <w:b/>
                <w:bCs/>
                <w:snapToGrid/>
                <w:szCs w:val="24"/>
              </w:rPr>
            </w:pPr>
            <w:r>
              <w:t>регистр «Рабочий план счетов ФОИВ»</w:t>
            </w:r>
          </w:p>
        </w:tc>
      </w:tr>
      <w:tr w:rsidR="00255A46" w:rsidRPr="003821D7" w:rsidTr="00255A46">
        <w:trPr>
          <w:trHeight w:val="1264"/>
        </w:trPr>
        <w:tc>
          <w:tcPr>
            <w:tcW w:w="581" w:type="pct"/>
            <w:shd w:val="clear" w:color="auto" w:fill="auto"/>
          </w:tcPr>
          <w:p w:rsidR="00255A46" w:rsidRPr="005575B4" w:rsidRDefault="00255A46" w:rsidP="00255A46">
            <w:pPr>
              <w:jc w:val="left"/>
              <w:rPr>
                <w:bCs/>
                <w:snapToGrid/>
                <w:szCs w:val="24"/>
              </w:rPr>
            </w:pPr>
            <w:r>
              <w:rPr>
                <w:bCs/>
                <w:snapToGrid/>
                <w:szCs w:val="24"/>
              </w:rPr>
              <w:t>24</w:t>
            </w:r>
          </w:p>
        </w:tc>
        <w:tc>
          <w:tcPr>
            <w:tcW w:w="990" w:type="pct"/>
            <w:shd w:val="clear" w:color="auto" w:fill="auto"/>
          </w:tcPr>
          <w:p w:rsidR="00255A46" w:rsidRPr="00EA6E3D" w:rsidRDefault="00255A46" w:rsidP="00255A46">
            <w:pPr>
              <w:jc w:val="left"/>
              <w:rPr>
                <w:snapToGrid/>
                <w:szCs w:val="24"/>
              </w:rPr>
            </w:pPr>
            <w:r>
              <w:rPr>
                <w:snapToGrid/>
                <w:szCs w:val="24"/>
              </w:rPr>
              <w:t>КОСГУ в соответствии с требованиями ФК РФ на текущий год</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КОСГУ дл</w:t>
            </w:r>
            <w:r>
              <w:rPr>
                <w:snapToGrid/>
                <w:color w:val="000000"/>
                <w:sz w:val="24"/>
                <w:szCs w:val="24"/>
              </w:rPr>
              <w:t>я счета на основании Приказа 41</w:t>
            </w:r>
            <w:r w:rsidRPr="005506B6">
              <w:rPr>
                <w:snapToGrid/>
                <w:color w:val="000000"/>
                <w:sz w:val="24"/>
                <w:szCs w:val="24"/>
              </w:rPr>
              <w:t>н</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 xml:space="preserve">регистр «Рабочий план счетов </w:t>
            </w:r>
            <w:r>
              <w:rPr>
                <w:snapToGrid/>
                <w:color w:val="000000"/>
                <w:sz w:val="24"/>
                <w:szCs w:val="24"/>
              </w:rPr>
              <w:t>ФК РФ</w:t>
            </w:r>
            <w:r w:rsidRPr="005506B6">
              <w:rPr>
                <w:snapToGrid/>
                <w:color w:val="000000"/>
                <w:sz w:val="24"/>
                <w:szCs w:val="24"/>
              </w:rPr>
              <w:t>»</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25</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Индикатор проверки Счет – КОСГУ в соответствии с требованиями Минфина РФ</w:t>
            </w:r>
            <w:r>
              <w:rPr>
                <w:snapToGrid/>
                <w:color w:val="000000"/>
                <w:sz w:val="24"/>
                <w:szCs w:val="24"/>
              </w:rPr>
              <w:t xml:space="preserve"> на текущий год</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 xml:space="preserve">Индикатор зеленый – </w:t>
            </w:r>
            <w:r>
              <w:rPr>
                <w:snapToGrid/>
                <w:color w:val="000000"/>
                <w:sz w:val="24"/>
                <w:szCs w:val="24"/>
              </w:rPr>
              <w:t>«</w:t>
            </w:r>
            <w:r w:rsidRPr="005506B6">
              <w:rPr>
                <w:snapToGrid/>
                <w:color w:val="000000"/>
                <w:sz w:val="24"/>
                <w:szCs w:val="24"/>
              </w:rPr>
              <w:t>Соответствует</w:t>
            </w:r>
            <w:r>
              <w:rPr>
                <w:snapToGrid/>
                <w:color w:val="000000"/>
                <w:sz w:val="24"/>
                <w:szCs w:val="24"/>
              </w:rPr>
              <w:t>»</w:t>
            </w:r>
            <w:r w:rsidRPr="005506B6">
              <w:rPr>
                <w:snapToGrid/>
                <w:color w:val="000000"/>
                <w:sz w:val="24"/>
                <w:szCs w:val="24"/>
              </w:rPr>
              <w:t xml:space="preserve">, индикатор красный – </w:t>
            </w:r>
            <w:r>
              <w:rPr>
                <w:snapToGrid/>
                <w:color w:val="000000"/>
                <w:sz w:val="24"/>
                <w:szCs w:val="24"/>
              </w:rPr>
              <w:t>«</w:t>
            </w:r>
            <w:r w:rsidRPr="005506B6">
              <w:rPr>
                <w:snapToGrid/>
                <w:color w:val="000000"/>
                <w:sz w:val="24"/>
                <w:szCs w:val="24"/>
              </w:rPr>
              <w:t>Не соответствует</w:t>
            </w:r>
            <w:r>
              <w:rPr>
                <w:snapToGrid/>
                <w:color w:val="000000"/>
                <w:sz w:val="24"/>
                <w:szCs w:val="24"/>
              </w:rPr>
              <w:t>»</w:t>
            </w:r>
            <w:r w:rsidRPr="005506B6">
              <w:rPr>
                <w:snapToGrid/>
                <w:color w:val="000000"/>
                <w:sz w:val="24"/>
                <w:szCs w:val="24"/>
              </w:rPr>
              <w:t xml:space="preserve">, индикатор серый – </w:t>
            </w:r>
            <w:r>
              <w:rPr>
                <w:snapToGrid/>
                <w:color w:val="000000"/>
                <w:sz w:val="24"/>
                <w:szCs w:val="24"/>
              </w:rPr>
              <w:t>«</w:t>
            </w:r>
            <w:r w:rsidRPr="005506B6">
              <w:rPr>
                <w:snapToGrid/>
                <w:color w:val="000000"/>
                <w:sz w:val="24"/>
                <w:szCs w:val="24"/>
              </w:rPr>
              <w:t>Проверка отсутствует</w:t>
            </w:r>
            <w:r>
              <w:rPr>
                <w:snapToGrid/>
                <w:color w:val="000000"/>
                <w:sz w:val="24"/>
                <w:szCs w:val="24"/>
              </w:rPr>
              <w:t>»</w:t>
            </w:r>
            <w:r w:rsidRPr="005506B6">
              <w:rPr>
                <w:snapToGrid/>
                <w:color w:val="000000"/>
                <w:sz w:val="24"/>
                <w:szCs w:val="24"/>
              </w:rPr>
              <w:t xml:space="preserve"> (проводится сравнение КОСГУ для счета на основании Приказа 162н с КОСГУ для счета в данных главной книги на всех уровнях иерархии)</w:t>
            </w:r>
          </w:p>
        </w:tc>
        <w:tc>
          <w:tcPr>
            <w:tcW w:w="1642" w:type="pct"/>
            <w:shd w:val="clear" w:color="auto" w:fill="auto"/>
          </w:tcPr>
          <w:p w:rsidR="00255A46" w:rsidRDefault="00255A46" w:rsidP="00255A46">
            <w:pPr>
              <w:jc w:val="left"/>
              <w:rPr>
                <w:snapToGrid/>
                <w:szCs w:val="24"/>
              </w:rPr>
            </w:pPr>
            <w:r w:rsidRPr="00C13E01">
              <w:rPr>
                <w:snapToGrid/>
                <w:szCs w:val="24"/>
              </w:rPr>
              <w:t xml:space="preserve">МВУ ПУИО, регистр </w:t>
            </w:r>
            <w:r>
              <w:rPr>
                <w:snapToGrid/>
                <w:szCs w:val="24"/>
              </w:rPr>
              <w:t xml:space="preserve">«Главная книга», </w:t>
            </w:r>
          </w:p>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26</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КОСГУ в соответствии с требованиями Минфина РФ</w:t>
            </w:r>
            <w:r>
              <w:rPr>
                <w:snapToGrid/>
                <w:color w:val="000000"/>
                <w:sz w:val="24"/>
                <w:szCs w:val="24"/>
              </w:rPr>
              <w:t xml:space="preserve"> на текущий год</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КОСГУ для счета на основании Приказа 162н</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27</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Данные Главной книги</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КОСГУ на основании источника «Главная книга»</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МВУ ПУИО, регистр "Главная книга</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28</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 xml:space="preserve">Индикатор проверки КВР/АГПВД – КОСГУ </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 xml:space="preserve">Индикатор зеленый – </w:t>
            </w:r>
            <w:r>
              <w:rPr>
                <w:snapToGrid/>
                <w:color w:val="000000"/>
                <w:sz w:val="24"/>
                <w:szCs w:val="24"/>
              </w:rPr>
              <w:t>«</w:t>
            </w:r>
            <w:r w:rsidRPr="005506B6">
              <w:rPr>
                <w:snapToGrid/>
                <w:color w:val="000000"/>
                <w:sz w:val="24"/>
                <w:szCs w:val="24"/>
              </w:rPr>
              <w:t>Соответствует</w:t>
            </w:r>
            <w:r>
              <w:rPr>
                <w:snapToGrid/>
                <w:color w:val="000000"/>
                <w:sz w:val="24"/>
                <w:szCs w:val="24"/>
              </w:rPr>
              <w:t>»</w:t>
            </w:r>
            <w:r w:rsidRPr="005506B6">
              <w:rPr>
                <w:snapToGrid/>
                <w:color w:val="000000"/>
                <w:sz w:val="24"/>
                <w:szCs w:val="24"/>
              </w:rPr>
              <w:t xml:space="preserve">, индикатор красный – </w:t>
            </w:r>
            <w:r>
              <w:rPr>
                <w:snapToGrid/>
                <w:color w:val="000000"/>
                <w:sz w:val="24"/>
                <w:szCs w:val="24"/>
              </w:rPr>
              <w:t>«</w:t>
            </w:r>
            <w:r w:rsidRPr="005506B6">
              <w:rPr>
                <w:snapToGrid/>
                <w:color w:val="000000"/>
                <w:sz w:val="24"/>
                <w:szCs w:val="24"/>
              </w:rPr>
              <w:t>Не соответствует</w:t>
            </w:r>
            <w:r>
              <w:rPr>
                <w:snapToGrid/>
                <w:color w:val="000000"/>
                <w:sz w:val="24"/>
                <w:szCs w:val="24"/>
              </w:rPr>
              <w:t>»</w:t>
            </w:r>
            <w:r w:rsidRPr="005506B6">
              <w:rPr>
                <w:snapToGrid/>
                <w:color w:val="000000"/>
                <w:sz w:val="24"/>
                <w:szCs w:val="24"/>
              </w:rPr>
              <w:t xml:space="preserve">, индикатор серый – </w:t>
            </w:r>
            <w:r>
              <w:rPr>
                <w:snapToGrid/>
                <w:color w:val="000000"/>
                <w:sz w:val="24"/>
                <w:szCs w:val="24"/>
              </w:rPr>
              <w:t>«</w:t>
            </w:r>
            <w:r w:rsidRPr="005506B6">
              <w:rPr>
                <w:snapToGrid/>
                <w:color w:val="000000"/>
                <w:sz w:val="24"/>
                <w:szCs w:val="24"/>
              </w:rPr>
              <w:t>Проверка отсутствует</w:t>
            </w:r>
            <w:r>
              <w:rPr>
                <w:snapToGrid/>
                <w:color w:val="000000"/>
                <w:sz w:val="24"/>
                <w:szCs w:val="24"/>
              </w:rPr>
              <w:t>»</w:t>
            </w:r>
            <w:r w:rsidRPr="005506B6">
              <w:rPr>
                <w:snapToGrid/>
                <w:color w:val="000000"/>
                <w:sz w:val="24"/>
                <w:szCs w:val="24"/>
              </w:rPr>
              <w:t xml:space="preserve"> (проводится сравнение соответствия КВР/АГПВД – КОСГУ в данных главной книги с соответствием КВР/АГПВД – КОСГУ по требованиям Минфина РФ для определенных счетов бухгалтерского учета, подлежащих данной проверке на 4 уровне иерархии)</w:t>
            </w:r>
          </w:p>
        </w:tc>
        <w:tc>
          <w:tcPr>
            <w:tcW w:w="1642" w:type="pct"/>
            <w:shd w:val="clear" w:color="auto" w:fill="auto"/>
          </w:tcPr>
          <w:p w:rsidR="00255A46" w:rsidRDefault="00255A46" w:rsidP="00255A46">
            <w:pPr>
              <w:jc w:val="left"/>
              <w:rPr>
                <w:snapToGrid/>
                <w:szCs w:val="24"/>
              </w:rPr>
            </w:pPr>
            <w:r w:rsidRPr="00C13E01">
              <w:rPr>
                <w:snapToGrid/>
                <w:szCs w:val="24"/>
              </w:rPr>
              <w:t xml:space="preserve">МВУ ПУИО, регистр </w:t>
            </w:r>
            <w:r>
              <w:rPr>
                <w:snapToGrid/>
                <w:szCs w:val="24"/>
              </w:rPr>
              <w:t xml:space="preserve">«Главная книга», </w:t>
            </w:r>
          </w:p>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29</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КОСГУ в соответствии с требованиями Минфина РФ</w:t>
            </w:r>
            <w:r>
              <w:rPr>
                <w:snapToGrid/>
                <w:color w:val="000000"/>
                <w:sz w:val="24"/>
                <w:szCs w:val="24"/>
              </w:rPr>
              <w:t xml:space="preserve"> на текущий год</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КОСГУ на основании Приказа 209н</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30</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Данные Главной книги</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КОСГУ на основании источника «Главная книга»</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МВУ ПУИО, регистр «Главная книга»</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31</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Индикатор проверки типа остатка</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 xml:space="preserve">Индикатор зеленый – </w:t>
            </w:r>
            <w:r>
              <w:rPr>
                <w:snapToGrid/>
                <w:color w:val="000000"/>
                <w:sz w:val="24"/>
                <w:szCs w:val="24"/>
              </w:rPr>
              <w:t>«</w:t>
            </w:r>
            <w:r w:rsidRPr="005506B6">
              <w:rPr>
                <w:snapToGrid/>
                <w:color w:val="000000"/>
                <w:sz w:val="24"/>
                <w:szCs w:val="24"/>
              </w:rPr>
              <w:t>Соответствует</w:t>
            </w:r>
            <w:r>
              <w:rPr>
                <w:snapToGrid/>
                <w:color w:val="000000"/>
                <w:sz w:val="24"/>
                <w:szCs w:val="24"/>
              </w:rPr>
              <w:t>»</w:t>
            </w:r>
            <w:r w:rsidRPr="005506B6">
              <w:rPr>
                <w:snapToGrid/>
                <w:color w:val="000000"/>
                <w:sz w:val="24"/>
                <w:szCs w:val="24"/>
              </w:rPr>
              <w:t xml:space="preserve"> (активный счет – дебетовый остаток, пассивный счет – кредитовый остаток, активно-пассивный счет может быть и дебетовый и кредитовый остаток). Индикатор красный – </w:t>
            </w:r>
            <w:r>
              <w:rPr>
                <w:snapToGrid/>
                <w:color w:val="000000"/>
                <w:sz w:val="24"/>
                <w:szCs w:val="24"/>
              </w:rPr>
              <w:t>«</w:t>
            </w:r>
            <w:r w:rsidRPr="005506B6">
              <w:rPr>
                <w:snapToGrid/>
                <w:color w:val="000000"/>
                <w:sz w:val="24"/>
                <w:szCs w:val="24"/>
              </w:rPr>
              <w:t>Не соответствует</w:t>
            </w:r>
            <w:r>
              <w:rPr>
                <w:snapToGrid/>
                <w:color w:val="000000"/>
                <w:sz w:val="24"/>
                <w:szCs w:val="24"/>
              </w:rPr>
              <w:t>»</w:t>
            </w:r>
            <w:r w:rsidRPr="005506B6">
              <w:rPr>
                <w:snapToGrid/>
                <w:color w:val="000000"/>
                <w:sz w:val="24"/>
                <w:szCs w:val="24"/>
              </w:rPr>
              <w:t xml:space="preserve"> (активный счет – кредитовый остаток, пассивный счет – дебетовый остаток) на 2 и 3 уровнях иерархии</w:t>
            </w:r>
          </w:p>
        </w:tc>
        <w:tc>
          <w:tcPr>
            <w:tcW w:w="1642" w:type="pct"/>
            <w:shd w:val="clear" w:color="auto" w:fill="auto"/>
          </w:tcPr>
          <w:p w:rsidR="00255A46" w:rsidRDefault="00255A46" w:rsidP="00255A46">
            <w:pPr>
              <w:jc w:val="left"/>
              <w:rPr>
                <w:snapToGrid/>
                <w:szCs w:val="24"/>
              </w:rPr>
            </w:pPr>
            <w:r w:rsidRPr="00C13E01">
              <w:rPr>
                <w:snapToGrid/>
                <w:szCs w:val="24"/>
              </w:rPr>
              <w:t xml:space="preserve">МВУ ПУИО, регистр </w:t>
            </w:r>
            <w:r>
              <w:rPr>
                <w:snapToGrid/>
                <w:szCs w:val="24"/>
              </w:rPr>
              <w:t xml:space="preserve">«Главная книга», </w:t>
            </w:r>
          </w:p>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32</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Соответствие счета структуре баланса</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тип счета: активный, пассивный, активно-пассивный</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регистр «Рабочий план счетов ФОИВ»</w:t>
            </w:r>
          </w:p>
        </w:tc>
      </w:tr>
      <w:tr w:rsidR="00255A46" w:rsidRPr="003821D7" w:rsidTr="00255A46">
        <w:trPr>
          <w:trHeight w:val="1260"/>
        </w:trPr>
        <w:tc>
          <w:tcPr>
            <w:tcW w:w="581" w:type="pct"/>
            <w:shd w:val="clear" w:color="auto" w:fill="auto"/>
          </w:tcPr>
          <w:p w:rsidR="00255A46" w:rsidRPr="005575B4" w:rsidRDefault="00255A46" w:rsidP="00255A46">
            <w:pPr>
              <w:pStyle w:val="-"/>
              <w:rPr>
                <w:bCs/>
                <w:sz w:val="24"/>
                <w:szCs w:val="24"/>
              </w:rPr>
            </w:pPr>
            <w:r>
              <w:rPr>
                <w:bCs/>
                <w:sz w:val="24"/>
                <w:szCs w:val="24"/>
              </w:rPr>
              <w:t>33</w:t>
            </w:r>
          </w:p>
        </w:tc>
        <w:tc>
          <w:tcPr>
            <w:tcW w:w="990"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Данные Главной книги</w:t>
            </w:r>
          </w:p>
        </w:tc>
        <w:tc>
          <w:tcPr>
            <w:tcW w:w="1788"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Определяется тип остатка: дебетовый, кредитовый на основании источника «Главная книга»</w:t>
            </w:r>
          </w:p>
        </w:tc>
        <w:tc>
          <w:tcPr>
            <w:tcW w:w="1642" w:type="pct"/>
            <w:shd w:val="clear" w:color="auto" w:fill="auto"/>
          </w:tcPr>
          <w:p w:rsidR="00255A46" w:rsidRPr="005506B6" w:rsidRDefault="00255A46" w:rsidP="00255A46">
            <w:pPr>
              <w:pStyle w:val="-"/>
              <w:rPr>
                <w:snapToGrid/>
                <w:color w:val="000000"/>
                <w:sz w:val="24"/>
                <w:szCs w:val="24"/>
              </w:rPr>
            </w:pPr>
            <w:r w:rsidRPr="005506B6">
              <w:rPr>
                <w:snapToGrid/>
                <w:color w:val="000000"/>
                <w:sz w:val="24"/>
                <w:szCs w:val="24"/>
              </w:rPr>
              <w:t>МВУ ПУИО, регистр "Главная книга</w:t>
            </w:r>
          </w:p>
        </w:tc>
      </w:tr>
    </w:tbl>
    <w:p w:rsidR="00027224" w:rsidRDefault="00027224" w:rsidP="00027224">
      <w:pPr>
        <w:pStyle w:val="-0"/>
      </w:pPr>
    </w:p>
    <w:p w:rsidR="0009251F" w:rsidRDefault="0009251F" w:rsidP="00027224">
      <w:pPr>
        <w:pStyle w:val="-0"/>
      </w:pPr>
    </w:p>
    <w:p w:rsidR="0009251F" w:rsidRDefault="0009251F" w:rsidP="00027224">
      <w:pPr>
        <w:pStyle w:val="-0"/>
      </w:pPr>
    </w:p>
    <w:p w:rsidR="0009251F" w:rsidRDefault="0009251F" w:rsidP="00027224">
      <w:pPr>
        <w:pStyle w:val="-0"/>
      </w:pPr>
    </w:p>
    <w:p w:rsidR="0009251F" w:rsidRDefault="0009251F" w:rsidP="00027224">
      <w:pPr>
        <w:pStyle w:val="-0"/>
      </w:pPr>
    </w:p>
    <w:p w:rsidR="00255A46" w:rsidRDefault="00255A46" w:rsidP="00027224">
      <w:pPr>
        <w:pStyle w:val="-0"/>
      </w:pPr>
      <w:r w:rsidRPr="00296E00">
        <w:rPr>
          <w:noProof/>
        </w:rPr>
        <w:drawing>
          <wp:inline distT="0" distB="0" distL="0" distR="0" wp14:anchorId="72F2AC38" wp14:editId="62C5C2B9">
            <wp:extent cx="6119495" cy="2877885"/>
            <wp:effectExtent l="0" t="0" r="0" b="0"/>
            <wp:docPr id="413" name="Рисунок 413" descr="C:\Users\fomicheva\Desktop\Скрин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micheva\Desktop\Скрины\3.png"/>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6119495" cy="2877885"/>
                    </a:xfrm>
                    <a:prstGeom prst="rect">
                      <a:avLst/>
                    </a:prstGeom>
                    <a:noFill/>
                    <a:ln>
                      <a:noFill/>
                    </a:ln>
                  </pic:spPr>
                </pic:pic>
              </a:graphicData>
            </a:graphic>
          </wp:inline>
        </w:drawing>
      </w:r>
    </w:p>
    <w:p w:rsidR="00255A46" w:rsidRPr="00255A46" w:rsidRDefault="00255A46" w:rsidP="00027224">
      <w:pPr>
        <w:pStyle w:val="-0"/>
        <w:keepNext/>
      </w:pPr>
      <w:bookmarkStart w:id="1333" w:name="_Toc119584526"/>
      <w:r>
        <w:t xml:space="preserve">Рисунок </w:t>
      </w:r>
      <w:fldSimple w:instr=" SEQ Рисунок \* ARABIC ">
        <w:r w:rsidR="001860A9">
          <w:rPr>
            <w:noProof/>
          </w:rPr>
          <w:t>339</w:t>
        </w:r>
      </w:fldSimple>
      <w:r>
        <w:t xml:space="preserve"> – Представление «</w:t>
      </w:r>
      <w:r w:rsidRPr="00296E00">
        <w:t>Применение классификаторов и счетов учета</w:t>
      </w:r>
      <w:r>
        <w:t>»</w:t>
      </w:r>
      <w:r w:rsidRPr="00296E00">
        <w:t xml:space="preserve"> (Колонки 1-10)</w:t>
      </w:r>
      <w:bookmarkEnd w:id="1333"/>
    </w:p>
    <w:p w:rsidR="00027224" w:rsidRDefault="00027224" w:rsidP="00027224">
      <w:pPr>
        <w:pStyle w:val="ac"/>
        <w:keepNext/>
      </w:pPr>
      <w:r w:rsidRPr="008026A5">
        <w:rPr>
          <w:noProof/>
        </w:rPr>
        <w:drawing>
          <wp:inline distT="0" distB="0" distL="0" distR="0" wp14:anchorId="57CC2B9E" wp14:editId="4EB22244">
            <wp:extent cx="6119495" cy="2903505"/>
            <wp:effectExtent l="0" t="0" r="0" b="0"/>
            <wp:docPr id="414" name="Рисунок 414" descr="C:\Users\fomicheva\Desktop\Скрин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micheva\Desktop\Скрины\4.png"/>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6119495" cy="2903505"/>
                    </a:xfrm>
                    <a:prstGeom prst="rect">
                      <a:avLst/>
                    </a:prstGeom>
                    <a:noFill/>
                    <a:ln>
                      <a:noFill/>
                    </a:ln>
                  </pic:spPr>
                </pic:pic>
              </a:graphicData>
            </a:graphic>
          </wp:inline>
        </w:drawing>
      </w:r>
    </w:p>
    <w:p w:rsidR="00027224" w:rsidRDefault="00027224" w:rsidP="00027224">
      <w:pPr>
        <w:pStyle w:val="-0"/>
      </w:pPr>
      <w:bookmarkStart w:id="1334" w:name="_Toc119584527"/>
      <w:r>
        <w:t xml:space="preserve">Рисунок </w:t>
      </w:r>
      <w:fldSimple w:instr=" SEQ Рисунок \* ARABIC ">
        <w:r w:rsidR="001860A9">
          <w:rPr>
            <w:noProof/>
          </w:rPr>
          <w:t>340</w:t>
        </w:r>
      </w:fldSimple>
      <w:r>
        <w:t xml:space="preserve"> – Представление «</w:t>
      </w:r>
      <w:r w:rsidRPr="00296E00">
        <w:t>Применение классификаторов и счетов учета</w:t>
      </w:r>
      <w:r>
        <w:t>»</w:t>
      </w:r>
      <w:r w:rsidRPr="00296E00">
        <w:t xml:space="preserve"> (Колонки </w:t>
      </w:r>
      <w:r>
        <w:t>11-23</w:t>
      </w:r>
      <w:r w:rsidRPr="00296E00">
        <w:t>)</w:t>
      </w:r>
      <w:bookmarkEnd w:id="1334"/>
    </w:p>
    <w:p w:rsidR="00027224" w:rsidRDefault="00027224" w:rsidP="00027224">
      <w:pPr>
        <w:pStyle w:val="-0"/>
        <w:keepNext/>
      </w:pPr>
      <w:r w:rsidRPr="00897AE9">
        <w:rPr>
          <w:noProof/>
        </w:rPr>
        <w:drawing>
          <wp:inline distT="0" distB="0" distL="0" distR="0" wp14:anchorId="22D96AB0" wp14:editId="09DEAF91">
            <wp:extent cx="6119495" cy="2986070"/>
            <wp:effectExtent l="0" t="0" r="0" b="5080"/>
            <wp:docPr id="102" name="Рисунок 102" descr="C:\Users\fomicheva\Desktop\Скрины\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micheva\Desktop\Скрины\10.png"/>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6119495" cy="2986070"/>
                    </a:xfrm>
                    <a:prstGeom prst="rect">
                      <a:avLst/>
                    </a:prstGeom>
                    <a:noFill/>
                    <a:ln>
                      <a:noFill/>
                    </a:ln>
                  </pic:spPr>
                </pic:pic>
              </a:graphicData>
            </a:graphic>
          </wp:inline>
        </w:drawing>
      </w:r>
    </w:p>
    <w:p w:rsidR="00027224" w:rsidRDefault="00027224" w:rsidP="00027224">
      <w:pPr>
        <w:pStyle w:val="-0"/>
      </w:pPr>
      <w:bookmarkStart w:id="1335" w:name="_Toc119584528"/>
      <w:r>
        <w:t xml:space="preserve">Рисунок </w:t>
      </w:r>
      <w:fldSimple w:instr=" SEQ Рисунок \* ARABIC ">
        <w:r w:rsidR="001860A9">
          <w:rPr>
            <w:noProof/>
          </w:rPr>
          <w:t>341</w:t>
        </w:r>
      </w:fldSimple>
      <w:r>
        <w:t xml:space="preserve"> – «</w:t>
      </w:r>
      <w:r w:rsidRPr="00296E00">
        <w:t>Применение классификаторов и счетов учета</w:t>
      </w:r>
      <w:r>
        <w:t>»</w:t>
      </w:r>
      <w:r w:rsidRPr="00296E00">
        <w:t xml:space="preserve"> (Колонки</w:t>
      </w:r>
      <w:r>
        <w:t xml:space="preserve"> 24-33</w:t>
      </w:r>
      <w:r w:rsidRPr="00296E00">
        <w:t>)</w:t>
      </w:r>
      <w:bookmarkEnd w:id="1335"/>
    </w:p>
    <w:p w:rsidR="005D77E1" w:rsidRPr="00206C4C" w:rsidRDefault="005D77E1" w:rsidP="00200C72">
      <w:pPr>
        <w:pStyle w:val="35"/>
      </w:pPr>
      <w:bookmarkStart w:id="1336" w:name="стр"/>
      <w:bookmarkStart w:id="1337" w:name="_Toc37845337"/>
      <w:bookmarkStart w:id="1338" w:name="_Toc69290144"/>
      <w:bookmarkStart w:id="1339" w:name="_Toc119585109"/>
      <w:bookmarkEnd w:id="1336"/>
      <w:r w:rsidRPr="00206C4C">
        <w:t>Отчет «Дебиторская и кредиторская задолженность»</w:t>
      </w:r>
      <w:bookmarkEnd w:id="1337"/>
      <w:bookmarkEnd w:id="1338"/>
      <w:r w:rsidR="00200C72">
        <w:t xml:space="preserve"> (</w:t>
      </w:r>
      <w:r w:rsidR="00200C72" w:rsidRPr="00200C72">
        <w:t>PIAO_103_003_mainBookDKZ</w:t>
      </w:r>
      <w:r w:rsidR="00200C72">
        <w:t>)</w:t>
      </w:r>
      <w:bookmarkEnd w:id="1339"/>
    </w:p>
    <w:p w:rsidR="005D77E1" w:rsidRDefault="005D77E1" w:rsidP="005D77E1">
      <w:pPr>
        <w:pStyle w:val="af0"/>
        <w:rPr>
          <w:rStyle w:val="af1"/>
        </w:rPr>
      </w:pPr>
      <w:r w:rsidRPr="00206C4C">
        <w:rPr>
          <w:rStyle w:val="af1"/>
        </w:rPr>
        <w:t>Для перехода к отчету «</w:t>
      </w:r>
      <w:r w:rsidRPr="00206C4C">
        <w:t>Дебиторская и кредиторская задолженность</w:t>
      </w:r>
      <w:r w:rsidRPr="00206C4C">
        <w:rPr>
          <w:rStyle w:val="af1"/>
        </w:rPr>
        <w:t>» необходимо перейти к витрине «</w:t>
      </w:r>
      <w:r w:rsidR="000D79D6">
        <w:rPr>
          <w:rStyle w:val="af1"/>
        </w:rPr>
        <w:t>Бюджетный (бухгалтерский) учет</w:t>
      </w:r>
      <w:r w:rsidRPr="00206C4C">
        <w:rPr>
          <w:rStyle w:val="af1"/>
        </w:rPr>
        <w:t>» и кликнуть мышью по плашке с наименование отчета «</w:t>
      </w:r>
      <w:r w:rsidRPr="00206C4C">
        <w:t>Дебиторская и кредиторская задолженность</w:t>
      </w:r>
      <w:r w:rsidRPr="00206C4C">
        <w:rPr>
          <w:rStyle w:val="af1"/>
        </w:rPr>
        <w:t xml:space="preserve">», как показано на рисунке </w:t>
      </w:r>
      <w:r w:rsidR="00A26C02">
        <w:rPr>
          <w:rStyle w:val="af1"/>
        </w:rPr>
        <w:fldChar w:fldCharType="begin"/>
      </w:r>
      <w:r w:rsidR="00A26C02">
        <w:rPr>
          <w:rStyle w:val="af1"/>
        </w:rPr>
        <w:instrText xml:space="preserve"> REF _Ref70331399 \h </w:instrText>
      </w:r>
      <w:r w:rsidR="00A26C02">
        <w:rPr>
          <w:rStyle w:val="af1"/>
        </w:rPr>
      </w:r>
      <w:r w:rsidR="00A26C02">
        <w:rPr>
          <w:rStyle w:val="af1"/>
        </w:rPr>
        <w:fldChar w:fldCharType="separate"/>
      </w:r>
      <w:r w:rsidR="00BF0BEE">
        <w:rPr>
          <w:rStyle w:val="af1"/>
          <w:noProof/>
        </w:rPr>
        <w:t>342</w:t>
      </w:r>
      <w:r w:rsidR="00A26C02">
        <w:rPr>
          <w:rStyle w:val="af1"/>
        </w:rPr>
        <w:fldChar w:fldCharType="end"/>
      </w:r>
      <w:r w:rsidRPr="00206C4C">
        <w:rPr>
          <w:rStyle w:val="af1"/>
        </w:rPr>
        <w:t>.</w:t>
      </w:r>
    </w:p>
    <w:p w:rsidR="00A26C02" w:rsidRDefault="00A26C02" w:rsidP="00A26C02">
      <w:pPr>
        <w:pStyle w:val="af0"/>
        <w:keepNext/>
        <w:ind w:firstLine="0"/>
      </w:pPr>
      <w:r>
        <w:rPr>
          <w:noProof/>
          <w:snapToGrid/>
        </w:rPr>
        <w:drawing>
          <wp:inline distT="0" distB="0" distL="0" distR="0" wp14:anchorId="3F02080C" wp14:editId="4BFB7AF1">
            <wp:extent cx="5939790" cy="2895410"/>
            <wp:effectExtent l="0" t="0" r="3810" b="63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3"/>
                    <a:stretch>
                      <a:fillRect/>
                    </a:stretch>
                  </pic:blipFill>
                  <pic:spPr>
                    <a:xfrm>
                      <a:off x="0" y="0"/>
                      <a:ext cx="5939790" cy="2895410"/>
                    </a:xfrm>
                    <a:prstGeom prst="rect">
                      <a:avLst/>
                    </a:prstGeom>
                  </pic:spPr>
                </pic:pic>
              </a:graphicData>
            </a:graphic>
          </wp:inline>
        </w:drawing>
      </w:r>
    </w:p>
    <w:p w:rsidR="00A26C02" w:rsidRPr="00206C4C" w:rsidRDefault="00A26C02" w:rsidP="00BE6EBD">
      <w:pPr>
        <w:pStyle w:val="-0"/>
        <w:rPr>
          <w:rStyle w:val="af1"/>
        </w:rPr>
      </w:pPr>
      <w:bookmarkStart w:id="1340" w:name="_Toc119584529"/>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bookmarkStart w:id="1341" w:name="_Ref70331399"/>
      <w:r w:rsidR="001860A9">
        <w:rPr>
          <w:rStyle w:val="af1"/>
          <w:noProof/>
        </w:rPr>
        <w:t>342</w:t>
      </w:r>
      <w:bookmarkEnd w:id="1341"/>
      <w:r>
        <w:rPr>
          <w:rStyle w:val="af1"/>
        </w:rPr>
        <w:fldChar w:fldCharType="end"/>
      </w:r>
      <w:r w:rsidR="00BE6EBD" w:rsidRPr="00206C4C">
        <w:t xml:space="preserve"> – Плашка для перехода к отчету «</w:t>
      </w:r>
      <w:r w:rsidR="00BE6EBD">
        <w:t>Дебиторская и кредиторская задолженность</w:t>
      </w:r>
      <w:r w:rsidR="00BE6EBD" w:rsidRPr="00206C4C">
        <w:t>»</w:t>
      </w:r>
      <w:bookmarkEnd w:id="1340"/>
    </w:p>
    <w:p w:rsidR="005D77E1" w:rsidRPr="00206C4C" w:rsidRDefault="005D77E1" w:rsidP="00FC4272">
      <w:pPr>
        <w:pStyle w:val="42"/>
        <w:keepNext/>
      </w:pPr>
      <w:r w:rsidRPr="00206C4C">
        <w:t>Представление «Инфографика»</w:t>
      </w:r>
    </w:p>
    <w:p w:rsidR="005D77E1" w:rsidRPr="00206C4C" w:rsidRDefault="005D77E1" w:rsidP="005D77E1">
      <w:pPr>
        <w:pStyle w:val="af0"/>
      </w:pPr>
      <w:r w:rsidRPr="00206C4C">
        <w:t xml:space="preserve">Представление «Инфографика» представлено на рисунке </w:t>
      </w:r>
      <w:r w:rsidR="00BD5BE2">
        <w:fldChar w:fldCharType="begin"/>
      </w:r>
      <w:r w:rsidR="00BD5BE2">
        <w:instrText xml:space="preserve"> REF _Ref70092016 \h </w:instrText>
      </w:r>
      <w:r w:rsidR="00BD5BE2">
        <w:fldChar w:fldCharType="separate"/>
      </w:r>
      <w:r w:rsidR="00BF0BEE">
        <w:rPr>
          <w:noProof/>
        </w:rPr>
        <w:t>343</w:t>
      </w:r>
      <w:r w:rsidR="00BD5BE2">
        <w:fldChar w:fldCharType="end"/>
      </w:r>
      <w:r w:rsidRPr="00206C4C">
        <w:t xml:space="preserve"> и обеспечивает визуальное представление в виде инфографики информации в следующих представлениях:</w:t>
      </w:r>
    </w:p>
    <w:p w:rsidR="005D77E1" w:rsidRPr="00206C4C" w:rsidRDefault="005D77E1" w:rsidP="00DE1661">
      <w:pPr>
        <w:pStyle w:val="13"/>
      </w:pPr>
      <w:r w:rsidRPr="00206C4C">
        <w:t>Организация: Структура дебиторской (кредиторской) задолженности по ГРБС (Субъектам учета, в случае выбора конкретного ГРБС);</w:t>
      </w:r>
    </w:p>
    <w:p w:rsidR="005D77E1" w:rsidRPr="00206C4C" w:rsidRDefault="005D77E1" w:rsidP="00DE1661">
      <w:pPr>
        <w:pStyle w:val="13"/>
      </w:pPr>
      <w:r w:rsidRPr="00206C4C">
        <w:t>Контрагент: Структура дебиторской (кредиторской) задолженности по контрагентам;</w:t>
      </w:r>
    </w:p>
    <w:p w:rsidR="005D77E1" w:rsidRPr="00206C4C" w:rsidRDefault="005D77E1" w:rsidP="00DE1661">
      <w:pPr>
        <w:pStyle w:val="13"/>
      </w:pPr>
      <w:r w:rsidRPr="00206C4C">
        <w:t>Счет: Структура дебиторской (кредиторской) задолженности по контрагентам.</w:t>
      </w:r>
    </w:p>
    <w:p w:rsidR="00BD5BE2" w:rsidRDefault="00BD5BE2" w:rsidP="00BD5BE2">
      <w:pPr>
        <w:pStyle w:val="afffff7"/>
        <w:keepNext/>
      </w:pPr>
      <w:r>
        <w:rPr>
          <w:noProof/>
          <w:lang w:eastAsia="ru-RU"/>
        </w:rPr>
        <w:drawing>
          <wp:inline distT="0" distB="0" distL="0" distR="0" wp14:anchorId="09A84D71" wp14:editId="18AF8C05">
            <wp:extent cx="5939790" cy="2900314"/>
            <wp:effectExtent l="0" t="0" r="381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4"/>
                    <a:stretch>
                      <a:fillRect/>
                    </a:stretch>
                  </pic:blipFill>
                  <pic:spPr>
                    <a:xfrm>
                      <a:off x="0" y="0"/>
                      <a:ext cx="5939790" cy="2900314"/>
                    </a:xfrm>
                    <a:prstGeom prst="rect">
                      <a:avLst/>
                    </a:prstGeom>
                  </pic:spPr>
                </pic:pic>
              </a:graphicData>
            </a:graphic>
          </wp:inline>
        </w:drawing>
      </w:r>
    </w:p>
    <w:p w:rsidR="005D77E1" w:rsidRPr="00206C4C" w:rsidRDefault="00BD5BE2" w:rsidP="00BD5BE2">
      <w:pPr>
        <w:pStyle w:val="-0"/>
      </w:pPr>
      <w:bookmarkStart w:id="1342" w:name="_Toc119584530"/>
      <w:r w:rsidRPr="00206C4C">
        <w:t xml:space="preserve">Рисунок </w:t>
      </w:r>
      <w:fldSimple w:instr=" SEQ Рисунок \* ARABIC ">
        <w:bookmarkStart w:id="1343" w:name="_Ref70092016"/>
        <w:r w:rsidR="001860A9">
          <w:rPr>
            <w:noProof/>
          </w:rPr>
          <w:t>343</w:t>
        </w:r>
        <w:bookmarkEnd w:id="1343"/>
      </w:fldSimple>
      <w:r w:rsidRPr="00206C4C">
        <w:t xml:space="preserve"> – Макет отчета «Дебиторская и кредиторская задолженность». Представление «Инфографика»</w:t>
      </w:r>
      <w:bookmarkEnd w:id="1342"/>
    </w:p>
    <w:p w:rsidR="005D77E1" w:rsidRPr="00206C4C" w:rsidRDefault="005D77E1" w:rsidP="005D77E1">
      <w:pPr>
        <w:pStyle w:val="af0"/>
      </w:pPr>
      <w:r w:rsidRPr="00206C4C">
        <w:t>Указанные структуры должны выводить топ-записей по максимальной сумме дебиторской (кредиторской) задолженности на конец периода. И обеспечивать взаимную фильтрацию по выбранным строкам.</w:t>
      </w:r>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«Дебиторская и кредиторская задолженность» (F_GK_</w:t>
      </w:r>
      <w:r w:rsidRPr="00206C4C">
        <w:rPr>
          <w:lang w:val="en-US"/>
        </w:rPr>
        <w:t>DKZ</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Дебиторская и кредиторская задолженность. Секционные кнопки, производящие выбор, отображается ли информация в отчете по дебиторской или по кредиторской задолженности;</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Счет. Иерархический список со счетами, относящиеся к дебиторской (кредиторской) задолженности;</w:t>
      </w:r>
    </w:p>
    <w:p w:rsidR="005D77E1" w:rsidRPr="00206C4C" w:rsidRDefault="005D77E1" w:rsidP="00DE1661">
      <w:pPr>
        <w:pStyle w:val="13"/>
      </w:pPr>
      <w:r w:rsidRPr="00206C4C">
        <w:t>Контрагент (ИНН/КПП). Поисковик с контекстным поиском по 5 символам наименования, ИНН или КПП.</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ГРБС;</w:t>
      </w:r>
    </w:p>
    <w:p w:rsidR="005D77E1" w:rsidRPr="00206C4C" w:rsidRDefault="005D77E1" w:rsidP="00DE1661">
      <w:pPr>
        <w:pStyle w:val="13"/>
      </w:pPr>
      <w:r w:rsidRPr="00206C4C">
        <w:t>Детализация по счетам;</w:t>
      </w:r>
    </w:p>
    <w:p w:rsidR="005D77E1" w:rsidRPr="00206C4C" w:rsidRDefault="005D77E1" w:rsidP="00DE1661">
      <w:pPr>
        <w:pStyle w:val="13"/>
      </w:pPr>
      <w:r w:rsidRPr="00206C4C">
        <w:t>Детализация по контрагентам.</w:t>
      </w:r>
    </w:p>
    <w:p w:rsidR="005D77E1" w:rsidRPr="00206C4C" w:rsidRDefault="005D77E1" w:rsidP="005D77E1">
      <w:pPr>
        <w:pStyle w:val="42"/>
      </w:pPr>
      <w:r w:rsidRPr="00206C4C">
        <w:t>Представление «ГРБС»</w:t>
      </w:r>
    </w:p>
    <w:p w:rsidR="005D77E1" w:rsidRPr="00206C4C" w:rsidRDefault="005D77E1" w:rsidP="005D77E1">
      <w:pPr>
        <w:pStyle w:val="af0"/>
      </w:pPr>
      <w:r w:rsidRPr="00206C4C">
        <w:t xml:space="preserve">Представление «ГРБС» представлено на рисунке </w:t>
      </w:r>
      <w:r w:rsidR="006A3458">
        <w:fldChar w:fldCharType="begin"/>
      </w:r>
      <w:r w:rsidR="006A3458">
        <w:instrText xml:space="preserve"> REF _Ref70092078 \h </w:instrText>
      </w:r>
      <w:r w:rsidR="006A3458">
        <w:fldChar w:fldCharType="separate"/>
      </w:r>
      <w:r w:rsidR="00BF0BEE">
        <w:rPr>
          <w:noProof/>
        </w:rPr>
        <w:t>344</w:t>
      </w:r>
      <w:r w:rsidR="006A3458">
        <w:fldChar w:fldCharType="end"/>
      </w:r>
      <w:r w:rsidRPr="00206C4C">
        <w:t xml:space="preserve"> и обеспечивает анализ дебиторской (кредиторской) задолженности в разрезе ГРБС, по следующим показателям:</w:t>
      </w:r>
    </w:p>
    <w:p w:rsidR="005D77E1" w:rsidRPr="00206C4C" w:rsidRDefault="005D77E1" w:rsidP="00DE1661">
      <w:pPr>
        <w:pStyle w:val="13"/>
      </w:pPr>
      <w:r w:rsidRPr="00206C4C">
        <w:t>Глава / Субъект учета;</w:t>
      </w:r>
    </w:p>
    <w:p w:rsidR="005D77E1" w:rsidRPr="00206C4C" w:rsidRDefault="005D77E1" w:rsidP="00DE1661">
      <w:pPr>
        <w:pStyle w:val="13"/>
      </w:pPr>
      <w:r w:rsidRPr="00206C4C">
        <w:t>Сумма дебиторской (кредиторской) задолженности на начало года;</w:t>
      </w:r>
    </w:p>
    <w:p w:rsidR="005D77E1" w:rsidRPr="00206C4C" w:rsidRDefault="005D77E1" w:rsidP="00DE1661">
      <w:pPr>
        <w:pStyle w:val="13"/>
      </w:pPr>
      <w:r w:rsidRPr="00206C4C">
        <w:t>Сумма дебиторской (кредиторской задолженности) на конец периода;</w:t>
      </w:r>
    </w:p>
    <w:p w:rsidR="005D77E1" w:rsidRPr="00206C4C" w:rsidRDefault="005D77E1" w:rsidP="00DE1661">
      <w:pPr>
        <w:pStyle w:val="13"/>
      </w:pPr>
      <w:r w:rsidRPr="00206C4C">
        <w:t>Изменение в рублях;</w:t>
      </w:r>
    </w:p>
    <w:p w:rsidR="005D77E1" w:rsidRPr="00206C4C" w:rsidRDefault="005D77E1" w:rsidP="00DE1661">
      <w:pPr>
        <w:pStyle w:val="13"/>
      </w:pPr>
      <w:r w:rsidRPr="00206C4C">
        <w:t>Измерение, %;</w:t>
      </w:r>
    </w:p>
    <w:p w:rsidR="005D77E1" w:rsidRPr="00206C4C" w:rsidRDefault="005D77E1" w:rsidP="00DE1661">
      <w:pPr>
        <w:pStyle w:val="13"/>
      </w:pPr>
      <w:r w:rsidRPr="00206C4C">
        <w:t>Доля в общем итоге;</w:t>
      </w:r>
    </w:p>
    <w:p w:rsidR="005D77E1" w:rsidRPr="00206C4C" w:rsidRDefault="005D77E1" w:rsidP="00DE1661">
      <w:pPr>
        <w:pStyle w:val="13"/>
      </w:pPr>
      <w:r w:rsidRPr="00206C4C">
        <w:t>Коэффициент соотношения дебиторской и кредиторской задолженности.</w:t>
      </w:r>
    </w:p>
    <w:p w:rsidR="006A3458" w:rsidRDefault="006A3458" w:rsidP="006A3458">
      <w:pPr>
        <w:pStyle w:val="afffff7"/>
        <w:keepNext/>
      </w:pPr>
      <w:r>
        <w:rPr>
          <w:noProof/>
          <w:lang w:eastAsia="ru-RU"/>
        </w:rPr>
        <w:drawing>
          <wp:inline distT="0" distB="0" distL="0" distR="0" wp14:anchorId="219B567D" wp14:editId="5F51B580">
            <wp:extent cx="5939790" cy="2889280"/>
            <wp:effectExtent l="0" t="0" r="3810" b="635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5"/>
                    <a:stretch>
                      <a:fillRect/>
                    </a:stretch>
                  </pic:blipFill>
                  <pic:spPr>
                    <a:xfrm>
                      <a:off x="0" y="0"/>
                      <a:ext cx="5939790" cy="2889280"/>
                    </a:xfrm>
                    <a:prstGeom prst="rect">
                      <a:avLst/>
                    </a:prstGeom>
                  </pic:spPr>
                </pic:pic>
              </a:graphicData>
            </a:graphic>
          </wp:inline>
        </w:drawing>
      </w:r>
    </w:p>
    <w:p w:rsidR="005D77E1" w:rsidRPr="00206C4C" w:rsidRDefault="006A3458" w:rsidP="006A3458">
      <w:pPr>
        <w:pStyle w:val="-0"/>
      </w:pPr>
      <w:bookmarkStart w:id="1344" w:name="_Toc119584531"/>
      <w:r w:rsidRPr="00206C4C">
        <w:t xml:space="preserve">Рисунок </w:t>
      </w:r>
      <w:fldSimple w:instr=" SEQ Рисунок \* ARABIC ">
        <w:bookmarkStart w:id="1345" w:name="_Ref70092078"/>
        <w:r w:rsidR="001860A9">
          <w:rPr>
            <w:noProof/>
          </w:rPr>
          <w:t>344</w:t>
        </w:r>
        <w:bookmarkEnd w:id="1345"/>
      </w:fldSimple>
      <w:r w:rsidRPr="00206C4C">
        <w:t xml:space="preserve"> – Макет отчета «Дебиторская и кредиторская задолженность». Представление «ГРБС»</w:t>
      </w:r>
      <w:bookmarkEnd w:id="1344"/>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«Дебиторская и кредиторская задолженность» (F_GK_</w:t>
      </w:r>
      <w:r w:rsidRPr="00206C4C">
        <w:rPr>
          <w:lang w:val="en-US"/>
        </w:rPr>
        <w:t>DKZ</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Дебиторская и кредиторская задолженность. Секционные кнопки, производящие выбор, отображается ли информация в отчете по дебиторской или по кредиторской задолженности;</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Счет. Иерархический список со счетами, относящиеся к дебиторской (кредиторской) задолженности;</w:t>
      </w:r>
    </w:p>
    <w:p w:rsidR="005D77E1" w:rsidRPr="00206C4C" w:rsidRDefault="005D77E1" w:rsidP="00DE1661">
      <w:pPr>
        <w:pStyle w:val="13"/>
      </w:pPr>
      <w:r w:rsidRPr="00206C4C">
        <w:t>Контрагент (ИНН/КПП). Поисковик с контекстным поиском по 5 символам наименования, ИНН или КПП;</w:t>
      </w:r>
    </w:p>
    <w:p w:rsidR="005D77E1" w:rsidRPr="00206C4C" w:rsidRDefault="005D77E1" w:rsidP="00DE1661">
      <w:pPr>
        <w:pStyle w:val="13"/>
      </w:pPr>
      <w:r w:rsidRPr="00206C4C">
        <w:t>Тип поставщика. Плоский фильтр со множественным выбором: добросовестный поставщик, недобросовестный поставщик, банкрот.</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счетам;</w:t>
      </w:r>
    </w:p>
    <w:p w:rsidR="005D77E1" w:rsidRPr="00206C4C" w:rsidRDefault="005D77E1" w:rsidP="00DE1661">
      <w:pPr>
        <w:pStyle w:val="13"/>
      </w:pPr>
      <w:r w:rsidRPr="00206C4C">
        <w:t>Детализация по контрагентам.</w:t>
      </w:r>
    </w:p>
    <w:p w:rsidR="005D77E1" w:rsidRPr="00206C4C" w:rsidRDefault="005D77E1" w:rsidP="005D77E1">
      <w:pPr>
        <w:pStyle w:val="42"/>
      </w:pPr>
      <w:r w:rsidRPr="00206C4C">
        <w:t>Представление «Счета»</w:t>
      </w:r>
    </w:p>
    <w:p w:rsidR="005D77E1" w:rsidRPr="00206C4C" w:rsidRDefault="005D77E1" w:rsidP="005D77E1">
      <w:pPr>
        <w:pStyle w:val="af0"/>
      </w:pPr>
      <w:r w:rsidRPr="00206C4C">
        <w:t xml:space="preserve">Представление «Счета» представлено на рисунке </w:t>
      </w:r>
      <w:r w:rsidR="006A3458">
        <w:fldChar w:fldCharType="begin"/>
      </w:r>
      <w:r w:rsidR="006A3458">
        <w:instrText xml:space="preserve"> REF _Ref70092125 \h </w:instrText>
      </w:r>
      <w:r w:rsidR="006A3458">
        <w:fldChar w:fldCharType="separate"/>
      </w:r>
      <w:r w:rsidR="00BF0BEE">
        <w:rPr>
          <w:noProof/>
        </w:rPr>
        <w:t>345</w:t>
      </w:r>
      <w:r w:rsidR="006A3458">
        <w:fldChar w:fldCharType="end"/>
      </w:r>
      <w:r w:rsidRPr="00206C4C">
        <w:t xml:space="preserve"> и обеспечивает анализ дебиторской (кредиторской) задолженности в разрезе счетов, по следующим показателям:</w:t>
      </w:r>
    </w:p>
    <w:p w:rsidR="005D77E1" w:rsidRPr="00206C4C" w:rsidRDefault="005D77E1" w:rsidP="00DE1661">
      <w:pPr>
        <w:pStyle w:val="13"/>
      </w:pPr>
      <w:r w:rsidRPr="00206C4C">
        <w:t>Номер счета;</w:t>
      </w:r>
    </w:p>
    <w:p w:rsidR="005D77E1" w:rsidRPr="00206C4C" w:rsidRDefault="005D77E1" w:rsidP="00DE1661">
      <w:pPr>
        <w:pStyle w:val="13"/>
      </w:pPr>
      <w:r w:rsidRPr="00206C4C">
        <w:t>Наименование счета;</w:t>
      </w:r>
    </w:p>
    <w:p w:rsidR="005D77E1" w:rsidRPr="00206C4C" w:rsidRDefault="005D77E1" w:rsidP="00DE1661">
      <w:pPr>
        <w:pStyle w:val="13"/>
      </w:pPr>
      <w:r w:rsidRPr="00206C4C">
        <w:t>Сумма дебиторской (кредиторской) задолженности на начало года;</w:t>
      </w:r>
    </w:p>
    <w:p w:rsidR="005D77E1" w:rsidRPr="00206C4C" w:rsidRDefault="005D77E1" w:rsidP="00DE1661">
      <w:pPr>
        <w:pStyle w:val="13"/>
      </w:pPr>
      <w:r w:rsidRPr="00206C4C">
        <w:t>Сумма дебиторской (кредиторской задолженности) на конец периода;</w:t>
      </w:r>
    </w:p>
    <w:p w:rsidR="005D77E1" w:rsidRPr="00206C4C" w:rsidRDefault="005D77E1" w:rsidP="00DE1661">
      <w:pPr>
        <w:pStyle w:val="13"/>
      </w:pPr>
      <w:r w:rsidRPr="00206C4C">
        <w:t>Изменение в рублях;</w:t>
      </w:r>
    </w:p>
    <w:p w:rsidR="005D77E1" w:rsidRPr="00206C4C" w:rsidRDefault="005D77E1" w:rsidP="00DE1661">
      <w:pPr>
        <w:pStyle w:val="13"/>
      </w:pPr>
      <w:r w:rsidRPr="00206C4C">
        <w:t>Измерение, %;</w:t>
      </w:r>
    </w:p>
    <w:p w:rsidR="005D77E1" w:rsidRPr="00206C4C" w:rsidRDefault="005D77E1" w:rsidP="00DE1661">
      <w:pPr>
        <w:pStyle w:val="13"/>
      </w:pPr>
      <w:r w:rsidRPr="00206C4C">
        <w:t>Доля в общем итоге.</w:t>
      </w:r>
    </w:p>
    <w:p w:rsidR="006A3458" w:rsidRDefault="006A3458" w:rsidP="006A3458">
      <w:pPr>
        <w:pStyle w:val="afffff7"/>
        <w:keepNext/>
      </w:pPr>
      <w:r>
        <w:rPr>
          <w:noProof/>
          <w:lang w:eastAsia="ru-RU"/>
        </w:rPr>
        <w:drawing>
          <wp:inline distT="0" distB="0" distL="0" distR="0" wp14:anchorId="5CACE343" wp14:editId="6F977387">
            <wp:extent cx="5939790" cy="2898475"/>
            <wp:effectExtent l="0" t="0" r="381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stretch>
                      <a:fillRect/>
                    </a:stretch>
                  </pic:blipFill>
                  <pic:spPr>
                    <a:xfrm>
                      <a:off x="0" y="0"/>
                      <a:ext cx="5939790" cy="2898475"/>
                    </a:xfrm>
                    <a:prstGeom prst="rect">
                      <a:avLst/>
                    </a:prstGeom>
                  </pic:spPr>
                </pic:pic>
              </a:graphicData>
            </a:graphic>
          </wp:inline>
        </w:drawing>
      </w:r>
    </w:p>
    <w:p w:rsidR="005D77E1" w:rsidRPr="00206C4C" w:rsidRDefault="006A3458" w:rsidP="006A3458">
      <w:pPr>
        <w:pStyle w:val="-0"/>
      </w:pPr>
      <w:bookmarkStart w:id="1346" w:name="_Toc119584532"/>
      <w:r w:rsidRPr="00206C4C">
        <w:t xml:space="preserve">Рисунок </w:t>
      </w:r>
      <w:fldSimple w:instr=" SEQ Рисунок \* ARABIC ">
        <w:bookmarkStart w:id="1347" w:name="_Ref70092125"/>
        <w:r w:rsidR="001860A9">
          <w:rPr>
            <w:noProof/>
          </w:rPr>
          <w:t>345</w:t>
        </w:r>
        <w:bookmarkEnd w:id="1347"/>
      </w:fldSimple>
      <w:r w:rsidRPr="00206C4C">
        <w:t xml:space="preserve"> – Макет отчета «Дебиторская и кредиторская задолженность». Представление Счета»</w:t>
      </w:r>
      <w:bookmarkEnd w:id="1346"/>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«Дебиторская и кредиторская задолженность» (F_GK_</w:t>
      </w:r>
      <w:r w:rsidRPr="00206C4C">
        <w:rPr>
          <w:lang w:val="en-US"/>
        </w:rPr>
        <w:t>DKZ</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Дебиторская и кредиторская задолженность. Секционные кнопки, производящие выбор, отображается ли информация в отчете по дебиторской или по кредиторской задолженности;</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Счет. Иерархический список со счетами, относящиеся к дебиторской (кредиторской) задолженности;</w:t>
      </w:r>
    </w:p>
    <w:p w:rsidR="005D77E1" w:rsidRPr="00206C4C" w:rsidRDefault="005D77E1" w:rsidP="00DE1661">
      <w:pPr>
        <w:pStyle w:val="13"/>
      </w:pPr>
      <w:r w:rsidRPr="00206C4C">
        <w:t>Контрагент (ИНН/КПП). Поисковик с контекстным поиском по 5 символам наименования, ИНН или КПП;</w:t>
      </w:r>
    </w:p>
    <w:p w:rsidR="005D77E1" w:rsidRPr="00206C4C" w:rsidRDefault="005D77E1" w:rsidP="00DE1661">
      <w:pPr>
        <w:pStyle w:val="13"/>
      </w:pPr>
      <w:r w:rsidRPr="00206C4C">
        <w:t>Тип поставщика. Плоский фильтр со множественным выбором: добросовестный поставщик, недобросовестный поставщик, банкрот.</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ГРБС;</w:t>
      </w:r>
    </w:p>
    <w:p w:rsidR="005D77E1" w:rsidRPr="00206C4C" w:rsidRDefault="005D77E1" w:rsidP="00DE1661">
      <w:pPr>
        <w:pStyle w:val="13"/>
      </w:pPr>
      <w:r w:rsidRPr="00206C4C">
        <w:t>Детализация по контрагентам.</w:t>
      </w:r>
    </w:p>
    <w:p w:rsidR="005D77E1" w:rsidRPr="00206C4C" w:rsidRDefault="005D77E1" w:rsidP="005D77E1">
      <w:pPr>
        <w:pStyle w:val="42"/>
      </w:pPr>
      <w:r w:rsidRPr="00206C4C">
        <w:t>Представление «Контрагенты»</w:t>
      </w:r>
    </w:p>
    <w:p w:rsidR="005D77E1" w:rsidRPr="00206C4C" w:rsidRDefault="005D77E1" w:rsidP="005D77E1">
      <w:pPr>
        <w:pStyle w:val="af0"/>
      </w:pPr>
      <w:r w:rsidRPr="00206C4C">
        <w:t>Представление «Контрагенты» представлено на рисунке</w:t>
      </w:r>
      <w:r w:rsidR="00F168CA">
        <w:t xml:space="preserve"> </w:t>
      </w:r>
      <w:r w:rsidR="00F168CA">
        <w:fldChar w:fldCharType="begin"/>
      </w:r>
      <w:r w:rsidR="00F168CA">
        <w:instrText xml:space="preserve"> REF _Ref70331708 \h </w:instrText>
      </w:r>
      <w:r w:rsidR="00F168CA">
        <w:fldChar w:fldCharType="separate"/>
      </w:r>
      <w:r w:rsidR="00BF0BEE">
        <w:rPr>
          <w:noProof/>
        </w:rPr>
        <w:t>346</w:t>
      </w:r>
      <w:r w:rsidR="00F168CA">
        <w:fldChar w:fldCharType="end"/>
      </w:r>
      <w:r w:rsidRPr="00206C4C">
        <w:t xml:space="preserve"> группы отчетов «Сведения о ФХД ФОИВ» обеспечивает анализ дебиторской (кредиторской) задолженности в разрезе контрагентов, по следующим показателям:</w:t>
      </w:r>
    </w:p>
    <w:p w:rsidR="005D77E1" w:rsidRPr="00206C4C" w:rsidRDefault="005D77E1" w:rsidP="00DE1661">
      <w:pPr>
        <w:pStyle w:val="13"/>
      </w:pPr>
      <w:r w:rsidRPr="00206C4C">
        <w:t>Информация о контрагенте;</w:t>
      </w:r>
    </w:p>
    <w:p w:rsidR="005D77E1" w:rsidRPr="00206C4C" w:rsidRDefault="005D77E1" w:rsidP="00DE1661">
      <w:pPr>
        <w:pStyle w:val="13"/>
      </w:pPr>
      <w:r w:rsidRPr="00206C4C">
        <w:t>Сумма дебиторской (кредиторской) задолженности на начало года;</w:t>
      </w:r>
    </w:p>
    <w:p w:rsidR="005D77E1" w:rsidRPr="00206C4C" w:rsidRDefault="005D77E1" w:rsidP="00DE1661">
      <w:pPr>
        <w:pStyle w:val="13"/>
      </w:pPr>
      <w:r w:rsidRPr="00206C4C">
        <w:t>Сумма дебиторской (кредиторской задолженности) на конец периода;</w:t>
      </w:r>
    </w:p>
    <w:p w:rsidR="005D77E1" w:rsidRPr="00206C4C" w:rsidRDefault="005D77E1" w:rsidP="00DE1661">
      <w:pPr>
        <w:pStyle w:val="13"/>
      </w:pPr>
      <w:r w:rsidRPr="00206C4C">
        <w:t>Изменение в рублях;</w:t>
      </w:r>
    </w:p>
    <w:p w:rsidR="005D77E1" w:rsidRPr="00206C4C" w:rsidRDefault="005D77E1" w:rsidP="00DE1661">
      <w:pPr>
        <w:pStyle w:val="13"/>
      </w:pPr>
      <w:r w:rsidRPr="00206C4C">
        <w:t>Измерение, %;</w:t>
      </w:r>
    </w:p>
    <w:p w:rsidR="005D77E1" w:rsidRPr="00206C4C" w:rsidRDefault="005D77E1" w:rsidP="00DE1661">
      <w:pPr>
        <w:pStyle w:val="13"/>
      </w:pPr>
      <w:r w:rsidRPr="00206C4C">
        <w:t>Доля в общем итоге.</w:t>
      </w:r>
    </w:p>
    <w:p w:rsidR="006A3458" w:rsidRDefault="006A3458" w:rsidP="006A3458">
      <w:pPr>
        <w:pStyle w:val="afffff7"/>
        <w:keepNext/>
      </w:pPr>
      <w:r>
        <w:rPr>
          <w:noProof/>
          <w:lang w:eastAsia="ru-RU"/>
        </w:rPr>
        <w:drawing>
          <wp:inline distT="0" distB="0" distL="0" distR="0" wp14:anchorId="2037FB5B" wp14:editId="1EB28889">
            <wp:extent cx="5939790" cy="2881310"/>
            <wp:effectExtent l="0" t="0" r="381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7"/>
                    <a:stretch>
                      <a:fillRect/>
                    </a:stretch>
                  </pic:blipFill>
                  <pic:spPr>
                    <a:xfrm>
                      <a:off x="0" y="0"/>
                      <a:ext cx="5939790" cy="2881310"/>
                    </a:xfrm>
                    <a:prstGeom prst="rect">
                      <a:avLst/>
                    </a:prstGeom>
                  </pic:spPr>
                </pic:pic>
              </a:graphicData>
            </a:graphic>
          </wp:inline>
        </w:drawing>
      </w:r>
    </w:p>
    <w:p w:rsidR="005D77E1" w:rsidRPr="00206C4C" w:rsidRDefault="006A3458" w:rsidP="006A3458">
      <w:pPr>
        <w:pStyle w:val="-0"/>
      </w:pPr>
      <w:bookmarkStart w:id="1348" w:name="_Toc119584533"/>
      <w:r w:rsidRPr="00206C4C">
        <w:t xml:space="preserve">Рисунок </w:t>
      </w:r>
      <w:fldSimple w:instr=" SEQ Рисунок \* ARABIC ">
        <w:bookmarkStart w:id="1349" w:name="_Ref70331708"/>
        <w:r w:rsidR="001860A9">
          <w:rPr>
            <w:noProof/>
          </w:rPr>
          <w:t>346</w:t>
        </w:r>
        <w:bookmarkEnd w:id="1349"/>
      </w:fldSimple>
      <w:r w:rsidRPr="00206C4C">
        <w:t xml:space="preserve"> – Макет отчета «Дебиторская и кредиторская задолженность - Контрагенты»</w:t>
      </w:r>
      <w:bookmarkEnd w:id="1348"/>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«Дебиторская и кредиторская задолженность» (F_GK_</w:t>
      </w:r>
      <w:r w:rsidRPr="00206C4C">
        <w:rPr>
          <w:lang w:val="en-US"/>
        </w:rPr>
        <w:t>DKZ</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Дебиторская и кредиторская задолженность. Секционные кнопки, производящие выбор, отображается ли информация в отчете по дебиторской или по кредиторской задолженности;</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Счет. Иерархический список со счетами, относящиеся к дебиторской (кредиторской) задолженности;</w:t>
      </w:r>
    </w:p>
    <w:p w:rsidR="005D77E1" w:rsidRPr="00206C4C" w:rsidRDefault="005D77E1" w:rsidP="00DE1661">
      <w:pPr>
        <w:pStyle w:val="13"/>
      </w:pPr>
      <w:r w:rsidRPr="00206C4C">
        <w:t>Контрагент (ИНН/КПП). Поисковик с контекстным поиском по 5 символам наименования, ИНН или КПП;</w:t>
      </w:r>
    </w:p>
    <w:p w:rsidR="005D77E1" w:rsidRPr="00206C4C" w:rsidRDefault="005D77E1" w:rsidP="00DE1661">
      <w:pPr>
        <w:pStyle w:val="13"/>
      </w:pPr>
      <w:r w:rsidRPr="00206C4C">
        <w:t>Тип поставщика. Плоский фильтр со множественным выбором: добросовестный поставщик, недобросовестный поставщик, банкрот.</w:t>
      </w:r>
    </w:p>
    <w:p w:rsidR="005D77E1" w:rsidRPr="00206C4C" w:rsidRDefault="005D77E1" w:rsidP="005D77E1">
      <w:pPr>
        <w:pStyle w:val="af0"/>
      </w:pPr>
      <w:r w:rsidRPr="00206C4C">
        <w:t>Из отчета обеспечены переходы в следующие виды детализации:</w:t>
      </w:r>
    </w:p>
    <w:p w:rsidR="005D77E1" w:rsidRPr="00206C4C" w:rsidRDefault="005D77E1" w:rsidP="00DE1661">
      <w:pPr>
        <w:pStyle w:val="13"/>
      </w:pPr>
      <w:r w:rsidRPr="00206C4C">
        <w:t>Детализация по счетам;</w:t>
      </w:r>
    </w:p>
    <w:p w:rsidR="005D77E1" w:rsidRPr="00206C4C" w:rsidRDefault="005D77E1" w:rsidP="00DE1661">
      <w:pPr>
        <w:pStyle w:val="13"/>
      </w:pPr>
      <w:r w:rsidRPr="00206C4C">
        <w:t>Детализация по ГРБС;</w:t>
      </w:r>
    </w:p>
    <w:p w:rsidR="005D77E1" w:rsidRPr="00206C4C" w:rsidRDefault="005D77E1" w:rsidP="00DE1661">
      <w:pPr>
        <w:pStyle w:val="13"/>
      </w:pPr>
      <w:r w:rsidRPr="00206C4C">
        <w:t>Детализация по договорам.</w:t>
      </w:r>
    </w:p>
    <w:p w:rsidR="005D77E1" w:rsidRPr="00206C4C" w:rsidRDefault="005D77E1" w:rsidP="005D77E1">
      <w:pPr>
        <w:pStyle w:val="42"/>
      </w:pPr>
      <w:r w:rsidRPr="00206C4C">
        <w:t>Представление «Договоры»</w:t>
      </w:r>
    </w:p>
    <w:p w:rsidR="005D77E1" w:rsidRPr="00206C4C" w:rsidRDefault="005D77E1" w:rsidP="005D77E1">
      <w:pPr>
        <w:pStyle w:val="af0"/>
      </w:pPr>
      <w:r w:rsidRPr="00206C4C">
        <w:t xml:space="preserve">Представление «Договоры» представлено на рисунке </w:t>
      </w:r>
      <w:r w:rsidR="006A3458">
        <w:fldChar w:fldCharType="begin"/>
      </w:r>
      <w:r w:rsidR="006A3458">
        <w:instrText xml:space="preserve"> REF _Ref70092251 \h </w:instrText>
      </w:r>
      <w:r w:rsidR="006A3458">
        <w:fldChar w:fldCharType="separate"/>
      </w:r>
      <w:r w:rsidR="00BF0BEE">
        <w:rPr>
          <w:noProof/>
        </w:rPr>
        <w:t>347</w:t>
      </w:r>
      <w:r w:rsidR="006A3458">
        <w:fldChar w:fldCharType="end"/>
      </w:r>
      <w:r w:rsidRPr="00206C4C">
        <w:t xml:space="preserve"> и обеспечивает анализ дебиторской (кредиторской) задолженности в разрезе договоров, по следующим показателям:</w:t>
      </w:r>
    </w:p>
    <w:p w:rsidR="005D77E1" w:rsidRPr="00206C4C" w:rsidRDefault="005D77E1" w:rsidP="00DE1661">
      <w:pPr>
        <w:pStyle w:val="13"/>
      </w:pPr>
      <w:r w:rsidRPr="00206C4C">
        <w:t>Реквизиты договора;</w:t>
      </w:r>
    </w:p>
    <w:p w:rsidR="005D77E1" w:rsidRPr="00206C4C" w:rsidRDefault="005D77E1" w:rsidP="00DE1661">
      <w:pPr>
        <w:pStyle w:val="13"/>
      </w:pPr>
      <w:r w:rsidRPr="00206C4C">
        <w:t>Информация об организации;</w:t>
      </w:r>
    </w:p>
    <w:p w:rsidR="005D77E1" w:rsidRPr="00206C4C" w:rsidRDefault="005D77E1" w:rsidP="00DE1661">
      <w:pPr>
        <w:pStyle w:val="13"/>
      </w:pPr>
      <w:r w:rsidRPr="00206C4C">
        <w:t>Информация о контрагенте;</w:t>
      </w:r>
    </w:p>
    <w:p w:rsidR="005D77E1" w:rsidRPr="00206C4C" w:rsidRDefault="005D77E1" w:rsidP="00DE1661">
      <w:pPr>
        <w:pStyle w:val="13"/>
      </w:pPr>
      <w:r w:rsidRPr="00206C4C">
        <w:t>Сумма дебиторской (кредиторской) задолженности на начало года;</w:t>
      </w:r>
    </w:p>
    <w:p w:rsidR="005D77E1" w:rsidRPr="00206C4C" w:rsidRDefault="005D77E1" w:rsidP="00DE1661">
      <w:pPr>
        <w:pStyle w:val="13"/>
      </w:pPr>
      <w:r w:rsidRPr="00206C4C">
        <w:t>Сумма дебиторской (кредиторской задолженности) на конец периода;</w:t>
      </w:r>
    </w:p>
    <w:p w:rsidR="005D77E1" w:rsidRPr="00206C4C" w:rsidRDefault="005D77E1" w:rsidP="00DE1661">
      <w:pPr>
        <w:pStyle w:val="13"/>
      </w:pPr>
      <w:r w:rsidRPr="00206C4C">
        <w:t>Изменение в рублях;</w:t>
      </w:r>
    </w:p>
    <w:p w:rsidR="005D77E1" w:rsidRPr="00206C4C" w:rsidRDefault="005D77E1" w:rsidP="00DE1661">
      <w:pPr>
        <w:pStyle w:val="13"/>
      </w:pPr>
      <w:r w:rsidRPr="00206C4C">
        <w:t>Измерение, %;</w:t>
      </w:r>
    </w:p>
    <w:p w:rsidR="005D77E1" w:rsidRPr="00206C4C" w:rsidRDefault="005D77E1" w:rsidP="00DE1661">
      <w:pPr>
        <w:pStyle w:val="13"/>
      </w:pPr>
      <w:r w:rsidRPr="00206C4C">
        <w:t>Доля в общем итоге.</w:t>
      </w:r>
    </w:p>
    <w:p w:rsidR="006A3458" w:rsidRDefault="006A3458" w:rsidP="006A3458">
      <w:pPr>
        <w:pStyle w:val="afffff7"/>
        <w:keepNext/>
      </w:pPr>
      <w:r>
        <w:rPr>
          <w:noProof/>
          <w:lang w:eastAsia="ru-RU"/>
        </w:rPr>
        <w:drawing>
          <wp:inline distT="0" distB="0" distL="0" distR="0" wp14:anchorId="422CA545" wp14:editId="45CD1611">
            <wp:extent cx="5939790" cy="2877019"/>
            <wp:effectExtent l="0" t="0" r="381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8"/>
                    <a:stretch>
                      <a:fillRect/>
                    </a:stretch>
                  </pic:blipFill>
                  <pic:spPr>
                    <a:xfrm>
                      <a:off x="0" y="0"/>
                      <a:ext cx="5939790" cy="2877019"/>
                    </a:xfrm>
                    <a:prstGeom prst="rect">
                      <a:avLst/>
                    </a:prstGeom>
                  </pic:spPr>
                </pic:pic>
              </a:graphicData>
            </a:graphic>
          </wp:inline>
        </w:drawing>
      </w:r>
    </w:p>
    <w:p w:rsidR="005D77E1" w:rsidRPr="00206C4C" w:rsidRDefault="006A3458" w:rsidP="006A3458">
      <w:pPr>
        <w:pStyle w:val="-0"/>
      </w:pPr>
      <w:bookmarkStart w:id="1350" w:name="_Toc119584534"/>
      <w:r w:rsidRPr="00206C4C">
        <w:t xml:space="preserve">Рисунок </w:t>
      </w:r>
      <w:fldSimple w:instr=" SEQ Рисунок \* ARABIC ">
        <w:bookmarkStart w:id="1351" w:name="_Ref70092251"/>
        <w:r w:rsidR="001860A9">
          <w:rPr>
            <w:noProof/>
          </w:rPr>
          <w:t>347</w:t>
        </w:r>
        <w:bookmarkEnd w:id="1351"/>
      </w:fldSimple>
      <w:r w:rsidRPr="00206C4C">
        <w:t xml:space="preserve"> – Макет отчета «Дебиторская и кредиторская задолженность - Договоры»</w:t>
      </w:r>
      <w:bookmarkEnd w:id="1350"/>
    </w:p>
    <w:p w:rsidR="005D77E1" w:rsidRPr="00206C4C" w:rsidRDefault="005D77E1" w:rsidP="005D77E1">
      <w:pPr>
        <w:pStyle w:val="af0"/>
      </w:pPr>
      <w:r w:rsidRPr="00206C4C">
        <w:t>Источники данных для отчета:</w:t>
      </w:r>
    </w:p>
    <w:p w:rsidR="005D77E1" w:rsidRPr="00206C4C" w:rsidRDefault="005D77E1" w:rsidP="00DE1661">
      <w:pPr>
        <w:pStyle w:val="13"/>
      </w:pPr>
      <w:r w:rsidRPr="00206C4C">
        <w:t>Данные на основе информации «Дебиторская и кредиторская задолженность» (F_GK_</w:t>
      </w:r>
      <w:r w:rsidRPr="00206C4C">
        <w:rPr>
          <w:lang w:val="en-US"/>
        </w:rPr>
        <w:t>DKZ</w:t>
      </w:r>
      <w:r w:rsidRPr="00206C4C">
        <w:t>);</w:t>
      </w:r>
    </w:p>
    <w:p w:rsidR="005D77E1" w:rsidRPr="00206C4C" w:rsidRDefault="005D77E1" w:rsidP="005D77E1">
      <w:pPr>
        <w:pStyle w:val="af0"/>
      </w:pPr>
      <w:r w:rsidRPr="00206C4C">
        <w:t>Параметры отчета:</w:t>
      </w:r>
    </w:p>
    <w:p w:rsidR="005D77E1" w:rsidRPr="00206C4C" w:rsidRDefault="005D77E1" w:rsidP="00DE1661">
      <w:pPr>
        <w:pStyle w:val="13"/>
      </w:pPr>
      <w:r w:rsidRPr="00206C4C">
        <w:t>Дебиторская и кредиторская задолженность. Секционные кнопки, производящие выбор, отображается ли информация в отчете по дебиторской или по кредиторской задолженности;</w:t>
      </w:r>
    </w:p>
    <w:p w:rsidR="005D77E1" w:rsidRPr="00206C4C" w:rsidRDefault="005D77E1" w:rsidP="00DE1661">
      <w:pPr>
        <w:pStyle w:val="13"/>
      </w:pPr>
      <w:r w:rsidRPr="00206C4C">
        <w:t>Дата. Выпадающий список с выбором определенной даты с использованием календаря;</w:t>
      </w:r>
    </w:p>
    <w:p w:rsidR="005D77E1" w:rsidRPr="00206C4C" w:rsidRDefault="005D77E1" w:rsidP="00DE1661">
      <w:pPr>
        <w:pStyle w:val="13"/>
      </w:pPr>
      <w:r w:rsidRPr="00206C4C">
        <w:t>Единицы измерения. Плоский список с элементами: руб., тыс. руб., млн. руб., млрд. руб.;</w:t>
      </w:r>
    </w:p>
    <w:p w:rsidR="005D77E1" w:rsidRPr="00206C4C" w:rsidRDefault="005D77E1" w:rsidP="00DE1661">
      <w:pPr>
        <w:pStyle w:val="13"/>
      </w:pPr>
      <w:r w:rsidRPr="00206C4C">
        <w:t>Код главы. Плоский список с перечнем Глав субъектов учета, по которым производится анализ в ПИАО;</w:t>
      </w:r>
    </w:p>
    <w:p w:rsidR="005D77E1" w:rsidRPr="00206C4C" w:rsidRDefault="005D77E1" w:rsidP="00DE1661">
      <w:pPr>
        <w:pStyle w:val="13"/>
      </w:pPr>
      <w:r w:rsidRPr="00206C4C">
        <w:t>ТОФК. Плоский список с перечнем ТОФК, к которым принадлежат субъекты учета, по которым производится анализ в ПИАО;</w:t>
      </w:r>
    </w:p>
    <w:p w:rsidR="005D77E1" w:rsidRPr="00206C4C" w:rsidRDefault="005D77E1" w:rsidP="00DE1661">
      <w:pPr>
        <w:pStyle w:val="13"/>
      </w:pPr>
      <w:r w:rsidRPr="00206C4C">
        <w:t>Субъект учета. Плоский список: перечень субъектов учета, передавших по полномочия по ведению бухгалтерского учета Федеральному казначейству, и анализирующихся в ПИАО. Фильтр зависит от выбора в фильтре «Код Главы»: отображаются только субъекты учета, принадлежащие к данной Главе;</w:t>
      </w:r>
    </w:p>
    <w:p w:rsidR="005D77E1" w:rsidRPr="00206C4C" w:rsidRDefault="005D77E1" w:rsidP="00DE1661">
      <w:pPr>
        <w:pStyle w:val="13"/>
      </w:pPr>
      <w:r w:rsidRPr="00206C4C">
        <w:t>Счет. Иерархический список со счетами, относящиеся к дебиторской (кредиторской) задолженности;</w:t>
      </w:r>
    </w:p>
    <w:p w:rsidR="005D77E1" w:rsidRDefault="005D77E1" w:rsidP="00DE1661">
      <w:pPr>
        <w:pStyle w:val="13"/>
      </w:pPr>
      <w:r w:rsidRPr="00206C4C">
        <w:t>Контрагент (ИНН/КПП). Поисковик с контекстным поиском по 5 символам наименования, ИНН или КПП;</w:t>
      </w:r>
    </w:p>
    <w:p w:rsidR="00862055" w:rsidRPr="00862055" w:rsidRDefault="00862055" w:rsidP="00862055">
      <w:pPr>
        <w:pStyle w:val="35"/>
        <w:rPr>
          <w:sz w:val="32"/>
        </w:rPr>
      </w:pPr>
      <w:r w:rsidRPr="00862055">
        <w:rPr>
          <w:sz w:val="32"/>
        </w:rPr>
        <w:t xml:space="preserve"> </w:t>
      </w:r>
      <w:bookmarkStart w:id="1352" w:name="_Ref117502449"/>
      <w:bookmarkStart w:id="1353" w:name="_Ref117502455"/>
      <w:bookmarkStart w:id="1354" w:name="_Toc119585110"/>
      <w:r w:rsidRPr="00862055">
        <w:rPr>
          <w:sz w:val="32"/>
        </w:rPr>
        <w:t>Отчет «Сведения о ФОТ ФОИВ» (PIAO_103_001_Analiz_FOTReport_82_view_CH)</w:t>
      </w:r>
      <w:bookmarkEnd w:id="1352"/>
      <w:bookmarkEnd w:id="1353"/>
      <w:bookmarkEnd w:id="1354"/>
    </w:p>
    <w:p w:rsidR="00862055" w:rsidRDefault="00862055" w:rsidP="00356CF3">
      <w:pPr>
        <w:pStyle w:val="42"/>
      </w:pPr>
      <w:r>
        <w:t>Основной функционал аналитического отчета «Сведения о ФОТ ФОИВ»</w:t>
      </w:r>
    </w:p>
    <w:p w:rsidR="00862055" w:rsidRDefault="00862055" w:rsidP="00862055">
      <w:pPr>
        <w:pStyle w:val="af0"/>
      </w:pPr>
      <w:r>
        <w:t>Аналитический отчет «Сведения о ФОТ ФОИВ» реализован в виде таблицы с возможностью самостоятельного редактирования пользователем Подсистемы с использованием контекстного меню (кросс-таблица).</w:t>
      </w:r>
    </w:p>
    <w:p w:rsidR="00862055" w:rsidRDefault="00862055" w:rsidP="00862055">
      <w:pPr>
        <w:pStyle w:val="af0"/>
      </w:pPr>
      <w:r>
        <w:t xml:space="preserve">Тип контекстного меню зависит от выбранного текущего элемента таблицы. </w:t>
      </w:r>
    </w:p>
    <w:p w:rsidR="00862055" w:rsidRDefault="00862055" w:rsidP="00862055">
      <w:pPr>
        <w:pStyle w:val="af0"/>
      </w:pPr>
      <w:r>
        <w:t>Выделяют следующие элементы таблицы:</w:t>
      </w:r>
    </w:p>
    <w:p w:rsidR="00862055" w:rsidRDefault="00862055" w:rsidP="00862055">
      <w:pPr>
        <w:pStyle w:val="13"/>
      </w:pPr>
      <w:r>
        <w:t>измерение с иерархией;</w:t>
      </w:r>
    </w:p>
    <w:p w:rsidR="00862055" w:rsidRDefault="00862055" w:rsidP="00862055">
      <w:pPr>
        <w:pStyle w:val="13"/>
      </w:pPr>
      <w:r>
        <w:t>измерение без иерархии;</w:t>
      </w:r>
    </w:p>
    <w:p w:rsidR="00862055" w:rsidRDefault="00862055" w:rsidP="00862055">
      <w:pPr>
        <w:pStyle w:val="13"/>
      </w:pPr>
      <w:r>
        <w:t>элемент измерения с иерархией;</w:t>
      </w:r>
    </w:p>
    <w:p w:rsidR="00862055" w:rsidRDefault="00862055" w:rsidP="00862055">
      <w:pPr>
        <w:pStyle w:val="13"/>
      </w:pPr>
      <w:r>
        <w:t>элемент измерения без иерархии;</w:t>
      </w:r>
    </w:p>
    <w:p w:rsidR="00862055" w:rsidRDefault="00862055" w:rsidP="00862055">
      <w:pPr>
        <w:pStyle w:val="13"/>
      </w:pPr>
      <w:r>
        <w:t>мера;</w:t>
      </w:r>
    </w:p>
    <w:p w:rsidR="00862055" w:rsidRDefault="00862055" w:rsidP="00862055">
      <w:pPr>
        <w:pStyle w:val="13"/>
      </w:pPr>
      <w:r>
        <w:t>элемент данных.</w:t>
      </w:r>
    </w:p>
    <w:p w:rsidR="00862055" w:rsidRDefault="00862055" w:rsidP="00862055">
      <w:pPr>
        <w:pStyle w:val="13"/>
        <w:numPr>
          <w:ilvl w:val="0"/>
          <w:numId w:val="0"/>
        </w:numPr>
        <w:ind w:left="992"/>
      </w:pPr>
      <w:r>
        <w:t xml:space="preserve">Элементы таблицы представлены на рисунке </w:t>
      </w:r>
      <w:r w:rsidR="00356CF3">
        <w:fldChar w:fldCharType="begin"/>
      </w:r>
      <w:r w:rsidR="00356CF3">
        <w:instrText xml:space="preserve"> REF _Ref107475027 \h </w:instrText>
      </w:r>
      <w:r w:rsidR="00356CF3">
        <w:fldChar w:fldCharType="separate"/>
      </w:r>
      <w:r w:rsidR="00356CF3">
        <w:rPr>
          <w:noProof/>
        </w:rPr>
        <w:t>348</w:t>
      </w:r>
      <w:r w:rsidR="00356CF3">
        <w:fldChar w:fldCharType="end"/>
      </w:r>
      <w:r>
        <w:t>.</w:t>
      </w:r>
    </w:p>
    <w:p w:rsidR="00862055" w:rsidRDefault="00862055" w:rsidP="00862055">
      <w:pPr>
        <w:pStyle w:val="-0"/>
      </w:pPr>
      <w:r w:rsidRPr="005C1A54">
        <w:rPr>
          <w:noProof/>
        </w:rPr>
        <w:drawing>
          <wp:inline distT="0" distB="0" distL="0" distR="0" wp14:anchorId="67D46762" wp14:editId="5A8F194E">
            <wp:extent cx="6324600" cy="3857701"/>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331524" cy="3861924"/>
                    </a:xfrm>
                    <a:prstGeom prst="rect">
                      <a:avLst/>
                    </a:prstGeom>
                    <a:noFill/>
                    <a:ln>
                      <a:noFill/>
                    </a:ln>
                  </pic:spPr>
                </pic:pic>
              </a:graphicData>
            </a:graphic>
          </wp:inline>
        </w:drawing>
      </w:r>
    </w:p>
    <w:p w:rsidR="00862055" w:rsidRPr="005C1A54" w:rsidRDefault="00862055" w:rsidP="00356CF3">
      <w:pPr>
        <w:pStyle w:val="-0"/>
      </w:pPr>
      <w:bookmarkStart w:id="1355" w:name="_Toc103180856"/>
      <w:bookmarkStart w:id="1356" w:name="_Toc119584535"/>
      <w:r>
        <w:t xml:space="preserve">Рисунок </w:t>
      </w:r>
      <w:fldSimple w:instr=" SEQ Рисунок \* ARABIC ">
        <w:bookmarkStart w:id="1357" w:name="_Ref107475027"/>
        <w:r w:rsidR="001860A9">
          <w:rPr>
            <w:noProof/>
          </w:rPr>
          <w:t>348</w:t>
        </w:r>
        <w:bookmarkEnd w:id="1357"/>
      </w:fldSimple>
      <w:r>
        <w:t xml:space="preserve"> – Элементы кросс-таблицы</w:t>
      </w:r>
      <w:bookmarkEnd w:id="1355"/>
      <w:bookmarkEnd w:id="1356"/>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C9568E">
        <w:rPr>
          <w:rFonts w:eastAsia="Calibri"/>
          <w:b/>
          <w:i/>
          <w:lang w:eastAsia="en-US"/>
        </w:rPr>
        <w:t>измерения с иерархией</w:t>
      </w:r>
      <w:r w:rsidRPr="00867126">
        <w:rPr>
          <w:rFonts w:eastAsia="Calibri"/>
          <w:lang w:eastAsia="en-US"/>
        </w:rPr>
        <w:t xml:space="preserve"> пользователю Подсистемы в контекстном меню</w:t>
      </w:r>
      <w:r w:rsidR="00467C78">
        <w:rPr>
          <w:rFonts w:eastAsia="Calibri"/>
          <w:lang w:eastAsia="en-US"/>
        </w:rPr>
        <w:t xml:space="preserve">, представленном на рисунке </w:t>
      </w:r>
      <w:r w:rsidR="00467C78">
        <w:rPr>
          <w:rFonts w:eastAsia="Calibri"/>
          <w:lang w:eastAsia="en-US"/>
        </w:rPr>
        <w:fldChar w:fldCharType="begin"/>
      </w:r>
      <w:r w:rsidR="00467C78">
        <w:rPr>
          <w:rFonts w:eastAsia="Calibri"/>
          <w:lang w:eastAsia="en-US"/>
        </w:rPr>
        <w:instrText xml:space="preserve"> REF _Ref107475286 \h </w:instrText>
      </w:r>
      <w:r w:rsidR="00467C78">
        <w:rPr>
          <w:rFonts w:eastAsia="Calibri"/>
          <w:lang w:eastAsia="en-US"/>
        </w:rPr>
      </w:r>
      <w:r w:rsidR="00467C78">
        <w:rPr>
          <w:rFonts w:eastAsia="Calibri"/>
          <w:lang w:eastAsia="en-US"/>
        </w:rPr>
        <w:fldChar w:fldCharType="separate"/>
      </w:r>
      <w:r w:rsidR="00467C78">
        <w:rPr>
          <w:noProof/>
        </w:rPr>
        <w:t>349</w:t>
      </w:r>
      <w:r w:rsidR="00467C78">
        <w:rPr>
          <w:rFonts w:eastAsia="Calibri"/>
          <w:lang w:eastAsia="en-US"/>
        </w:rPr>
        <w:fldChar w:fldCharType="end"/>
      </w:r>
      <w:r w:rsidR="00467C78">
        <w:rPr>
          <w:rFonts w:eastAsia="Calibri"/>
          <w:lang w:eastAsia="en-US"/>
        </w:rPr>
        <w:t xml:space="preserve">, </w:t>
      </w:r>
      <w:r w:rsidRPr="00867126">
        <w:rPr>
          <w:rFonts w:eastAsia="Calibri"/>
          <w:lang w:eastAsia="en-US"/>
        </w:rPr>
        <w:t>доступны следующие функции:</w:t>
      </w:r>
    </w:p>
    <w:p w:rsidR="006B6056" w:rsidRDefault="00862055" w:rsidP="00862055">
      <w:pPr>
        <w:pStyle w:val="13"/>
        <w:rPr>
          <w:rFonts w:eastAsia="Calibri"/>
          <w:lang w:eastAsia="en-US"/>
        </w:rPr>
      </w:pPr>
      <w:r w:rsidRPr="00867126">
        <w:rPr>
          <w:rFonts w:eastAsia="Calibri"/>
          <w:lang w:eastAsia="en-US"/>
        </w:rPr>
        <w:t>развернуть, позволяющая к текущему уровню иерархии до</w:t>
      </w:r>
    </w:p>
    <w:p w:rsidR="00862055" w:rsidRPr="00867126" w:rsidRDefault="00862055" w:rsidP="00862055">
      <w:pPr>
        <w:pStyle w:val="13"/>
        <w:rPr>
          <w:rFonts w:eastAsia="Calibri"/>
          <w:lang w:eastAsia="en-US"/>
        </w:rPr>
      </w:pPr>
      <w:r w:rsidRPr="00867126">
        <w:rPr>
          <w:rFonts w:eastAsia="Calibri"/>
          <w:lang w:eastAsia="en-US"/>
        </w:rPr>
        <w:t>бавить следующий, более детальный уровень;</w:t>
      </w:r>
    </w:p>
    <w:p w:rsidR="00862055" w:rsidRPr="00867126" w:rsidRDefault="00862055" w:rsidP="00862055">
      <w:pPr>
        <w:pStyle w:val="13"/>
        <w:rPr>
          <w:rFonts w:eastAsia="Calibri"/>
          <w:lang w:eastAsia="en-US"/>
        </w:rPr>
      </w:pPr>
      <w:r w:rsidRPr="00867126">
        <w:rPr>
          <w:rFonts w:eastAsia="Calibri"/>
          <w:lang w:eastAsia="en-US"/>
        </w:rPr>
        <w:t>свернуть, позволяющая исключить более детальные уровни иерархии, чем текущий из таблицы;</w:t>
      </w:r>
    </w:p>
    <w:p w:rsidR="00862055" w:rsidRPr="00867126" w:rsidRDefault="00862055" w:rsidP="00862055">
      <w:pPr>
        <w:pStyle w:val="13"/>
        <w:rPr>
          <w:rFonts w:eastAsia="Calibri"/>
          <w:lang w:eastAsia="en-US"/>
        </w:rPr>
      </w:pPr>
      <w:r w:rsidRPr="00867126">
        <w:rPr>
          <w:rFonts w:eastAsia="Calibri"/>
          <w:lang w:eastAsia="en-US"/>
        </w:rPr>
        <w:t>добавить, позволяющая добавить измерения и меры, доступные для данного отчета, из отдельно открывающегося подменю. При этом измерение добавляется ниже или правее текущего измерения, мера добавляется в конец списка выводимых в таблице мер;</w:t>
      </w:r>
    </w:p>
    <w:p w:rsidR="00862055" w:rsidRPr="00867126" w:rsidRDefault="00862055" w:rsidP="00862055">
      <w:pPr>
        <w:pStyle w:val="13"/>
        <w:rPr>
          <w:rFonts w:eastAsia="Calibri"/>
          <w:lang w:eastAsia="en-US"/>
        </w:rPr>
      </w:pPr>
      <w:r w:rsidRPr="00867126">
        <w:rPr>
          <w:rFonts w:eastAsia="Calibri"/>
          <w:lang w:eastAsia="en-US"/>
        </w:rPr>
        <w:t>заменить на, позволяющая текущее измерение заменить на другое, доступное для данного отчета, из отдельно открывающегося подменю;</w:t>
      </w:r>
    </w:p>
    <w:p w:rsidR="00862055" w:rsidRPr="00867126" w:rsidRDefault="00862055" w:rsidP="00862055">
      <w:pPr>
        <w:pStyle w:val="13"/>
        <w:rPr>
          <w:rFonts w:eastAsia="Calibri"/>
          <w:lang w:eastAsia="en-US"/>
        </w:rPr>
      </w:pPr>
      <w:r w:rsidRPr="00867126">
        <w:rPr>
          <w:rFonts w:eastAsia="Calibri"/>
          <w:lang w:eastAsia="en-US"/>
        </w:rPr>
        <w:t>удалить, позволяющая исключить из отчета текущее измерение;</w:t>
      </w:r>
    </w:p>
    <w:p w:rsidR="00862055" w:rsidRPr="00867126" w:rsidRDefault="00862055" w:rsidP="00862055">
      <w:pPr>
        <w:pStyle w:val="13"/>
        <w:rPr>
          <w:rFonts w:eastAsia="Calibri"/>
          <w:lang w:eastAsia="en-US"/>
        </w:rPr>
      </w:pPr>
      <w:r w:rsidRPr="00867126">
        <w:rPr>
          <w:rFonts w:eastAsia="Calibri"/>
          <w:lang w:eastAsia="en-US"/>
        </w:rPr>
        <w:t>в строки/ в колонки, позволяющая переместить текущее измерение переместить в строки или в колонки. При этом измерение добавляется в конец списка измерений;</w:t>
      </w:r>
    </w:p>
    <w:p w:rsidR="00862055" w:rsidRPr="00867126" w:rsidRDefault="00862055" w:rsidP="00862055">
      <w:pPr>
        <w:pStyle w:val="13"/>
        <w:rPr>
          <w:rFonts w:eastAsia="Calibri"/>
          <w:lang w:eastAsia="en-US"/>
        </w:rPr>
      </w:pPr>
      <w:r w:rsidRPr="00867126">
        <w:rPr>
          <w:rFonts w:eastAsia="Calibri"/>
          <w:lang w:eastAsia="en-US"/>
        </w:rPr>
        <w:t>выше/влево, позволяющая поменять очередность вывода измерений;</w:t>
      </w:r>
    </w:p>
    <w:p w:rsidR="00862055" w:rsidRPr="00867126" w:rsidRDefault="00862055" w:rsidP="00862055">
      <w:pPr>
        <w:pStyle w:val="13"/>
        <w:rPr>
          <w:rFonts w:eastAsia="Calibri"/>
          <w:lang w:eastAsia="en-US"/>
        </w:rPr>
      </w:pPr>
      <w:r w:rsidRPr="00867126">
        <w:rPr>
          <w:rFonts w:eastAsia="Calibri"/>
          <w:lang w:eastAsia="en-US"/>
        </w:rPr>
        <w:t>ниже/вправо, позволяющая поменять очередность вывода измерений;</w:t>
      </w:r>
    </w:p>
    <w:p w:rsidR="00862055" w:rsidRDefault="00862055" w:rsidP="00862055">
      <w:pPr>
        <w:pStyle w:val="-0"/>
        <w:keepNext/>
      </w:pPr>
      <w:r>
        <w:rPr>
          <w:noProof/>
          <w:snapToGrid/>
        </w:rPr>
        <w:drawing>
          <wp:inline distT="0" distB="0" distL="0" distR="0" wp14:anchorId="3ECAA518" wp14:editId="7F2C68CD">
            <wp:extent cx="2619375" cy="2007912"/>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0"/>
                    <a:stretch>
                      <a:fillRect/>
                    </a:stretch>
                  </pic:blipFill>
                  <pic:spPr>
                    <a:xfrm>
                      <a:off x="0" y="0"/>
                      <a:ext cx="2619375" cy="2007912"/>
                    </a:xfrm>
                    <a:prstGeom prst="rect">
                      <a:avLst/>
                    </a:prstGeom>
                  </pic:spPr>
                </pic:pic>
              </a:graphicData>
            </a:graphic>
          </wp:inline>
        </w:drawing>
      </w:r>
    </w:p>
    <w:p w:rsidR="00862055" w:rsidRPr="00C9568E" w:rsidRDefault="00862055" w:rsidP="00ED5989">
      <w:pPr>
        <w:pStyle w:val="-0"/>
      </w:pPr>
      <w:bookmarkStart w:id="1358" w:name="_Ref101611751"/>
      <w:bookmarkStart w:id="1359" w:name="_Toc103180857"/>
      <w:bookmarkStart w:id="1360" w:name="_Toc119584536"/>
      <w:r>
        <w:t xml:space="preserve">Рисунок </w:t>
      </w:r>
      <w:fldSimple w:instr=" SEQ Рисунок \* ARABIC ">
        <w:bookmarkStart w:id="1361" w:name="_Ref107475286"/>
        <w:r w:rsidR="001860A9">
          <w:rPr>
            <w:noProof/>
          </w:rPr>
          <w:t>349</w:t>
        </w:r>
        <w:bookmarkEnd w:id="1361"/>
      </w:fldSimple>
      <w:bookmarkEnd w:id="1358"/>
      <w:r>
        <w:t xml:space="preserve"> – Контекстное меню измерения с иерархией</w:t>
      </w:r>
      <w:bookmarkEnd w:id="1359"/>
      <w:bookmarkEnd w:id="1360"/>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4F2394">
        <w:rPr>
          <w:rFonts w:eastAsia="Calibri"/>
          <w:b/>
          <w:i/>
          <w:lang w:eastAsia="en-US"/>
        </w:rPr>
        <w:t>измерения без иерархии</w:t>
      </w:r>
      <w:r w:rsidRPr="00867126">
        <w:rPr>
          <w:rFonts w:eastAsia="Calibri"/>
          <w:lang w:eastAsia="en-US"/>
        </w:rPr>
        <w:t xml:space="preserve"> пользователю Подсистемы в контекстном меню</w:t>
      </w:r>
      <w:r w:rsidR="00ED5989">
        <w:rPr>
          <w:rFonts w:eastAsia="Calibri"/>
          <w:lang w:eastAsia="en-US"/>
        </w:rPr>
        <w:t xml:space="preserve">, представленном на рисунке </w:t>
      </w:r>
      <w:r w:rsidR="00ED5989">
        <w:rPr>
          <w:rFonts w:eastAsia="Calibri"/>
          <w:lang w:eastAsia="en-US"/>
        </w:rPr>
        <w:fldChar w:fldCharType="begin"/>
      </w:r>
      <w:r w:rsidR="00ED5989">
        <w:rPr>
          <w:rFonts w:eastAsia="Calibri"/>
          <w:lang w:eastAsia="en-US"/>
        </w:rPr>
        <w:instrText xml:space="preserve"> REF _Ref107476424 \h </w:instrText>
      </w:r>
      <w:r w:rsidR="00ED5989">
        <w:rPr>
          <w:rFonts w:eastAsia="Calibri"/>
          <w:lang w:eastAsia="en-US"/>
        </w:rPr>
      </w:r>
      <w:r w:rsidR="00ED5989">
        <w:rPr>
          <w:rFonts w:eastAsia="Calibri"/>
          <w:lang w:eastAsia="en-US"/>
        </w:rPr>
        <w:fldChar w:fldCharType="separate"/>
      </w:r>
      <w:r w:rsidR="00ED5989">
        <w:rPr>
          <w:noProof/>
        </w:rPr>
        <w:t>350</w:t>
      </w:r>
      <w:r w:rsidR="00ED5989">
        <w:rPr>
          <w:rFonts w:eastAsia="Calibri"/>
          <w:lang w:eastAsia="en-US"/>
        </w:rPr>
        <w:fldChar w:fldCharType="end"/>
      </w:r>
      <w:r w:rsidR="00ED5989">
        <w:rPr>
          <w:rFonts w:eastAsia="Calibri"/>
          <w:lang w:eastAsia="en-US"/>
        </w:rPr>
        <w:t xml:space="preserve">, </w:t>
      </w:r>
      <w:r w:rsidRPr="00867126">
        <w:rPr>
          <w:rFonts w:eastAsia="Calibri"/>
          <w:lang w:eastAsia="en-US"/>
        </w:rPr>
        <w:t>доступны следующие функции:</w:t>
      </w:r>
    </w:p>
    <w:p w:rsidR="00862055" w:rsidRPr="00867126" w:rsidRDefault="00862055" w:rsidP="00862055">
      <w:pPr>
        <w:pStyle w:val="13"/>
        <w:rPr>
          <w:rFonts w:eastAsia="Calibri"/>
          <w:lang w:eastAsia="en-US"/>
        </w:rPr>
      </w:pPr>
      <w:r w:rsidRPr="00867126">
        <w:rPr>
          <w:rFonts w:eastAsia="Calibri"/>
          <w:lang w:eastAsia="en-US"/>
        </w:rPr>
        <w:t>добавить;</w:t>
      </w:r>
    </w:p>
    <w:p w:rsidR="00862055" w:rsidRPr="00867126" w:rsidRDefault="00862055" w:rsidP="00862055">
      <w:pPr>
        <w:pStyle w:val="13"/>
        <w:rPr>
          <w:rFonts w:eastAsia="Calibri"/>
          <w:lang w:eastAsia="en-US"/>
        </w:rPr>
      </w:pPr>
      <w:r w:rsidRPr="00867126">
        <w:rPr>
          <w:rFonts w:eastAsia="Calibri"/>
          <w:lang w:eastAsia="en-US"/>
        </w:rPr>
        <w:t>заменить на;</w:t>
      </w:r>
    </w:p>
    <w:p w:rsidR="00862055" w:rsidRPr="00867126" w:rsidRDefault="00862055" w:rsidP="00862055">
      <w:pPr>
        <w:pStyle w:val="13"/>
        <w:rPr>
          <w:rFonts w:eastAsia="Calibri"/>
          <w:lang w:eastAsia="en-US"/>
        </w:rPr>
      </w:pPr>
      <w:r w:rsidRPr="00867126">
        <w:rPr>
          <w:rFonts w:eastAsia="Calibri"/>
          <w:lang w:eastAsia="en-US"/>
        </w:rPr>
        <w:t>удалить;</w:t>
      </w:r>
    </w:p>
    <w:p w:rsidR="00862055" w:rsidRPr="00867126" w:rsidRDefault="00862055" w:rsidP="00862055">
      <w:pPr>
        <w:pStyle w:val="13"/>
        <w:rPr>
          <w:rFonts w:eastAsia="Calibri"/>
          <w:lang w:eastAsia="en-US"/>
        </w:rPr>
      </w:pPr>
      <w:r w:rsidRPr="00867126">
        <w:rPr>
          <w:rFonts w:eastAsia="Calibri"/>
          <w:lang w:eastAsia="en-US"/>
        </w:rPr>
        <w:t>в строки/ в колонки;</w:t>
      </w:r>
    </w:p>
    <w:p w:rsidR="00862055" w:rsidRPr="00867126" w:rsidRDefault="00862055" w:rsidP="00862055">
      <w:pPr>
        <w:pStyle w:val="13"/>
        <w:rPr>
          <w:rFonts w:eastAsia="Calibri"/>
          <w:lang w:eastAsia="en-US"/>
        </w:rPr>
      </w:pPr>
      <w:r w:rsidRPr="00867126">
        <w:rPr>
          <w:rFonts w:eastAsia="Calibri"/>
          <w:lang w:eastAsia="en-US"/>
        </w:rPr>
        <w:t>выше/влево;</w:t>
      </w:r>
    </w:p>
    <w:p w:rsidR="00862055" w:rsidRPr="00867126" w:rsidRDefault="00862055" w:rsidP="00862055">
      <w:pPr>
        <w:pStyle w:val="13"/>
        <w:rPr>
          <w:rFonts w:eastAsia="Calibri"/>
          <w:lang w:eastAsia="en-US"/>
        </w:rPr>
      </w:pPr>
      <w:r w:rsidRPr="00867126">
        <w:rPr>
          <w:rFonts w:eastAsia="Calibri"/>
          <w:lang w:eastAsia="en-US"/>
        </w:rPr>
        <w:t>ниже/вправо;</w:t>
      </w:r>
    </w:p>
    <w:p w:rsidR="00862055" w:rsidRDefault="00862055" w:rsidP="00862055">
      <w:pPr>
        <w:pStyle w:val="-0"/>
      </w:pPr>
      <w:r>
        <w:rPr>
          <w:noProof/>
          <w:snapToGrid/>
        </w:rPr>
        <w:drawing>
          <wp:inline distT="0" distB="0" distL="0" distR="0" wp14:anchorId="65BD6D91" wp14:editId="2F213F80">
            <wp:extent cx="2514600" cy="174287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1"/>
                    <a:stretch>
                      <a:fillRect/>
                    </a:stretch>
                  </pic:blipFill>
                  <pic:spPr>
                    <a:xfrm>
                      <a:off x="0" y="0"/>
                      <a:ext cx="2514600" cy="1742878"/>
                    </a:xfrm>
                    <a:prstGeom prst="rect">
                      <a:avLst/>
                    </a:prstGeom>
                  </pic:spPr>
                </pic:pic>
              </a:graphicData>
            </a:graphic>
          </wp:inline>
        </w:drawing>
      </w:r>
    </w:p>
    <w:p w:rsidR="00862055" w:rsidRPr="004F2394" w:rsidRDefault="00862055" w:rsidP="00ED5989">
      <w:pPr>
        <w:pStyle w:val="-0"/>
      </w:pPr>
      <w:bookmarkStart w:id="1362" w:name="_Ref101612083"/>
      <w:bookmarkStart w:id="1363" w:name="_Toc103180858"/>
      <w:bookmarkStart w:id="1364" w:name="_Toc119584537"/>
      <w:r>
        <w:t xml:space="preserve">Рисунок </w:t>
      </w:r>
      <w:fldSimple w:instr=" SEQ Рисунок \* ARABIC ">
        <w:bookmarkStart w:id="1365" w:name="_Ref107476424"/>
        <w:r w:rsidR="001860A9">
          <w:rPr>
            <w:noProof/>
          </w:rPr>
          <w:t>350</w:t>
        </w:r>
        <w:bookmarkEnd w:id="1365"/>
      </w:fldSimple>
      <w:bookmarkEnd w:id="1362"/>
      <w:r>
        <w:t xml:space="preserve"> – Контекстное меню измерения без иерархии</w:t>
      </w:r>
      <w:bookmarkEnd w:id="1363"/>
      <w:bookmarkEnd w:id="1364"/>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F3003F">
        <w:rPr>
          <w:rFonts w:eastAsia="Calibri"/>
          <w:b/>
          <w:i/>
          <w:lang w:eastAsia="en-US"/>
        </w:rPr>
        <w:t>элемента измерения с иерархией</w:t>
      </w:r>
      <w:r w:rsidRPr="00867126">
        <w:rPr>
          <w:rFonts w:eastAsia="Calibri"/>
          <w:lang w:eastAsia="en-US"/>
        </w:rPr>
        <w:t xml:space="preserve"> пользователю Подсистемы в контекстном меню</w:t>
      </w:r>
      <w:r w:rsidR="00ED5989">
        <w:rPr>
          <w:rFonts w:eastAsia="Calibri"/>
          <w:lang w:eastAsia="en-US"/>
        </w:rPr>
        <w:t xml:space="preserve">, представленном на рисунке </w:t>
      </w:r>
      <w:r w:rsidR="00ED5989">
        <w:rPr>
          <w:rFonts w:eastAsia="Calibri"/>
          <w:lang w:eastAsia="en-US"/>
        </w:rPr>
        <w:fldChar w:fldCharType="begin"/>
      </w:r>
      <w:r w:rsidR="00ED5989">
        <w:rPr>
          <w:rFonts w:eastAsia="Calibri"/>
          <w:lang w:eastAsia="en-US"/>
        </w:rPr>
        <w:instrText xml:space="preserve"> REF _Ref107476883 \h </w:instrText>
      </w:r>
      <w:r w:rsidR="00ED5989">
        <w:rPr>
          <w:rFonts w:eastAsia="Calibri"/>
          <w:lang w:eastAsia="en-US"/>
        </w:rPr>
      </w:r>
      <w:r w:rsidR="00ED5989">
        <w:rPr>
          <w:rFonts w:eastAsia="Calibri"/>
          <w:lang w:eastAsia="en-US"/>
        </w:rPr>
        <w:fldChar w:fldCharType="separate"/>
      </w:r>
      <w:r w:rsidR="00ED5989">
        <w:rPr>
          <w:noProof/>
        </w:rPr>
        <w:t>351</w:t>
      </w:r>
      <w:r w:rsidR="00ED5989">
        <w:rPr>
          <w:rFonts w:eastAsia="Calibri"/>
          <w:lang w:eastAsia="en-US"/>
        </w:rPr>
        <w:fldChar w:fldCharType="end"/>
      </w:r>
      <w:r w:rsidR="00ED5989">
        <w:rPr>
          <w:rFonts w:eastAsia="Calibri"/>
          <w:lang w:eastAsia="en-US"/>
        </w:rPr>
        <w:t>,</w:t>
      </w:r>
      <w:r w:rsidRPr="00867126">
        <w:rPr>
          <w:rFonts w:eastAsia="Calibri"/>
          <w:lang w:eastAsia="en-US"/>
        </w:rPr>
        <w:t xml:space="preserve"> должны быть доступны следующие функции:</w:t>
      </w:r>
    </w:p>
    <w:p w:rsidR="00862055" w:rsidRPr="00867126" w:rsidRDefault="00862055" w:rsidP="00862055">
      <w:pPr>
        <w:pStyle w:val="13"/>
        <w:rPr>
          <w:rFonts w:eastAsia="Calibri"/>
          <w:lang w:eastAsia="en-US"/>
        </w:rPr>
      </w:pPr>
      <w:r w:rsidRPr="00867126">
        <w:rPr>
          <w:rFonts w:eastAsia="Calibri"/>
          <w:lang w:eastAsia="en-US"/>
        </w:rPr>
        <w:t>детализировать, позволяющая из отдельно открывающегося подменю, в котором доступен список измерений, выбрать измерение. При этом:</w:t>
      </w:r>
    </w:p>
    <w:p w:rsidR="00862055" w:rsidRPr="00867126" w:rsidRDefault="00862055" w:rsidP="00862055">
      <w:pPr>
        <w:pStyle w:val="29"/>
        <w:rPr>
          <w:rFonts w:eastAsia="Calibri"/>
          <w:lang w:eastAsia="en-US"/>
        </w:rPr>
      </w:pPr>
      <w:r w:rsidRPr="00867126">
        <w:rPr>
          <w:rFonts w:eastAsia="Calibri"/>
          <w:lang w:eastAsia="en-US"/>
        </w:rPr>
        <w:t>текущий элемент измерения помещается в фильтры;</w:t>
      </w:r>
    </w:p>
    <w:p w:rsidR="00862055" w:rsidRPr="00867126" w:rsidRDefault="00862055" w:rsidP="00862055">
      <w:pPr>
        <w:pStyle w:val="29"/>
        <w:rPr>
          <w:rFonts w:eastAsia="Calibri"/>
          <w:lang w:eastAsia="en-US"/>
        </w:rPr>
      </w:pPr>
      <w:r w:rsidRPr="00867126">
        <w:rPr>
          <w:rFonts w:eastAsia="Calibri"/>
          <w:lang w:eastAsia="en-US"/>
        </w:rPr>
        <w:t>измерение, к которому относится текущий элемент, исключается из таблицы;</w:t>
      </w:r>
    </w:p>
    <w:p w:rsidR="00862055" w:rsidRPr="00867126" w:rsidRDefault="00862055" w:rsidP="00862055">
      <w:pPr>
        <w:pStyle w:val="29"/>
        <w:rPr>
          <w:rFonts w:eastAsia="Calibri"/>
          <w:lang w:eastAsia="en-US"/>
        </w:rPr>
      </w:pPr>
      <w:r w:rsidRPr="00867126">
        <w:rPr>
          <w:rFonts w:eastAsia="Calibri"/>
          <w:lang w:eastAsia="en-US"/>
        </w:rPr>
        <w:t>на место исключенного измерения помещается измерение, выбранное пользователем Подсистемы;</w:t>
      </w:r>
    </w:p>
    <w:p w:rsidR="00862055" w:rsidRPr="00867126" w:rsidRDefault="00862055" w:rsidP="00862055">
      <w:pPr>
        <w:pStyle w:val="13"/>
        <w:rPr>
          <w:rFonts w:eastAsia="Calibri"/>
          <w:lang w:eastAsia="en-US"/>
        </w:rPr>
      </w:pPr>
      <w:r w:rsidRPr="00867126">
        <w:rPr>
          <w:rFonts w:eastAsia="Calibri"/>
          <w:lang w:eastAsia="en-US"/>
        </w:rPr>
        <w:t>углубиться, позволяющая раскрыть информацию по следующему, более детальному уровню измерения. При этом:</w:t>
      </w:r>
    </w:p>
    <w:p w:rsidR="00862055" w:rsidRPr="00867126" w:rsidRDefault="00862055" w:rsidP="00862055">
      <w:pPr>
        <w:pStyle w:val="29"/>
        <w:rPr>
          <w:rFonts w:eastAsia="Calibri"/>
          <w:lang w:eastAsia="en-US"/>
        </w:rPr>
      </w:pPr>
      <w:r w:rsidRPr="00867126">
        <w:rPr>
          <w:rFonts w:eastAsia="Calibri"/>
          <w:lang w:eastAsia="en-US"/>
        </w:rPr>
        <w:t>текущий элемент измерения помещается в фильтры;</w:t>
      </w:r>
    </w:p>
    <w:p w:rsidR="00862055" w:rsidRPr="00867126" w:rsidRDefault="00862055" w:rsidP="00862055">
      <w:pPr>
        <w:pStyle w:val="29"/>
        <w:rPr>
          <w:rFonts w:eastAsia="Calibri"/>
          <w:lang w:eastAsia="en-US"/>
        </w:rPr>
      </w:pPr>
      <w:r w:rsidRPr="00867126">
        <w:rPr>
          <w:rFonts w:eastAsia="Calibri"/>
          <w:lang w:eastAsia="en-US"/>
        </w:rPr>
        <w:t>уровень иерархии измерения, к которому относится текущий элемент, исключается из таблицы.</w:t>
      </w:r>
    </w:p>
    <w:p w:rsidR="00862055" w:rsidRPr="00867126" w:rsidRDefault="00862055" w:rsidP="00862055">
      <w:pPr>
        <w:pStyle w:val="29"/>
        <w:rPr>
          <w:rFonts w:eastAsia="Calibri"/>
          <w:lang w:eastAsia="en-US"/>
        </w:rPr>
      </w:pPr>
      <w:r w:rsidRPr="00867126">
        <w:rPr>
          <w:rFonts w:eastAsia="Calibri"/>
          <w:lang w:eastAsia="en-US"/>
        </w:rPr>
        <w:t>на место исключенного уровня измерения помещается следующий более детальный уровень;</w:t>
      </w:r>
    </w:p>
    <w:p w:rsidR="00862055" w:rsidRPr="00867126" w:rsidRDefault="00862055" w:rsidP="00862055">
      <w:pPr>
        <w:pStyle w:val="13"/>
        <w:rPr>
          <w:rFonts w:eastAsia="Calibri"/>
          <w:lang w:eastAsia="en-US"/>
        </w:rPr>
      </w:pPr>
      <w:r w:rsidRPr="00867126">
        <w:rPr>
          <w:rFonts w:eastAsia="Calibri"/>
          <w:lang w:eastAsia="en-US"/>
        </w:rPr>
        <w:t>обобщить, позволяющая перейти по следующему, более укрупненному уровню измерения. при этом:</w:t>
      </w:r>
    </w:p>
    <w:p w:rsidR="00862055" w:rsidRPr="00867126" w:rsidRDefault="00862055" w:rsidP="00862055">
      <w:pPr>
        <w:pStyle w:val="29"/>
        <w:rPr>
          <w:rFonts w:eastAsia="Calibri"/>
          <w:lang w:eastAsia="en-US"/>
        </w:rPr>
      </w:pPr>
      <w:r w:rsidRPr="00867126">
        <w:rPr>
          <w:rFonts w:eastAsia="Calibri"/>
          <w:lang w:eastAsia="en-US"/>
        </w:rPr>
        <w:t>уровень иерархии измерения, к которому относится текущий элемент, исключается из таблицы.</w:t>
      </w:r>
    </w:p>
    <w:p w:rsidR="00862055" w:rsidRPr="00867126" w:rsidRDefault="00862055" w:rsidP="00862055">
      <w:pPr>
        <w:pStyle w:val="29"/>
        <w:rPr>
          <w:rFonts w:eastAsia="Calibri"/>
          <w:lang w:eastAsia="en-US"/>
        </w:rPr>
      </w:pPr>
      <w:r w:rsidRPr="00867126">
        <w:rPr>
          <w:rFonts w:eastAsia="Calibri"/>
          <w:lang w:eastAsia="en-US"/>
        </w:rPr>
        <w:t>на место исключенного уровня измерения помещается предыдущий более укрупненный уровень;</w:t>
      </w:r>
    </w:p>
    <w:p w:rsidR="00862055" w:rsidRPr="00867126" w:rsidRDefault="00862055" w:rsidP="00862055">
      <w:pPr>
        <w:pStyle w:val="13"/>
        <w:rPr>
          <w:rFonts w:eastAsia="Calibri"/>
          <w:lang w:eastAsia="en-US"/>
        </w:rPr>
      </w:pPr>
      <w:r w:rsidRPr="00867126">
        <w:rPr>
          <w:rFonts w:eastAsia="Calibri"/>
          <w:lang w:eastAsia="en-US"/>
        </w:rPr>
        <w:t>развернуть, позволяющая к текущему уровню иерархии добавить следующий, более детальный уровень;</w:t>
      </w:r>
    </w:p>
    <w:p w:rsidR="00862055" w:rsidRPr="00867126" w:rsidRDefault="00862055" w:rsidP="00862055">
      <w:pPr>
        <w:pStyle w:val="13"/>
        <w:rPr>
          <w:rFonts w:eastAsia="Calibri"/>
          <w:lang w:eastAsia="en-US"/>
        </w:rPr>
      </w:pPr>
      <w:r w:rsidRPr="00867126">
        <w:rPr>
          <w:rFonts w:eastAsia="Calibri"/>
          <w:lang w:eastAsia="en-US"/>
        </w:rPr>
        <w:t>свернуть, позволяющая исключить более детальные уровни иерархии, чем текущий из таблицы;</w:t>
      </w:r>
    </w:p>
    <w:p w:rsidR="00862055" w:rsidRPr="00867126" w:rsidRDefault="00862055" w:rsidP="00862055">
      <w:pPr>
        <w:pStyle w:val="13"/>
        <w:rPr>
          <w:rFonts w:eastAsia="Calibri"/>
          <w:lang w:eastAsia="en-US"/>
        </w:rPr>
      </w:pPr>
      <w:r w:rsidRPr="00867126">
        <w:rPr>
          <w:rFonts w:eastAsia="Calibri"/>
          <w:lang w:eastAsia="en-US"/>
        </w:rPr>
        <w:t>оставить только, позволяющая текущие выделенные элементы измерения поместить в фильтры. При этом измерение остается в таблице;</w:t>
      </w:r>
    </w:p>
    <w:p w:rsidR="00862055" w:rsidRPr="00867126" w:rsidRDefault="00862055" w:rsidP="00862055">
      <w:pPr>
        <w:pStyle w:val="13"/>
        <w:rPr>
          <w:rFonts w:eastAsia="Calibri"/>
          <w:lang w:eastAsia="en-US"/>
        </w:rPr>
      </w:pPr>
      <w:r w:rsidRPr="00867126">
        <w:rPr>
          <w:rFonts w:eastAsia="Calibri"/>
          <w:lang w:eastAsia="en-US"/>
        </w:rPr>
        <w:t>исключить, позволяющая текущие выделенные элементы измерения поместить в фильтры. При этом измерение исключается из таблицы;</w:t>
      </w:r>
    </w:p>
    <w:p w:rsidR="00862055" w:rsidRDefault="00862055" w:rsidP="00862055">
      <w:pPr>
        <w:pStyle w:val="-0"/>
        <w:keepNext/>
      </w:pPr>
      <w:r>
        <w:rPr>
          <w:noProof/>
          <w:snapToGrid/>
        </w:rPr>
        <w:drawing>
          <wp:inline distT="0" distB="0" distL="0" distR="0" wp14:anchorId="298DD397" wp14:editId="40FB0346">
            <wp:extent cx="2381250" cy="2774195"/>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2"/>
                    <a:stretch>
                      <a:fillRect/>
                    </a:stretch>
                  </pic:blipFill>
                  <pic:spPr>
                    <a:xfrm>
                      <a:off x="0" y="0"/>
                      <a:ext cx="2381250" cy="2774195"/>
                    </a:xfrm>
                    <a:prstGeom prst="rect">
                      <a:avLst/>
                    </a:prstGeom>
                  </pic:spPr>
                </pic:pic>
              </a:graphicData>
            </a:graphic>
          </wp:inline>
        </w:drawing>
      </w:r>
    </w:p>
    <w:p w:rsidR="00862055" w:rsidRPr="002E0F54" w:rsidRDefault="00862055" w:rsidP="00ED5989">
      <w:pPr>
        <w:pStyle w:val="-0"/>
      </w:pPr>
      <w:bookmarkStart w:id="1366" w:name="_Ref101612784"/>
      <w:bookmarkStart w:id="1367" w:name="_Toc103180859"/>
      <w:bookmarkStart w:id="1368" w:name="_Toc119584538"/>
      <w:r>
        <w:t xml:space="preserve">Рисунок </w:t>
      </w:r>
      <w:fldSimple w:instr=" SEQ Рисунок \* ARABIC ">
        <w:bookmarkStart w:id="1369" w:name="_Ref107476883"/>
        <w:r w:rsidR="001860A9">
          <w:rPr>
            <w:noProof/>
          </w:rPr>
          <w:t>351</w:t>
        </w:r>
        <w:bookmarkEnd w:id="1369"/>
      </w:fldSimple>
      <w:bookmarkEnd w:id="1366"/>
      <w:r>
        <w:t xml:space="preserve"> – Контекстное меню элемента измерения с иерархией</w:t>
      </w:r>
      <w:bookmarkEnd w:id="1367"/>
      <w:bookmarkEnd w:id="1368"/>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5B1837">
        <w:rPr>
          <w:rFonts w:eastAsia="Calibri"/>
          <w:b/>
          <w:i/>
          <w:lang w:eastAsia="en-US"/>
        </w:rPr>
        <w:t>элемента измерения без иерархии</w:t>
      </w:r>
      <w:r w:rsidRPr="00867126">
        <w:rPr>
          <w:rFonts w:eastAsia="Calibri"/>
          <w:lang w:eastAsia="en-US"/>
        </w:rPr>
        <w:t xml:space="preserve"> пользователю Подсистемы в контекстном меню</w:t>
      </w:r>
      <w:r w:rsidR="00ED5989">
        <w:rPr>
          <w:rFonts w:eastAsia="Calibri"/>
          <w:lang w:eastAsia="en-US"/>
        </w:rPr>
        <w:t xml:space="preserve">, представленном на рисунке </w:t>
      </w:r>
      <w:r w:rsidR="00ED5989">
        <w:rPr>
          <w:rFonts w:eastAsia="Calibri"/>
          <w:lang w:eastAsia="en-US"/>
        </w:rPr>
        <w:fldChar w:fldCharType="begin"/>
      </w:r>
      <w:r w:rsidR="00ED5989">
        <w:rPr>
          <w:rFonts w:eastAsia="Calibri"/>
          <w:lang w:eastAsia="en-US"/>
        </w:rPr>
        <w:instrText xml:space="preserve"> REF _Ref107476977 \h </w:instrText>
      </w:r>
      <w:r w:rsidR="00ED5989">
        <w:rPr>
          <w:rFonts w:eastAsia="Calibri"/>
          <w:lang w:eastAsia="en-US"/>
        </w:rPr>
      </w:r>
      <w:r w:rsidR="00ED5989">
        <w:rPr>
          <w:rFonts w:eastAsia="Calibri"/>
          <w:lang w:eastAsia="en-US"/>
        </w:rPr>
        <w:fldChar w:fldCharType="separate"/>
      </w:r>
      <w:r w:rsidR="00ED5989">
        <w:rPr>
          <w:noProof/>
        </w:rPr>
        <w:t>352</w:t>
      </w:r>
      <w:r w:rsidR="00ED5989">
        <w:rPr>
          <w:rFonts w:eastAsia="Calibri"/>
          <w:lang w:eastAsia="en-US"/>
        </w:rPr>
        <w:fldChar w:fldCharType="end"/>
      </w:r>
      <w:r w:rsidR="00ED5989">
        <w:rPr>
          <w:rFonts w:eastAsia="Calibri"/>
          <w:lang w:eastAsia="en-US"/>
        </w:rPr>
        <w:t xml:space="preserve">, </w:t>
      </w:r>
      <w:r w:rsidRPr="00867126">
        <w:rPr>
          <w:rFonts w:eastAsia="Calibri"/>
          <w:lang w:eastAsia="en-US"/>
        </w:rPr>
        <w:t>должны быть доступны следующие функции:</w:t>
      </w:r>
    </w:p>
    <w:p w:rsidR="00862055" w:rsidRPr="00867126" w:rsidRDefault="00862055" w:rsidP="00862055">
      <w:pPr>
        <w:pStyle w:val="13"/>
        <w:rPr>
          <w:rFonts w:eastAsia="Calibri"/>
          <w:lang w:eastAsia="en-US"/>
        </w:rPr>
      </w:pPr>
      <w:r w:rsidRPr="00867126">
        <w:rPr>
          <w:rFonts w:eastAsia="Calibri"/>
          <w:lang w:eastAsia="en-US"/>
        </w:rPr>
        <w:t>детализировать;</w:t>
      </w:r>
    </w:p>
    <w:p w:rsidR="00862055" w:rsidRPr="00867126" w:rsidRDefault="00862055" w:rsidP="00862055">
      <w:pPr>
        <w:pStyle w:val="13"/>
        <w:rPr>
          <w:rFonts w:eastAsia="Calibri"/>
          <w:lang w:eastAsia="en-US"/>
        </w:rPr>
      </w:pPr>
      <w:r w:rsidRPr="00867126">
        <w:rPr>
          <w:rFonts w:eastAsia="Calibri"/>
          <w:lang w:eastAsia="en-US"/>
        </w:rPr>
        <w:t>оставить только;</w:t>
      </w:r>
    </w:p>
    <w:p w:rsidR="00862055" w:rsidRDefault="00862055" w:rsidP="00862055">
      <w:pPr>
        <w:pStyle w:val="13"/>
        <w:rPr>
          <w:rFonts w:eastAsia="Calibri"/>
          <w:lang w:eastAsia="en-US"/>
        </w:rPr>
      </w:pPr>
      <w:r>
        <w:rPr>
          <w:rFonts w:eastAsia="Calibri"/>
          <w:lang w:eastAsia="en-US"/>
        </w:rPr>
        <w:t>исключить.</w:t>
      </w:r>
    </w:p>
    <w:p w:rsidR="00862055" w:rsidRDefault="00862055" w:rsidP="00862055">
      <w:pPr>
        <w:pStyle w:val="-0"/>
        <w:keepNext/>
      </w:pPr>
      <w:r>
        <w:rPr>
          <w:noProof/>
          <w:snapToGrid/>
        </w:rPr>
        <w:drawing>
          <wp:inline distT="0" distB="0" distL="0" distR="0" wp14:anchorId="78B96FD7" wp14:editId="7D047C05">
            <wp:extent cx="2257425" cy="2794507"/>
            <wp:effectExtent l="0" t="0" r="0" b="635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a:stretch>
                      <a:fillRect/>
                    </a:stretch>
                  </pic:blipFill>
                  <pic:spPr>
                    <a:xfrm>
                      <a:off x="0" y="0"/>
                      <a:ext cx="2259818" cy="2797469"/>
                    </a:xfrm>
                    <a:prstGeom prst="rect">
                      <a:avLst/>
                    </a:prstGeom>
                  </pic:spPr>
                </pic:pic>
              </a:graphicData>
            </a:graphic>
          </wp:inline>
        </w:drawing>
      </w:r>
    </w:p>
    <w:p w:rsidR="00862055" w:rsidRPr="002E0F54" w:rsidRDefault="00862055" w:rsidP="00ED5989">
      <w:pPr>
        <w:pStyle w:val="-0"/>
      </w:pPr>
      <w:bookmarkStart w:id="1370" w:name="_Ref101612752"/>
      <w:bookmarkStart w:id="1371" w:name="_Toc103180860"/>
      <w:bookmarkStart w:id="1372" w:name="_Toc119584539"/>
      <w:r>
        <w:t xml:space="preserve">Рисунок </w:t>
      </w:r>
      <w:fldSimple w:instr=" SEQ Рисунок \* ARABIC ">
        <w:bookmarkStart w:id="1373" w:name="_Ref107476977"/>
        <w:r w:rsidR="001860A9">
          <w:rPr>
            <w:noProof/>
          </w:rPr>
          <w:t>352</w:t>
        </w:r>
        <w:bookmarkEnd w:id="1373"/>
      </w:fldSimple>
      <w:bookmarkEnd w:id="1370"/>
      <w:r>
        <w:t xml:space="preserve"> – Контекстное меню элемента измерения без иерархии</w:t>
      </w:r>
      <w:bookmarkEnd w:id="1371"/>
      <w:bookmarkEnd w:id="1372"/>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226D55">
        <w:rPr>
          <w:rFonts w:eastAsia="Calibri"/>
          <w:b/>
          <w:i/>
          <w:lang w:eastAsia="en-US"/>
        </w:rPr>
        <w:t>меры</w:t>
      </w:r>
      <w:r w:rsidRPr="00867126">
        <w:rPr>
          <w:rFonts w:eastAsia="Calibri"/>
          <w:lang w:eastAsia="en-US"/>
        </w:rPr>
        <w:t xml:space="preserve"> пользователю Подсистемы в контекстном меню</w:t>
      </w:r>
      <w:r w:rsidR="002F7CE5">
        <w:rPr>
          <w:rFonts w:eastAsia="Calibri"/>
          <w:lang w:eastAsia="en-US"/>
        </w:rPr>
        <w:t xml:space="preserve">, представленном на рисунке </w:t>
      </w:r>
      <w:r w:rsidR="002F7CE5">
        <w:rPr>
          <w:rFonts w:eastAsia="Calibri"/>
          <w:lang w:eastAsia="en-US"/>
        </w:rPr>
        <w:fldChar w:fldCharType="begin"/>
      </w:r>
      <w:r w:rsidR="002F7CE5">
        <w:rPr>
          <w:rFonts w:eastAsia="Calibri"/>
          <w:lang w:eastAsia="en-US"/>
        </w:rPr>
        <w:instrText xml:space="preserve"> REF _Ref107477038 \h </w:instrText>
      </w:r>
      <w:r w:rsidR="002F7CE5">
        <w:rPr>
          <w:rFonts w:eastAsia="Calibri"/>
          <w:lang w:eastAsia="en-US"/>
        </w:rPr>
      </w:r>
      <w:r w:rsidR="002F7CE5">
        <w:rPr>
          <w:rFonts w:eastAsia="Calibri"/>
          <w:lang w:eastAsia="en-US"/>
        </w:rPr>
        <w:fldChar w:fldCharType="separate"/>
      </w:r>
      <w:r w:rsidR="002F7CE5">
        <w:rPr>
          <w:noProof/>
        </w:rPr>
        <w:t>353</w:t>
      </w:r>
      <w:r w:rsidR="002F7CE5">
        <w:rPr>
          <w:rFonts w:eastAsia="Calibri"/>
          <w:lang w:eastAsia="en-US"/>
        </w:rPr>
        <w:fldChar w:fldCharType="end"/>
      </w:r>
      <w:r w:rsidR="002F7CE5">
        <w:rPr>
          <w:rFonts w:eastAsia="Calibri"/>
          <w:lang w:eastAsia="en-US"/>
        </w:rPr>
        <w:t xml:space="preserve">, </w:t>
      </w:r>
      <w:r w:rsidRPr="00867126">
        <w:rPr>
          <w:rFonts w:eastAsia="Calibri"/>
          <w:lang w:eastAsia="en-US"/>
        </w:rPr>
        <w:t>доступны следующие функции:</w:t>
      </w:r>
    </w:p>
    <w:p w:rsidR="00862055" w:rsidRPr="00867126" w:rsidRDefault="00862055" w:rsidP="00862055">
      <w:pPr>
        <w:pStyle w:val="13"/>
        <w:rPr>
          <w:rFonts w:eastAsia="Calibri"/>
          <w:lang w:eastAsia="en-US"/>
        </w:rPr>
      </w:pPr>
      <w:r w:rsidRPr="00867126">
        <w:rPr>
          <w:rFonts w:eastAsia="Calibri"/>
          <w:lang w:eastAsia="en-US"/>
        </w:rPr>
        <w:t>добавить, позволяющая добавить меру или измерение из отдельно открывающегося подменю;</w:t>
      </w:r>
    </w:p>
    <w:p w:rsidR="00862055" w:rsidRPr="00867126" w:rsidRDefault="00862055" w:rsidP="00862055">
      <w:pPr>
        <w:pStyle w:val="13"/>
        <w:rPr>
          <w:rFonts w:eastAsia="Calibri"/>
          <w:lang w:eastAsia="en-US"/>
        </w:rPr>
      </w:pPr>
      <w:r w:rsidRPr="00867126">
        <w:rPr>
          <w:rFonts w:eastAsia="Calibri"/>
          <w:lang w:eastAsia="en-US"/>
        </w:rPr>
        <w:t>заменить на, позволяющая текущую меру заменить на другую;</w:t>
      </w:r>
    </w:p>
    <w:p w:rsidR="00862055" w:rsidRPr="00867126" w:rsidRDefault="00862055" w:rsidP="00862055">
      <w:pPr>
        <w:pStyle w:val="13"/>
        <w:rPr>
          <w:rFonts w:eastAsia="Calibri"/>
          <w:lang w:eastAsia="en-US"/>
        </w:rPr>
      </w:pPr>
      <w:r w:rsidRPr="00867126">
        <w:rPr>
          <w:rFonts w:eastAsia="Calibri"/>
          <w:lang w:eastAsia="en-US"/>
        </w:rPr>
        <w:t>удалить, позволяющая исключить текущую меру;</w:t>
      </w:r>
    </w:p>
    <w:p w:rsidR="00862055" w:rsidRPr="00867126" w:rsidRDefault="00862055" w:rsidP="00862055">
      <w:pPr>
        <w:pStyle w:val="13"/>
        <w:rPr>
          <w:rFonts w:eastAsia="Calibri"/>
          <w:lang w:eastAsia="en-US"/>
        </w:rPr>
      </w:pPr>
      <w:r w:rsidRPr="00867126">
        <w:rPr>
          <w:rFonts w:eastAsia="Calibri"/>
          <w:lang w:eastAsia="en-US"/>
        </w:rPr>
        <w:t>влево, позволяющая поменять очередность вывода мер;</w:t>
      </w:r>
    </w:p>
    <w:p w:rsidR="00862055" w:rsidRPr="00867126" w:rsidRDefault="00862055" w:rsidP="00862055">
      <w:pPr>
        <w:pStyle w:val="13"/>
        <w:rPr>
          <w:rFonts w:eastAsia="Calibri"/>
          <w:lang w:eastAsia="en-US"/>
        </w:rPr>
      </w:pPr>
      <w:r w:rsidRPr="00867126">
        <w:rPr>
          <w:rFonts w:eastAsia="Calibri"/>
          <w:lang w:eastAsia="en-US"/>
        </w:rPr>
        <w:t>вправо, позволяющая поменять очередность вывода;</w:t>
      </w:r>
    </w:p>
    <w:p w:rsidR="00862055" w:rsidRDefault="00862055" w:rsidP="00862055">
      <w:pPr>
        <w:pStyle w:val="-0"/>
      </w:pPr>
      <w:r>
        <w:rPr>
          <w:noProof/>
          <w:snapToGrid/>
        </w:rPr>
        <w:drawing>
          <wp:inline distT="0" distB="0" distL="0" distR="0" wp14:anchorId="3016C1D4" wp14:editId="7416BF26">
            <wp:extent cx="2228850" cy="1994691"/>
            <wp:effectExtent l="0" t="0" r="0" b="571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4"/>
                    <a:stretch>
                      <a:fillRect/>
                    </a:stretch>
                  </pic:blipFill>
                  <pic:spPr>
                    <a:xfrm>
                      <a:off x="0" y="0"/>
                      <a:ext cx="2228850" cy="1994691"/>
                    </a:xfrm>
                    <a:prstGeom prst="rect">
                      <a:avLst/>
                    </a:prstGeom>
                  </pic:spPr>
                </pic:pic>
              </a:graphicData>
            </a:graphic>
          </wp:inline>
        </w:drawing>
      </w:r>
    </w:p>
    <w:p w:rsidR="00862055" w:rsidRPr="00493BA2" w:rsidRDefault="00862055" w:rsidP="002F7CE5">
      <w:pPr>
        <w:pStyle w:val="-0"/>
      </w:pPr>
      <w:bookmarkStart w:id="1374" w:name="_Ref101610783"/>
      <w:bookmarkStart w:id="1375" w:name="_Toc103180861"/>
      <w:bookmarkStart w:id="1376" w:name="_Toc119584540"/>
      <w:r>
        <w:t xml:space="preserve">Рисунок </w:t>
      </w:r>
      <w:fldSimple w:instr=" SEQ Рисунок \* ARABIC ">
        <w:bookmarkStart w:id="1377" w:name="_Ref107477038"/>
        <w:r w:rsidR="001860A9">
          <w:rPr>
            <w:noProof/>
          </w:rPr>
          <w:t>353</w:t>
        </w:r>
        <w:bookmarkEnd w:id="1377"/>
      </w:fldSimple>
      <w:bookmarkEnd w:id="1374"/>
      <w:r>
        <w:t xml:space="preserve"> – Контекстное меню меры</w:t>
      </w:r>
      <w:bookmarkEnd w:id="1375"/>
      <w:bookmarkEnd w:id="1376"/>
    </w:p>
    <w:p w:rsidR="00862055" w:rsidRPr="00867126" w:rsidRDefault="00862055" w:rsidP="00862055">
      <w:pPr>
        <w:pStyle w:val="af0"/>
        <w:rPr>
          <w:rFonts w:eastAsia="Calibri"/>
          <w:lang w:eastAsia="en-US"/>
        </w:rPr>
      </w:pPr>
      <w:r>
        <w:rPr>
          <w:rFonts w:eastAsia="Calibri"/>
          <w:lang w:eastAsia="en-US"/>
        </w:rPr>
        <w:t>П</w:t>
      </w:r>
      <w:r w:rsidRPr="00867126">
        <w:rPr>
          <w:rFonts w:eastAsia="Calibri"/>
          <w:lang w:eastAsia="en-US"/>
        </w:rPr>
        <w:t xml:space="preserve">ри выделении </w:t>
      </w:r>
      <w:r w:rsidRPr="00226D55">
        <w:rPr>
          <w:rFonts w:eastAsia="Calibri"/>
          <w:b/>
          <w:i/>
          <w:lang w:eastAsia="en-US"/>
        </w:rPr>
        <w:t>элемента данных</w:t>
      </w:r>
      <w:r w:rsidRPr="00867126">
        <w:rPr>
          <w:rFonts w:eastAsia="Calibri"/>
          <w:lang w:eastAsia="en-US"/>
        </w:rPr>
        <w:t xml:space="preserve"> пользователю Подсистемы в контекстном меню</w:t>
      </w:r>
      <w:r w:rsidR="002F7CE5">
        <w:rPr>
          <w:rFonts w:eastAsia="Calibri"/>
          <w:lang w:eastAsia="en-US"/>
        </w:rPr>
        <w:t xml:space="preserve">, представленном на рисунке </w:t>
      </w:r>
      <w:r w:rsidR="002F7CE5">
        <w:rPr>
          <w:rFonts w:eastAsia="Calibri"/>
          <w:lang w:eastAsia="en-US"/>
        </w:rPr>
        <w:fldChar w:fldCharType="begin"/>
      </w:r>
      <w:r w:rsidR="002F7CE5">
        <w:rPr>
          <w:rFonts w:eastAsia="Calibri"/>
          <w:lang w:eastAsia="en-US"/>
        </w:rPr>
        <w:instrText xml:space="preserve"> REF _Ref107477083 \h </w:instrText>
      </w:r>
      <w:r w:rsidR="002F7CE5">
        <w:rPr>
          <w:rFonts w:eastAsia="Calibri"/>
          <w:lang w:eastAsia="en-US"/>
        </w:rPr>
      </w:r>
      <w:r w:rsidR="002F7CE5">
        <w:rPr>
          <w:rFonts w:eastAsia="Calibri"/>
          <w:lang w:eastAsia="en-US"/>
        </w:rPr>
        <w:fldChar w:fldCharType="separate"/>
      </w:r>
      <w:r w:rsidR="002F7CE5">
        <w:rPr>
          <w:noProof/>
        </w:rPr>
        <w:t>354</w:t>
      </w:r>
      <w:r w:rsidR="002F7CE5">
        <w:rPr>
          <w:rFonts w:eastAsia="Calibri"/>
          <w:lang w:eastAsia="en-US"/>
        </w:rPr>
        <w:fldChar w:fldCharType="end"/>
      </w:r>
      <w:r w:rsidR="002F7CE5">
        <w:rPr>
          <w:rFonts w:eastAsia="Calibri"/>
          <w:lang w:eastAsia="en-US"/>
        </w:rPr>
        <w:t xml:space="preserve">, </w:t>
      </w:r>
      <w:r w:rsidRPr="00867126">
        <w:rPr>
          <w:rFonts w:eastAsia="Calibri"/>
          <w:lang w:eastAsia="en-US"/>
        </w:rPr>
        <w:t>доступны следующие функции:</w:t>
      </w:r>
    </w:p>
    <w:p w:rsidR="00862055" w:rsidRPr="00867126" w:rsidRDefault="00862055" w:rsidP="00862055">
      <w:pPr>
        <w:pStyle w:val="13"/>
        <w:rPr>
          <w:rFonts w:eastAsia="Calibri"/>
          <w:lang w:eastAsia="en-US"/>
        </w:rPr>
      </w:pPr>
      <w:r w:rsidRPr="00867126">
        <w:rPr>
          <w:rFonts w:eastAsia="Calibri"/>
          <w:lang w:eastAsia="en-US"/>
        </w:rPr>
        <w:t>детализировать;</w:t>
      </w:r>
    </w:p>
    <w:p w:rsidR="00862055" w:rsidRPr="00867126" w:rsidRDefault="00862055" w:rsidP="00862055">
      <w:pPr>
        <w:pStyle w:val="13"/>
        <w:rPr>
          <w:rFonts w:eastAsia="Calibri"/>
          <w:lang w:eastAsia="en-US"/>
        </w:rPr>
      </w:pPr>
      <w:r w:rsidRPr="00867126">
        <w:rPr>
          <w:rFonts w:eastAsia="Calibri"/>
          <w:lang w:eastAsia="en-US"/>
        </w:rPr>
        <w:t>оставить только;</w:t>
      </w:r>
    </w:p>
    <w:p w:rsidR="00862055" w:rsidRPr="00867126" w:rsidRDefault="00862055" w:rsidP="00862055">
      <w:pPr>
        <w:pStyle w:val="13"/>
        <w:rPr>
          <w:rFonts w:eastAsia="Calibri"/>
          <w:lang w:eastAsia="en-US"/>
        </w:rPr>
      </w:pPr>
      <w:r w:rsidRPr="00867126">
        <w:rPr>
          <w:rFonts w:eastAsia="Calibri"/>
          <w:lang w:eastAsia="en-US"/>
        </w:rPr>
        <w:t>исключить;</w:t>
      </w:r>
    </w:p>
    <w:p w:rsidR="00862055" w:rsidRPr="00867126" w:rsidRDefault="00862055" w:rsidP="00862055">
      <w:pPr>
        <w:pStyle w:val="13"/>
        <w:rPr>
          <w:rFonts w:eastAsia="Calibri"/>
          <w:lang w:eastAsia="en-US"/>
        </w:rPr>
      </w:pPr>
      <w:r w:rsidRPr="00867126">
        <w:rPr>
          <w:rFonts w:eastAsia="Calibri"/>
          <w:lang w:eastAsia="en-US"/>
        </w:rPr>
        <w:t>показать данные.</w:t>
      </w:r>
    </w:p>
    <w:p w:rsidR="00862055" w:rsidRDefault="00862055" w:rsidP="00862055">
      <w:pPr>
        <w:pStyle w:val="-0"/>
      </w:pPr>
      <w:r>
        <w:rPr>
          <w:noProof/>
          <w:snapToGrid/>
        </w:rPr>
        <w:drawing>
          <wp:inline distT="0" distB="0" distL="0" distR="0" wp14:anchorId="27B00C8B" wp14:editId="27DDEE2A">
            <wp:extent cx="1943100" cy="2336639"/>
            <wp:effectExtent l="0" t="0" r="0" b="698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5"/>
                    <a:stretch>
                      <a:fillRect/>
                    </a:stretch>
                  </pic:blipFill>
                  <pic:spPr>
                    <a:xfrm>
                      <a:off x="0" y="0"/>
                      <a:ext cx="1943100" cy="2336639"/>
                    </a:xfrm>
                    <a:prstGeom prst="rect">
                      <a:avLst/>
                    </a:prstGeom>
                  </pic:spPr>
                </pic:pic>
              </a:graphicData>
            </a:graphic>
          </wp:inline>
        </w:drawing>
      </w:r>
    </w:p>
    <w:p w:rsidR="00862055" w:rsidRDefault="00862055" w:rsidP="002F7CE5">
      <w:pPr>
        <w:pStyle w:val="-0"/>
      </w:pPr>
      <w:bookmarkStart w:id="1378" w:name="_Ref101612167"/>
      <w:bookmarkStart w:id="1379" w:name="_Toc103180862"/>
      <w:bookmarkStart w:id="1380" w:name="_Toc119584541"/>
      <w:r>
        <w:t xml:space="preserve">Рисунок </w:t>
      </w:r>
      <w:fldSimple w:instr=" SEQ Рисунок \* ARABIC ">
        <w:bookmarkStart w:id="1381" w:name="_Ref107477083"/>
        <w:r w:rsidR="001860A9">
          <w:rPr>
            <w:noProof/>
          </w:rPr>
          <w:t>354</w:t>
        </w:r>
        <w:bookmarkEnd w:id="1381"/>
      </w:fldSimple>
      <w:bookmarkEnd w:id="1378"/>
      <w:r>
        <w:t xml:space="preserve"> – Контекстное меню элемента данных</w:t>
      </w:r>
      <w:bookmarkEnd w:id="1379"/>
      <w:bookmarkEnd w:id="1380"/>
    </w:p>
    <w:p w:rsidR="00862055" w:rsidRDefault="00862055" w:rsidP="00356CF3">
      <w:pPr>
        <w:pStyle w:val="42"/>
      </w:pPr>
      <w:r>
        <w:t>Описание последовательности действий при работе с отчетом «Сведения о ФОТ ФОИВ»</w:t>
      </w:r>
    </w:p>
    <w:p w:rsidR="00862055" w:rsidRDefault="00862055" w:rsidP="00356CF3">
      <w:pPr>
        <w:pStyle w:val="53"/>
      </w:pPr>
      <w:r>
        <w:t>Описание действий для измерений</w:t>
      </w:r>
      <w:r w:rsidRPr="00DF1EA8">
        <w:t xml:space="preserve"> с иерархией</w:t>
      </w:r>
    </w:p>
    <w:p w:rsidR="00862055" w:rsidRDefault="00862055" w:rsidP="00862055">
      <w:pPr>
        <w:pStyle w:val="af0"/>
      </w:pPr>
      <w:r>
        <w:t xml:space="preserve">Иерархия позволяет получить доступ к различным уровням детализации объектов. Уровни детализации – быстрый и удобный способ навигации по данным. </w:t>
      </w:r>
    </w:p>
    <w:p w:rsidR="00862055" w:rsidRDefault="00862055" w:rsidP="00862055">
      <w:pPr>
        <w:pStyle w:val="13"/>
      </w:pPr>
      <w:r>
        <w:t>Переход по иерархии вниз позволяет более подробно рассмотреть данные и дочерние элементы.</w:t>
      </w:r>
    </w:p>
    <w:p w:rsidR="00862055" w:rsidRDefault="00862055" w:rsidP="00862055">
      <w:pPr>
        <w:pStyle w:val="13"/>
      </w:pPr>
      <w:r>
        <w:t>Переход по иерархии вверх позволяет сократить объем отображаемых данных.</w:t>
      </w:r>
    </w:p>
    <w:p w:rsidR="00862055" w:rsidRDefault="00862055" w:rsidP="00862055">
      <w:pPr>
        <w:pStyle w:val="af0"/>
      </w:pPr>
      <w:r>
        <w:t>По умолчанию в отчете «Сведения о ФОТ ФОИВ» отображается верхний уровень иерархии (в разрезе Глав). При переходе с уровня Глав в таблице отобразятся данные для субъектов учета.</w:t>
      </w:r>
    </w:p>
    <w:p w:rsidR="00862055" w:rsidRDefault="00862055" w:rsidP="00862055">
      <w:pPr>
        <w:pStyle w:val="afd"/>
        <w:numPr>
          <w:ilvl w:val="0"/>
          <w:numId w:val="189"/>
        </w:numPr>
        <w:ind w:left="924" w:hanging="357"/>
      </w:pPr>
      <w:r>
        <w:t>Для детализации информации на ячейке «Глава», которую требуется детализировать, вызвать контекстное меню и выбрать пункт меню «Развернуть»</w:t>
      </w:r>
      <w:r w:rsidR="002F7CE5">
        <w:t xml:space="preserve">, как показано на рисунке </w:t>
      </w:r>
      <w:r w:rsidR="002F7CE5">
        <w:fldChar w:fldCharType="begin"/>
      </w:r>
      <w:r w:rsidR="002F7CE5">
        <w:instrText xml:space="preserve"> REF _Ref102223016 \h </w:instrText>
      </w:r>
      <w:r w:rsidR="002F7CE5">
        <w:fldChar w:fldCharType="separate"/>
      </w:r>
      <w:r w:rsidR="002F7CE5">
        <w:rPr>
          <w:noProof/>
        </w:rPr>
        <w:t>355</w:t>
      </w:r>
      <w:r w:rsidR="002F7CE5">
        <w:fldChar w:fldCharType="end"/>
      </w:r>
      <w:r w:rsidR="002F7CE5">
        <w:t>.</w:t>
      </w:r>
    </w:p>
    <w:p w:rsidR="00862055" w:rsidRDefault="00862055" w:rsidP="00862055">
      <w:pPr>
        <w:pStyle w:val="-0"/>
      </w:pPr>
      <w:r w:rsidRPr="0024300E">
        <w:rPr>
          <w:noProof/>
        </w:rPr>
        <w:drawing>
          <wp:inline distT="0" distB="0" distL="0" distR="0" wp14:anchorId="0806878B" wp14:editId="7D8AA181">
            <wp:extent cx="3295650" cy="2008177"/>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6"/>
                    <a:stretch>
                      <a:fillRect/>
                    </a:stretch>
                  </pic:blipFill>
                  <pic:spPr>
                    <a:xfrm>
                      <a:off x="0" y="0"/>
                      <a:ext cx="3302149" cy="2012137"/>
                    </a:xfrm>
                    <a:prstGeom prst="rect">
                      <a:avLst/>
                    </a:prstGeom>
                  </pic:spPr>
                </pic:pic>
              </a:graphicData>
            </a:graphic>
          </wp:inline>
        </w:drawing>
      </w:r>
    </w:p>
    <w:p w:rsidR="00862055" w:rsidRDefault="00862055" w:rsidP="002F7CE5">
      <w:pPr>
        <w:pStyle w:val="-0"/>
      </w:pPr>
      <w:bookmarkStart w:id="1382" w:name="_Toc103180863"/>
      <w:bookmarkStart w:id="1383" w:name="_Toc119584542"/>
      <w:r>
        <w:t xml:space="preserve">Рисунок </w:t>
      </w:r>
      <w:fldSimple w:instr=" SEQ Рисунок \* ARABIC ">
        <w:bookmarkStart w:id="1384" w:name="_Ref102223016"/>
        <w:r w:rsidR="001860A9">
          <w:rPr>
            <w:noProof/>
          </w:rPr>
          <w:t>355</w:t>
        </w:r>
        <w:bookmarkEnd w:id="1384"/>
      </w:fldSimple>
      <w:r>
        <w:t xml:space="preserve"> – Функция «Развернуть» для измерения с иерархией</w:t>
      </w:r>
      <w:bookmarkEnd w:id="1382"/>
      <w:bookmarkEnd w:id="1383"/>
    </w:p>
    <w:p w:rsidR="00862055" w:rsidRDefault="00862055" w:rsidP="00862055">
      <w:pPr>
        <w:pStyle w:val="afd"/>
        <w:ind w:left="924" w:firstLine="0"/>
      </w:pPr>
      <w:r>
        <w:t>В таблице добавятся дополнитель</w:t>
      </w:r>
      <w:r w:rsidR="00970415">
        <w:t xml:space="preserve">ные сведения по субъектам учета, показано на рисунке </w:t>
      </w:r>
      <w:r w:rsidR="00970415">
        <w:fldChar w:fldCharType="begin"/>
      </w:r>
      <w:r w:rsidR="00970415">
        <w:instrText xml:space="preserve"> REF _Ref102223082 \h </w:instrText>
      </w:r>
      <w:r w:rsidR="00970415">
        <w:fldChar w:fldCharType="separate"/>
      </w:r>
      <w:r w:rsidR="00970415">
        <w:rPr>
          <w:noProof/>
        </w:rPr>
        <w:t>356</w:t>
      </w:r>
      <w:r w:rsidR="00970415">
        <w:fldChar w:fldCharType="end"/>
      </w:r>
      <w:r w:rsidR="00970415">
        <w:t xml:space="preserve">. </w:t>
      </w:r>
      <w:r>
        <w:t>Функция «Развернуть» в контекстном меню становится неактивной.</w:t>
      </w:r>
    </w:p>
    <w:p w:rsidR="00862055" w:rsidRDefault="00862055" w:rsidP="00862055">
      <w:pPr>
        <w:pStyle w:val="-0"/>
      </w:pPr>
      <w:r>
        <w:rPr>
          <w:noProof/>
          <w:snapToGrid/>
        </w:rPr>
        <w:drawing>
          <wp:inline distT="0" distB="0" distL="0" distR="0" wp14:anchorId="4A62D30A" wp14:editId="4C47062A">
            <wp:extent cx="4724400" cy="3537084"/>
            <wp:effectExtent l="0" t="0" r="0" b="63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7"/>
                    <a:stretch>
                      <a:fillRect/>
                    </a:stretch>
                  </pic:blipFill>
                  <pic:spPr>
                    <a:xfrm>
                      <a:off x="0" y="0"/>
                      <a:ext cx="4728756" cy="3540345"/>
                    </a:xfrm>
                    <a:prstGeom prst="rect">
                      <a:avLst/>
                    </a:prstGeom>
                  </pic:spPr>
                </pic:pic>
              </a:graphicData>
            </a:graphic>
          </wp:inline>
        </w:drawing>
      </w:r>
    </w:p>
    <w:p w:rsidR="00862055" w:rsidRPr="0024300E" w:rsidRDefault="00862055" w:rsidP="00970415">
      <w:pPr>
        <w:pStyle w:val="-0"/>
      </w:pPr>
      <w:bookmarkStart w:id="1385" w:name="_Toc103180864"/>
      <w:bookmarkStart w:id="1386" w:name="_Toc119584543"/>
      <w:r>
        <w:t xml:space="preserve">Рисунок </w:t>
      </w:r>
      <w:fldSimple w:instr=" SEQ Рисунок \* ARABIC ">
        <w:bookmarkStart w:id="1387" w:name="_Ref102223082"/>
        <w:r w:rsidR="001860A9">
          <w:rPr>
            <w:noProof/>
          </w:rPr>
          <w:t>356</w:t>
        </w:r>
        <w:bookmarkEnd w:id="1387"/>
      </w:fldSimple>
      <w:r>
        <w:t xml:space="preserve"> – Результат функции «Развернуть» для измерения с иерархией</w:t>
      </w:r>
      <w:bookmarkEnd w:id="1385"/>
      <w:bookmarkEnd w:id="1386"/>
    </w:p>
    <w:p w:rsidR="00862055" w:rsidRDefault="00862055" w:rsidP="00862055">
      <w:pPr>
        <w:pStyle w:val="afd"/>
        <w:ind w:left="924" w:firstLine="0"/>
      </w:pPr>
      <w:r>
        <w:t xml:space="preserve">Измерения также можно развернуть, кликнув мышью на значок «Развернуть» </w:t>
      </w:r>
      <w:r>
        <w:rPr>
          <w:noProof/>
          <w:snapToGrid/>
        </w:rPr>
        <w:drawing>
          <wp:inline distT="0" distB="0" distL="0" distR="0" wp14:anchorId="5BC469CC" wp14:editId="191BB092">
            <wp:extent cx="133350" cy="161925"/>
            <wp:effectExtent l="0" t="0" r="0" b="952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stretch>
                      <a:fillRect/>
                    </a:stretch>
                  </pic:blipFill>
                  <pic:spPr>
                    <a:xfrm>
                      <a:off x="0" y="0"/>
                      <a:ext cx="133350" cy="161925"/>
                    </a:xfrm>
                    <a:prstGeom prst="rect">
                      <a:avLst/>
                    </a:prstGeom>
                  </pic:spPr>
                </pic:pic>
              </a:graphicData>
            </a:graphic>
          </wp:inline>
        </w:drawing>
      </w:r>
      <w:r>
        <w:t>, рядом с элементом.</w:t>
      </w:r>
    </w:p>
    <w:p w:rsidR="00862055" w:rsidRDefault="00862055" w:rsidP="00862055">
      <w:pPr>
        <w:pStyle w:val="afd"/>
        <w:numPr>
          <w:ilvl w:val="0"/>
          <w:numId w:val="189"/>
        </w:numPr>
        <w:ind w:left="924" w:hanging="357"/>
      </w:pPr>
      <w:r>
        <w:t>Для сворачивания иерархии на ячейке «Глава» вызвать контекстное меню и выбрать пункт меню</w:t>
      </w:r>
      <w:r w:rsidR="00970415">
        <w:t xml:space="preserve"> «Свернуть», как это показано на рисунке </w:t>
      </w:r>
      <w:r w:rsidR="00970415">
        <w:fldChar w:fldCharType="begin"/>
      </w:r>
      <w:r w:rsidR="00970415">
        <w:instrText xml:space="preserve"> REF _Ref102223188 \h </w:instrText>
      </w:r>
      <w:r w:rsidR="00970415">
        <w:fldChar w:fldCharType="separate"/>
      </w:r>
      <w:r w:rsidR="00970415">
        <w:rPr>
          <w:noProof/>
        </w:rPr>
        <w:t>357</w:t>
      </w:r>
      <w:r w:rsidR="00970415">
        <w:fldChar w:fldCharType="end"/>
      </w:r>
      <w:r w:rsidR="00970415">
        <w:t>.</w:t>
      </w:r>
    </w:p>
    <w:p w:rsidR="00862055" w:rsidRDefault="00862055" w:rsidP="00862055">
      <w:pPr>
        <w:pStyle w:val="-0"/>
        <w:keepNext/>
      </w:pPr>
      <w:r>
        <w:rPr>
          <w:noProof/>
          <w:snapToGrid/>
        </w:rPr>
        <w:drawing>
          <wp:inline distT="0" distB="0" distL="0" distR="0" wp14:anchorId="5651955F" wp14:editId="12DC5088">
            <wp:extent cx="3286125" cy="2135981"/>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9"/>
                    <a:stretch>
                      <a:fillRect/>
                    </a:stretch>
                  </pic:blipFill>
                  <pic:spPr>
                    <a:xfrm>
                      <a:off x="0" y="0"/>
                      <a:ext cx="3286125" cy="2135981"/>
                    </a:xfrm>
                    <a:prstGeom prst="rect">
                      <a:avLst/>
                    </a:prstGeom>
                  </pic:spPr>
                </pic:pic>
              </a:graphicData>
            </a:graphic>
          </wp:inline>
        </w:drawing>
      </w:r>
    </w:p>
    <w:p w:rsidR="00862055" w:rsidRPr="00646113" w:rsidRDefault="00862055" w:rsidP="00970415">
      <w:pPr>
        <w:pStyle w:val="afff8"/>
        <w:jc w:val="center"/>
      </w:pPr>
      <w:bookmarkStart w:id="1388" w:name="_Toc103180865"/>
      <w:bookmarkStart w:id="1389" w:name="_Toc119584544"/>
      <w:r>
        <w:t xml:space="preserve">Рисунок </w:t>
      </w:r>
      <w:fldSimple w:instr=" SEQ Рисунок \* ARABIC ">
        <w:bookmarkStart w:id="1390" w:name="_Ref102223188"/>
        <w:r w:rsidR="001860A9">
          <w:rPr>
            <w:noProof/>
          </w:rPr>
          <w:t>357</w:t>
        </w:r>
        <w:bookmarkEnd w:id="1390"/>
      </w:fldSimple>
      <w:r>
        <w:t xml:space="preserve"> – Функция «Свернуть» для измерения с иерархией</w:t>
      </w:r>
      <w:bookmarkEnd w:id="1388"/>
      <w:bookmarkEnd w:id="1389"/>
    </w:p>
    <w:p w:rsidR="00862055" w:rsidRDefault="00862055" w:rsidP="00862055">
      <w:pPr>
        <w:pStyle w:val="afd"/>
        <w:ind w:left="924" w:firstLine="0"/>
      </w:pPr>
      <w:r>
        <w:t>В результате объем отображаемых данных сократится, колонка</w:t>
      </w:r>
      <w:r w:rsidR="00232E8A">
        <w:t xml:space="preserve"> «Субъект учета» будет свернута, как это видно на рисунке </w:t>
      </w:r>
      <w:r w:rsidR="00232E8A">
        <w:fldChar w:fldCharType="begin"/>
      </w:r>
      <w:r w:rsidR="00232E8A">
        <w:instrText xml:space="preserve"> REF _Ref102223355 \h </w:instrText>
      </w:r>
      <w:r w:rsidR="00232E8A">
        <w:fldChar w:fldCharType="separate"/>
      </w:r>
      <w:r w:rsidR="00232E8A">
        <w:rPr>
          <w:noProof/>
        </w:rPr>
        <w:t>358</w:t>
      </w:r>
      <w:r w:rsidR="00232E8A">
        <w:fldChar w:fldCharType="end"/>
      </w:r>
      <w:r w:rsidR="00232E8A">
        <w:t>.</w:t>
      </w:r>
    </w:p>
    <w:p w:rsidR="00862055" w:rsidRDefault="00862055" w:rsidP="00862055">
      <w:pPr>
        <w:pStyle w:val="-0"/>
        <w:keepNext/>
      </w:pPr>
      <w:r>
        <w:rPr>
          <w:noProof/>
          <w:snapToGrid/>
        </w:rPr>
        <w:drawing>
          <wp:inline distT="0" distB="0" distL="0" distR="0" wp14:anchorId="290A1DEA" wp14:editId="042A6FCE">
            <wp:extent cx="4610100" cy="3204563"/>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0"/>
                    <a:stretch>
                      <a:fillRect/>
                    </a:stretch>
                  </pic:blipFill>
                  <pic:spPr>
                    <a:xfrm>
                      <a:off x="0" y="0"/>
                      <a:ext cx="4620135" cy="3211538"/>
                    </a:xfrm>
                    <a:prstGeom prst="rect">
                      <a:avLst/>
                    </a:prstGeom>
                  </pic:spPr>
                </pic:pic>
              </a:graphicData>
            </a:graphic>
          </wp:inline>
        </w:drawing>
      </w:r>
    </w:p>
    <w:p w:rsidR="00862055" w:rsidRPr="00786384" w:rsidRDefault="00862055" w:rsidP="003C655B">
      <w:pPr>
        <w:pStyle w:val="-0"/>
      </w:pPr>
      <w:bookmarkStart w:id="1391" w:name="_Toc103180866"/>
      <w:bookmarkStart w:id="1392" w:name="_Toc119584545"/>
      <w:r>
        <w:t xml:space="preserve">Рисунок </w:t>
      </w:r>
      <w:fldSimple w:instr=" SEQ Рисунок \* ARABIC ">
        <w:bookmarkStart w:id="1393" w:name="_Ref102223355"/>
        <w:r w:rsidR="001860A9">
          <w:rPr>
            <w:noProof/>
          </w:rPr>
          <w:t>358</w:t>
        </w:r>
        <w:bookmarkEnd w:id="1393"/>
      </w:fldSimple>
      <w:r>
        <w:t xml:space="preserve"> – Результат функции «С</w:t>
      </w:r>
      <w:r w:rsidRPr="00786384">
        <w:t>в</w:t>
      </w:r>
      <w:r>
        <w:t>ернуть» для измерения с иерархией</w:t>
      </w:r>
      <w:bookmarkEnd w:id="1391"/>
      <w:bookmarkEnd w:id="1392"/>
    </w:p>
    <w:p w:rsidR="00862055" w:rsidRPr="009D4F17" w:rsidRDefault="00862055" w:rsidP="00862055">
      <w:pPr>
        <w:pStyle w:val="afd"/>
        <w:ind w:left="924" w:firstLine="0"/>
      </w:pPr>
      <w:r w:rsidRPr="009D4F17">
        <w:t xml:space="preserve">Измерения также можно </w:t>
      </w:r>
      <w:r>
        <w:t>свернут</w:t>
      </w:r>
      <w:r w:rsidRPr="009D4F17">
        <w:t>ь, кликну</w:t>
      </w:r>
      <w:r>
        <w:t xml:space="preserve">в мышью на значок «Свернуть» </w:t>
      </w:r>
      <w:r>
        <w:rPr>
          <w:noProof/>
          <w:snapToGrid/>
        </w:rPr>
        <w:drawing>
          <wp:inline distT="0" distB="0" distL="0" distR="0" wp14:anchorId="6B0FE47C" wp14:editId="5BBD6128">
            <wp:extent cx="171450" cy="1428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stretch>
                      <a:fillRect/>
                    </a:stretch>
                  </pic:blipFill>
                  <pic:spPr>
                    <a:xfrm>
                      <a:off x="0" y="0"/>
                      <a:ext cx="171450" cy="142875"/>
                    </a:xfrm>
                    <a:prstGeom prst="rect">
                      <a:avLst/>
                    </a:prstGeom>
                  </pic:spPr>
                </pic:pic>
              </a:graphicData>
            </a:graphic>
          </wp:inline>
        </w:drawing>
      </w:r>
      <w:r w:rsidRPr="009D4F17">
        <w:t>, рядом с элементом</w:t>
      </w:r>
      <w:r>
        <w:t>.</w:t>
      </w:r>
    </w:p>
    <w:p w:rsidR="00862055" w:rsidRDefault="00862055" w:rsidP="00862055">
      <w:pPr>
        <w:pStyle w:val="afd"/>
        <w:numPr>
          <w:ilvl w:val="0"/>
          <w:numId w:val="189"/>
        </w:numPr>
        <w:ind w:left="924" w:hanging="357"/>
      </w:pPr>
      <w:r>
        <w:t>Для добавления в таблицу новых измерений, доступных для данного отчета на ячейке «Глава» вызвать контекстное меню и выбрать пункт «Добавить/Измерения/ФОТ».</w:t>
      </w:r>
    </w:p>
    <w:p w:rsidR="00356CF3" w:rsidRDefault="00862055" w:rsidP="00356CF3">
      <w:pPr>
        <w:pStyle w:val="af0"/>
        <w:rPr>
          <w:noProof/>
          <w:snapToGrid/>
        </w:rPr>
      </w:pPr>
      <w:r>
        <w:t>В контекстном меню отобразится перечень</w:t>
      </w:r>
      <w:r w:rsidR="003C655B">
        <w:t xml:space="preserve"> доступных для выбора измерений, как  показано на рисунке </w:t>
      </w:r>
      <w:r w:rsidR="003C655B">
        <w:fldChar w:fldCharType="begin"/>
      </w:r>
      <w:r w:rsidR="003C655B">
        <w:instrText xml:space="preserve"> REF _Ref107493172 \h </w:instrText>
      </w:r>
      <w:r w:rsidR="003C655B">
        <w:fldChar w:fldCharType="separate"/>
      </w:r>
      <w:r w:rsidR="003C655B">
        <w:rPr>
          <w:noProof/>
        </w:rPr>
        <w:t>359</w:t>
      </w:r>
      <w:r w:rsidR="003C655B">
        <w:fldChar w:fldCharType="end"/>
      </w:r>
      <w:r w:rsidR="003C655B">
        <w:t>.</w:t>
      </w:r>
    </w:p>
    <w:p w:rsidR="003C655B" w:rsidRDefault="00862055" w:rsidP="003C655B">
      <w:pPr>
        <w:pStyle w:val="af0"/>
        <w:keepNext/>
      </w:pPr>
      <w:r>
        <w:rPr>
          <w:noProof/>
          <w:snapToGrid/>
        </w:rPr>
        <w:drawing>
          <wp:inline distT="0" distB="0" distL="0" distR="0" wp14:anchorId="0B451BF8" wp14:editId="754EA3CD">
            <wp:extent cx="5010150" cy="3560728"/>
            <wp:effectExtent l="0" t="0" r="0" b="190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stretch>
                      <a:fillRect/>
                    </a:stretch>
                  </pic:blipFill>
                  <pic:spPr>
                    <a:xfrm>
                      <a:off x="0" y="0"/>
                      <a:ext cx="5015996" cy="3564883"/>
                    </a:xfrm>
                    <a:prstGeom prst="rect">
                      <a:avLst/>
                    </a:prstGeom>
                  </pic:spPr>
                </pic:pic>
              </a:graphicData>
            </a:graphic>
          </wp:inline>
        </w:drawing>
      </w:r>
    </w:p>
    <w:p w:rsidR="003C655B" w:rsidRDefault="003C655B" w:rsidP="003C655B">
      <w:pPr>
        <w:pStyle w:val="-0"/>
      </w:pPr>
      <w:bookmarkStart w:id="1394" w:name="_Toc119584546"/>
      <w:r>
        <w:t xml:space="preserve">Рисунок </w:t>
      </w:r>
      <w:fldSimple w:instr=" SEQ Рисунок \* ARABIC ">
        <w:bookmarkStart w:id="1395" w:name="_Ref107493172"/>
        <w:r w:rsidR="001860A9">
          <w:rPr>
            <w:noProof/>
          </w:rPr>
          <w:t>359</w:t>
        </w:r>
        <w:bookmarkEnd w:id="1395"/>
      </w:fldSimple>
      <w:r>
        <w:t xml:space="preserve"> - Перечень доступных для добавления измерений</w:t>
      </w:r>
      <w:bookmarkEnd w:id="1394"/>
    </w:p>
    <w:p w:rsidR="00862055" w:rsidRDefault="00862055" w:rsidP="00356CF3">
      <w:pPr>
        <w:pStyle w:val="af0"/>
      </w:pPr>
      <w:r>
        <w:t>Выбрать необходимое измерение, например, «Должность иерархия/Тип должности».</w:t>
      </w:r>
    </w:p>
    <w:p w:rsidR="00862055" w:rsidRDefault="00862055" w:rsidP="00356CF3">
      <w:pPr>
        <w:pStyle w:val="af0"/>
      </w:pPr>
      <w:r>
        <w:t>В результате в таблице справа от текущей колонки «Глава» добавится колонка «Тип должности»</w:t>
      </w:r>
      <w:r w:rsidR="003C655B">
        <w:t xml:space="preserve">, как показано на рисунке </w:t>
      </w:r>
      <w:r w:rsidR="003C655B">
        <w:fldChar w:fldCharType="begin"/>
      </w:r>
      <w:r w:rsidR="003C655B">
        <w:instrText xml:space="preserve"> REF _Ref107493365 \h </w:instrText>
      </w:r>
      <w:r w:rsidR="003C655B">
        <w:fldChar w:fldCharType="separate"/>
      </w:r>
      <w:r w:rsidR="003C655B">
        <w:rPr>
          <w:noProof/>
        </w:rPr>
        <w:t>360</w:t>
      </w:r>
      <w:r w:rsidR="003C655B">
        <w:fldChar w:fldCharType="end"/>
      </w:r>
      <w:r>
        <w:t>.</w:t>
      </w:r>
    </w:p>
    <w:p w:rsidR="003C655B" w:rsidRDefault="00862055" w:rsidP="003C655B">
      <w:pPr>
        <w:keepNext/>
        <w:jc w:val="center"/>
      </w:pPr>
      <w:r>
        <w:rPr>
          <w:noProof/>
          <w:snapToGrid/>
        </w:rPr>
        <w:drawing>
          <wp:inline distT="0" distB="0" distL="0" distR="0" wp14:anchorId="64EEDDD7" wp14:editId="3AC17060">
            <wp:extent cx="4105275" cy="4775233"/>
            <wp:effectExtent l="0" t="0" r="0" b="635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3"/>
                    <a:stretch>
                      <a:fillRect/>
                    </a:stretch>
                  </pic:blipFill>
                  <pic:spPr>
                    <a:xfrm>
                      <a:off x="0" y="0"/>
                      <a:ext cx="4105275" cy="4775233"/>
                    </a:xfrm>
                    <a:prstGeom prst="rect">
                      <a:avLst/>
                    </a:prstGeom>
                  </pic:spPr>
                </pic:pic>
              </a:graphicData>
            </a:graphic>
          </wp:inline>
        </w:drawing>
      </w:r>
    </w:p>
    <w:p w:rsidR="00862055" w:rsidRDefault="003C655B" w:rsidP="003C655B">
      <w:pPr>
        <w:pStyle w:val="afff8"/>
        <w:jc w:val="center"/>
      </w:pPr>
      <w:bookmarkStart w:id="1396" w:name="_Toc119584547"/>
      <w:r>
        <w:t xml:space="preserve">Рисунок </w:t>
      </w:r>
      <w:fldSimple w:instr=" SEQ Рисунок \* ARABIC ">
        <w:bookmarkStart w:id="1397" w:name="_Ref107493365"/>
        <w:r w:rsidR="001860A9">
          <w:rPr>
            <w:noProof/>
          </w:rPr>
          <w:t>360</w:t>
        </w:r>
        <w:bookmarkEnd w:id="1397"/>
      </w:fldSimple>
      <w:r>
        <w:t xml:space="preserve"> - </w:t>
      </w:r>
      <w:r w:rsidRPr="00121D9E">
        <w:t>Результат функции «Добавить» для измерения с иерархией</w:t>
      </w:r>
      <w:bookmarkEnd w:id="1396"/>
    </w:p>
    <w:p w:rsidR="00862055" w:rsidRPr="0059622B" w:rsidRDefault="00862055" w:rsidP="00862055"/>
    <w:p w:rsidR="00862055" w:rsidRDefault="00862055" w:rsidP="00862055">
      <w:pPr>
        <w:pStyle w:val="afd"/>
        <w:numPr>
          <w:ilvl w:val="0"/>
          <w:numId w:val="189"/>
        </w:numPr>
        <w:ind w:left="924" w:hanging="357"/>
      </w:pPr>
      <w:r>
        <w:t>Для замены текущего измерения на другое, доступное для данного отчета на ячейке «Тип должности» вызвать контекстное меню и выбрать пункт «Заменить на/ФОТ/Начи</w:t>
      </w:r>
      <w:r w:rsidR="003C655B">
        <w:t xml:space="preserve">сление иерархия/Тип начисления», как показано на рисунке </w:t>
      </w:r>
      <w:r w:rsidR="003C655B">
        <w:fldChar w:fldCharType="begin"/>
      </w:r>
      <w:r w:rsidR="003C655B">
        <w:instrText xml:space="preserve"> REF _Ref107493414 \h </w:instrText>
      </w:r>
      <w:r w:rsidR="003C655B">
        <w:fldChar w:fldCharType="separate"/>
      </w:r>
      <w:r w:rsidR="003C655B">
        <w:rPr>
          <w:noProof/>
        </w:rPr>
        <w:t>361</w:t>
      </w:r>
      <w:r w:rsidR="003C655B">
        <w:fldChar w:fldCharType="end"/>
      </w:r>
      <w:r w:rsidR="003C655B">
        <w:t>.</w:t>
      </w:r>
    </w:p>
    <w:p w:rsidR="00862055" w:rsidRDefault="00862055" w:rsidP="00862055">
      <w:pPr>
        <w:keepNext/>
        <w:jc w:val="center"/>
      </w:pPr>
      <w:r>
        <w:rPr>
          <w:noProof/>
          <w:snapToGrid/>
        </w:rPr>
        <w:drawing>
          <wp:inline distT="0" distB="0" distL="0" distR="0" wp14:anchorId="2A00E29A" wp14:editId="7F01EB9C">
            <wp:extent cx="5940425" cy="2594682"/>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4"/>
                    <a:stretch>
                      <a:fillRect/>
                    </a:stretch>
                  </pic:blipFill>
                  <pic:spPr>
                    <a:xfrm>
                      <a:off x="0" y="0"/>
                      <a:ext cx="5940425" cy="2594682"/>
                    </a:xfrm>
                    <a:prstGeom prst="rect">
                      <a:avLst/>
                    </a:prstGeom>
                  </pic:spPr>
                </pic:pic>
              </a:graphicData>
            </a:graphic>
          </wp:inline>
        </w:drawing>
      </w:r>
    </w:p>
    <w:p w:rsidR="00862055" w:rsidRPr="0059622B" w:rsidRDefault="00862055" w:rsidP="003C655B">
      <w:pPr>
        <w:pStyle w:val="afff8"/>
        <w:jc w:val="center"/>
      </w:pPr>
      <w:bookmarkStart w:id="1398" w:name="_Toc103180869"/>
      <w:bookmarkStart w:id="1399" w:name="_Toc119584548"/>
      <w:r>
        <w:t xml:space="preserve">Рисунок </w:t>
      </w:r>
      <w:fldSimple w:instr=" SEQ Рисунок \* ARABIC ">
        <w:bookmarkStart w:id="1400" w:name="_Ref107493414"/>
        <w:r w:rsidR="001860A9">
          <w:rPr>
            <w:noProof/>
          </w:rPr>
          <w:t>361</w:t>
        </w:r>
        <w:bookmarkEnd w:id="1400"/>
      </w:fldSimple>
      <w:r>
        <w:t xml:space="preserve"> - Функция «Заменить» для измерения с иерархией</w:t>
      </w:r>
      <w:bookmarkEnd w:id="1398"/>
      <w:bookmarkEnd w:id="1399"/>
    </w:p>
    <w:p w:rsidR="00862055" w:rsidRDefault="00862055" w:rsidP="00862055">
      <w:pPr>
        <w:pStyle w:val="afd"/>
        <w:ind w:left="924" w:firstLine="0"/>
      </w:pPr>
      <w:r>
        <w:t>В результате в таблице колонка «Тип должности» заменится на колонку «Тип начисления»</w:t>
      </w:r>
      <w:r w:rsidR="003C655B">
        <w:t xml:space="preserve">, </w:t>
      </w:r>
      <w:r w:rsidR="00AB06EA">
        <w:t>к</w:t>
      </w:r>
      <w:r w:rsidR="00D57ABC">
        <w:t xml:space="preserve">ак показано на рисунке </w:t>
      </w:r>
      <w:r w:rsidR="00D57ABC">
        <w:fldChar w:fldCharType="begin"/>
      </w:r>
      <w:r w:rsidR="00D57ABC">
        <w:instrText xml:space="preserve"> REF _Ref107493511 \h </w:instrText>
      </w:r>
      <w:r w:rsidR="00D57ABC">
        <w:fldChar w:fldCharType="separate"/>
      </w:r>
      <w:r w:rsidR="00D57ABC">
        <w:rPr>
          <w:noProof/>
        </w:rPr>
        <w:t>362</w:t>
      </w:r>
      <w:r w:rsidR="00D57ABC">
        <w:fldChar w:fldCharType="end"/>
      </w:r>
      <w:r w:rsidR="00D57ABC">
        <w:t>.</w:t>
      </w:r>
    </w:p>
    <w:p w:rsidR="00862055" w:rsidRDefault="00862055" w:rsidP="00862055">
      <w:pPr>
        <w:keepNext/>
        <w:jc w:val="center"/>
      </w:pPr>
      <w:r>
        <w:rPr>
          <w:noProof/>
          <w:snapToGrid/>
        </w:rPr>
        <w:drawing>
          <wp:inline distT="0" distB="0" distL="0" distR="0" wp14:anchorId="07B8AC52" wp14:editId="52B787F3">
            <wp:extent cx="4733925" cy="4905501"/>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5"/>
                    <a:stretch>
                      <a:fillRect/>
                    </a:stretch>
                  </pic:blipFill>
                  <pic:spPr>
                    <a:xfrm>
                      <a:off x="0" y="0"/>
                      <a:ext cx="4733925" cy="4905501"/>
                    </a:xfrm>
                    <a:prstGeom prst="rect">
                      <a:avLst/>
                    </a:prstGeom>
                  </pic:spPr>
                </pic:pic>
              </a:graphicData>
            </a:graphic>
          </wp:inline>
        </w:drawing>
      </w:r>
    </w:p>
    <w:p w:rsidR="00862055" w:rsidRPr="0078142E" w:rsidRDefault="00862055" w:rsidP="00D57ABC">
      <w:pPr>
        <w:pStyle w:val="afff8"/>
        <w:jc w:val="center"/>
      </w:pPr>
      <w:bookmarkStart w:id="1401" w:name="_Toc103180870"/>
      <w:bookmarkStart w:id="1402" w:name="_Toc119584549"/>
      <w:r>
        <w:t xml:space="preserve">Рисунок </w:t>
      </w:r>
      <w:fldSimple w:instr=" SEQ Рисунок \* ARABIC ">
        <w:bookmarkStart w:id="1403" w:name="_Ref107493511"/>
        <w:r w:rsidR="001860A9">
          <w:rPr>
            <w:noProof/>
          </w:rPr>
          <w:t>362</w:t>
        </w:r>
        <w:bookmarkEnd w:id="1403"/>
      </w:fldSimple>
      <w:r>
        <w:t xml:space="preserve"> - Результат функции «Заменить» для измерения с иерархии</w:t>
      </w:r>
      <w:bookmarkEnd w:id="1401"/>
      <w:bookmarkEnd w:id="1402"/>
    </w:p>
    <w:p w:rsidR="00862055" w:rsidRPr="0078142E" w:rsidRDefault="00862055" w:rsidP="00862055"/>
    <w:p w:rsidR="00862055" w:rsidRPr="0078142E" w:rsidRDefault="00862055" w:rsidP="00862055">
      <w:pPr>
        <w:pStyle w:val="afd"/>
        <w:numPr>
          <w:ilvl w:val="0"/>
          <w:numId w:val="189"/>
        </w:numPr>
        <w:ind w:left="924" w:hanging="357"/>
      </w:pPr>
      <w:r w:rsidRPr="0078142E">
        <w:t xml:space="preserve">Для </w:t>
      </w:r>
      <w:r w:rsidRPr="00A7763B">
        <w:t>удаления измерения из таблицы, на ячейке «</w:t>
      </w:r>
      <w:r>
        <w:t>Тип начисления</w:t>
      </w:r>
      <w:r w:rsidRPr="00A7763B">
        <w:t>» вызвать контекстное меню и выбрать</w:t>
      </w:r>
      <w:r w:rsidRPr="0078142E">
        <w:t xml:space="preserve"> пункт «Удалить»</w:t>
      </w:r>
      <w:r w:rsidR="00D57ABC">
        <w:t xml:space="preserve">, как показано на рисунке </w:t>
      </w:r>
      <w:r w:rsidR="00D57ABC">
        <w:fldChar w:fldCharType="begin"/>
      </w:r>
      <w:r w:rsidR="00D57ABC">
        <w:instrText xml:space="preserve"> REF _Ref107493586 \h </w:instrText>
      </w:r>
      <w:r w:rsidR="00D57ABC">
        <w:fldChar w:fldCharType="separate"/>
      </w:r>
      <w:r w:rsidR="00D57ABC">
        <w:rPr>
          <w:bCs/>
          <w:noProof/>
        </w:rPr>
        <w:t>363</w:t>
      </w:r>
      <w:r w:rsidR="00D57ABC">
        <w:fldChar w:fldCharType="end"/>
      </w:r>
      <w:r w:rsidR="00D57ABC">
        <w:t>.</w:t>
      </w:r>
    </w:p>
    <w:p w:rsidR="00862055" w:rsidRPr="00A7763B" w:rsidRDefault="00862055" w:rsidP="00862055">
      <w:pPr>
        <w:keepNext/>
        <w:jc w:val="center"/>
        <w:rPr>
          <w:sz w:val="28"/>
        </w:rPr>
      </w:pPr>
      <w:r>
        <w:rPr>
          <w:noProof/>
          <w:snapToGrid/>
        </w:rPr>
        <w:drawing>
          <wp:inline distT="0" distB="0" distL="0" distR="0" wp14:anchorId="65E75E06" wp14:editId="780F09D5">
            <wp:extent cx="3038475" cy="25431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6"/>
                    <a:stretch>
                      <a:fillRect/>
                    </a:stretch>
                  </pic:blipFill>
                  <pic:spPr>
                    <a:xfrm>
                      <a:off x="0" y="0"/>
                      <a:ext cx="3038475" cy="2543175"/>
                    </a:xfrm>
                    <a:prstGeom prst="rect">
                      <a:avLst/>
                    </a:prstGeom>
                  </pic:spPr>
                </pic:pic>
              </a:graphicData>
            </a:graphic>
          </wp:inline>
        </w:drawing>
      </w:r>
    </w:p>
    <w:p w:rsidR="00862055" w:rsidRDefault="00862055" w:rsidP="00D57ABC">
      <w:pPr>
        <w:pStyle w:val="afff8"/>
        <w:jc w:val="center"/>
        <w:rPr>
          <w:bCs w:val="0"/>
        </w:rPr>
      </w:pPr>
      <w:bookmarkStart w:id="1404" w:name="_Toc103180871"/>
      <w:bookmarkStart w:id="1405" w:name="_Toc119584550"/>
      <w:r w:rsidRPr="00A7763B">
        <w:rPr>
          <w:bCs w:val="0"/>
        </w:rPr>
        <w:t xml:space="preserve">Рисунок </w:t>
      </w:r>
      <w:r w:rsidRPr="00A7763B">
        <w:rPr>
          <w:bCs w:val="0"/>
        </w:rPr>
        <w:fldChar w:fldCharType="begin"/>
      </w:r>
      <w:r w:rsidRPr="00A7763B">
        <w:rPr>
          <w:bCs w:val="0"/>
        </w:rPr>
        <w:instrText xml:space="preserve"> SEQ Рисунок \* ARABIC </w:instrText>
      </w:r>
      <w:r w:rsidRPr="00A7763B">
        <w:rPr>
          <w:bCs w:val="0"/>
        </w:rPr>
        <w:fldChar w:fldCharType="separate"/>
      </w:r>
      <w:bookmarkStart w:id="1406" w:name="_Ref107493586"/>
      <w:r w:rsidR="001860A9">
        <w:rPr>
          <w:bCs w:val="0"/>
          <w:noProof/>
        </w:rPr>
        <w:t>363</w:t>
      </w:r>
      <w:bookmarkEnd w:id="1406"/>
      <w:r w:rsidRPr="00A7763B">
        <w:rPr>
          <w:bCs w:val="0"/>
        </w:rPr>
        <w:fldChar w:fldCharType="end"/>
      </w:r>
      <w:r w:rsidRPr="00A7763B">
        <w:rPr>
          <w:bCs w:val="0"/>
        </w:rPr>
        <w:t xml:space="preserve"> – Функция «Удалить»</w:t>
      </w:r>
      <w:r>
        <w:rPr>
          <w:bCs w:val="0"/>
        </w:rPr>
        <w:t xml:space="preserve"> для измерения с иерархией</w:t>
      </w:r>
      <w:bookmarkEnd w:id="1404"/>
      <w:bookmarkEnd w:id="1405"/>
    </w:p>
    <w:p w:rsidR="00862055" w:rsidRPr="00A7763B" w:rsidRDefault="00862055" w:rsidP="00862055"/>
    <w:p w:rsidR="00862055" w:rsidRDefault="00862055" w:rsidP="00862055">
      <w:pPr>
        <w:rPr>
          <w:sz w:val="28"/>
        </w:rPr>
      </w:pPr>
      <w:r w:rsidRPr="00A7763B">
        <w:rPr>
          <w:sz w:val="28"/>
        </w:rPr>
        <w:t xml:space="preserve">В результате </w:t>
      </w:r>
      <w:r>
        <w:rPr>
          <w:sz w:val="28"/>
        </w:rPr>
        <w:t>колонка</w:t>
      </w:r>
      <w:r w:rsidRPr="00A7763B">
        <w:rPr>
          <w:sz w:val="28"/>
        </w:rPr>
        <w:t xml:space="preserve"> «</w:t>
      </w:r>
      <w:r>
        <w:rPr>
          <w:sz w:val="28"/>
        </w:rPr>
        <w:t>Тип начисления</w:t>
      </w:r>
      <w:r w:rsidRPr="00A7763B">
        <w:rPr>
          <w:sz w:val="28"/>
        </w:rPr>
        <w:t>» будет удалена</w:t>
      </w:r>
      <w:r w:rsidR="00D57ABC">
        <w:rPr>
          <w:sz w:val="28"/>
        </w:rPr>
        <w:t xml:space="preserve">, как показано на рисунке </w:t>
      </w:r>
      <w:r w:rsidR="00D57ABC">
        <w:rPr>
          <w:sz w:val="28"/>
        </w:rPr>
        <w:fldChar w:fldCharType="begin"/>
      </w:r>
      <w:r w:rsidR="00D57ABC">
        <w:rPr>
          <w:sz w:val="28"/>
        </w:rPr>
        <w:instrText xml:space="preserve"> REF _Ref107493679 \h </w:instrText>
      </w:r>
      <w:r w:rsidR="00D57ABC">
        <w:rPr>
          <w:sz w:val="28"/>
        </w:rPr>
      </w:r>
      <w:r w:rsidR="00D57ABC">
        <w:rPr>
          <w:sz w:val="28"/>
        </w:rPr>
        <w:fldChar w:fldCharType="separate"/>
      </w:r>
      <w:r w:rsidR="00D57ABC">
        <w:rPr>
          <w:noProof/>
        </w:rPr>
        <w:t>364</w:t>
      </w:r>
      <w:r w:rsidR="00D57ABC">
        <w:rPr>
          <w:sz w:val="28"/>
        </w:rPr>
        <w:fldChar w:fldCharType="end"/>
      </w:r>
      <w:r w:rsidR="00D57ABC">
        <w:rPr>
          <w:sz w:val="28"/>
        </w:rPr>
        <w:t>.</w:t>
      </w:r>
    </w:p>
    <w:p w:rsidR="00862055" w:rsidRDefault="00862055" w:rsidP="00862055">
      <w:pPr>
        <w:rPr>
          <w:sz w:val="28"/>
        </w:rPr>
      </w:pPr>
    </w:p>
    <w:p w:rsidR="00862055" w:rsidRDefault="00862055" w:rsidP="00862055">
      <w:pPr>
        <w:rPr>
          <w:sz w:val="28"/>
        </w:rPr>
      </w:pPr>
    </w:p>
    <w:p w:rsidR="00862055" w:rsidRDefault="00862055" w:rsidP="00862055">
      <w:pPr>
        <w:keepNext/>
        <w:jc w:val="center"/>
      </w:pPr>
      <w:r>
        <w:rPr>
          <w:noProof/>
          <w:snapToGrid/>
        </w:rPr>
        <w:drawing>
          <wp:inline distT="0" distB="0" distL="0" distR="0" wp14:anchorId="73F921AB" wp14:editId="378D8F8A">
            <wp:extent cx="4857750" cy="495601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7"/>
                    <a:stretch>
                      <a:fillRect/>
                    </a:stretch>
                  </pic:blipFill>
                  <pic:spPr>
                    <a:xfrm>
                      <a:off x="0" y="0"/>
                      <a:ext cx="4859911" cy="4958224"/>
                    </a:xfrm>
                    <a:prstGeom prst="rect">
                      <a:avLst/>
                    </a:prstGeom>
                  </pic:spPr>
                </pic:pic>
              </a:graphicData>
            </a:graphic>
          </wp:inline>
        </w:drawing>
      </w:r>
    </w:p>
    <w:p w:rsidR="00862055" w:rsidRPr="00A7763B" w:rsidRDefault="00862055" w:rsidP="00D57ABC">
      <w:pPr>
        <w:pStyle w:val="afff8"/>
        <w:jc w:val="center"/>
      </w:pPr>
      <w:bookmarkStart w:id="1407" w:name="_Toc103180872"/>
      <w:bookmarkStart w:id="1408" w:name="_Toc119584551"/>
      <w:r>
        <w:t xml:space="preserve">Рисунок </w:t>
      </w:r>
      <w:fldSimple w:instr=" SEQ Рисунок \* ARABIC ">
        <w:bookmarkStart w:id="1409" w:name="_Ref107493679"/>
        <w:r w:rsidR="001860A9">
          <w:rPr>
            <w:noProof/>
          </w:rPr>
          <w:t>364</w:t>
        </w:r>
        <w:bookmarkEnd w:id="1409"/>
      </w:fldSimple>
      <w:r>
        <w:t xml:space="preserve"> - Результат функции «Удалить» для измерения с иерархией</w:t>
      </w:r>
      <w:bookmarkEnd w:id="1407"/>
      <w:bookmarkEnd w:id="1408"/>
    </w:p>
    <w:p w:rsidR="00862055" w:rsidRDefault="00862055" w:rsidP="00862055"/>
    <w:p w:rsidR="00862055" w:rsidRDefault="00862055" w:rsidP="00862055">
      <w:pPr>
        <w:pStyle w:val="afff6"/>
        <w:numPr>
          <w:ilvl w:val="0"/>
          <w:numId w:val="189"/>
        </w:numPr>
      </w:pPr>
      <w:r>
        <w:t>Для перемещения текущего измерения «Глава» в колонки вызвать контекстное м</w:t>
      </w:r>
      <w:r w:rsidR="00D57ABC">
        <w:t xml:space="preserve">еню и выбрать пункт «В колонки», как это показано на рисунке </w:t>
      </w:r>
      <w:r w:rsidR="00D57ABC">
        <w:fldChar w:fldCharType="begin"/>
      </w:r>
      <w:r w:rsidR="00D57ABC">
        <w:instrText xml:space="preserve"> REF _Ref107493742 \h </w:instrText>
      </w:r>
      <w:r w:rsidR="00D57ABC">
        <w:fldChar w:fldCharType="separate"/>
      </w:r>
      <w:r w:rsidR="00D57ABC">
        <w:rPr>
          <w:noProof/>
        </w:rPr>
        <w:t>365</w:t>
      </w:r>
      <w:r w:rsidR="00D57ABC">
        <w:fldChar w:fldCharType="end"/>
      </w:r>
      <w:r w:rsidR="00D57ABC">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4CC862B2" wp14:editId="3E7F1E08">
            <wp:extent cx="3760237" cy="29718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8"/>
                    <a:stretch>
                      <a:fillRect/>
                    </a:stretch>
                  </pic:blipFill>
                  <pic:spPr>
                    <a:xfrm>
                      <a:off x="0" y="0"/>
                      <a:ext cx="3760237" cy="2971800"/>
                    </a:xfrm>
                    <a:prstGeom prst="rect">
                      <a:avLst/>
                    </a:prstGeom>
                  </pic:spPr>
                </pic:pic>
              </a:graphicData>
            </a:graphic>
          </wp:inline>
        </w:drawing>
      </w:r>
    </w:p>
    <w:p w:rsidR="00862055" w:rsidRDefault="00862055" w:rsidP="00D57ABC">
      <w:pPr>
        <w:pStyle w:val="afff8"/>
        <w:jc w:val="center"/>
      </w:pPr>
      <w:bookmarkStart w:id="1410" w:name="_Toc103180873"/>
      <w:bookmarkStart w:id="1411" w:name="_Toc119584552"/>
      <w:r>
        <w:t xml:space="preserve">Рисунок </w:t>
      </w:r>
      <w:fldSimple w:instr=" SEQ Рисунок \* ARABIC ">
        <w:bookmarkStart w:id="1412" w:name="_Ref107493742"/>
        <w:r w:rsidR="001860A9">
          <w:rPr>
            <w:noProof/>
          </w:rPr>
          <w:t>365</w:t>
        </w:r>
        <w:bookmarkEnd w:id="1412"/>
      </w:fldSimple>
      <w:r>
        <w:t xml:space="preserve"> - Функция «В колонки» для измерения с иерархией</w:t>
      </w:r>
      <w:bookmarkEnd w:id="1410"/>
      <w:bookmarkEnd w:id="1411"/>
    </w:p>
    <w:p w:rsidR="00862055" w:rsidRDefault="00862055" w:rsidP="00862055">
      <w:pPr>
        <w:rPr>
          <w:sz w:val="28"/>
        </w:rPr>
      </w:pPr>
      <w:r w:rsidRPr="00C64139">
        <w:rPr>
          <w:sz w:val="28"/>
        </w:rPr>
        <w:t>В результате измерение</w:t>
      </w:r>
      <w:r w:rsidR="00B8568C">
        <w:rPr>
          <w:sz w:val="28"/>
        </w:rPr>
        <w:t xml:space="preserve"> «Глава» переместится в колонки, как это видно на рисунке </w:t>
      </w:r>
      <w:r w:rsidR="00B8568C">
        <w:rPr>
          <w:sz w:val="28"/>
        </w:rPr>
        <w:fldChar w:fldCharType="begin"/>
      </w:r>
      <w:r w:rsidR="00B8568C">
        <w:rPr>
          <w:sz w:val="28"/>
        </w:rPr>
        <w:instrText xml:space="preserve"> REF _Ref107493824 \h </w:instrText>
      </w:r>
      <w:r w:rsidR="00B8568C">
        <w:rPr>
          <w:sz w:val="28"/>
        </w:rPr>
      </w:r>
      <w:r w:rsidR="00B8568C">
        <w:rPr>
          <w:sz w:val="28"/>
        </w:rPr>
        <w:fldChar w:fldCharType="separate"/>
      </w:r>
      <w:r w:rsidR="00B8568C">
        <w:rPr>
          <w:noProof/>
        </w:rPr>
        <w:t>366</w:t>
      </w:r>
      <w:r w:rsidR="00B8568C">
        <w:rPr>
          <w:sz w:val="28"/>
        </w:rPr>
        <w:fldChar w:fldCharType="end"/>
      </w:r>
      <w:r w:rsidR="00B8568C">
        <w:rPr>
          <w:sz w:val="28"/>
        </w:rPr>
        <w:t>.</w:t>
      </w:r>
    </w:p>
    <w:p w:rsidR="00862055" w:rsidRPr="00C64139" w:rsidRDefault="00862055" w:rsidP="00862055">
      <w:pPr>
        <w:rPr>
          <w:sz w:val="28"/>
        </w:rPr>
      </w:pPr>
    </w:p>
    <w:p w:rsidR="00862055" w:rsidRDefault="00862055" w:rsidP="00862055">
      <w:pPr>
        <w:keepNext/>
        <w:jc w:val="center"/>
      </w:pPr>
      <w:r>
        <w:rPr>
          <w:noProof/>
          <w:snapToGrid/>
        </w:rPr>
        <w:drawing>
          <wp:inline distT="0" distB="0" distL="0" distR="0" wp14:anchorId="2DAFEACE" wp14:editId="50CFA8C4">
            <wp:extent cx="5940425" cy="2191869"/>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9"/>
                    <a:stretch>
                      <a:fillRect/>
                    </a:stretch>
                  </pic:blipFill>
                  <pic:spPr>
                    <a:xfrm>
                      <a:off x="0" y="0"/>
                      <a:ext cx="5940425" cy="2191869"/>
                    </a:xfrm>
                    <a:prstGeom prst="rect">
                      <a:avLst/>
                    </a:prstGeom>
                  </pic:spPr>
                </pic:pic>
              </a:graphicData>
            </a:graphic>
          </wp:inline>
        </w:drawing>
      </w:r>
    </w:p>
    <w:p w:rsidR="00862055" w:rsidRPr="00C64139" w:rsidRDefault="00862055" w:rsidP="00B8568C">
      <w:pPr>
        <w:pStyle w:val="afff8"/>
        <w:jc w:val="center"/>
      </w:pPr>
      <w:bookmarkStart w:id="1413" w:name="_Toc103180874"/>
      <w:bookmarkStart w:id="1414" w:name="_Toc119584553"/>
      <w:r>
        <w:t xml:space="preserve">Рисунок </w:t>
      </w:r>
      <w:fldSimple w:instr=" SEQ Рисунок \* ARABIC ">
        <w:bookmarkStart w:id="1415" w:name="_Ref107493824"/>
        <w:r w:rsidR="001860A9">
          <w:rPr>
            <w:noProof/>
          </w:rPr>
          <w:t>366</w:t>
        </w:r>
        <w:bookmarkEnd w:id="1415"/>
      </w:fldSimple>
      <w:r>
        <w:t xml:space="preserve"> - Результат функции «В колонки» для измерения с иерархией</w:t>
      </w:r>
      <w:bookmarkEnd w:id="1413"/>
      <w:bookmarkEnd w:id="1414"/>
    </w:p>
    <w:p w:rsidR="00862055" w:rsidRDefault="00862055" w:rsidP="00862055"/>
    <w:p w:rsidR="00862055" w:rsidRDefault="00862055" w:rsidP="00862055">
      <w:pPr>
        <w:pStyle w:val="afff6"/>
        <w:numPr>
          <w:ilvl w:val="0"/>
          <w:numId w:val="189"/>
        </w:numPr>
      </w:pPr>
      <w:r>
        <w:t>Для перемещения измерения «Глава» обратно в строки вызвать контекстное меню и выбрать пункт «В строк»</w:t>
      </w:r>
      <w:r w:rsidR="00B8568C">
        <w:t xml:space="preserve">, как показано на рисунке </w:t>
      </w:r>
      <w:r w:rsidR="00B8568C">
        <w:fldChar w:fldCharType="begin"/>
      </w:r>
      <w:r w:rsidR="00B8568C">
        <w:instrText xml:space="preserve"> REF _Ref107493868 \h </w:instrText>
      </w:r>
      <w:r w:rsidR="00B8568C">
        <w:fldChar w:fldCharType="separate"/>
      </w:r>
      <w:r w:rsidR="00B8568C">
        <w:rPr>
          <w:noProof/>
        </w:rPr>
        <w:t>367</w:t>
      </w:r>
      <w:r w:rsidR="00B8568C">
        <w:fldChar w:fldCharType="end"/>
      </w:r>
      <w:r w:rsidR="00B8568C">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498A4F6E" wp14:editId="5A15FBD6">
            <wp:extent cx="3857625" cy="24765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0"/>
                    <a:stretch>
                      <a:fillRect/>
                    </a:stretch>
                  </pic:blipFill>
                  <pic:spPr>
                    <a:xfrm>
                      <a:off x="0" y="0"/>
                      <a:ext cx="3857625" cy="2476500"/>
                    </a:xfrm>
                    <a:prstGeom prst="rect">
                      <a:avLst/>
                    </a:prstGeom>
                  </pic:spPr>
                </pic:pic>
              </a:graphicData>
            </a:graphic>
          </wp:inline>
        </w:drawing>
      </w:r>
    </w:p>
    <w:p w:rsidR="00862055" w:rsidRDefault="00862055" w:rsidP="00B8568C">
      <w:pPr>
        <w:pStyle w:val="afff8"/>
        <w:jc w:val="center"/>
      </w:pPr>
      <w:bookmarkStart w:id="1416" w:name="_Toc103180875"/>
      <w:bookmarkStart w:id="1417" w:name="_Toc119584554"/>
      <w:r>
        <w:t xml:space="preserve">Рисунок </w:t>
      </w:r>
      <w:fldSimple w:instr=" SEQ Рисунок \* ARABIC ">
        <w:bookmarkStart w:id="1418" w:name="_Ref107493868"/>
        <w:r w:rsidR="001860A9">
          <w:rPr>
            <w:noProof/>
          </w:rPr>
          <w:t>367</w:t>
        </w:r>
        <w:bookmarkEnd w:id="1418"/>
      </w:fldSimple>
      <w:r>
        <w:t xml:space="preserve"> - Функция «В строки» для измерения с иерархией</w:t>
      </w:r>
      <w:bookmarkEnd w:id="1416"/>
      <w:bookmarkEnd w:id="1417"/>
      <w:r>
        <w:t xml:space="preserve"> </w:t>
      </w:r>
    </w:p>
    <w:p w:rsidR="00862055" w:rsidRPr="006A04EC" w:rsidRDefault="00862055" w:rsidP="00862055"/>
    <w:p w:rsidR="00862055" w:rsidRDefault="00862055" w:rsidP="00862055">
      <w:pPr>
        <w:pStyle w:val="af0"/>
      </w:pPr>
      <w:r>
        <w:t xml:space="preserve">В результате измерение «Глава» будет перемещена обратно в строки </w:t>
      </w:r>
      <w:r>
        <w:rPr>
          <w:color w:val="auto"/>
        </w:rPr>
        <w:t>(Чтобы увидеть изменения необходимо развернуть уровень строк до 2-го)</w:t>
      </w:r>
      <w:r w:rsidR="00A96E6A">
        <w:t xml:space="preserve">, как это видно на рисунке </w:t>
      </w:r>
      <w:r w:rsidR="00A96E6A">
        <w:fldChar w:fldCharType="begin"/>
      </w:r>
      <w:r w:rsidR="00A96E6A">
        <w:instrText xml:space="preserve"> REF _Ref107494023 \h </w:instrText>
      </w:r>
      <w:r w:rsidR="00A96E6A">
        <w:fldChar w:fldCharType="separate"/>
      </w:r>
      <w:r w:rsidR="00A96E6A">
        <w:rPr>
          <w:noProof/>
        </w:rPr>
        <w:t>368</w:t>
      </w:r>
      <w:r w:rsidR="00A96E6A">
        <w:fldChar w:fldCharType="end"/>
      </w:r>
      <w:r w:rsidR="00A96E6A">
        <w:t>.</w:t>
      </w:r>
    </w:p>
    <w:p w:rsidR="00862055" w:rsidRDefault="00862055" w:rsidP="00862055">
      <w:pPr>
        <w:pStyle w:val="af0"/>
      </w:pPr>
    </w:p>
    <w:p w:rsidR="00A96E6A" w:rsidRDefault="00862055" w:rsidP="00A96E6A">
      <w:pPr>
        <w:pStyle w:val="af0"/>
        <w:keepNext/>
        <w:jc w:val="center"/>
      </w:pPr>
      <w:r>
        <w:rPr>
          <w:noProof/>
          <w:snapToGrid/>
        </w:rPr>
        <w:drawing>
          <wp:inline distT="0" distB="0" distL="0" distR="0" wp14:anchorId="186B2885" wp14:editId="61FE3FBF">
            <wp:extent cx="5591175" cy="3143846"/>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1"/>
                    <a:stretch>
                      <a:fillRect/>
                    </a:stretch>
                  </pic:blipFill>
                  <pic:spPr>
                    <a:xfrm>
                      <a:off x="0" y="0"/>
                      <a:ext cx="5588188" cy="3142167"/>
                    </a:xfrm>
                    <a:prstGeom prst="rect">
                      <a:avLst/>
                    </a:prstGeom>
                  </pic:spPr>
                </pic:pic>
              </a:graphicData>
            </a:graphic>
          </wp:inline>
        </w:drawing>
      </w:r>
    </w:p>
    <w:p w:rsidR="00862055" w:rsidRDefault="00A96E6A" w:rsidP="00A96E6A">
      <w:pPr>
        <w:pStyle w:val="afff8"/>
        <w:jc w:val="center"/>
      </w:pPr>
      <w:bookmarkStart w:id="1419" w:name="_Toc119584555"/>
      <w:r>
        <w:t xml:space="preserve">Рисунок </w:t>
      </w:r>
      <w:fldSimple w:instr=" SEQ Рисунок \* ARABIC ">
        <w:bookmarkStart w:id="1420" w:name="_Ref107494023"/>
        <w:r w:rsidR="001860A9">
          <w:rPr>
            <w:noProof/>
          </w:rPr>
          <w:t>368</w:t>
        </w:r>
        <w:bookmarkEnd w:id="1420"/>
      </w:fldSimple>
      <w:r>
        <w:t xml:space="preserve"> - </w:t>
      </w:r>
      <w:r w:rsidRPr="000709F1">
        <w:t>Результат функции «В строки» для измерения с иерархией</w:t>
      </w:r>
      <w:bookmarkEnd w:id="1419"/>
    </w:p>
    <w:p w:rsidR="00A96E6A" w:rsidRPr="00A96E6A" w:rsidRDefault="00A96E6A" w:rsidP="00A96E6A"/>
    <w:p w:rsidR="00862055" w:rsidRDefault="00862055" w:rsidP="00862055">
      <w:pPr>
        <w:pStyle w:val="af0"/>
        <w:numPr>
          <w:ilvl w:val="0"/>
          <w:numId w:val="189"/>
        </w:numPr>
        <w:rPr>
          <w:color w:val="auto"/>
        </w:rPr>
      </w:pPr>
      <w:r>
        <w:rPr>
          <w:color w:val="auto"/>
        </w:rPr>
        <w:t>Для перемещения колонки влево вызвать контекстное меню и выбрать пункт «Влево» (Рисунок 22).</w:t>
      </w:r>
    </w:p>
    <w:p w:rsidR="00862055" w:rsidRDefault="00862055" w:rsidP="00862055">
      <w:pPr>
        <w:pStyle w:val="af0"/>
        <w:keepNext/>
        <w:ind w:left="927" w:firstLine="0"/>
        <w:jc w:val="center"/>
      </w:pPr>
      <w:r>
        <w:rPr>
          <w:noProof/>
          <w:snapToGrid/>
        </w:rPr>
        <w:drawing>
          <wp:inline distT="0" distB="0" distL="0" distR="0" wp14:anchorId="71E05C86" wp14:editId="474A6E3A">
            <wp:extent cx="3228975" cy="2514600"/>
            <wp:effectExtent l="0" t="0" r="9525"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2"/>
                    <a:stretch>
                      <a:fillRect/>
                    </a:stretch>
                  </pic:blipFill>
                  <pic:spPr>
                    <a:xfrm>
                      <a:off x="0" y="0"/>
                      <a:ext cx="3228975" cy="2514600"/>
                    </a:xfrm>
                    <a:prstGeom prst="rect">
                      <a:avLst/>
                    </a:prstGeom>
                  </pic:spPr>
                </pic:pic>
              </a:graphicData>
            </a:graphic>
          </wp:inline>
        </w:drawing>
      </w:r>
    </w:p>
    <w:p w:rsidR="00862055" w:rsidRDefault="00862055" w:rsidP="00862055">
      <w:pPr>
        <w:pStyle w:val="afff8"/>
        <w:jc w:val="center"/>
      </w:pPr>
      <w:bookmarkStart w:id="1421" w:name="_Toc103180877"/>
      <w:bookmarkStart w:id="1422" w:name="_Toc119584556"/>
      <w:r>
        <w:t xml:space="preserve">Рисунок </w:t>
      </w:r>
      <w:fldSimple w:instr=" SEQ Рисунок \* ARABIC ">
        <w:r w:rsidR="001860A9">
          <w:rPr>
            <w:noProof/>
          </w:rPr>
          <w:t>369</w:t>
        </w:r>
      </w:fldSimple>
      <w:r>
        <w:t xml:space="preserve"> - Функция "Влево" для измерения с иерархией</w:t>
      </w:r>
      <w:bookmarkEnd w:id="1421"/>
      <w:bookmarkEnd w:id="1422"/>
    </w:p>
    <w:p w:rsidR="00862055" w:rsidRDefault="00862055" w:rsidP="00862055"/>
    <w:p w:rsidR="00862055" w:rsidRDefault="00862055" w:rsidP="00862055">
      <w:pPr>
        <w:pStyle w:val="af0"/>
        <w:rPr>
          <w:color w:val="auto"/>
        </w:rPr>
      </w:pPr>
      <w:r w:rsidRPr="001A0AF2">
        <w:rPr>
          <w:color w:val="auto"/>
        </w:rPr>
        <w:t xml:space="preserve">В результате колонка «Глава» переместится </w:t>
      </w:r>
      <w:r>
        <w:rPr>
          <w:color w:val="auto"/>
        </w:rPr>
        <w:t>влево</w:t>
      </w:r>
      <w:r w:rsidR="00CE2E2E">
        <w:rPr>
          <w:color w:val="auto"/>
        </w:rPr>
        <w:t xml:space="preserve">, как показано на рисунке </w:t>
      </w:r>
      <w:r w:rsidR="00CE2E2E">
        <w:rPr>
          <w:color w:val="auto"/>
        </w:rPr>
        <w:fldChar w:fldCharType="begin"/>
      </w:r>
      <w:r w:rsidR="00CE2E2E">
        <w:rPr>
          <w:color w:val="auto"/>
        </w:rPr>
        <w:instrText xml:space="preserve"> REF _Ref107494761 \h </w:instrText>
      </w:r>
      <w:r w:rsidR="00CE2E2E">
        <w:rPr>
          <w:color w:val="auto"/>
        </w:rPr>
      </w:r>
      <w:r w:rsidR="00CE2E2E">
        <w:rPr>
          <w:color w:val="auto"/>
        </w:rPr>
        <w:fldChar w:fldCharType="separate"/>
      </w:r>
      <w:r w:rsidR="00CE2E2E">
        <w:rPr>
          <w:noProof/>
        </w:rPr>
        <w:t>370</w:t>
      </w:r>
      <w:r w:rsidR="00CE2E2E">
        <w:rPr>
          <w:color w:val="auto"/>
        </w:rPr>
        <w:fldChar w:fldCharType="end"/>
      </w:r>
      <w:r w:rsidR="00CE2E2E">
        <w:rPr>
          <w:color w:val="auto"/>
        </w:rPr>
        <w:t>.</w:t>
      </w:r>
    </w:p>
    <w:p w:rsidR="00862055" w:rsidRDefault="00862055" w:rsidP="00862055">
      <w:pPr>
        <w:pStyle w:val="af0"/>
        <w:rPr>
          <w:color w:val="auto"/>
        </w:rPr>
      </w:pPr>
    </w:p>
    <w:p w:rsidR="00862055" w:rsidRDefault="00862055" w:rsidP="00862055">
      <w:pPr>
        <w:pStyle w:val="af0"/>
        <w:keepNext/>
        <w:jc w:val="center"/>
      </w:pPr>
      <w:r>
        <w:rPr>
          <w:noProof/>
          <w:snapToGrid/>
        </w:rPr>
        <w:drawing>
          <wp:inline distT="0" distB="0" distL="0" distR="0" wp14:anchorId="0D737021" wp14:editId="20A1594A">
            <wp:extent cx="5019675" cy="4246700"/>
            <wp:effectExtent l="0" t="0" r="0" b="190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3"/>
                    <a:stretch>
                      <a:fillRect/>
                    </a:stretch>
                  </pic:blipFill>
                  <pic:spPr>
                    <a:xfrm>
                      <a:off x="0" y="0"/>
                      <a:ext cx="5016994" cy="4244431"/>
                    </a:xfrm>
                    <a:prstGeom prst="rect">
                      <a:avLst/>
                    </a:prstGeom>
                  </pic:spPr>
                </pic:pic>
              </a:graphicData>
            </a:graphic>
          </wp:inline>
        </w:drawing>
      </w:r>
    </w:p>
    <w:p w:rsidR="00862055" w:rsidRPr="00CE2E2E" w:rsidRDefault="00862055" w:rsidP="00CE2E2E">
      <w:pPr>
        <w:pStyle w:val="afff8"/>
        <w:jc w:val="center"/>
      </w:pPr>
      <w:bookmarkStart w:id="1423" w:name="_Toc103180878"/>
      <w:bookmarkStart w:id="1424" w:name="_Toc119584557"/>
      <w:r>
        <w:t xml:space="preserve">Рисунок </w:t>
      </w:r>
      <w:fldSimple w:instr=" SEQ Рисунок \* ARABIC ">
        <w:bookmarkStart w:id="1425" w:name="_Ref107494761"/>
        <w:r w:rsidR="001860A9">
          <w:rPr>
            <w:noProof/>
          </w:rPr>
          <w:t>370</w:t>
        </w:r>
        <w:bookmarkEnd w:id="1425"/>
      </w:fldSimple>
      <w:r>
        <w:t xml:space="preserve"> - Результат функции «Влево» для колонки «Глава»</w:t>
      </w:r>
      <w:bookmarkEnd w:id="1423"/>
      <w:bookmarkEnd w:id="1424"/>
    </w:p>
    <w:p w:rsidR="00862055" w:rsidRDefault="00862055" w:rsidP="00862055">
      <w:pPr>
        <w:pStyle w:val="af0"/>
      </w:pPr>
    </w:p>
    <w:p w:rsidR="00862055" w:rsidRDefault="00862055" w:rsidP="00862055">
      <w:pPr>
        <w:pStyle w:val="af0"/>
        <w:numPr>
          <w:ilvl w:val="0"/>
          <w:numId w:val="189"/>
        </w:numPr>
      </w:pPr>
      <w:r>
        <w:t>Для перемещения колонки вправо вызвать контекстно</w:t>
      </w:r>
      <w:r w:rsidR="00CE2E2E">
        <w:t xml:space="preserve">е меню и выбрать пункт «Вправо», как показано на рисунке </w:t>
      </w:r>
      <w:r w:rsidR="00CE2E2E">
        <w:fldChar w:fldCharType="begin"/>
      </w:r>
      <w:r w:rsidR="00CE2E2E">
        <w:instrText xml:space="preserve"> REF _Ref107494883 \h </w:instrText>
      </w:r>
      <w:r w:rsidR="00CE2E2E">
        <w:fldChar w:fldCharType="separate"/>
      </w:r>
      <w:r w:rsidR="00CE2E2E">
        <w:rPr>
          <w:noProof/>
        </w:rPr>
        <w:t>371</w:t>
      </w:r>
      <w:r w:rsidR="00CE2E2E">
        <w:fldChar w:fldCharType="end"/>
      </w:r>
      <w:r w:rsidR="00CE2E2E">
        <w:t>.</w:t>
      </w:r>
    </w:p>
    <w:p w:rsidR="00862055" w:rsidRDefault="00862055" w:rsidP="00862055">
      <w:pPr>
        <w:pStyle w:val="af0"/>
        <w:ind w:left="1287" w:firstLine="0"/>
      </w:pPr>
    </w:p>
    <w:p w:rsidR="00862055" w:rsidRDefault="00862055" w:rsidP="00862055">
      <w:pPr>
        <w:pStyle w:val="af0"/>
        <w:keepNext/>
        <w:ind w:left="1287" w:firstLine="0"/>
      </w:pPr>
      <w:r>
        <w:rPr>
          <w:noProof/>
          <w:snapToGrid/>
        </w:rPr>
        <w:drawing>
          <wp:inline distT="0" distB="0" distL="0" distR="0" wp14:anchorId="68EB214E" wp14:editId="1F699ABC">
            <wp:extent cx="4133850" cy="295275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4"/>
                    <a:stretch>
                      <a:fillRect/>
                    </a:stretch>
                  </pic:blipFill>
                  <pic:spPr>
                    <a:xfrm>
                      <a:off x="0" y="0"/>
                      <a:ext cx="4133850" cy="2952750"/>
                    </a:xfrm>
                    <a:prstGeom prst="rect">
                      <a:avLst/>
                    </a:prstGeom>
                  </pic:spPr>
                </pic:pic>
              </a:graphicData>
            </a:graphic>
          </wp:inline>
        </w:drawing>
      </w:r>
    </w:p>
    <w:p w:rsidR="00862055" w:rsidRDefault="00862055" w:rsidP="00CE2E2E">
      <w:pPr>
        <w:pStyle w:val="afff8"/>
        <w:jc w:val="center"/>
      </w:pPr>
      <w:bookmarkStart w:id="1426" w:name="_Toc103180879"/>
      <w:bookmarkStart w:id="1427" w:name="_Toc119584558"/>
      <w:r>
        <w:t xml:space="preserve">Рисунок </w:t>
      </w:r>
      <w:fldSimple w:instr=" SEQ Рисунок \* ARABIC ">
        <w:bookmarkStart w:id="1428" w:name="_Ref107494883"/>
        <w:r w:rsidR="001860A9">
          <w:rPr>
            <w:noProof/>
          </w:rPr>
          <w:t>371</w:t>
        </w:r>
        <w:bookmarkEnd w:id="1428"/>
      </w:fldSimple>
      <w:r>
        <w:t xml:space="preserve"> - Функция «Вправо» для измерения с иерархией</w:t>
      </w:r>
      <w:bookmarkEnd w:id="1426"/>
      <w:bookmarkEnd w:id="1427"/>
    </w:p>
    <w:p w:rsidR="00862055" w:rsidRDefault="00862055" w:rsidP="00862055">
      <w:pPr>
        <w:pStyle w:val="af0"/>
        <w:ind w:left="927" w:firstLine="0"/>
      </w:pPr>
    </w:p>
    <w:p w:rsidR="00862055" w:rsidRDefault="00862055" w:rsidP="00862055">
      <w:pPr>
        <w:pStyle w:val="af0"/>
        <w:ind w:left="927" w:firstLine="0"/>
      </w:pPr>
      <w:r>
        <w:t>В результате коло</w:t>
      </w:r>
      <w:r w:rsidR="00CE2E2E">
        <w:t xml:space="preserve">нка «Глава» переместится вправо, как показано на рисунке </w:t>
      </w:r>
      <w:r w:rsidR="00CE2E2E">
        <w:fldChar w:fldCharType="begin"/>
      </w:r>
      <w:r w:rsidR="00CE2E2E">
        <w:instrText xml:space="preserve"> REF _Ref107494947 \h </w:instrText>
      </w:r>
      <w:r w:rsidR="00CE2E2E">
        <w:fldChar w:fldCharType="separate"/>
      </w:r>
      <w:r w:rsidR="00CE2E2E">
        <w:rPr>
          <w:noProof/>
        </w:rPr>
        <w:t>372</w:t>
      </w:r>
      <w:r w:rsidR="00CE2E2E">
        <w:fldChar w:fldCharType="end"/>
      </w:r>
      <w:r w:rsidR="00CE2E2E">
        <w:t>.</w:t>
      </w:r>
    </w:p>
    <w:p w:rsidR="00862055" w:rsidRDefault="00862055" w:rsidP="00862055">
      <w:pPr>
        <w:pStyle w:val="af0"/>
        <w:keepNext/>
        <w:ind w:left="927" w:firstLine="0"/>
        <w:jc w:val="center"/>
      </w:pPr>
      <w:r>
        <w:rPr>
          <w:noProof/>
          <w:snapToGrid/>
        </w:rPr>
        <w:drawing>
          <wp:inline distT="0" distB="0" distL="0" distR="0" wp14:anchorId="3161D944" wp14:editId="11D8DDAC">
            <wp:extent cx="5549948" cy="4271438"/>
            <wp:effectExtent l="0" t="0" r="0" b="0"/>
            <wp:docPr id="5730" name="Рисунок 5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5"/>
                    <a:stretch>
                      <a:fillRect/>
                    </a:stretch>
                  </pic:blipFill>
                  <pic:spPr>
                    <a:xfrm>
                      <a:off x="0" y="0"/>
                      <a:ext cx="5549903" cy="4271403"/>
                    </a:xfrm>
                    <a:prstGeom prst="rect">
                      <a:avLst/>
                    </a:prstGeom>
                  </pic:spPr>
                </pic:pic>
              </a:graphicData>
            </a:graphic>
          </wp:inline>
        </w:drawing>
      </w:r>
    </w:p>
    <w:p w:rsidR="00862055" w:rsidRDefault="00862055" w:rsidP="00CE2E2E">
      <w:pPr>
        <w:pStyle w:val="afff8"/>
        <w:jc w:val="center"/>
      </w:pPr>
      <w:bookmarkStart w:id="1429" w:name="_Toc103180880"/>
      <w:bookmarkStart w:id="1430" w:name="_Toc119584559"/>
      <w:r>
        <w:t xml:space="preserve">Рисунок </w:t>
      </w:r>
      <w:fldSimple w:instr=" SEQ Рисунок \* ARABIC ">
        <w:bookmarkStart w:id="1431" w:name="_Ref107494947"/>
        <w:r w:rsidR="001860A9">
          <w:rPr>
            <w:noProof/>
          </w:rPr>
          <w:t>372</w:t>
        </w:r>
        <w:bookmarkEnd w:id="1431"/>
      </w:fldSimple>
      <w:r>
        <w:t xml:space="preserve"> - Результат функции «Вправо» для колонки «Глава»</w:t>
      </w:r>
      <w:bookmarkEnd w:id="1429"/>
      <w:bookmarkEnd w:id="1430"/>
    </w:p>
    <w:p w:rsidR="00862055" w:rsidRDefault="00862055" w:rsidP="00862055">
      <w:pPr>
        <w:pStyle w:val="af0"/>
        <w:ind w:left="927" w:firstLine="0"/>
      </w:pPr>
    </w:p>
    <w:p w:rsidR="00862055" w:rsidRDefault="00862055" w:rsidP="00862055">
      <w:pPr>
        <w:pStyle w:val="afd"/>
        <w:numPr>
          <w:ilvl w:val="0"/>
          <w:numId w:val="189"/>
        </w:numPr>
      </w:pPr>
      <w:r>
        <w:t>Для добавления в таблицу новых измерений, доступных для данного отчета на ячейке «» вызвать контекстное меню и выбрать пункт «Добавить/»</w:t>
      </w:r>
      <w:r w:rsidR="00CE2E2E">
        <w:t xml:space="preserve">, как показано на рисунке </w:t>
      </w:r>
      <w:r w:rsidR="00CE2E2E">
        <w:fldChar w:fldCharType="begin"/>
      </w:r>
      <w:r w:rsidR="00CE2E2E">
        <w:instrText xml:space="preserve"> REF _Ref107495074 \h </w:instrText>
      </w:r>
      <w:r w:rsidR="00CE2E2E">
        <w:fldChar w:fldCharType="separate"/>
      </w:r>
      <w:r w:rsidR="00CE2E2E">
        <w:rPr>
          <w:noProof/>
        </w:rPr>
        <w:t>373</w:t>
      </w:r>
      <w:r w:rsidR="00CE2E2E">
        <w:fldChar w:fldCharType="end"/>
      </w:r>
      <w:r w:rsidR="00CE2E2E">
        <w:t>.</w:t>
      </w:r>
    </w:p>
    <w:p w:rsidR="00862055" w:rsidRDefault="00862055" w:rsidP="00862055">
      <w:pPr>
        <w:keepNext/>
        <w:jc w:val="center"/>
      </w:pPr>
      <w:r>
        <w:rPr>
          <w:noProof/>
          <w:snapToGrid/>
        </w:rPr>
        <w:drawing>
          <wp:inline distT="0" distB="0" distL="0" distR="0" wp14:anchorId="47BCCC67" wp14:editId="30FA58BF">
            <wp:extent cx="4695825" cy="3057205"/>
            <wp:effectExtent l="0" t="0" r="0" b="0"/>
            <wp:docPr id="5731" name="Рисунок 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6"/>
                    <a:stretch>
                      <a:fillRect/>
                    </a:stretch>
                  </pic:blipFill>
                  <pic:spPr>
                    <a:xfrm>
                      <a:off x="0" y="0"/>
                      <a:ext cx="4696249" cy="3057481"/>
                    </a:xfrm>
                    <a:prstGeom prst="rect">
                      <a:avLst/>
                    </a:prstGeom>
                  </pic:spPr>
                </pic:pic>
              </a:graphicData>
            </a:graphic>
          </wp:inline>
        </w:drawing>
      </w:r>
    </w:p>
    <w:p w:rsidR="00862055" w:rsidRDefault="00862055" w:rsidP="00CE2E2E">
      <w:pPr>
        <w:pStyle w:val="afff8"/>
        <w:jc w:val="center"/>
      </w:pPr>
      <w:bookmarkStart w:id="1432" w:name="_Toc103180881"/>
      <w:bookmarkStart w:id="1433" w:name="_Ref107495042"/>
      <w:bookmarkStart w:id="1434" w:name="_Toc119584560"/>
      <w:r>
        <w:t xml:space="preserve">Рисунок </w:t>
      </w:r>
      <w:fldSimple w:instr=" SEQ Рисунок \* ARABIC ">
        <w:bookmarkStart w:id="1435" w:name="_Ref107495074"/>
        <w:r w:rsidR="001860A9">
          <w:rPr>
            <w:noProof/>
          </w:rPr>
          <w:t>373</w:t>
        </w:r>
        <w:bookmarkEnd w:id="1435"/>
      </w:fldSimple>
      <w:r>
        <w:t xml:space="preserve"> - Функция «Добавить» для измерения без иерархии</w:t>
      </w:r>
      <w:bookmarkEnd w:id="1432"/>
      <w:bookmarkEnd w:id="1433"/>
      <w:bookmarkEnd w:id="1434"/>
    </w:p>
    <w:p w:rsidR="00862055" w:rsidRDefault="00862055" w:rsidP="00862055">
      <w:pPr>
        <w:pStyle w:val="afd"/>
        <w:ind w:left="924" w:firstLine="0"/>
      </w:pPr>
      <w:r>
        <w:t>Выбрать необходимое измерение, например, «Код главы».</w:t>
      </w:r>
    </w:p>
    <w:p w:rsidR="00862055" w:rsidRDefault="00862055" w:rsidP="00862055">
      <w:pPr>
        <w:pStyle w:val="afd"/>
        <w:ind w:left="924" w:firstLine="0"/>
      </w:pPr>
      <w:r>
        <w:t>В результате в таблице справа от текущей колонки «Наименование главы» добавится колонка «Код главы»</w:t>
      </w:r>
      <w:r w:rsidR="00CE2E2E">
        <w:t xml:space="preserve">, как показано на рисунке </w:t>
      </w:r>
      <w:r w:rsidR="00CE2E2E">
        <w:fldChar w:fldCharType="begin"/>
      </w:r>
      <w:r w:rsidR="00CE2E2E">
        <w:instrText xml:space="preserve"> REF _Ref107495187 \h </w:instrText>
      </w:r>
      <w:r w:rsidR="00CE2E2E">
        <w:fldChar w:fldCharType="separate"/>
      </w:r>
      <w:r w:rsidR="00CE2E2E">
        <w:rPr>
          <w:noProof/>
        </w:rPr>
        <w:t>374</w:t>
      </w:r>
      <w:r w:rsidR="00CE2E2E">
        <w:fldChar w:fldCharType="end"/>
      </w:r>
      <w:r w:rsidR="00CE2E2E">
        <w:t>.</w:t>
      </w:r>
    </w:p>
    <w:p w:rsidR="00862055" w:rsidRDefault="00862055" w:rsidP="00862055">
      <w:pPr>
        <w:keepNext/>
        <w:jc w:val="center"/>
      </w:pPr>
      <w:r>
        <w:rPr>
          <w:noProof/>
          <w:snapToGrid/>
        </w:rPr>
        <w:drawing>
          <wp:inline distT="0" distB="0" distL="0" distR="0" wp14:anchorId="0F2B5C40" wp14:editId="0D7EB3F5">
            <wp:extent cx="4143375" cy="3173066"/>
            <wp:effectExtent l="0" t="0" r="0" b="8890"/>
            <wp:docPr id="5732" name="Рисунок 5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7"/>
                    <a:stretch>
                      <a:fillRect/>
                    </a:stretch>
                  </pic:blipFill>
                  <pic:spPr>
                    <a:xfrm>
                      <a:off x="0" y="0"/>
                      <a:ext cx="4141716" cy="3171795"/>
                    </a:xfrm>
                    <a:prstGeom prst="rect">
                      <a:avLst/>
                    </a:prstGeom>
                  </pic:spPr>
                </pic:pic>
              </a:graphicData>
            </a:graphic>
          </wp:inline>
        </w:drawing>
      </w:r>
    </w:p>
    <w:p w:rsidR="00862055" w:rsidRDefault="00862055" w:rsidP="00CE2E2E">
      <w:pPr>
        <w:pStyle w:val="afff8"/>
        <w:jc w:val="center"/>
      </w:pPr>
      <w:bookmarkStart w:id="1436" w:name="_Toc103180882"/>
      <w:bookmarkStart w:id="1437" w:name="_Toc119584561"/>
      <w:r>
        <w:t xml:space="preserve">Рисунок </w:t>
      </w:r>
      <w:fldSimple w:instr=" SEQ Рисунок \* ARABIC ">
        <w:bookmarkStart w:id="1438" w:name="_Ref107495187"/>
        <w:r w:rsidR="001860A9">
          <w:rPr>
            <w:noProof/>
          </w:rPr>
          <w:t>374</w:t>
        </w:r>
        <w:bookmarkEnd w:id="1438"/>
      </w:fldSimple>
      <w:r>
        <w:t xml:space="preserve"> - Результат функции «Добавить» для измерения без иерархии</w:t>
      </w:r>
      <w:bookmarkEnd w:id="1436"/>
      <w:bookmarkEnd w:id="1437"/>
    </w:p>
    <w:p w:rsidR="00862055" w:rsidRDefault="00862055" w:rsidP="00862055"/>
    <w:p w:rsidR="00862055" w:rsidRDefault="00862055" w:rsidP="00862055">
      <w:pPr>
        <w:pStyle w:val="afd"/>
        <w:numPr>
          <w:ilvl w:val="0"/>
          <w:numId w:val="189"/>
        </w:numPr>
      </w:pPr>
      <w:r>
        <w:t>Для замены текущего измерения на другое, доступное для данного отчета на ячейке «Код главы» вызвать контекстное меню и выбрать пункт «Заменить на/ФОТ</w:t>
      </w:r>
      <w:r w:rsidR="00CE2E2E">
        <w:t xml:space="preserve">/Код уполномоченной организации», как показано на рисунке </w:t>
      </w:r>
      <w:r w:rsidR="00CE2E2E">
        <w:fldChar w:fldCharType="begin"/>
      </w:r>
      <w:r w:rsidR="00CE2E2E">
        <w:instrText xml:space="preserve"> REF _Ref107495347 \h </w:instrText>
      </w:r>
      <w:r w:rsidR="00CE2E2E">
        <w:fldChar w:fldCharType="separate"/>
      </w:r>
      <w:r w:rsidR="00CE2E2E">
        <w:rPr>
          <w:noProof/>
        </w:rPr>
        <w:t>375</w:t>
      </w:r>
      <w:r w:rsidR="00CE2E2E">
        <w:fldChar w:fldCharType="end"/>
      </w:r>
      <w:r w:rsidR="00CE2E2E">
        <w:t>.</w:t>
      </w:r>
    </w:p>
    <w:p w:rsidR="00862055" w:rsidRDefault="00862055" w:rsidP="00862055">
      <w:pPr>
        <w:keepNext/>
        <w:jc w:val="center"/>
      </w:pPr>
      <w:r>
        <w:rPr>
          <w:noProof/>
          <w:snapToGrid/>
        </w:rPr>
        <w:drawing>
          <wp:inline distT="0" distB="0" distL="0" distR="0" wp14:anchorId="50CA7407" wp14:editId="01D208F6">
            <wp:extent cx="4262497" cy="3467100"/>
            <wp:effectExtent l="0" t="0" r="5080" b="0"/>
            <wp:docPr id="5733" name="Рисунок 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8"/>
                    <a:stretch>
                      <a:fillRect/>
                    </a:stretch>
                  </pic:blipFill>
                  <pic:spPr>
                    <a:xfrm>
                      <a:off x="0" y="0"/>
                      <a:ext cx="4275017" cy="3477284"/>
                    </a:xfrm>
                    <a:prstGeom prst="rect">
                      <a:avLst/>
                    </a:prstGeom>
                  </pic:spPr>
                </pic:pic>
              </a:graphicData>
            </a:graphic>
          </wp:inline>
        </w:drawing>
      </w:r>
    </w:p>
    <w:p w:rsidR="00862055" w:rsidRDefault="00862055" w:rsidP="00CE2E2E">
      <w:pPr>
        <w:pStyle w:val="afff8"/>
        <w:jc w:val="center"/>
      </w:pPr>
      <w:bookmarkStart w:id="1439" w:name="_Toc103180883"/>
      <w:bookmarkStart w:id="1440" w:name="_Toc119584562"/>
      <w:r>
        <w:t xml:space="preserve">Рисунок </w:t>
      </w:r>
      <w:fldSimple w:instr=" SEQ Рисунок \* ARABIC ">
        <w:bookmarkStart w:id="1441" w:name="_Ref107495347"/>
        <w:r w:rsidR="001860A9">
          <w:rPr>
            <w:noProof/>
          </w:rPr>
          <w:t>375</w:t>
        </w:r>
        <w:bookmarkEnd w:id="1441"/>
      </w:fldSimple>
      <w:r>
        <w:t xml:space="preserve"> – Функция «Заменить» для измерения без иерархии</w:t>
      </w:r>
      <w:bookmarkEnd w:id="1439"/>
      <w:bookmarkEnd w:id="1440"/>
    </w:p>
    <w:p w:rsidR="00862055" w:rsidRDefault="00862055" w:rsidP="00862055"/>
    <w:p w:rsidR="00862055" w:rsidRDefault="00862055" w:rsidP="00862055">
      <w:pPr>
        <w:rPr>
          <w:sz w:val="28"/>
        </w:rPr>
      </w:pPr>
      <w:r w:rsidRPr="008C466E">
        <w:rPr>
          <w:sz w:val="28"/>
        </w:rPr>
        <w:t>В результате колонка «Код главы» будет заменена на колонку «Код уполномоченной организации»</w:t>
      </w:r>
      <w:r w:rsidR="007C2C29">
        <w:rPr>
          <w:sz w:val="28"/>
        </w:rPr>
        <w:t xml:space="preserve">, как показано на рисунке </w:t>
      </w:r>
      <w:r w:rsidR="007C2C29">
        <w:rPr>
          <w:sz w:val="28"/>
        </w:rPr>
        <w:fldChar w:fldCharType="begin"/>
      </w:r>
      <w:r w:rsidR="007C2C29">
        <w:rPr>
          <w:sz w:val="28"/>
        </w:rPr>
        <w:instrText xml:space="preserve"> REF _Ref107495398 \h </w:instrText>
      </w:r>
      <w:r w:rsidR="007C2C29">
        <w:rPr>
          <w:sz w:val="28"/>
        </w:rPr>
      </w:r>
      <w:r w:rsidR="007C2C29">
        <w:rPr>
          <w:sz w:val="28"/>
        </w:rPr>
        <w:fldChar w:fldCharType="separate"/>
      </w:r>
      <w:r w:rsidR="007C2C29">
        <w:rPr>
          <w:noProof/>
        </w:rPr>
        <w:t>376</w:t>
      </w:r>
      <w:r w:rsidR="007C2C29">
        <w:rPr>
          <w:sz w:val="28"/>
        </w:rPr>
        <w:fldChar w:fldCharType="end"/>
      </w:r>
      <w:r w:rsidR="007C2C29">
        <w:rPr>
          <w:sz w:val="28"/>
        </w:rPr>
        <w:t>.</w:t>
      </w:r>
    </w:p>
    <w:p w:rsidR="00862055" w:rsidRDefault="00862055" w:rsidP="00862055">
      <w:pPr>
        <w:keepNext/>
        <w:jc w:val="center"/>
      </w:pPr>
      <w:r>
        <w:rPr>
          <w:noProof/>
          <w:snapToGrid/>
        </w:rPr>
        <w:drawing>
          <wp:inline distT="0" distB="0" distL="0" distR="0" wp14:anchorId="71AE85BA" wp14:editId="4F4D31E6">
            <wp:extent cx="3771900" cy="4095391"/>
            <wp:effectExtent l="0" t="0" r="0" b="635"/>
            <wp:docPr id="5734" name="Рисунок 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9"/>
                    <a:stretch>
                      <a:fillRect/>
                    </a:stretch>
                  </pic:blipFill>
                  <pic:spPr>
                    <a:xfrm>
                      <a:off x="0" y="0"/>
                      <a:ext cx="3774184" cy="4097870"/>
                    </a:xfrm>
                    <a:prstGeom prst="rect">
                      <a:avLst/>
                    </a:prstGeom>
                  </pic:spPr>
                </pic:pic>
              </a:graphicData>
            </a:graphic>
          </wp:inline>
        </w:drawing>
      </w:r>
    </w:p>
    <w:p w:rsidR="00862055" w:rsidRDefault="00862055" w:rsidP="007C2C29">
      <w:pPr>
        <w:pStyle w:val="afff8"/>
        <w:jc w:val="center"/>
      </w:pPr>
      <w:bookmarkStart w:id="1442" w:name="_Toc103180884"/>
      <w:bookmarkStart w:id="1443" w:name="_Toc119584563"/>
      <w:r>
        <w:t xml:space="preserve">Рисунок </w:t>
      </w:r>
      <w:fldSimple w:instr=" SEQ Рисунок \* ARABIC ">
        <w:bookmarkStart w:id="1444" w:name="_Ref107495398"/>
        <w:r w:rsidR="001860A9">
          <w:rPr>
            <w:noProof/>
          </w:rPr>
          <w:t>376</w:t>
        </w:r>
        <w:bookmarkEnd w:id="1444"/>
      </w:fldSimple>
      <w:r>
        <w:t xml:space="preserve"> – Результат функции «Заменить» для измерения без иерархии</w:t>
      </w:r>
      <w:bookmarkEnd w:id="1442"/>
      <w:bookmarkEnd w:id="1443"/>
    </w:p>
    <w:p w:rsidR="00862055" w:rsidRDefault="00862055" w:rsidP="00862055"/>
    <w:p w:rsidR="00862055" w:rsidRDefault="00862055" w:rsidP="00862055">
      <w:pPr>
        <w:pStyle w:val="afd"/>
        <w:numPr>
          <w:ilvl w:val="0"/>
          <w:numId w:val="189"/>
        </w:numPr>
      </w:pPr>
      <w:r w:rsidRPr="0078142E">
        <w:t xml:space="preserve">Для </w:t>
      </w:r>
      <w:r w:rsidRPr="00A7763B">
        <w:t>удаления измерения из таблицы, на ячейке «</w:t>
      </w:r>
      <w:r>
        <w:t>Код уполномоченной организации</w:t>
      </w:r>
      <w:r w:rsidRPr="00A7763B">
        <w:t>» вызвать контекстное меню и выбрать</w:t>
      </w:r>
      <w:r w:rsidRPr="0078142E">
        <w:t xml:space="preserve"> пункт «Удалить»</w:t>
      </w:r>
      <w:r w:rsidR="007C2C29">
        <w:t xml:space="preserve">, как показано на рисунке </w:t>
      </w:r>
      <w:r w:rsidR="007C2C29">
        <w:fldChar w:fldCharType="begin"/>
      </w:r>
      <w:r w:rsidR="007C2C29">
        <w:instrText xml:space="preserve"> REF _Ref107495458 \h </w:instrText>
      </w:r>
      <w:r w:rsidR="007C2C29">
        <w:fldChar w:fldCharType="separate"/>
      </w:r>
      <w:r w:rsidR="007C2C29">
        <w:rPr>
          <w:noProof/>
        </w:rPr>
        <w:t>377</w:t>
      </w:r>
      <w:r w:rsidR="007C2C29">
        <w:fldChar w:fldCharType="end"/>
      </w:r>
      <w:r w:rsidR="007C2C29">
        <w:t>.</w:t>
      </w:r>
    </w:p>
    <w:p w:rsidR="00862055" w:rsidRDefault="00862055" w:rsidP="00862055">
      <w:pPr>
        <w:keepNext/>
        <w:jc w:val="center"/>
      </w:pPr>
      <w:r>
        <w:rPr>
          <w:noProof/>
          <w:snapToGrid/>
        </w:rPr>
        <w:drawing>
          <wp:inline distT="0" distB="0" distL="0" distR="0" wp14:anchorId="5F8022BD" wp14:editId="51C192DD">
            <wp:extent cx="2638425" cy="2105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0"/>
                    <a:stretch>
                      <a:fillRect/>
                    </a:stretch>
                  </pic:blipFill>
                  <pic:spPr>
                    <a:xfrm>
                      <a:off x="0" y="0"/>
                      <a:ext cx="2638425" cy="2105025"/>
                    </a:xfrm>
                    <a:prstGeom prst="rect">
                      <a:avLst/>
                    </a:prstGeom>
                  </pic:spPr>
                </pic:pic>
              </a:graphicData>
            </a:graphic>
          </wp:inline>
        </w:drawing>
      </w:r>
    </w:p>
    <w:p w:rsidR="00862055" w:rsidRPr="00232A77" w:rsidRDefault="00862055" w:rsidP="007C2C29">
      <w:pPr>
        <w:pStyle w:val="afff8"/>
        <w:jc w:val="center"/>
      </w:pPr>
      <w:bookmarkStart w:id="1445" w:name="_Toc103180885"/>
      <w:bookmarkStart w:id="1446" w:name="_Toc119584564"/>
      <w:r>
        <w:t xml:space="preserve">Рисунок </w:t>
      </w:r>
      <w:fldSimple w:instr=" SEQ Рисунок \* ARABIC ">
        <w:bookmarkStart w:id="1447" w:name="_Ref107495458"/>
        <w:r w:rsidR="001860A9">
          <w:rPr>
            <w:noProof/>
          </w:rPr>
          <w:t>377</w:t>
        </w:r>
        <w:bookmarkEnd w:id="1447"/>
      </w:fldSimple>
      <w:r>
        <w:t xml:space="preserve"> – Функция «Удалить» для измерения без иерархии</w:t>
      </w:r>
      <w:bookmarkEnd w:id="1445"/>
      <w:bookmarkEnd w:id="1446"/>
    </w:p>
    <w:p w:rsidR="00862055" w:rsidRPr="00321515" w:rsidRDefault="00862055" w:rsidP="00862055"/>
    <w:p w:rsidR="00862055" w:rsidRDefault="00862055" w:rsidP="00862055">
      <w:pPr>
        <w:rPr>
          <w:sz w:val="28"/>
        </w:rPr>
      </w:pPr>
      <w:r w:rsidRPr="00A7763B">
        <w:rPr>
          <w:sz w:val="28"/>
        </w:rPr>
        <w:t xml:space="preserve">В результате </w:t>
      </w:r>
      <w:r>
        <w:rPr>
          <w:sz w:val="28"/>
        </w:rPr>
        <w:t>колонка</w:t>
      </w:r>
      <w:r w:rsidRPr="00A7763B">
        <w:rPr>
          <w:sz w:val="28"/>
        </w:rPr>
        <w:t xml:space="preserve"> «</w:t>
      </w:r>
      <w:r>
        <w:rPr>
          <w:sz w:val="28"/>
        </w:rPr>
        <w:t>Код уполномоче</w:t>
      </w:r>
      <w:r w:rsidR="007C2C29">
        <w:rPr>
          <w:sz w:val="28"/>
        </w:rPr>
        <w:t xml:space="preserve">нной организации» будет удалена, как видно на рисунке </w:t>
      </w:r>
      <w:r w:rsidR="007C2C29">
        <w:rPr>
          <w:sz w:val="28"/>
        </w:rPr>
        <w:fldChar w:fldCharType="begin"/>
      </w:r>
      <w:r w:rsidR="007C2C29">
        <w:rPr>
          <w:sz w:val="28"/>
        </w:rPr>
        <w:instrText xml:space="preserve"> REF _Ref107495583 \h </w:instrText>
      </w:r>
      <w:r w:rsidR="007C2C29">
        <w:rPr>
          <w:sz w:val="28"/>
        </w:rPr>
      </w:r>
      <w:r w:rsidR="007C2C29">
        <w:rPr>
          <w:sz w:val="28"/>
        </w:rPr>
        <w:fldChar w:fldCharType="separate"/>
      </w:r>
      <w:r w:rsidR="007C2C29">
        <w:rPr>
          <w:noProof/>
        </w:rPr>
        <w:t>378</w:t>
      </w:r>
      <w:r w:rsidR="007C2C29">
        <w:rPr>
          <w:sz w:val="28"/>
        </w:rPr>
        <w:fldChar w:fldCharType="end"/>
      </w:r>
      <w:r w:rsidR="007C2C29">
        <w:rPr>
          <w:sz w:val="28"/>
        </w:rPr>
        <w:t>.</w:t>
      </w:r>
    </w:p>
    <w:p w:rsidR="00862055" w:rsidRPr="008C466E"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0A2BF8D6" wp14:editId="53F5E755">
            <wp:extent cx="5342915" cy="4572000"/>
            <wp:effectExtent l="0" t="0" r="0" b="0"/>
            <wp:docPr id="5735" name="Рисунок 5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1"/>
                    <a:stretch>
                      <a:fillRect/>
                    </a:stretch>
                  </pic:blipFill>
                  <pic:spPr>
                    <a:xfrm>
                      <a:off x="0" y="0"/>
                      <a:ext cx="5344751" cy="4573571"/>
                    </a:xfrm>
                    <a:prstGeom prst="rect">
                      <a:avLst/>
                    </a:prstGeom>
                  </pic:spPr>
                </pic:pic>
              </a:graphicData>
            </a:graphic>
          </wp:inline>
        </w:drawing>
      </w:r>
    </w:p>
    <w:p w:rsidR="00862055" w:rsidRDefault="00862055" w:rsidP="007C2C29">
      <w:pPr>
        <w:pStyle w:val="afff8"/>
        <w:jc w:val="center"/>
      </w:pPr>
      <w:bookmarkStart w:id="1448" w:name="_Toc103180886"/>
      <w:bookmarkStart w:id="1449" w:name="_Toc119584565"/>
      <w:r>
        <w:t xml:space="preserve">Рисунок </w:t>
      </w:r>
      <w:fldSimple w:instr=" SEQ Рисунок \* ARABIC ">
        <w:bookmarkStart w:id="1450" w:name="_Ref107495583"/>
        <w:r w:rsidR="001860A9">
          <w:rPr>
            <w:noProof/>
          </w:rPr>
          <w:t>378</w:t>
        </w:r>
        <w:bookmarkEnd w:id="1450"/>
      </w:fldSimple>
      <w:r>
        <w:t xml:space="preserve"> - Результат функции «Удалить» для измерения без иерархии</w:t>
      </w:r>
      <w:bookmarkEnd w:id="1448"/>
      <w:bookmarkEnd w:id="1449"/>
    </w:p>
    <w:p w:rsidR="00862055" w:rsidRDefault="00862055" w:rsidP="00862055"/>
    <w:p w:rsidR="00862055" w:rsidRDefault="00862055" w:rsidP="00862055">
      <w:pPr>
        <w:pStyle w:val="afff6"/>
        <w:numPr>
          <w:ilvl w:val="0"/>
          <w:numId w:val="189"/>
        </w:numPr>
      </w:pPr>
      <w:r>
        <w:t>Для перемещения текущего измерения «Наименование уполномоченной организации» в колонки вызвать контекстное меню и выбрать пункт «В колонки»</w:t>
      </w:r>
      <w:r w:rsidR="007C2C29">
        <w:t xml:space="preserve">, как это показано на рисунке </w:t>
      </w:r>
      <w:r w:rsidR="007C2C29">
        <w:fldChar w:fldCharType="begin"/>
      </w:r>
      <w:r w:rsidR="007C2C29">
        <w:instrText xml:space="preserve"> REF _Ref107495630 \h </w:instrText>
      </w:r>
      <w:r w:rsidR="007C2C29">
        <w:fldChar w:fldCharType="separate"/>
      </w:r>
      <w:r w:rsidR="007C2C29">
        <w:rPr>
          <w:noProof/>
        </w:rPr>
        <w:t>379</w:t>
      </w:r>
      <w:r w:rsidR="007C2C29">
        <w:fldChar w:fldCharType="end"/>
      </w:r>
      <w:r w:rsidR="007C2C29">
        <w:t>.</w:t>
      </w:r>
    </w:p>
    <w:p w:rsidR="00862055" w:rsidRDefault="00862055" w:rsidP="00862055">
      <w:pPr>
        <w:pStyle w:val="afff6"/>
        <w:keepNext/>
        <w:ind w:left="1287"/>
        <w:jc w:val="center"/>
      </w:pPr>
      <w:r>
        <w:rPr>
          <w:noProof/>
          <w:snapToGrid/>
        </w:rPr>
        <w:drawing>
          <wp:inline distT="0" distB="0" distL="0" distR="0" wp14:anchorId="1BB88D8F" wp14:editId="121B6D16">
            <wp:extent cx="3048000" cy="2124075"/>
            <wp:effectExtent l="0" t="0" r="0" b="9525"/>
            <wp:docPr id="5736" name="Рисунок 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2"/>
                    <a:stretch>
                      <a:fillRect/>
                    </a:stretch>
                  </pic:blipFill>
                  <pic:spPr>
                    <a:xfrm>
                      <a:off x="0" y="0"/>
                      <a:ext cx="3048000" cy="2124075"/>
                    </a:xfrm>
                    <a:prstGeom prst="rect">
                      <a:avLst/>
                    </a:prstGeom>
                  </pic:spPr>
                </pic:pic>
              </a:graphicData>
            </a:graphic>
          </wp:inline>
        </w:drawing>
      </w:r>
    </w:p>
    <w:p w:rsidR="00862055" w:rsidRDefault="007C2C29" w:rsidP="007C2C29">
      <w:pPr>
        <w:pStyle w:val="afff8"/>
        <w:jc w:val="center"/>
      </w:pPr>
      <w:bookmarkStart w:id="1451" w:name="_Toc103180887"/>
      <w:bookmarkStart w:id="1452" w:name="_Toc119584566"/>
      <w:r>
        <w:t xml:space="preserve">Рисунок </w:t>
      </w:r>
      <w:fldSimple w:instr=" SEQ Рисунок \* ARABIC ">
        <w:bookmarkStart w:id="1453" w:name="_Ref107495630"/>
        <w:r w:rsidR="001860A9">
          <w:rPr>
            <w:noProof/>
          </w:rPr>
          <w:t>379</w:t>
        </w:r>
        <w:bookmarkEnd w:id="1453"/>
      </w:fldSimple>
      <w:r w:rsidR="00862055">
        <w:t xml:space="preserve"> - Функция «В колонки» для измерения без иерархии</w:t>
      </w:r>
      <w:bookmarkEnd w:id="1451"/>
      <w:bookmarkEnd w:id="1452"/>
    </w:p>
    <w:p w:rsidR="00862055" w:rsidRPr="00595822" w:rsidRDefault="00862055" w:rsidP="00862055"/>
    <w:p w:rsidR="00862055" w:rsidRDefault="00862055" w:rsidP="00862055">
      <w:pPr>
        <w:rPr>
          <w:sz w:val="28"/>
        </w:rPr>
      </w:pPr>
      <w:r w:rsidRPr="00595822">
        <w:rPr>
          <w:sz w:val="28"/>
        </w:rPr>
        <w:t>В результате измерение «Наименование уполномоченной организации» пе</w:t>
      </w:r>
      <w:r>
        <w:rPr>
          <w:sz w:val="28"/>
        </w:rPr>
        <w:t>реместится в колонки</w:t>
      </w:r>
      <w:r w:rsidR="007C2C29">
        <w:rPr>
          <w:sz w:val="28"/>
        </w:rPr>
        <w:t xml:space="preserve">, как показано на рисунке </w:t>
      </w:r>
      <w:r w:rsidR="007C2C29" w:rsidRPr="007F3CFE">
        <w:rPr>
          <w:sz w:val="28"/>
          <w:szCs w:val="28"/>
        </w:rPr>
        <w:fldChar w:fldCharType="begin"/>
      </w:r>
      <w:r w:rsidR="007C2C29" w:rsidRPr="007F3CFE">
        <w:rPr>
          <w:sz w:val="28"/>
          <w:szCs w:val="28"/>
        </w:rPr>
        <w:instrText xml:space="preserve"> REF _Ref107495732 \h </w:instrText>
      </w:r>
      <w:r w:rsidR="007F3CFE">
        <w:rPr>
          <w:sz w:val="28"/>
          <w:szCs w:val="28"/>
        </w:rPr>
        <w:instrText xml:space="preserve"> \* MERGEFORMAT </w:instrText>
      </w:r>
      <w:r w:rsidR="007C2C29" w:rsidRPr="007F3CFE">
        <w:rPr>
          <w:sz w:val="28"/>
          <w:szCs w:val="28"/>
        </w:rPr>
      </w:r>
      <w:r w:rsidR="007C2C29" w:rsidRPr="007F3CFE">
        <w:rPr>
          <w:sz w:val="28"/>
          <w:szCs w:val="28"/>
        </w:rPr>
        <w:fldChar w:fldCharType="separate"/>
      </w:r>
      <w:r w:rsidR="007C2C29" w:rsidRPr="007F3CFE">
        <w:rPr>
          <w:noProof/>
          <w:sz w:val="28"/>
          <w:szCs w:val="28"/>
        </w:rPr>
        <w:t>380</w:t>
      </w:r>
      <w:r w:rsidR="007C2C29" w:rsidRPr="007F3CFE">
        <w:rPr>
          <w:sz w:val="28"/>
          <w:szCs w:val="28"/>
        </w:rPr>
        <w:fldChar w:fldCharType="end"/>
      </w:r>
      <w:r w:rsidR="007C2C29" w:rsidRPr="007F3CFE">
        <w:rPr>
          <w:sz w:val="28"/>
          <w:szCs w:val="28"/>
        </w:rPr>
        <w:t>.</w:t>
      </w:r>
    </w:p>
    <w:p w:rsidR="00862055" w:rsidRDefault="00862055" w:rsidP="00862055">
      <w:pPr>
        <w:keepNext/>
        <w:jc w:val="center"/>
      </w:pPr>
      <w:r>
        <w:rPr>
          <w:noProof/>
          <w:snapToGrid/>
        </w:rPr>
        <w:drawing>
          <wp:inline distT="0" distB="0" distL="0" distR="0" wp14:anchorId="41349911" wp14:editId="19E1043C">
            <wp:extent cx="6341901" cy="2681022"/>
            <wp:effectExtent l="0" t="0" r="1905" b="5080"/>
            <wp:docPr id="5738" name="Рисунок 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3"/>
                    <a:stretch>
                      <a:fillRect/>
                    </a:stretch>
                  </pic:blipFill>
                  <pic:spPr>
                    <a:xfrm>
                      <a:off x="0" y="0"/>
                      <a:ext cx="6338513" cy="2679590"/>
                    </a:xfrm>
                    <a:prstGeom prst="rect">
                      <a:avLst/>
                    </a:prstGeom>
                  </pic:spPr>
                </pic:pic>
              </a:graphicData>
            </a:graphic>
          </wp:inline>
        </w:drawing>
      </w:r>
    </w:p>
    <w:p w:rsidR="00862055" w:rsidRDefault="007C2C29" w:rsidP="00862055">
      <w:pPr>
        <w:pStyle w:val="afff8"/>
      </w:pPr>
      <w:bookmarkStart w:id="1454" w:name="_Toc103180888"/>
      <w:bookmarkStart w:id="1455" w:name="_Toc119584567"/>
      <w:r>
        <w:t xml:space="preserve">Рисунок </w:t>
      </w:r>
      <w:fldSimple w:instr=" SEQ Рисунок \* ARABIC ">
        <w:bookmarkStart w:id="1456" w:name="_Ref107495732"/>
        <w:r w:rsidR="001860A9">
          <w:rPr>
            <w:noProof/>
          </w:rPr>
          <w:t>380</w:t>
        </w:r>
        <w:bookmarkEnd w:id="1456"/>
      </w:fldSimple>
      <w:r w:rsidR="00862055">
        <w:t xml:space="preserve"> - Результат функции «В колонки» для измерения без иерархии</w:t>
      </w:r>
      <w:bookmarkEnd w:id="1454"/>
      <w:bookmarkEnd w:id="1455"/>
    </w:p>
    <w:p w:rsidR="00862055" w:rsidRDefault="00862055" w:rsidP="00862055"/>
    <w:p w:rsidR="00862055" w:rsidRDefault="00862055" w:rsidP="00862055">
      <w:pPr>
        <w:pStyle w:val="afff6"/>
        <w:numPr>
          <w:ilvl w:val="0"/>
          <w:numId w:val="189"/>
        </w:numPr>
      </w:pPr>
      <w:r>
        <w:t>Для перемещения текущего измерения обратно в строки вызвать контекстное меню и выбрать пункт «В строки»</w:t>
      </w:r>
      <w:r w:rsidR="007C2C29">
        <w:t xml:space="preserve">, как показано на рисунке </w:t>
      </w:r>
      <w:r w:rsidR="007C2C29">
        <w:fldChar w:fldCharType="begin"/>
      </w:r>
      <w:r w:rsidR="007C2C29">
        <w:instrText xml:space="preserve"> REF _Ref107495774 \h </w:instrText>
      </w:r>
      <w:r w:rsidR="007C2C29">
        <w:fldChar w:fldCharType="separate"/>
      </w:r>
      <w:r w:rsidR="007C2C29">
        <w:rPr>
          <w:noProof/>
        </w:rPr>
        <w:t>381</w:t>
      </w:r>
      <w:r w:rsidR="007C2C29">
        <w:fldChar w:fldCharType="end"/>
      </w:r>
      <w:r w:rsidR="007C2C29">
        <w:t>.</w:t>
      </w:r>
    </w:p>
    <w:p w:rsidR="00862055" w:rsidRDefault="00862055" w:rsidP="00862055">
      <w:pPr>
        <w:pStyle w:val="afff6"/>
        <w:keepNext/>
        <w:ind w:left="1287"/>
        <w:jc w:val="center"/>
      </w:pPr>
      <w:r>
        <w:rPr>
          <w:noProof/>
          <w:snapToGrid/>
        </w:rPr>
        <w:drawing>
          <wp:inline distT="0" distB="0" distL="0" distR="0" wp14:anchorId="686C2A37" wp14:editId="189C7792">
            <wp:extent cx="4391025" cy="2400300"/>
            <wp:effectExtent l="0" t="0" r="9525" b="0"/>
            <wp:docPr id="5740" name="Рисунок 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4"/>
                    <a:stretch>
                      <a:fillRect/>
                    </a:stretch>
                  </pic:blipFill>
                  <pic:spPr>
                    <a:xfrm>
                      <a:off x="0" y="0"/>
                      <a:ext cx="4391025" cy="2400300"/>
                    </a:xfrm>
                    <a:prstGeom prst="rect">
                      <a:avLst/>
                    </a:prstGeom>
                  </pic:spPr>
                </pic:pic>
              </a:graphicData>
            </a:graphic>
          </wp:inline>
        </w:drawing>
      </w:r>
    </w:p>
    <w:p w:rsidR="00862055" w:rsidRPr="001951A8" w:rsidRDefault="00862055" w:rsidP="007F3CFE">
      <w:pPr>
        <w:pStyle w:val="afff8"/>
        <w:jc w:val="center"/>
      </w:pPr>
      <w:bookmarkStart w:id="1457" w:name="_Toc103180889"/>
      <w:bookmarkStart w:id="1458" w:name="_Toc119584568"/>
      <w:r>
        <w:t xml:space="preserve">Рисунок </w:t>
      </w:r>
      <w:bookmarkStart w:id="1459" w:name="_Ref108165700"/>
      <w:r>
        <w:fldChar w:fldCharType="begin"/>
      </w:r>
      <w:r>
        <w:instrText xml:space="preserve"> SEQ Рисунок \* ARABIC </w:instrText>
      </w:r>
      <w:r>
        <w:fldChar w:fldCharType="separate"/>
      </w:r>
      <w:bookmarkStart w:id="1460" w:name="_Ref107495774"/>
      <w:r w:rsidR="001860A9">
        <w:rPr>
          <w:noProof/>
        </w:rPr>
        <w:t>381</w:t>
      </w:r>
      <w:bookmarkEnd w:id="1460"/>
      <w:r>
        <w:fldChar w:fldCharType="end"/>
      </w:r>
      <w:r>
        <w:t xml:space="preserve"> - Функция «В строки» для измерения без иерархии</w:t>
      </w:r>
      <w:bookmarkEnd w:id="1457"/>
      <w:bookmarkEnd w:id="1459"/>
      <w:bookmarkEnd w:id="1458"/>
    </w:p>
    <w:p w:rsidR="00862055" w:rsidRDefault="00862055" w:rsidP="00862055"/>
    <w:p w:rsidR="00862055" w:rsidRPr="001951A8" w:rsidRDefault="00862055" w:rsidP="00862055">
      <w:pPr>
        <w:rPr>
          <w:sz w:val="28"/>
        </w:rPr>
      </w:pPr>
      <w:r w:rsidRPr="001951A8">
        <w:rPr>
          <w:sz w:val="28"/>
        </w:rPr>
        <w:t>В результате измерение «Наименование уполномоченной организации» п</w:t>
      </w:r>
      <w:r w:rsidR="007F3CFE">
        <w:rPr>
          <w:sz w:val="28"/>
        </w:rPr>
        <w:t xml:space="preserve">ереместится в строки, как показано на рисунке </w:t>
      </w:r>
      <w:r w:rsidR="007F3CFE" w:rsidRPr="007F3CFE">
        <w:rPr>
          <w:sz w:val="28"/>
          <w:szCs w:val="28"/>
        </w:rPr>
        <w:fldChar w:fldCharType="begin"/>
      </w:r>
      <w:r w:rsidR="007F3CFE" w:rsidRPr="007F3CFE">
        <w:rPr>
          <w:sz w:val="28"/>
          <w:szCs w:val="28"/>
        </w:rPr>
        <w:instrText xml:space="preserve"> REF _Ref108165752 \h </w:instrText>
      </w:r>
      <w:r w:rsidR="007F3CFE">
        <w:rPr>
          <w:sz w:val="28"/>
          <w:szCs w:val="28"/>
        </w:rPr>
        <w:instrText xml:space="preserve"> \* MERGEFORMAT </w:instrText>
      </w:r>
      <w:r w:rsidR="007F3CFE" w:rsidRPr="007F3CFE">
        <w:rPr>
          <w:sz w:val="28"/>
          <w:szCs w:val="28"/>
        </w:rPr>
      </w:r>
      <w:r w:rsidR="007F3CFE" w:rsidRPr="007F3CFE">
        <w:rPr>
          <w:sz w:val="28"/>
          <w:szCs w:val="28"/>
        </w:rPr>
        <w:fldChar w:fldCharType="separate"/>
      </w:r>
      <w:r w:rsidR="007F3CFE" w:rsidRPr="007F3CFE">
        <w:rPr>
          <w:noProof/>
          <w:sz w:val="28"/>
          <w:szCs w:val="28"/>
        </w:rPr>
        <w:t>382</w:t>
      </w:r>
      <w:r w:rsidR="007F3CFE" w:rsidRPr="007F3CFE">
        <w:rPr>
          <w:sz w:val="28"/>
          <w:szCs w:val="28"/>
        </w:rPr>
        <w:fldChar w:fldCharType="end"/>
      </w:r>
      <w:r w:rsidR="007F3CFE" w:rsidRPr="007F3CFE">
        <w:rPr>
          <w:sz w:val="28"/>
          <w:szCs w:val="28"/>
        </w:rPr>
        <w:t>.</w:t>
      </w:r>
    </w:p>
    <w:p w:rsidR="00862055" w:rsidRDefault="00862055" w:rsidP="00862055">
      <w:pPr>
        <w:keepNext/>
        <w:jc w:val="center"/>
      </w:pPr>
      <w:r>
        <w:rPr>
          <w:noProof/>
          <w:snapToGrid/>
        </w:rPr>
        <w:drawing>
          <wp:inline distT="0" distB="0" distL="0" distR="0" wp14:anchorId="45A3CB9E" wp14:editId="37C7535A">
            <wp:extent cx="5419725" cy="3435084"/>
            <wp:effectExtent l="0" t="0" r="0" b="0"/>
            <wp:docPr id="5742" name="Рисунок 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5"/>
                    <a:stretch>
                      <a:fillRect/>
                    </a:stretch>
                  </pic:blipFill>
                  <pic:spPr>
                    <a:xfrm>
                      <a:off x="0" y="0"/>
                      <a:ext cx="5423665" cy="3437581"/>
                    </a:xfrm>
                    <a:prstGeom prst="rect">
                      <a:avLst/>
                    </a:prstGeom>
                  </pic:spPr>
                </pic:pic>
              </a:graphicData>
            </a:graphic>
          </wp:inline>
        </w:drawing>
      </w:r>
    </w:p>
    <w:p w:rsidR="00862055" w:rsidRDefault="00862055" w:rsidP="007F3CFE">
      <w:pPr>
        <w:pStyle w:val="afff8"/>
        <w:jc w:val="center"/>
      </w:pPr>
      <w:bookmarkStart w:id="1461" w:name="_Toc103180890"/>
      <w:bookmarkStart w:id="1462" w:name="_Toc119584569"/>
      <w:r>
        <w:t xml:space="preserve">Рисунок </w:t>
      </w:r>
      <w:fldSimple w:instr=" SEQ Рисунок \* ARABIC ">
        <w:bookmarkStart w:id="1463" w:name="_Ref108165752"/>
        <w:r w:rsidR="001860A9">
          <w:rPr>
            <w:noProof/>
          </w:rPr>
          <w:t>382</w:t>
        </w:r>
        <w:bookmarkEnd w:id="1463"/>
      </w:fldSimple>
      <w:r>
        <w:t xml:space="preserve"> - Результат функции «В строки» для измерения без иерархии</w:t>
      </w:r>
      <w:bookmarkEnd w:id="1461"/>
      <w:bookmarkEnd w:id="1462"/>
    </w:p>
    <w:p w:rsidR="00862055" w:rsidRDefault="00862055" w:rsidP="00862055"/>
    <w:p w:rsidR="00862055" w:rsidRDefault="00862055" w:rsidP="00862055">
      <w:pPr>
        <w:pStyle w:val="afff6"/>
        <w:numPr>
          <w:ilvl w:val="0"/>
          <w:numId w:val="189"/>
        </w:numPr>
      </w:pPr>
      <w:r>
        <w:t>Для перемещения текущего измерения «Наименование уполномоченной организации" вправо вызвать контекстно</w:t>
      </w:r>
      <w:r w:rsidR="007F3CFE">
        <w:t xml:space="preserve">е меню и выбрать пункт «Вправо», как это показано на рисунке </w:t>
      </w:r>
      <w:r w:rsidR="007F3CFE">
        <w:fldChar w:fldCharType="begin"/>
      </w:r>
      <w:r w:rsidR="007F3CFE">
        <w:instrText xml:space="preserve"> REF _Ref108165807 \h </w:instrText>
      </w:r>
      <w:r w:rsidR="007F3CFE">
        <w:fldChar w:fldCharType="separate"/>
      </w:r>
      <w:r w:rsidR="007F3CFE">
        <w:rPr>
          <w:noProof/>
        </w:rPr>
        <w:t>383</w:t>
      </w:r>
      <w:r w:rsidR="007F3CFE">
        <w:fldChar w:fldCharType="end"/>
      </w:r>
    </w:p>
    <w:p w:rsidR="00862055" w:rsidRPr="00645558" w:rsidRDefault="00862055" w:rsidP="00862055"/>
    <w:p w:rsidR="00862055" w:rsidRDefault="00862055" w:rsidP="00862055">
      <w:pPr>
        <w:pStyle w:val="afff6"/>
        <w:keepNext/>
        <w:ind w:left="1287"/>
        <w:jc w:val="center"/>
      </w:pPr>
      <w:r>
        <w:rPr>
          <w:noProof/>
          <w:snapToGrid/>
        </w:rPr>
        <w:drawing>
          <wp:inline distT="0" distB="0" distL="0" distR="0" wp14:anchorId="74D56D32" wp14:editId="3ACB1EA3">
            <wp:extent cx="2828925" cy="2533650"/>
            <wp:effectExtent l="0" t="0" r="9525" b="0"/>
            <wp:docPr id="5743" name="Рисунок 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6"/>
                    <a:stretch>
                      <a:fillRect/>
                    </a:stretch>
                  </pic:blipFill>
                  <pic:spPr>
                    <a:xfrm>
                      <a:off x="0" y="0"/>
                      <a:ext cx="2828925" cy="2533650"/>
                    </a:xfrm>
                    <a:prstGeom prst="rect">
                      <a:avLst/>
                    </a:prstGeom>
                  </pic:spPr>
                </pic:pic>
              </a:graphicData>
            </a:graphic>
          </wp:inline>
        </w:drawing>
      </w:r>
    </w:p>
    <w:p w:rsidR="00862055" w:rsidRDefault="00862055" w:rsidP="007F3CFE">
      <w:pPr>
        <w:pStyle w:val="afff8"/>
        <w:jc w:val="center"/>
      </w:pPr>
      <w:bookmarkStart w:id="1464" w:name="_Toc103180891"/>
      <w:bookmarkStart w:id="1465" w:name="_Toc119584570"/>
      <w:r>
        <w:t xml:space="preserve">Рисунок </w:t>
      </w:r>
      <w:fldSimple w:instr=" SEQ Рисунок \* ARABIC ">
        <w:bookmarkStart w:id="1466" w:name="_Ref108165807"/>
        <w:r w:rsidR="001860A9">
          <w:rPr>
            <w:noProof/>
          </w:rPr>
          <w:t>383</w:t>
        </w:r>
        <w:bookmarkEnd w:id="1466"/>
      </w:fldSimple>
      <w:r>
        <w:t xml:space="preserve"> - Функция «Вправо» для измерения без иерархии</w:t>
      </w:r>
      <w:bookmarkEnd w:id="1464"/>
      <w:bookmarkEnd w:id="1465"/>
    </w:p>
    <w:p w:rsidR="00862055" w:rsidRPr="008F451F" w:rsidRDefault="00862055" w:rsidP="00862055"/>
    <w:p w:rsidR="00862055" w:rsidRPr="00645558" w:rsidRDefault="00862055" w:rsidP="00862055">
      <w:pPr>
        <w:rPr>
          <w:sz w:val="28"/>
        </w:rPr>
      </w:pPr>
      <w:r w:rsidRPr="00645558">
        <w:rPr>
          <w:sz w:val="28"/>
        </w:rPr>
        <w:t>В результате измерение «Наименование уполномоченной организации» переместится в</w:t>
      </w:r>
      <w:r w:rsidR="007F3CFE">
        <w:rPr>
          <w:sz w:val="28"/>
        </w:rPr>
        <w:t>право, как это видно на рисунк</w:t>
      </w:r>
      <w:r w:rsidR="007F3CFE" w:rsidRPr="007F3CFE">
        <w:rPr>
          <w:sz w:val="28"/>
          <w:szCs w:val="28"/>
        </w:rPr>
        <w:t xml:space="preserve">е </w:t>
      </w:r>
      <w:r w:rsidR="007F3CFE" w:rsidRPr="007F3CFE">
        <w:rPr>
          <w:sz w:val="28"/>
          <w:szCs w:val="28"/>
        </w:rPr>
        <w:fldChar w:fldCharType="begin"/>
      </w:r>
      <w:r w:rsidR="007F3CFE" w:rsidRPr="007F3CFE">
        <w:rPr>
          <w:sz w:val="28"/>
          <w:szCs w:val="28"/>
        </w:rPr>
        <w:instrText xml:space="preserve"> REF _Ref108165861 \h </w:instrText>
      </w:r>
      <w:r w:rsidR="007F3CFE">
        <w:rPr>
          <w:sz w:val="28"/>
          <w:szCs w:val="28"/>
        </w:rPr>
        <w:instrText xml:space="preserve"> \* MERGEFORMAT </w:instrText>
      </w:r>
      <w:r w:rsidR="007F3CFE" w:rsidRPr="007F3CFE">
        <w:rPr>
          <w:sz w:val="28"/>
          <w:szCs w:val="28"/>
        </w:rPr>
      </w:r>
      <w:r w:rsidR="007F3CFE" w:rsidRPr="007F3CFE">
        <w:rPr>
          <w:sz w:val="28"/>
          <w:szCs w:val="28"/>
        </w:rPr>
        <w:fldChar w:fldCharType="separate"/>
      </w:r>
      <w:r w:rsidR="007F3CFE" w:rsidRPr="007F3CFE">
        <w:rPr>
          <w:noProof/>
          <w:sz w:val="28"/>
          <w:szCs w:val="28"/>
        </w:rPr>
        <w:t>384</w:t>
      </w:r>
      <w:r w:rsidR="007F3CFE" w:rsidRPr="007F3CFE">
        <w:rPr>
          <w:sz w:val="28"/>
          <w:szCs w:val="28"/>
        </w:rPr>
        <w:fldChar w:fldCharType="end"/>
      </w:r>
      <w:r w:rsidR="007F3CFE">
        <w:rPr>
          <w:sz w:val="28"/>
          <w:szCs w:val="28"/>
        </w:rPr>
        <w:t>.</w:t>
      </w:r>
    </w:p>
    <w:p w:rsidR="00862055" w:rsidRDefault="00862055" w:rsidP="00862055">
      <w:pPr>
        <w:keepNext/>
        <w:jc w:val="center"/>
      </w:pPr>
      <w:r>
        <w:rPr>
          <w:noProof/>
          <w:snapToGrid/>
        </w:rPr>
        <w:drawing>
          <wp:inline distT="0" distB="0" distL="0" distR="0" wp14:anchorId="1D631647" wp14:editId="7D5A6B12">
            <wp:extent cx="5219700" cy="3111672"/>
            <wp:effectExtent l="0" t="0" r="0" b="0"/>
            <wp:docPr id="5767" name="Рисунок 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7"/>
                    <a:stretch>
                      <a:fillRect/>
                    </a:stretch>
                  </pic:blipFill>
                  <pic:spPr>
                    <a:xfrm>
                      <a:off x="0" y="0"/>
                      <a:ext cx="5217905" cy="3110602"/>
                    </a:xfrm>
                    <a:prstGeom prst="rect">
                      <a:avLst/>
                    </a:prstGeom>
                  </pic:spPr>
                </pic:pic>
              </a:graphicData>
            </a:graphic>
          </wp:inline>
        </w:drawing>
      </w:r>
    </w:p>
    <w:p w:rsidR="00862055" w:rsidRDefault="00862055" w:rsidP="007F3CFE">
      <w:pPr>
        <w:pStyle w:val="afff8"/>
        <w:jc w:val="center"/>
      </w:pPr>
      <w:bookmarkStart w:id="1467" w:name="_Toc103180892"/>
      <w:bookmarkStart w:id="1468" w:name="_Toc119584571"/>
      <w:r>
        <w:t xml:space="preserve">Рисунок </w:t>
      </w:r>
      <w:fldSimple w:instr=" SEQ Рисунок \* ARABIC ">
        <w:bookmarkStart w:id="1469" w:name="_Ref108165861"/>
        <w:r w:rsidR="001860A9">
          <w:rPr>
            <w:noProof/>
          </w:rPr>
          <w:t>384</w:t>
        </w:r>
        <w:bookmarkEnd w:id="1469"/>
      </w:fldSimple>
      <w:r>
        <w:t xml:space="preserve"> - Результат функции «Вправо» для измерения без иерархии</w:t>
      </w:r>
      <w:bookmarkEnd w:id="1467"/>
      <w:bookmarkEnd w:id="1468"/>
    </w:p>
    <w:p w:rsidR="00862055" w:rsidRDefault="00862055" w:rsidP="00862055"/>
    <w:p w:rsidR="00862055" w:rsidRDefault="00862055" w:rsidP="00862055">
      <w:pPr>
        <w:pStyle w:val="afff6"/>
        <w:numPr>
          <w:ilvl w:val="0"/>
          <w:numId w:val="189"/>
        </w:numPr>
      </w:pPr>
      <w:r>
        <w:t>Для перемещения текущего измерения «Наименование уполномоченной организации» влево вызвать контекстн</w:t>
      </w:r>
      <w:r w:rsidR="007F3CFE">
        <w:t xml:space="preserve">ое меню и выбрать пункт «Влево», как показано на рисунке </w:t>
      </w:r>
      <w:r w:rsidR="007F3CFE">
        <w:fldChar w:fldCharType="begin"/>
      </w:r>
      <w:r w:rsidR="007F3CFE">
        <w:instrText xml:space="preserve"> REF _Ref108165913 \h </w:instrText>
      </w:r>
      <w:r w:rsidR="007F3CFE">
        <w:fldChar w:fldCharType="separate"/>
      </w:r>
      <w:r w:rsidR="007F3CFE">
        <w:rPr>
          <w:noProof/>
        </w:rPr>
        <w:t>385</w:t>
      </w:r>
      <w:r w:rsidR="007F3CFE">
        <w:fldChar w:fldCharType="end"/>
      </w:r>
      <w:r w:rsidR="007F3CFE">
        <w:t>.</w:t>
      </w:r>
    </w:p>
    <w:p w:rsidR="00862055" w:rsidRDefault="00862055" w:rsidP="00862055">
      <w:pPr>
        <w:keepNext/>
        <w:ind w:left="927"/>
        <w:jc w:val="center"/>
      </w:pPr>
      <w:r>
        <w:rPr>
          <w:noProof/>
          <w:snapToGrid/>
        </w:rPr>
        <w:drawing>
          <wp:inline distT="0" distB="0" distL="0" distR="0" wp14:anchorId="10CA841C" wp14:editId="443ACF4F">
            <wp:extent cx="4352925" cy="2581275"/>
            <wp:effectExtent l="0" t="0" r="9525" b="9525"/>
            <wp:docPr id="5768" name="Рисунок 5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8"/>
                    <a:stretch>
                      <a:fillRect/>
                    </a:stretch>
                  </pic:blipFill>
                  <pic:spPr>
                    <a:xfrm>
                      <a:off x="0" y="0"/>
                      <a:ext cx="4352925" cy="2581275"/>
                    </a:xfrm>
                    <a:prstGeom prst="rect">
                      <a:avLst/>
                    </a:prstGeom>
                  </pic:spPr>
                </pic:pic>
              </a:graphicData>
            </a:graphic>
          </wp:inline>
        </w:drawing>
      </w:r>
    </w:p>
    <w:p w:rsidR="00862055" w:rsidRDefault="00862055" w:rsidP="007F3CFE">
      <w:pPr>
        <w:pStyle w:val="afff8"/>
        <w:jc w:val="center"/>
      </w:pPr>
      <w:bookmarkStart w:id="1470" w:name="_Toc103180893"/>
      <w:bookmarkStart w:id="1471" w:name="_Toc119584572"/>
      <w:r>
        <w:t xml:space="preserve">Рисунок </w:t>
      </w:r>
      <w:fldSimple w:instr=" SEQ Рисунок \* ARABIC ">
        <w:bookmarkStart w:id="1472" w:name="_Ref108165913"/>
        <w:r w:rsidR="001860A9">
          <w:rPr>
            <w:noProof/>
          </w:rPr>
          <w:t>385</w:t>
        </w:r>
        <w:bookmarkEnd w:id="1472"/>
      </w:fldSimple>
      <w:r>
        <w:t xml:space="preserve"> - Функция «Влево» для измерения без иерархии</w:t>
      </w:r>
      <w:bookmarkEnd w:id="1470"/>
      <w:bookmarkEnd w:id="1471"/>
    </w:p>
    <w:p w:rsidR="00862055" w:rsidRPr="00AD238B" w:rsidRDefault="00862055" w:rsidP="00862055">
      <w:pPr>
        <w:rPr>
          <w:sz w:val="28"/>
        </w:rPr>
      </w:pPr>
      <w:r w:rsidRPr="00AD238B">
        <w:rPr>
          <w:sz w:val="28"/>
        </w:rPr>
        <w:t>В результате измерение «Наименование уполномоченной организации» переместится</w:t>
      </w:r>
      <w:r w:rsidR="007F3CFE">
        <w:rPr>
          <w:sz w:val="28"/>
        </w:rPr>
        <w:t xml:space="preserve"> влево, как это видно на рисунке </w:t>
      </w:r>
      <w:r w:rsidR="007F3CFE" w:rsidRPr="007F3CFE">
        <w:rPr>
          <w:sz w:val="28"/>
          <w:szCs w:val="28"/>
        </w:rPr>
        <w:fldChar w:fldCharType="begin"/>
      </w:r>
      <w:r w:rsidR="007F3CFE" w:rsidRPr="007F3CFE">
        <w:rPr>
          <w:sz w:val="28"/>
          <w:szCs w:val="28"/>
        </w:rPr>
        <w:instrText xml:space="preserve"> REF _Ref108165970 \h </w:instrText>
      </w:r>
      <w:r w:rsidR="007F3CFE">
        <w:rPr>
          <w:sz w:val="28"/>
          <w:szCs w:val="28"/>
        </w:rPr>
        <w:instrText xml:space="preserve"> \* MERGEFORMAT </w:instrText>
      </w:r>
      <w:r w:rsidR="007F3CFE" w:rsidRPr="007F3CFE">
        <w:rPr>
          <w:sz w:val="28"/>
          <w:szCs w:val="28"/>
        </w:rPr>
      </w:r>
      <w:r w:rsidR="007F3CFE" w:rsidRPr="007F3CFE">
        <w:rPr>
          <w:sz w:val="28"/>
          <w:szCs w:val="28"/>
        </w:rPr>
        <w:fldChar w:fldCharType="separate"/>
      </w:r>
      <w:r w:rsidR="007F3CFE" w:rsidRPr="007F3CFE">
        <w:rPr>
          <w:noProof/>
          <w:sz w:val="28"/>
          <w:szCs w:val="28"/>
        </w:rPr>
        <w:t>386</w:t>
      </w:r>
      <w:r w:rsidR="007F3CFE" w:rsidRPr="007F3CFE">
        <w:rPr>
          <w:sz w:val="28"/>
          <w:szCs w:val="28"/>
        </w:rPr>
        <w:fldChar w:fldCharType="end"/>
      </w:r>
      <w:r w:rsidR="007F3CFE">
        <w:rPr>
          <w:sz w:val="28"/>
          <w:szCs w:val="28"/>
        </w:rPr>
        <w:t>.</w:t>
      </w:r>
    </w:p>
    <w:p w:rsidR="00862055" w:rsidRDefault="00862055" w:rsidP="00862055">
      <w:pPr>
        <w:keepNext/>
        <w:jc w:val="center"/>
      </w:pPr>
      <w:r>
        <w:rPr>
          <w:noProof/>
          <w:snapToGrid/>
        </w:rPr>
        <w:drawing>
          <wp:inline distT="0" distB="0" distL="0" distR="0" wp14:anchorId="1F2FD8D3" wp14:editId="099DE94D">
            <wp:extent cx="5651952" cy="3914775"/>
            <wp:effectExtent l="0" t="0" r="6350" b="0"/>
            <wp:docPr id="5771" name="Рисунок 5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9"/>
                    <a:stretch>
                      <a:fillRect/>
                    </a:stretch>
                  </pic:blipFill>
                  <pic:spPr>
                    <a:xfrm>
                      <a:off x="0" y="0"/>
                      <a:ext cx="5651654" cy="3914569"/>
                    </a:xfrm>
                    <a:prstGeom prst="rect">
                      <a:avLst/>
                    </a:prstGeom>
                  </pic:spPr>
                </pic:pic>
              </a:graphicData>
            </a:graphic>
          </wp:inline>
        </w:drawing>
      </w:r>
    </w:p>
    <w:p w:rsidR="00862055" w:rsidRDefault="00862055" w:rsidP="007F3CFE">
      <w:pPr>
        <w:pStyle w:val="afff8"/>
        <w:jc w:val="center"/>
      </w:pPr>
      <w:bookmarkStart w:id="1473" w:name="_Toc103180894"/>
      <w:bookmarkStart w:id="1474" w:name="_Toc119584573"/>
      <w:r>
        <w:t xml:space="preserve">Рисунок </w:t>
      </w:r>
      <w:fldSimple w:instr=" SEQ Рисунок \* ARABIC ">
        <w:bookmarkStart w:id="1475" w:name="_Ref108165970"/>
        <w:r w:rsidR="001860A9">
          <w:rPr>
            <w:noProof/>
          </w:rPr>
          <w:t>386</w:t>
        </w:r>
        <w:bookmarkEnd w:id="1475"/>
      </w:fldSimple>
      <w:r>
        <w:t xml:space="preserve"> - Результат функции «Влево» для измерения без иерархии</w:t>
      </w:r>
      <w:bookmarkEnd w:id="1473"/>
      <w:bookmarkEnd w:id="1474"/>
    </w:p>
    <w:p w:rsidR="00862055" w:rsidRPr="00AD238B" w:rsidRDefault="00862055" w:rsidP="00862055"/>
    <w:p w:rsidR="00862055" w:rsidRDefault="00862055" w:rsidP="00862055">
      <w:pPr>
        <w:pStyle w:val="afff6"/>
        <w:numPr>
          <w:ilvl w:val="0"/>
          <w:numId w:val="189"/>
        </w:numPr>
      </w:pPr>
      <w:r>
        <w:t>Для детализации элемента измерения с иерархией «Казначейство России» вызвать контекстное меню и выбрать «Детализировать/ФОТ».</w:t>
      </w:r>
    </w:p>
    <w:p w:rsidR="00862055" w:rsidRDefault="00862055" w:rsidP="00862055">
      <w:pPr>
        <w:pStyle w:val="afff6"/>
        <w:ind w:left="1287"/>
      </w:pPr>
      <w:r>
        <w:t>В контекстном меню отобразится перечень</w:t>
      </w:r>
      <w:r w:rsidR="007F3CFE">
        <w:t xml:space="preserve"> доступных для выбора измерений, как это видно на рисунке </w:t>
      </w:r>
      <w:r w:rsidR="007F3CFE">
        <w:fldChar w:fldCharType="begin"/>
      </w:r>
      <w:r w:rsidR="007F3CFE">
        <w:instrText xml:space="preserve"> REF _Ref108166026 \h </w:instrText>
      </w:r>
      <w:r w:rsidR="007F3CFE">
        <w:fldChar w:fldCharType="separate"/>
      </w:r>
      <w:r w:rsidR="007F3CFE">
        <w:rPr>
          <w:noProof/>
        </w:rPr>
        <w:t>387</w:t>
      </w:r>
      <w:r w:rsidR="007F3CFE">
        <w:fldChar w:fldCharType="end"/>
      </w:r>
      <w:r w:rsidR="007F3CFE">
        <w:t>.</w:t>
      </w:r>
    </w:p>
    <w:p w:rsidR="00862055" w:rsidRDefault="00862055" w:rsidP="00862055">
      <w:pPr>
        <w:keepNext/>
        <w:ind w:left="927"/>
        <w:jc w:val="center"/>
      </w:pPr>
      <w:r>
        <w:rPr>
          <w:noProof/>
          <w:snapToGrid/>
        </w:rPr>
        <w:drawing>
          <wp:inline distT="0" distB="0" distL="0" distR="0" wp14:anchorId="0A0BEFDD" wp14:editId="06FDB04E">
            <wp:extent cx="4659632" cy="3170224"/>
            <wp:effectExtent l="0" t="0" r="7620" b="0"/>
            <wp:docPr id="5772" name="Рисунок 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0"/>
                    <a:stretch>
                      <a:fillRect/>
                    </a:stretch>
                  </pic:blipFill>
                  <pic:spPr>
                    <a:xfrm>
                      <a:off x="0" y="0"/>
                      <a:ext cx="4663120" cy="3172597"/>
                    </a:xfrm>
                    <a:prstGeom prst="rect">
                      <a:avLst/>
                    </a:prstGeom>
                  </pic:spPr>
                </pic:pic>
              </a:graphicData>
            </a:graphic>
          </wp:inline>
        </w:drawing>
      </w:r>
    </w:p>
    <w:p w:rsidR="00862055" w:rsidRDefault="00862055" w:rsidP="007F3CFE">
      <w:pPr>
        <w:pStyle w:val="afff8"/>
        <w:jc w:val="center"/>
      </w:pPr>
      <w:bookmarkStart w:id="1476" w:name="_Toc103180895"/>
      <w:bookmarkStart w:id="1477" w:name="_Toc119584574"/>
      <w:r>
        <w:t xml:space="preserve">Рисунок </w:t>
      </w:r>
      <w:fldSimple w:instr=" SEQ Рисунок \* ARABIC ">
        <w:bookmarkStart w:id="1478" w:name="_Ref108166026"/>
        <w:r w:rsidR="001860A9">
          <w:rPr>
            <w:noProof/>
          </w:rPr>
          <w:t>387</w:t>
        </w:r>
        <w:bookmarkEnd w:id="1478"/>
      </w:fldSimple>
      <w:r>
        <w:t xml:space="preserve"> - Функция «Детализировать» для элемента измерения с иерархией</w:t>
      </w:r>
      <w:bookmarkEnd w:id="1476"/>
      <w:bookmarkEnd w:id="1477"/>
    </w:p>
    <w:p w:rsidR="00862055" w:rsidRDefault="00862055" w:rsidP="00862055">
      <w:pPr>
        <w:ind w:left="927"/>
      </w:pPr>
    </w:p>
    <w:p w:rsidR="00862055" w:rsidRPr="00B22594" w:rsidRDefault="00862055" w:rsidP="00862055">
      <w:pPr>
        <w:ind w:left="927"/>
        <w:rPr>
          <w:sz w:val="28"/>
        </w:rPr>
      </w:pPr>
      <w:r w:rsidRPr="00B22594">
        <w:rPr>
          <w:sz w:val="28"/>
        </w:rPr>
        <w:t>Выбрать необходимое измерение, например, «Код главы».</w:t>
      </w:r>
    </w:p>
    <w:p w:rsidR="00862055" w:rsidRDefault="00862055" w:rsidP="00862055">
      <w:pPr>
        <w:ind w:left="927"/>
      </w:pPr>
    </w:p>
    <w:p w:rsidR="00862055" w:rsidRPr="00B22594" w:rsidRDefault="00862055" w:rsidP="00862055">
      <w:pPr>
        <w:ind w:left="927"/>
        <w:rPr>
          <w:sz w:val="28"/>
        </w:rPr>
      </w:pPr>
      <w:r w:rsidRPr="00B22594">
        <w:rPr>
          <w:sz w:val="28"/>
        </w:rPr>
        <w:t>В результате текущий элемент поместился в фильтры, а измерение «Глава», к которому относится текущий, элемент исключен из таблицы</w:t>
      </w:r>
      <w:r w:rsidR="009462C7">
        <w:rPr>
          <w:sz w:val="28"/>
        </w:rPr>
        <w:t xml:space="preserve">, как это видно на рисунке </w:t>
      </w:r>
      <w:r w:rsidR="009462C7" w:rsidRPr="009462C7">
        <w:rPr>
          <w:sz w:val="28"/>
          <w:szCs w:val="28"/>
        </w:rPr>
        <w:fldChar w:fldCharType="begin"/>
      </w:r>
      <w:r w:rsidR="009462C7" w:rsidRPr="009462C7">
        <w:rPr>
          <w:sz w:val="28"/>
          <w:szCs w:val="28"/>
        </w:rPr>
        <w:instrText xml:space="preserve"> REF _Ref108166093 \h </w:instrText>
      </w:r>
      <w:r w:rsidR="009462C7">
        <w:rPr>
          <w:sz w:val="28"/>
          <w:szCs w:val="28"/>
        </w:rPr>
        <w:instrText xml:space="preserve"> \* MERGEFORMAT </w:instrText>
      </w:r>
      <w:r w:rsidR="009462C7" w:rsidRPr="009462C7">
        <w:rPr>
          <w:sz w:val="28"/>
          <w:szCs w:val="28"/>
        </w:rPr>
      </w:r>
      <w:r w:rsidR="009462C7" w:rsidRPr="009462C7">
        <w:rPr>
          <w:sz w:val="28"/>
          <w:szCs w:val="28"/>
        </w:rPr>
        <w:fldChar w:fldCharType="separate"/>
      </w:r>
      <w:r w:rsidR="009462C7" w:rsidRPr="009462C7">
        <w:rPr>
          <w:noProof/>
          <w:sz w:val="28"/>
          <w:szCs w:val="28"/>
        </w:rPr>
        <w:t>388</w:t>
      </w:r>
      <w:r w:rsidR="009462C7" w:rsidRPr="009462C7">
        <w:rPr>
          <w:sz w:val="28"/>
          <w:szCs w:val="28"/>
        </w:rPr>
        <w:fldChar w:fldCharType="end"/>
      </w:r>
      <w:r w:rsidR="009462C7" w:rsidRPr="009462C7">
        <w:rPr>
          <w:sz w:val="28"/>
          <w:szCs w:val="28"/>
        </w:rPr>
        <w:t>.</w:t>
      </w:r>
    </w:p>
    <w:p w:rsidR="00862055" w:rsidRDefault="00862055" w:rsidP="00862055">
      <w:pPr>
        <w:ind w:left="927"/>
      </w:pPr>
    </w:p>
    <w:p w:rsidR="00862055" w:rsidRDefault="00862055" w:rsidP="00862055">
      <w:pPr>
        <w:keepNext/>
        <w:ind w:left="927"/>
        <w:jc w:val="center"/>
      </w:pPr>
      <w:r>
        <w:rPr>
          <w:noProof/>
          <w:snapToGrid/>
        </w:rPr>
        <w:drawing>
          <wp:inline distT="0" distB="0" distL="0" distR="0" wp14:anchorId="4D614A98" wp14:editId="28779425">
            <wp:extent cx="5512296" cy="1935476"/>
            <wp:effectExtent l="0" t="0" r="0" b="8255"/>
            <wp:docPr id="5774" name="Рисунок 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1"/>
                    <a:stretch>
                      <a:fillRect/>
                    </a:stretch>
                  </pic:blipFill>
                  <pic:spPr>
                    <a:xfrm>
                      <a:off x="0" y="0"/>
                      <a:ext cx="5511836" cy="1935315"/>
                    </a:xfrm>
                    <a:prstGeom prst="rect">
                      <a:avLst/>
                    </a:prstGeom>
                  </pic:spPr>
                </pic:pic>
              </a:graphicData>
            </a:graphic>
          </wp:inline>
        </w:drawing>
      </w:r>
    </w:p>
    <w:p w:rsidR="00862055" w:rsidRDefault="00862055" w:rsidP="009462C7">
      <w:pPr>
        <w:pStyle w:val="afff8"/>
        <w:jc w:val="center"/>
      </w:pPr>
      <w:bookmarkStart w:id="1479" w:name="_Toc103180896"/>
      <w:bookmarkStart w:id="1480" w:name="_Toc119584575"/>
      <w:r>
        <w:t xml:space="preserve">Рисунок </w:t>
      </w:r>
      <w:fldSimple w:instr=" SEQ Рисунок \* ARABIC ">
        <w:bookmarkStart w:id="1481" w:name="_Ref108166093"/>
        <w:r w:rsidR="001860A9">
          <w:rPr>
            <w:noProof/>
          </w:rPr>
          <w:t>388</w:t>
        </w:r>
        <w:bookmarkEnd w:id="1481"/>
      </w:fldSimple>
      <w:r>
        <w:t xml:space="preserve"> - Результат функции «Детализировать» для элемента измерения с иерархией</w:t>
      </w:r>
      <w:bookmarkEnd w:id="1479"/>
      <w:bookmarkEnd w:id="1480"/>
    </w:p>
    <w:p w:rsidR="00862055" w:rsidRDefault="00862055" w:rsidP="00862055"/>
    <w:p w:rsidR="00862055" w:rsidRDefault="00862055" w:rsidP="00862055">
      <w:pPr>
        <w:pStyle w:val="afff6"/>
        <w:numPr>
          <w:ilvl w:val="0"/>
          <w:numId w:val="189"/>
        </w:numPr>
      </w:pPr>
      <w:r>
        <w:t>Для применения функции, позволяющей раскрыть информацию по следующему, более детальному уровню, вызвать контекстное меню и выбрат</w:t>
      </w:r>
      <w:r w:rsidR="009462C7">
        <w:t xml:space="preserve">ь «Углубиться», как это показано на рисунке </w:t>
      </w:r>
      <w:r w:rsidR="009462C7">
        <w:fldChar w:fldCharType="begin"/>
      </w:r>
      <w:r w:rsidR="009462C7">
        <w:instrText xml:space="preserve"> REF _Ref108166129 \h </w:instrText>
      </w:r>
      <w:r w:rsidR="009462C7">
        <w:fldChar w:fldCharType="separate"/>
      </w:r>
      <w:r w:rsidR="009462C7">
        <w:rPr>
          <w:noProof/>
        </w:rPr>
        <w:t>389</w:t>
      </w:r>
      <w:r w:rsidR="009462C7">
        <w:fldChar w:fldCharType="end"/>
      </w:r>
      <w:r w:rsidR="009462C7">
        <w:t>.</w:t>
      </w:r>
    </w:p>
    <w:p w:rsidR="00862055" w:rsidRDefault="00862055" w:rsidP="00862055">
      <w:pPr>
        <w:pStyle w:val="afff6"/>
        <w:keepNext/>
        <w:ind w:left="1287"/>
        <w:jc w:val="center"/>
      </w:pPr>
      <w:r>
        <w:rPr>
          <w:noProof/>
          <w:snapToGrid/>
        </w:rPr>
        <w:drawing>
          <wp:inline distT="0" distB="0" distL="0" distR="0" wp14:anchorId="0E7B0AA3" wp14:editId="2153D5B9">
            <wp:extent cx="2466975" cy="2193710"/>
            <wp:effectExtent l="0" t="0" r="0" b="0"/>
            <wp:docPr id="5775" name="Рисунок 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2"/>
                    <a:stretch>
                      <a:fillRect/>
                    </a:stretch>
                  </pic:blipFill>
                  <pic:spPr>
                    <a:xfrm>
                      <a:off x="0" y="0"/>
                      <a:ext cx="2466975" cy="2193710"/>
                    </a:xfrm>
                    <a:prstGeom prst="rect">
                      <a:avLst/>
                    </a:prstGeom>
                  </pic:spPr>
                </pic:pic>
              </a:graphicData>
            </a:graphic>
          </wp:inline>
        </w:drawing>
      </w:r>
    </w:p>
    <w:p w:rsidR="00862055" w:rsidRDefault="00862055" w:rsidP="009462C7">
      <w:pPr>
        <w:pStyle w:val="afff8"/>
        <w:jc w:val="center"/>
      </w:pPr>
      <w:bookmarkStart w:id="1482" w:name="_Toc103180897"/>
      <w:bookmarkStart w:id="1483" w:name="_Toc119584576"/>
      <w:r>
        <w:t xml:space="preserve">Рисунок </w:t>
      </w:r>
      <w:fldSimple w:instr=" SEQ Рисунок \* ARABIC ">
        <w:bookmarkStart w:id="1484" w:name="_Ref108166129"/>
        <w:r w:rsidR="001860A9">
          <w:rPr>
            <w:noProof/>
          </w:rPr>
          <w:t>389</w:t>
        </w:r>
        <w:bookmarkEnd w:id="1484"/>
      </w:fldSimple>
      <w:r>
        <w:t xml:space="preserve"> - Функция «Углубиться» для измерения с иерархией</w:t>
      </w:r>
      <w:bookmarkEnd w:id="1482"/>
      <w:bookmarkEnd w:id="1483"/>
    </w:p>
    <w:p w:rsidR="00862055" w:rsidRDefault="00862055" w:rsidP="00862055">
      <w:pPr>
        <w:pStyle w:val="afff6"/>
        <w:ind w:left="1287"/>
      </w:pPr>
    </w:p>
    <w:p w:rsidR="00862055" w:rsidRDefault="00862055" w:rsidP="00862055">
      <w:r>
        <w:rPr>
          <w:sz w:val="28"/>
        </w:rPr>
        <w:tab/>
      </w:r>
      <w:r>
        <w:rPr>
          <w:sz w:val="28"/>
        </w:rPr>
        <w:tab/>
        <w:t>В результате текущий элемент поместился в фильтры, а на место исключенного уровня иерархии помещается следующий более детальный уровень</w:t>
      </w:r>
      <w:r w:rsidR="009462C7">
        <w:rPr>
          <w:sz w:val="28"/>
        </w:rPr>
        <w:t xml:space="preserve">, как это видно на рисунке </w:t>
      </w:r>
      <w:r w:rsidR="009462C7" w:rsidRPr="009462C7">
        <w:rPr>
          <w:sz w:val="28"/>
          <w:szCs w:val="28"/>
        </w:rPr>
        <w:fldChar w:fldCharType="begin"/>
      </w:r>
      <w:r w:rsidR="009462C7" w:rsidRPr="009462C7">
        <w:rPr>
          <w:sz w:val="28"/>
          <w:szCs w:val="28"/>
        </w:rPr>
        <w:instrText xml:space="preserve"> REF _Ref108166170 \h </w:instrText>
      </w:r>
      <w:r w:rsidR="009462C7">
        <w:rPr>
          <w:sz w:val="28"/>
          <w:szCs w:val="28"/>
        </w:rPr>
        <w:instrText xml:space="preserve"> \* MERGEFORMAT </w:instrText>
      </w:r>
      <w:r w:rsidR="009462C7" w:rsidRPr="009462C7">
        <w:rPr>
          <w:sz w:val="28"/>
          <w:szCs w:val="28"/>
        </w:rPr>
      </w:r>
      <w:r w:rsidR="009462C7" w:rsidRPr="009462C7">
        <w:rPr>
          <w:sz w:val="28"/>
          <w:szCs w:val="28"/>
        </w:rPr>
        <w:fldChar w:fldCharType="separate"/>
      </w:r>
      <w:r w:rsidR="009462C7" w:rsidRPr="009462C7">
        <w:rPr>
          <w:noProof/>
          <w:sz w:val="28"/>
          <w:szCs w:val="28"/>
        </w:rPr>
        <w:t>390</w:t>
      </w:r>
      <w:r w:rsidR="009462C7" w:rsidRPr="009462C7">
        <w:rPr>
          <w:sz w:val="28"/>
          <w:szCs w:val="28"/>
        </w:rPr>
        <w:fldChar w:fldCharType="end"/>
      </w:r>
      <w:r w:rsidR="009462C7" w:rsidRPr="009462C7">
        <w:rPr>
          <w:sz w:val="28"/>
          <w:szCs w:val="28"/>
        </w:rPr>
        <w:t>.</w:t>
      </w:r>
    </w:p>
    <w:p w:rsidR="00862055" w:rsidRDefault="00862055" w:rsidP="00862055">
      <w:pPr>
        <w:pStyle w:val="afff6"/>
        <w:ind w:left="1287"/>
      </w:pPr>
    </w:p>
    <w:p w:rsidR="00862055" w:rsidRDefault="00862055" w:rsidP="00862055">
      <w:pPr>
        <w:pStyle w:val="afff6"/>
        <w:keepNext/>
        <w:ind w:left="1287"/>
      </w:pPr>
      <w:r>
        <w:rPr>
          <w:noProof/>
          <w:snapToGrid/>
        </w:rPr>
        <w:drawing>
          <wp:inline distT="0" distB="0" distL="0" distR="0" wp14:anchorId="283AF120" wp14:editId="78412712">
            <wp:extent cx="4400550" cy="2339482"/>
            <wp:effectExtent l="0" t="0" r="0" b="3810"/>
            <wp:docPr id="5776" name="Рисунок 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3"/>
                    <a:stretch>
                      <a:fillRect/>
                    </a:stretch>
                  </pic:blipFill>
                  <pic:spPr>
                    <a:xfrm>
                      <a:off x="0" y="0"/>
                      <a:ext cx="4404379" cy="2341517"/>
                    </a:xfrm>
                    <a:prstGeom prst="rect">
                      <a:avLst/>
                    </a:prstGeom>
                  </pic:spPr>
                </pic:pic>
              </a:graphicData>
            </a:graphic>
          </wp:inline>
        </w:drawing>
      </w:r>
    </w:p>
    <w:p w:rsidR="00862055" w:rsidRPr="00E66D63" w:rsidRDefault="00862055" w:rsidP="009462C7">
      <w:pPr>
        <w:pStyle w:val="afff8"/>
        <w:jc w:val="center"/>
      </w:pPr>
      <w:bookmarkStart w:id="1485" w:name="_Toc103180898"/>
      <w:bookmarkStart w:id="1486" w:name="_Toc119584577"/>
      <w:r>
        <w:t xml:space="preserve">Рисунок </w:t>
      </w:r>
      <w:fldSimple w:instr=" SEQ Рисунок \* ARABIC ">
        <w:bookmarkStart w:id="1487" w:name="_Ref108166170"/>
        <w:r w:rsidR="001860A9">
          <w:rPr>
            <w:noProof/>
          </w:rPr>
          <w:t>390</w:t>
        </w:r>
        <w:bookmarkEnd w:id="1487"/>
      </w:fldSimple>
      <w:r>
        <w:t xml:space="preserve"> – Результат функции «Углубиться»</w:t>
      </w:r>
      <w:bookmarkEnd w:id="1485"/>
      <w:bookmarkEnd w:id="1486"/>
    </w:p>
    <w:p w:rsidR="00862055" w:rsidRDefault="00862055" w:rsidP="00862055">
      <w:pPr>
        <w:ind w:left="927"/>
      </w:pPr>
    </w:p>
    <w:p w:rsidR="00862055" w:rsidRDefault="00862055" w:rsidP="00862055">
      <w:pPr>
        <w:pStyle w:val="afff6"/>
        <w:numPr>
          <w:ilvl w:val="0"/>
          <w:numId w:val="189"/>
        </w:numPr>
      </w:pPr>
      <w:r>
        <w:t>Для применения функции, позволяющей перейти к следующему, более укрупненному уровню измерения вызвать контекс</w:t>
      </w:r>
      <w:r w:rsidR="009462C7">
        <w:t xml:space="preserve">тное меню и выбрать «Обобщить», как это показано на рисунке </w:t>
      </w:r>
      <w:r w:rsidR="009462C7">
        <w:fldChar w:fldCharType="begin"/>
      </w:r>
      <w:r w:rsidR="009462C7">
        <w:instrText xml:space="preserve"> REF _Ref108166219 \h </w:instrText>
      </w:r>
      <w:r w:rsidR="009462C7">
        <w:fldChar w:fldCharType="separate"/>
      </w:r>
      <w:r w:rsidR="009462C7">
        <w:rPr>
          <w:noProof/>
        </w:rPr>
        <w:t>391</w:t>
      </w:r>
      <w:r w:rsidR="009462C7">
        <w:fldChar w:fldCharType="end"/>
      </w:r>
      <w:r w:rsidR="009462C7">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7684E48F" wp14:editId="63412813">
            <wp:extent cx="2114550" cy="2569292"/>
            <wp:effectExtent l="0" t="0" r="0" b="2540"/>
            <wp:docPr id="5777" name="Рисунок 5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4"/>
                    <a:stretch>
                      <a:fillRect/>
                    </a:stretch>
                  </pic:blipFill>
                  <pic:spPr>
                    <a:xfrm>
                      <a:off x="0" y="0"/>
                      <a:ext cx="2114550" cy="2569292"/>
                    </a:xfrm>
                    <a:prstGeom prst="rect">
                      <a:avLst/>
                    </a:prstGeom>
                  </pic:spPr>
                </pic:pic>
              </a:graphicData>
            </a:graphic>
          </wp:inline>
        </w:drawing>
      </w:r>
    </w:p>
    <w:p w:rsidR="00862055" w:rsidRDefault="00862055" w:rsidP="009462C7">
      <w:pPr>
        <w:pStyle w:val="afff8"/>
        <w:jc w:val="center"/>
      </w:pPr>
      <w:bookmarkStart w:id="1488" w:name="_Toc103180899"/>
      <w:bookmarkStart w:id="1489" w:name="_Toc119584578"/>
      <w:r>
        <w:t xml:space="preserve">Рисунок </w:t>
      </w:r>
      <w:fldSimple w:instr=" SEQ Рисунок \* ARABIC ">
        <w:bookmarkStart w:id="1490" w:name="_Ref108166219"/>
        <w:r w:rsidR="001860A9">
          <w:rPr>
            <w:noProof/>
          </w:rPr>
          <w:t>391</w:t>
        </w:r>
        <w:bookmarkEnd w:id="1490"/>
      </w:fldSimple>
      <w:r>
        <w:t xml:space="preserve"> – Функция «Обобщить» для элемента измерения с иерархией</w:t>
      </w:r>
      <w:bookmarkEnd w:id="1488"/>
      <w:bookmarkEnd w:id="1489"/>
    </w:p>
    <w:p w:rsidR="00862055" w:rsidRPr="00E66D63" w:rsidRDefault="00862055" w:rsidP="00862055"/>
    <w:p w:rsidR="00862055" w:rsidRDefault="00862055" w:rsidP="00862055">
      <w:pPr>
        <w:pStyle w:val="afff6"/>
        <w:ind w:left="1287"/>
      </w:pPr>
      <w:r>
        <w:t>В результате уровень иерархии измерения, к которому относится текущий элемент, исключается из таблицы, а на место исключенного уровня помещается предыдущий более укрупне</w:t>
      </w:r>
      <w:r w:rsidR="009462C7">
        <w:t xml:space="preserve">нный уровень, как это видно на рисунке </w:t>
      </w:r>
      <w:r w:rsidR="009462C7">
        <w:fldChar w:fldCharType="begin"/>
      </w:r>
      <w:r w:rsidR="009462C7">
        <w:instrText xml:space="preserve"> REF _Ref108166252 \h </w:instrText>
      </w:r>
      <w:r w:rsidR="009462C7">
        <w:fldChar w:fldCharType="separate"/>
      </w:r>
      <w:r w:rsidR="009462C7">
        <w:rPr>
          <w:noProof/>
        </w:rPr>
        <w:t>392</w:t>
      </w:r>
      <w:r w:rsidR="009462C7">
        <w:fldChar w:fldCharType="end"/>
      </w:r>
      <w:r w:rsidR="009462C7">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55AB50EB" wp14:editId="284C366B">
            <wp:extent cx="5019675" cy="2017920"/>
            <wp:effectExtent l="0" t="0" r="0" b="1905"/>
            <wp:docPr id="5778" name="Рисунок 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5"/>
                    <a:stretch>
                      <a:fillRect/>
                    </a:stretch>
                  </pic:blipFill>
                  <pic:spPr>
                    <a:xfrm>
                      <a:off x="0" y="0"/>
                      <a:ext cx="5016994" cy="2016842"/>
                    </a:xfrm>
                    <a:prstGeom prst="rect">
                      <a:avLst/>
                    </a:prstGeom>
                  </pic:spPr>
                </pic:pic>
              </a:graphicData>
            </a:graphic>
          </wp:inline>
        </w:drawing>
      </w:r>
    </w:p>
    <w:p w:rsidR="00862055" w:rsidRDefault="00862055" w:rsidP="009462C7">
      <w:pPr>
        <w:pStyle w:val="afff8"/>
        <w:jc w:val="center"/>
      </w:pPr>
      <w:bookmarkStart w:id="1491" w:name="_Toc103180900"/>
      <w:bookmarkStart w:id="1492" w:name="_Toc119584579"/>
      <w:r>
        <w:t xml:space="preserve">Рисунок </w:t>
      </w:r>
      <w:fldSimple w:instr=" SEQ Рисунок \* ARABIC ">
        <w:bookmarkStart w:id="1493" w:name="_Ref108166252"/>
        <w:r w:rsidR="001860A9">
          <w:rPr>
            <w:noProof/>
          </w:rPr>
          <w:t>392</w:t>
        </w:r>
        <w:bookmarkEnd w:id="1493"/>
      </w:fldSimple>
      <w:r>
        <w:t xml:space="preserve"> – Результат функции «Обобщить»</w:t>
      </w:r>
      <w:bookmarkEnd w:id="1491"/>
      <w:bookmarkEnd w:id="1492"/>
      <w:r>
        <w:t xml:space="preserve"> </w:t>
      </w:r>
    </w:p>
    <w:p w:rsidR="00862055" w:rsidRDefault="00862055" w:rsidP="00862055">
      <w:pPr>
        <w:pStyle w:val="afff6"/>
        <w:ind w:left="1287"/>
        <w:jc w:val="center"/>
      </w:pPr>
    </w:p>
    <w:p w:rsidR="00862055" w:rsidRDefault="00862055" w:rsidP="00862055">
      <w:pPr>
        <w:pStyle w:val="afff6"/>
        <w:numPr>
          <w:ilvl w:val="0"/>
          <w:numId w:val="189"/>
        </w:numPr>
      </w:pPr>
      <w:r>
        <w:t>Для детализации информации на элементе измерения с иерархией вызвать контекстное ме</w:t>
      </w:r>
      <w:r w:rsidR="009462C7">
        <w:t xml:space="preserve">ню и выбрать пункт «Развернуть», как показано на рисунке </w:t>
      </w:r>
      <w:r w:rsidR="009462C7">
        <w:fldChar w:fldCharType="begin"/>
      </w:r>
      <w:r w:rsidR="009462C7">
        <w:instrText xml:space="preserve"> REF _Ref108166292 \h </w:instrText>
      </w:r>
      <w:r w:rsidR="009462C7">
        <w:fldChar w:fldCharType="separate"/>
      </w:r>
      <w:r w:rsidR="009462C7">
        <w:rPr>
          <w:noProof/>
        </w:rPr>
        <w:t>393</w:t>
      </w:r>
      <w:r w:rsidR="009462C7">
        <w:fldChar w:fldCharType="end"/>
      </w:r>
      <w:r w:rsidR="009462C7">
        <w:t>.</w:t>
      </w:r>
    </w:p>
    <w:p w:rsidR="00862055" w:rsidRDefault="00862055" w:rsidP="00862055">
      <w:pPr>
        <w:pStyle w:val="afff6"/>
        <w:keepNext/>
        <w:ind w:left="1287"/>
        <w:jc w:val="center"/>
      </w:pPr>
      <w:r>
        <w:rPr>
          <w:noProof/>
          <w:snapToGrid/>
        </w:rPr>
        <w:drawing>
          <wp:inline distT="0" distB="0" distL="0" distR="0" wp14:anchorId="0ED061B1" wp14:editId="6B408D54">
            <wp:extent cx="4143375" cy="3253317"/>
            <wp:effectExtent l="0" t="0" r="0" b="4445"/>
            <wp:docPr id="5779" name="Рисунок 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6"/>
                    <a:stretch>
                      <a:fillRect/>
                    </a:stretch>
                  </pic:blipFill>
                  <pic:spPr>
                    <a:xfrm>
                      <a:off x="0" y="0"/>
                      <a:ext cx="4143375" cy="3253317"/>
                    </a:xfrm>
                    <a:prstGeom prst="rect">
                      <a:avLst/>
                    </a:prstGeom>
                  </pic:spPr>
                </pic:pic>
              </a:graphicData>
            </a:graphic>
          </wp:inline>
        </w:drawing>
      </w:r>
    </w:p>
    <w:p w:rsidR="00862055" w:rsidRDefault="00862055" w:rsidP="009462C7">
      <w:pPr>
        <w:pStyle w:val="afff8"/>
        <w:jc w:val="center"/>
      </w:pPr>
      <w:bookmarkStart w:id="1494" w:name="_Toc103180901"/>
      <w:bookmarkStart w:id="1495" w:name="_Toc119584580"/>
      <w:r>
        <w:t xml:space="preserve">Рисунок </w:t>
      </w:r>
      <w:fldSimple w:instr=" SEQ Рисунок \* ARABIC ">
        <w:bookmarkStart w:id="1496" w:name="_Ref108166292"/>
        <w:r w:rsidR="001860A9">
          <w:rPr>
            <w:noProof/>
          </w:rPr>
          <w:t>393</w:t>
        </w:r>
        <w:bookmarkEnd w:id="1496"/>
      </w:fldSimple>
      <w:r>
        <w:t xml:space="preserve"> – Функция «Развернуть» для элемента измерения с иерархией</w:t>
      </w:r>
      <w:bookmarkEnd w:id="1494"/>
      <w:bookmarkEnd w:id="1495"/>
    </w:p>
    <w:p w:rsidR="00862055" w:rsidRDefault="00862055" w:rsidP="00862055">
      <w:pPr>
        <w:pStyle w:val="afff6"/>
        <w:ind w:left="1287"/>
      </w:pPr>
    </w:p>
    <w:p w:rsidR="00862055" w:rsidRDefault="00862055" w:rsidP="00862055">
      <w:pPr>
        <w:pStyle w:val="afff6"/>
        <w:ind w:left="1287"/>
      </w:pPr>
      <w:r>
        <w:t>В результате в таблице добавятся дополнительн</w:t>
      </w:r>
      <w:r w:rsidR="009462C7">
        <w:t xml:space="preserve">ые сведения по субъектам учета, как это видно на рисунке </w:t>
      </w:r>
      <w:r w:rsidR="009462C7">
        <w:fldChar w:fldCharType="begin"/>
      </w:r>
      <w:r w:rsidR="009462C7">
        <w:instrText xml:space="preserve"> REF _Ref108166418 \h </w:instrText>
      </w:r>
      <w:r w:rsidR="009462C7">
        <w:fldChar w:fldCharType="separate"/>
      </w:r>
      <w:r w:rsidR="009462C7">
        <w:rPr>
          <w:noProof/>
        </w:rPr>
        <w:t>394</w:t>
      </w:r>
      <w:r w:rsidR="009462C7">
        <w:fldChar w:fldCharType="end"/>
      </w:r>
      <w:r w:rsidR="009462C7">
        <w:t>.</w:t>
      </w:r>
    </w:p>
    <w:p w:rsidR="00862055" w:rsidRDefault="00862055" w:rsidP="00862055">
      <w:pPr>
        <w:pStyle w:val="afff6"/>
        <w:keepNext/>
        <w:ind w:left="1287"/>
        <w:jc w:val="center"/>
      </w:pPr>
      <w:r>
        <w:rPr>
          <w:noProof/>
          <w:snapToGrid/>
        </w:rPr>
        <w:drawing>
          <wp:inline distT="0" distB="0" distL="0" distR="0" wp14:anchorId="267ABB0A" wp14:editId="4D663B49">
            <wp:extent cx="4646732" cy="1797977"/>
            <wp:effectExtent l="0" t="0" r="1905" b="0"/>
            <wp:docPr id="5780" name="Рисунок 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7"/>
                    <a:stretch>
                      <a:fillRect/>
                    </a:stretch>
                  </pic:blipFill>
                  <pic:spPr>
                    <a:xfrm>
                      <a:off x="0" y="0"/>
                      <a:ext cx="4652855" cy="1800346"/>
                    </a:xfrm>
                    <a:prstGeom prst="rect">
                      <a:avLst/>
                    </a:prstGeom>
                  </pic:spPr>
                </pic:pic>
              </a:graphicData>
            </a:graphic>
          </wp:inline>
        </w:drawing>
      </w:r>
    </w:p>
    <w:p w:rsidR="00862055" w:rsidRDefault="00862055" w:rsidP="009462C7">
      <w:pPr>
        <w:pStyle w:val="afff8"/>
        <w:jc w:val="center"/>
      </w:pPr>
      <w:bookmarkStart w:id="1497" w:name="_Toc103180902"/>
      <w:bookmarkStart w:id="1498" w:name="_Toc119584581"/>
      <w:r>
        <w:t xml:space="preserve">Рисунок </w:t>
      </w:r>
      <w:fldSimple w:instr=" SEQ Рисунок \* ARABIC ">
        <w:bookmarkStart w:id="1499" w:name="_Ref108166418"/>
        <w:r w:rsidR="001860A9">
          <w:rPr>
            <w:noProof/>
          </w:rPr>
          <w:t>394</w:t>
        </w:r>
        <w:bookmarkEnd w:id="1499"/>
      </w:fldSimple>
      <w:r>
        <w:t xml:space="preserve"> – Результат функции «Развернуть» для элемента измерения с иерархией</w:t>
      </w:r>
      <w:bookmarkEnd w:id="1497"/>
      <w:bookmarkEnd w:id="1498"/>
    </w:p>
    <w:p w:rsidR="00862055" w:rsidRDefault="00862055" w:rsidP="00862055">
      <w:pPr>
        <w:pStyle w:val="afff6"/>
        <w:ind w:left="1287"/>
      </w:pPr>
    </w:p>
    <w:p w:rsidR="00862055" w:rsidRDefault="00862055" w:rsidP="00862055">
      <w:pPr>
        <w:pStyle w:val="afd"/>
        <w:ind w:left="924" w:firstLine="0"/>
      </w:pPr>
      <w:r>
        <w:t xml:space="preserve">Измерения также можно развернуть, кликнув мышью на значок «Развернуть» </w:t>
      </w:r>
      <w:r>
        <w:rPr>
          <w:noProof/>
          <w:snapToGrid/>
        </w:rPr>
        <w:drawing>
          <wp:inline distT="0" distB="0" distL="0" distR="0" wp14:anchorId="65FD3263" wp14:editId="3D82FC1F">
            <wp:extent cx="133350" cy="161925"/>
            <wp:effectExtent l="0" t="0" r="0" b="9525"/>
            <wp:docPr id="5782" name="Рисунок 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stretch>
                      <a:fillRect/>
                    </a:stretch>
                  </pic:blipFill>
                  <pic:spPr>
                    <a:xfrm>
                      <a:off x="0" y="0"/>
                      <a:ext cx="133350" cy="161925"/>
                    </a:xfrm>
                    <a:prstGeom prst="rect">
                      <a:avLst/>
                    </a:prstGeom>
                  </pic:spPr>
                </pic:pic>
              </a:graphicData>
            </a:graphic>
          </wp:inline>
        </w:drawing>
      </w:r>
      <w:r>
        <w:t>, рядом с элементом.</w:t>
      </w:r>
    </w:p>
    <w:p w:rsidR="00862055" w:rsidRDefault="00862055" w:rsidP="00862055">
      <w:pPr>
        <w:pStyle w:val="afff6"/>
        <w:numPr>
          <w:ilvl w:val="0"/>
          <w:numId w:val="189"/>
        </w:numPr>
      </w:pPr>
      <w:r>
        <w:t xml:space="preserve">Для сворачивания иерархии в элементе вызвать контекстное </w:t>
      </w:r>
      <w:r w:rsidR="00B86813">
        <w:t xml:space="preserve">меню и выбрать пункт «Свернуть», как это показано на рисунке </w:t>
      </w:r>
      <w:r w:rsidR="00B86813">
        <w:fldChar w:fldCharType="begin"/>
      </w:r>
      <w:r w:rsidR="00B86813">
        <w:instrText xml:space="preserve"> REF _Ref108166498 \h </w:instrText>
      </w:r>
      <w:r w:rsidR="00B86813">
        <w:fldChar w:fldCharType="separate"/>
      </w:r>
      <w:r w:rsidR="00B86813">
        <w:rPr>
          <w:noProof/>
        </w:rPr>
        <w:t>395</w:t>
      </w:r>
      <w:r w:rsidR="00B86813">
        <w:fldChar w:fldCharType="end"/>
      </w:r>
      <w:r w:rsidR="00B86813">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650F0A46" wp14:editId="0D0A178B">
            <wp:extent cx="3962400" cy="3179970"/>
            <wp:effectExtent l="0" t="0" r="0" b="1905"/>
            <wp:docPr id="5784" name="Рисунок 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8"/>
                    <a:stretch>
                      <a:fillRect/>
                    </a:stretch>
                  </pic:blipFill>
                  <pic:spPr>
                    <a:xfrm>
                      <a:off x="0" y="0"/>
                      <a:ext cx="3962400" cy="3179970"/>
                    </a:xfrm>
                    <a:prstGeom prst="rect">
                      <a:avLst/>
                    </a:prstGeom>
                  </pic:spPr>
                </pic:pic>
              </a:graphicData>
            </a:graphic>
          </wp:inline>
        </w:drawing>
      </w:r>
    </w:p>
    <w:p w:rsidR="00862055" w:rsidRDefault="00862055" w:rsidP="00B86813">
      <w:pPr>
        <w:pStyle w:val="afff8"/>
        <w:jc w:val="center"/>
      </w:pPr>
      <w:bookmarkStart w:id="1500" w:name="_Toc103180903"/>
      <w:bookmarkStart w:id="1501" w:name="_Toc119584582"/>
      <w:r>
        <w:t xml:space="preserve">Рисунок </w:t>
      </w:r>
      <w:fldSimple w:instr=" SEQ Рисунок \* ARABIC ">
        <w:bookmarkStart w:id="1502" w:name="_Ref108166498"/>
        <w:r w:rsidR="001860A9">
          <w:rPr>
            <w:noProof/>
          </w:rPr>
          <w:t>395</w:t>
        </w:r>
        <w:bookmarkEnd w:id="1502"/>
      </w:fldSimple>
      <w:r>
        <w:t xml:space="preserve"> – Функция «Свернуть» для элемента измерения с иерархией</w:t>
      </w:r>
      <w:bookmarkEnd w:id="1500"/>
      <w:bookmarkEnd w:id="1501"/>
    </w:p>
    <w:p w:rsidR="00862055" w:rsidRDefault="00862055" w:rsidP="00862055">
      <w:pPr>
        <w:pStyle w:val="afff6"/>
        <w:ind w:left="1287"/>
      </w:pPr>
    </w:p>
    <w:p w:rsidR="00862055" w:rsidRDefault="00862055" w:rsidP="00862055">
      <w:pPr>
        <w:pStyle w:val="afff6"/>
        <w:ind w:left="1287"/>
      </w:pPr>
      <w:r>
        <w:t>В результате объем отображаемых данных сократится, колонка</w:t>
      </w:r>
      <w:r w:rsidR="00B86813">
        <w:t xml:space="preserve"> «Субъект учета» будет свернута, как видно на рисунке </w:t>
      </w:r>
      <w:r w:rsidR="00B86813">
        <w:fldChar w:fldCharType="begin"/>
      </w:r>
      <w:r w:rsidR="00B86813">
        <w:instrText xml:space="preserve"> REF _Ref108166546 \h </w:instrText>
      </w:r>
      <w:r w:rsidR="00B86813">
        <w:fldChar w:fldCharType="separate"/>
      </w:r>
      <w:r w:rsidR="00B86813">
        <w:rPr>
          <w:noProof/>
        </w:rPr>
        <w:t>396</w:t>
      </w:r>
      <w:r w:rsidR="00B86813">
        <w:fldChar w:fldCharType="end"/>
      </w:r>
      <w:r w:rsidR="00B86813">
        <w:t>.</w:t>
      </w:r>
    </w:p>
    <w:p w:rsidR="00862055" w:rsidRDefault="00862055" w:rsidP="00862055">
      <w:pPr>
        <w:pStyle w:val="afff6"/>
        <w:keepNext/>
        <w:ind w:left="1287"/>
        <w:jc w:val="center"/>
      </w:pPr>
      <w:r>
        <w:rPr>
          <w:noProof/>
          <w:snapToGrid/>
        </w:rPr>
        <w:drawing>
          <wp:inline distT="0" distB="0" distL="0" distR="0" wp14:anchorId="5735E97D" wp14:editId="4A4B50E1">
            <wp:extent cx="5321446" cy="1771801"/>
            <wp:effectExtent l="0" t="0" r="0" b="0"/>
            <wp:docPr id="5785" name="Рисунок 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9"/>
                    <a:stretch>
                      <a:fillRect/>
                    </a:stretch>
                  </pic:blipFill>
                  <pic:spPr>
                    <a:xfrm>
                      <a:off x="0" y="0"/>
                      <a:ext cx="5323429" cy="1772461"/>
                    </a:xfrm>
                    <a:prstGeom prst="rect">
                      <a:avLst/>
                    </a:prstGeom>
                  </pic:spPr>
                </pic:pic>
              </a:graphicData>
            </a:graphic>
          </wp:inline>
        </w:drawing>
      </w:r>
    </w:p>
    <w:p w:rsidR="00862055" w:rsidRDefault="00862055" w:rsidP="00B86813">
      <w:pPr>
        <w:pStyle w:val="afff8"/>
        <w:jc w:val="center"/>
      </w:pPr>
      <w:bookmarkStart w:id="1503" w:name="_Toc103180904"/>
      <w:bookmarkStart w:id="1504" w:name="_Toc119584583"/>
      <w:r>
        <w:t xml:space="preserve">Рисунок </w:t>
      </w:r>
      <w:fldSimple w:instr=" SEQ Рисунок \* ARABIC ">
        <w:bookmarkStart w:id="1505" w:name="_Ref108166546"/>
        <w:r w:rsidR="001860A9">
          <w:rPr>
            <w:noProof/>
          </w:rPr>
          <w:t>396</w:t>
        </w:r>
        <w:bookmarkEnd w:id="1505"/>
      </w:fldSimple>
      <w:r>
        <w:t xml:space="preserve"> – Результат функции «Свернуть»</w:t>
      </w:r>
      <w:bookmarkEnd w:id="1503"/>
      <w:bookmarkEnd w:id="1504"/>
    </w:p>
    <w:p w:rsidR="00862055" w:rsidRDefault="00862055" w:rsidP="00862055">
      <w:pPr>
        <w:pStyle w:val="afff6"/>
        <w:ind w:left="1287"/>
      </w:pPr>
    </w:p>
    <w:p w:rsidR="00862055" w:rsidRDefault="00862055" w:rsidP="00862055">
      <w:pPr>
        <w:pStyle w:val="afff6"/>
        <w:numPr>
          <w:ilvl w:val="0"/>
          <w:numId w:val="189"/>
        </w:numPr>
      </w:pPr>
      <w:r>
        <w:t xml:space="preserve">Для исключения элемента измерения с иерархией вызвать контекстное меню и выбрать пункт «Исключить» </w:t>
      </w:r>
      <w:r w:rsidR="00B86813">
        <w:fldChar w:fldCharType="begin"/>
      </w:r>
      <w:r w:rsidR="00B86813">
        <w:instrText xml:space="preserve"> REF _Ref108166641 \h </w:instrText>
      </w:r>
      <w:r w:rsidR="00B86813">
        <w:fldChar w:fldCharType="separate"/>
      </w:r>
      <w:r w:rsidR="00B86813">
        <w:rPr>
          <w:noProof/>
        </w:rPr>
        <w:t>397</w:t>
      </w:r>
      <w:r w:rsidR="00B86813">
        <w:fldChar w:fldCharType="end"/>
      </w:r>
      <w:r w:rsidR="00B86813">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466A93DE" wp14:editId="01B7741C">
            <wp:extent cx="4295775" cy="3297126"/>
            <wp:effectExtent l="0" t="0" r="0" b="0"/>
            <wp:docPr id="5786" name="Рисунок 5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0"/>
                    <a:stretch>
                      <a:fillRect/>
                    </a:stretch>
                  </pic:blipFill>
                  <pic:spPr>
                    <a:xfrm>
                      <a:off x="0" y="0"/>
                      <a:ext cx="4295775" cy="3297126"/>
                    </a:xfrm>
                    <a:prstGeom prst="rect">
                      <a:avLst/>
                    </a:prstGeom>
                  </pic:spPr>
                </pic:pic>
              </a:graphicData>
            </a:graphic>
          </wp:inline>
        </w:drawing>
      </w:r>
    </w:p>
    <w:p w:rsidR="00862055" w:rsidRDefault="00862055" w:rsidP="00B86813">
      <w:pPr>
        <w:pStyle w:val="afff8"/>
        <w:jc w:val="center"/>
      </w:pPr>
      <w:bookmarkStart w:id="1506" w:name="_Toc103180905"/>
      <w:bookmarkStart w:id="1507" w:name="_Toc119584584"/>
      <w:r>
        <w:t xml:space="preserve">Рисунок </w:t>
      </w:r>
      <w:fldSimple w:instr=" SEQ Рисунок \* ARABIC ">
        <w:bookmarkStart w:id="1508" w:name="_Ref108166641"/>
        <w:r w:rsidR="001860A9">
          <w:rPr>
            <w:noProof/>
          </w:rPr>
          <w:t>397</w:t>
        </w:r>
        <w:bookmarkEnd w:id="1508"/>
      </w:fldSimple>
      <w:r>
        <w:t xml:space="preserve"> – Функция «Исключить» для элемента измерения с иерархией</w:t>
      </w:r>
      <w:bookmarkEnd w:id="1506"/>
      <w:bookmarkEnd w:id="1507"/>
      <w:r>
        <w:t xml:space="preserve"> </w:t>
      </w:r>
    </w:p>
    <w:p w:rsidR="00862055" w:rsidRDefault="00862055" w:rsidP="00862055">
      <w:pPr>
        <w:pStyle w:val="afff6"/>
        <w:ind w:left="1287"/>
      </w:pPr>
    </w:p>
    <w:p w:rsidR="00862055" w:rsidRDefault="00862055" w:rsidP="00862055">
      <w:pPr>
        <w:pStyle w:val="afff6"/>
        <w:ind w:left="1287"/>
      </w:pPr>
      <w:r>
        <w:t>В результате элемент и</w:t>
      </w:r>
      <w:r w:rsidR="00B86813">
        <w:t xml:space="preserve">змерения исключается из таблицы, как это видно на рисунке </w:t>
      </w:r>
      <w:r w:rsidR="00B86813">
        <w:fldChar w:fldCharType="begin"/>
      </w:r>
      <w:r w:rsidR="00B86813">
        <w:instrText xml:space="preserve"> REF _Ref108166717 \h </w:instrText>
      </w:r>
      <w:r w:rsidR="00B86813">
        <w:fldChar w:fldCharType="separate"/>
      </w:r>
      <w:r w:rsidR="00B86813">
        <w:rPr>
          <w:noProof/>
        </w:rPr>
        <w:t>398</w:t>
      </w:r>
      <w:r w:rsidR="00B86813">
        <w:fldChar w:fldCharType="end"/>
      </w:r>
      <w:r w:rsidR="00B86813">
        <w:t>.</w:t>
      </w:r>
    </w:p>
    <w:p w:rsidR="00862055" w:rsidRDefault="00862055" w:rsidP="00862055"/>
    <w:p w:rsidR="00862055" w:rsidRDefault="00862055" w:rsidP="00862055">
      <w:pPr>
        <w:pStyle w:val="afff6"/>
        <w:ind w:left="1287"/>
      </w:pPr>
    </w:p>
    <w:p w:rsidR="00862055" w:rsidRDefault="00862055" w:rsidP="00862055">
      <w:pPr>
        <w:pStyle w:val="afff6"/>
        <w:keepNext/>
        <w:ind w:left="1287"/>
      </w:pPr>
      <w:r>
        <w:rPr>
          <w:noProof/>
          <w:snapToGrid/>
        </w:rPr>
        <w:drawing>
          <wp:inline distT="0" distB="0" distL="0" distR="0" wp14:anchorId="75EDFC15" wp14:editId="45ECAE63">
            <wp:extent cx="4447424" cy="3609975"/>
            <wp:effectExtent l="0" t="0" r="0" b="0"/>
            <wp:docPr id="5787" name="Рисунок 5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1"/>
                    <a:stretch>
                      <a:fillRect/>
                    </a:stretch>
                  </pic:blipFill>
                  <pic:spPr>
                    <a:xfrm>
                      <a:off x="0" y="0"/>
                      <a:ext cx="4447424" cy="3609975"/>
                    </a:xfrm>
                    <a:prstGeom prst="rect">
                      <a:avLst/>
                    </a:prstGeom>
                  </pic:spPr>
                </pic:pic>
              </a:graphicData>
            </a:graphic>
          </wp:inline>
        </w:drawing>
      </w:r>
    </w:p>
    <w:p w:rsidR="00862055" w:rsidRDefault="00862055" w:rsidP="00B86813">
      <w:pPr>
        <w:pStyle w:val="afff8"/>
        <w:jc w:val="center"/>
      </w:pPr>
      <w:bookmarkStart w:id="1509" w:name="_Toc103180906"/>
      <w:bookmarkStart w:id="1510" w:name="_Toc119584585"/>
      <w:r>
        <w:t xml:space="preserve">Рисунок </w:t>
      </w:r>
      <w:fldSimple w:instr=" SEQ Рисунок \* ARABIC ">
        <w:bookmarkStart w:id="1511" w:name="_Ref108166717"/>
        <w:r w:rsidR="001860A9">
          <w:rPr>
            <w:noProof/>
          </w:rPr>
          <w:t>398</w:t>
        </w:r>
        <w:bookmarkEnd w:id="1511"/>
      </w:fldSimple>
      <w:r>
        <w:t xml:space="preserve"> – Результат функции «Исключить»</w:t>
      </w:r>
      <w:bookmarkEnd w:id="1509"/>
      <w:bookmarkEnd w:id="1510"/>
    </w:p>
    <w:p w:rsidR="00862055" w:rsidRDefault="00862055" w:rsidP="00862055">
      <w:pPr>
        <w:pStyle w:val="afff6"/>
        <w:ind w:left="1287"/>
      </w:pPr>
    </w:p>
    <w:p w:rsidR="00862055" w:rsidRDefault="00862055" w:rsidP="00862055">
      <w:pPr>
        <w:pStyle w:val="afff6"/>
        <w:ind w:left="1287"/>
      </w:pPr>
    </w:p>
    <w:p w:rsidR="00862055" w:rsidRDefault="00862055" w:rsidP="00862055">
      <w:pPr>
        <w:pStyle w:val="afff6"/>
        <w:numPr>
          <w:ilvl w:val="0"/>
          <w:numId w:val="189"/>
        </w:numPr>
      </w:pPr>
      <w:r>
        <w:t xml:space="preserve">Для применения функции «Оставить только» вызвать контекстное меню и </w:t>
      </w:r>
      <w:r w:rsidR="00B86813">
        <w:t xml:space="preserve">выбрать пункт «Оставить только», как показано на рисунке </w:t>
      </w:r>
      <w:r w:rsidR="00B86813">
        <w:fldChar w:fldCharType="begin"/>
      </w:r>
      <w:r w:rsidR="00B86813">
        <w:instrText xml:space="preserve"> REF _Ref108166775 \h </w:instrText>
      </w:r>
      <w:r w:rsidR="00B86813">
        <w:fldChar w:fldCharType="separate"/>
      </w:r>
      <w:r w:rsidR="00B86813">
        <w:rPr>
          <w:noProof/>
        </w:rPr>
        <w:t>399</w:t>
      </w:r>
      <w:r w:rsidR="00B86813">
        <w:fldChar w:fldCharType="end"/>
      </w:r>
      <w:r w:rsidR="00B86813">
        <w:t>.</w:t>
      </w:r>
    </w:p>
    <w:p w:rsidR="00862055" w:rsidRDefault="00862055" w:rsidP="00862055">
      <w:pPr>
        <w:pStyle w:val="afff6"/>
        <w:keepNext/>
        <w:ind w:left="1287"/>
        <w:jc w:val="center"/>
      </w:pPr>
      <w:r>
        <w:rPr>
          <w:noProof/>
          <w:snapToGrid/>
        </w:rPr>
        <w:drawing>
          <wp:inline distT="0" distB="0" distL="0" distR="0" wp14:anchorId="23EAE701" wp14:editId="05ACDF71">
            <wp:extent cx="3596577" cy="2581275"/>
            <wp:effectExtent l="0" t="0" r="444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2"/>
                    <a:stretch>
                      <a:fillRect/>
                    </a:stretch>
                  </pic:blipFill>
                  <pic:spPr>
                    <a:xfrm>
                      <a:off x="0" y="0"/>
                      <a:ext cx="3596577" cy="2581275"/>
                    </a:xfrm>
                    <a:prstGeom prst="rect">
                      <a:avLst/>
                    </a:prstGeom>
                  </pic:spPr>
                </pic:pic>
              </a:graphicData>
            </a:graphic>
          </wp:inline>
        </w:drawing>
      </w:r>
    </w:p>
    <w:p w:rsidR="00862055" w:rsidRDefault="00862055" w:rsidP="00B86813">
      <w:pPr>
        <w:pStyle w:val="afff8"/>
        <w:jc w:val="center"/>
      </w:pPr>
      <w:bookmarkStart w:id="1512" w:name="_Toc103180907"/>
      <w:bookmarkStart w:id="1513" w:name="_Toc119584586"/>
      <w:r>
        <w:t xml:space="preserve">Рисунок </w:t>
      </w:r>
      <w:fldSimple w:instr=" SEQ Рисунок \* ARABIC ">
        <w:bookmarkStart w:id="1514" w:name="_Ref108166775"/>
        <w:r w:rsidR="001860A9">
          <w:rPr>
            <w:noProof/>
          </w:rPr>
          <w:t>399</w:t>
        </w:r>
        <w:bookmarkEnd w:id="1514"/>
      </w:fldSimple>
      <w:r>
        <w:t xml:space="preserve"> – Функция «Оставить только» для элемента измерения с иерархией</w:t>
      </w:r>
      <w:bookmarkEnd w:id="1512"/>
      <w:bookmarkEnd w:id="1513"/>
    </w:p>
    <w:p w:rsidR="00862055" w:rsidRDefault="00862055" w:rsidP="00862055">
      <w:pPr>
        <w:pStyle w:val="afff6"/>
        <w:ind w:left="1287"/>
      </w:pPr>
    </w:p>
    <w:p w:rsidR="00862055" w:rsidRDefault="00862055" w:rsidP="00862055">
      <w:pPr>
        <w:pStyle w:val="afff6"/>
        <w:ind w:left="1287"/>
      </w:pPr>
      <w:r>
        <w:t>В результате в таблице виден лишь один элемент, к которому была примен</w:t>
      </w:r>
      <w:r w:rsidR="00B86813">
        <w:t xml:space="preserve">ена функция, как это видно на рисунке </w:t>
      </w:r>
      <w:r w:rsidR="00B86813">
        <w:fldChar w:fldCharType="begin"/>
      </w:r>
      <w:r w:rsidR="00B86813">
        <w:instrText xml:space="preserve"> REF _Ref108166824 \h </w:instrText>
      </w:r>
      <w:r w:rsidR="00B86813">
        <w:fldChar w:fldCharType="separate"/>
      </w:r>
      <w:r w:rsidR="00B86813">
        <w:rPr>
          <w:noProof/>
        </w:rPr>
        <w:t>400</w:t>
      </w:r>
      <w:r w:rsidR="00B86813">
        <w:fldChar w:fldCharType="end"/>
      </w:r>
      <w:r w:rsidR="00B86813">
        <w:t>.</w:t>
      </w:r>
    </w:p>
    <w:p w:rsidR="00862055" w:rsidRDefault="00862055" w:rsidP="00862055">
      <w:pPr>
        <w:pStyle w:val="afff6"/>
        <w:keepNext/>
        <w:ind w:left="1287"/>
        <w:jc w:val="center"/>
      </w:pPr>
      <w:r>
        <w:rPr>
          <w:noProof/>
          <w:snapToGrid/>
        </w:rPr>
        <w:drawing>
          <wp:inline distT="0" distB="0" distL="0" distR="0" wp14:anchorId="5404AFDE" wp14:editId="52DBABDE">
            <wp:extent cx="5086350" cy="2068347"/>
            <wp:effectExtent l="0" t="0" r="0" b="825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3"/>
                    <a:stretch>
                      <a:fillRect/>
                    </a:stretch>
                  </pic:blipFill>
                  <pic:spPr>
                    <a:xfrm>
                      <a:off x="0" y="0"/>
                      <a:ext cx="5083633" cy="2067242"/>
                    </a:xfrm>
                    <a:prstGeom prst="rect">
                      <a:avLst/>
                    </a:prstGeom>
                  </pic:spPr>
                </pic:pic>
              </a:graphicData>
            </a:graphic>
          </wp:inline>
        </w:drawing>
      </w:r>
    </w:p>
    <w:p w:rsidR="00862055" w:rsidRDefault="00862055" w:rsidP="00B86813">
      <w:pPr>
        <w:pStyle w:val="afff8"/>
        <w:jc w:val="center"/>
      </w:pPr>
      <w:bookmarkStart w:id="1515" w:name="_Toc103180908"/>
      <w:bookmarkStart w:id="1516" w:name="_Toc119584587"/>
      <w:r>
        <w:t xml:space="preserve">Рисунок </w:t>
      </w:r>
      <w:fldSimple w:instr=" SEQ Рисунок \* ARABIC ">
        <w:bookmarkStart w:id="1517" w:name="_Ref108166824"/>
        <w:r w:rsidR="001860A9">
          <w:rPr>
            <w:noProof/>
          </w:rPr>
          <w:t>400</w:t>
        </w:r>
        <w:bookmarkEnd w:id="1517"/>
      </w:fldSimple>
      <w:r>
        <w:t xml:space="preserve"> – Результат функции «Оставить только» для элемента измерения с иерархией</w:t>
      </w:r>
      <w:bookmarkEnd w:id="1515"/>
      <w:bookmarkEnd w:id="1516"/>
    </w:p>
    <w:p w:rsidR="00862055" w:rsidRDefault="00862055" w:rsidP="00862055">
      <w:pPr>
        <w:pStyle w:val="afff6"/>
        <w:ind w:left="1287"/>
      </w:pPr>
    </w:p>
    <w:p w:rsidR="00862055" w:rsidRDefault="00862055" w:rsidP="00862055">
      <w:pPr>
        <w:pStyle w:val="afff6"/>
        <w:numPr>
          <w:ilvl w:val="0"/>
          <w:numId w:val="189"/>
        </w:numPr>
      </w:pPr>
      <w:r>
        <w:t>Для детализации элемента измерения без иерархии вызвать контекстное меню и выбрать «Детализировать/ФОТ».</w:t>
      </w:r>
    </w:p>
    <w:p w:rsidR="00862055" w:rsidRDefault="00862055" w:rsidP="00862055">
      <w:pPr>
        <w:pStyle w:val="afff6"/>
        <w:ind w:left="1287"/>
      </w:pPr>
      <w:r>
        <w:t>В контекстном меню отобразится перечень</w:t>
      </w:r>
      <w:r w:rsidR="00B86813">
        <w:t xml:space="preserve"> доступных для выбора измерений, как показано на рисунке </w:t>
      </w:r>
      <w:r w:rsidR="00B86813">
        <w:fldChar w:fldCharType="begin"/>
      </w:r>
      <w:r w:rsidR="00B86813">
        <w:instrText xml:space="preserve"> REF _Ref108166950 \h </w:instrText>
      </w:r>
      <w:r w:rsidR="00B86813">
        <w:fldChar w:fldCharType="separate"/>
      </w:r>
      <w:r w:rsidR="00B86813">
        <w:rPr>
          <w:noProof/>
        </w:rPr>
        <w:t>401</w:t>
      </w:r>
      <w:r w:rsidR="00B86813">
        <w:fldChar w:fldCharType="end"/>
      </w:r>
      <w:r w:rsidR="00B86813">
        <w:t>.</w:t>
      </w:r>
    </w:p>
    <w:p w:rsidR="00862055" w:rsidRDefault="00862055" w:rsidP="00862055">
      <w:pPr>
        <w:keepNext/>
        <w:ind w:left="927"/>
        <w:jc w:val="center"/>
      </w:pPr>
      <w:r>
        <w:rPr>
          <w:noProof/>
          <w:snapToGrid/>
        </w:rPr>
        <w:drawing>
          <wp:inline distT="0" distB="0" distL="0" distR="0" wp14:anchorId="505D43C8" wp14:editId="24FE2B38">
            <wp:extent cx="4463612" cy="5751192"/>
            <wp:effectExtent l="0" t="0" r="0" b="2540"/>
            <wp:docPr id="5825" name="Рисунок 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4"/>
                    <a:stretch>
                      <a:fillRect/>
                    </a:stretch>
                  </pic:blipFill>
                  <pic:spPr>
                    <a:xfrm>
                      <a:off x="0" y="0"/>
                      <a:ext cx="4462776" cy="5750115"/>
                    </a:xfrm>
                    <a:prstGeom prst="rect">
                      <a:avLst/>
                    </a:prstGeom>
                  </pic:spPr>
                </pic:pic>
              </a:graphicData>
            </a:graphic>
          </wp:inline>
        </w:drawing>
      </w:r>
    </w:p>
    <w:p w:rsidR="00862055" w:rsidRDefault="00862055" w:rsidP="00B86813">
      <w:pPr>
        <w:pStyle w:val="afff8"/>
        <w:jc w:val="center"/>
      </w:pPr>
      <w:bookmarkStart w:id="1518" w:name="_Toc103180909"/>
      <w:bookmarkStart w:id="1519" w:name="_Toc119584588"/>
      <w:r>
        <w:t xml:space="preserve">Рисунок </w:t>
      </w:r>
      <w:fldSimple w:instr=" SEQ Рисунок \* ARABIC ">
        <w:bookmarkStart w:id="1520" w:name="_Ref108166950"/>
        <w:r w:rsidR="001860A9">
          <w:rPr>
            <w:noProof/>
          </w:rPr>
          <w:t>401</w:t>
        </w:r>
        <w:bookmarkEnd w:id="1520"/>
      </w:fldSimple>
      <w:r>
        <w:t xml:space="preserve"> - Функция «Детализировать» для элемента измерения без иерархии</w:t>
      </w:r>
      <w:bookmarkEnd w:id="1518"/>
      <w:bookmarkEnd w:id="1519"/>
    </w:p>
    <w:p w:rsidR="00862055" w:rsidRDefault="00862055" w:rsidP="00862055"/>
    <w:p w:rsidR="00862055" w:rsidRPr="00B22594" w:rsidRDefault="00862055" w:rsidP="00862055">
      <w:pPr>
        <w:ind w:left="927"/>
        <w:rPr>
          <w:sz w:val="28"/>
        </w:rPr>
      </w:pPr>
      <w:r w:rsidRPr="00B22594">
        <w:rPr>
          <w:sz w:val="28"/>
        </w:rPr>
        <w:t>Выбрать необходимое измерение, например, «Код главы».</w:t>
      </w:r>
    </w:p>
    <w:p w:rsidR="00862055" w:rsidRDefault="00862055" w:rsidP="00862055">
      <w:pPr>
        <w:ind w:left="927"/>
      </w:pPr>
    </w:p>
    <w:p w:rsidR="00862055" w:rsidRPr="00B22594" w:rsidRDefault="00862055" w:rsidP="00862055">
      <w:pPr>
        <w:ind w:left="927"/>
        <w:rPr>
          <w:sz w:val="28"/>
        </w:rPr>
      </w:pPr>
      <w:r w:rsidRPr="00B22594">
        <w:rPr>
          <w:sz w:val="28"/>
        </w:rPr>
        <w:t>В результате текущий элемент поместилс</w:t>
      </w:r>
      <w:r>
        <w:rPr>
          <w:sz w:val="28"/>
        </w:rPr>
        <w:t>я в фильтры, а измерение «Наименование уполномоченной оргнизации»</w:t>
      </w:r>
      <w:r w:rsidRPr="00B22594">
        <w:rPr>
          <w:sz w:val="28"/>
        </w:rPr>
        <w:t>, к которому относится текущий, элемент исключен из таблицы</w:t>
      </w:r>
      <w:r w:rsidR="00B86813">
        <w:rPr>
          <w:sz w:val="28"/>
        </w:rPr>
        <w:t>, как это видно на рисунке</w:t>
      </w:r>
      <w:r w:rsidR="00B86813" w:rsidRPr="00B86813">
        <w:rPr>
          <w:sz w:val="28"/>
          <w:szCs w:val="28"/>
        </w:rPr>
        <w:t xml:space="preserve"> </w:t>
      </w:r>
      <w:r w:rsidR="00B86813" w:rsidRPr="00B86813">
        <w:rPr>
          <w:sz w:val="28"/>
          <w:szCs w:val="28"/>
        </w:rPr>
        <w:fldChar w:fldCharType="begin"/>
      </w:r>
      <w:r w:rsidR="00B86813" w:rsidRPr="00B86813">
        <w:rPr>
          <w:sz w:val="28"/>
          <w:szCs w:val="28"/>
        </w:rPr>
        <w:instrText xml:space="preserve"> REF _Ref108166992 \h </w:instrText>
      </w:r>
      <w:r w:rsidR="00B86813">
        <w:rPr>
          <w:sz w:val="28"/>
          <w:szCs w:val="28"/>
        </w:rPr>
        <w:instrText xml:space="preserve"> \* MERGEFORMAT </w:instrText>
      </w:r>
      <w:r w:rsidR="00B86813" w:rsidRPr="00B86813">
        <w:rPr>
          <w:sz w:val="28"/>
          <w:szCs w:val="28"/>
        </w:rPr>
      </w:r>
      <w:r w:rsidR="00B86813" w:rsidRPr="00B86813">
        <w:rPr>
          <w:sz w:val="28"/>
          <w:szCs w:val="28"/>
        </w:rPr>
        <w:fldChar w:fldCharType="separate"/>
      </w:r>
      <w:r w:rsidR="00B86813" w:rsidRPr="00B86813">
        <w:rPr>
          <w:noProof/>
          <w:sz w:val="28"/>
          <w:szCs w:val="28"/>
        </w:rPr>
        <w:t>402</w:t>
      </w:r>
      <w:r w:rsidR="00B86813" w:rsidRPr="00B86813">
        <w:rPr>
          <w:sz w:val="28"/>
          <w:szCs w:val="28"/>
        </w:rPr>
        <w:fldChar w:fldCharType="end"/>
      </w:r>
      <w:r w:rsidR="00B86813">
        <w:rPr>
          <w:sz w:val="28"/>
          <w:szCs w:val="28"/>
        </w:rPr>
        <w:t>.</w:t>
      </w:r>
    </w:p>
    <w:p w:rsidR="00862055" w:rsidRDefault="00862055" w:rsidP="00862055">
      <w:pPr>
        <w:ind w:left="927"/>
      </w:pPr>
    </w:p>
    <w:p w:rsidR="00862055" w:rsidRDefault="00862055" w:rsidP="00862055">
      <w:pPr>
        <w:keepNext/>
        <w:ind w:left="927"/>
        <w:jc w:val="center"/>
      </w:pPr>
      <w:r>
        <w:rPr>
          <w:noProof/>
          <w:snapToGrid/>
        </w:rPr>
        <w:drawing>
          <wp:inline distT="0" distB="0" distL="0" distR="0" wp14:anchorId="45CCDBD6" wp14:editId="5F1A6813">
            <wp:extent cx="5225304" cy="2807071"/>
            <wp:effectExtent l="0" t="0" r="0" b="0"/>
            <wp:docPr id="5827" name="Рисунок 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5"/>
                    <a:stretch>
                      <a:fillRect/>
                    </a:stretch>
                  </pic:blipFill>
                  <pic:spPr>
                    <a:xfrm>
                      <a:off x="0" y="0"/>
                      <a:ext cx="5227715" cy="2808366"/>
                    </a:xfrm>
                    <a:prstGeom prst="rect">
                      <a:avLst/>
                    </a:prstGeom>
                  </pic:spPr>
                </pic:pic>
              </a:graphicData>
            </a:graphic>
          </wp:inline>
        </w:drawing>
      </w:r>
    </w:p>
    <w:p w:rsidR="00862055" w:rsidRDefault="00862055" w:rsidP="00B86813">
      <w:pPr>
        <w:pStyle w:val="afff8"/>
        <w:jc w:val="center"/>
      </w:pPr>
      <w:bookmarkStart w:id="1521" w:name="_Toc103180910"/>
      <w:bookmarkStart w:id="1522" w:name="_Toc119584589"/>
      <w:r>
        <w:t xml:space="preserve">Рисунок </w:t>
      </w:r>
      <w:fldSimple w:instr=" SEQ Рисунок \* ARABIC ">
        <w:bookmarkStart w:id="1523" w:name="_Ref108166992"/>
        <w:r w:rsidR="001860A9">
          <w:rPr>
            <w:noProof/>
          </w:rPr>
          <w:t>402</w:t>
        </w:r>
        <w:bookmarkEnd w:id="1523"/>
      </w:fldSimple>
      <w:r>
        <w:t xml:space="preserve"> - Результат функции «Детализировать» для элемента измерения без иерархии</w:t>
      </w:r>
      <w:bookmarkEnd w:id="1521"/>
      <w:bookmarkEnd w:id="1522"/>
    </w:p>
    <w:p w:rsidR="00862055" w:rsidRDefault="00862055" w:rsidP="00862055"/>
    <w:p w:rsidR="00862055" w:rsidRDefault="00862055" w:rsidP="00862055">
      <w:pPr>
        <w:pStyle w:val="afff6"/>
        <w:numPr>
          <w:ilvl w:val="0"/>
          <w:numId w:val="189"/>
        </w:numPr>
      </w:pPr>
      <w:r>
        <w:t>Для исключения элемента измерения без иерархии вызвать контекстное м</w:t>
      </w:r>
      <w:r w:rsidR="00B86813">
        <w:t xml:space="preserve">еню и выбрать пункт «Исключить», как это показано на рисунке </w:t>
      </w:r>
      <w:r w:rsidR="00B86813">
        <w:fldChar w:fldCharType="begin"/>
      </w:r>
      <w:r w:rsidR="00B86813">
        <w:instrText xml:space="preserve"> REF _Ref108167051 \h </w:instrText>
      </w:r>
      <w:r w:rsidR="00B86813">
        <w:fldChar w:fldCharType="separate"/>
      </w:r>
      <w:r w:rsidR="00B86813">
        <w:rPr>
          <w:noProof/>
        </w:rPr>
        <w:t>403</w:t>
      </w:r>
      <w:r w:rsidR="00B86813">
        <w:fldChar w:fldCharType="end"/>
      </w:r>
      <w:r w:rsidR="00B86813">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131777BF" wp14:editId="0659A1DF">
            <wp:extent cx="4421396" cy="2817628"/>
            <wp:effectExtent l="0" t="0" r="0" b="1905"/>
            <wp:docPr id="5828" name="Рисунок 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6"/>
                    <a:stretch>
                      <a:fillRect/>
                    </a:stretch>
                  </pic:blipFill>
                  <pic:spPr>
                    <a:xfrm>
                      <a:off x="0" y="0"/>
                      <a:ext cx="4426144" cy="2820654"/>
                    </a:xfrm>
                    <a:prstGeom prst="rect">
                      <a:avLst/>
                    </a:prstGeom>
                  </pic:spPr>
                </pic:pic>
              </a:graphicData>
            </a:graphic>
          </wp:inline>
        </w:drawing>
      </w:r>
    </w:p>
    <w:p w:rsidR="00862055" w:rsidRDefault="00862055" w:rsidP="00B86813">
      <w:pPr>
        <w:pStyle w:val="afff8"/>
        <w:jc w:val="center"/>
      </w:pPr>
      <w:bookmarkStart w:id="1524" w:name="_Toc103180911"/>
      <w:bookmarkStart w:id="1525" w:name="_Toc119584590"/>
      <w:r>
        <w:t xml:space="preserve">Рисунок </w:t>
      </w:r>
      <w:fldSimple w:instr=" SEQ Рисунок \* ARABIC ">
        <w:bookmarkStart w:id="1526" w:name="_Ref108167051"/>
        <w:r w:rsidR="001860A9">
          <w:rPr>
            <w:noProof/>
          </w:rPr>
          <w:t>403</w:t>
        </w:r>
        <w:bookmarkEnd w:id="1526"/>
      </w:fldSimple>
      <w:r>
        <w:t xml:space="preserve"> – Функция «Исключить» для элемента измерения без иерархии</w:t>
      </w:r>
      <w:bookmarkEnd w:id="1524"/>
      <w:bookmarkEnd w:id="1525"/>
    </w:p>
    <w:p w:rsidR="00862055" w:rsidRDefault="00862055" w:rsidP="00862055">
      <w:pPr>
        <w:pStyle w:val="afff6"/>
        <w:ind w:left="1287"/>
      </w:pPr>
    </w:p>
    <w:p w:rsidR="00862055" w:rsidRDefault="00862055" w:rsidP="00862055">
      <w:pPr>
        <w:pStyle w:val="afff6"/>
        <w:ind w:left="1287"/>
      </w:pPr>
      <w:r>
        <w:t>В результате элемент измерени</w:t>
      </w:r>
      <w:r w:rsidR="00B86813">
        <w:t xml:space="preserve">я исключается из таблицы, как видно на рисунке </w:t>
      </w:r>
      <w:r w:rsidR="00B86813">
        <w:fldChar w:fldCharType="begin"/>
      </w:r>
      <w:r w:rsidR="00B86813">
        <w:instrText xml:space="preserve"> REF _Ref108167094 \h </w:instrText>
      </w:r>
      <w:r w:rsidR="00B86813">
        <w:fldChar w:fldCharType="separate"/>
      </w:r>
      <w:r w:rsidR="00B86813">
        <w:rPr>
          <w:noProof/>
        </w:rPr>
        <w:t>404</w:t>
      </w:r>
      <w:r w:rsidR="00B86813">
        <w:fldChar w:fldCharType="end"/>
      </w:r>
      <w:r w:rsidR="00B86813">
        <w:t>.</w:t>
      </w:r>
    </w:p>
    <w:p w:rsidR="00862055" w:rsidRDefault="00862055" w:rsidP="00862055"/>
    <w:p w:rsidR="00862055" w:rsidRDefault="00862055" w:rsidP="00862055">
      <w:pPr>
        <w:pStyle w:val="afff6"/>
        <w:keepNext/>
        <w:ind w:left="1287"/>
        <w:jc w:val="center"/>
      </w:pPr>
      <w:r>
        <w:rPr>
          <w:noProof/>
          <w:snapToGrid/>
        </w:rPr>
        <w:drawing>
          <wp:inline distT="0" distB="0" distL="0" distR="0" wp14:anchorId="37A3A66E" wp14:editId="1C348934">
            <wp:extent cx="4593265" cy="3774083"/>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7"/>
                    <a:stretch>
                      <a:fillRect/>
                    </a:stretch>
                  </pic:blipFill>
                  <pic:spPr>
                    <a:xfrm>
                      <a:off x="0" y="0"/>
                      <a:ext cx="4593643" cy="3774393"/>
                    </a:xfrm>
                    <a:prstGeom prst="rect">
                      <a:avLst/>
                    </a:prstGeom>
                  </pic:spPr>
                </pic:pic>
              </a:graphicData>
            </a:graphic>
          </wp:inline>
        </w:drawing>
      </w:r>
    </w:p>
    <w:p w:rsidR="00862055" w:rsidRDefault="00862055" w:rsidP="00B86813">
      <w:pPr>
        <w:pStyle w:val="afff8"/>
        <w:jc w:val="center"/>
      </w:pPr>
      <w:bookmarkStart w:id="1527" w:name="_Toc103180912"/>
      <w:bookmarkStart w:id="1528" w:name="_Toc119584591"/>
      <w:r>
        <w:t xml:space="preserve">Рисунок </w:t>
      </w:r>
      <w:fldSimple w:instr=" SEQ Рисунок \* ARABIC ">
        <w:bookmarkStart w:id="1529" w:name="_Ref108167094"/>
        <w:r w:rsidR="001860A9">
          <w:rPr>
            <w:noProof/>
          </w:rPr>
          <w:t>404</w:t>
        </w:r>
        <w:bookmarkEnd w:id="1529"/>
      </w:fldSimple>
      <w:r>
        <w:t xml:space="preserve"> – Результат функции «Исключить»</w:t>
      </w:r>
      <w:bookmarkEnd w:id="1527"/>
      <w:bookmarkEnd w:id="1528"/>
    </w:p>
    <w:p w:rsidR="00862055" w:rsidRDefault="00862055" w:rsidP="00862055">
      <w:pPr>
        <w:pStyle w:val="afff6"/>
        <w:ind w:left="1287"/>
        <w:jc w:val="center"/>
      </w:pPr>
    </w:p>
    <w:p w:rsidR="00862055" w:rsidRDefault="00862055" w:rsidP="00862055">
      <w:pPr>
        <w:pStyle w:val="afff6"/>
        <w:ind w:left="1287"/>
      </w:pPr>
    </w:p>
    <w:p w:rsidR="00862055" w:rsidRDefault="00862055" w:rsidP="00862055">
      <w:pPr>
        <w:pStyle w:val="afff6"/>
        <w:ind w:left="1287"/>
      </w:pPr>
    </w:p>
    <w:p w:rsidR="00862055" w:rsidRDefault="00862055" w:rsidP="00862055">
      <w:pPr>
        <w:pStyle w:val="afff6"/>
        <w:numPr>
          <w:ilvl w:val="0"/>
          <w:numId w:val="189"/>
        </w:numPr>
      </w:pPr>
      <w:r>
        <w:t xml:space="preserve">Для применения функции «Оставить только» вызвать контекстное меню и </w:t>
      </w:r>
      <w:r w:rsidR="00B86813">
        <w:t xml:space="preserve">выбрать пункт «Оставить только», как показано на рисунке </w:t>
      </w:r>
      <w:r w:rsidR="00B86813">
        <w:fldChar w:fldCharType="begin"/>
      </w:r>
      <w:r w:rsidR="00B86813">
        <w:instrText xml:space="preserve"> REF _Ref108167128 \h </w:instrText>
      </w:r>
      <w:r w:rsidR="00B86813">
        <w:fldChar w:fldCharType="separate"/>
      </w:r>
      <w:r w:rsidR="00B86813">
        <w:rPr>
          <w:noProof/>
        </w:rPr>
        <w:t>405</w:t>
      </w:r>
      <w:r w:rsidR="00B86813">
        <w:fldChar w:fldCharType="end"/>
      </w:r>
      <w:r w:rsidR="00B86813">
        <w:t>.</w:t>
      </w:r>
    </w:p>
    <w:p w:rsidR="00862055" w:rsidRDefault="00862055" w:rsidP="00862055">
      <w:pPr>
        <w:pStyle w:val="afff6"/>
        <w:keepNext/>
        <w:ind w:left="1287"/>
        <w:jc w:val="center"/>
      </w:pPr>
      <w:r>
        <w:rPr>
          <w:noProof/>
          <w:snapToGrid/>
        </w:rPr>
        <w:drawing>
          <wp:inline distT="0" distB="0" distL="0" distR="0" wp14:anchorId="26804F0F" wp14:editId="2365AAA6">
            <wp:extent cx="5050292" cy="2945337"/>
            <wp:effectExtent l="0" t="0" r="0" b="762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8"/>
                    <a:stretch>
                      <a:fillRect/>
                    </a:stretch>
                  </pic:blipFill>
                  <pic:spPr>
                    <a:xfrm>
                      <a:off x="0" y="0"/>
                      <a:ext cx="5047741" cy="2943849"/>
                    </a:xfrm>
                    <a:prstGeom prst="rect">
                      <a:avLst/>
                    </a:prstGeom>
                  </pic:spPr>
                </pic:pic>
              </a:graphicData>
            </a:graphic>
          </wp:inline>
        </w:drawing>
      </w:r>
    </w:p>
    <w:p w:rsidR="00862055" w:rsidRDefault="00862055" w:rsidP="00B86813">
      <w:pPr>
        <w:pStyle w:val="afff8"/>
        <w:jc w:val="center"/>
      </w:pPr>
      <w:bookmarkStart w:id="1530" w:name="_Toc103180913"/>
      <w:bookmarkStart w:id="1531" w:name="_Toc119584592"/>
      <w:r>
        <w:t xml:space="preserve">Рисунок </w:t>
      </w:r>
      <w:fldSimple w:instr=" SEQ Рисунок \* ARABIC ">
        <w:bookmarkStart w:id="1532" w:name="_Ref108167128"/>
        <w:r w:rsidR="001860A9">
          <w:rPr>
            <w:noProof/>
          </w:rPr>
          <w:t>405</w:t>
        </w:r>
        <w:bookmarkEnd w:id="1532"/>
      </w:fldSimple>
      <w:r>
        <w:t xml:space="preserve"> – Функция «Оставить только» для элемента измерения без иерархии</w:t>
      </w:r>
      <w:bookmarkEnd w:id="1530"/>
      <w:bookmarkEnd w:id="1531"/>
    </w:p>
    <w:p w:rsidR="00862055" w:rsidRDefault="00862055" w:rsidP="00862055">
      <w:pPr>
        <w:pStyle w:val="afff6"/>
        <w:ind w:left="1287"/>
      </w:pPr>
    </w:p>
    <w:p w:rsidR="00862055" w:rsidRDefault="00862055" w:rsidP="00862055">
      <w:pPr>
        <w:pStyle w:val="afff6"/>
        <w:keepNext/>
        <w:ind w:left="1287"/>
        <w:jc w:val="center"/>
      </w:pPr>
      <w:r>
        <w:t xml:space="preserve">В результате в таблице виден лишь тот элемент, к </w:t>
      </w:r>
      <w:r w:rsidR="000712D0">
        <w:t xml:space="preserve">которому была применена функция, как видно на рисунке </w:t>
      </w:r>
      <w:r w:rsidR="000712D0">
        <w:fldChar w:fldCharType="begin"/>
      </w:r>
      <w:r w:rsidR="000712D0">
        <w:instrText xml:space="preserve"> REF _Ref108167174 \h </w:instrText>
      </w:r>
      <w:r w:rsidR="000712D0">
        <w:fldChar w:fldCharType="separate"/>
      </w:r>
      <w:r w:rsidR="000712D0">
        <w:rPr>
          <w:noProof/>
        </w:rPr>
        <w:t>406</w:t>
      </w:r>
      <w:r w:rsidR="000712D0">
        <w:fldChar w:fldCharType="end"/>
      </w:r>
      <w:r w:rsidR="000712D0">
        <w:t>.</w:t>
      </w:r>
      <w:r>
        <w:rPr>
          <w:noProof/>
          <w:snapToGrid/>
        </w:rPr>
        <w:drawing>
          <wp:inline distT="0" distB="0" distL="0" distR="0" wp14:anchorId="0E505EA0" wp14:editId="3C4ADC11">
            <wp:extent cx="5166127" cy="2379901"/>
            <wp:effectExtent l="0" t="0" r="0" b="1905"/>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9"/>
                    <a:stretch>
                      <a:fillRect/>
                    </a:stretch>
                  </pic:blipFill>
                  <pic:spPr>
                    <a:xfrm>
                      <a:off x="0" y="0"/>
                      <a:ext cx="5168220" cy="2380865"/>
                    </a:xfrm>
                    <a:prstGeom prst="rect">
                      <a:avLst/>
                    </a:prstGeom>
                  </pic:spPr>
                </pic:pic>
              </a:graphicData>
            </a:graphic>
          </wp:inline>
        </w:drawing>
      </w:r>
    </w:p>
    <w:p w:rsidR="00862055" w:rsidRDefault="00862055" w:rsidP="000712D0">
      <w:pPr>
        <w:pStyle w:val="afff8"/>
        <w:jc w:val="center"/>
      </w:pPr>
      <w:bookmarkStart w:id="1533" w:name="_Toc103180914"/>
      <w:bookmarkStart w:id="1534" w:name="_Toc119584593"/>
      <w:r>
        <w:t xml:space="preserve">Рисунок </w:t>
      </w:r>
      <w:fldSimple w:instr=" SEQ Рисунок \* ARABIC ">
        <w:bookmarkStart w:id="1535" w:name="_Ref108167174"/>
        <w:r w:rsidR="001860A9">
          <w:rPr>
            <w:noProof/>
          </w:rPr>
          <w:t>406</w:t>
        </w:r>
        <w:bookmarkEnd w:id="1535"/>
      </w:fldSimple>
      <w:r>
        <w:t xml:space="preserve"> – Результат функции «Оставить только»</w:t>
      </w:r>
      <w:bookmarkEnd w:id="1533"/>
      <w:bookmarkEnd w:id="1534"/>
    </w:p>
    <w:p w:rsidR="00862055" w:rsidRDefault="00862055" w:rsidP="00862055">
      <w:pPr>
        <w:pStyle w:val="afff6"/>
        <w:ind w:left="1287"/>
      </w:pPr>
    </w:p>
    <w:p w:rsidR="00862055" w:rsidRDefault="00862055" w:rsidP="00862055">
      <w:pPr>
        <w:pStyle w:val="afff6"/>
        <w:numPr>
          <w:ilvl w:val="0"/>
          <w:numId w:val="189"/>
        </w:numPr>
      </w:pPr>
      <w:r>
        <w:t>Для замены текущей меры на другую, доступную для данного отчета на ячейке «ЛБО» вызвать контекстно</w:t>
      </w:r>
      <w:r w:rsidR="000712D0">
        <w:t xml:space="preserve">е меню и выбрать доступную меру, как показано на рисунке </w:t>
      </w:r>
      <w:r w:rsidR="000712D0">
        <w:fldChar w:fldCharType="begin"/>
      </w:r>
      <w:r w:rsidR="000712D0">
        <w:instrText xml:space="preserve"> REF _Ref108167228 \h </w:instrText>
      </w:r>
      <w:r w:rsidR="000712D0">
        <w:fldChar w:fldCharType="separate"/>
      </w:r>
      <w:r w:rsidR="000712D0">
        <w:rPr>
          <w:noProof/>
        </w:rPr>
        <w:t>407</w:t>
      </w:r>
      <w:r w:rsidR="000712D0">
        <w:fldChar w:fldCharType="end"/>
      </w:r>
      <w:r w:rsidR="000712D0">
        <w:t>.</w:t>
      </w:r>
    </w:p>
    <w:p w:rsidR="00862055" w:rsidRDefault="00862055" w:rsidP="00862055">
      <w:pPr>
        <w:pStyle w:val="afff6"/>
        <w:keepNext/>
        <w:ind w:left="1287"/>
        <w:jc w:val="center"/>
      </w:pPr>
      <w:r>
        <w:rPr>
          <w:noProof/>
          <w:snapToGrid/>
        </w:rPr>
        <w:drawing>
          <wp:inline distT="0" distB="0" distL="0" distR="0" wp14:anchorId="1EE95E01" wp14:editId="79C8206E">
            <wp:extent cx="4438650" cy="1781175"/>
            <wp:effectExtent l="0" t="0" r="0" b="9525"/>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0"/>
                    <a:stretch>
                      <a:fillRect/>
                    </a:stretch>
                  </pic:blipFill>
                  <pic:spPr>
                    <a:xfrm>
                      <a:off x="0" y="0"/>
                      <a:ext cx="4438650" cy="1781175"/>
                    </a:xfrm>
                    <a:prstGeom prst="rect">
                      <a:avLst/>
                    </a:prstGeom>
                  </pic:spPr>
                </pic:pic>
              </a:graphicData>
            </a:graphic>
          </wp:inline>
        </w:drawing>
      </w:r>
    </w:p>
    <w:p w:rsidR="00862055" w:rsidRDefault="00862055" w:rsidP="000712D0">
      <w:pPr>
        <w:pStyle w:val="afff8"/>
        <w:jc w:val="center"/>
      </w:pPr>
      <w:bookmarkStart w:id="1536" w:name="_Toc103180915"/>
      <w:bookmarkStart w:id="1537" w:name="_Toc119584594"/>
      <w:r>
        <w:t xml:space="preserve">Рисунок </w:t>
      </w:r>
      <w:fldSimple w:instr=" SEQ Рисунок \* ARABIC ">
        <w:bookmarkStart w:id="1538" w:name="_Ref108167228"/>
        <w:r w:rsidR="001860A9">
          <w:rPr>
            <w:noProof/>
          </w:rPr>
          <w:t>407</w:t>
        </w:r>
        <w:bookmarkEnd w:id="1538"/>
      </w:fldSimple>
      <w:r>
        <w:t xml:space="preserve"> – Функция «Заменить на» для меры</w:t>
      </w:r>
      <w:bookmarkEnd w:id="1536"/>
      <w:bookmarkEnd w:id="1537"/>
    </w:p>
    <w:p w:rsidR="00862055" w:rsidRDefault="00862055" w:rsidP="00862055">
      <w:pPr>
        <w:pStyle w:val="afff6"/>
        <w:ind w:left="1287"/>
      </w:pPr>
    </w:p>
    <w:p w:rsidR="00862055" w:rsidRDefault="00862055" w:rsidP="00862055">
      <w:pPr>
        <w:pStyle w:val="afff6"/>
        <w:ind w:left="1287"/>
      </w:pPr>
      <w:r>
        <w:t>В результате в таблице колонка «ЛБО» заменится н</w:t>
      </w:r>
      <w:r w:rsidR="000712D0">
        <w:t xml:space="preserve">а «Количество_субъектов_учета» , как это видно на рисунке </w:t>
      </w:r>
      <w:r w:rsidR="000712D0">
        <w:fldChar w:fldCharType="begin"/>
      </w:r>
      <w:r w:rsidR="000712D0">
        <w:instrText xml:space="preserve"> REF _Ref108167289 \h </w:instrText>
      </w:r>
      <w:r w:rsidR="000712D0">
        <w:fldChar w:fldCharType="separate"/>
      </w:r>
      <w:r w:rsidR="000712D0">
        <w:rPr>
          <w:noProof/>
        </w:rPr>
        <w:t>408</w:t>
      </w:r>
      <w:r w:rsidR="000712D0">
        <w:fldChar w:fldCharType="end"/>
      </w:r>
      <w:r w:rsidR="000712D0">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0D911486" wp14:editId="11CD1633">
            <wp:extent cx="4645931" cy="2348140"/>
            <wp:effectExtent l="0" t="0" r="254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1"/>
                    <a:stretch>
                      <a:fillRect/>
                    </a:stretch>
                  </pic:blipFill>
                  <pic:spPr>
                    <a:xfrm>
                      <a:off x="0" y="0"/>
                      <a:ext cx="4652160" cy="2351288"/>
                    </a:xfrm>
                    <a:prstGeom prst="rect">
                      <a:avLst/>
                    </a:prstGeom>
                  </pic:spPr>
                </pic:pic>
              </a:graphicData>
            </a:graphic>
          </wp:inline>
        </w:drawing>
      </w:r>
    </w:p>
    <w:p w:rsidR="00862055" w:rsidRDefault="00862055" w:rsidP="000712D0">
      <w:pPr>
        <w:pStyle w:val="afff8"/>
        <w:jc w:val="center"/>
      </w:pPr>
      <w:bookmarkStart w:id="1539" w:name="_Toc103180916"/>
      <w:bookmarkStart w:id="1540" w:name="_Toc119584595"/>
      <w:r>
        <w:t xml:space="preserve">Рисунок </w:t>
      </w:r>
      <w:fldSimple w:instr=" SEQ Рисунок \* ARABIC ">
        <w:bookmarkStart w:id="1541" w:name="_Ref108167289"/>
        <w:r w:rsidR="001860A9">
          <w:rPr>
            <w:noProof/>
          </w:rPr>
          <w:t>408</w:t>
        </w:r>
        <w:bookmarkEnd w:id="1541"/>
      </w:fldSimple>
      <w:r>
        <w:t xml:space="preserve"> – Результат функции «Заменить на» для меры</w:t>
      </w:r>
      <w:bookmarkEnd w:id="1539"/>
      <w:bookmarkEnd w:id="1540"/>
    </w:p>
    <w:p w:rsidR="00862055" w:rsidRDefault="00862055" w:rsidP="00862055">
      <w:pPr>
        <w:pStyle w:val="afff6"/>
        <w:ind w:left="1287"/>
      </w:pPr>
    </w:p>
    <w:p w:rsidR="00862055" w:rsidRDefault="00862055" w:rsidP="00862055">
      <w:pPr>
        <w:pStyle w:val="afd"/>
        <w:numPr>
          <w:ilvl w:val="0"/>
          <w:numId w:val="189"/>
        </w:numPr>
      </w:pPr>
      <w:r>
        <w:t>Для добавления в таблицу новой меры, доступной для данного отчета на ячейке «Штатная численность, ставки» вызвать контекстное меню и выбрать доступную меру</w:t>
      </w:r>
      <w:r w:rsidR="000712D0">
        <w:t xml:space="preserve">, как показано на рисунке </w:t>
      </w:r>
      <w:r w:rsidR="000712D0">
        <w:fldChar w:fldCharType="begin"/>
      </w:r>
      <w:r w:rsidR="000712D0">
        <w:instrText xml:space="preserve"> REF _Ref108167334 \h </w:instrText>
      </w:r>
      <w:r w:rsidR="000712D0">
        <w:fldChar w:fldCharType="separate"/>
      </w:r>
      <w:r w:rsidR="000712D0">
        <w:rPr>
          <w:noProof/>
        </w:rPr>
        <w:t>409</w:t>
      </w:r>
      <w:r w:rsidR="000712D0">
        <w:fldChar w:fldCharType="end"/>
      </w:r>
      <w:r w:rsidR="000712D0">
        <w:t>.</w:t>
      </w:r>
    </w:p>
    <w:p w:rsidR="00862055" w:rsidRDefault="00862055" w:rsidP="00862055">
      <w:pPr>
        <w:keepNext/>
        <w:jc w:val="center"/>
      </w:pPr>
      <w:r>
        <w:rPr>
          <w:noProof/>
          <w:snapToGrid/>
        </w:rPr>
        <w:drawing>
          <wp:inline distT="0" distB="0" distL="0" distR="0" wp14:anchorId="03D95AE1" wp14:editId="44800DA1">
            <wp:extent cx="3238500" cy="190500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2"/>
                    <a:stretch>
                      <a:fillRect/>
                    </a:stretch>
                  </pic:blipFill>
                  <pic:spPr>
                    <a:xfrm>
                      <a:off x="0" y="0"/>
                      <a:ext cx="3238500" cy="1905000"/>
                    </a:xfrm>
                    <a:prstGeom prst="rect">
                      <a:avLst/>
                    </a:prstGeom>
                  </pic:spPr>
                </pic:pic>
              </a:graphicData>
            </a:graphic>
          </wp:inline>
        </w:drawing>
      </w:r>
    </w:p>
    <w:p w:rsidR="00862055" w:rsidRDefault="00862055" w:rsidP="000712D0">
      <w:pPr>
        <w:pStyle w:val="afff8"/>
        <w:jc w:val="center"/>
      </w:pPr>
      <w:bookmarkStart w:id="1542" w:name="_Toc103180917"/>
      <w:bookmarkStart w:id="1543" w:name="_Toc119584596"/>
      <w:r>
        <w:t xml:space="preserve">Рисунок </w:t>
      </w:r>
      <w:fldSimple w:instr=" SEQ Рисунок \* ARABIC ">
        <w:bookmarkStart w:id="1544" w:name="_Ref108167334"/>
        <w:r w:rsidR="001860A9">
          <w:rPr>
            <w:noProof/>
          </w:rPr>
          <w:t>409</w:t>
        </w:r>
        <w:bookmarkEnd w:id="1544"/>
      </w:fldSimple>
      <w:r>
        <w:t xml:space="preserve"> – Функция «Добавить» для меры</w:t>
      </w:r>
      <w:bookmarkEnd w:id="1542"/>
      <w:bookmarkEnd w:id="1543"/>
    </w:p>
    <w:p w:rsidR="00862055" w:rsidRDefault="00862055" w:rsidP="00862055"/>
    <w:p w:rsidR="00862055" w:rsidRPr="00961116" w:rsidRDefault="00862055" w:rsidP="00862055">
      <w:pPr>
        <w:rPr>
          <w:sz w:val="28"/>
        </w:rPr>
      </w:pPr>
      <w:r w:rsidRPr="00961116">
        <w:rPr>
          <w:sz w:val="28"/>
        </w:rPr>
        <w:t>В результате последней колонкой таблицы добавится колонка «ЛБО»</w:t>
      </w:r>
      <w:r w:rsidR="000712D0">
        <w:rPr>
          <w:sz w:val="28"/>
        </w:rPr>
        <w:t xml:space="preserve">, как видно на рисунке </w:t>
      </w:r>
      <w:r w:rsidR="000712D0" w:rsidRPr="000712D0">
        <w:rPr>
          <w:sz w:val="28"/>
          <w:szCs w:val="28"/>
        </w:rPr>
        <w:fldChar w:fldCharType="begin"/>
      </w:r>
      <w:r w:rsidR="000712D0" w:rsidRPr="000712D0">
        <w:rPr>
          <w:sz w:val="28"/>
          <w:szCs w:val="28"/>
        </w:rPr>
        <w:instrText xml:space="preserve"> REF _Ref108167378 \h </w:instrText>
      </w:r>
      <w:r w:rsidR="000712D0">
        <w:rPr>
          <w:sz w:val="28"/>
          <w:szCs w:val="28"/>
        </w:rPr>
        <w:instrText xml:space="preserve"> \* MERGEFORMAT </w:instrText>
      </w:r>
      <w:r w:rsidR="000712D0" w:rsidRPr="000712D0">
        <w:rPr>
          <w:sz w:val="28"/>
          <w:szCs w:val="28"/>
        </w:rPr>
      </w:r>
      <w:r w:rsidR="000712D0" w:rsidRPr="000712D0">
        <w:rPr>
          <w:sz w:val="28"/>
          <w:szCs w:val="28"/>
        </w:rPr>
        <w:fldChar w:fldCharType="separate"/>
      </w:r>
      <w:r w:rsidR="000712D0" w:rsidRPr="000712D0">
        <w:rPr>
          <w:noProof/>
          <w:sz w:val="28"/>
          <w:szCs w:val="28"/>
        </w:rPr>
        <w:t>410</w:t>
      </w:r>
      <w:r w:rsidR="000712D0" w:rsidRPr="000712D0">
        <w:rPr>
          <w:sz w:val="28"/>
          <w:szCs w:val="28"/>
        </w:rPr>
        <w:fldChar w:fldCharType="end"/>
      </w:r>
      <w:r w:rsidR="000712D0">
        <w:rPr>
          <w:sz w:val="28"/>
          <w:szCs w:val="28"/>
        </w:rPr>
        <w:t>.</w:t>
      </w:r>
    </w:p>
    <w:p w:rsidR="00862055" w:rsidRDefault="00862055" w:rsidP="00862055">
      <w:pPr>
        <w:keepNext/>
        <w:jc w:val="center"/>
      </w:pPr>
      <w:r>
        <w:rPr>
          <w:noProof/>
          <w:snapToGrid/>
        </w:rPr>
        <w:drawing>
          <wp:inline distT="0" distB="0" distL="0" distR="0" wp14:anchorId="7F97B38C" wp14:editId="79D00ECC">
            <wp:extent cx="4667693" cy="3193533"/>
            <wp:effectExtent l="0" t="0" r="0" b="6985"/>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3"/>
                    <a:stretch>
                      <a:fillRect/>
                    </a:stretch>
                  </pic:blipFill>
                  <pic:spPr>
                    <a:xfrm>
                      <a:off x="0" y="0"/>
                      <a:ext cx="4670763" cy="3195633"/>
                    </a:xfrm>
                    <a:prstGeom prst="rect">
                      <a:avLst/>
                    </a:prstGeom>
                  </pic:spPr>
                </pic:pic>
              </a:graphicData>
            </a:graphic>
          </wp:inline>
        </w:drawing>
      </w:r>
    </w:p>
    <w:p w:rsidR="00862055" w:rsidRDefault="00862055" w:rsidP="000712D0">
      <w:pPr>
        <w:pStyle w:val="afff8"/>
        <w:jc w:val="center"/>
      </w:pPr>
      <w:bookmarkStart w:id="1545" w:name="_Toc103180918"/>
      <w:bookmarkStart w:id="1546" w:name="_Toc119584597"/>
      <w:r>
        <w:t xml:space="preserve">Рисунок </w:t>
      </w:r>
      <w:fldSimple w:instr=" SEQ Рисунок \* ARABIC ">
        <w:bookmarkStart w:id="1547" w:name="_Ref108167378"/>
        <w:r w:rsidR="001860A9">
          <w:rPr>
            <w:noProof/>
          </w:rPr>
          <w:t>410</w:t>
        </w:r>
        <w:bookmarkEnd w:id="1547"/>
      </w:fldSimple>
      <w:r>
        <w:t xml:space="preserve"> – Результат функции «Добавить» для меры</w:t>
      </w:r>
      <w:bookmarkEnd w:id="1545"/>
      <w:bookmarkEnd w:id="1546"/>
    </w:p>
    <w:p w:rsidR="00862055" w:rsidRDefault="00862055" w:rsidP="00862055"/>
    <w:p w:rsidR="00862055" w:rsidRDefault="00862055" w:rsidP="00862055">
      <w:pPr>
        <w:pStyle w:val="afff6"/>
        <w:numPr>
          <w:ilvl w:val="0"/>
          <w:numId w:val="189"/>
        </w:numPr>
      </w:pPr>
      <w:r>
        <w:t>Для удаления меры из таблицы, на ячейке «ЛБО» вызвать контекстное</w:t>
      </w:r>
      <w:r w:rsidR="000712D0">
        <w:t xml:space="preserve"> меню и выбрать пункт «Удалить», как показано на рисунке </w:t>
      </w:r>
      <w:r w:rsidR="000712D0">
        <w:fldChar w:fldCharType="begin"/>
      </w:r>
      <w:r w:rsidR="000712D0">
        <w:instrText xml:space="preserve"> REF _Ref108167423 \h </w:instrText>
      </w:r>
      <w:r w:rsidR="000712D0">
        <w:fldChar w:fldCharType="separate"/>
      </w:r>
      <w:r w:rsidR="000712D0">
        <w:rPr>
          <w:noProof/>
        </w:rPr>
        <w:t>411</w:t>
      </w:r>
      <w:r w:rsidR="000712D0">
        <w:fldChar w:fldCharType="end"/>
      </w:r>
      <w:r w:rsidR="000712D0">
        <w:t>.</w:t>
      </w:r>
    </w:p>
    <w:p w:rsidR="00862055" w:rsidRDefault="00862055" w:rsidP="00862055">
      <w:pPr>
        <w:pStyle w:val="afff6"/>
        <w:ind w:left="1287"/>
      </w:pPr>
    </w:p>
    <w:p w:rsidR="00862055" w:rsidRDefault="00862055" w:rsidP="00862055">
      <w:pPr>
        <w:keepNext/>
        <w:ind w:left="927"/>
        <w:jc w:val="center"/>
      </w:pPr>
      <w:r>
        <w:rPr>
          <w:noProof/>
          <w:snapToGrid/>
        </w:rPr>
        <w:drawing>
          <wp:inline distT="0" distB="0" distL="0" distR="0" wp14:anchorId="3DD49B93" wp14:editId="20612CCC">
            <wp:extent cx="2764465" cy="1893701"/>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4"/>
                    <a:stretch>
                      <a:fillRect/>
                    </a:stretch>
                  </pic:blipFill>
                  <pic:spPr>
                    <a:xfrm>
                      <a:off x="0" y="0"/>
                      <a:ext cx="2763875" cy="1893297"/>
                    </a:xfrm>
                    <a:prstGeom prst="rect">
                      <a:avLst/>
                    </a:prstGeom>
                  </pic:spPr>
                </pic:pic>
              </a:graphicData>
            </a:graphic>
          </wp:inline>
        </w:drawing>
      </w:r>
    </w:p>
    <w:p w:rsidR="00862055" w:rsidRDefault="00862055" w:rsidP="000712D0">
      <w:pPr>
        <w:pStyle w:val="afff8"/>
        <w:jc w:val="center"/>
      </w:pPr>
      <w:bookmarkStart w:id="1548" w:name="_Toc103180919"/>
      <w:bookmarkStart w:id="1549" w:name="_Toc119584598"/>
      <w:r>
        <w:t xml:space="preserve">Рисунок </w:t>
      </w:r>
      <w:fldSimple w:instr=" SEQ Рисунок \* ARABIC ">
        <w:bookmarkStart w:id="1550" w:name="_Ref108167423"/>
        <w:r w:rsidR="001860A9">
          <w:rPr>
            <w:noProof/>
          </w:rPr>
          <w:t>411</w:t>
        </w:r>
        <w:bookmarkEnd w:id="1550"/>
      </w:fldSimple>
      <w:r>
        <w:t xml:space="preserve"> – Функция «Удалить» для меры</w:t>
      </w:r>
      <w:bookmarkEnd w:id="1548"/>
      <w:bookmarkEnd w:id="1549"/>
    </w:p>
    <w:p w:rsidR="00862055" w:rsidRDefault="00862055" w:rsidP="00862055">
      <w:pPr>
        <w:ind w:left="927"/>
      </w:pPr>
    </w:p>
    <w:p w:rsidR="00862055" w:rsidRPr="00D52E07" w:rsidRDefault="00862055" w:rsidP="00862055">
      <w:pPr>
        <w:ind w:left="927"/>
        <w:rPr>
          <w:sz w:val="28"/>
        </w:rPr>
      </w:pPr>
      <w:r w:rsidRPr="00D52E07">
        <w:rPr>
          <w:sz w:val="28"/>
        </w:rPr>
        <w:t>В результате колонка «ЛБО» будет удалена из таблицы</w:t>
      </w:r>
      <w:r w:rsidR="000712D0">
        <w:rPr>
          <w:sz w:val="28"/>
        </w:rPr>
        <w:t xml:space="preserve">, как видно на рисунке </w:t>
      </w:r>
      <w:r w:rsidR="000712D0" w:rsidRPr="000712D0">
        <w:rPr>
          <w:sz w:val="28"/>
          <w:szCs w:val="28"/>
        </w:rPr>
        <w:fldChar w:fldCharType="begin"/>
      </w:r>
      <w:r w:rsidR="000712D0" w:rsidRPr="000712D0">
        <w:rPr>
          <w:sz w:val="28"/>
          <w:szCs w:val="28"/>
        </w:rPr>
        <w:instrText xml:space="preserve"> REF _Ref108167495 \h </w:instrText>
      </w:r>
      <w:r w:rsidR="000712D0">
        <w:rPr>
          <w:sz w:val="28"/>
          <w:szCs w:val="28"/>
        </w:rPr>
        <w:instrText xml:space="preserve"> \* MERGEFORMAT </w:instrText>
      </w:r>
      <w:r w:rsidR="000712D0" w:rsidRPr="000712D0">
        <w:rPr>
          <w:sz w:val="28"/>
          <w:szCs w:val="28"/>
        </w:rPr>
      </w:r>
      <w:r w:rsidR="000712D0" w:rsidRPr="000712D0">
        <w:rPr>
          <w:sz w:val="28"/>
          <w:szCs w:val="28"/>
        </w:rPr>
        <w:fldChar w:fldCharType="separate"/>
      </w:r>
      <w:r w:rsidR="000712D0" w:rsidRPr="000712D0">
        <w:rPr>
          <w:noProof/>
          <w:sz w:val="28"/>
          <w:szCs w:val="28"/>
        </w:rPr>
        <w:t>412</w:t>
      </w:r>
      <w:r w:rsidR="000712D0" w:rsidRPr="000712D0">
        <w:rPr>
          <w:sz w:val="28"/>
          <w:szCs w:val="28"/>
        </w:rPr>
        <w:fldChar w:fldCharType="end"/>
      </w:r>
      <w:r w:rsidR="000712D0" w:rsidRPr="000712D0">
        <w:rPr>
          <w:sz w:val="28"/>
          <w:szCs w:val="28"/>
        </w:rPr>
        <w:t>.</w:t>
      </w:r>
    </w:p>
    <w:p w:rsidR="00862055" w:rsidRDefault="00862055" w:rsidP="00862055">
      <w:pPr>
        <w:keepNext/>
        <w:ind w:left="927"/>
        <w:jc w:val="center"/>
      </w:pPr>
      <w:r>
        <w:rPr>
          <w:noProof/>
          <w:snapToGrid/>
        </w:rPr>
        <w:drawing>
          <wp:inline distT="0" distB="0" distL="0" distR="0" wp14:anchorId="4B005225" wp14:editId="665C2C95">
            <wp:extent cx="4992389" cy="2601050"/>
            <wp:effectExtent l="0" t="0" r="0" b="889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5"/>
                    <a:stretch>
                      <a:fillRect/>
                    </a:stretch>
                  </pic:blipFill>
                  <pic:spPr>
                    <a:xfrm>
                      <a:off x="0" y="0"/>
                      <a:ext cx="4993851" cy="2601812"/>
                    </a:xfrm>
                    <a:prstGeom prst="rect">
                      <a:avLst/>
                    </a:prstGeom>
                  </pic:spPr>
                </pic:pic>
              </a:graphicData>
            </a:graphic>
          </wp:inline>
        </w:drawing>
      </w:r>
    </w:p>
    <w:p w:rsidR="00862055" w:rsidRDefault="00862055" w:rsidP="000712D0">
      <w:pPr>
        <w:pStyle w:val="afff8"/>
        <w:jc w:val="center"/>
      </w:pPr>
      <w:bookmarkStart w:id="1551" w:name="_Toc103180920"/>
      <w:bookmarkStart w:id="1552" w:name="_Toc119584599"/>
      <w:r>
        <w:t xml:space="preserve">Рисунок </w:t>
      </w:r>
      <w:fldSimple w:instr=" SEQ Рисунок \* ARABIC ">
        <w:bookmarkStart w:id="1553" w:name="_Ref108167495"/>
        <w:r w:rsidR="001860A9">
          <w:rPr>
            <w:noProof/>
          </w:rPr>
          <w:t>412</w:t>
        </w:r>
        <w:bookmarkEnd w:id="1553"/>
      </w:fldSimple>
      <w:r>
        <w:t xml:space="preserve"> – Результат функции «Удалить» для меры</w:t>
      </w:r>
      <w:bookmarkEnd w:id="1551"/>
      <w:bookmarkEnd w:id="1552"/>
    </w:p>
    <w:p w:rsidR="00862055" w:rsidRDefault="00862055" w:rsidP="00862055">
      <w:pPr>
        <w:pStyle w:val="afff6"/>
        <w:numPr>
          <w:ilvl w:val="0"/>
          <w:numId w:val="189"/>
        </w:numPr>
      </w:pPr>
      <w:r>
        <w:t>Для перемещения меры вправо вызвать контекстное меню и выбрать пункт «Вправо»</w:t>
      </w:r>
      <w:r w:rsidR="000712D0">
        <w:t xml:space="preserve">, как показано на рисунке </w:t>
      </w:r>
      <w:r w:rsidR="000712D0">
        <w:fldChar w:fldCharType="begin"/>
      </w:r>
      <w:r w:rsidR="000712D0">
        <w:instrText xml:space="preserve"> REF _Ref108167536 \h </w:instrText>
      </w:r>
      <w:r w:rsidR="000712D0">
        <w:fldChar w:fldCharType="separate"/>
      </w:r>
      <w:r w:rsidR="000712D0">
        <w:rPr>
          <w:noProof/>
        </w:rPr>
        <w:t>413</w:t>
      </w:r>
      <w:r w:rsidR="000712D0">
        <w:fldChar w:fldCharType="end"/>
      </w:r>
      <w:r w:rsidR="000712D0">
        <w:t>.</w:t>
      </w:r>
    </w:p>
    <w:p w:rsidR="00862055" w:rsidRDefault="00862055" w:rsidP="00862055">
      <w:pPr>
        <w:pStyle w:val="afff6"/>
        <w:keepNext/>
        <w:ind w:left="1287"/>
        <w:jc w:val="center"/>
      </w:pPr>
      <w:r>
        <w:rPr>
          <w:noProof/>
          <w:snapToGrid/>
        </w:rPr>
        <w:drawing>
          <wp:inline distT="0" distB="0" distL="0" distR="0" wp14:anchorId="7927337B" wp14:editId="6FEEF057">
            <wp:extent cx="2905125" cy="21717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6"/>
                    <a:stretch>
                      <a:fillRect/>
                    </a:stretch>
                  </pic:blipFill>
                  <pic:spPr>
                    <a:xfrm>
                      <a:off x="0" y="0"/>
                      <a:ext cx="2905125" cy="2171700"/>
                    </a:xfrm>
                    <a:prstGeom prst="rect">
                      <a:avLst/>
                    </a:prstGeom>
                  </pic:spPr>
                </pic:pic>
              </a:graphicData>
            </a:graphic>
          </wp:inline>
        </w:drawing>
      </w:r>
    </w:p>
    <w:p w:rsidR="00862055" w:rsidRDefault="00862055" w:rsidP="000712D0">
      <w:pPr>
        <w:pStyle w:val="afff8"/>
        <w:jc w:val="center"/>
      </w:pPr>
      <w:bookmarkStart w:id="1554" w:name="_Toc103180921"/>
      <w:bookmarkStart w:id="1555" w:name="_Toc119584600"/>
      <w:r>
        <w:t xml:space="preserve">Рисунок </w:t>
      </w:r>
      <w:fldSimple w:instr=" SEQ Рисунок \* ARABIC ">
        <w:bookmarkStart w:id="1556" w:name="_Ref108167536"/>
        <w:r w:rsidR="001860A9">
          <w:rPr>
            <w:noProof/>
          </w:rPr>
          <w:t>413</w:t>
        </w:r>
        <w:bookmarkEnd w:id="1556"/>
      </w:fldSimple>
      <w:r>
        <w:t xml:space="preserve"> – Функция «Вправо» для меры</w:t>
      </w:r>
      <w:bookmarkEnd w:id="1554"/>
      <w:bookmarkEnd w:id="1555"/>
    </w:p>
    <w:p w:rsidR="00862055" w:rsidRDefault="00862055" w:rsidP="00862055">
      <w:pPr>
        <w:pStyle w:val="afff6"/>
        <w:ind w:left="1287"/>
      </w:pPr>
      <w:r>
        <w:t>В результате мера «Штатная численност</w:t>
      </w:r>
      <w:r w:rsidR="003724A7">
        <w:t xml:space="preserve">ь, ставки» переместиласт вправо, как это видно на рисунке </w:t>
      </w:r>
      <w:r w:rsidR="003724A7">
        <w:fldChar w:fldCharType="begin"/>
      </w:r>
      <w:r w:rsidR="003724A7">
        <w:instrText xml:space="preserve"> REF _Ref108168474 \h </w:instrText>
      </w:r>
      <w:r w:rsidR="003724A7">
        <w:fldChar w:fldCharType="separate"/>
      </w:r>
      <w:r w:rsidR="003724A7">
        <w:rPr>
          <w:noProof/>
        </w:rPr>
        <w:t>414</w:t>
      </w:r>
      <w:r w:rsidR="003724A7">
        <w:fldChar w:fldCharType="end"/>
      </w:r>
      <w:r w:rsidR="003724A7">
        <w:t>.</w:t>
      </w:r>
    </w:p>
    <w:p w:rsidR="00862055" w:rsidRDefault="00862055" w:rsidP="00862055">
      <w:pPr>
        <w:pStyle w:val="afff6"/>
        <w:ind w:left="1287"/>
      </w:pPr>
    </w:p>
    <w:p w:rsidR="00862055" w:rsidRDefault="00862055" w:rsidP="00862055">
      <w:pPr>
        <w:pStyle w:val="afff6"/>
        <w:keepNext/>
        <w:ind w:left="1287"/>
        <w:jc w:val="center"/>
      </w:pPr>
      <w:r>
        <w:rPr>
          <w:noProof/>
          <w:snapToGrid/>
        </w:rPr>
        <w:drawing>
          <wp:inline distT="0" distB="0" distL="0" distR="0" wp14:anchorId="3C8720C8" wp14:editId="27017725">
            <wp:extent cx="5284381" cy="206488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7"/>
                    <a:stretch>
                      <a:fillRect/>
                    </a:stretch>
                  </pic:blipFill>
                  <pic:spPr>
                    <a:xfrm>
                      <a:off x="0" y="0"/>
                      <a:ext cx="5281558" cy="2063782"/>
                    </a:xfrm>
                    <a:prstGeom prst="rect">
                      <a:avLst/>
                    </a:prstGeom>
                  </pic:spPr>
                </pic:pic>
              </a:graphicData>
            </a:graphic>
          </wp:inline>
        </w:drawing>
      </w:r>
    </w:p>
    <w:p w:rsidR="00862055" w:rsidRDefault="00862055" w:rsidP="003724A7">
      <w:pPr>
        <w:pStyle w:val="afff8"/>
        <w:jc w:val="center"/>
      </w:pPr>
      <w:bookmarkStart w:id="1557" w:name="_Toc103180922"/>
      <w:bookmarkStart w:id="1558" w:name="_Toc119584601"/>
      <w:r>
        <w:t xml:space="preserve">Рисунок </w:t>
      </w:r>
      <w:fldSimple w:instr=" SEQ Рисунок \* ARABIC ">
        <w:bookmarkStart w:id="1559" w:name="_Ref108168474"/>
        <w:r w:rsidR="001860A9">
          <w:rPr>
            <w:noProof/>
          </w:rPr>
          <w:t>414</w:t>
        </w:r>
        <w:bookmarkEnd w:id="1559"/>
      </w:fldSimple>
      <w:r>
        <w:t xml:space="preserve"> – Результат функции «Вправо» для меры</w:t>
      </w:r>
      <w:bookmarkEnd w:id="1557"/>
      <w:bookmarkEnd w:id="1558"/>
    </w:p>
    <w:p w:rsidR="00862055" w:rsidRDefault="00862055" w:rsidP="00862055">
      <w:pPr>
        <w:pStyle w:val="afff6"/>
        <w:ind w:left="1287"/>
      </w:pPr>
    </w:p>
    <w:p w:rsidR="00862055" w:rsidRDefault="00862055" w:rsidP="00862055">
      <w:pPr>
        <w:pStyle w:val="afff6"/>
        <w:numPr>
          <w:ilvl w:val="0"/>
          <w:numId w:val="189"/>
        </w:numPr>
      </w:pPr>
      <w:r>
        <w:t>Для перемещения меры влево вызвать контекстн</w:t>
      </w:r>
      <w:r w:rsidR="003724A7">
        <w:t xml:space="preserve">ое меню и выбрать пункт «Влево», как показано на рисунке </w:t>
      </w:r>
      <w:r w:rsidR="003724A7">
        <w:fldChar w:fldCharType="begin"/>
      </w:r>
      <w:r w:rsidR="003724A7">
        <w:instrText xml:space="preserve"> REF _Ref108168654 \h </w:instrText>
      </w:r>
      <w:r w:rsidR="003724A7">
        <w:fldChar w:fldCharType="separate"/>
      </w:r>
      <w:r w:rsidR="003724A7">
        <w:rPr>
          <w:noProof/>
        </w:rPr>
        <w:t>415</w:t>
      </w:r>
      <w:r w:rsidR="003724A7">
        <w:fldChar w:fldCharType="end"/>
      </w:r>
      <w:r w:rsidR="003724A7">
        <w:t>.</w:t>
      </w:r>
    </w:p>
    <w:p w:rsidR="00862055" w:rsidRDefault="00862055" w:rsidP="00862055">
      <w:pPr>
        <w:pStyle w:val="afff6"/>
        <w:keepNext/>
        <w:ind w:left="1287"/>
      </w:pPr>
      <w:r>
        <w:rPr>
          <w:noProof/>
          <w:snapToGrid/>
        </w:rPr>
        <w:drawing>
          <wp:inline distT="0" distB="0" distL="0" distR="0" wp14:anchorId="7E447BC9" wp14:editId="244DDAD0">
            <wp:extent cx="3051545" cy="2028584"/>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8"/>
                    <a:stretch>
                      <a:fillRect/>
                    </a:stretch>
                  </pic:blipFill>
                  <pic:spPr>
                    <a:xfrm>
                      <a:off x="0" y="0"/>
                      <a:ext cx="3054774" cy="2030731"/>
                    </a:xfrm>
                    <a:prstGeom prst="rect">
                      <a:avLst/>
                    </a:prstGeom>
                  </pic:spPr>
                </pic:pic>
              </a:graphicData>
            </a:graphic>
          </wp:inline>
        </w:drawing>
      </w:r>
    </w:p>
    <w:p w:rsidR="00862055" w:rsidRDefault="00862055" w:rsidP="003724A7">
      <w:pPr>
        <w:pStyle w:val="afff8"/>
        <w:jc w:val="center"/>
      </w:pPr>
      <w:bookmarkStart w:id="1560" w:name="_Toc103180923"/>
      <w:bookmarkStart w:id="1561" w:name="_Toc119584602"/>
      <w:r>
        <w:t xml:space="preserve">Рисунок </w:t>
      </w:r>
      <w:fldSimple w:instr=" SEQ Рисунок \* ARABIC ">
        <w:bookmarkStart w:id="1562" w:name="_Ref108168654"/>
        <w:r w:rsidR="001860A9">
          <w:rPr>
            <w:noProof/>
          </w:rPr>
          <w:t>415</w:t>
        </w:r>
        <w:bookmarkEnd w:id="1562"/>
      </w:fldSimple>
      <w:r>
        <w:t xml:space="preserve"> - Функция «Влево» для меры</w:t>
      </w:r>
      <w:bookmarkEnd w:id="1560"/>
      <w:bookmarkEnd w:id="1561"/>
    </w:p>
    <w:p w:rsidR="00862055" w:rsidRPr="00E60F1E" w:rsidRDefault="00862055" w:rsidP="00862055"/>
    <w:p w:rsidR="00862055" w:rsidRDefault="00862055" w:rsidP="00862055">
      <w:pPr>
        <w:pStyle w:val="afff6"/>
        <w:ind w:left="1287"/>
      </w:pPr>
      <w:r>
        <w:t>В результате колонка «Штатная численнос</w:t>
      </w:r>
      <w:r w:rsidR="003724A7">
        <w:t xml:space="preserve">ть, ставки» переместится влево, как это видно на рисунке </w:t>
      </w:r>
      <w:r w:rsidR="003724A7">
        <w:fldChar w:fldCharType="begin"/>
      </w:r>
      <w:r w:rsidR="003724A7">
        <w:instrText xml:space="preserve"> REF _Ref108168688 \h </w:instrText>
      </w:r>
      <w:r w:rsidR="003724A7">
        <w:fldChar w:fldCharType="separate"/>
      </w:r>
      <w:r w:rsidR="003724A7">
        <w:rPr>
          <w:noProof/>
        </w:rPr>
        <w:t>416</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59D01CBA" wp14:editId="1FEAEA22">
            <wp:extent cx="5209953" cy="2308425"/>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9"/>
                    <a:stretch>
                      <a:fillRect/>
                    </a:stretch>
                  </pic:blipFill>
                  <pic:spPr>
                    <a:xfrm>
                      <a:off x="0" y="0"/>
                      <a:ext cx="5207170" cy="2307192"/>
                    </a:xfrm>
                    <a:prstGeom prst="rect">
                      <a:avLst/>
                    </a:prstGeom>
                  </pic:spPr>
                </pic:pic>
              </a:graphicData>
            </a:graphic>
          </wp:inline>
        </w:drawing>
      </w:r>
    </w:p>
    <w:p w:rsidR="00862055" w:rsidRDefault="00862055" w:rsidP="003724A7">
      <w:pPr>
        <w:pStyle w:val="afff8"/>
        <w:jc w:val="center"/>
      </w:pPr>
      <w:bookmarkStart w:id="1563" w:name="_Toc103180924"/>
      <w:bookmarkStart w:id="1564" w:name="_Toc119584603"/>
      <w:r>
        <w:t xml:space="preserve">Рисунок </w:t>
      </w:r>
      <w:fldSimple w:instr=" SEQ Рисунок \* ARABIC ">
        <w:bookmarkStart w:id="1565" w:name="_Ref108168688"/>
        <w:r w:rsidR="001860A9">
          <w:rPr>
            <w:noProof/>
          </w:rPr>
          <w:t>416</w:t>
        </w:r>
        <w:bookmarkEnd w:id="1565"/>
      </w:fldSimple>
      <w:r>
        <w:t xml:space="preserve"> - Результат функции «Влево» для меры</w:t>
      </w:r>
      <w:bookmarkEnd w:id="1563"/>
      <w:bookmarkEnd w:id="1564"/>
    </w:p>
    <w:p w:rsidR="00862055" w:rsidRDefault="00862055" w:rsidP="00862055">
      <w:pPr>
        <w:pStyle w:val="afff6"/>
        <w:ind w:left="1287"/>
      </w:pPr>
    </w:p>
    <w:p w:rsidR="00862055" w:rsidRDefault="00862055" w:rsidP="00862055">
      <w:pPr>
        <w:pStyle w:val="afff6"/>
        <w:numPr>
          <w:ilvl w:val="0"/>
          <w:numId w:val="189"/>
        </w:numPr>
      </w:pPr>
      <w:r>
        <w:t>Для детализации элемента данных вызвать контекстное меню и выбрать «Детализировать/ФОТ».</w:t>
      </w:r>
    </w:p>
    <w:p w:rsidR="00862055" w:rsidRDefault="00862055" w:rsidP="00862055">
      <w:pPr>
        <w:pStyle w:val="afff6"/>
        <w:ind w:left="1287"/>
      </w:pPr>
      <w:r>
        <w:t>В контекстном меню отобразится перечень</w:t>
      </w:r>
      <w:r w:rsidR="003724A7">
        <w:t xml:space="preserve"> доступных для выбора измерений, как показано на рисунке </w:t>
      </w:r>
      <w:r w:rsidR="003724A7">
        <w:fldChar w:fldCharType="begin"/>
      </w:r>
      <w:r w:rsidR="003724A7">
        <w:instrText xml:space="preserve"> REF _Ref108168749 \h </w:instrText>
      </w:r>
      <w:r w:rsidR="003724A7">
        <w:fldChar w:fldCharType="separate"/>
      </w:r>
      <w:r w:rsidR="003724A7">
        <w:rPr>
          <w:noProof/>
        </w:rPr>
        <w:t>417</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1224D6AC" wp14:editId="2A4C406E">
            <wp:extent cx="4189228" cy="4622115"/>
            <wp:effectExtent l="0" t="0" r="1905" b="762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0"/>
                    <a:stretch>
                      <a:fillRect/>
                    </a:stretch>
                  </pic:blipFill>
                  <pic:spPr>
                    <a:xfrm>
                      <a:off x="0" y="0"/>
                      <a:ext cx="4193357" cy="4626670"/>
                    </a:xfrm>
                    <a:prstGeom prst="rect">
                      <a:avLst/>
                    </a:prstGeom>
                  </pic:spPr>
                </pic:pic>
              </a:graphicData>
            </a:graphic>
          </wp:inline>
        </w:drawing>
      </w:r>
    </w:p>
    <w:p w:rsidR="00862055" w:rsidRDefault="00862055" w:rsidP="003724A7">
      <w:pPr>
        <w:pStyle w:val="afff8"/>
        <w:jc w:val="center"/>
      </w:pPr>
      <w:bookmarkStart w:id="1566" w:name="_Toc103180925"/>
      <w:bookmarkStart w:id="1567" w:name="_Toc119584604"/>
      <w:r>
        <w:t xml:space="preserve">Рисунок </w:t>
      </w:r>
      <w:fldSimple w:instr=" SEQ Рисунок \* ARABIC ">
        <w:bookmarkStart w:id="1568" w:name="_Ref108168749"/>
        <w:r w:rsidR="001860A9">
          <w:rPr>
            <w:noProof/>
          </w:rPr>
          <w:t>417</w:t>
        </w:r>
        <w:bookmarkEnd w:id="1568"/>
      </w:fldSimple>
      <w:r>
        <w:t xml:space="preserve"> – Функция «Детализировать» для элемента данных</w:t>
      </w:r>
      <w:bookmarkEnd w:id="1566"/>
      <w:bookmarkEnd w:id="1567"/>
    </w:p>
    <w:p w:rsidR="00862055" w:rsidRDefault="00862055" w:rsidP="00862055">
      <w:pPr>
        <w:pStyle w:val="afff6"/>
        <w:ind w:left="1287"/>
      </w:pPr>
    </w:p>
    <w:p w:rsidR="00862055" w:rsidRDefault="00862055" w:rsidP="00862055">
      <w:pPr>
        <w:pStyle w:val="afff6"/>
        <w:ind w:left="1287"/>
      </w:pPr>
      <w:r>
        <w:t>Выбрать необходимое измерение, например, «Код главы».</w:t>
      </w:r>
    </w:p>
    <w:p w:rsidR="00862055" w:rsidRDefault="00862055" w:rsidP="00862055">
      <w:pPr>
        <w:pStyle w:val="afff6"/>
        <w:ind w:left="1287"/>
      </w:pPr>
    </w:p>
    <w:p w:rsidR="00862055" w:rsidRDefault="00862055" w:rsidP="00862055">
      <w:pPr>
        <w:pStyle w:val="afff6"/>
        <w:ind w:left="1287"/>
      </w:pPr>
      <w:r>
        <w:t>В результате текущий элемент поместился в фильтры, а измерение, к которому относится текущ</w:t>
      </w:r>
      <w:r w:rsidR="003724A7">
        <w:t xml:space="preserve">ий, элемент исключен из таблицы, как это видно на рисунке </w:t>
      </w:r>
      <w:r w:rsidR="003724A7">
        <w:fldChar w:fldCharType="begin"/>
      </w:r>
      <w:r w:rsidR="003724A7">
        <w:instrText xml:space="preserve"> REF _Ref108168794 \h </w:instrText>
      </w:r>
      <w:r w:rsidR="003724A7">
        <w:fldChar w:fldCharType="separate"/>
      </w:r>
      <w:r w:rsidR="003724A7">
        <w:rPr>
          <w:noProof/>
        </w:rPr>
        <w:t>418</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4A507B6D" wp14:editId="0C9BD8AC">
            <wp:extent cx="4625162" cy="1844527"/>
            <wp:effectExtent l="0" t="0" r="4445" b="381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1"/>
                    <a:stretch>
                      <a:fillRect/>
                    </a:stretch>
                  </pic:blipFill>
                  <pic:spPr>
                    <a:xfrm>
                      <a:off x="0" y="0"/>
                      <a:ext cx="4622691" cy="1843542"/>
                    </a:xfrm>
                    <a:prstGeom prst="rect">
                      <a:avLst/>
                    </a:prstGeom>
                  </pic:spPr>
                </pic:pic>
              </a:graphicData>
            </a:graphic>
          </wp:inline>
        </w:drawing>
      </w:r>
    </w:p>
    <w:p w:rsidR="00862055" w:rsidRDefault="00862055" w:rsidP="003724A7">
      <w:pPr>
        <w:pStyle w:val="afff8"/>
        <w:jc w:val="center"/>
      </w:pPr>
      <w:bookmarkStart w:id="1569" w:name="_Toc103180926"/>
      <w:bookmarkStart w:id="1570" w:name="_Toc119584605"/>
      <w:r>
        <w:t xml:space="preserve">Рисунок </w:t>
      </w:r>
      <w:fldSimple w:instr=" SEQ Рисунок \* ARABIC ">
        <w:bookmarkStart w:id="1571" w:name="_Ref108168794"/>
        <w:r w:rsidR="001860A9">
          <w:rPr>
            <w:noProof/>
          </w:rPr>
          <w:t>418</w:t>
        </w:r>
        <w:bookmarkEnd w:id="1571"/>
      </w:fldSimple>
      <w:r>
        <w:t xml:space="preserve"> -  Результат функции «Детализировать»</w:t>
      </w:r>
      <w:bookmarkEnd w:id="1569"/>
      <w:bookmarkEnd w:id="1570"/>
    </w:p>
    <w:p w:rsidR="00862055" w:rsidRDefault="00862055" w:rsidP="00862055">
      <w:pPr>
        <w:pStyle w:val="afff6"/>
        <w:ind w:left="1287"/>
      </w:pPr>
    </w:p>
    <w:p w:rsidR="00862055" w:rsidRDefault="00862055" w:rsidP="00862055">
      <w:pPr>
        <w:pStyle w:val="afff6"/>
        <w:numPr>
          <w:ilvl w:val="0"/>
          <w:numId w:val="189"/>
        </w:numPr>
      </w:pPr>
      <w:r>
        <w:t>Для исключения элемента вызвать контекстное м</w:t>
      </w:r>
      <w:r w:rsidR="003724A7">
        <w:t xml:space="preserve">еню и выбрать пункт «Исключить», как это показано на рисунке </w:t>
      </w:r>
      <w:r w:rsidR="003724A7">
        <w:fldChar w:fldCharType="begin"/>
      </w:r>
      <w:r w:rsidR="003724A7">
        <w:instrText xml:space="preserve"> REF _Ref108168844 \h </w:instrText>
      </w:r>
      <w:r w:rsidR="003724A7">
        <w:fldChar w:fldCharType="separate"/>
      </w:r>
      <w:r w:rsidR="003724A7">
        <w:rPr>
          <w:noProof/>
        </w:rPr>
        <w:t>419</w:t>
      </w:r>
      <w:r w:rsidR="003724A7">
        <w:fldChar w:fldCharType="end"/>
      </w:r>
      <w:r w:rsidR="003724A7">
        <w:t>.</w:t>
      </w:r>
    </w:p>
    <w:p w:rsidR="00862055" w:rsidRDefault="00862055" w:rsidP="00862055">
      <w:pPr>
        <w:pStyle w:val="afff6"/>
        <w:ind w:left="1287"/>
      </w:pPr>
    </w:p>
    <w:p w:rsidR="00862055" w:rsidRDefault="00862055" w:rsidP="00862055">
      <w:pPr>
        <w:pStyle w:val="afff6"/>
        <w:keepNext/>
        <w:ind w:left="1287"/>
      </w:pPr>
      <w:r>
        <w:rPr>
          <w:noProof/>
          <w:snapToGrid/>
        </w:rPr>
        <w:drawing>
          <wp:inline distT="0" distB="0" distL="0" distR="0" wp14:anchorId="51D3EA51" wp14:editId="49D1093B">
            <wp:extent cx="3753293" cy="2678632"/>
            <wp:effectExtent l="0" t="0" r="0" b="762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2"/>
                    <a:stretch>
                      <a:fillRect/>
                    </a:stretch>
                  </pic:blipFill>
                  <pic:spPr>
                    <a:xfrm>
                      <a:off x="0" y="0"/>
                      <a:ext cx="3755908" cy="2680498"/>
                    </a:xfrm>
                    <a:prstGeom prst="rect">
                      <a:avLst/>
                    </a:prstGeom>
                  </pic:spPr>
                </pic:pic>
              </a:graphicData>
            </a:graphic>
          </wp:inline>
        </w:drawing>
      </w:r>
    </w:p>
    <w:p w:rsidR="00862055" w:rsidRDefault="00862055" w:rsidP="003724A7">
      <w:pPr>
        <w:pStyle w:val="afff8"/>
        <w:jc w:val="center"/>
      </w:pPr>
      <w:bookmarkStart w:id="1572" w:name="_Toc103180927"/>
      <w:bookmarkStart w:id="1573" w:name="_Toc119584606"/>
      <w:r>
        <w:t xml:space="preserve">Рисунок </w:t>
      </w:r>
      <w:fldSimple w:instr=" SEQ Рисунок \* ARABIC ">
        <w:bookmarkStart w:id="1574" w:name="_Ref108168844"/>
        <w:r w:rsidR="001860A9">
          <w:rPr>
            <w:noProof/>
          </w:rPr>
          <w:t>419</w:t>
        </w:r>
        <w:bookmarkEnd w:id="1574"/>
      </w:fldSimple>
      <w:r>
        <w:t xml:space="preserve"> – Функция «Исключить» для элемента данных</w:t>
      </w:r>
      <w:bookmarkEnd w:id="1572"/>
      <w:bookmarkEnd w:id="1573"/>
    </w:p>
    <w:p w:rsidR="00862055" w:rsidRDefault="00862055" w:rsidP="00862055">
      <w:pPr>
        <w:pStyle w:val="afff6"/>
        <w:ind w:left="1287"/>
      </w:pPr>
    </w:p>
    <w:p w:rsidR="00862055" w:rsidRDefault="00862055" w:rsidP="00862055">
      <w:pPr>
        <w:pStyle w:val="afff6"/>
        <w:ind w:left="1287"/>
      </w:pPr>
      <w:r>
        <w:t>В результате элемент будет исключен</w:t>
      </w:r>
      <w:r w:rsidR="003724A7">
        <w:t xml:space="preserve">, как это видно на рисунке </w:t>
      </w:r>
      <w:r w:rsidR="003724A7">
        <w:fldChar w:fldCharType="begin"/>
      </w:r>
      <w:r w:rsidR="003724A7">
        <w:instrText xml:space="preserve"> REF _Ref108168896 \h </w:instrText>
      </w:r>
      <w:r w:rsidR="003724A7">
        <w:fldChar w:fldCharType="separate"/>
      </w:r>
      <w:r w:rsidR="003724A7">
        <w:rPr>
          <w:noProof/>
        </w:rPr>
        <w:t>420</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735BF42C" wp14:editId="29B330B9">
            <wp:extent cx="4858875" cy="2946718"/>
            <wp:effectExtent l="0" t="0" r="0" b="635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3"/>
                    <a:stretch>
                      <a:fillRect/>
                    </a:stretch>
                  </pic:blipFill>
                  <pic:spPr>
                    <a:xfrm>
                      <a:off x="0" y="0"/>
                      <a:ext cx="4856446" cy="2945245"/>
                    </a:xfrm>
                    <a:prstGeom prst="rect">
                      <a:avLst/>
                    </a:prstGeom>
                  </pic:spPr>
                </pic:pic>
              </a:graphicData>
            </a:graphic>
          </wp:inline>
        </w:drawing>
      </w:r>
    </w:p>
    <w:p w:rsidR="00862055" w:rsidRDefault="00862055" w:rsidP="003724A7">
      <w:pPr>
        <w:pStyle w:val="afff8"/>
        <w:jc w:val="center"/>
      </w:pPr>
      <w:bookmarkStart w:id="1575" w:name="_Toc103180928"/>
      <w:bookmarkStart w:id="1576" w:name="_Toc119584607"/>
      <w:r>
        <w:t xml:space="preserve">Рисунок </w:t>
      </w:r>
      <w:fldSimple w:instr=" SEQ Рисунок \* ARABIC ">
        <w:bookmarkStart w:id="1577" w:name="_Ref108168896"/>
        <w:r w:rsidR="001860A9">
          <w:rPr>
            <w:noProof/>
          </w:rPr>
          <w:t>420</w:t>
        </w:r>
        <w:bookmarkEnd w:id="1577"/>
      </w:fldSimple>
      <w:r>
        <w:t xml:space="preserve"> – Результат функции «Исключить»</w:t>
      </w:r>
      <w:bookmarkEnd w:id="1575"/>
      <w:bookmarkEnd w:id="1576"/>
    </w:p>
    <w:p w:rsidR="00862055" w:rsidRDefault="00862055" w:rsidP="00862055">
      <w:pPr>
        <w:pStyle w:val="afff6"/>
        <w:ind w:left="1287"/>
      </w:pPr>
    </w:p>
    <w:p w:rsidR="00862055" w:rsidRDefault="00862055" w:rsidP="00862055">
      <w:pPr>
        <w:pStyle w:val="afff6"/>
        <w:numPr>
          <w:ilvl w:val="0"/>
          <w:numId w:val="189"/>
        </w:numPr>
      </w:pPr>
      <w:r>
        <w:t xml:space="preserve">Для </w:t>
      </w:r>
      <w:r w:rsidRPr="001543D1">
        <w:t>применения функции «Оставить только» вызвать контекстное меню и выбрать пун</w:t>
      </w:r>
      <w:r w:rsidR="003724A7">
        <w:t xml:space="preserve">кт «Оставить только», как это показано на рисунке </w:t>
      </w:r>
      <w:r w:rsidR="003724A7">
        <w:fldChar w:fldCharType="begin"/>
      </w:r>
      <w:r w:rsidR="003724A7">
        <w:instrText xml:space="preserve"> REF _Ref108168927 \h </w:instrText>
      </w:r>
      <w:r w:rsidR="003724A7">
        <w:fldChar w:fldCharType="separate"/>
      </w:r>
      <w:r w:rsidR="003724A7">
        <w:rPr>
          <w:noProof/>
        </w:rPr>
        <w:t>421</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5A61030B" wp14:editId="56BEB508">
            <wp:extent cx="2923953" cy="1432140"/>
            <wp:effectExtent l="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4"/>
                    <a:stretch>
                      <a:fillRect/>
                    </a:stretch>
                  </pic:blipFill>
                  <pic:spPr>
                    <a:xfrm>
                      <a:off x="0" y="0"/>
                      <a:ext cx="2926533" cy="1433404"/>
                    </a:xfrm>
                    <a:prstGeom prst="rect">
                      <a:avLst/>
                    </a:prstGeom>
                  </pic:spPr>
                </pic:pic>
              </a:graphicData>
            </a:graphic>
          </wp:inline>
        </w:drawing>
      </w:r>
    </w:p>
    <w:p w:rsidR="00862055" w:rsidRDefault="00862055" w:rsidP="003724A7">
      <w:pPr>
        <w:pStyle w:val="afff8"/>
        <w:jc w:val="center"/>
      </w:pPr>
      <w:bookmarkStart w:id="1578" w:name="_Toc103180929"/>
      <w:bookmarkStart w:id="1579" w:name="_Toc119584608"/>
      <w:r>
        <w:t xml:space="preserve">Рисунок </w:t>
      </w:r>
      <w:fldSimple w:instr=" SEQ Рисунок \* ARABIC ">
        <w:bookmarkStart w:id="1580" w:name="_Ref108168927"/>
        <w:r w:rsidR="001860A9">
          <w:rPr>
            <w:noProof/>
          </w:rPr>
          <w:t>421</w:t>
        </w:r>
        <w:bookmarkEnd w:id="1580"/>
      </w:fldSimple>
      <w:r>
        <w:t xml:space="preserve"> – Функция «Оставить только» для элемента данных</w:t>
      </w:r>
      <w:bookmarkEnd w:id="1578"/>
      <w:bookmarkEnd w:id="1579"/>
    </w:p>
    <w:p w:rsidR="00862055" w:rsidRDefault="00862055" w:rsidP="00862055">
      <w:pPr>
        <w:pStyle w:val="afff6"/>
        <w:ind w:left="1287"/>
      </w:pPr>
    </w:p>
    <w:p w:rsidR="00862055" w:rsidRDefault="00862055" w:rsidP="00862055">
      <w:pPr>
        <w:pStyle w:val="afff6"/>
        <w:ind w:left="1287"/>
      </w:pPr>
      <w:r w:rsidRPr="001543D1">
        <w:t xml:space="preserve">В результате в таблице виден лишь тот элемент, к </w:t>
      </w:r>
      <w:r w:rsidR="003724A7">
        <w:t xml:space="preserve">которому была применена функция, как это видно на рисунке </w:t>
      </w:r>
      <w:r w:rsidR="003724A7">
        <w:fldChar w:fldCharType="begin"/>
      </w:r>
      <w:r w:rsidR="003724A7">
        <w:instrText xml:space="preserve"> REF _Ref108168969 \h </w:instrText>
      </w:r>
      <w:r w:rsidR="003724A7">
        <w:fldChar w:fldCharType="separate"/>
      </w:r>
      <w:r w:rsidR="003724A7">
        <w:rPr>
          <w:noProof/>
        </w:rPr>
        <w:t>422</w:t>
      </w:r>
      <w:r w:rsidR="003724A7">
        <w:fldChar w:fldCharType="end"/>
      </w:r>
      <w:r w:rsidR="003724A7">
        <w:t>.</w:t>
      </w:r>
    </w:p>
    <w:p w:rsidR="00862055" w:rsidRDefault="00862055" w:rsidP="00862055">
      <w:pPr>
        <w:pStyle w:val="afff6"/>
        <w:keepNext/>
        <w:ind w:left="1287"/>
        <w:jc w:val="center"/>
      </w:pPr>
      <w:r>
        <w:rPr>
          <w:noProof/>
          <w:snapToGrid/>
        </w:rPr>
        <w:drawing>
          <wp:inline distT="0" distB="0" distL="0" distR="0" wp14:anchorId="6D33CD4B" wp14:editId="7757AAD5">
            <wp:extent cx="5518297" cy="2023015"/>
            <wp:effectExtent l="0" t="0" r="635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5"/>
                    <a:stretch>
                      <a:fillRect/>
                    </a:stretch>
                  </pic:blipFill>
                  <pic:spPr>
                    <a:xfrm>
                      <a:off x="0" y="0"/>
                      <a:ext cx="5515349" cy="2021934"/>
                    </a:xfrm>
                    <a:prstGeom prst="rect">
                      <a:avLst/>
                    </a:prstGeom>
                  </pic:spPr>
                </pic:pic>
              </a:graphicData>
            </a:graphic>
          </wp:inline>
        </w:drawing>
      </w:r>
    </w:p>
    <w:p w:rsidR="00862055" w:rsidRDefault="00862055" w:rsidP="003724A7">
      <w:pPr>
        <w:pStyle w:val="afff8"/>
        <w:jc w:val="center"/>
      </w:pPr>
      <w:bookmarkStart w:id="1581" w:name="_Toc103180930"/>
      <w:bookmarkStart w:id="1582" w:name="_Toc119584609"/>
      <w:r>
        <w:t xml:space="preserve">Рисунок </w:t>
      </w:r>
      <w:fldSimple w:instr=" SEQ Рисунок \* ARABIC ">
        <w:bookmarkStart w:id="1583" w:name="_Ref108168969"/>
        <w:r w:rsidR="001860A9">
          <w:rPr>
            <w:noProof/>
          </w:rPr>
          <w:t>422</w:t>
        </w:r>
        <w:bookmarkEnd w:id="1583"/>
      </w:fldSimple>
      <w:r>
        <w:t xml:space="preserve"> – Результат функции «Оставить только» для элемента данных</w:t>
      </w:r>
      <w:bookmarkEnd w:id="1581"/>
      <w:bookmarkEnd w:id="1582"/>
    </w:p>
    <w:p w:rsidR="00862055" w:rsidRPr="00352BEB" w:rsidRDefault="00862055" w:rsidP="00862055">
      <w:pPr>
        <w:pStyle w:val="-0"/>
      </w:pPr>
    </w:p>
    <w:p w:rsidR="00862055" w:rsidRPr="00206C4C" w:rsidRDefault="00862055" w:rsidP="00862055">
      <w:pPr>
        <w:pStyle w:val="13"/>
        <w:numPr>
          <w:ilvl w:val="0"/>
          <w:numId w:val="0"/>
        </w:numPr>
        <w:ind w:left="992"/>
      </w:pPr>
    </w:p>
    <w:p w:rsidR="002E7433" w:rsidRPr="00206C4C" w:rsidRDefault="002E7433" w:rsidP="00862055">
      <w:pPr>
        <w:pStyle w:val="26"/>
        <w:numPr>
          <w:ilvl w:val="1"/>
          <w:numId w:val="135"/>
        </w:numPr>
      </w:pPr>
      <w:bookmarkStart w:id="1584" w:name="_Toc69290145"/>
      <w:bookmarkStart w:id="1585" w:name="_Toc119585111"/>
      <w:bookmarkEnd w:id="1254"/>
      <w:r>
        <w:t>В</w:t>
      </w:r>
      <w:r w:rsidRPr="00206C4C">
        <w:t>итрин</w:t>
      </w:r>
      <w:r>
        <w:t>а</w:t>
      </w:r>
      <w:r w:rsidRPr="00206C4C">
        <w:t xml:space="preserve"> «Контроль и надзор в финансово-бюджетной сфере»</w:t>
      </w:r>
      <w:bookmarkEnd w:id="1584"/>
      <w:bookmarkEnd w:id="1585"/>
    </w:p>
    <w:p w:rsidR="002E7433" w:rsidRPr="00206C4C" w:rsidRDefault="002E7433" w:rsidP="002E7433">
      <w:pPr>
        <w:pStyle w:val="af0"/>
        <w:rPr>
          <w:rFonts w:eastAsia="Calibri"/>
        </w:rPr>
      </w:pPr>
      <w:r w:rsidRPr="00206C4C">
        <w:rPr>
          <w:rFonts w:eastAsia="Calibri"/>
        </w:rPr>
        <w:t>Витрина содержит данные о сводном рейтинге ГРБС и сведения федеральных реестров: включая реестр жалоб, реестр лицензий, сведения о банкротстве, реестр недобросовестных поставщиков и другие.</w:t>
      </w:r>
    </w:p>
    <w:p w:rsidR="002E7433" w:rsidRPr="00C63CD0" w:rsidRDefault="002E7433" w:rsidP="002E7433">
      <w:pPr>
        <w:pStyle w:val="-"/>
      </w:pPr>
      <w:bookmarkStart w:id="1586" w:name="_Toc37845348"/>
      <w:bookmarkStart w:id="1587" w:name="_Toc69290215"/>
      <w:bookmarkStart w:id="1588" w:name="_Toc119585192"/>
      <w:r w:rsidRPr="00206C4C">
        <w:t xml:space="preserve">Таблица </w:t>
      </w:r>
      <w:fldSimple w:instr=" SEQ Таблица \* ARABIC ">
        <w:r w:rsidR="00BF0BEE">
          <w:rPr>
            <w:noProof/>
          </w:rPr>
          <w:t>51</w:t>
        </w:r>
      </w:fldSimple>
      <w:r w:rsidRPr="00206C4C">
        <w:t xml:space="preserve"> </w:t>
      </w:r>
      <w:r>
        <w:t>–</w:t>
      </w:r>
      <w:r w:rsidRPr="00C63CD0">
        <w:t xml:space="preserve"> </w:t>
      </w:r>
      <w:r w:rsidRPr="00206C4C">
        <w:t>Перечень аналитических отчетов витрины «Контроль и надзор в финансово-бюджетной сфере» и соответствующих таблиц БД</w:t>
      </w:r>
      <w:bookmarkEnd w:id="1586"/>
      <w:bookmarkEnd w:id="1587"/>
      <w:bookmarkEnd w:id="1588"/>
    </w:p>
    <w:tbl>
      <w:tblPr>
        <w:tblStyle w:val="affe"/>
        <w:tblW w:w="0" w:type="auto"/>
        <w:tblLook w:val="04A0" w:firstRow="1" w:lastRow="0" w:firstColumn="1" w:lastColumn="0" w:noHBand="0" w:noVBand="1"/>
      </w:tblPr>
      <w:tblGrid>
        <w:gridCol w:w="2818"/>
        <w:gridCol w:w="2605"/>
        <w:gridCol w:w="4430"/>
      </w:tblGrid>
      <w:tr w:rsidR="002E7433" w:rsidRPr="00206C4C" w:rsidTr="00F168CA">
        <w:trPr>
          <w:tblHeader/>
        </w:trPr>
        <w:tc>
          <w:tcPr>
            <w:tcW w:w="3083" w:type="dxa"/>
            <w:shd w:val="clear" w:color="auto" w:fill="D9D9D9" w:themeFill="background1" w:themeFillShade="D9"/>
            <w:vAlign w:val="center"/>
          </w:tcPr>
          <w:p w:rsidR="002E7433" w:rsidRPr="00206C4C" w:rsidRDefault="002E7433" w:rsidP="00E9324B">
            <w:pPr>
              <w:ind w:firstLine="0"/>
              <w:jc w:val="center"/>
              <w:rPr>
                <w:b/>
              </w:rPr>
            </w:pPr>
            <w:r w:rsidRPr="00206C4C">
              <w:rPr>
                <w:b/>
              </w:rPr>
              <w:t>Наименование аналитического отчета</w:t>
            </w:r>
          </w:p>
        </w:tc>
        <w:tc>
          <w:tcPr>
            <w:tcW w:w="2991" w:type="dxa"/>
            <w:shd w:val="clear" w:color="auto" w:fill="D9D9D9" w:themeFill="background1" w:themeFillShade="D9"/>
            <w:vAlign w:val="center"/>
          </w:tcPr>
          <w:p w:rsidR="002E7433" w:rsidRPr="00206C4C" w:rsidRDefault="002E7433" w:rsidP="00E9324B">
            <w:pPr>
              <w:ind w:firstLine="0"/>
              <w:jc w:val="center"/>
              <w:rPr>
                <w:b/>
              </w:rPr>
            </w:pPr>
            <w:r w:rsidRPr="00206C4C">
              <w:rPr>
                <w:b/>
              </w:rPr>
              <w:t>Код отчета</w:t>
            </w:r>
          </w:p>
        </w:tc>
        <w:tc>
          <w:tcPr>
            <w:tcW w:w="3496" w:type="dxa"/>
            <w:shd w:val="clear" w:color="auto" w:fill="D9D9D9" w:themeFill="background1" w:themeFillShade="D9"/>
            <w:vAlign w:val="center"/>
          </w:tcPr>
          <w:p w:rsidR="002E7433" w:rsidRPr="00206C4C" w:rsidRDefault="002E7433" w:rsidP="00E9324B">
            <w:pPr>
              <w:ind w:firstLine="0"/>
              <w:jc w:val="center"/>
              <w:rPr>
                <w:b/>
              </w:rPr>
            </w:pPr>
            <w:r w:rsidRPr="00206C4C">
              <w:rPr>
                <w:b/>
              </w:rPr>
              <w:t>Название таблицы БД</w:t>
            </w:r>
          </w:p>
        </w:tc>
      </w:tr>
      <w:tr w:rsidR="002E7433" w:rsidRPr="00206C4C" w:rsidTr="00E9324B">
        <w:tc>
          <w:tcPr>
            <w:tcW w:w="3083" w:type="dxa"/>
            <w:vMerge w:val="restart"/>
            <w:vAlign w:val="center"/>
          </w:tcPr>
          <w:p w:rsidR="002E7433" w:rsidRPr="00206C4C" w:rsidRDefault="002E7433" w:rsidP="00E9324B">
            <w:pPr>
              <w:ind w:firstLine="0"/>
            </w:pPr>
            <w:r w:rsidRPr="00206C4C">
              <w:t>Сводный рейтинг ГРБС</w:t>
            </w:r>
          </w:p>
        </w:tc>
        <w:tc>
          <w:tcPr>
            <w:tcW w:w="299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PIAO_124_001_report</w:t>
            </w:r>
          </w:p>
        </w:tc>
        <w:tc>
          <w:tcPr>
            <w:tcW w:w="3496" w:type="dxa"/>
            <w:vAlign w:val="center"/>
          </w:tcPr>
          <w:p w:rsidR="002E7433" w:rsidRPr="00206C4C" w:rsidRDefault="002E7433" w:rsidP="00E9324B">
            <w:pPr>
              <w:ind w:firstLine="0"/>
            </w:pPr>
            <w:r w:rsidRPr="00206C4C">
              <w:t>F_RT_MEANINDEX</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FX_RT_MATCHING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D_VZ44_VIOLATION</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D_RT_ORG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T_RT_GRBS_TEMP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D_EB_TERRITORY</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T_RT_MEANINDEX_GRBS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D_FZ44_VIOLATION_TEMP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T_RT_ORG_TEMP</w:t>
            </w:r>
          </w:p>
        </w:tc>
      </w:tr>
      <w:tr w:rsidR="002E7433" w:rsidRPr="00991B9F"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rPr>
                <w:lang w:val="en-US"/>
              </w:rPr>
            </w:pPr>
            <w:r w:rsidRPr="00206C4C">
              <w:rPr>
                <w:lang w:val="en-US"/>
              </w:rPr>
              <w:t>T_RT_ORG_MAXDATE_TEMP</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T_RT_MEANINDEX_ORG</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T_RT_PERIODS</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T_RT_MAXPERIODMRK</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T_RT_PERIODSMRK</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T_RT_COUNTORG</w:t>
            </w:r>
          </w:p>
        </w:tc>
      </w:tr>
      <w:tr w:rsidR="002E7433" w:rsidRPr="00206C4C" w:rsidTr="00E9324B">
        <w:tc>
          <w:tcPr>
            <w:tcW w:w="3083" w:type="dxa"/>
            <w:vMerge w:val="restart"/>
            <w:vAlign w:val="center"/>
          </w:tcPr>
          <w:p w:rsidR="002E7433" w:rsidRPr="00206C4C" w:rsidRDefault="002E7433" w:rsidP="00E9324B">
            <w:pPr>
              <w:ind w:firstLine="0"/>
            </w:pPr>
            <w:r w:rsidRPr="00206C4C">
              <w:t>Детализация рейтинга ГРБС</w:t>
            </w:r>
          </w:p>
        </w:tc>
        <w:tc>
          <w:tcPr>
            <w:tcW w:w="299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PIAO_124_002_report</w:t>
            </w:r>
          </w:p>
        </w:tc>
        <w:tc>
          <w:tcPr>
            <w:tcW w:w="3496" w:type="dxa"/>
            <w:vAlign w:val="center"/>
          </w:tcPr>
          <w:p w:rsidR="002E7433" w:rsidRPr="00206C4C" w:rsidRDefault="002E7433" w:rsidP="00E9324B">
            <w:pPr>
              <w:ind w:firstLine="0"/>
            </w:pPr>
            <w:r w:rsidRPr="00206C4C">
              <w:t>F_RT_MEANINDEX</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FX_RT_MATCHING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D_VZ44_VIOLATION</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D_RT_ORG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T_RT_GRBS_TEMP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D_EB_TERRITORY</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T_RT_MEANINDEX_GRBS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D_FZ44_VIOLATION_TEMP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T_RT_ORG_TEMP</w:t>
            </w:r>
          </w:p>
        </w:tc>
      </w:tr>
      <w:tr w:rsidR="002E7433" w:rsidRPr="00991B9F"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rPr>
                <w:lang w:val="en-US"/>
              </w:rPr>
            </w:pPr>
            <w:r w:rsidRPr="00206C4C">
              <w:rPr>
                <w:lang w:val="en-US"/>
              </w:rPr>
              <w:t>T_RT_ORG_MAXDATE_TEMP</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T_RT_MEANINDEX_ORG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T_RT_PERIODS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T_RT_MAXPERIODMRK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T_RT_PERIODSMRK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T_RT_COUNTORG</w:t>
            </w:r>
          </w:p>
        </w:tc>
      </w:tr>
      <w:tr w:rsidR="002E7433" w:rsidRPr="00206C4C" w:rsidTr="00E9324B">
        <w:tc>
          <w:tcPr>
            <w:tcW w:w="3083" w:type="dxa"/>
            <w:vMerge w:val="restart"/>
            <w:vAlign w:val="center"/>
          </w:tcPr>
          <w:p w:rsidR="002E7433" w:rsidRPr="00206C4C" w:rsidRDefault="002E7433" w:rsidP="00E9324B">
            <w:pPr>
              <w:ind w:firstLine="0"/>
            </w:pPr>
            <w:r w:rsidRPr="00206C4C">
              <w:t>Сведения о расчете показателей</w:t>
            </w:r>
          </w:p>
        </w:tc>
        <w:tc>
          <w:tcPr>
            <w:tcW w:w="299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PIAO_124_003_report</w:t>
            </w:r>
          </w:p>
        </w:tc>
        <w:tc>
          <w:tcPr>
            <w:tcW w:w="3496" w:type="dxa"/>
            <w:vAlign w:val="center"/>
          </w:tcPr>
          <w:p w:rsidR="002E7433" w:rsidRPr="00206C4C" w:rsidRDefault="002E7433" w:rsidP="00E9324B">
            <w:pPr>
              <w:ind w:firstLine="0"/>
            </w:pPr>
            <w:r w:rsidRPr="00206C4C">
              <w:t>F_RT_MEANINDEX</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FX_RT_MATCHING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D_VZ44_VIOLATION</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D_RT_ORG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T_RT_GRBS_TEMP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D_EB_TERRITORY</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T_RT_MEANINDEX_GRBS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D_FZ44_VIOLATION_TEMP</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T_RT_ORG_TEMP</w:t>
            </w:r>
          </w:p>
        </w:tc>
      </w:tr>
      <w:tr w:rsidR="002E7433" w:rsidRPr="00991B9F"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rPr>
                <w:lang w:val="en-US"/>
              </w:rPr>
            </w:pPr>
            <w:r w:rsidRPr="00206C4C">
              <w:rPr>
                <w:lang w:val="en-US"/>
              </w:rPr>
              <w:t>T_RT_ORG_MAXDATE_TEMP</w:t>
            </w:r>
          </w:p>
        </w:tc>
      </w:tr>
      <w:tr w:rsidR="002E7433" w:rsidRPr="00206C4C" w:rsidTr="00E9324B">
        <w:tc>
          <w:tcPr>
            <w:tcW w:w="3083" w:type="dxa"/>
            <w:vMerge/>
            <w:vAlign w:val="center"/>
          </w:tcPr>
          <w:p w:rsidR="002E7433" w:rsidRPr="00206C4C" w:rsidRDefault="002E7433" w:rsidP="00E9324B">
            <w:pPr>
              <w:rPr>
                <w:lang w:val="en-US"/>
              </w:rPr>
            </w:pPr>
          </w:p>
        </w:tc>
        <w:tc>
          <w:tcPr>
            <w:tcW w:w="2991" w:type="dxa"/>
            <w:vMerge/>
            <w:vAlign w:val="center"/>
          </w:tcPr>
          <w:p w:rsidR="002E7433" w:rsidRPr="00206C4C" w:rsidRDefault="002E7433" w:rsidP="00E9324B">
            <w:pPr>
              <w:jc w:val="left"/>
              <w:rPr>
                <w:snapToGrid/>
                <w:color w:val="auto"/>
                <w:szCs w:val="24"/>
                <w:lang w:val="en-US"/>
              </w:rPr>
            </w:pPr>
          </w:p>
        </w:tc>
        <w:tc>
          <w:tcPr>
            <w:tcW w:w="3496" w:type="dxa"/>
            <w:vAlign w:val="center"/>
          </w:tcPr>
          <w:p w:rsidR="002E7433" w:rsidRPr="00206C4C" w:rsidRDefault="002E7433" w:rsidP="00E9324B">
            <w:pPr>
              <w:ind w:firstLine="0"/>
            </w:pPr>
            <w:r w:rsidRPr="00206C4C">
              <w:t>T_RT_MEANINDEX_ORG</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T_RT_PERIODS</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T_RT_MAXPERIODMRK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T_RT_PERIODSMRK</w:t>
            </w:r>
          </w:p>
        </w:tc>
      </w:tr>
      <w:tr w:rsidR="002E7433" w:rsidRPr="00206C4C" w:rsidTr="00E9324B">
        <w:tc>
          <w:tcPr>
            <w:tcW w:w="3083" w:type="dxa"/>
            <w:vMerge/>
            <w:vAlign w:val="center"/>
          </w:tcPr>
          <w:p w:rsidR="002E7433" w:rsidRPr="00206C4C" w:rsidRDefault="002E7433" w:rsidP="00E9324B"/>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T_RT_COUNTORG</w:t>
            </w:r>
          </w:p>
        </w:tc>
      </w:tr>
      <w:tr w:rsidR="002E7433" w:rsidRPr="00206C4C" w:rsidTr="00E9324B">
        <w:tc>
          <w:tcPr>
            <w:tcW w:w="3083" w:type="dxa"/>
            <w:vAlign w:val="center"/>
          </w:tcPr>
          <w:p w:rsidR="002E7433" w:rsidRPr="00206C4C" w:rsidRDefault="002E7433" w:rsidP="00E9324B">
            <w:pPr>
              <w:ind w:firstLine="0"/>
            </w:pPr>
            <w:r w:rsidRPr="00206C4C">
              <w:t>Сведения федеральных реестров</w:t>
            </w:r>
          </w:p>
        </w:tc>
        <w:tc>
          <w:tcPr>
            <w:tcW w:w="2991" w:type="dxa"/>
            <w:vAlign w:val="center"/>
          </w:tcPr>
          <w:p w:rsidR="002E7433" w:rsidRPr="00206C4C" w:rsidRDefault="002E7433" w:rsidP="00E9324B">
            <w:pPr>
              <w:ind w:firstLine="0"/>
              <w:jc w:val="left"/>
              <w:rPr>
                <w:snapToGrid/>
                <w:color w:val="auto"/>
                <w:szCs w:val="24"/>
              </w:rPr>
            </w:pPr>
            <w:r w:rsidRPr="00206C4C">
              <w:rPr>
                <w:snapToGrid/>
                <w:color w:val="auto"/>
                <w:szCs w:val="24"/>
              </w:rPr>
              <w:t>PIAO_115_001_report</w:t>
            </w:r>
          </w:p>
        </w:tc>
        <w:tc>
          <w:tcPr>
            <w:tcW w:w="3496" w:type="dxa"/>
            <w:vAlign w:val="center"/>
          </w:tcPr>
          <w:p w:rsidR="002E7433" w:rsidRPr="00206C4C" w:rsidRDefault="002E7433" w:rsidP="00E9324B">
            <w:pPr>
              <w:ind w:firstLine="0"/>
            </w:pPr>
            <w:r w:rsidRPr="00206C4C">
              <w:t>FX_PIAO_LICENSE - «Общая информация»</w:t>
            </w:r>
          </w:p>
        </w:tc>
      </w:tr>
      <w:tr w:rsidR="002E7433" w:rsidRPr="00206C4C" w:rsidTr="00E9324B">
        <w:tc>
          <w:tcPr>
            <w:tcW w:w="3083" w:type="dxa"/>
            <w:vAlign w:val="center"/>
          </w:tcPr>
          <w:p w:rsidR="002E7433" w:rsidRPr="00206C4C" w:rsidRDefault="002E7433" w:rsidP="00E9324B">
            <w:pPr>
              <w:ind w:firstLine="0"/>
              <w:jc w:val="left"/>
            </w:pPr>
            <w:r w:rsidRPr="00206C4C">
              <w:t>- Федеральный реестр сведений о банкротстве</w:t>
            </w:r>
          </w:p>
        </w:tc>
        <w:tc>
          <w:tcPr>
            <w:tcW w:w="2991" w:type="dxa"/>
            <w:vMerge w:val="restart"/>
            <w:vAlign w:val="center"/>
          </w:tcPr>
          <w:p w:rsidR="002E7433" w:rsidRPr="00206C4C" w:rsidRDefault="002E7433" w:rsidP="00E9324B">
            <w:pPr>
              <w:ind w:firstLine="0"/>
              <w:jc w:val="left"/>
              <w:rPr>
                <w:snapToGrid/>
                <w:color w:val="auto"/>
                <w:szCs w:val="24"/>
              </w:rPr>
            </w:pPr>
          </w:p>
        </w:tc>
        <w:tc>
          <w:tcPr>
            <w:tcW w:w="3496" w:type="dxa"/>
            <w:vAlign w:val="center"/>
          </w:tcPr>
          <w:p w:rsidR="002E7433" w:rsidRPr="00206C4C" w:rsidRDefault="002E7433" w:rsidP="00E9324B">
            <w:pPr>
              <w:ind w:firstLine="0"/>
              <w:rPr>
                <w:lang w:val="en-US"/>
              </w:rPr>
            </w:pPr>
            <w:r w:rsidRPr="00206C4C">
              <w:t>D_INTF_BANKRUPTS</w:t>
            </w:r>
          </w:p>
        </w:tc>
      </w:tr>
      <w:tr w:rsidR="002E7433" w:rsidRPr="00206C4C" w:rsidTr="00E9324B">
        <w:tc>
          <w:tcPr>
            <w:tcW w:w="3083" w:type="dxa"/>
            <w:vAlign w:val="center"/>
          </w:tcPr>
          <w:p w:rsidR="002E7433" w:rsidRPr="00206C4C" w:rsidRDefault="002E7433" w:rsidP="00E9324B">
            <w:pPr>
              <w:ind w:firstLine="0"/>
              <w:jc w:val="left"/>
            </w:pPr>
            <w:r w:rsidRPr="00206C4C">
              <w:t>-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F_INTF_EFRSDUL</w:t>
            </w:r>
          </w:p>
        </w:tc>
      </w:tr>
      <w:tr w:rsidR="002E7433" w:rsidRPr="00206C4C" w:rsidTr="00E9324B">
        <w:tc>
          <w:tcPr>
            <w:tcW w:w="3083" w:type="dxa"/>
            <w:vAlign w:val="center"/>
          </w:tcPr>
          <w:p w:rsidR="002E7433" w:rsidRPr="00206C4C" w:rsidRDefault="002E7433" w:rsidP="00E9324B">
            <w:pPr>
              <w:ind w:firstLine="0"/>
              <w:jc w:val="left"/>
            </w:pPr>
            <w:r w:rsidRPr="00206C4C">
              <w:t>- Реестр дисквалифицированных лиц</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 xml:space="preserve">T_RDL_REGRECORDS </w:t>
            </w:r>
          </w:p>
        </w:tc>
      </w:tr>
      <w:tr w:rsidR="002E7433" w:rsidRPr="00206C4C" w:rsidTr="00E9324B">
        <w:tc>
          <w:tcPr>
            <w:tcW w:w="3083" w:type="dxa"/>
            <w:vAlign w:val="center"/>
          </w:tcPr>
          <w:p w:rsidR="002E7433" w:rsidRPr="00206C4C" w:rsidRDefault="002E7433" w:rsidP="00E9324B">
            <w:pPr>
              <w:ind w:firstLine="0"/>
              <w:jc w:val="left"/>
            </w:pPr>
            <w:r w:rsidRPr="00206C4C">
              <w:t>- Реестр исполнительных производств юридических лиц</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T_FSSP_TEMP</w:t>
            </w:r>
          </w:p>
        </w:tc>
      </w:tr>
      <w:tr w:rsidR="002E7433" w:rsidRPr="00206C4C" w:rsidTr="00E9324B">
        <w:tc>
          <w:tcPr>
            <w:tcW w:w="3083" w:type="dxa"/>
            <w:vAlign w:val="center"/>
          </w:tcPr>
          <w:p w:rsidR="002E7433" w:rsidRPr="00206C4C" w:rsidRDefault="002E7433" w:rsidP="00E9324B">
            <w:pPr>
              <w:ind w:firstLine="0"/>
              <w:jc w:val="left"/>
            </w:pPr>
            <w:r w:rsidRPr="00206C4C">
              <w:t>- Федеральный информационный реестр гарантирующих поставщиков и зон их деятельности</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F_PIAO_FIRGS</w:t>
            </w:r>
          </w:p>
        </w:tc>
      </w:tr>
      <w:tr w:rsidR="002E7433" w:rsidRPr="00206C4C" w:rsidTr="00E9324B">
        <w:tc>
          <w:tcPr>
            <w:tcW w:w="3083" w:type="dxa"/>
            <w:vAlign w:val="center"/>
          </w:tcPr>
          <w:p w:rsidR="002E7433" w:rsidRPr="00206C4C" w:rsidRDefault="002E7433" w:rsidP="00E9324B">
            <w:pPr>
              <w:ind w:firstLine="0"/>
              <w:jc w:val="left"/>
            </w:pPr>
            <w:r w:rsidRPr="00206C4C">
              <w:t>- Реестр банковских гарантий</w:t>
            </w:r>
          </w:p>
        </w:tc>
        <w:tc>
          <w:tcPr>
            <w:tcW w:w="2991" w:type="dxa"/>
            <w:vMerge/>
            <w:vAlign w:val="center"/>
          </w:tcPr>
          <w:p w:rsidR="002E7433" w:rsidRPr="00206C4C" w:rsidRDefault="002E7433" w:rsidP="00E9324B">
            <w:pPr>
              <w:ind w:firstLine="0"/>
              <w:jc w:val="left"/>
              <w:rPr>
                <w:snapToGrid/>
                <w:color w:val="auto"/>
                <w:szCs w:val="24"/>
              </w:rPr>
            </w:pPr>
          </w:p>
        </w:tc>
        <w:tc>
          <w:tcPr>
            <w:tcW w:w="3496" w:type="dxa"/>
            <w:vAlign w:val="center"/>
          </w:tcPr>
          <w:p w:rsidR="002E7433" w:rsidRPr="00206C4C" w:rsidRDefault="002E7433" w:rsidP="00E9324B">
            <w:pPr>
              <w:ind w:firstLine="0"/>
            </w:pPr>
            <w:r w:rsidRPr="00206C4C">
              <w:t>F_UIS_GUARANTEE</w:t>
            </w:r>
          </w:p>
        </w:tc>
      </w:tr>
      <w:tr w:rsidR="002E7433" w:rsidRPr="00206C4C" w:rsidTr="00E9324B">
        <w:tc>
          <w:tcPr>
            <w:tcW w:w="3083" w:type="dxa"/>
            <w:vAlign w:val="center"/>
          </w:tcPr>
          <w:p w:rsidR="002E7433" w:rsidRPr="00206C4C" w:rsidRDefault="002E7433" w:rsidP="00E9324B">
            <w:pPr>
              <w:ind w:firstLine="0"/>
              <w:jc w:val="left"/>
            </w:pPr>
            <w:r w:rsidRPr="00206C4C">
              <w:t>- Каталог товаров, работ, услуг</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F_TRY_DATA</w:t>
            </w:r>
          </w:p>
        </w:tc>
      </w:tr>
      <w:tr w:rsidR="002E7433" w:rsidRPr="00206C4C" w:rsidTr="00E9324B">
        <w:tc>
          <w:tcPr>
            <w:tcW w:w="3083" w:type="dxa"/>
            <w:vAlign w:val="center"/>
          </w:tcPr>
          <w:p w:rsidR="002E7433" w:rsidRPr="00206C4C" w:rsidRDefault="002E7433" w:rsidP="00E9324B">
            <w:pPr>
              <w:ind w:firstLine="0"/>
              <w:jc w:val="left"/>
            </w:pPr>
            <w:r w:rsidRPr="00206C4C">
              <w:t>- Реестр жалоб</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T_UIS_COMPLNT</w:t>
            </w:r>
          </w:p>
        </w:tc>
      </w:tr>
      <w:tr w:rsidR="002E7433" w:rsidRPr="00206C4C" w:rsidTr="00E9324B">
        <w:tc>
          <w:tcPr>
            <w:tcW w:w="3083" w:type="dxa"/>
            <w:vAlign w:val="center"/>
          </w:tcPr>
          <w:p w:rsidR="002E7433" w:rsidRPr="00206C4C" w:rsidRDefault="002E7433" w:rsidP="00E9324B">
            <w:pPr>
              <w:ind w:firstLine="0"/>
              <w:jc w:val="left"/>
            </w:pPr>
            <w:r w:rsidRPr="00206C4C">
              <w:t>- Реестр плановых и внеплановых проверок</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F_UIS_CHECKLIST</w:t>
            </w:r>
          </w:p>
        </w:tc>
      </w:tr>
      <w:tr w:rsidR="002E7433" w:rsidRPr="00206C4C" w:rsidTr="00E9324B">
        <w:tc>
          <w:tcPr>
            <w:tcW w:w="3083" w:type="dxa"/>
            <w:vAlign w:val="center"/>
          </w:tcPr>
          <w:p w:rsidR="002E7433" w:rsidRPr="00206C4C" w:rsidRDefault="002E7433" w:rsidP="00E9324B">
            <w:pPr>
              <w:ind w:firstLine="0"/>
              <w:jc w:val="left"/>
            </w:pPr>
            <w:r w:rsidRPr="00206C4C">
              <w:t>- Реестр результатов проверок и выданных предписаний</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 xml:space="preserve">F_UIS_RESULT  </w:t>
            </w:r>
          </w:p>
        </w:tc>
      </w:tr>
      <w:tr w:rsidR="002E7433" w:rsidRPr="00206C4C" w:rsidTr="00E9324B">
        <w:tc>
          <w:tcPr>
            <w:tcW w:w="3083" w:type="dxa"/>
            <w:vMerge w:val="restart"/>
            <w:vAlign w:val="center"/>
          </w:tcPr>
          <w:p w:rsidR="002E7433" w:rsidRPr="00206C4C" w:rsidRDefault="002E7433" w:rsidP="00E9324B">
            <w:pPr>
              <w:ind w:firstLine="0"/>
              <w:jc w:val="left"/>
            </w:pPr>
            <w:r w:rsidRPr="00206C4C">
              <w:t xml:space="preserve"> -Реестр недобросовестных поставщиков</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D_UIS_UNFAIRSUPPLIER</w:t>
            </w:r>
          </w:p>
        </w:tc>
      </w:tr>
      <w:tr w:rsidR="002E7433" w:rsidRPr="00206C4C" w:rsidTr="00E9324B">
        <w:tc>
          <w:tcPr>
            <w:tcW w:w="3083" w:type="dxa"/>
            <w:vMerge/>
            <w:vAlign w:val="center"/>
          </w:tcPr>
          <w:p w:rsidR="002E7433" w:rsidRPr="00206C4C" w:rsidRDefault="002E7433" w:rsidP="00E9324B">
            <w:pPr>
              <w:ind w:firstLine="0"/>
              <w:jc w:val="left"/>
            </w:pP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F_UIS_UNSCRUPSUPP</w:t>
            </w:r>
          </w:p>
        </w:tc>
      </w:tr>
      <w:tr w:rsidR="002E7433" w:rsidRPr="00206C4C" w:rsidTr="00E9324B">
        <w:tc>
          <w:tcPr>
            <w:tcW w:w="3083" w:type="dxa"/>
            <w:vMerge w:val="restart"/>
            <w:vAlign w:val="center"/>
          </w:tcPr>
          <w:p w:rsidR="002E7433" w:rsidRPr="00206C4C" w:rsidRDefault="002E7433" w:rsidP="00E9324B">
            <w:pPr>
              <w:ind w:firstLine="0"/>
              <w:jc w:val="left"/>
            </w:pPr>
            <w:r w:rsidRPr="00206C4C">
              <w:t>- Реестры лицензий</w:t>
            </w: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D_RL_ORGANIZATION</w:t>
            </w:r>
          </w:p>
        </w:tc>
      </w:tr>
      <w:tr w:rsidR="002E7433" w:rsidRPr="00206C4C" w:rsidTr="00E9324B">
        <w:tc>
          <w:tcPr>
            <w:tcW w:w="3083" w:type="dxa"/>
            <w:vMerge/>
            <w:vAlign w:val="center"/>
          </w:tcPr>
          <w:p w:rsidR="002E7433" w:rsidRPr="00206C4C" w:rsidRDefault="002E7433" w:rsidP="00E9324B">
            <w:pPr>
              <w:rPr>
                <w:szCs w:val="24"/>
              </w:rPr>
            </w:pP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D_RL_ORGANIZATION</w:t>
            </w:r>
          </w:p>
        </w:tc>
      </w:tr>
      <w:tr w:rsidR="002E7433" w:rsidRPr="00206C4C" w:rsidTr="00E9324B">
        <w:tc>
          <w:tcPr>
            <w:tcW w:w="3083" w:type="dxa"/>
            <w:vMerge/>
            <w:vAlign w:val="center"/>
          </w:tcPr>
          <w:p w:rsidR="002E7433" w:rsidRPr="00206C4C" w:rsidRDefault="002E7433" w:rsidP="00E9324B">
            <w:pPr>
              <w:rPr>
                <w:szCs w:val="24"/>
              </w:rPr>
            </w:pP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R_RL_LICENSEOPERATE</w:t>
            </w:r>
          </w:p>
        </w:tc>
      </w:tr>
      <w:tr w:rsidR="002E7433" w:rsidRPr="00206C4C" w:rsidTr="00E9324B">
        <w:tc>
          <w:tcPr>
            <w:tcW w:w="3083" w:type="dxa"/>
            <w:vMerge/>
            <w:vAlign w:val="center"/>
          </w:tcPr>
          <w:p w:rsidR="002E7433" w:rsidRPr="00206C4C" w:rsidRDefault="002E7433" w:rsidP="00E9324B">
            <w:pPr>
              <w:rPr>
                <w:szCs w:val="24"/>
              </w:rPr>
            </w:pP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D_RL_LOCAL</w:t>
            </w:r>
          </w:p>
        </w:tc>
      </w:tr>
      <w:tr w:rsidR="002E7433" w:rsidRPr="00206C4C" w:rsidTr="00E9324B">
        <w:tc>
          <w:tcPr>
            <w:tcW w:w="3083" w:type="dxa"/>
            <w:vMerge/>
            <w:vAlign w:val="center"/>
          </w:tcPr>
          <w:p w:rsidR="002E7433" w:rsidRPr="00206C4C" w:rsidRDefault="002E7433" w:rsidP="00E9324B">
            <w:pPr>
              <w:rPr>
                <w:szCs w:val="24"/>
              </w:rPr>
            </w:pPr>
          </w:p>
        </w:tc>
        <w:tc>
          <w:tcPr>
            <w:tcW w:w="2991" w:type="dxa"/>
            <w:vMerge/>
            <w:vAlign w:val="center"/>
          </w:tcPr>
          <w:p w:rsidR="002E7433" w:rsidRPr="00206C4C" w:rsidRDefault="002E7433" w:rsidP="00E9324B">
            <w:pPr>
              <w:jc w:val="left"/>
              <w:rPr>
                <w:snapToGrid/>
                <w:color w:val="auto"/>
                <w:szCs w:val="24"/>
              </w:rPr>
            </w:pPr>
          </w:p>
        </w:tc>
        <w:tc>
          <w:tcPr>
            <w:tcW w:w="3496" w:type="dxa"/>
            <w:vAlign w:val="center"/>
          </w:tcPr>
          <w:p w:rsidR="002E7433" w:rsidRPr="00206C4C" w:rsidRDefault="002E7433" w:rsidP="00E9324B">
            <w:pPr>
              <w:ind w:firstLine="0"/>
            </w:pPr>
            <w:r w:rsidRPr="00206C4C">
              <w:t>D_RL_REGISTERS</w:t>
            </w:r>
          </w:p>
        </w:tc>
      </w:tr>
      <w:tr w:rsidR="002E7433" w:rsidRPr="001004FD" w:rsidTr="00E9324B">
        <w:tc>
          <w:tcPr>
            <w:tcW w:w="3083" w:type="dxa"/>
            <w:vAlign w:val="center"/>
          </w:tcPr>
          <w:p w:rsidR="002E7433" w:rsidRPr="00206C4C" w:rsidRDefault="002E7433" w:rsidP="00E9324B">
            <w:pPr>
              <w:ind w:firstLine="0"/>
              <w:rPr>
                <w:szCs w:val="24"/>
              </w:rPr>
            </w:pPr>
            <w:r>
              <w:rPr>
                <w:szCs w:val="24"/>
              </w:rPr>
              <w:t>Паспорт объекта контроля</w:t>
            </w:r>
          </w:p>
        </w:tc>
        <w:tc>
          <w:tcPr>
            <w:tcW w:w="2991" w:type="dxa"/>
            <w:vAlign w:val="center"/>
          </w:tcPr>
          <w:p w:rsidR="002E7433" w:rsidRPr="00206C4C" w:rsidRDefault="002E7433" w:rsidP="00E9324B">
            <w:pPr>
              <w:ind w:firstLine="0"/>
              <w:jc w:val="left"/>
              <w:rPr>
                <w:snapToGrid/>
                <w:color w:val="auto"/>
                <w:szCs w:val="24"/>
              </w:rPr>
            </w:pPr>
            <w:r>
              <w:t>PIAO_162_001_report</w:t>
            </w:r>
          </w:p>
        </w:tc>
        <w:tc>
          <w:tcPr>
            <w:tcW w:w="3496" w:type="dxa"/>
            <w:vMerge w:val="restart"/>
            <w:vAlign w:val="center"/>
          </w:tcPr>
          <w:p w:rsidR="002E7433" w:rsidRPr="00890DD0" w:rsidRDefault="002E7433" w:rsidP="00E9324B">
            <w:pPr>
              <w:ind w:firstLine="0"/>
              <w:rPr>
                <w:lang w:val="en-US"/>
              </w:rPr>
            </w:pPr>
            <w:r w:rsidRPr="00890DD0">
              <w:rPr>
                <w:lang w:val="en-US"/>
              </w:rPr>
              <w:t xml:space="preserve">D_RT_FAIP  </w:t>
            </w:r>
          </w:p>
          <w:p w:rsidR="002E7433" w:rsidRPr="00890DD0" w:rsidRDefault="002E7433" w:rsidP="00E9324B">
            <w:pPr>
              <w:ind w:firstLine="0"/>
              <w:rPr>
                <w:lang w:val="en-US"/>
              </w:rPr>
            </w:pPr>
            <w:r w:rsidRPr="00890DD0">
              <w:rPr>
                <w:lang w:val="en-US"/>
              </w:rPr>
              <w:t>D_RT_GOSPROG</w:t>
            </w:r>
          </w:p>
          <w:p w:rsidR="002E7433" w:rsidRPr="00890DD0" w:rsidRDefault="002E7433" w:rsidP="00E9324B">
            <w:pPr>
              <w:ind w:firstLine="0"/>
              <w:rPr>
                <w:lang w:val="en-US"/>
              </w:rPr>
            </w:pPr>
            <w:r w:rsidRPr="00890DD0">
              <w:rPr>
                <w:lang w:val="en-US"/>
              </w:rPr>
              <w:t>D_RT_GRBS</w:t>
            </w:r>
          </w:p>
          <w:p w:rsidR="002E7433" w:rsidRPr="00890DD0" w:rsidRDefault="002E7433" w:rsidP="00E9324B">
            <w:pPr>
              <w:ind w:firstLine="0"/>
              <w:rPr>
                <w:lang w:val="en-US"/>
              </w:rPr>
            </w:pPr>
            <w:r w:rsidRPr="00890DD0">
              <w:rPr>
                <w:lang w:val="en-US"/>
              </w:rPr>
              <w:t>D_RT_MRK</w:t>
            </w:r>
          </w:p>
          <w:p w:rsidR="002E7433" w:rsidRPr="00890DD0" w:rsidRDefault="002E7433" w:rsidP="00E9324B">
            <w:pPr>
              <w:ind w:firstLine="0"/>
              <w:rPr>
                <w:lang w:val="en-US"/>
              </w:rPr>
            </w:pPr>
            <w:r w:rsidRPr="00890DD0">
              <w:rPr>
                <w:lang w:val="en-US"/>
              </w:rPr>
              <w:t>D_RT_NATIONALPROJECT</w:t>
            </w:r>
          </w:p>
          <w:p w:rsidR="002E7433" w:rsidRPr="00890DD0" w:rsidRDefault="002E7433" w:rsidP="00E9324B">
            <w:pPr>
              <w:ind w:firstLine="0"/>
              <w:rPr>
                <w:lang w:val="en-US"/>
              </w:rPr>
            </w:pPr>
            <w:r w:rsidRPr="00890DD0">
              <w:rPr>
                <w:lang w:val="en-US"/>
              </w:rPr>
              <w:t>D_RT_ORG</w:t>
            </w:r>
          </w:p>
          <w:p w:rsidR="002E7433" w:rsidRPr="00890DD0" w:rsidRDefault="002E7433" w:rsidP="00E9324B">
            <w:pPr>
              <w:ind w:firstLine="0"/>
              <w:rPr>
                <w:lang w:val="en-US"/>
              </w:rPr>
            </w:pPr>
            <w:r w:rsidRPr="00890DD0">
              <w:rPr>
                <w:lang w:val="en-US"/>
              </w:rPr>
              <w:t>D_RT_ORG_KBK</w:t>
            </w:r>
          </w:p>
          <w:p w:rsidR="002E7433" w:rsidRPr="00890DD0" w:rsidRDefault="002E7433" w:rsidP="00E9324B">
            <w:pPr>
              <w:ind w:firstLine="0"/>
              <w:rPr>
                <w:lang w:val="en-US"/>
              </w:rPr>
            </w:pPr>
            <w:r w:rsidRPr="00890DD0">
              <w:rPr>
                <w:lang w:val="en-US"/>
              </w:rPr>
              <w:t>D_RT_PARAMETERS</w:t>
            </w:r>
          </w:p>
          <w:p w:rsidR="002E7433" w:rsidRPr="00890DD0" w:rsidRDefault="002E7433" w:rsidP="00E9324B">
            <w:pPr>
              <w:ind w:firstLine="0"/>
              <w:rPr>
                <w:lang w:val="en-US"/>
              </w:rPr>
            </w:pPr>
            <w:r w:rsidRPr="00890DD0">
              <w:rPr>
                <w:lang w:val="en-US"/>
              </w:rPr>
              <w:t>D_RT_PURCASERATE</w:t>
            </w:r>
          </w:p>
          <w:p w:rsidR="002E7433" w:rsidRPr="00890DD0" w:rsidRDefault="002E7433" w:rsidP="00E9324B">
            <w:pPr>
              <w:ind w:firstLine="0"/>
              <w:rPr>
                <w:lang w:val="en-US"/>
              </w:rPr>
            </w:pPr>
            <w:r w:rsidRPr="00890DD0">
              <w:rPr>
                <w:lang w:val="en-US"/>
              </w:rPr>
              <w:t>D_RT_TERRITORY</w:t>
            </w:r>
          </w:p>
          <w:p w:rsidR="002E7433" w:rsidRPr="00890DD0" w:rsidRDefault="002E7433" w:rsidP="00E9324B">
            <w:pPr>
              <w:ind w:firstLine="0"/>
              <w:rPr>
                <w:lang w:val="en-US"/>
              </w:rPr>
            </w:pPr>
            <w:r w:rsidRPr="00890DD0">
              <w:rPr>
                <w:lang w:val="en-US"/>
              </w:rPr>
              <w:t>F_RT_MEANINDEX</w:t>
            </w:r>
          </w:p>
          <w:p w:rsidR="002E7433" w:rsidRPr="00890DD0" w:rsidRDefault="002E7433" w:rsidP="00E9324B">
            <w:pPr>
              <w:ind w:firstLine="0"/>
              <w:rPr>
                <w:lang w:val="en-US"/>
              </w:rPr>
            </w:pPr>
            <w:r w:rsidRPr="00890DD0">
              <w:rPr>
                <w:lang w:val="en-US"/>
              </w:rPr>
              <w:t>F_RT_MEANINDEX_BAK</w:t>
            </w:r>
          </w:p>
          <w:p w:rsidR="002E7433" w:rsidRPr="001004FD" w:rsidRDefault="002E7433" w:rsidP="00E9324B">
            <w:pPr>
              <w:ind w:firstLine="0"/>
              <w:rPr>
                <w:lang w:val="en-US"/>
              </w:rPr>
            </w:pPr>
            <w:r w:rsidRPr="001004FD">
              <w:rPr>
                <w:lang w:val="en-US"/>
              </w:rPr>
              <w:t>FX_RT_MATCHING</w:t>
            </w:r>
          </w:p>
          <w:p w:rsidR="002E7433" w:rsidRPr="00E77706" w:rsidRDefault="002E7433" w:rsidP="00E9324B">
            <w:pPr>
              <w:ind w:firstLine="0"/>
              <w:rPr>
                <w:lang w:val="en-US"/>
              </w:rPr>
            </w:pPr>
            <w:r w:rsidRPr="00E77706">
              <w:rPr>
                <w:lang w:val="en-US"/>
              </w:rPr>
              <w:t>FX_RT_RISKGATEGORY</w:t>
            </w:r>
          </w:p>
          <w:p w:rsidR="002E7433" w:rsidRPr="00E77706" w:rsidRDefault="002E7433" w:rsidP="00E9324B">
            <w:pPr>
              <w:ind w:firstLine="0"/>
              <w:rPr>
                <w:lang w:val="en-US"/>
              </w:rPr>
            </w:pPr>
            <w:r w:rsidRPr="00E77706">
              <w:rPr>
                <w:lang w:val="en-US"/>
              </w:rPr>
              <w:t>T_RT_ANNULMENTPAYDOC</w:t>
            </w:r>
          </w:p>
          <w:p w:rsidR="002E7433" w:rsidRPr="00E77706" w:rsidRDefault="002E7433" w:rsidP="00E9324B">
            <w:pPr>
              <w:ind w:firstLine="0"/>
              <w:rPr>
                <w:lang w:val="en-US"/>
              </w:rPr>
            </w:pPr>
            <w:r w:rsidRPr="00E77706">
              <w:rPr>
                <w:lang w:val="en-US"/>
              </w:rPr>
              <w:t>T_RT_BSRFRISK</w:t>
            </w:r>
          </w:p>
          <w:p w:rsidR="002E7433" w:rsidRPr="00E77706" w:rsidRDefault="002E7433" w:rsidP="00E9324B">
            <w:pPr>
              <w:ind w:firstLine="0"/>
              <w:rPr>
                <w:lang w:val="en-US"/>
              </w:rPr>
            </w:pPr>
            <w:r w:rsidRPr="00E77706">
              <w:rPr>
                <w:lang w:val="en-US"/>
              </w:rPr>
              <w:t>T_RT_CALCULRESBALL</w:t>
            </w:r>
          </w:p>
          <w:p w:rsidR="002E7433" w:rsidRPr="00E77706" w:rsidRDefault="002E7433" w:rsidP="00E9324B">
            <w:pPr>
              <w:ind w:firstLine="0"/>
              <w:rPr>
                <w:lang w:val="en-US"/>
              </w:rPr>
            </w:pPr>
            <w:r w:rsidRPr="00E77706">
              <w:rPr>
                <w:lang w:val="en-US"/>
              </w:rPr>
              <w:t>T_RT_CALCULRESULT</w:t>
            </w:r>
          </w:p>
          <w:p w:rsidR="002E7433" w:rsidRPr="00E77706" w:rsidRDefault="002E7433" w:rsidP="00E9324B">
            <w:pPr>
              <w:ind w:firstLine="0"/>
              <w:rPr>
                <w:lang w:val="en-US"/>
              </w:rPr>
            </w:pPr>
            <w:r w:rsidRPr="00E77706">
              <w:rPr>
                <w:lang w:val="en-US"/>
              </w:rPr>
              <w:t>T_RT_CHANCE</w:t>
            </w:r>
          </w:p>
          <w:p w:rsidR="002E7433" w:rsidRPr="00E77706" w:rsidRDefault="002E7433" w:rsidP="00E9324B">
            <w:pPr>
              <w:ind w:firstLine="0"/>
              <w:rPr>
                <w:lang w:val="en-US"/>
              </w:rPr>
            </w:pPr>
            <w:r w:rsidRPr="00E77706">
              <w:rPr>
                <w:lang w:val="en-US"/>
              </w:rPr>
              <w:t>T_RT_CLIENT</w:t>
            </w:r>
          </w:p>
          <w:p w:rsidR="002E7433" w:rsidRPr="00E77706" w:rsidRDefault="002E7433" w:rsidP="00E9324B">
            <w:pPr>
              <w:ind w:firstLine="0"/>
              <w:rPr>
                <w:lang w:val="en-US"/>
              </w:rPr>
            </w:pPr>
            <w:r w:rsidRPr="00E77706">
              <w:rPr>
                <w:lang w:val="en-US"/>
              </w:rPr>
              <w:t>T_RT_CONTRACTRESALL</w:t>
            </w:r>
          </w:p>
          <w:p w:rsidR="002E7433" w:rsidRPr="00E77706" w:rsidRDefault="002E7433" w:rsidP="00E9324B">
            <w:pPr>
              <w:ind w:firstLine="0"/>
              <w:rPr>
                <w:lang w:val="en-US"/>
              </w:rPr>
            </w:pPr>
            <w:r w:rsidRPr="00E77706">
              <w:rPr>
                <w:lang w:val="en-US"/>
              </w:rPr>
              <w:t>T_RT_COUNTORG</w:t>
            </w:r>
          </w:p>
          <w:p w:rsidR="002E7433" w:rsidRPr="00E77706" w:rsidRDefault="002E7433" w:rsidP="00E9324B">
            <w:pPr>
              <w:ind w:firstLine="0"/>
              <w:rPr>
                <w:lang w:val="en-US"/>
              </w:rPr>
            </w:pPr>
            <w:r w:rsidRPr="00E77706">
              <w:rPr>
                <w:lang w:val="en-US"/>
              </w:rPr>
              <w:t>T_RT_CRIDIT</w:t>
            </w:r>
          </w:p>
          <w:p w:rsidR="002E7433" w:rsidRPr="00E77706" w:rsidRDefault="002E7433" w:rsidP="00E9324B">
            <w:pPr>
              <w:ind w:firstLine="0"/>
              <w:rPr>
                <w:lang w:val="en-US"/>
              </w:rPr>
            </w:pPr>
            <w:r w:rsidRPr="00E77706">
              <w:rPr>
                <w:lang w:val="en-US"/>
              </w:rPr>
              <w:t>T_RT_DEBET</w:t>
            </w:r>
          </w:p>
          <w:p w:rsidR="002E7433" w:rsidRPr="00E77706" w:rsidRDefault="002E7433" w:rsidP="00E9324B">
            <w:pPr>
              <w:ind w:firstLine="0"/>
              <w:rPr>
                <w:lang w:val="en-US"/>
              </w:rPr>
            </w:pPr>
            <w:r w:rsidRPr="00E77706">
              <w:rPr>
                <w:lang w:val="en-US"/>
              </w:rPr>
              <w:t>T_RT_DKZSUMM</w:t>
            </w:r>
          </w:p>
          <w:p w:rsidR="002E7433" w:rsidRPr="00890DD0" w:rsidRDefault="002E7433" w:rsidP="00E9324B">
            <w:pPr>
              <w:ind w:firstLine="0"/>
              <w:rPr>
                <w:lang w:val="en-US"/>
              </w:rPr>
            </w:pPr>
            <w:r w:rsidRPr="00890DD0">
              <w:rPr>
                <w:lang w:val="en-US"/>
              </w:rPr>
              <w:t>T_RT_ESSENTIALITY</w:t>
            </w:r>
          </w:p>
          <w:p w:rsidR="002E7433" w:rsidRPr="00940AFB" w:rsidRDefault="002E7433" w:rsidP="00E9324B">
            <w:pPr>
              <w:ind w:firstLine="0"/>
              <w:rPr>
                <w:lang w:val="en-US"/>
              </w:rPr>
            </w:pPr>
            <w:r w:rsidRPr="00940AFB">
              <w:rPr>
                <w:lang w:val="en-US"/>
              </w:rPr>
              <w:t>T_RT_EVENTNAME</w:t>
            </w:r>
          </w:p>
          <w:p w:rsidR="002E7433" w:rsidRPr="00940AFB" w:rsidRDefault="002E7433" w:rsidP="00E9324B">
            <w:pPr>
              <w:ind w:firstLine="0"/>
              <w:rPr>
                <w:lang w:val="en-US"/>
              </w:rPr>
            </w:pPr>
            <w:r w:rsidRPr="00940AFB">
              <w:rPr>
                <w:lang w:val="en-US"/>
              </w:rPr>
              <w:t>T_RT_FAIP</w:t>
            </w:r>
          </w:p>
          <w:p w:rsidR="002E7433" w:rsidRPr="00940AFB" w:rsidRDefault="002E7433" w:rsidP="00E9324B">
            <w:pPr>
              <w:ind w:firstLine="0"/>
              <w:rPr>
                <w:lang w:val="en-US"/>
              </w:rPr>
            </w:pPr>
            <w:r w:rsidRPr="00940AFB">
              <w:rPr>
                <w:lang w:val="en-US"/>
              </w:rPr>
              <w:t>T_RT_FAIPCODE</w:t>
            </w:r>
          </w:p>
          <w:p w:rsidR="002E7433" w:rsidRPr="00940AFB" w:rsidRDefault="002E7433" w:rsidP="00E9324B">
            <w:pPr>
              <w:ind w:firstLine="0"/>
              <w:rPr>
                <w:lang w:val="en-US"/>
              </w:rPr>
            </w:pPr>
            <w:r w:rsidRPr="00940AFB">
              <w:rPr>
                <w:lang w:val="en-US"/>
              </w:rPr>
              <w:t>T_RT_GOSPROGG</w:t>
            </w:r>
          </w:p>
          <w:p w:rsidR="002E7433" w:rsidRPr="00940AFB" w:rsidRDefault="002E7433" w:rsidP="00E9324B">
            <w:pPr>
              <w:ind w:firstLine="0"/>
              <w:rPr>
                <w:lang w:val="en-US"/>
              </w:rPr>
            </w:pPr>
            <w:r w:rsidRPr="00940AFB">
              <w:rPr>
                <w:lang w:val="en-US"/>
              </w:rPr>
              <w:t>T_RT_GOSPROGGSUMM</w:t>
            </w:r>
          </w:p>
          <w:p w:rsidR="002E7433" w:rsidRPr="00940AFB" w:rsidRDefault="002E7433" w:rsidP="00E9324B">
            <w:pPr>
              <w:ind w:firstLine="0"/>
              <w:rPr>
                <w:lang w:val="en-US"/>
              </w:rPr>
            </w:pPr>
            <w:r w:rsidRPr="00940AFB">
              <w:rPr>
                <w:lang w:val="en-US"/>
              </w:rPr>
              <w:t>T_RT_INCOMEALLGRBS</w:t>
            </w:r>
          </w:p>
          <w:p w:rsidR="002E7433" w:rsidRPr="00940AFB" w:rsidRDefault="002E7433" w:rsidP="00E9324B">
            <w:pPr>
              <w:ind w:firstLine="0"/>
              <w:rPr>
                <w:lang w:val="en-US"/>
              </w:rPr>
            </w:pPr>
            <w:r w:rsidRPr="00940AFB">
              <w:rPr>
                <w:lang w:val="en-US"/>
              </w:rPr>
              <w:t>T_RT_INCOMEPCODEREESTR_IND</w:t>
            </w:r>
          </w:p>
          <w:p w:rsidR="002E7433" w:rsidRPr="00940AFB" w:rsidRDefault="002E7433" w:rsidP="00E9324B">
            <w:pPr>
              <w:ind w:firstLine="0"/>
              <w:rPr>
                <w:lang w:val="en-US"/>
              </w:rPr>
            </w:pPr>
            <w:r w:rsidRPr="00940AFB">
              <w:rPr>
                <w:lang w:val="en-US"/>
              </w:rPr>
              <w:t>T_RT_INCOMEYEARDAY_IND</w:t>
            </w:r>
          </w:p>
          <w:p w:rsidR="002E7433" w:rsidRPr="00940AFB" w:rsidRDefault="002E7433" w:rsidP="00E9324B">
            <w:pPr>
              <w:ind w:firstLine="0"/>
              <w:rPr>
                <w:lang w:val="en-US"/>
              </w:rPr>
            </w:pPr>
            <w:r w:rsidRPr="00940AFB">
              <w:rPr>
                <w:lang w:val="en-US"/>
              </w:rPr>
              <w:t>T_RT_MAXGOSPROG</w:t>
            </w:r>
          </w:p>
          <w:p w:rsidR="002E7433" w:rsidRPr="00940AFB" w:rsidRDefault="002E7433" w:rsidP="00E9324B">
            <w:pPr>
              <w:ind w:firstLine="0"/>
              <w:rPr>
                <w:lang w:val="en-US"/>
              </w:rPr>
            </w:pPr>
            <w:r w:rsidRPr="00940AFB">
              <w:rPr>
                <w:lang w:val="en-US"/>
              </w:rPr>
              <w:t>T_RT_MAXPERIODMRK</w:t>
            </w:r>
          </w:p>
          <w:p w:rsidR="002E7433" w:rsidRPr="00940AFB" w:rsidRDefault="002E7433" w:rsidP="00E9324B">
            <w:pPr>
              <w:ind w:firstLine="0"/>
              <w:rPr>
                <w:lang w:val="en-US"/>
              </w:rPr>
            </w:pPr>
            <w:r w:rsidRPr="00940AFB">
              <w:rPr>
                <w:lang w:val="en-US"/>
              </w:rPr>
              <w:t>T_RT_MAXPERIODMRK_RTMRK_ID_I</w:t>
            </w:r>
          </w:p>
          <w:p w:rsidR="002E7433" w:rsidRPr="00940AFB" w:rsidRDefault="002E7433" w:rsidP="00E9324B">
            <w:pPr>
              <w:ind w:firstLine="0"/>
              <w:rPr>
                <w:lang w:val="en-US"/>
              </w:rPr>
            </w:pPr>
            <w:r w:rsidRPr="00940AFB">
              <w:rPr>
                <w:lang w:val="en-US"/>
              </w:rPr>
              <w:t>T_RT_MEANINDEX_GRBS</w:t>
            </w:r>
          </w:p>
          <w:p w:rsidR="002E7433" w:rsidRPr="00940AFB" w:rsidRDefault="002E7433" w:rsidP="00E9324B">
            <w:pPr>
              <w:ind w:firstLine="0"/>
              <w:rPr>
                <w:lang w:val="en-US"/>
              </w:rPr>
            </w:pPr>
            <w:r w:rsidRPr="00940AFB">
              <w:rPr>
                <w:lang w:val="en-US"/>
              </w:rPr>
              <w:t>T_RT_MEANINDEX_ORG</w:t>
            </w:r>
          </w:p>
          <w:p w:rsidR="002E7433" w:rsidRPr="00890DD0" w:rsidRDefault="002E7433" w:rsidP="00E9324B">
            <w:pPr>
              <w:ind w:firstLine="0"/>
              <w:rPr>
                <w:lang w:val="en-US"/>
              </w:rPr>
            </w:pPr>
            <w:r w:rsidRPr="00890DD0">
              <w:rPr>
                <w:lang w:val="en-US"/>
              </w:rPr>
              <w:t>T_RT_NATIONALPROJECT</w:t>
            </w:r>
          </w:p>
          <w:p w:rsidR="002E7433" w:rsidRPr="00890DD0" w:rsidRDefault="002E7433" w:rsidP="00E9324B">
            <w:pPr>
              <w:ind w:firstLine="0"/>
              <w:rPr>
                <w:lang w:val="en-US"/>
              </w:rPr>
            </w:pPr>
            <w:r w:rsidRPr="00890DD0">
              <w:rPr>
                <w:lang w:val="en-US"/>
              </w:rPr>
              <w:t>T_RT_OKOPFNSI</w:t>
            </w:r>
          </w:p>
          <w:p w:rsidR="002E7433" w:rsidRPr="00890DD0" w:rsidRDefault="002E7433" w:rsidP="00E9324B">
            <w:pPr>
              <w:ind w:firstLine="0"/>
              <w:rPr>
                <w:lang w:val="en-US"/>
              </w:rPr>
            </w:pPr>
            <w:r w:rsidRPr="00890DD0">
              <w:rPr>
                <w:lang w:val="en-US"/>
              </w:rPr>
              <w:t>T_RT_OKVEDCODE</w:t>
            </w:r>
          </w:p>
          <w:p w:rsidR="002E7433" w:rsidRPr="00841556" w:rsidRDefault="002E7433" w:rsidP="00E9324B">
            <w:pPr>
              <w:ind w:firstLine="0"/>
              <w:rPr>
                <w:lang w:val="en-US"/>
              </w:rPr>
            </w:pPr>
            <w:r w:rsidRPr="00841556">
              <w:rPr>
                <w:lang w:val="en-US"/>
              </w:rPr>
              <w:t>T_RT_OUTCOMEALLGRBS</w:t>
            </w:r>
          </w:p>
          <w:p w:rsidR="002E7433" w:rsidRPr="00841556" w:rsidRDefault="002E7433" w:rsidP="00E9324B">
            <w:pPr>
              <w:ind w:firstLine="0"/>
              <w:rPr>
                <w:lang w:val="en-US"/>
              </w:rPr>
            </w:pPr>
            <w:r w:rsidRPr="00841556">
              <w:rPr>
                <w:lang w:val="en-US"/>
              </w:rPr>
              <w:t>T_RT_PARAMETERS</w:t>
            </w:r>
          </w:p>
          <w:p w:rsidR="002E7433" w:rsidRPr="00841556" w:rsidRDefault="002E7433" w:rsidP="00E9324B">
            <w:pPr>
              <w:ind w:firstLine="0"/>
              <w:rPr>
                <w:lang w:val="en-US"/>
              </w:rPr>
            </w:pPr>
            <w:r w:rsidRPr="00841556">
              <w:rPr>
                <w:lang w:val="en-US"/>
              </w:rPr>
              <w:t>T_RT_PERIODS</w:t>
            </w:r>
          </w:p>
          <w:p w:rsidR="002E7433" w:rsidRPr="00841556" w:rsidRDefault="002E7433" w:rsidP="00E9324B">
            <w:pPr>
              <w:ind w:firstLine="0"/>
              <w:rPr>
                <w:lang w:val="en-US"/>
              </w:rPr>
            </w:pPr>
            <w:r w:rsidRPr="00841556">
              <w:rPr>
                <w:lang w:val="en-US"/>
              </w:rPr>
              <w:t>T_RT_PERIODMRK</w:t>
            </w:r>
          </w:p>
          <w:p w:rsidR="002E7433" w:rsidRPr="00841556" w:rsidRDefault="002E7433" w:rsidP="00E9324B">
            <w:pPr>
              <w:ind w:firstLine="0"/>
              <w:rPr>
                <w:lang w:val="en-US"/>
              </w:rPr>
            </w:pPr>
            <w:r w:rsidRPr="00841556">
              <w:rPr>
                <w:lang w:val="en-US"/>
              </w:rPr>
              <w:t>T_RT_RATINGTOTAL</w:t>
            </w:r>
          </w:p>
          <w:p w:rsidR="002E7433" w:rsidRPr="00841556" w:rsidRDefault="002E7433" w:rsidP="00E9324B">
            <w:pPr>
              <w:ind w:firstLine="0"/>
              <w:rPr>
                <w:lang w:val="en-US"/>
              </w:rPr>
            </w:pPr>
            <w:r w:rsidRPr="00841556">
              <w:rPr>
                <w:lang w:val="en-US"/>
              </w:rPr>
              <w:t>T_RT_RATINGTOTALSTR</w:t>
            </w:r>
          </w:p>
          <w:p w:rsidR="002E7433" w:rsidRPr="00841556" w:rsidRDefault="002E7433" w:rsidP="00E9324B">
            <w:pPr>
              <w:ind w:firstLine="0"/>
              <w:rPr>
                <w:lang w:val="en-US"/>
              </w:rPr>
            </w:pPr>
            <w:r w:rsidRPr="00841556">
              <w:rPr>
                <w:lang w:val="en-US"/>
              </w:rPr>
              <w:t>T_RT_SOURSEALLGRBS</w:t>
            </w:r>
          </w:p>
          <w:p w:rsidR="002E7433" w:rsidRPr="00841556" w:rsidRDefault="002E7433" w:rsidP="00E9324B">
            <w:pPr>
              <w:ind w:firstLine="0"/>
              <w:rPr>
                <w:lang w:val="en-US"/>
              </w:rPr>
            </w:pPr>
            <w:r w:rsidRPr="00841556">
              <w:rPr>
                <w:lang w:val="en-US"/>
              </w:rPr>
              <w:t>T_RT_VIOLCHAPTER</w:t>
            </w:r>
          </w:p>
          <w:p w:rsidR="002E7433" w:rsidRPr="00841556" w:rsidRDefault="002E7433" w:rsidP="00E9324B">
            <w:pPr>
              <w:ind w:firstLine="0"/>
              <w:rPr>
                <w:lang w:val="en-US"/>
              </w:rPr>
            </w:pPr>
            <w:r w:rsidRPr="00841556">
              <w:rPr>
                <w:lang w:val="en-US"/>
              </w:rPr>
              <w:t>T_RT_VIOLTYPE</w:t>
            </w:r>
          </w:p>
          <w:p w:rsidR="002E7433" w:rsidRPr="00841556" w:rsidRDefault="002E7433" w:rsidP="00E9324B">
            <w:pPr>
              <w:ind w:firstLine="0"/>
              <w:rPr>
                <w:lang w:val="en-US"/>
              </w:rPr>
            </w:pPr>
            <w:r w:rsidRPr="00841556">
              <w:rPr>
                <w:lang w:val="en-US"/>
              </w:rPr>
              <w:t>T_RT_YEARDATA</w:t>
            </w:r>
          </w:p>
        </w:tc>
      </w:tr>
      <w:tr w:rsidR="002E7433" w:rsidRPr="00206C4C" w:rsidTr="00E9324B">
        <w:tc>
          <w:tcPr>
            <w:tcW w:w="3083" w:type="dxa"/>
            <w:vAlign w:val="center"/>
          </w:tcPr>
          <w:p w:rsidR="002E7433" w:rsidRDefault="002E7433" w:rsidP="00E9324B">
            <w:pPr>
              <w:ind w:firstLine="0"/>
              <w:rPr>
                <w:szCs w:val="24"/>
              </w:rPr>
            </w:pPr>
            <w:r>
              <w:rPr>
                <w:szCs w:val="24"/>
              </w:rPr>
              <w:t>Реестр паспортов объектов контроля</w:t>
            </w:r>
          </w:p>
        </w:tc>
        <w:tc>
          <w:tcPr>
            <w:tcW w:w="2991" w:type="dxa"/>
            <w:vAlign w:val="center"/>
          </w:tcPr>
          <w:p w:rsidR="002E7433" w:rsidRPr="00206C4C" w:rsidRDefault="002E7433" w:rsidP="00E9324B">
            <w:pPr>
              <w:ind w:firstLine="0"/>
              <w:jc w:val="left"/>
              <w:rPr>
                <w:snapToGrid/>
                <w:color w:val="auto"/>
                <w:szCs w:val="24"/>
              </w:rPr>
            </w:pPr>
            <w:r>
              <w:t>PIAO_162_002_report</w:t>
            </w:r>
          </w:p>
        </w:tc>
        <w:tc>
          <w:tcPr>
            <w:tcW w:w="3496" w:type="dxa"/>
            <w:vMerge/>
            <w:vAlign w:val="center"/>
          </w:tcPr>
          <w:p w:rsidR="002E7433" w:rsidRPr="00206C4C" w:rsidRDefault="002E7433" w:rsidP="00E9324B"/>
        </w:tc>
      </w:tr>
    </w:tbl>
    <w:p w:rsidR="002E7433" w:rsidRDefault="002E7433" w:rsidP="00862055">
      <w:pPr>
        <w:pStyle w:val="35"/>
        <w:numPr>
          <w:ilvl w:val="2"/>
          <w:numId w:val="135"/>
        </w:numPr>
        <w:rPr>
          <w:snapToGrid/>
        </w:rPr>
      </w:pPr>
      <w:bookmarkStart w:id="1589" w:name="_Toc69290146"/>
      <w:bookmarkStart w:id="1590" w:name="_Toc119585112"/>
      <w:r>
        <w:rPr>
          <w:snapToGrid/>
        </w:rPr>
        <w:t>Отчет «</w:t>
      </w:r>
      <w:r>
        <w:t>Паспорт объекта контроля</w:t>
      </w:r>
      <w:r>
        <w:rPr>
          <w:snapToGrid/>
        </w:rPr>
        <w:t>»</w:t>
      </w:r>
      <w:bookmarkEnd w:id="1589"/>
      <w:r w:rsidR="00A62540">
        <w:rPr>
          <w:snapToGrid/>
        </w:rPr>
        <w:t xml:space="preserve"> (</w:t>
      </w:r>
      <w:r w:rsidR="00A62540" w:rsidRPr="00A62540">
        <w:rPr>
          <w:snapToGrid/>
        </w:rPr>
        <w:t>PIAO_162_001_report</w:t>
      </w:r>
      <w:r w:rsidR="00A62540">
        <w:rPr>
          <w:snapToGrid/>
        </w:rPr>
        <w:t>)</w:t>
      </w:r>
      <w:bookmarkEnd w:id="1590"/>
    </w:p>
    <w:p w:rsidR="002E7433" w:rsidRPr="00646738" w:rsidRDefault="002E7433" w:rsidP="002E7433">
      <w:pPr>
        <w:pStyle w:val="af0"/>
        <w:rPr>
          <w:rStyle w:val="af1"/>
          <w:rFonts w:eastAsia="Calibri"/>
        </w:rPr>
      </w:pPr>
      <w:r w:rsidRPr="00233E44">
        <w:rPr>
          <w:rStyle w:val="af1"/>
        </w:rPr>
        <w:t>Для перехода к отчету «</w:t>
      </w:r>
      <w:r>
        <w:t>Паспорт объекта контроля</w:t>
      </w:r>
      <w:r w:rsidRPr="00233E44">
        <w:rPr>
          <w:rStyle w:val="af1"/>
        </w:rPr>
        <w:t>» необходимо перейти к витрине «</w:t>
      </w:r>
      <w:r w:rsidRPr="00646738">
        <w:rPr>
          <w:rStyle w:val="af1"/>
        </w:rPr>
        <w:t>Контроль и надзор в финансово-бюджетной сфере</w:t>
      </w:r>
      <w:r>
        <w:rPr>
          <w:rStyle w:val="af1"/>
        </w:rPr>
        <w:t>» и кликнуть мышью по плашке «</w:t>
      </w:r>
      <w:r>
        <w:t>Паспорт объекта контроля»,</w:t>
      </w:r>
      <w:r>
        <w:rPr>
          <w:rStyle w:val="af1"/>
        </w:rPr>
        <w:t xml:space="preserve"> как показано на рисунке</w:t>
      </w:r>
      <w:r w:rsidR="00C463D7" w:rsidRPr="00C463D7">
        <w:rPr>
          <w:rStyle w:val="af1"/>
        </w:rPr>
        <w:t xml:space="preserve"> </w:t>
      </w:r>
      <w:r w:rsidR="00C463D7">
        <w:rPr>
          <w:rStyle w:val="af1"/>
        </w:rPr>
        <w:fldChar w:fldCharType="begin"/>
      </w:r>
      <w:r w:rsidR="00C463D7">
        <w:rPr>
          <w:rStyle w:val="af1"/>
        </w:rPr>
        <w:instrText xml:space="preserve"> REF _Ref70092876 \h </w:instrText>
      </w:r>
      <w:r w:rsidR="00C463D7">
        <w:rPr>
          <w:rStyle w:val="af1"/>
        </w:rPr>
      </w:r>
      <w:r w:rsidR="00C463D7">
        <w:rPr>
          <w:rStyle w:val="af1"/>
        </w:rPr>
        <w:fldChar w:fldCharType="separate"/>
      </w:r>
      <w:r w:rsidR="00BF0BEE">
        <w:rPr>
          <w:noProof/>
        </w:rPr>
        <w:t>348</w:t>
      </w:r>
      <w:r w:rsidR="00C463D7">
        <w:rPr>
          <w:rStyle w:val="af1"/>
        </w:rPr>
        <w:fldChar w:fldCharType="end"/>
      </w:r>
      <w:r>
        <w:rPr>
          <w:rStyle w:val="af1"/>
        </w:rPr>
        <w:t>.</w:t>
      </w:r>
    </w:p>
    <w:p w:rsidR="00C463D7" w:rsidRDefault="00C463D7" w:rsidP="00C463D7">
      <w:pPr>
        <w:pStyle w:val="afffff7"/>
        <w:keepNext/>
      </w:pPr>
      <w:r>
        <w:rPr>
          <w:noProof/>
          <w:lang w:eastAsia="ru-RU"/>
        </w:rPr>
        <w:drawing>
          <wp:inline distT="0" distB="0" distL="0" distR="0" wp14:anchorId="79419F7E" wp14:editId="65909730">
            <wp:extent cx="5939790" cy="2893571"/>
            <wp:effectExtent l="0" t="0" r="3810" b="254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6"/>
                    <a:stretch>
                      <a:fillRect/>
                    </a:stretch>
                  </pic:blipFill>
                  <pic:spPr>
                    <a:xfrm>
                      <a:off x="0" y="0"/>
                      <a:ext cx="5939790" cy="2893571"/>
                    </a:xfrm>
                    <a:prstGeom prst="rect">
                      <a:avLst/>
                    </a:prstGeom>
                  </pic:spPr>
                </pic:pic>
              </a:graphicData>
            </a:graphic>
          </wp:inline>
        </w:drawing>
      </w:r>
    </w:p>
    <w:p w:rsidR="002E7433" w:rsidRDefault="00C463D7" w:rsidP="00C463D7">
      <w:pPr>
        <w:pStyle w:val="-0"/>
      </w:pPr>
      <w:bookmarkStart w:id="1591" w:name="_Toc119584610"/>
      <w:r>
        <w:t xml:space="preserve">Рисунок </w:t>
      </w:r>
      <w:fldSimple w:instr=" SEQ Рисунок \* ARABIC ">
        <w:bookmarkStart w:id="1592" w:name="_Ref70092876"/>
        <w:r w:rsidR="001860A9">
          <w:rPr>
            <w:noProof/>
          </w:rPr>
          <w:t>423</w:t>
        </w:r>
        <w:bookmarkEnd w:id="1592"/>
      </w:fldSimple>
      <w:r>
        <w:t xml:space="preserve"> – </w:t>
      </w:r>
      <w:r w:rsidRPr="00C501ED">
        <w:t xml:space="preserve">Плашка для перехода к отчету </w:t>
      </w:r>
      <w:r w:rsidRPr="00C501ED">
        <w:rPr>
          <w:rStyle w:val="af1"/>
          <w:snapToGrid w:val="0"/>
        </w:rPr>
        <w:t>«</w:t>
      </w:r>
      <w:r>
        <w:t>Паспорт объекта контроля</w:t>
      </w:r>
      <w:r w:rsidRPr="00C501ED">
        <w:rPr>
          <w:rStyle w:val="af1"/>
          <w:snapToGrid w:val="0"/>
        </w:rPr>
        <w:t>»</w:t>
      </w:r>
      <w:bookmarkEnd w:id="1591"/>
    </w:p>
    <w:p w:rsidR="002E7433" w:rsidRDefault="002E7433" w:rsidP="002E7433">
      <w:pPr>
        <w:pStyle w:val="af0"/>
      </w:pPr>
      <w:r>
        <w:t xml:space="preserve">Отчет </w:t>
      </w:r>
      <w:r w:rsidRPr="009F07FD">
        <w:t xml:space="preserve">предназначен </w:t>
      </w:r>
      <w:r>
        <w:t>для работников Федерального казначейства и его территориальных органов</w:t>
      </w:r>
      <w:r w:rsidRPr="000B0628">
        <w:t xml:space="preserve"> </w:t>
      </w:r>
      <w:r>
        <w:t xml:space="preserve">с целью использования для </w:t>
      </w:r>
      <w:r w:rsidRPr="000B0628">
        <w:t>свод</w:t>
      </w:r>
      <w:r>
        <w:t>а</w:t>
      </w:r>
      <w:r w:rsidRPr="000B0628">
        <w:t xml:space="preserve"> информации об объекте </w:t>
      </w:r>
      <w:r w:rsidRPr="0066549F">
        <w:t>контроля</w:t>
      </w:r>
      <w:r>
        <w:t>, необходимой для выполнения полномочий по контролю в финансово-бюджетной сфере</w:t>
      </w:r>
      <w:r w:rsidRPr="0066549F">
        <w:t>.</w:t>
      </w:r>
    </w:p>
    <w:p w:rsidR="002E7433" w:rsidRDefault="002E7433" w:rsidP="002E7433">
      <w:pPr>
        <w:pStyle w:val="af0"/>
      </w:pPr>
      <w:r>
        <w:t xml:space="preserve">Отчет содержит основные </w:t>
      </w:r>
      <w:r w:rsidRPr="000B0628">
        <w:t>сведения об объекте контроля, находящегося в Реестре участников бюджетного процесса, а также юридических лиц, не являющихся участниками бюджетного процесса.</w:t>
      </w:r>
    </w:p>
    <w:p w:rsidR="002E7433" w:rsidRPr="0087599A" w:rsidRDefault="002E7433" w:rsidP="002E7433">
      <w:pPr>
        <w:pStyle w:val="af0"/>
        <w:rPr>
          <w:b/>
          <w:bCs/>
        </w:rPr>
      </w:pPr>
      <w:r>
        <w:t>Переход между представлениями в отчете осуществляется через дерево разделов.</w:t>
      </w:r>
    </w:p>
    <w:p w:rsidR="002E7433" w:rsidRDefault="002E7433" w:rsidP="00862055">
      <w:pPr>
        <w:pStyle w:val="42"/>
        <w:numPr>
          <w:ilvl w:val="3"/>
          <w:numId w:val="135"/>
        </w:numPr>
      </w:pPr>
      <w:bookmarkStart w:id="1593" w:name="_Toc42623679"/>
      <w:r>
        <w:t>Раздел</w:t>
      </w:r>
      <w:r w:rsidRPr="003361CF">
        <w:t xml:space="preserve"> «</w:t>
      </w:r>
      <w:r>
        <w:t>Основная информация об объекте контроля</w:t>
      </w:r>
      <w:r w:rsidRPr="003361CF">
        <w:t>»</w:t>
      </w:r>
      <w:r>
        <w:t>:</w:t>
      </w:r>
      <w:bookmarkEnd w:id="1593"/>
    </w:p>
    <w:p w:rsidR="002E7433" w:rsidRDefault="002E7433" w:rsidP="002E7433">
      <w:pPr>
        <w:pStyle w:val="af0"/>
      </w:pPr>
      <w:r>
        <w:t xml:space="preserve">Раздел «Основная информация об объекте» отражает сведения об объекте контроля, содержащиеся в </w:t>
      </w:r>
      <w:r w:rsidRPr="00866E8D">
        <w:rPr>
          <w:szCs w:val="24"/>
        </w:rPr>
        <w:t>Реестр</w:t>
      </w:r>
      <w:r>
        <w:rPr>
          <w:szCs w:val="24"/>
        </w:rPr>
        <w:t>е</w:t>
      </w:r>
      <w:r w:rsidRPr="00866E8D">
        <w:rPr>
          <w:szCs w:val="24"/>
        </w:rPr>
        <w:t xml:space="preserve"> участников бюджетного процесса, а также юридических лиц, не являющихся участниками бюджетного процесса</w:t>
      </w:r>
      <w:r>
        <w:t>.</w:t>
      </w:r>
    </w:p>
    <w:p w:rsidR="002E7433" w:rsidRDefault="002E7433" w:rsidP="002E7433">
      <w:pPr>
        <w:pStyle w:val="af0"/>
      </w:pPr>
      <w:r>
        <w:t>В разделе «Основная информация об объекте контроля» должны располагаться следующие подразделы:</w:t>
      </w:r>
    </w:p>
    <w:p w:rsidR="002E7433" w:rsidRDefault="002E7433" w:rsidP="00DE1661">
      <w:pPr>
        <w:pStyle w:val="13"/>
      </w:pPr>
      <w:r>
        <w:t>Сведения об организации в сводном реестре;</w:t>
      </w:r>
    </w:p>
    <w:p w:rsidR="002E7433" w:rsidRDefault="002E7433" w:rsidP="00DE1661">
      <w:pPr>
        <w:pStyle w:val="13"/>
      </w:pPr>
      <w:r>
        <w:t>Сведения о бюджете;</w:t>
      </w:r>
    </w:p>
    <w:p w:rsidR="002E7433" w:rsidRDefault="002E7433" w:rsidP="00DE1661">
      <w:pPr>
        <w:pStyle w:val="13"/>
      </w:pPr>
      <w:r>
        <w:t>Сведения об организации в других источниках;</w:t>
      </w:r>
    </w:p>
    <w:p w:rsidR="002E7433" w:rsidRDefault="002E7433" w:rsidP="00DE1661">
      <w:pPr>
        <w:pStyle w:val="13"/>
      </w:pPr>
      <w:r>
        <w:t>Сведения о руководителе;</w:t>
      </w:r>
    </w:p>
    <w:p w:rsidR="002E7433" w:rsidRDefault="002E7433" w:rsidP="00DE1661">
      <w:pPr>
        <w:pStyle w:val="13"/>
      </w:pPr>
      <w:r>
        <w:t>Учредитель;</w:t>
      </w:r>
    </w:p>
    <w:p w:rsidR="002E7433" w:rsidRDefault="002E7433" w:rsidP="00DE1661">
      <w:pPr>
        <w:pStyle w:val="13"/>
      </w:pPr>
      <w:r>
        <w:t>Предшественники;</w:t>
      </w:r>
    </w:p>
    <w:p w:rsidR="002E7433" w:rsidRDefault="002E7433" w:rsidP="00DE1661">
      <w:pPr>
        <w:pStyle w:val="13"/>
      </w:pPr>
      <w:r>
        <w:t>Информация о реорганизации объекта;</w:t>
      </w:r>
    </w:p>
    <w:p w:rsidR="002E7433" w:rsidRDefault="002E7433" w:rsidP="00DE1661">
      <w:pPr>
        <w:pStyle w:val="13"/>
      </w:pPr>
      <w:r>
        <w:t>Информация о ликвидации объекта;</w:t>
      </w:r>
    </w:p>
    <w:p w:rsidR="002E7433" w:rsidRDefault="002E7433" w:rsidP="00DE1661">
      <w:pPr>
        <w:pStyle w:val="13"/>
      </w:pPr>
      <w:r>
        <w:t>Обособленные подразделения;</w:t>
      </w:r>
    </w:p>
    <w:p w:rsidR="002E7433" w:rsidRDefault="002E7433" w:rsidP="00DE1661">
      <w:pPr>
        <w:pStyle w:val="13"/>
      </w:pPr>
      <w:r>
        <w:t>Бюджетные полномочия;</w:t>
      </w:r>
    </w:p>
    <w:p w:rsidR="002E7433" w:rsidRDefault="002E7433" w:rsidP="00DE1661">
      <w:pPr>
        <w:pStyle w:val="13"/>
      </w:pPr>
      <w:r>
        <w:t>Лицевые счета, открытые в ТОФК;</w:t>
      </w:r>
    </w:p>
    <w:p w:rsidR="002E7433" w:rsidRDefault="002E7433" w:rsidP="00DE1661">
      <w:pPr>
        <w:pStyle w:val="13"/>
      </w:pPr>
      <w:r>
        <w:t>Лицензии.</w:t>
      </w:r>
    </w:p>
    <w:p w:rsidR="002E7433" w:rsidRDefault="002E7433" w:rsidP="002E7433">
      <w:pPr>
        <w:pStyle w:val="af0"/>
      </w:pPr>
      <w:r>
        <w:t>Из отчета «Паспорт объекта контроля» реализована возможность перехода к отчету «Реестр паспортов объектов контроля» для осуществления поиска объекта контроля по большему перечню параметров поиска.</w:t>
      </w:r>
    </w:p>
    <w:p w:rsidR="002E7433" w:rsidRDefault="002E7433" w:rsidP="002E7433">
      <w:pPr>
        <w:pStyle w:val="afffff7"/>
      </w:pPr>
      <w:r>
        <w:rPr>
          <w:noProof/>
          <w:lang w:eastAsia="ru-RU"/>
        </w:rPr>
        <w:drawing>
          <wp:inline distT="0" distB="0" distL="0" distR="0" wp14:anchorId="7704F45C" wp14:editId="141F6B28">
            <wp:extent cx="6188710" cy="1257180"/>
            <wp:effectExtent l="19050" t="19050" r="21590" b="19170"/>
            <wp:docPr id="255"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07" cstate="print"/>
                    <a:srcRect/>
                    <a:stretch>
                      <a:fillRect/>
                    </a:stretch>
                  </pic:blipFill>
                  <pic:spPr bwMode="auto">
                    <a:xfrm>
                      <a:off x="0" y="0"/>
                      <a:ext cx="6188710" cy="1257180"/>
                    </a:xfrm>
                    <a:prstGeom prst="rect">
                      <a:avLst/>
                    </a:prstGeom>
                    <a:noFill/>
                    <a:ln w="9525">
                      <a:solidFill>
                        <a:schemeClr val="bg1">
                          <a:lumMod val="85000"/>
                        </a:schemeClr>
                      </a:solidFill>
                      <a:miter lim="800000"/>
                      <a:headEnd/>
                      <a:tailEnd/>
                    </a:ln>
                  </pic:spPr>
                </pic:pic>
              </a:graphicData>
            </a:graphic>
          </wp:inline>
        </w:drawing>
      </w:r>
    </w:p>
    <w:p w:rsidR="002E7433" w:rsidRPr="00C564C2" w:rsidRDefault="002E7433" w:rsidP="002E7433">
      <w:pPr>
        <w:pStyle w:val="-0"/>
      </w:pPr>
      <w:bookmarkStart w:id="1594" w:name="_Toc69290503"/>
      <w:bookmarkStart w:id="1595" w:name="_Toc119584611"/>
      <w:r>
        <w:t xml:space="preserve">Рисунок </w:t>
      </w:r>
      <w:fldSimple w:instr=" SEQ Рисунок \* ARABIC ">
        <w:r w:rsidR="001860A9">
          <w:rPr>
            <w:noProof/>
          </w:rPr>
          <w:t>424</w:t>
        </w:r>
      </w:fldSimple>
      <w:r>
        <w:t xml:space="preserve"> – Переход к отчету «Реестр паспортов объектов контроля»</w:t>
      </w:r>
      <w:bookmarkEnd w:id="1594"/>
      <w:bookmarkEnd w:id="1595"/>
    </w:p>
    <w:p w:rsidR="002E7433" w:rsidRDefault="002E7433" w:rsidP="002E7433">
      <w:pPr>
        <w:pStyle w:val="53"/>
      </w:pPr>
      <w:bookmarkStart w:id="1596" w:name="_Toc42623680"/>
      <w:r>
        <w:t>Подраздел «</w:t>
      </w:r>
      <w:r w:rsidRPr="00546479">
        <w:t>Сведения об организации в сводном реестре</w:t>
      </w:r>
      <w:r>
        <w:t>»</w:t>
      </w:r>
      <w:bookmarkEnd w:id="1596"/>
    </w:p>
    <w:p w:rsidR="002E7433" w:rsidRPr="005207C1" w:rsidRDefault="002E7433" w:rsidP="002E7433">
      <w:pPr>
        <w:pStyle w:val="af0"/>
      </w:pPr>
      <w:r>
        <w:t xml:space="preserve">Содержит сведения о </w:t>
      </w:r>
      <w:r w:rsidRPr="005207C1">
        <w:t>наименовании объекта контроля, его организационно-правовой форме, ИНН, КПП, коде и номере реестровой записи в Сводном реестре, сведения о регистрации в ФНС, фактический адрес, контактную информацию, сведения в соответствии с общероссийскими классификаторами.</w:t>
      </w:r>
    </w:p>
    <w:p w:rsidR="002E7433" w:rsidRPr="005207C1" w:rsidRDefault="002E7433" w:rsidP="002E7433">
      <w:pPr>
        <w:pStyle w:val="af0"/>
      </w:pPr>
      <w:r w:rsidRPr="005207C1">
        <w:t>Код в сводном реестре является ссылкой для перехода в сводный реестр ЕПБС.</w:t>
      </w:r>
    </w:p>
    <w:p w:rsidR="002E7433" w:rsidRPr="00736768" w:rsidRDefault="002E7433" w:rsidP="002E7433">
      <w:pPr>
        <w:pStyle w:val="af0"/>
        <w:rPr>
          <w:lang w:val="en-US"/>
        </w:rPr>
      </w:pPr>
      <w:r w:rsidRPr="005207C1">
        <w:t xml:space="preserve">Подраздел показан на рисунке </w:t>
      </w:r>
      <w:r w:rsidRPr="005207C1">
        <w:fldChar w:fldCharType="begin"/>
      </w:r>
      <w:r w:rsidRPr="005207C1">
        <w:instrText xml:space="preserve"> REF _Ref42617108 \h </w:instrText>
      </w:r>
      <w:r w:rsidRPr="005207C1">
        <w:rPr>
          <w:lang w:val="en-US"/>
        </w:rPr>
        <w:instrText>\##</w:instrText>
      </w:r>
      <w:r w:rsidRPr="005207C1">
        <w:instrText xml:space="preserve"> \* MERGEFORMAT </w:instrText>
      </w:r>
      <w:r w:rsidRPr="005207C1">
        <w:fldChar w:fldCharType="separate"/>
      </w:r>
      <w:r w:rsidR="00BF0BEE">
        <w:rPr>
          <w:lang w:val="en-US"/>
        </w:rPr>
        <w:t>425</w:t>
      </w:r>
      <w:r w:rsidRPr="005207C1">
        <w:fldChar w:fldCharType="end"/>
      </w:r>
      <w:r w:rsidRPr="005207C1">
        <w:rPr>
          <w:lang w:val="en-US"/>
        </w:rPr>
        <w:t>.</w:t>
      </w:r>
    </w:p>
    <w:p w:rsidR="002E7433" w:rsidRDefault="002E7433" w:rsidP="002E7433">
      <w:pPr>
        <w:pStyle w:val="afffff7"/>
      </w:pPr>
      <w:r>
        <w:rPr>
          <w:noProof/>
          <w:lang w:eastAsia="ru-RU"/>
        </w:rPr>
        <w:drawing>
          <wp:inline distT="0" distB="0" distL="0" distR="0" wp14:anchorId="145E8938" wp14:editId="09C2D8DA">
            <wp:extent cx="6188710" cy="2675555"/>
            <wp:effectExtent l="19050" t="19050" r="21590" b="10495"/>
            <wp:docPr id="2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8" cstate="print"/>
                    <a:srcRect/>
                    <a:stretch>
                      <a:fillRect/>
                    </a:stretch>
                  </pic:blipFill>
                  <pic:spPr bwMode="auto">
                    <a:xfrm>
                      <a:off x="0" y="0"/>
                      <a:ext cx="6188710" cy="2675555"/>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597" w:name="_Ref42617108"/>
      <w:bookmarkStart w:id="1598" w:name="_Toc42623721"/>
      <w:bookmarkStart w:id="1599" w:name="_Toc69290504"/>
      <w:bookmarkStart w:id="1600" w:name="_Toc119584612"/>
      <w:r>
        <w:t xml:space="preserve">Рисунок </w:t>
      </w:r>
      <w:fldSimple w:instr=" SEQ Рисунок \* ARABIC ">
        <w:r w:rsidR="001860A9">
          <w:rPr>
            <w:noProof/>
          </w:rPr>
          <w:t>425</w:t>
        </w:r>
      </w:fldSimple>
      <w:bookmarkEnd w:id="1597"/>
      <w:r>
        <w:t xml:space="preserve"> – П</w:t>
      </w:r>
      <w:r w:rsidRPr="00BC2E91">
        <w:t>одраздел</w:t>
      </w:r>
      <w:r>
        <w:t xml:space="preserve"> </w:t>
      </w:r>
      <w:r w:rsidRPr="00BC2E91">
        <w:t>«Сведения об организации в сводном реестре»</w:t>
      </w:r>
      <w:bookmarkEnd w:id="1598"/>
      <w:bookmarkEnd w:id="1599"/>
      <w:bookmarkEnd w:id="1600"/>
    </w:p>
    <w:p w:rsidR="002E7433" w:rsidRPr="00C16026" w:rsidRDefault="002E7433" w:rsidP="002E7433">
      <w:pPr>
        <w:pStyle w:val="af0"/>
        <w:rPr>
          <w:lang w:val="en-US"/>
        </w:rPr>
      </w:pPr>
      <w:r>
        <w:t xml:space="preserve">В данном подразделе помимо общих сведений можно отследить находится ли </w:t>
      </w:r>
      <w:r w:rsidRPr="005207C1">
        <w:t xml:space="preserve">организация в стадии организации и ликвидации. Данные показатель дополнен цветовым индикатором («зеленый» - объект контроля не находится и не находился в процессе реорганизации/ликвидации, «красный» - объект находится/находился в процессе реорганизации/ликвидации). Примеры показаны на рисунках </w:t>
      </w:r>
      <w:r w:rsidRPr="005207C1">
        <w:fldChar w:fldCharType="begin"/>
      </w:r>
      <w:r w:rsidRPr="005207C1">
        <w:instrText xml:space="preserve"> REF _Ref42617116 \h </w:instrText>
      </w:r>
      <w:r w:rsidRPr="005207C1">
        <w:rPr>
          <w:lang w:val="en-US"/>
        </w:rPr>
        <w:instrText>\# #</w:instrText>
      </w:r>
      <w:r>
        <w:instrText xml:space="preserve"> \* MERGEFORMAT </w:instrText>
      </w:r>
      <w:r w:rsidRPr="005207C1">
        <w:fldChar w:fldCharType="separate"/>
      </w:r>
      <w:r w:rsidR="00BF0BEE">
        <w:rPr>
          <w:lang w:val="en-US"/>
        </w:rPr>
        <w:t>426</w:t>
      </w:r>
      <w:r w:rsidRPr="005207C1">
        <w:fldChar w:fldCharType="end"/>
      </w:r>
      <w:r w:rsidRPr="005207C1">
        <w:rPr>
          <w:lang w:val="en-US"/>
        </w:rPr>
        <w:t xml:space="preserve"> </w:t>
      </w:r>
      <w:r>
        <w:t>и</w:t>
      </w:r>
      <w:r>
        <w:rPr>
          <w:lang w:val="en-US"/>
        </w:rPr>
        <w:t xml:space="preserve"> </w:t>
      </w:r>
      <w:r w:rsidRPr="005207C1">
        <w:rPr>
          <w:lang w:val="en-US"/>
        </w:rPr>
        <w:fldChar w:fldCharType="begin"/>
      </w:r>
      <w:r w:rsidRPr="005207C1">
        <w:rPr>
          <w:lang w:val="en-US"/>
        </w:rPr>
        <w:instrText xml:space="preserve"> REF _Ref42617122 \h \# #</w:instrText>
      </w:r>
      <w:r>
        <w:rPr>
          <w:lang w:val="en-US"/>
        </w:rPr>
        <w:instrText xml:space="preserve"> \* MERGEFORMAT </w:instrText>
      </w:r>
      <w:r w:rsidRPr="005207C1">
        <w:rPr>
          <w:lang w:val="en-US"/>
        </w:rPr>
      </w:r>
      <w:r w:rsidRPr="005207C1">
        <w:rPr>
          <w:lang w:val="en-US"/>
        </w:rPr>
        <w:fldChar w:fldCharType="separate"/>
      </w:r>
      <w:r w:rsidR="00BF0BEE">
        <w:rPr>
          <w:lang w:val="en-US"/>
        </w:rPr>
        <w:t>427</w:t>
      </w:r>
      <w:r w:rsidRPr="005207C1">
        <w:rPr>
          <w:lang w:val="en-US"/>
        </w:rPr>
        <w:fldChar w:fldCharType="end"/>
      </w:r>
      <w:r>
        <w:rPr>
          <w:lang w:val="en-US"/>
        </w:rPr>
        <w:t>.</w:t>
      </w:r>
    </w:p>
    <w:p w:rsidR="002E7433" w:rsidRDefault="002E7433" w:rsidP="002E7433">
      <w:pPr>
        <w:pStyle w:val="afffff7"/>
      </w:pPr>
      <w:r>
        <w:rPr>
          <w:noProof/>
          <w:lang w:eastAsia="ru-RU"/>
        </w:rPr>
        <w:drawing>
          <wp:inline distT="0" distB="0" distL="0" distR="0" wp14:anchorId="1305DCD1" wp14:editId="62F50B8D">
            <wp:extent cx="6188710" cy="1336917"/>
            <wp:effectExtent l="19050" t="19050" r="21590" b="15633"/>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9" cstate="print"/>
                    <a:srcRect/>
                    <a:stretch>
                      <a:fillRect/>
                    </a:stretch>
                  </pic:blipFill>
                  <pic:spPr bwMode="auto">
                    <a:xfrm>
                      <a:off x="0" y="0"/>
                      <a:ext cx="6188710" cy="133691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601" w:name="_Ref42617116"/>
      <w:bookmarkStart w:id="1602" w:name="_Toc42623722"/>
      <w:bookmarkStart w:id="1603" w:name="_Toc69290505"/>
      <w:bookmarkStart w:id="1604" w:name="_Toc119584613"/>
      <w:r>
        <w:t xml:space="preserve">Рисунок </w:t>
      </w:r>
      <w:fldSimple w:instr=" SEQ Рисунок \* ARABIC ">
        <w:r w:rsidR="001860A9">
          <w:rPr>
            <w:noProof/>
          </w:rPr>
          <w:t>426</w:t>
        </w:r>
      </w:fldSimple>
      <w:bookmarkEnd w:id="1601"/>
      <w:r>
        <w:t xml:space="preserve"> – Индикатор «зеленый» показателя «</w:t>
      </w:r>
      <w:r w:rsidRPr="00BC2E91">
        <w:t>Находится в стадии реорганизации/ликвидации» подраздела «Сведения об организации в сводном реестре»</w:t>
      </w:r>
      <w:bookmarkEnd w:id="1602"/>
      <w:bookmarkEnd w:id="1603"/>
      <w:bookmarkEnd w:id="1604"/>
    </w:p>
    <w:p w:rsidR="002E7433" w:rsidRDefault="002E7433" w:rsidP="002E7433">
      <w:pPr>
        <w:pStyle w:val="afffff7"/>
      </w:pPr>
      <w:r>
        <w:rPr>
          <w:noProof/>
          <w:lang w:eastAsia="ru-RU"/>
        </w:rPr>
        <w:drawing>
          <wp:inline distT="0" distB="0" distL="0" distR="0" wp14:anchorId="6DC900F4" wp14:editId="53367D96">
            <wp:extent cx="6188710" cy="1409458"/>
            <wp:effectExtent l="19050" t="19050" r="21590" b="19292"/>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0" cstate="print"/>
                    <a:srcRect/>
                    <a:stretch>
                      <a:fillRect/>
                    </a:stretch>
                  </pic:blipFill>
                  <pic:spPr bwMode="auto">
                    <a:xfrm>
                      <a:off x="0" y="0"/>
                      <a:ext cx="6188710" cy="1409458"/>
                    </a:xfrm>
                    <a:prstGeom prst="rect">
                      <a:avLst/>
                    </a:prstGeom>
                    <a:noFill/>
                    <a:ln w="9525">
                      <a:solidFill>
                        <a:schemeClr val="bg1">
                          <a:lumMod val="85000"/>
                        </a:schemeClr>
                      </a:solidFill>
                      <a:miter lim="800000"/>
                      <a:headEnd/>
                      <a:tailEnd/>
                    </a:ln>
                  </pic:spPr>
                </pic:pic>
              </a:graphicData>
            </a:graphic>
          </wp:inline>
        </w:drawing>
      </w:r>
    </w:p>
    <w:p w:rsidR="002E7433" w:rsidRPr="00DD5E5A" w:rsidRDefault="002E7433" w:rsidP="002E7433">
      <w:pPr>
        <w:pStyle w:val="-0"/>
      </w:pPr>
      <w:bookmarkStart w:id="1605" w:name="_Ref42617122"/>
      <w:bookmarkStart w:id="1606" w:name="_Toc42623723"/>
      <w:bookmarkStart w:id="1607" w:name="_Toc69290506"/>
      <w:bookmarkStart w:id="1608" w:name="_Toc119584614"/>
      <w:r>
        <w:t xml:space="preserve">Рисунок </w:t>
      </w:r>
      <w:fldSimple w:instr=" SEQ Рисунок \* ARABIC ">
        <w:r w:rsidR="001860A9">
          <w:rPr>
            <w:noProof/>
          </w:rPr>
          <w:t>427</w:t>
        </w:r>
      </w:fldSimple>
      <w:bookmarkEnd w:id="1605"/>
      <w:r>
        <w:t xml:space="preserve"> – Индикатор «красный» показателя «</w:t>
      </w:r>
      <w:r w:rsidRPr="00BC2E91">
        <w:t>Находится в стадии реорганизации/ликвидации» подраздела «Сведения об организации в сводном реестре»</w:t>
      </w:r>
      <w:bookmarkEnd w:id="1606"/>
      <w:bookmarkEnd w:id="1607"/>
      <w:bookmarkEnd w:id="1608"/>
    </w:p>
    <w:p w:rsidR="002E7433" w:rsidRDefault="002E7433" w:rsidP="002E7433">
      <w:pPr>
        <w:pStyle w:val="af0"/>
      </w:pPr>
      <w:r>
        <w:t>Также в отчете представлены сведения о смене фактического адреса. Пользователю приводятся сведения о количестве раз смены адреса за выбранный период, предыдущий адрес и дата последней смены адреса. Показатель дополнен индикатором:</w:t>
      </w:r>
    </w:p>
    <w:p w:rsidR="002E7433" w:rsidRDefault="002E7433" w:rsidP="00DE1661">
      <w:pPr>
        <w:pStyle w:val="13"/>
      </w:pPr>
      <w:r w:rsidRPr="00583EEB">
        <w:rPr>
          <w:highlight w:val="green"/>
        </w:rPr>
        <w:t>зеленый</w:t>
      </w:r>
      <w:r>
        <w:t xml:space="preserve"> – смены адреса в выбранном периоде не было;</w:t>
      </w:r>
    </w:p>
    <w:p w:rsidR="002E7433" w:rsidRDefault="002E7433" w:rsidP="00DE1661">
      <w:pPr>
        <w:pStyle w:val="13"/>
      </w:pPr>
      <w:r w:rsidRPr="00375041">
        <w:rPr>
          <w:highlight w:val="yellow"/>
        </w:rPr>
        <w:t>желтый</w:t>
      </w:r>
      <w:r>
        <w:t xml:space="preserve"> – есть факт смены адреса в выбранном периоде.</w:t>
      </w:r>
    </w:p>
    <w:p w:rsidR="002E7433" w:rsidRPr="00736768" w:rsidRDefault="002E7433" w:rsidP="002E7433">
      <w:pPr>
        <w:pStyle w:val="af0"/>
        <w:rPr>
          <w:lang w:val="en-US"/>
        </w:rPr>
      </w:pPr>
      <w:r>
        <w:t xml:space="preserve">Пример </w:t>
      </w:r>
      <w:r w:rsidRPr="00773422">
        <w:t xml:space="preserve">показан на рисунке </w:t>
      </w:r>
      <w:r w:rsidRPr="00773422">
        <w:fldChar w:fldCharType="begin"/>
      </w:r>
      <w:r w:rsidRPr="00773422">
        <w:instrText xml:space="preserve"> REF _Ref42617141 \h </w:instrText>
      </w:r>
      <w:r w:rsidRPr="00773422">
        <w:rPr>
          <w:lang w:val="en-US"/>
        </w:rPr>
        <w:instrText>\# #</w:instrText>
      </w:r>
      <w:r>
        <w:instrText xml:space="preserve"> \* MERGEFORMAT </w:instrText>
      </w:r>
      <w:r w:rsidRPr="00773422">
        <w:fldChar w:fldCharType="separate"/>
      </w:r>
      <w:r w:rsidR="00BF0BEE">
        <w:rPr>
          <w:lang w:val="en-US"/>
        </w:rPr>
        <w:t>428</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6C7CC186" wp14:editId="09193050">
            <wp:extent cx="6188710" cy="2433762"/>
            <wp:effectExtent l="19050" t="19050" r="21590" b="23688"/>
            <wp:docPr id="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1" cstate="print"/>
                    <a:srcRect/>
                    <a:stretch>
                      <a:fillRect/>
                    </a:stretch>
                  </pic:blipFill>
                  <pic:spPr bwMode="auto">
                    <a:xfrm>
                      <a:off x="0" y="0"/>
                      <a:ext cx="6188710" cy="2433762"/>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609" w:name="_Ref42617141"/>
      <w:bookmarkStart w:id="1610" w:name="_Toc42623724"/>
      <w:bookmarkStart w:id="1611" w:name="_Toc69290507"/>
      <w:bookmarkStart w:id="1612" w:name="_Toc119584615"/>
      <w:r>
        <w:t xml:space="preserve">Рисунок </w:t>
      </w:r>
      <w:fldSimple w:instr=" SEQ Рисунок \* ARABIC ">
        <w:r w:rsidR="001860A9">
          <w:rPr>
            <w:noProof/>
          </w:rPr>
          <w:t>428</w:t>
        </w:r>
      </w:fldSimple>
      <w:bookmarkEnd w:id="1609"/>
      <w:r>
        <w:t xml:space="preserve"> – «Смена адреса» подраздела </w:t>
      </w:r>
      <w:r w:rsidRPr="00BC2E91">
        <w:t>«Сведения об организации в сводном реестре»</w:t>
      </w:r>
      <w:bookmarkEnd w:id="1610"/>
      <w:bookmarkEnd w:id="1611"/>
      <w:bookmarkEnd w:id="1612"/>
    </w:p>
    <w:p w:rsidR="002E7433" w:rsidRDefault="002E7433" w:rsidP="002E7433">
      <w:pPr>
        <w:pStyle w:val="af0"/>
      </w:pPr>
      <w:r>
        <w:t>Аналогичным образом приводятся сведения о смене организационно-правовой формы. Показатель дополнен индикатором:</w:t>
      </w:r>
    </w:p>
    <w:p w:rsidR="002E7433" w:rsidRDefault="002E7433" w:rsidP="00DE1661">
      <w:pPr>
        <w:pStyle w:val="13"/>
      </w:pPr>
      <w:r w:rsidRPr="00583EEB">
        <w:rPr>
          <w:highlight w:val="green"/>
        </w:rPr>
        <w:t>зеленый</w:t>
      </w:r>
      <w:r>
        <w:t xml:space="preserve"> – смены организационно-правовой формы в выбранном периоде не было;</w:t>
      </w:r>
    </w:p>
    <w:p w:rsidR="002E7433" w:rsidRDefault="002E7433" w:rsidP="00DE1661">
      <w:pPr>
        <w:pStyle w:val="13"/>
      </w:pPr>
      <w:r w:rsidRPr="00375041">
        <w:rPr>
          <w:highlight w:val="yellow"/>
        </w:rPr>
        <w:t>желтый</w:t>
      </w:r>
      <w:r>
        <w:t xml:space="preserve"> – есть факт смены организационно-правовой формы в выбранном периоде.</w:t>
      </w:r>
    </w:p>
    <w:p w:rsidR="002E7433" w:rsidRPr="00736768" w:rsidRDefault="002E7433" w:rsidP="002E7433">
      <w:pPr>
        <w:pStyle w:val="af0"/>
        <w:rPr>
          <w:lang w:val="en-US"/>
        </w:rPr>
      </w:pPr>
      <w:r>
        <w:t xml:space="preserve">Пример </w:t>
      </w:r>
      <w:r w:rsidRPr="00773422">
        <w:t xml:space="preserve">показан на рисунке </w:t>
      </w:r>
      <w:r w:rsidRPr="00773422">
        <w:fldChar w:fldCharType="begin"/>
      </w:r>
      <w:r w:rsidRPr="00773422">
        <w:instrText xml:space="preserve"> REF _Ref42617156 \h </w:instrText>
      </w:r>
      <w:r w:rsidRPr="00773422">
        <w:rPr>
          <w:lang w:val="en-US"/>
        </w:rPr>
        <w:instrText>\# #</w:instrText>
      </w:r>
      <w:r>
        <w:instrText xml:space="preserve"> \* MERGEFORMAT </w:instrText>
      </w:r>
      <w:r w:rsidRPr="00773422">
        <w:fldChar w:fldCharType="separate"/>
      </w:r>
      <w:r w:rsidR="00BF0BEE">
        <w:rPr>
          <w:lang w:val="en-US"/>
        </w:rPr>
        <w:t>429</w:t>
      </w:r>
      <w:r w:rsidRPr="00773422">
        <w:fldChar w:fldCharType="end"/>
      </w:r>
      <w:r w:rsidRPr="00773422">
        <w:rPr>
          <w:lang w:val="en-US"/>
        </w:rPr>
        <w:t>.</w:t>
      </w:r>
    </w:p>
    <w:p w:rsidR="002E7433" w:rsidRPr="008D5324" w:rsidRDefault="002E7433" w:rsidP="002E7433"/>
    <w:p w:rsidR="002E7433" w:rsidRDefault="002E7433" w:rsidP="002E7433">
      <w:pPr>
        <w:pStyle w:val="afffff7"/>
      </w:pPr>
      <w:r>
        <w:rPr>
          <w:noProof/>
          <w:lang w:eastAsia="ru-RU"/>
        </w:rPr>
        <w:drawing>
          <wp:inline distT="0" distB="0" distL="0" distR="0" wp14:anchorId="265F1FA4" wp14:editId="2A4DA15C">
            <wp:extent cx="6188710" cy="1021438"/>
            <wp:effectExtent l="19050" t="19050" r="21590" b="26312"/>
            <wp:docPr id="4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2" cstate="print"/>
                    <a:srcRect/>
                    <a:stretch>
                      <a:fillRect/>
                    </a:stretch>
                  </pic:blipFill>
                  <pic:spPr bwMode="auto">
                    <a:xfrm>
                      <a:off x="0" y="0"/>
                      <a:ext cx="6188710" cy="1021438"/>
                    </a:xfrm>
                    <a:prstGeom prst="rect">
                      <a:avLst/>
                    </a:prstGeom>
                    <a:noFill/>
                    <a:ln w="9525">
                      <a:solidFill>
                        <a:schemeClr val="bg1">
                          <a:lumMod val="85000"/>
                        </a:schemeClr>
                      </a:solidFill>
                      <a:miter lim="800000"/>
                      <a:headEnd/>
                      <a:tailEnd/>
                    </a:ln>
                  </pic:spPr>
                </pic:pic>
              </a:graphicData>
            </a:graphic>
          </wp:inline>
        </w:drawing>
      </w:r>
    </w:p>
    <w:p w:rsidR="002E7433" w:rsidRPr="00FE295D" w:rsidRDefault="002E7433" w:rsidP="00F15820">
      <w:pPr>
        <w:pStyle w:val="-0"/>
      </w:pPr>
      <w:bookmarkStart w:id="1613" w:name="_Ref42617156"/>
      <w:bookmarkStart w:id="1614" w:name="_Toc42623725"/>
      <w:bookmarkStart w:id="1615" w:name="_Toc69290508"/>
      <w:bookmarkStart w:id="1616" w:name="_Toc119584616"/>
      <w:r>
        <w:t xml:space="preserve">Рисунок </w:t>
      </w:r>
      <w:fldSimple w:instr=" SEQ Рисунок \* ARABIC ">
        <w:r w:rsidR="001860A9">
          <w:rPr>
            <w:noProof/>
          </w:rPr>
          <w:t>429</w:t>
        </w:r>
      </w:fldSimple>
      <w:bookmarkEnd w:id="1613"/>
      <w:r>
        <w:t xml:space="preserve"> </w:t>
      </w:r>
      <w:r w:rsidR="00F15820">
        <w:t>–</w:t>
      </w:r>
      <w:r>
        <w:t xml:space="preserve"> «Смена ОПФ» подраздела </w:t>
      </w:r>
      <w:r w:rsidRPr="00BC2E91">
        <w:t>«Сведения об организации в сводном реестре»</w:t>
      </w:r>
      <w:bookmarkEnd w:id="1614"/>
      <w:bookmarkEnd w:id="1615"/>
      <w:bookmarkEnd w:id="1616"/>
    </w:p>
    <w:p w:rsidR="002E7433" w:rsidRDefault="002E7433" w:rsidP="002E7433">
      <w:pPr>
        <w:pStyle w:val="53"/>
      </w:pPr>
      <w:bookmarkStart w:id="1617" w:name="_Toc42623681"/>
      <w:r>
        <w:t>Подраздел «</w:t>
      </w:r>
      <w:r w:rsidRPr="001E48CB">
        <w:t>Сведения о бюджете</w:t>
      </w:r>
      <w:r>
        <w:t>»</w:t>
      </w:r>
      <w:bookmarkEnd w:id="1617"/>
    </w:p>
    <w:p w:rsidR="002E7433" w:rsidRPr="00773422" w:rsidRDefault="002E7433" w:rsidP="002E7433">
      <w:pPr>
        <w:pStyle w:val="af0"/>
      </w:pPr>
      <w:r>
        <w:t xml:space="preserve">В подразделе </w:t>
      </w:r>
      <w:r w:rsidRPr="00773422">
        <w:t>представлены сведения об уровне бюджета и главе по БК.</w:t>
      </w:r>
    </w:p>
    <w:p w:rsidR="002E7433" w:rsidRPr="004030B5" w:rsidRDefault="002E7433" w:rsidP="002E7433">
      <w:pPr>
        <w:pStyle w:val="af0"/>
      </w:pPr>
      <w:r w:rsidRPr="00773422">
        <w:t xml:space="preserve">Подраздел показан на рисунке </w:t>
      </w:r>
      <w:r w:rsidRPr="00773422">
        <w:fldChar w:fldCharType="begin"/>
      </w:r>
      <w:r w:rsidRPr="00773422">
        <w:instrText xml:space="preserve"> REF _Ref42617162 \h </w:instrText>
      </w:r>
      <w:r w:rsidRPr="00773422">
        <w:rPr>
          <w:lang w:val="en-US"/>
        </w:rPr>
        <w:instrText>\# #</w:instrText>
      </w:r>
      <w:r>
        <w:instrText xml:space="preserve"> \* MERGEFORMAT </w:instrText>
      </w:r>
      <w:r w:rsidRPr="00773422">
        <w:fldChar w:fldCharType="separate"/>
      </w:r>
      <w:r w:rsidR="00BF0BEE">
        <w:rPr>
          <w:lang w:val="en-US"/>
        </w:rPr>
        <w:t>430</w:t>
      </w:r>
      <w:r w:rsidRPr="00773422">
        <w:fldChar w:fldCharType="end"/>
      </w:r>
      <w:r w:rsidRPr="00773422">
        <w:t>.</w:t>
      </w:r>
    </w:p>
    <w:p w:rsidR="002E7433" w:rsidRDefault="002E7433" w:rsidP="002E7433">
      <w:pPr>
        <w:pStyle w:val="afffff7"/>
      </w:pPr>
      <w:r>
        <w:rPr>
          <w:noProof/>
          <w:lang w:eastAsia="ru-RU"/>
        </w:rPr>
        <w:drawing>
          <wp:inline distT="0" distB="0" distL="0" distR="0" wp14:anchorId="7F340489" wp14:editId="099EEBDE">
            <wp:extent cx="5781675" cy="1200150"/>
            <wp:effectExtent l="19050" t="19050" r="28575" b="19050"/>
            <wp:docPr id="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3" cstate="print"/>
                    <a:srcRect/>
                    <a:stretch>
                      <a:fillRect/>
                    </a:stretch>
                  </pic:blipFill>
                  <pic:spPr bwMode="auto">
                    <a:xfrm>
                      <a:off x="0" y="0"/>
                      <a:ext cx="5781675" cy="1200150"/>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618" w:name="_Ref42617162"/>
      <w:bookmarkStart w:id="1619" w:name="_Toc42623726"/>
      <w:bookmarkStart w:id="1620" w:name="_Toc69290509"/>
      <w:bookmarkStart w:id="1621" w:name="_Toc119584617"/>
      <w:r>
        <w:t xml:space="preserve">Рисунок </w:t>
      </w:r>
      <w:fldSimple w:instr=" SEQ Рисунок \* ARABIC ">
        <w:r w:rsidR="001860A9">
          <w:rPr>
            <w:noProof/>
          </w:rPr>
          <w:t>430</w:t>
        </w:r>
      </w:fldSimple>
      <w:bookmarkEnd w:id="1618"/>
      <w:r>
        <w:t xml:space="preserve"> – Подраздел «Сведения о бюджете»</w:t>
      </w:r>
      <w:bookmarkEnd w:id="1619"/>
      <w:bookmarkEnd w:id="1620"/>
      <w:bookmarkEnd w:id="1621"/>
    </w:p>
    <w:p w:rsidR="002E7433" w:rsidRDefault="002E7433" w:rsidP="002E7433">
      <w:pPr>
        <w:pStyle w:val="53"/>
      </w:pPr>
      <w:bookmarkStart w:id="1622" w:name="_Toc42623682"/>
      <w:r>
        <w:t>Подраздел «</w:t>
      </w:r>
      <w:r w:rsidRPr="000C76F8">
        <w:t>Сведения об организации в других источниках</w:t>
      </w:r>
      <w:r>
        <w:t>»</w:t>
      </w:r>
      <w:bookmarkEnd w:id="1622"/>
    </w:p>
    <w:p w:rsidR="002E7433" w:rsidRDefault="002E7433" w:rsidP="002E7433">
      <w:pPr>
        <w:pStyle w:val="af0"/>
      </w:pPr>
      <w:r>
        <w:t>В подразделе представлены сведения о том, находится ли организация в реестре недобросовестных поставщиков, реестре сведений о банкротстве, показатель дополнен цветовым индикатором:</w:t>
      </w:r>
    </w:p>
    <w:p w:rsidR="002E7433" w:rsidRDefault="002E7433" w:rsidP="00DE1661">
      <w:pPr>
        <w:pStyle w:val="13"/>
      </w:pPr>
      <w:r w:rsidRPr="00583EEB">
        <w:rPr>
          <w:highlight w:val="green"/>
        </w:rPr>
        <w:t>зеленый</w:t>
      </w:r>
      <w:r>
        <w:t xml:space="preserve"> – объект контроля в реестре не найден;</w:t>
      </w:r>
    </w:p>
    <w:p w:rsidR="002E7433" w:rsidRDefault="002E7433" w:rsidP="00DE1661">
      <w:pPr>
        <w:pStyle w:val="13"/>
      </w:pPr>
      <w:r w:rsidRPr="00FC4197">
        <w:rPr>
          <w:highlight w:val="red"/>
        </w:rPr>
        <w:t>красный</w:t>
      </w:r>
      <w:r>
        <w:t xml:space="preserve"> – объект контроля в реестре найден.</w:t>
      </w:r>
    </w:p>
    <w:p w:rsidR="002E7433" w:rsidRDefault="002E7433" w:rsidP="002E7433">
      <w:pPr>
        <w:pStyle w:val="af0"/>
      </w:pPr>
      <w:r>
        <w:t>Также в разделе находятся ссылки для перехода в Сводный реестр ЕПБС, на сайт организации (при наличии таких сведений в сводном реестре). Если объект контроля является государственным (муниципальным) учреждением, то для него приводится ссылка на официальный сайт для размещения информации о ГМУ (</w:t>
      </w:r>
      <w:r w:rsidRPr="00ED4A95">
        <w:t>bus.gov.ru</w:t>
      </w:r>
      <w:r>
        <w:t>).</w:t>
      </w:r>
    </w:p>
    <w:p w:rsidR="002E7433" w:rsidRPr="004030B5" w:rsidRDefault="002E7433" w:rsidP="002E7433">
      <w:pPr>
        <w:pStyle w:val="af0"/>
        <w:rPr>
          <w:lang w:val="en-US"/>
        </w:rPr>
      </w:pPr>
      <w:r w:rsidRPr="00773422">
        <w:t xml:space="preserve">Подраздел показан на рисунке </w:t>
      </w:r>
      <w:r w:rsidRPr="00773422">
        <w:fldChar w:fldCharType="begin"/>
      </w:r>
      <w:r w:rsidRPr="00773422">
        <w:instrText xml:space="preserve"> REF _Ref42617167 \h </w:instrText>
      </w:r>
      <w:r w:rsidRPr="00773422">
        <w:rPr>
          <w:lang w:val="en-US"/>
        </w:rPr>
        <w:instrText>\# #</w:instrText>
      </w:r>
      <w:r>
        <w:instrText xml:space="preserve"> \* MERGEFORMAT </w:instrText>
      </w:r>
      <w:r w:rsidRPr="00773422">
        <w:fldChar w:fldCharType="separate"/>
      </w:r>
      <w:r w:rsidR="00BF0BEE">
        <w:rPr>
          <w:lang w:val="en-US"/>
        </w:rPr>
        <w:t>431</w:t>
      </w:r>
      <w:r w:rsidRPr="00773422">
        <w:fldChar w:fldCharType="end"/>
      </w:r>
      <w:r w:rsidRPr="00773422">
        <w:rPr>
          <w:lang w:val="en-US"/>
        </w:rPr>
        <w:t>.</w:t>
      </w:r>
    </w:p>
    <w:p w:rsidR="002E7433" w:rsidRPr="0081282F" w:rsidRDefault="002E7433" w:rsidP="002E7433"/>
    <w:p w:rsidR="002E7433" w:rsidRDefault="002E7433" w:rsidP="002E7433">
      <w:pPr>
        <w:pStyle w:val="afffff7"/>
      </w:pPr>
      <w:r>
        <w:rPr>
          <w:noProof/>
          <w:lang w:eastAsia="ru-RU"/>
        </w:rPr>
        <w:drawing>
          <wp:inline distT="0" distB="0" distL="0" distR="0" wp14:anchorId="30CB4CEF" wp14:editId="025349E4">
            <wp:extent cx="6188710" cy="1308226"/>
            <wp:effectExtent l="19050" t="19050" r="21590" b="25274"/>
            <wp:docPr id="4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4" cstate="print"/>
                    <a:srcRect/>
                    <a:stretch>
                      <a:fillRect/>
                    </a:stretch>
                  </pic:blipFill>
                  <pic:spPr bwMode="auto">
                    <a:xfrm>
                      <a:off x="0" y="0"/>
                      <a:ext cx="6188710" cy="1308226"/>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623" w:name="_Ref42617167"/>
      <w:bookmarkStart w:id="1624" w:name="_Toc42623727"/>
      <w:bookmarkStart w:id="1625" w:name="_Toc69290510"/>
      <w:bookmarkStart w:id="1626" w:name="_Toc119584618"/>
      <w:r>
        <w:t xml:space="preserve">Рисунок </w:t>
      </w:r>
      <w:fldSimple w:instr=" SEQ Рисунок \* ARABIC ">
        <w:r w:rsidR="001860A9">
          <w:rPr>
            <w:noProof/>
          </w:rPr>
          <w:t>431</w:t>
        </w:r>
      </w:fldSimple>
      <w:bookmarkEnd w:id="1623"/>
      <w:r>
        <w:t xml:space="preserve"> – Подраздел «</w:t>
      </w:r>
      <w:r w:rsidRPr="005336F7">
        <w:t>Сведения об организации в других источниках</w:t>
      </w:r>
      <w:r>
        <w:t>»</w:t>
      </w:r>
      <w:bookmarkEnd w:id="1624"/>
      <w:bookmarkEnd w:id="1625"/>
      <w:bookmarkEnd w:id="1626"/>
    </w:p>
    <w:p w:rsidR="002E7433" w:rsidRDefault="002E7433" w:rsidP="002E7433">
      <w:pPr>
        <w:pStyle w:val="53"/>
      </w:pPr>
      <w:bookmarkStart w:id="1627" w:name="_Toc42623683"/>
      <w:r>
        <w:t>Подраздел «</w:t>
      </w:r>
      <w:r w:rsidRPr="0050099C">
        <w:t>Сведения о руководителе</w:t>
      </w:r>
      <w:r>
        <w:t>»</w:t>
      </w:r>
      <w:bookmarkEnd w:id="1627"/>
    </w:p>
    <w:p w:rsidR="002E7433" w:rsidRDefault="002E7433" w:rsidP="002E7433">
      <w:pPr>
        <w:pStyle w:val="af0"/>
      </w:pPr>
      <w:r>
        <w:t>В подразделе представлены сведения о руководителе и предыдущих руководителях за выбранный период по данным сводного реестра  с указанием даты прекращения действия полномочий.</w:t>
      </w:r>
    </w:p>
    <w:p w:rsidR="002E7433" w:rsidRDefault="002E7433" w:rsidP="002E7433">
      <w:pPr>
        <w:pStyle w:val="af0"/>
      </w:pPr>
      <w:r>
        <w:t xml:space="preserve">В отчете приводятся сведения о документе, </w:t>
      </w:r>
      <w:r w:rsidRPr="008D595A">
        <w:t>подтверждающе</w:t>
      </w:r>
      <w:r>
        <w:t>м</w:t>
      </w:r>
      <w:r w:rsidRPr="008D595A">
        <w:t xml:space="preserve"> наличие у </w:t>
      </w:r>
      <w:r>
        <w:t xml:space="preserve">руководителя </w:t>
      </w:r>
      <w:r w:rsidRPr="008D595A">
        <w:t>полномочий</w:t>
      </w:r>
      <w:r>
        <w:t>, а также сведения о том, находился ли данный руководитель в реестре дисквалифицированных лиц. Последний показатель дополнен цветовым индикатором:</w:t>
      </w:r>
    </w:p>
    <w:p w:rsidR="002E7433" w:rsidRDefault="002E7433" w:rsidP="00DE1661">
      <w:pPr>
        <w:pStyle w:val="13"/>
      </w:pPr>
      <w:r w:rsidRPr="00583EEB">
        <w:rPr>
          <w:highlight w:val="green"/>
        </w:rPr>
        <w:t>зеленый</w:t>
      </w:r>
      <w:r>
        <w:t xml:space="preserve"> – руководитель н</w:t>
      </w:r>
      <w:r w:rsidRPr="0042127A">
        <w:t>е был включен в реестр дисквалифицированных лиц</w:t>
      </w:r>
      <w:r>
        <w:t>;</w:t>
      </w:r>
    </w:p>
    <w:p w:rsidR="002E7433" w:rsidRDefault="002E7433" w:rsidP="00DE1661">
      <w:pPr>
        <w:pStyle w:val="13"/>
      </w:pPr>
      <w:r w:rsidRPr="00FC4197">
        <w:rPr>
          <w:highlight w:val="red"/>
        </w:rPr>
        <w:t>красный</w:t>
      </w:r>
      <w:r>
        <w:t xml:space="preserve"> – руководитель </w:t>
      </w:r>
      <w:r w:rsidRPr="0042127A">
        <w:t>был включен в реестр дисквалифицированных лиц</w:t>
      </w:r>
      <w:r>
        <w:t>.</w:t>
      </w:r>
    </w:p>
    <w:p w:rsidR="002E7433" w:rsidRPr="005F505B" w:rsidRDefault="002E7433" w:rsidP="00DE1661">
      <w:pPr>
        <w:pStyle w:val="13"/>
        <w:rPr>
          <w:lang w:val="en-US"/>
        </w:rPr>
      </w:pPr>
      <w:r w:rsidRPr="00C77729">
        <w:t xml:space="preserve">Подраздел показан </w:t>
      </w:r>
      <w:r w:rsidRPr="00773422">
        <w:t xml:space="preserve">на рисунке </w:t>
      </w:r>
      <w:r w:rsidRPr="00773422">
        <w:fldChar w:fldCharType="begin"/>
      </w:r>
      <w:r w:rsidRPr="00773422">
        <w:instrText xml:space="preserve"> REF _Ref42617171 \h </w:instrText>
      </w:r>
      <w:r w:rsidRPr="00773422">
        <w:rPr>
          <w:lang w:val="en-US"/>
        </w:rPr>
        <w:instrText>\# #</w:instrText>
      </w:r>
      <w:r>
        <w:instrText xml:space="preserve"> \* MERGEFORMAT </w:instrText>
      </w:r>
      <w:r w:rsidRPr="00773422">
        <w:fldChar w:fldCharType="separate"/>
      </w:r>
      <w:r w:rsidR="00BF0BEE">
        <w:rPr>
          <w:lang w:val="en-US"/>
        </w:rPr>
        <w:t>432</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504653DE" wp14:editId="350C53A7">
            <wp:extent cx="6188710" cy="1916726"/>
            <wp:effectExtent l="19050" t="19050" r="21590" b="26374"/>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5" cstate="print"/>
                    <a:srcRect/>
                    <a:stretch>
                      <a:fillRect/>
                    </a:stretch>
                  </pic:blipFill>
                  <pic:spPr bwMode="auto">
                    <a:xfrm>
                      <a:off x="0" y="0"/>
                      <a:ext cx="6188710" cy="1916726"/>
                    </a:xfrm>
                    <a:prstGeom prst="rect">
                      <a:avLst/>
                    </a:prstGeom>
                    <a:noFill/>
                    <a:ln w="9525">
                      <a:solidFill>
                        <a:schemeClr val="bg1">
                          <a:lumMod val="85000"/>
                        </a:schemeClr>
                      </a:solidFill>
                      <a:miter lim="800000"/>
                      <a:headEnd/>
                      <a:tailEnd/>
                    </a:ln>
                  </pic:spPr>
                </pic:pic>
              </a:graphicData>
            </a:graphic>
          </wp:inline>
        </w:drawing>
      </w:r>
    </w:p>
    <w:p w:rsidR="002E7433" w:rsidRPr="00C77729" w:rsidRDefault="002E7433" w:rsidP="00F15820">
      <w:pPr>
        <w:pStyle w:val="-0"/>
      </w:pPr>
      <w:bookmarkStart w:id="1628" w:name="_Ref42617171"/>
      <w:bookmarkStart w:id="1629" w:name="_Toc42623728"/>
      <w:bookmarkStart w:id="1630" w:name="_Toc69290511"/>
      <w:bookmarkStart w:id="1631" w:name="_Toc119584619"/>
      <w:r>
        <w:t xml:space="preserve">Рисунок </w:t>
      </w:r>
      <w:fldSimple w:instr=" SEQ Рисунок \* ARABIC ">
        <w:r w:rsidR="001860A9">
          <w:rPr>
            <w:noProof/>
          </w:rPr>
          <w:t>432</w:t>
        </w:r>
      </w:fldSimple>
      <w:bookmarkEnd w:id="1628"/>
      <w:r>
        <w:t xml:space="preserve"> </w:t>
      </w:r>
      <w:r w:rsidR="00F15820">
        <w:t>–</w:t>
      </w:r>
      <w:r>
        <w:t xml:space="preserve"> Подраздел «</w:t>
      </w:r>
      <w:r w:rsidRPr="00A81A37">
        <w:t>Сведения о руководителе</w:t>
      </w:r>
      <w:r>
        <w:t>»</w:t>
      </w:r>
      <w:bookmarkEnd w:id="1629"/>
      <w:bookmarkEnd w:id="1630"/>
      <w:bookmarkEnd w:id="1631"/>
    </w:p>
    <w:p w:rsidR="002E7433" w:rsidRDefault="002E7433" w:rsidP="002E7433">
      <w:pPr>
        <w:pStyle w:val="53"/>
      </w:pPr>
      <w:bookmarkStart w:id="1632" w:name="_Toc42623684"/>
      <w:r>
        <w:t>Подраздел «Учредитель»</w:t>
      </w:r>
      <w:bookmarkEnd w:id="1632"/>
    </w:p>
    <w:p w:rsidR="002E7433" w:rsidRPr="00773422" w:rsidRDefault="002E7433" w:rsidP="002E7433">
      <w:pPr>
        <w:pStyle w:val="af0"/>
      </w:pPr>
      <w:r>
        <w:t xml:space="preserve">В подразделе «Учредитель» для типов объекта контроля: </w:t>
      </w:r>
      <w:r w:rsidRPr="00973255">
        <w:t>АУ,</w:t>
      </w:r>
      <w:r>
        <w:t xml:space="preserve"> </w:t>
      </w:r>
      <w:r w:rsidRPr="00973255">
        <w:t>БУ,</w:t>
      </w:r>
      <w:r>
        <w:t xml:space="preserve"> </w:t>
      </w:r>
      <w:r w:rsidRPr="00973255">
        <w:t>КУ,</w:t>
      </w:r>
      <w:r>
        <w:t xml:space="preserve"> </w:t>
      </w:r>
      <w:r w:rsidRPr="00973255">
        <w:t>ГУП, Иные</w:t>
      </w:r>
      <w:r>
        <w:t xml:space="preserve"> </w:t>
      </w:r>
      <w:r w:rsidRPr="000B0628">
        <w:t>размещен</w:t>
      </w:r>
      <w:r>
        <w:t>ы</w:t>
      </w:r>
      <w:r w:rsidRPr="000B0628">
        <w:t xml:space="preserve"> </w:t>
      </w:r>
      <w:r>
        <w:t>сведения об организации, являющейся учредителем объекта контроля. Для типов: ОГВ, Фонды, Банк России, Госкорпорации представлены сведения о п</w:t>
      </w:r>
      <w:r w:rsidRPr="00973255">
        <w:t>ублично-правово</w:t>
      </w:r>
      <w:r>
        <w:t>м</w:t>
      </w:r>
      <w:r w:rsidRPr="00973255">
        <w:t xml:space="preserve"> </w:t>
      </w:r>
      <w:r w:rsidRPr="00773422">
        <w:t>образовании, учредившем объект контроля.</w:t>
      </w:r>
    </w:p>
    <w:p w:rsidR="002E7433" w:rsidRPr="00C50A87"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_Ref42617175 \h </w:instrText>
      </w:r>
      <w:r w:rsidRPr="00773422">
        <w:rPr>
          <w:lang w:val="en-US"/>
        </w:rPr>
        <w:instrText>\# #</w:instrText>
      </w:r>
      <w:r>
        <w:instrText xml:space="preserve"> \* MERGEFORMAT </w:instrText>
      </w:r>
      <w:r w:rsidRPr="00773422">
        <w:fldChar w:fldCharType="separate"/>
      </w:r>
      <w:r w:rsidR="00BF0BEE">
        <w:rPr>
          <w:lang w:val="en-US"/>
        </w:rPr>
        <w:t>433</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34F1FCA5" wp14:editId="42760AA7">
            <wp:extent cx="6172200" cy="1819275"/>
            <wp:effectExtent l="19050" t="19050" r="19050" b="2857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6" cstate="print"/>
                    <a:srcRect/>
                    <a:stretch>
                      <a:fillRect/>
                    </a:stretch>
                  </pic:blipFill>
                  <pic:spPr bwMode="auto">
                    <a:xfrm>
                      <a:off x="0" y="0"/>
                      <a:ext cx="6172200" cy="1819275"/>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33" w:name="_Ref42617175"/>
      <w:bookmarkStart w:id="1634" w:name="_Toc42623729"/>
      <w:bookmarkStart w:id="1635" w:name="_Toc69290512"/>
      <w:bookmarkStart w:id="1636" w:name="_Toc119584620"/>
      <w:r>
        <w:t xml:space="preserve">Рисунок </w:t>
      </w:r>
      <w:fldSimple w:instr=" SEQ Рисунок \* ARABIC ">
        <w:r w:rsidR="001860A9">
          <w:rPr>
            <w:noProof/>
          </w:rPr>
          <w:t>433</w:t>
        </w:r>
      </w:fldSimple>
      <w:bookmarkEnd w:id="1633"/>
      <w:r>
        <w:t xml:space="preserve"> </w:t>
      </w:r>
      <w:r w:rsidR="00F15820">
        <w:t>–</w:t>
      </w:r>
      <w:r>
        <w:t xml:space="preserve"> Подраздел «Учредитель»</w:t>
      </w:r>
      <w:bookmarkEnd w:id="1634"/>
      <w:bookmarkEnd w:id="1635"/>
      <w:bookmarkEnd w:id="1636"/>
    </w:p>
    <w:p w:rsidR="002E7433" w:rsidRDefault="002E7433" w:rsidP="002E7433">
      <w:pPr>
        <w:pStyle w:val="53"/>
      </w:pPr>
      <w:bookmarkStart w:id="1637" w:name="_Toc42623685"/>
      <w:r>
        <w:t>Подраздел «</w:t>
      </w:r>
      <w:r w:rsidRPr="00B345D1">
        <w:t>Предшественники</w:t>
      </w:r>
      <w:r>
        <w:t>»</w:t>
      </w:r>
      <w:bookmarkEnd w:id="1637"/>
    </w:p>
    <w:p w:rsidR="002E7433" w:rsidRPr="00773422" w:rsidRDefault="002E7433" w:rsidP="002E7433">
      <w:pPr>
        <w:pStyle w:val="af0"/>
      </w:pPr>
      <w:r>
        <w:t>В подразделе «Предшественники» представлены сведения об организации, являющейся предшественник</w:t>
      </w:r>
      <w:r w:rsidRPr="00773422">
        <w:t>ом объекта контроля. Из данного подраздела можно перейти в сводный реестр ЕПБС, нажав на ячейку в столбце «ОГРН».</w:t>
      </w:r>
    </w:p>
    <w:p w:rsidR="002E7433" w:rsidRPr="00CC4A39"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_Ref42617182 \h </w:instrText>
      </w:r>
      <w:r w:rsidRPr="00773422">
        <w:rPr>
          <w:lang w:val="en-US"/>
        </w:rPr>
        <w:instrText>\# #</w:instrText>
      </w:r>
      <w:r>
        <w:instrText xml:space="preserve"> \* MERGEFORMAT </w:instrText>
      </w:r>
      <w:r w:rsidRPr="00773422">
        <w:fldChar w:fldCharType="separate"/>
      </w:r>
      <w:r w:rsidR="00BF0BEE">
        <w:rPr>
          <w:lang w:val="en-US"/>
        </w:rPr>
        <w:t>434</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458371CC" wp14:editId="5EB183BD">
            <wp:extent cx="6188710" cy="908207"/>
            <wp:effectExtent l="19050" t="19050" r="21590" b="25243"/>
            <wp:docPr id="2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7" cstate="print"/>
                    <a:srcRect/>
                    <a:stretch>
                      <a:fillRect/>
                    </a:stretch>
                  </pic:blipFill>
                  <pic:spPr bwMode="auto">
                    <a:xfrm>
                      <a:off x="0" y="0"/>
                      <a:ext cx="6188710" cy="908207"/>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38" w:name="_Ref42617182"/>
      <w:bookmarkStart w:id="1639" w:name="_Toc42623730"/>
      <w:bookmarkStart w:id="1640" w:name="_Toc69290513"/>
      <w:bookmarkStart w:id="1641" w:name="_Toc119584621"/>
      <w:r>
        <w:t xml:space="preserve">Рисунок </w:t>
      </w:r>
      <w:fldSimple w:instr=" SEQ Рисунок \* ARABIC ">
        <w:r w:rsidR="001860A9">
          <w:rPr>
            <w:noProof/>
          </w:rPr>
          <w:t>434</w:t>
        </w:r>
      </w:fldSimple>
      <w:bookmarkEnd w:id="1638"/>
      <w:r>
        <w:t xml:space="preserve"> </w:t>
      </w:r>
      <w:r w:rsidR="00F15820">
        <w:t>–</w:t>
      </w:r>
      <w:r>
        <w:t xml:space="preserve"> Подраздел «</w:t>
      </w:r>
      <w:r w:rsidRPr="004754A0">
        <w:t>Предшественники</w:t>
      </w:r>
      <w:r>
        <w:t>»</w:t>
      </w:r>
      <w:bookmarkEnd w:id="1639"/>
      <w:bookmarkEnd w:id="1640"/>
      <w:bookmarkEnd w:id="1641"/>
    </w:p>
    <w:p w:rsidR="002E7433" w:rsidRDefault="002E7433" w:rsidP="002E7433">
      <w:pPr>
        <w:pStyle w:val="53"/>
      </w:pPr>
      <w:bookmarkStart w:id="1642" w:name="_Toc42623686"/>
      <w:r>
        <w:t>Подраздел «</w:t>
      </w:r>
      <w:r w:rsidRPr="00EF1C30">
        <w:t>Информация о реорганизации объекта</w:t>
      </w:r>
      <w:r>
        <w:t>»</w:t>
      </w:r>
      <w:bookmarkEnd w:id="1642"/>
    </w:p>
    <w:p w:rsidR="002E7433" w:rsidRDefault="002E7433" w:rsidP="002E7433">
      <w:pPr>
        <w:pStyle w:val="af0"/>
      </w:pPr>
      <w:r>
        <w:t>В подразделе «</w:t>
      </w:r>
      <w:r w:rsidRPr="003E608C">
        <w:t>Информация о реорганизации объекта</w:t>
      </w:r>
      <w:r>
        <w:t>» представлены сведения о том, находится/находился ли объект контроля в процессе реорганизации, а также сведения о его правопреемниках в случае завершения процесса реорганизации.</w:t>
      </w:r>
    </w:p>
    <w:p w:rsidR="002E7433" w:rsidRPr="00773422" w:rsidRDefault="002E7433" w:rsidP="002E7433">
      <w:pPr>
        <w:pStyle w:val="af0"/>
      </w:pPr>
      <w:r>
        <w:t xml:space="preserve">Для каждого правопреемника </w:t>
      </w:r>
      <w:r w:rsidRPr="00773422">
        <w:t>предусмотрена возможность перехода к его паспорту, а также к его карточке в сводном реестре ЕПБС.</w:t>
      </w:r>
    </w:p>
    <w:p w:rsidR="002E7433" w:rsidRPr="00CC4A39"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_Ref42617187 \h </w:instrText>
      </w:r>
      <w:r w:rsidRPr="00773422">
        <w:rPr>
          <w:lang w:val="en-US"/>
        </w:rPr>
        <w:instrText>\# #</w:instrText>
      </w:r>
      <w:r>
        <w:instrText xml:space="preserve"> \* MERGEFORMAT </w:instrText>
      </w:r>
      <w:r w:rsidRPr="00773422">
        <w:fldChar w:fldCharType="separate"/>
      </w:r>
      <w:r w:rsidR="00BF0BEE">
        <w:rPr>
          <w:lang w:val="en-US"/>
        </w:rPr>
        <w:t>435</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5B17C153" wp14:editId="39607AEC">
            <wp:extent cx="6188710" cy="2124483"/>
            <wp:effectExtent l="19050" t="19050" r="21590" b="28167"/>
            <wp:docPr id="2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8" cstate="print"/>
                    <a:srcRect/>
                    <a:stretch>
                      <a:fillRect/>
                    </a:stretch>
                  </pic:blipFill>
                  <pic:spPr bwMode="auto">
                    <a:xfrm>
                      <a:off x="0" y="0"/>
                      <a:ext cx="6188710" cy="2124483"/>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43" w:name="_Ref42617187"/>
      <w:bookmarkStart w:id="1644" w:name="_Toc42623731"/>
      <w:bookmarkStart w:id="1645" w:name="_Toc69290514"/>
      <w:bookmarkStart w:id="1646" w:name="_Toc119584622"/>
      <w:r>
        <w:t xml:space="preserve">Рисунок </w:t>
      </w:r>
      <w:fldSimple w:instr=" SEQ Рисунок \* ARABIC ">
        <w:r w:rsidR="001860A9">
          <w:rPr>
            <w:noProof/>
          </w:rPr>
          <w:t>435</w:t>
        </w:r>
      </w:fldSimple>
      <w:bookmarkEnd w:id="1643"/>
      <w:r w:rsidR="00F15820">
        <w:t xml:space="preserve"> – </w:t>
      </w:r>
      <w:r>
        <w:t>Подраздел «</w:t>
      </w:r>
      <w:r w:rsidRPr="003E608C">
        <w:t>Информация о реорганизации объекта</w:t>
      </w:r>
      <w:r>
        <w:t>»</w:t>
      </w:r>
      <w:bookmarkEnd w:id="1644"/>
      <w:bookmarkEnd w:id="1645"/>
      <w:bookmarkEnd w:id="1646"/>
    </w:p>
    <w:p w:rsidR="002E7433" w:rsidRDefault="002E7433" w:rsidP="002E7433">
      <w:pPr>
        <w:pStyle w:val="53"/>
      </w:pPr>
      <w:bookmarkStart w:id="1647" w:name="_Toc42623687"/>
      <w:r>
        <w:t>Подраздел «</w:t>
      </w:r>
      <w:r w:rsidRPr="0025574F">
        <w:t>Информация о ликвидации объекта</w:t>
      </w:r>
      <w:r>
        <w:t>»</w:t>
      </w:r>
      <w:bookmarkEnd w:id="1647"/>
    </w:p>
    <w:p w:rsidR="002E7433" w:rsidRPr="00773422" w:rsidRDefault="002E7433" w:rsidP="002E7433">
      <w:pPr>
        <w:pStyle w:val="af0"/>
      </w:pPr>
      <w:r>
        <w:t>В подразделе «</w:t>
      </w:r>
      <w:r w:rsidRPr="0025574F">
        <w:t>Информация о ликвидации объекта</w:t>
      </w:r>
      <w:r>
        <w:t xml:space="preserve">» представлены сведения документах, на основании </w:t>
      </w:r>
      <w:r w:rsidRPr="00773422">
        <w:t>которых объект контроля находится/находился в процессе ликвидации.</w:t>
      </w:r>
    </w:p>
    <w:p w:rsidR="002E7433" w:rsidRPr="00CC4A39"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_Ref42617190 \h </w:instrText>
      </w:r>
      <w:r w:rsidRPr="00773422">
        <w:rPr>
          <w:lang w:val="en-US"/>
        </w:rPr>
        <w:instrText>\# #</w:instrText>
      </w:r>
      <w:r>
        <w:instrText xml:space="preserve"> \* MERGEFORMAT </w:instrText>
      </w:r>
      <w:r w:rsidRPr="00773422">
        <w:fldChar w:fldCharType="separate"/>
      </w:r>
      <w:r w:rsidR="00BF0BEE">
        <w:rPr>
          <w:lang w:val="en-US"/>
        </w:rPr>
        <w:t>436</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45588D8B" wp14:editId="713AF738">
            <wp:extent cx="6188710" cy="1065148"/>
            <wp:effectExtent l="19050" t="19050" r="21590" b="20702"/>
            <wp:docPr id="2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9" cstate="print"/>
                    <a:srcRect/>
                    <a:stretch>
                      <a:fillRect/>
                    </a:stretch>
                  </pic:blipFill>
                  <pic:spPr bwMode="auto">
                    <a:xfrm>
                      <a:off x="0" y="0"/>
                      <a:ext cx="6188710" cy="1065148"/>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48" w:name="_Ref42617190"/>
      <w:bookmarkStart w:id="1649" w:name="_Toc42623732"/>
      <w:bookmarkStart w:id="1650" w:name="_Toc69290515"/>
      <w:bookmarkStart w:id="1651" w:name="_Toc119584623"/>
      <w:r>
        <w:t xml:space="preserve">Рисунок </w:t>
      </w:r>
      <w:fldSimple w:instr=" SEQ Рисунок \* ARABIC ">
        <w:r w:rsidR="001860A9">
          <w:rPr>
            <w:noProof/>
          </w:rPr>
          <w:t>436</w:t>
        </w:r>
      </w:fldSimple>
      <w:bookmarkEnd w:id="1648"/>
      <w:r>
        <w:t xml:space="preserve"> </w:t>
      </w:r>
      <w:r w:rsidR="00F15820">
        <w:t>–</w:t>
      </w:r>
      <w:r>
        <w:t xml:space="preserve"> Подраздел «</w:t>
      </w:r>
      <w:r w:rsidRPr="0025574F">
        <w:t>Информация о ликвидации объекта</w:t>
      </w:r>
      <w:r>
        <w:t>»</w:t>
      </w:r>
      <w:bookmarkEnd w:id="1649"/>
      <w:bookmarkEnd w:id="1650"/>
      <w:bookmarkEnd w:id="1651"/>
    </w:p>
    <w:p w:rsidR="002E7433" w:rsidRDefault="002E7433" w:rsidP="002E7433">
      <w:pPr>
        <w:pStyle w:val="53"/>
      </w:pPr>
      <w:bookmarkStart w:id="1652" w:name="_Toc42623688"/>
      <w:r>
        <w:t>Подраздел «</w:t>
      </w:r>
      <w:r w:rsidRPr="00D10DA2">
        <w:t>Обособленные подразделения</w:t>
      </w:r>
      <w:r>
        <w:t>»</w:t>
      </w:r>
      <w:bookmarkEnd w:id="1652"/>
    </w:p>
    <w:p w:rsidR="002E7433" w:rsidRPr="00773422" w:rsidRDefault="002E7433" w:rsidP="002E7433">
      <w:pPr>
        <w:pStyle w:val="af0"/>
      </w:pPr>
      <w:r>
        <w:t>В подразделе «</w:t>
      </w:r>
      <w:r w:rsidRPr="00D10DA2">
        <w:t>Обособленные подразделения</w:t>
      </w:r>
      <w:r>
        <w:t>» приводятся сведения об обособленных подразделениях объекта контроля. По умолчанию выводятся 5 обособленных подразделений, чтобы посмотреть полный перечень нужно поставить галочку в параметре «</w:t>
      </w:r>
      <w:r w:rsidRPr="00CF38C7">
        <w:t>Полный перечень обособленных подразделений</w:t>
      </w:r>
      <w:r>
        <w:t xml:space="preserve">». Для удобства </w:t>
      </w:r>
      <w:r w:rsidRPr="00773422">
        <w:t>пользователя над таблицей указано количество обособленных подразделений по данным сводного реестра.</w:t>
      </w:r>
    </w:p>
    <w:p w:rsidR="002E7433" w:rsidRPr="00CC4A39"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_Ref42617199 \h </w:instrText>
      </w:r>
      <w:r w:rsidRPr="00773422">
        <w:rPr>
          <w:lang w:val="en-US"/>
        </w:rPr>
        <w:instrText>\# #</w:instrText>
      </w:r>
      <w:r>
        <w:instrText xml:space="preserve"> \* MERGEFORMAT </w:instrText>
      </w:r>
      <w:r w:rsidRPr="00773422">
        <w:fldChar w:fldCharType="separate"/>
      </w:r>
      <w:r w:rsidR="00BF0BEE">
        <w:rPr>
          <w:lang w:val="en-US"/>
        </w:rPr>
        <w:t>437</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7E2B047E" wp14:editId="53585E5E">
            <wp:extent cx="6188710" cy="2009003"/>
            <wp:effectExtent l="19050" t="19050" r="21590" b="10297"/>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0" cstate="print"/>
                    <a:srcRect/>
                    <a:stretch>
                      <a:fillRect/>
                    </a:stretch>
                  </pic:blipFill>
                  <pic:spPr bwMode="auto">
                    <a:xfrm>
                      <a:off x="0" y="0"/>
                      <a:ext cx="6188710" cy="2009003"/>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53" w:name="_Ref42617199"/>
      <w:bookmarkStart w:id="1654" w:name="_Toc42623733"/>
      <w:bookmarkStart w:id="1655" w:name="_Toc69290516"/>
      <w:bookmarkStart w:id="1656" w:name="_Toc119584624"/>
      <w:r>
        <w:t xml:space="preserve">Рисунок </w:t>
      </w:r>
      <w:fldSimple w:instr=" SEQ Рисунок \* ARABIC ">
        <w:r w:rsidR="001860A9">
          <w:rPr>
            <w:noProof/>
          </w:rPr>
          <w:t>437</w:t>
        </w:r>
      </w:fldSimple>
      <w:bookmarkEnd w:id="1653"/>
      <w:r>
        <w:t xml:space="preserve"> </w:t>
      </w:r>
      <w:r w:rsidR="00F15820">
        <w:t>–</w:t>
      </w:r>
      <w:r>
        <w:t xml:space="preserve"> Подраздел «</w:t>
      </w:r>
      <w:r w:rsidRPr="00D10DA2">
        <w:t>Обособленные подразделения</w:t>
      </w:r>
      <w:r>
        <w:t>»</w:t>
      </w:r>
      <w:bookmarkEnd w:id="1654"/>
      <w:bookmarkEnd w:id="1655"/>
      <w:bookmarkEnd w:id="1656"/>
    </w:p>
    <w:p w:rsidR="002E7433" w:rsidRDefault="002E7433" w:rsidP="002E7433">
      <w:pPr>
        <w:pStyle w:val="53"/>
      </w:pPr>
      <w:bookmarkStart w:id="1657" w:name="_Toc42623689"/>
      <w:r>
        <w:t>Подраздел «</w:t>
      </w:r>
      <w:r w:rsidRPr="002B7356">
        <w:t>Бюджетные полномочия организации</w:t>
      </w:r>
      <w:r>
        <w:t>»</w:t>
      </w:r>
      <w:bookmarkEnd w:id="1657"/>
    </w:p>
    <w:p w:rsidR="002E7433" w:rsidRDefault="002E7433" w:rsidP="002E7433">
      <w:pPr>
        <w:pStyle w:val="af0"/>
      </w:pPr>
      <w:r>
        <w:t>В подразделе «</w:t>
      </w:r>
      <w:r w:rsidRPr="002B7356">
        <w:t>Бюджетные полномочия организации</w:t>
      </w:r>
      <w:r>
        <w:t>» приведены сведения о бюджетных полномочиях объекта контроля.</w:t>
      </w:r>
    </w:p>
    <w:p w:rsidR="002E7433" w:rsidRPr="00773422" w:rsidRDefault="002E7433" w:rsidP="002E7433">
      <w:pPr>
        <w:pStyle w:val="af0"/>
      </w:pPr>
      <w:r>
        <w:t>Для каждого обособленного подразделения есть возможность перехода в сводный реестр ЕПБС при н</w:t>
      </w:r>
      <w:r w:rsidRPr="00773422">
        <w:t>ажатии на код в сводном реестре и переход к паспорту обособленного подразделения при нажатии на наименование.</w:t>
      </w:r>
    </w:p>
    <w:p w:rsidR="002E7433" w:rsidRPr="00C40850" w:rsidRDefault="002E7433" w:rsidP="00DE1661">
      <w:pPr>
        <w:pStyle w:val="13"/>
        <w:rPr>
          <w:lang w:val="en-US"/>
        </w:rPr>
      </w:pPr>
      <w:r w:rsidRPr="00773422">
        <w:t xml:space="preserve">Подраздел показан на рисунке </w:t>
      </w:r>
      <w:r w:rsidRPr="00773422">
        <w:fldChar w:fldCharType="begin"/>
      </w:r>
      <w:r w:rsidRPr="00773422">
        <w:instrText xml:space="preserve"> REF _Ref42617203 \h </w:instrText>
      </w:r>
      <w:r w:rsidRPr="00773422">
        <w:rPr>
          <w:lang w:val="en-US"/>
        </w:rPr>
        <w:instrText>\# #</w:instrText>
      </w:r>
      <w:r>
        <w:instrText xml:space="preserve"> \* MERGEFORMAT </w:instrText>
      </w:r>
      <w:r w:rsidRPr="00773422">
        <w:fldChar w:fldCharType="separate"/>
      </w:r>
      <w:r w:rsidR="00BF0BEE">
        <w:rPr>
          <w:lang w:val="en-US"/>
        </w:rPr>
        <w:t>438</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00291B16" wp14:editId="4400D3CA">
            <wp:extent cx="4343400" cy="1285875"/>
            <wp:effectExtent l="19050" t="19050" r="19050" b="28575"/>
            <wp:docPr id="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1" cstate="print"/>
                    <a:srcRect/>
                    <a:stretch>
                      <a:fillRect/>
                    </a:stretch>
                  </pic:blipFill>
                  <pic:spPr bwMode="auto">
                    <a:xfrm>
                      <a:off x="0" y="0"/>
                      <a:ext cx="4343400" cy="1285875"/>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58" w:name="_Ref42617203"/>
      <w:bookmarkStart w:id="1659" w:name="_Toc42623734"/>
      <w:bookmarkStart w:id="1660" w:name="_Toc69290517"/>
      <w:bookmarkStart w:id="1661" w:name="_Toc119584625"/>
      <w:r>
        <w:t xml:space="preserve">Рисунок </w:t>
      </w:r>
      <w:fldSimple w:instr=" SEQ Рисунок \* ARABIC ">
        <w:r w:rsidR="001860A9">
          <w:rPr>
            <w:noProof/>
          </w:rPr>
          <w:t>438</w:t>
        </w:r>
      </w:fldSimple>
      <w:bookmarkEnd w:id="1658"/>
      <w:r>
        <w:t xml:space="preserve"> </w:t>
      </w:r>
      <w:r w:rsidR="00F15820">
        <w:t>–</w:t>
      </w:r>
      <w:r w:rsidRPr="002B7356">
        <w:t xml:space="preserve"> </w:t>
      </w:r>
      <w:r>
        <w:t>Подраздел «</w:t>
      </w:r>
      <w:r w:rsidRPr="002B7356">
        <w:t>Бюджетные полномочия организации</w:t>
      </w:r>
      <w:r>
        <w:t>»</w:t>
      </w:r>
      <w:bookmarkEnd w:id="1659"/>
      <w:bookmarkEnd w:id="1660"/>
      <w:bookmarkEnd w:id="1661"/>
    </w:p>
    <w:p w:rsidR="002E7433" w:rsidRDefault="002E7433" w:rsidP="002E7433">
      <w:pPr>
        <w:pStyle w:val="53"/>
      </w:pPr>
      <w:bookmarkStart w:id="1662" w:name="_Toc42623690"/>
      <w:r>
        <w:t>Подраздел «</w:t>
      </w:r>
      <w:r w:rsidRPr="005C2CF7">
        <w:t>Лицевые счета, открытые в территориальных органах Федерального казначейства</w:t>
      </w:r>
      <w:r>
        <w:t>»</w:t>
      </w:r>
      <w:bookmarkEnd w:id="1662"/>
    </w:p>
    <w:p w:rsidR="002E7433" w:rsidRDefault="002E7433" w:rsidP="002E7433">
      <w:pPr>
        <w:pStyle w:val="af0"/>
      </w:pPr>
      <w:r>
        <w:t>В подразделе «</w:t>
      </w:r>
      <w:r w:rsidRPr="005C2CF7">
        <w:t>Лицевые счета, открытые в территориальных органах Федерального казначейства</w:t>
      </w:r>
      <w:r>
        <w:t xml:space="preserve">» приведены сведения о лицевых счетах объекта контроля, </w:t>
      </w:r>
      <w:r w:rsidRPr="005C2CF7">
        <w:t>открыты</w:t>
      </w:r>
      <w:r>
        <w:t>х</w:t>
      </w:r>
      <w:r w:rsidRPr="005C2CF7">
        <w:t xml:space="preserve"> в территориальных органах Федерального казначейства</w:t>
      </w:r>
      <w:r>
        <w:t>, в том числе о счетах которые закрыты на актуальную дату.</w:t>
      </w:r>
    </w:p>
    <w:p w:rsidR="002E7433" w:rsidRDefault="002E7433" w:rsidP="002E7433">
      <w:pPr>
        <w:pStyle w:val="af0"/>
      </w:pPr>
      <w:r>
        <w:t>По умолчанию выводятся 5 лицевых счетов, чтобы посмотреть полный перечень нужно поставить галочку в параметре «</w:t>
      </w:r>
      <w:r w:rsidRPr="00CF38C7">
        <w:t xml:space="preserve">Полный перечень </w:t>
      </w:r>
      <w:r>
        <w:t>лицевых счетов». Для удобства пользователя над таблицей указано общее количество лицевых счетов, а также количество открытых лицевых счетов по данным сводного реестра.</w:t>
      </w:r>
    </w:p>
    <w:p w:rsidR="002E7433" w:rsidRDefault="002E7433" w:rsidP="002E7433">
      <w:pPr>
        <w:pStyle w:val="af0"/>
      </w:pPr>
      <w:r>
        <w:t>Для каждого лицевого счета указан его статус, а также данные дополнены цветовым индикатором:</w:t>
      </w:r>
    </w:p>
    <w:p w:rsidR="002E7433" w:rsidRDefault="002E7433" w:rsidP="00DE1661">
      <w:pPr>
        <w:pStyle w:val="13"/>
      </w:pPr>
      <w:r w:rsidRPr="00583EEB">
        <w:rPr>
          <w:highlight w:val="green"/>
        </w:rPr>
        <w:t>зеленый</w:t>
      </w:r>
      <w:r>
        <w:t xml:space="preserve"> – статус лицевого счета «Открыт»;</w:t>
      </w:r>
    </w:p>
    <w:p w:rsidR="002E7433" w:rsidRDefault="002E7433" w:rsidP="00DE1661">
      <w:pPr>
        <w:pStyle w:val="13"/>
      </w:pPr>
      <w:r w:rsidRPr="00FC4197">
        <w:rPr>
          <w:highlight w:val="red"/>
        </w:rPr>
        <w:t>красный</w:t>
      </w:r>
      <w:r>
        <w:t xml:space="preserve"> – статус лицевого счета «Закрыт».</w:t>
      </w:r>
    </w:p>
    <w:p w:rsidR="002E7433" w:rsidRPr="00C40850" w:rsidRDefault="002E7433" w:rsidP="00DE1661">
      <w:pPr>
        <w:pStyle w:val="13"/>
        <w:rPr>
          <w:lang w:val="en-US"/>
        </w:rPr>
      </w:pPr>
      <w:r w:rsidRPr="00C77729">
        <w:t xml:space="preserve">Подраздел </w:t>
      </w:r>
      <w:r w:rsidRPr="00773422">
        <w:t xml:space="preserve">показан на рисунке </w:t>
      </w:r>
      <w:r w:rsidRPr="00773422">
        <w:fldChar w:fldCharType="begin"/>
      </w:r>
      <w:r w:rsidRPr="00773422">
        <w:instrText xml:space="preserve"> REF _Ref42617208 \h </w:instrText>
      </w:r>
      <w:r w:rsidRPr="00773422">
        <w:rPr>
          <w:lang w:val="en-US"/>
        </w:rPr>
        <w:instrText>\# #</w:instrText>
      </w:r>
      <w:r>
        <w:instrText xml:space="preserve"> \* MERGEFORMAT </w:instrText>
      </w:r>
      <w:r w:rsidRPr="00773422">
        <w:fldChar w:fldCharType="separate"/>
      </w:r>
      <w:r w:rsidR="00BF0BEE">
        <w:rPr>
          <w:lang w:val="en-US"/>
        </w:rPr>
        <w:t>439</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6EC9BA15" wp14:editId="4BF4ADB7">
            <wp:extent cx="6188710" cy="2120877"/>
            <wp:effectExtent l="19050" t="19050" r="21590" b="12723"/>
            <wp:docPr id="4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2" cstate="print"/>
                    <a:srcRect/>
                    <a:stretch>
                      <a:fillRect/>
                    </a:stretch>
                  </pic:blipFill>
                  <pic:spPr bwMode="auto">
                    <a:xfrm>
                      <a:off x="0" y="0"/>
                      <a:ext cx="6188710" cy="2120877"/>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63" w:name="_Ref42617208"/>
      <w:bookmarkStart w:id="1664" w:name="_Toc42623735"/>
      <w:bookmarkStart w:id="1665" w:name="_Toc69290518"/>
      <w:bookmarkStart w:id="1666" w:name="_Toc119584626"/>
      <w:r>
        <w:t xml:space="preserve">Рисунок </w:t>
      </w:r>
      <w:fldSimple w:instr=" SEQ Рисунок \* ARABIC ">
        <w:r w:rsidR="001860A9">
          <w:rPr>
            <w:noProof/>
          </w:rPr>
          <w:t>439</w:t>
        </w:r>
      </w:fldSimple>
      <w:bookmarkEnd w:id="1663"/>
      <w:r>
        <w:t xml:space="preserve"> </w:t>
      </w:r>
      <w:r w:rsidR="00F15820">
        <w:t>–</w:t>
      </w:r>
      <w:r>
        <w:t xml:space="preserve"> Подраздел «</w:t>
      </w:r>
      <w:r w:rsidRPr="005C2CF7">
        <w:t>Лицевые счета, открытые в территориальных органах Федерального казначейства</w:t>
      </w:r>
      <w:r>
        <w:t>»</w:t>
      </w:r>
      <w:bookmarkEnd w:id="1664"/>
      <w:bookmarkEnd w:id="1665"/>
      <w:bookmarkEnd w:id="1666"/>
    </w:p>
    <w:p w:rsidR="002E7433" w:rsidRDefault="002E7433" w:rsidP="002E7433">
      <w:pPr>
        <w:pStyle w:val="53"/>
      </w:pPr>
      <w:bookmarkStart w:id="1667" w:name="_Toc42623691"/>
      <w:r>
        <w:t>Подраздел «</w:t>
      </w:r>
      <w:r w:rsidRPr="009B77A2">
        <w:t>Лицензии</w:t>
      </w:r>
      <w:r>
        <w:t>»</w:t>
      </w:r>
      <w:bookmarkEnd w:id="1667"/>
    </w:p>
    <w:p w:rsidR="002E7433" w:rsidRDefault="002E7433" w:rsidP="002E7433">
      <w:pPr>
        <w:pStyle w:val="af0"/>
      </w:pPr>
      <w:r>
        <w:t>В подразделе «</w:t>
      </w:r>
      <w:r w:rsidRPr="009B77A2">
        <w:t>Лицензии</w:t>
      </w:r>
      <w:r>
        <w:t>» приведены сведения о лицензиях объекта контроля.</w:t>
      </w:r>
    </w:p>
    <w:p w:rsidR="002E7433" w:rsidRPr="00773422" w:rsidRDefault="002E7433" w:rsidP="002E7433">
      <w:pPr>
        <w:pStyle w:val="af0"/>
      </w:pPr>
      <w:r>
        <w:t>По умолчанию выводятся 5 лицензий, чтобы посмотреть полный перечень нужно поставить галочку в параметре «</w:t>
      </w:r>
      <w:r w:rsidRPr="00CF38C7">
        <w:t xml:space="preserve">Полный перечень </w:t>
      </w:r>
      <w:r>
        <w:t>лицензий». Для удобства пользователя над т</w:t>
      </w:r>
      <w:r w:rsidRPr="00773422">
        <w:t>аблицей указано общее количество лицензий.</w:t>
      </w:r>
    </w:p>
    <w:p w:rsidR="002E7433" w:rsidRPr="00C85804" w:rsidRDefault="002E7433" w:rsidP="00DE1661">
      <w:pPr>
        <w:pStyle w:val="13"/>
      </w:pPr>
      <w:r w:rsidRPr="00773422">
        <w:t xml:space="preserve">Подраздел показан на рисунке </w:t>
      </w:r>
      <w:r w:rsidRPr="00773422">
        <w:fldChar w:fldCharType="begin"/>
      </w:r>
      <w:r w:rsidRPr="00773422">
        <w:instrText xml:space="preserve"> REF _Ref42617212 \h \# #</w:instrText>
      </w:r>
      <w:r>
        <w:instrText xml:space="preserve"> \* MERGEFORMAT </w:instrText>
      </w:r>
      <w:r w:rsidRPr="00773422">
        <w:fldChar w:fldCharType="separate"/>
      </w:r>
      <w:r w:rsidR="00BF0BEE">
        <w:t>440</w:t>
      </w:r>
      <w:r w:rsidRPr="00773422">
        <w:fldChar w:fldCharType="end"/>
      </w:r>
      <w:r w:rsidRPr="00773422">
        <w:t>.</w:t>
      </w:r>
    </w:p>
    <w:p w:rsidR="002E7433" w:rsidRDefault="002E7433" w:rsidP="002E7433">
      <w:pPr>
        <w:pStyle w:val="afffff7"/>
      </w:pPr>
      <w:r>
        <w:rPr>
          <w:noProof/>
          <w:lang w:eastAsia="ru-RU"/>
        </w:rPr>
        <w:drawing>
          <wp:inline distT="0" distB="0" distL="0" distR="0" wp14:anchorId="04B92984" wp14:editId="4E7A4CDF">
            <wp:extent cx="6188710" cy="874439"/>
            <wp:effectExtent l="19050" t="19050" r="21590" b="20911"/>
            <wp:docPr id="4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3" cstate="print"/>
                    <a:srcRect/>
                    <a:stretch>
                      <a:fillRect/>
                    </a:stretch>
                  </pic:blipFill>
                  <pic:spPr bwMode="auto">
                    <a:xfrm>
                      <a:off x="0" y="0"/>
                      <a:ext cx="6188710" cy="874439"/>
                    </a:xfrm>
                    <a:prstGeom prst="rect">
                      <a:avLst/>
                    </a:prstGeom>
                    <a:noFill/>
                    <a:ln w="9525">
                      <a:solidFill>
                        <a:schemeClr val="bg1">
                          <a:lumMod val="85000"/>
                        </a:schemeClr>
                      </a:solidFill>
                      <a:miter lim="800000"/>
                      <a:headEnd/>
                      <a:tailEnd/>
                    </a:ln>
                  </pic:spPr>
                </pic:pic>
              </a:graphicData>
            </a:graphic>
          </wp:inline>
        </w:drawing>
      </w:r>
    </w:p>
    <w:p w:rsidR="002E7433" w:rsidRPr="007F2A41" w:rsidRDefault="002E7433" w:rsidP="00F15820">
      <w:pPr>
        <w:pStyle w:val="-0"/>
      </w:pPr>
      <w:bookmarkStart w:id="1668" w:name="_Ref42617212"/>
      <w:bookmarkStart w:id="1669" w:name="_Toc42623736"/>
      <w:bookmarkStart w:id="1670" w:name="_Toc69290519"/>
      <w:bookmarkStart w:id="1671" w:name="_Toc119584627"/>
      <w:r>
        <w:t xml:space="preserve">Рисунок </w:t>
      </w:r>
      <w:fldSimple w:instr=" SEQ Рисунок \* ARABIC ">
        <w:r w:rsidR="001860A9">
          <w:rPr>
            <w:noProof/>
          </w:rPr>
          <w:t>440</w:t>
        </w:r>
      </w:fldSimple>
      <w:bookmarkEnd w:id="1668"/>
      <w:r>
        <w:t xml:space="preserve"> </w:t>
      </w:r>
      <w:r w:rsidR="00F15820">
        <w:t>–</w:t>
      </w:r>
      <w:r>
        <w:t xml:space="preserve"> Подраздел «</w:t>
      </w:r>
      <w:r w:rsidRPr="009B77A2">
        <w:t>Лицензии</w:t>
      </w:r>
      <w:r>
        <w:t>»</w:t>
      </w:r>
      <w:bookmarkEnd w:id="1669"/>
      <w:bookmarkEnd w:id="1670"/>
      <w:bookmarkEnd w:id="1671"/>
    </w:p>
    <w:p w:rsidR="002E7433" w:rsidRDefault="002E7433" w:rsidP="00862055">
      <w:pPr>
        <w:pStyle w:val="42"/>
        <w:numPr>
          <w:ilvl w:val="3"/>
          <w:numId w:val="135"/>
        </w:numPr>
      </w:pPr>
      <w:bookmarkStart w:id="1672" w:name="_Toc42623692"/>
      <w:r>
        <w:t>Раздел</w:t>
      </w:r>
      <w:r w:rsidRPr="00DB1DF3">
        <w:t xml:space="preserve"> «</w:t>
      </w:r>
      <w:r w:rsidRPr="00703154">
        <w:t>Рейтинг объекта контроля</w:t>
      </w:r>
      <w:r w:rsidRPr="00DB1DF3">
        <w:t>»</w:t>
      </w:r>
      <w:bookmarkEnd w:id="1672"/>
    </w:p>
    <w:p w:rsidR="002E7433" w:rsidRPr="00773422" w:rsidRDefault="002E7433" w:rsidP="002E7433">
      <w:pPr>
        <w:pStyle w:val="af0"/>
      </w:pPr>
      <w:r>
        <w:t>В разделе «</w:t>
      </w:r>
      <w:r w:rsidRPr="00431FC7">
        <w:t>Рейтинг объекта контроля</w:t>
      </w:r>
      <w:r>
        <w:t xml:space="preserve">» приведены сведения о рейтинге по закупкам, рейтинге по финансовому менеджменту, рейтингу качества системы ВФА и общему составному рейтингу ФК объекта контроля. На данный момент рейтинг приводится </w:t>
      </w:r>
      <w:r w:rsidRPr="00773422">
        <w:t>только для объектов контроля с полномочием ГРБС.</w:t>
      </w:r>
    </w:p>
    <w:p w:rsidR="002E7433" w:rsidRPr="001646EF" w:rsidRDefault="002E7433" w:rsidP="00DE1661">
      <w:pPr>
        <w:pStyle w:val="13"/>
        <w:rPr>
          <w:lang w:val="en-US"/>
        </w:rPr>
      </w:pPr>
      <w:r w:rsidRPr="00773422">
        <w:t xml:space="preserve">Раздел показан на рисунке </w:t>
      </w:r>
      <w:r w:rsidRPr="00773422">
        <w:fldChar w:fldCharType="begin"/>
      </w:r>
      <w:r w:rsidRPr="00773422">
        <w:instrText xml:space="preserve"> REF _Ref42617216 \h </w:instrText>
      </w:r>
      <w:r w:rsidRPr="00773422">
        <w:rPr>
          <w:lang w:val="en-US"/>
        </w:rPr>
        <w:instrText>\# #</w:instrText>
      </w:r>
      <w:r>
        <w:instrText xml:space="preserve"> \* MERGEFORMAT </w:instrText>
      </w:r>
      <w:r w:rsidRPr="00773422">
        <w:fldChar w:fldCharType="separate"/>
      </w:r>
      <w:r w:rsidR="00BF0BEE">
        <w:rPr>
          <w:lang w:val="en-US"/>
        </w:rPr>
        <w:t>441</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44E3EF63" wp14:editId="776383C6">
            <wp:extent cx="6188710" cy="946509"/>
            <wp:effectExtent l="19050" t="19050" r="21590" b="25041"/>
            <wp:docPr id="4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4" cstate="print"/>
                    <a:srcRect/>
                    <a:stretch>
                      <a:fillRect/>
                    </a:stretch>
                  </pic:blipFill>
                  <pic:spPr bwMode="auto">
                    <a:xfrm>
                      <a:off x="0" y="0"/>
                      <a:ext cx="6188710" cy="946509"/>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673" w:name="_Ref42617216"/>
      <w:bookmarkStart w:id="1674" w:name="_Toc42623737"/>
      <w:bookmarkStart w:id="1675" w:name="_Toc69290520"/>
      <w:bookmarkStart w:id="1676" w:name="_Toc119584628"/>
      <w:r>
        <w:t xml:space="preserve">Рисунок </w:t>
      </w:r>
      <w:fldSimple w:instr=" SEQ Рисунок \* ARABIC ">
        <w:r w:rsidR="001860A9">
          <w:rPr>
            <w:noProof/>
          </w:rPr>
          <w:t>441</w:t>
        </w:r>
      </w:fldSimple>
      <w:bookmarkEnd w:id="1673"/>
      <w:r>
        <w:t xml:space="preserve"> – Раздел «Рейтинг объекта контроля»</w:t>
      </w:r>
      <w:bookmarkEnd w:id="1674"/>
      <w:bookmarkEnd w:id="1675"/>
      <w:bookmarkEnd w:id="1676"/>
    </w:p>
    <w:p w:rsidR="002E7433" w:rsidRDefault="002E7433" w:rsidP="00862055">
      <w:pPr>
        <w:pStyle w:val="42"/>
        <w:numPr>
          <w:ilvl w:val="3"/>
          <w:numId w:val="135"/>
        </w:numPr>
      </w:pPr>
      <w:bookmarkStart w:id="1677" w:name="_Toc42623693"/>
      <w:r>
        <w:t>Раздел</w:t>
      </w:r>
      <w:r w:rsidRPr="00733DE3">
        <w:t xml:space="preserve"> «</w:t>
      </w:r>
      <w:r>
        <w:t>Контрольные мероприятия</w:t>
      </w:r>
      <w:r w:rsidRPr="00733DE3">
        <w:t>»</w:t>
      </w:r>
      <w:bookmarkEnd w:id="1677"/>
    </w:p>
    <w:p w:rsidR="002E7433" w:rsidRDefault="002E7433" w:rsidP="00DE1661">
      <w:pPr>
        <w:pStyle w:val="13"/>
      </w:pPr>
      <w:r>
        <w:t>Раздел находится в разработке.</w:t>
      </w:r>
    </w:p>
    <w:p w:rsidR="002E7433" w:rsidRDefault="002E7433" w:rsidP="00862055">
      <w:pPr>
        <w:pStyle w:val="42"/>
        <w:numPr>
          <w:ilvl w:val="3"/>
          <w:numId w:val="135"/>
        </w:numPr>
      </w:pPr>
      <w:bookmarkStart w:id="1678" w:name="_Toc42623694"/>
      <w:r>
        <w:t>Раздел</w:t>
      </w:r>
      <w:r w:rsidRPr="00733DE3">
        <w:t xml:space="preserve"> «</w:t>
      </w:r>
      <w:r>
        <w:t>Результаты КМ</w:t>
      </w:r>
      <w:r w:rsidRPr="00733DE3">
        <w:t>»</w:t>
      </w:r>
      <w:bookmarkEnd w:id="1678"/>
    </w:p>
    <w:p w:rsidR="002E7433" w:rsidRDefault="002E7433" w:rsidP="00DE1661">
      <w:pPr>
        <w:pStyle w:val="13"/>
      </w:pPr>
      <w:r>
        <w:t>Раздел находится в разработке.</w:t>
      </w:r>
    </w:p>
    <w:p w:rsidR="002E7433" w:rsidRDefault="002E7433" w:rsidP="00862055">
      <w:pPr>
        <w:pStyle w:val="42"/>
        <w:numPr>
          <w:ilvl w:val="3"/>
          <w:numId w:val="135"/>
        </w:numPr>
      </w:pPr>
      <w:bookmarkStart w:id="1679" w:name="_Toc42623695"/>
      <w:r>
        <w:t>Раздел</w:t>
      </w:r>
      <w:r w:rsidRPr="00733DE3">
        <w:t xml:space="preserve"> «</w:t>
      </w:r>
      <w:r>
        <w:t>Производства</w:t>
      </w:r>
      <w:r w:rsidRPr="00733DE3">
        <w:t>»</w:t>
      </w:r>
      <w:bookmarkEnd w:id="1679"/>
    </w:p>
    <w:p w:rsidR="002E7433" w:rsidRDefault="002E7433" w:rsidP="00DE1661">
      <w:pPr>
        <w:pStyle w:val="13"/>
      </w:pPr>
      <w:r>
        <w:t>Раздел находится в разработке.</w:t>
      </w:r>
    </w:p>
    <w:p w:rsidR="002E7433" w:rsidRDefault="002E7433" w:rsidP="00862055">
      <w:pPr>
        <w:pStyle w:val="42"/>
        <w:numPr>
          <w:ilvl w:val="3"/>
          <w:numId w:val="135"/>
        </w:numPr>
      </w:pPr>
      <w:bookmarkStart w:id="1680" w:name="_Toc42623696"/>
      <w:r>
        <w:t>Раздел</w:t>
      </w:r>
      <w:r w:rsidRPr="00733DE3">
        <w:t xml:space="preserve"> «</w:t>
      </w:r>
      <w:r>
        <w:t>Контракты с нарушениями</w:t>
      </w:r>
      <w:r w:rsidRPr="00733DE3">
        <w:t>»</w:t>
      </w:r>
      <w:bookmarkEnd w:id="1680"/>
    </w:p>
    <w:p w:rsidR="002E7433" w:rsidRDefault="002E7433" w:rsidP="00DE1661">
      <w:pPr>
        <w:pStyle w:val="13"/>
      </w:pPr>
      <w:r>
        <w:t>Раздел находится в разработке.</w:t>
      </w:r>
    </w:p>
    <w:p w:rsidR="002E7433" w:rsidRDefault="002E7433" w:rsidP="00862055">
      <w:pPr>
        <w:pStyle w:val="42"/>
        <w:numPr>
          <w:ilvl w:val="3"/>
          <w:numId w:val="135"/>
        </w:numPr>
      </w:pPr>
      <w:bookmarkStart w:id="1681" w:name="_Toc42623697"/>
      <w:r>
        <w:t>Раздел</w:t>
      </w:r>
      <w:r w:rsidRPr="00733DE3">
        <w:t xml:space="preserve"> «</w:t>
      </w:r>
      <w:r>
        <w:t>Выявленные нарушения</w:t>
      </w:r>
      <w:r w:rsidRPr="00733DE3">
        <w:t>»</w:t>
      </w:r>
      <w:bookmarkEnd w:id="1681"/>
    </w:p>
    <w:p w:rsidR="002E7433" w:rsidRDefault="002E7433" w:rsidP="00DE1661">
      <w:pPr>
        <w:pStyle w:val="13"/>
      </w:pPr>
      <w:r>
        <w:t>Раздел находится в разработке.</w:t>
      </w:r>
    </w:p>
    <w:p w:rsidR="002E7433" w:rsidRDefault="002E7433" w:rsidP="00862055">
      <w:pPr>
        <w:pStyle w:val="42"/>
        <w:numPr>
          <w:ilvl w:val="3"/>
          <w:numId w:val="135"/>
        </w:numPr>
      </w:pPr>
      <w:bookmarkStart w:id="1682" w:name="_Toc42623698"/>
      <w:r>
        <w:t>Раздел</w:t>
      </w:r>
      <w:r w:rsidRPr="00733DE3">
        <w:t xml:space="preserve"> «</w:t>
      </w:r>
      <w:r>
        <w:t>Сведения о доходах</w:t>
      </w:r>
      <w:r w:rsidRPr="00733DE3">
        <w:t>»</w:t>
      </w:r>
      <w:bookmarkEnd w:id="1682"/>
    </w:p>
    <w:p w:rsidR="002E7433" w:rsidRDefault="002E7433" w:rsidP="00DE1661">
      <w:pPr>
        <w:pStyle w:val="13"/>
      </w:pPr>
      <w:r>
        <w:t>В разделе «Сведения о доходах» приводятся данные об исполнении кассового плана по доходам. Для каждого года в выбранном периоде приводятся плановые показатели и фактическое кассовое исполнение за выбранный период в ежемесячном разрезе.</w:t>
      </w:r>
    </w:p>
    <w:p w:rsidR="002E7433" w:rsidRDefault="002E7433" w:rsidP="00DE1661">
      <w:pPr>
        <w:pStyle w:val="13"/>
      </w:pPr>
      <w:r>
        <w:t>Поскольку в таблице приводятся данные для ОГВ с подведомственной сетью, то для просмотра необходимо установить галочку в чек-боксе «</w:t>
      </w:r>
      <w:r w:rsidRPr="00A21B24">
        <w:t>Сформировать паспорт с учётом подведомственных учреждений</w:t>
      </w:r>
      <w:r>
        <w:t>».</w:t>
      </w:r>
    </w:p>
    <w:p w:rsidR="002E7433" w:rsidRPr="00773422" w:rsidRDefault="002E7433" w:rsidP="00DE1661">
      <w:pPr>
        <w:pStyle w:val="13"/>
      </w:pPr>
      <w:r>
        <w:t>В таблице приведены сведения по исполнению налоговых и неналоговых доходов, безвозмездных поступлений, для просмотра детализированных данных из данного отчета можно перейти к отчету «</w:t>
      </w:r>
      <w:r w:rsidRPr="000B4199">
        <w:t xml:space="preserve">Информация об исполнении доходов федерального </w:t>
      </w:r>
      <w:r w:rsidRPr="00773422">
        <w:t>бюджета в разрезе кодов бюджетной классификации», нажав ячейку в столбце «Исполнено с начала года».</w:t>
      </w:r>
    </w:p>
    <w:p w:rsidR="002E7433" w:rsidRPr="001646EF" w:rsidRDefault="002E7433" w:rsidP="00DE1661">
      <w:pPr>
        <w:pStyle w:val="13"/>
        <w:rPr>
          <w:lang w:val="en-US"/>
        </w:rPr>
      </w:pPr>
      <w:r w:rsidRPr="00773422">
        <w:t xml:space="preserve">Раздел показан на рисунке </w:t>
      </w:r>
      <w:r w:rsidRPr="00773422">
        <w:fldChar w:fldCharType="begin"/>
      </w:r>
      <w:r w:rsidRPr="00773422">
        <w:instrText xml:space="preserve"> REF _Ref42617225 \h </w:instrText>
      </w:r>
      <w:r w:rsidRPr="00773422">
        <w:rPr>
          <w:lang w:val="en-US"/>
        </w:rPr>
        <w:instrText>\# #</w:instrText>
      </w:r>
      <w:r>
        <w:instrText xml:space="preserve"> \* MERGEFORMAT </w:instrText>
      </w:r>
      <w:r w:rsidRPr="00773422">
        <w:fldChar w:fldCharType="separate"/>
      </w:r>
      <w:r w:rsidR="00BF0BEE">
        <w:rPr>
          <w:lang w:val="en-US"/>
        </w:rPr>
        <w:t>442</w:t>
      </w:r>
      <w:r w:rsidRPr="00773422">
        <w:fldChar w:fldCharType="end"/>
      </w:r>
      <w:r w:rsidRPr="00773422">
        <w:rPr>
          <w:lang w:val="en-US"/>
        </w:rPr>
        <w:t>.</w:t>
      </w:r>
    </w:p>
    <w:p w:rsidR="002E7433" w:rsidRDefault="002E7433" w:rsidP="002E7433">
      <w:pPr>
        <w:pStyle w:val="afffff7"/>
      </w:pPr>
      <w:r>
        <w:rPr>
          <w:noProof/>
          <w:lang w:eastAsia="ru-RU"/>
        </w:rPr>
        <w:drawing>
          <wp:inline distT="0" distB="0" distL="0" distR="0" wp14:anchorId="3FC348D4" wp14:editId="41CDB745">
            <wp:extent cx="6188710" cy="1065509"/>
            <wp:effectExtent l="19050" t="19050" r="21590" b="20341"/>
            <wp:docPr id="4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5" cstate="print"/>
                    <a:srcRect/>
                    <a:stretch>
                      <a:fillRect/>
                    </a:stretch>
                  </pic:blipFill>
                  <pic:spPr bwMode="auto">
                    <a:xfrm>
                      <a:off x="0" y="0"/>
                      <a:ext cx="6188710" cy="1065509"/>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83" w:name="_Ref42617225"/>
      <w:bookmarkStart w:id="1684" w:name="_Toc42623738"/>
      <w:bookmarkStart w:id="1685" w:name="_Toc69290521"/>
      <w:bookmarkStart w:id="1686" w:name="_Toc119584629"/>
      <w:r>
        <w:t xml:space="preserve">Рисунок </w:t>
      </w:r>
      <w:fldSimple w:instr=" SEQ Рисунок \* ARABIC ">
        <w:r w:rsidR="001860A9">
          <w:rPr>
            <w:noProof/>
          </w:rPr>
          <w:t>442</w:t>
        </w:r>
      </w:fldSimple>
      <w:bookmarkEnd w:id="1683"/>
      <w:r>
        <w:t xml:space="preserve"> </w:t>
      </w:r>
      <w:r w:rsidR="00F15820">
        <w:t>–</w:t>
      </w:r>
      <w:r>
        <w:t xml:space="preserve"> Раздел «Сведения о доходах»</w:t>
      </w:r>
      <w:bookmarkEnd w:id="1684"/>
      <w:bookmarkEnd w:id="1685"/>
      <w:bookmarkEnd w:id="1686"/>
    </w:p>
    <w:p w:rsidR="002E7433" w:rsidRDefault="002E7433" w:rsidP="00862055">
      <w:pPr>
        <w:pStyle w:val="42"/>
        <w:numPr>
          <w:ilvl w:val="3"/>
          <w:numId w:val="135"/>
        </w:numPr>
      </w:pPr>
      <w:bookmarkStart w:id="1687" w:name="_Toc42623699"/>
      <w:r>
        <w:t>Раздел</w:t>
      </w:r>
      <w:r w:rsidRPr="00733DE3">
        <w:t xml:space="preserve"> «</w:t>
      </w:r>
      <w:r>
        <w:t>Сведения о расходах</w:t>
      </w:r>
      <w:r w:rsidRPr="00733DE3">
        <w:t>»</w:t>
      </w:r>
      <w:bookmarkEnd w:id="1687"/>
    </w:p>
    <w:p w:rsidR="002E7433" w:rsidRDefault="002E7433" w:rsidP="00DE1661">
      <w:pPr>
        <w:pStyle w:val="13"/>
      </w:pPr>
      <w:r>
        <w:t xml:space="preserve">В разделе «Сведения о расходах» приводятся данные об исполнении </w:t>
      </w:r>
      <w:r w:rsidRPr="008D6F03">
        <w:t>федерального бюджета по расходам</w:t>
      </w:r>
      <w:r>
        <w:t>. Для каждого года в выбранном периоде приводятся плановые показатели и фактическое исполнение за выбранный период в ежемесячном разрезе.</w:t>
      </w:r>
    </w:p>
    <w:p w:rsidR="002E7433" w:rsidRDefault="002E7433" w:rsidP="00DE1661">
      <w:pPr>
        <w:pStyle w:val="13"/>
      </w:pPr>
      <w:r>
        <w:t>Поскольку в таблице приводятся данные для ОГВ с подведомственной сетью, то для просмотра необходимо установить галочку в чек-боксе «</w:t>
      </w:r>
      <w:r w:rsidRPr="00A21B24">
        <w:t>Сформировать паспорт с учётом подведомственных учреждений</w:t>
      </w:r>
      <w:r>
        <w:t>».</w:t>
      </w:r>
    </w:p>
    <w:p w:rsidR="002E7433" w:rsidRDefault="002E7433" w:rsidP="00DE1661">
      <w:pPr>
        <w:pStyle w:val="13"/>
      </w:pPr>
      <w:r>
        <w:t>В таблице приведены сведения по исполнению видов расходов:</w:t>
      </w:r>
    </w:p>
    <w:p w:rsidR="002E7433" w:rsidRPr="0049270F" w:rsidRDefault="002E7433" w:rsidP="00DE1661">
      <w:pPr>
        <w:pStyle w:val="13"/>
      </w:pPr>
      <w:r w:rsidRPr="0049270F">
        <w:t>Расходы на выплату персоналу;</w:t>
      </w:r>
    </w:p>
    <w:p w:rsidR="002E7433" w:rsidRPr="0049270F" w:rsidRDefault="002E7433" w:rsidP="00DE1661">
      <w:pPr>
        <w:pStyle w:val="13"/>
      </w:pPr>
      <w:r w:rsidRPr="0049270F">
        <w:t>Закупка товаров, работ и услуг;</w:t>
      </w:r>
    </w:p>
    <w:p w:rsidR="002E7433" w:rsidRPr="0049270F" w:rsidRDefault="002E7433" w:rsidP="00DE1661">
      <w:pPr>
        <w:pStyle w:val="13"/>
      </w:pPr>
      <w:r w:rsidRPr="0049270F">
        <w:t>Научно-исследовательские и опытно-конструкторские работы;</w:t>
      </w:r>
    </w:p>
    <w:p w:rsidR="002E7433" w:rsidRPr="0049270F" w:rsidRDefault="002E7433" w:rsidP="00DE1661">
      <w:pPr>
        <w:pStyle w:val="13"/>
      </w:pPr>
      <w:r w:rsidRPr="0049270F">
        <w:t>Закупка товаров, работ, услуг в сфере информационно-коммуникационных технологий;</w:t>
      </w:r>
    </w:p>
    <w:p w:rsidR="002E7433" w:rsidRPr="0049270F" w:rsidRDefault="002E7433" w:rsidP="00DE1661">
      <w:pPr>
        <w:pStyle w:val="13"/>
      </w:pPr>
      <w:r w:rsidRPr="0049270F">
        <w:t>Социальное обеспечение и иные выплаты населению;</w:t>
      </w:r>
    </w:p>
    <w:p w:rsidR="002E7433" w:rsidRPr="0049270F" w:rsidRDefault="002E7433" w:rsidP="00DE1661">
      <w:pPr>
        <w:pStyle w:val="13"/>
      </w:pPr>
      <w:r w:rsidRPr="0049270F">
        <w:t>Капитальные вложения в объекты государственной (муниципальной) собственности;</w:t>
      </w:r>
    </w:p>
    <w:p w:rsidR="002E7433" w:rsidRPr="0049270F" w:rsidRDefault="002E7433" w:rsidP="00DE1661">
      <w:pPr>
        <w:pStyle w:val="13"/>
      </w:pPr>
      <w:r w:rsidRPr="0049270F">
        <w:t>Межбюджетные трансферты;</w:t>
      </w:r>
    </w:p>
    <w:p w:rsidR="002E7433" w:rsidRPr="0049270F" w:rsidRDefault="002E7433" w:rsidP="00DE1661">
      <w:pPr>
        <w:pStyle w:val="13"/>
      </w:pPr>
      <w:r w:rsidRPr="0049270F">
        <w:t>Предоставление субсидий бюджетным, автономным и иным некоммерческим организациям;</w:t>
      </w:r>
    </w:p>
    <w:p w:rsidR="002E7433" w:rsidRPr="0049270F" w:rsidRDefault="002E7433" w:rsidP="00DE1661">
      <w:pPr>
        <w:pStyle w:val="13"/>
      </w:pPr>
      <w:r w:rsidRPr="0049270F">
        <w:t>Иные бюджетные ассигнования.</w:t>
      </w:r>
    </w:p>
    <w:p w:rsidR="002E7433" w:rsidRDefault="002E7433" w:rsidP="00DE1661">
      <w:pPr>
        <w:pStyle w:val="13"/>
      </w:pPr>
      <w:r>
        <w:t>Для просмотра детализированных данных из данного отчета можно перейти к отчету «</w:t>
      </w:r>
      <w:r w:rsidRPr="003325B9">
        <w:t>Исполнение федерального бюджета по расходам в разрезе кодов бюджетной классификации</w:t>
      </w:r>
      <w:r>
        <w:t>», нажав ячейку в столбце «Исполнено с начала года».</w:t>
      </w:r>
    </w:p>
    <w:p w:rsidR="002E7433" w:rsidRPr="001646EF" w:rsidRDefault="002E7433" w:rsidP="00DE1661">
      <w:pPr>
        <w:pStyle w:val="13"/>
        <w:rPr>
          <w:lang w:val="en-US"/>
        </w:rPr>
      </w:pPr>
      <w:r>
        <w:t>Р</w:t>
      </w:r>
      <w:r w:rsidRPr="00C77729">
        <w:t xml:space="preserve">аздел показан на </w:t>
      </w:r>
      <w:r w:rsidRPr="00985050">
        <w:t xml:space="preserve">рисунке </w:t>
      </w:r>
      <w:r w:rsidRPr="00985050">
        <w:fldChar w:fldCharType="begin"/>
      </w:r>
      <w:r w:rsidRPr="00985050">
        <w:instrText xml:space="preserve"> REF _Ref42617231 \h </w:instrText>
      </w:r>
      <w:r w:rsidRPr="00985050">
        <w:rPr>
          <w:lang w:val="en-US"/>
        </w:rPr>
        <w:instrText>\# #</w:instrText>
      </w:r>
      <w:r>
        <w:instrText xml:space="preserve"> \* MERGEFORMAT </w:instrText>
      </w:r>
      <w:r w:rsidRPr="00985050">
        <w:fldChar w:fldCharType="separate"/>
      </w:r>
      <w:r w:rsidR="00BF0BEE">
        <w:rPr>
          <w:lang w:val="en-US"/>
        </w:rPr>
        <w:t>443</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0BFCAC22" wp14:editId="77645490">
            <wp:extent cx="6188710" cy="2066305"/>
            <wp:effectExtent l="19050" t="19050" r="21590" b="10145"/>
            <wp:docPr id="2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6" cstate="print"/>
                    <a:srcRect/>
                    <a:stretch>
                      <a:fillRect/>
                    </a:stretch>
                  </pic:blipFill>
                  <pic:spPr bwMode="auto">
                    <a:xfrm>
                      <a:off x="0" y="0"/>
                      <a:ext cx="6188710" cy="2066305"/>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88" w:name="_Ref42617231"/>
      <w:bookmarkStart w:id="1689" w:name="_Toc42623739"/>
      <w:bookmarkStart w:id="1690" w:name="_Toc69290522"/>
      <w:bookmarkStart w:id="1691" w:name="_Toc119584630"/>
      <w:r>
        <w:t xml:space="preserve">Рисунок </w:t>
      </w:r>
      <w:fldSimple w:instr=" SEQ Рисунок \* ARABIC ">
        <w:r w:rsidR="001860A9">
          <w:rPr>
            <w:noProof/>
          </w:rPr>
          <w:t>443</w:t>
        </w:r>
      </w:fldSimple>
      <w:bookmarkEnd w:id="1688"/>
      <w:r>
        <w:t xml:space="preserve"> </w:t>
      </w:r>
      <w:r w:rsidR="00F15820">
        <w:t>–</w:t>
      </w:r>
      <w:r>
        <w:t xml:space="preserve"> Раздел «Сведения о расходах»</w:t>
      </w:r>
      <w:bookmarkEnd w:id="1689"/>
      <w:bookmarkEnd w:id="1690"/>
      <w:bookmarkEnd w:id="1691"/>
    </w:p>
    <w:p w:rsidR="002E7433" w:rsidRDefault="002E7433" w:rsidP="00862055">
      <w:pPr>
        <w:pStyle w:val="42"/>
        <w:numPr>
          <w:ilvl w:val="3"/>
          <w:numId w:val="135"/>
        </w:numPr>
      </w:pPr>
      <w:bookmarkStart w:id="1692" w:name="_Toc42623700"/>
      <w:r>
        <w:t>Раздел</w:t>
      </w:r>
      <w:r w:rsidRPr="00733DE3">
        <w:t xml:space="preserve"> «</w:t>
      </w:r>
      <w:r>
        <w:t>Сведения об источниках финансирования</w:t>
      </w:r>
      <w:r w:rsidRPr="00733DE3">
        <w:t>»</w:t>
      </w:r>
      <w:bookmarkEnd w:id="1692"/>
    </w:p>
    <w:p w:rsidR="002E7433" w:rsidRDefault="002E7433" w:rsidP="002E7433">
      <w:pPr>
        <w:pStyle w:val="af0"/>
      </w:pPr>
      <w:r>
        <w:t>В разделе «Сведения об источниках финансирования» приводятся данные об исполнении кассового плана по доходам. Для каждого года в выбранном периоде приводятся плановые показатели и фактическое кассовое исполнение за выбранный период в ежемесячном разрезе.</w:t>
      </w:r>
    </w:p>
    <w:p w:rsidR="002E7433" w:rsidRDefault="002E7433" w:rsidP="002E7433">
      <w:pPr>
        <w:pStyle w:val="af0"/>
      </w:pPr>
      <w:r>
        <w:t>Поскольку в таблице приводятся данные для ОГВ с подведомственной сетью, то для просмотра необходимо установить галочку в чек-боксе «</w:t>
      </w:r>
      <w:r w:rsidRPr="00A21B24">
        <w:t>Сформировать паспорт с учётом подведомственных учреждений</w:t>
      </w:r>
      <w:r>
        <w:t>».</w:t>
      </w:r>
    </w:p>
    <w:p w:rsidR="002E7433" w:rsidRDefault="002E7433" w:rsidP="002E7433">
      <w:pPr>
        <w:pStyle w:val="af0"/>
      </w:pPr>
      <w:r>
        <w:t>В таблице приведены сведения по исполнению источников внутреннего и внешнего финансирования дефицита бюджета, для просмотра детализированных данных из данного отчета можно перейти к отчетам:</w:t>
      </w:r>
    </w:p>
    <w:p w:rsidR="002E7433" w:rsidRPr="0049270F" w:rsidRDefault="002E7433" w:rsidP="00DE1661">
      <w:pPr>
        <w:pStyle w:val="13"/>
      </w:pPr>
      <w:r w:rsidRPr="0049270F">
        <w:t>«Показатели, предусмотренные (учтенные при формировании) федеральным законом о федеральном бюджете», нажав ячейку в столбце «Утверждено БА»;</w:t>
      </w:r>
    </w:p>
    <w:p w:rsidR="002E7433" w:rsidRPr="0049270F" w:rsidRDefault="002E7433" w:rsidP="00DE1661">
      <w:pPr>
        <w:pStyle w:val="13"/>
      </w:pPr>
      <w:r w:rsidRPr="0049270F">
        <w:t>«Оперативная информация о кассовых поступлениях и выплатах федерального бюджета», нажав ячейку в столбце «Исполнено с начала года».</w:t>
      </w:r>
    </w:p>
    <w:p w:rsidR="002E7433" w:rsidRPr="00A95052" w:rsidRDefault="002E7433" w:rsidP="00DE1661">
      <w:pPr>
        <w:pStyle w:val="13"/>
      </w:pPr>
      <w:r w:rsidRPr="00985050">
        <w:t xml:space="preserve">Раздел показан на рисунке </w:t>
      </w:r>
      <w:r w:rsidRPr="00985050">
        <w:fldChar w:fldCharType="begin"/>
      </w:r>
      <w:r w:rsidRPr="00985050">
        <w:instrText xml:space="preserve"> REF _Ref42618096 \h </w:instrText>
      </w:r>
      <w:r w:rsidRPr="00985050">
        <w:rPr>
          <w:lang w:val="en-US"/>
        </w:rPr>
        <w:instrText>\# #</w:instrText>
      </w:r>
      <w:r>
        <w:instrText xml:space="preserve"> \* MERGEFORMAT </w:instrText>
      </w:r>
      <w:r w:rsidRPr="00985050">
        <w:fldChar w:fldCharType="separate"/>
      </w:r>
      <w:r w:rsidR="00BF0BEE">
        <w:rPr>
          <w:lang w:val="en-US"/>
        </w:rPr>
        <w:t>444</w:t>
      </w:r>
      <w:r w:rsidRPr="00985050">
        <w:fldChar w:fldCharType="end"/>
      </w:r>
      <w:r w:rsidRPr="00985050">
        <w:t>.</w:t>
      </w:r>
    </w:p>
    <w:p w:rsidR="002E7433" w:rsidRDefault="002E7433" w:rsidP="002E7433">
      <w:pPr>
        <w:pStyle w:val="afffff7"/>
      </w:pPr>
      <w:r>
        <w:rPr>
          <w:noProof/>
          <w:lang w:eastAsia="ru-RU"/>
        </w:rPr>
        <w:drawing>
          <wp:inline distT="0" distB="0" distL="0" distR="0" wp14:anchorId="5F0D0BB3" wp14:editId="1286C7BE">
            <wp:extent cx="6188710" cy="1145870"/>
            <wp:effectExtent l="19050" t="19050" r="21590" b="16180"/>
            <wp:docPr id="5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7" cstate="print"/>
                    <a:srcRect/>
                    <a:stretch>
                      <a:fillRect/>
                    </a:stretch>
                  </pic:blipFill>
                  <pic:spPr bwMode="auto">
                    <a:xfrm>
                      <a:off x="0" y="0"/>
                      <a:ext cx="6188710" cy="1145870"/>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93" w:name="_Ref42618096"/>
      <w:bookmarkStart w:id="1694" w:name="_Toc42623740"/>
      <w:bookmarkStart w:id="1695" w:name="_Toc69290523"/>
      <w:bookmarkStart w:id="1696" w:name="_Toc119584631"/>
      <w:r>
        <w:t xml:space="preserve">Рисунок </w:t>
      </w:r>
      <w:fldSimple w:instr=" SEQ Рисунок \* ARABIC ">
        <w:r w:rsidR="001860A9">
          <w:rPr>
            <w:noProof/>
          </w:rPr>
          <w:t>444</w:t>
        </w:r>
      </w:fldSimple>
      <w:bookmarkEnd w:id="1693"/>
      <w:r w:rsidRPr="00C85804">
        <w:t xml:space="preserve"> </w:t>
      </w:r>
      <w:r w:rsidR="00F15820">
        <w:t>–</w:t>
      </w:r>
      <w:r w:rsidRPr="00C85804">
        <w:t xml:space="preserve"> </w:t>
      </w:r>
      <w:r>
        <w:t>Раздел «Сведения об источниках финансирования»</w:t>
      </w:r>
      <w:bookmarkEnd w:id="1694"/>
      <w:bookmarkEnd w:id="1695"/>
      <w:bookmarkEnd w:id="1696"/>
    </w:p>
    <w:p w:rsidR="002E7433" w:rsidRDefault="002E7433" w:rsidP="00862055">
      <w:pPr>
        <w:pStyle w:val="42"/>
        <w:numPr>
          <w:ilvl w:val="3"/>
          <w:numId w:val="135"/>
        </w:numPr>
      </w:pPr>
      <w:bookmarkStart w:id="1697" w:name="_Toc42623701"/>
      <w:r>
        <w:t>Раздел</w:t>
      </w:r>
      <w:r w:rsidRPr="00733DE3">
        <w:t xml:space="preserve"> «</w:t>
      </w:r>
      <w:r>
        <w:t>Казначейское сопровождение</w:t>
      </w:r>
      <w:r w:rsidRPr="00733DE3">
        <w:t>»</w:t>
      </w:r>
      <w:bookmarkEnd w:id="1697"/>
    </w:p>
    <w:p w:rsidR="002E7433" w:rsidRDefault="002E7433" w:rsidP="002E7433">
      <w:pPr>
        <w:pStyle w:val="53"/>
      </w:pPr>
      <w:bookmarkStart w:id="1698" w:name="_Toc42623702"/>
      <w:r>
        <w:t>Подраздел «Крупнейшие контракты»</w:t>
      </w:r>
      <w:bookmarkEnd w:id="1698"/>
    </w:p>
    <w:p w:rsidR="002E7433" w:rsidRDefault="002E7433" w:rsidP="002E7433">
      <w:pPr>
        <w:pStyle w:val="af0"/>
      </w:pPr>
      <w:r>
        <w:t>Подраздел «Крупнейшие контракты» содержит сведения о 5 крупнейших контрактах, подлежащих казначейскому сопровождению, на последнюю дату выбранного периода.</w:t>
      </w:r>
    </w:p>
    <w:p w:rsidR="002E7433" w:rsidRPr="00985050" w:rsidRDefault="002E7433" w:rsidP="002E7433">
      <w:pPr>
        <w:pStyle w:val="af0"/>
      </w:pPr>
      <w:r>
        <w:t>Для просмотра детализированной информации по казначейскому сопровождению контрактов объекта контроля из таблицы есть возможность перехода к отчету «Казначейское сопровождения»</w:t>
      </w:r>
      <w:r w:rsidRPr="00BE3449">
        <w:t xml:space="preserve"> </w:t>
      </w:r>
      <w:r>
        <w:t>в представление «</w:t>
      </w:r>
      <w:r w:rsidRPr="003F2F61">
        <w:t>ГК, контракты учреждений, соглаше</w:t>
      </w:r>
      <w:r w:rsidRPr="00985050">
        <w:t>ния».</w:t>
      </w:r>
    </w:p>
    <w:p w:rsidR="002E7433" w:rsidRPr="001646EF" w:rsidRDefault="002E7433" w:rsidP="002E7433">
      <w:pPr>
        <w:pStyle w:val="af0"/>
        <w:rPr>
          <w:lang w:val="en-US"/>
        </w:rPr>
      </w:pPr>
      <w:r w:rsidRPr="00985050">
        <w:t xml:space="preserve">Подраздел показан на рисунке </w:t>
      </w:r>
      <w:r w:rsidRPr="00985050">
        <w:fldChar w:fldCharType="begin"/>
      </w:r>
      <w:r w:rsidRPr="00985050">
        <w:instrText xml:space="preserve"> REF _Ref42617241 \h </w:instrText>
      </w:r>
      <w:r w:rsidRPr="00985050">
        <w:rPr>
          <w:lang w:val="en-US"/>
        </w:rPr>
        <w:instrText>\# #</w:instrText>
      </w:r>
      <w:r>
        <w:instrText xml:space="preserve"> \* MERGEFORMAT </w:instrText>
      </w:r>
      <w:r w:rsidRPr="00985050">
        <w:fldChar w:fldCharType="separate"/>
      </w:r>
      <w:r w:rsidR="00BF0BEE">
        <w:rPr>
          <w:lang w:val="en-US"/>
        </w:rPr>
        <w:t>445</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57A98536" wp14:editId="1D684382">
            <wp:extent cx="6188710" cy="1451613"/>
            <wp:effectExtent l="19050" t="19050" r="21590" b="15237"/>
            <wp:docPr id="2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8" cstate="print"/>
                    <a:srcRect/>
                    <a:stretch>
                      <a:fillRect/>
                    </a:stretch>
                  </pic:blipFill>
                  <pic:spPr bwMode="auto">
                    <a:xfrm>
                      <a:off x="0" y="0"/>
                      <a:ext cx="6188710" cy="1451613"/>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699" w:name="_Ref42617241"/>
      <w:bookmarkStart w:id="1700" w:name="_Toc42623741"/>
      <w:bookmarkStart w:id="1701" w:name="_Toc69290524"/>
      <w:bookmarkStart w:id="1702" w:name="_Toc119584632"/>
      <w:r>
        <w:t xml:space="preserve">Рисунок </w:t>
      </w:r>
      <w:fldSimple w:instr=" SEQ Рисунок \* ARABIC ">
        <w:r w:rsidR="001860A9">
          <w:rPr>
            <w:noProof/>
          </w:rPr>
          <w:t>445</w:t>
        </w:r>
      </w:fldSimple>
      <w:bookmarkEnd w:id="1699"/>
      <w:r>
        <w:t xml:space="preserve"> </w:t>
      </w:r>
      <w:r w:rsidR="00F15820">
        <w:t>–</w:t>
      </w:r>
      <w:r>
        <w:t xml:space="preserve"> Подраздел «Крупнейшие контракты»</w:t>
      </w:r>
      <w:bookmarkEnd w:id="1700"/>
      <w:bookmarkEnd w:id="1701"/>
      <w:bookmarkEnd w:id="1702"/>
    </w:p>
    <w:p w:rsidR="002E7433" w:rsidRDefault="002E7433" w:rsidP="002E7433">
      <w:pPr>
        <w:pStyle w:val="53"/>
      </w:pPr>
      <w:bookmarkStart w:id="1703" w:name="_Toc42623703"/>
      <w:r>
        <w:t>Подраздел «</w:t>
      </w:r>
      <w:r w:rsidRPr="004D34E5">
        <w:t>Остатки средств на счетах ЮЛ</w:t>
      </w:r>
      <w:r>
        <w:t>»</w:t>
      </w:r>
      <w:bookmarkEnd w:id="1703"/>
    </w:p>
    <w:p w:rsidR="002E7433" w:rsidRDefault="002E7433" w:rsidP="002E7433">
      <w:pPr>
        <w:pStyle w:val="af0"/>
      </w:pPr>
      <w:r>
        <w:t>Подраздел «</w:t>
      </w:r>
      <w:r w:rsidRPr="001B7136">
        <w:t>Остатки средств на счетах ЮЛ</w:t>
      </w:r>
      <w:r>
        <w:t xml:space="preserve">» содержит сведения об остатках средств </w:t>
      </w:r>
      <w:r w:rsidRPr="004D34E5">
        <w:t>на счетах юридических лиц, перечисленных при применении механизма казначейского сопровождения</w:t>
      </w:r>
      <w:r>
        <w:t>, на каждую дату (01.ММ.ГГГГ – 1-е число месяца) в выбранном периоде.</w:t>
      </w:r>
    </w:p>
    <w:p w:rsidR="002E7433" w:rsidRPr="00985050" w:rsidRDefault="002E7433" w:rsidP="002E7433">
      <w:pPr>
        <w:pStyle w:val="af0"/>
      </w:pPr>
      <w:r>
        <w:t xml:space="preserve">На данный момент реализовано представление «71 ЛС», где сведения представлены для 71-х лицевых счетов. В проработке находится представление «41 ЛС», где будут </w:t>
      </w:r>
      <w:r w:rsidRPr="00985050">
        <w:t>представлены сведения для 41-х лицевых счетов.</w:t>
      </w:r>
    </w:p>
    <w:p w:rsidR="002E7433" w:rsidRPr="001646EF" w:rsidRDefault="002E7433" w:rsidP="002E7433">
      <w:pPr>
        <w:pStyle w:val="af0"/>
        <w:rPr>
          <w:lang w:val="en-US"/>
        </w:rPr>
      </w:pPr>
      <w:r w:rsidRPr="00985050">
        <w:t xml:space="preserve">Подраздел показан на рисунке </w:t>
      </w:r>
      <w:r w:rsidRPr="00985050">
        <w:fldChar w:fldCharType="begin"/>
      </w:r>
      <w:r w:rsidRPr="00985050">
        <w:instrText xml:space="preserve"> REF _Ref42617259 \h </w:instrText>
      </w:r>
      <w:r w:rsidRPr="00985050">
        <w:rPr>
          <w:lang w:val="en-US"/>
        </w:rPr>
        <w:instrText>\# #</w:instrText>
      </w:r>
      <w:r>
        <w:instrText xml:space="preserve"> \* MERGEFORMAT </w:instrText>
      </w:r>
      <w:r w:rsidRPr="00985050">
        <w:fldChar w:fldCharType="separate"/>
      </w:r>
      <w:r w:rsidR="00BF0BEE">
        <w:rPr>
          <w:lang w:val="en-US"/>
        </w:rPr>
        <w:t>446</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43F2925E" wp14:editId="4BE5E635">
            <wp:extent cx="6188710" cy="1297910"/>
            <wp:effectExtent l="19050" t="19050" r="21590" b="16540"/>
            <wp:docPr id="2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9" cstate="print"/>
                    <a:srcRect/>
                    <a:stretch>
                      <a:fillRect/>
                    </a:stretch>
                  </pic:blipFill>
                  <pic:spPr bwMode="auto">
                    <a:xfrm>
                      <a:off x="0" y="0"/>
                      <a:ext cx="6188710" cy="1297910"/>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704" w:name="_Ref42617259"/>
      <w:bookmarkStart w:id="1705" w:name="_Toc42623742"/>
      <w:bookmarkStart w:id="1706" w:name="_Toc69290525"/>
      <w:bookmarkStart w:id="1707" w:name="_Toc119584633"/>
      <w:r>
        <w:t xml:space="preserve">Рисунок </w:t>
      </w:r>
      <w:fldSimple w:instr=" SEQ Рисунок \* ARABIC ">
        <w:r w:rsidR="001860A9">
          <w:rPr>
            <w:noProof/>
          </w:rPr>
          <w:t>446</w:t>
        </w:r>
      </w:fldSimple>
      <w:bookmarkEnd w:id="1704"/>
      <w:r>
        <w:t xml:space="preserve"> </w:t>
      </w:r>
      <w:r w:rsidR="00F15820">
        <w:t>–</w:t>
      </w:r>
      <w:r>
        <w:t xml:space="preserve"> Подраздел «</w:t>
      </w:r>
      <w:r w:rsidRPr="001B7136">
        <w:t>Остатки средств на счетах ЮЛ</w:t>
      </w:r>
      <w:r>
        <w:t>»</w:t>
      </w:r>
      <w:bookmarkEnd w:id="1705"/>
      <w:bookmarkEnd w:id="1706"/>
      <w:bookmarkEnd w:id="1707"/>
    </w:p>
    <w:p w:rsidR="002E7433" w:rsidRDefault="002E7433" w:rsidP="002E7433">
      <w:pPr>
        <w:pStyle w:val="53"/>
      </w:pPr>
      <w:bookmarkStart w:id="1708" w:name="_Toc42623704"/>
      <w:r>
        <w:t>Подраздел «</w:t>
      </w:r>
      <w:r w:rsidRPr="001E0585">
        <w:t>Причины отказа платежных поручений</w:t>
      </w:r>
      <w:r>
        <w:t>»</w:t>
      </w:r>
      <w:bookmarkEnd w:id="1708"/>
    </w:p>
    <w:p w:rsidR="002E7433" w:rsidRDefault="002E7433" w:rsidP="002E7433">
      <w:pPr>
        <w:pStyle w:val="af0"/>
      </w:pPr>
      <w:r>
        <w:t>Подраздел «</w:t>
      </w:r>
      <w:r w:rsidRPr="001E0585">
        <w:t>Причины отказа платежных поручений</w:t>
      </w:r>
      <w:r>
        <w:t>» содержит сведения о 5-ти самых частых причинах отказа платежных поручений при применении механизма казначейского сопровождения. В таблице указано количество и общая сумма платежных поручений, в которых было отказано по каждой причине.</w:t>
      </w:r>
    </w:p>
    <w:p w:rsidR="002E7433" w:rsidRPr="00985050" w:rsidRDefault="002E7433" w:rsidP="002E7433">
      <w:pPr>
        <w:pStyle w:val="af0"/>
      </w:pPr>
      <w:r>
        <w:t xml:space="preserve">Из таблицы есть возможность перехода к отчету «Казначейское сопровождения» в </w:t>
      </w:r>
      <w:r w:rsidRPr="00985050">
        <w:t>представление «Факты отказа платежных поручений».</w:t>
      </w:r>
    </w:p>
    <w:p w:rsidR="002E7433" w:rsidRPr="001646EF" w:rsidRDefault="002E7433" w:rsidP="002E7433">
      <w:pPr>
        <w:pStyle w:val="af0"/>
        <w:rPr>
          <w:lang w:val="en-US"/>
        </w:rPr>
      </w:pPr>
      <w:r w:rsidRPr="00985050">
        <w:t xml:space="preserve">Подраздел показан на рисунке </w:t>
      </w:r>
      <w:r w:rsidRPr="00985050">
        <w:fldChar w:fldCharType="begin"/>
      </w:r>
      <w:r w:rsidRPr="00985050">
        <w:instrText xml:space="preserve"> REF _Ref42617263 \h </w:instrText>
      </w:r>
      <w:r w:rsidRPr="00985050">
        <w:rPr>
          <w:lang w:val="en-US"/>
        </w:rPr>
        <w:instrText>\# #</w:instrText>
      </w:r>
      <w:r>
        <w:instrText xml:space="preserve"> \* MERGEFORMAT </w:instrText>
      </w:r>
      <w:r w:rsidRPr="00985050">
        <w:fldChar w:fldCharType="separate"/>
      </w:r>
      <w:r w:rsidR="00BF0BEE">
        <w:rPr>
          <w:lang w:val="en-US"/>
        </w:rPr>
        <w:t>447</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4DBD52B9" wp14:editId="731B6A61">
            <wp:extent cx="6143625" cy="2247900"/>
            <wp:effectExtent l="19050" t="19050" r="28575" b="19050"/>
            <wp:docPr id="2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0" cstate="print"/>
                    <a:srcRect/>
                    <a:stretch>
                      <a:fillRect/>
                    </a:stretch>
                  </pic:blipFill>
                  <pic:spPr bwMode="auto">
                    <a:xfrm>
                      <a:off x="0" y="0"/>
                      <a:ext cx="6143625" cy="2247900"/>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09" w:name="_Ref42617263"/>
      <w:bookmarkStart w:id="1710" w:name="_Toc42623743"/>
      <w:bookmarkStart w:id="1711" w:name="_Toc69290526"/>
      <w:bookmarkStart w:id="1712" w:name="_Toc119584634"/>
      <w:r>
        <w:t xml:space="preserve">Рисунок </w:t>
      </w:r>
      <w:fldSimple w:instr=" SEQ Рисунок \* ARABIC ">
        <w:r w:rsidR="001860A9">
          <w:rPr>
            <w:noProof/>
          </w:rPr>
          <w:t>447</w:t>
        </w:r>
      </w:fldSimple>
      <w:bookmarkEnd w:id="1709"/>
      <w:r>
        <w:t xml:space="preserve"> - Подраздел «</w:t>
      </w:r>
      <w:r w:rsidRPr="001E0585">
        <w:t>Причины отказа платежных поручений</w:t>
      </w:r>
      <w:r>
        <w:t>»</w:t>
      </w:r>
      <w:bookmarkEnd w:id="1710"/>
      <w:bookmarkEnd w:id="1711"/>
      <w:bookmarkEnd w:id="1712"/>
    </w:p>
    <w:p w:rsidR="002E7433" w:rsidRDefault="002E7433" w:rsidP="00862055">
      <w:pPr>
        <w:pStyle w:val="42"/>
        <w:numPr>
          <w:ilvl w:val="3"/>
          <w:numId w:val="135"/>
        </w:numPr>
      </w:pPr>
      <w:bookmarkStart w:id="1713" w:name="_Toc42623705"/>
      <w:r>
        <w:t>Раздел</w:t>
      </w:r>
      <w:r w:rsidRPr="00733DE3">
        <w:t xml:space="preserve"> «</w:t>
      </w:r>
      <w:r>
        <w:t>Участие в национальных проектах</w:t>
      </w:r>
      <w:r w:rsidRPr="00733DE3">
        <w:t>»</w:t>
      </w:r>
      <w:bookmarkEnd w:id="1713"/>
    </w:p>
    <w:p w:rsidR="002E7433" w:rsidRDefault="002E7433" w:rsidP="002E7433">
      <w:pPr>
        <w:pStyle w:val="af0"/>
      </w:pPr>
      <w:r>
        <w:t>В разделе «</w:t>
      </w:r>
      <w:r w:rsidRPr="00A04CE3">
        <w:t>Участие в национальных проектах</w:t>
      </w:r>
      <w:r>
        <w:t>» приведены сведения об исполнении национальных проектов, в которых участвует объект контроля, на последнюю дату выбранного периода.</w:t>
      </w:r>
    </w:p>
    <w:p w:rsidR="002E7433" w:rsidRPr="00985050" w:rsidRDefault="002E7433" w:rsidP="002E7433">
      <w:pPr>
        <w:pStyle w:val="af0"/>
      </w:pPr>
      <w:r>
        <w:t>Из таблицы есть возможность перехода к детализации в рамках отчета «</w:t>
      </w:r>
      <w:r w:rsidRPr="00764690">
        <w:t xml:space="preserve">Информация об исполнении национальных (федеральных) проектов в разрезе бюджетов бюджетной </w:t>
      </w:r>
      <w:r w:rsidRPr="00985050">
        <w:t>системы Российской Федерации».</w:t>
      </w:r>
    </w:p>
    <w:p w:rsidR="002E7433" w:rsidRPr="00673549" w:rsidRDefault="002E7433" w:rsidP="002E7433">
      <w:pPr>
        <w:pStyle w:val="af0"/>
        <w:rPr>
          <w:lang w:val="en-US"/>
        </w:rPr>
      </w:pPr>
      <w:r w:rsidRPr="00985050">
        <w:t xml:space="preserve">Раздел показан на рисунке </w:t>
      </w:r>
      <w:r w:rsidRPr="00985050">
        <w:fldChar w:fldCharType="begin"/>
      </w:r>
      <w:r w:rsidRPr="00985050">
        <w:instrText xml:space="preserve"> REF _Ref42617268 \h </w:instrText>
      </w:r>
      <w:r w:rsidRPr="00985050">
        <w:rPr>
          <w:lang w:val="en-US"/>
        </w:rPr>
        <w:instrText>\# #</w:instrText>
      </w:r>
      <w:r>
        <w:instrText xml:space="preserve"> \* MERGEFORMAT </w:instrText>
      </w:r>
      <w:r w:rsidRPr="00985050">
        <w:fldChar w:fldCharType="separate"/>
      </w:r>
      <w:r w:rsidR="00BF0BEE">
        <w:rPr>
          <w:lang w:val="en-US"/>
        </w:rPr>
        <w:t>448</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7DCD1002" wp14:editId="3EEC17D6">
            <wp:extent cx="6188710" cy="1424940"/>
            <wp:effectExtent l="19050" t="19050" r="21590" b="22860"/>
            <wp:docPr id="23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1" cstate="print"/>
                    <a:srcRect/>
                    <a:stretch>
                      <a:fillRect/>
                    </a:stretch>
                  </pic:blipFill>
                  <pic:spPr bwMode="auto">
                    <a:xfrm>
                      <a:off x="0" y="0"/>
                      <a:ext cx="6188710" cy="1424940"/>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714" w:name="_Ref42617268"/>
      <w:bookmarkStart w:id="1715" w:name="_Toc42623744"/>
      <w:bookmarkStart w:id="1716" w:name="_Toc69290527"/>
      <w:bookmarkStart w:id="1717" w:name="_Toc119584635"/>
      <w:r>
        <w:t xml:space="preserve">Рисунок </w:t>
      </w:r>
      <w:fldSimple w:instr=" SEQ Рисунок \* ARABIC ">
        <w:r w:rsidR="001860A9">
          <w:rPr>
            <w:noProof/>
          </w:rPr>
          <w:t>448</w:t>
        </w:r>
      </w:fldSimple>
      <w:bookmarkEnd w:id="1714"/>
      <w:r>
        <w:t xml:space="preserve"> </w:t>
      </w:r>
      <w:r w:rsidR="00F15820">
        <w:t>–</w:t>
      </w:r>
      <w:r>
        <w:t xml:space="preserve"> Раздел «</w:t>
      </w:r>
      <w:r w:rsidRPr="00A04CE3">
        <w:t>Участие в национальных проектах</w:t>
      </w:r>
      <w:r>
        <w:t>»</w:t>
      </w:r>
      <w:bookmarkEnd w:id="1715"/>
      <w:bookmarkEnd w:id="1716"/>
      <w:bookmarkEnd w:id="1717"/>
    </w:p>
    <w:p w:rsidR="002E7433" w:rsidRDefault="002E7433" w:rsidP="00862055">
      <w:pPr>
        <w:pStyle w:val="42"/>
        <w:numPr>
          <w:ilvl w:val="3"/>
          <w:numId w:val="135"/>
        </w:numPr>
      </w:pPr>
      <w:bookmarkStart w:id="1718" w:name="_Toc42623706"/>
      <w:r>
        <w:t>Раздел</w:t>
      </w:r>
      <w:r w:rsidRPr="00733DE3">
        <w:t xml:space="preserve"> «</w:t>
      </w:r>
      <w:r>
        <w:t>Участие в государственных программах</w:t>
      </w:r>
      <w:r w:rsidRPr="00733DE3">
        <w:t>»</w:t>
      </w:r>
      <w:bookmarkEnd w:id="1718"/>
    </w:p>
    <w:p w:rsidR="002E7433" w:rsidRDefault="002E7433" w:rsidP="002E7433">
      <w:pPr>
        <w:pStyle w:val="af0"/>
      </w:pPr>
      <w:r>
        <w:t>В разделе «</w:t>
      </w:r>
      <w:r w:rsidRPr="00A04CE3">
        <w:t xml:space="preserve">Участие в </w:t>
      </w:r>
      <w:r>
        <w:t>государственных программах» приведены сведения об исполнении государственных программ, в которых участвует объект контроля, на последнюю дату выбранного периода.</w:t>
      </w:r>
    </w:p>
    <w:p w:rsidR="002E7433" w:rsidRPr="00985050" w:rsidRDefault="002E7433" w:rsidP="002E7433">
      <w:pPr>
        <w:pStyle w:val="af0"/>
      </w:pPr>
      <w:r>
        <w:t xml:space="preserve">Из таблицы есть </w:t>
      </w:r>
      <w:r w:rsidRPr="00985050">
        <w:t>возможность перехода к детализации в рамках отчета «Мониторинг исполнения государственных программ и национальных проектов» представление «ГП в разрезе ГРБС».</w:t>
      </w:r>
    </w:p>
    <w:p w:rsidR="002E7433" w:rsidRPr="00673549" w:rsidRDefault="002E7433" w:rsidP="002E7433">
      <w:pPr>
        <w:pStyle w:val="af0"/>
        <w:rPr>
          <w:lang w:val="en-US"/>
        </w:rPr>
      </w:pPr>
      <w:r w:rsidRPr="00985050">
        <w:t xml:space="preserve">Раздел показан на рисунке </w:t>
      </w:r>
      <w:r w:rsidRPr="00985050">
        <w:fldChar w:fldCharType="begin"/>
      </w:r>
      <w:r w:rsidRPr="00985050">
        <w:instrText xml:space="preserve"> REF _Ref42617271 \h </w:instrText>
      </w:r>
      <w:r w:rsidRPr="00985050">
        <w:rPr>
          <w:lang w:val="en-US"/>
        </w:rPr>
        <w:instrText>\# #</w:instrText>
      </w:r>
      <w:r>
        <w:instrText xml:space="preserve"> \* MERGEFORMAT </w:instrText>
      </w:r>
      <w:r w:rsidRPr="00985050">
        <w:fldChar w:fldCharType="separate"/>
      </w:r>
      <w:r w:rsidR="00BF0BEE">
        <w:rPr>
          <w:lang w:val="en-US"/>
        </w:rPr>
        <w:t>449</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025B3102" wp14:editId="7F73B90B">
            <wp:extent cx="6188710" cy="1969770"/>
            <wp:effectExtent l="19050" t="19050" r="21590" b="11430"/>
            <wp:docPr id="2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2" cstate="print"/>
                    <a:srcRect/>
                    <a:stretch>
                      <a:fillRect/>
                    </a:stretch>
                  </pic:blipFill>
                  <pic:spPr bwMode="auto">
                    <a:xfrm>
                      <a:off x="0" y="0"/>
                      <a:ext cx="6188710" cy="1969770"/>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719" w:name="_Ref42617271"/>
      <w:bookmarkStart w:id="1720" w:name="_Toc42623745"/>
      <w:bookmarkStart w:id="1721" w:name="_Toc69290528"/>
      <w:bookmarkStart w:id="1722" w:name="_Toc119584636"/>
      <w:r>
        <w:t xml:space="preserve">Рисунок </w:t>
      </w:r>
      <w:fldSimple w:instr=" SEQ Рисунок \* ARABIC ">
        <w:r w:rsidR="001860A9">
          <w:rPr>
            <w:noProof/>
          </w:rPr>
          <w:t>449</w:t>
        </w:r>
      </w:fldSimple>
      <w:bookmarkEnd w:id="1719"/>
      <w:r>
        <w:t xml:space="preserve"> </w:t>
      </w:r>
      <w:r w:rsidR="00F15820">
        <w:t>–</w:t>
      </w:r>
      <w:r>
        <w:t xml:space="preserve"> Раздел «</w:t>
      </w:r>
      <w:r w:rsidRPr="00A04CE3">
        <w:t xml:space="preserve">Участие в </w:t>
      </w:r>
      <w:r>
        <w:t>государственных  программах»</w:t>
      </w:r>
      <w:bookmarkEnd w:id="1720"/>
      <w:bookmarkEnd w:id="1721"/>
      <w:bookmarkEnd w:id="1722"/>
    </w:p>
    <w:p w:rsidR="002E7433" w:rsidRDefault="002E7433" w:rsidP="00862055">
      <w:pPr>
        <w:pStyle w:val="42"/>
        <w:numPr>
          <w:ilvl w:val="3"/>
          <w:numId w:val="135"/>
        </w:numPr>
      </w:pPr>
      <w:bookmarkStart w:id="1723" w:name="_Toc42623707"/>
      <w:r>
        <w:t>Раздел</w:t>
      </w:r>
      <w:r w:rsidRPr="00733DE3">
        <w:t xml:space="preserve"> «</w:t>
      </w:r>
      <w:r>
        <w:t>Информация о дебиторской и кредиторской задолженности</w:t>
      </w:r>
      <w:r w:rsidRPr="00733DE3">
        <w:t>»</w:t>
      </w:r>
      <w:bookmarkEnd w:id="1723"/>
    </w:p>
    <w:p w:rsidR="002E7433" w:rsidRPr="00985050" w:rsidRDefault="002E7433" w:rsidP="002E7433">
      <w:pPr>
        <w:pStyle w:val="af0"/>
        <w:rPr>
          <w:b/>
        </w:rPr>
      </w:pPr>
      <w:r>
        <w:t>В разделе «</w:t>
      </w:r>
      <w:r w:rsidRPr="00666FB5">
        <w:t>Информация о дебиторской и кредиторской задолженности</w:t>
      </w:r>
      <w:r>
        <w:t xml:space="preserve">» приведены сведения о 5-ти крупнейших дебиторов и 5-ти крупнейших кредиторов на последнюю дату выбранного периода, с указание величины дебиторской и </w:t>
      </w:r>
      <w:r w:rsidRPr="00985050">
        <w:t>кредиторской задолженности на все даты в выбранном периоде (01.ММ.ГГГГ – 1-е число месяца).</w:t>
      </w:r>
    </w:p>
    <w:p w:rsidR="002E7433" w:rsidRPr="00673549" w:rsidRDefault="002E7433" w:rsidP="002E7433">
      <w:pPr>
        <w:pStyle w:val="af0"/>
        <w:rPr>
          <w:lang w:val="en-US"/>
        </w:rPr>
      </w:pPr>
      <w:r w:rsidRPr="00985050">
        <w:t xml:space="preserve">Раздел показан на рисунке </w:t>
      </w:r>
      <w:r w:rsidRPr="00985050">
        <w:fldChar w:fldCharType="begin"/>
      </w:r>
      <w:r w:rsidRPr="00985050">
        <w:instrText xml:space="preserve"> REF _Ref42617275 \h </w:instrText>
      </w:r>
      <w:r w:rsidRPr="00985050">
        <w:rPr>
          <w:lang w:val="en-US"/>
        </w:rPr>
        <w:instrText>\# #</w:instrText>
      </w:r>
      <w:r>
        <w:instrText xml:space="preserve"> \* MERGEFORMAT </w:instrText>
      </w:r>
      <w:r w:rsidRPr="00985050">
        <w:fldChar w:fldCharType="separate"/>
      </w:r>
      <w:r w:rsidR="00BF0BEE">
        <w:rPr>
          <w:lang w:val="en-US"/>
        </w:rPr>
        <w:t>450</w:t>
      </w:r>
      <w:r w:rsidRPr="00985050">
        <w:fldChar w:fldCharType="end"/>
      </w:r>
      <w:r w:rsidRPr="00985050">
        <w:rPr>
          <w:lang w:val="en-US"/>
        </w:rPr>
        <w:t>.</w:t>
      </w:r>
    </w:p>
    <w:p w:rsidR="002E7433" w:rsidRDefault="002E7433" w:rsidP="002E7433">
      <w:pPr>
        <w:pStyle w:val="afffff7"/>
      </w:pPr>
      <w:r>
        <w:rPr>
          <w:noProof/>
          <w:lang w:eastAsia="ru-RU"/>
        </w:rPr>
        <w:drawing>
          <wp:inline distT="0" distB="0" distL="0" distR="0" wp14:anchorId="158ED85B" wp14:editId="240EE11E">
            <wp:extent cx="6188710" cy="2363405"/>
            <wp:effectExtent l="19050" t="19050" r="21590" b="17845"/>
            <wp:docPr id="24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3" cstate="print"/>
                    <a:srcRect/>
                    <a:stretch>
                      <a:fillRect/>
                    </a:stretch>
                  </pic:blipFill>
                  <pic:spPr bwMode="auto">
                    <a:xfrm>
                      <a:off x="0" y="0"/>
                      <a:ext cx="6188710" cy="2363405"/>
                    </a:xfrm>
                    <a:prstGeom prst="rect">
                      <a:avLst/>
                    </a:prstGeom>
                    <a:noFill/>
                    <a:ln w="9525">
                      <a:solidFill>
                        <a:schemeClr val="bg1">
                          <a:lumMod val="85000"/>
                        </a:schemeClr>
                      </a:solidFill>
                      <a:miter lim="800000"/>
                      <a:headEnd/>
                      <a:tailEnd/>
                    </a:ln>
                  </pic:spPr>
                </pic:pic>
              </a:graphicData>
            </a:graphic>
          </wp:inline>
        </w:drawing>
      </w:r>
    </w:p>
    <w:p w:rsidR="002E7433" w:rsidRDefault="002E7433" w:rsidP="00F15820">
      <w:pPr>
        <w:pStyle w:val="-0"/>
      </w:pPr>
      <w:bookmarkStart w:id="1724" w:name="_Ref42617275"/>
      <w:bookmarkStart w:id="1725" w:name="_Toc42623746"/>
      <w:bookmarkStart w:id="1726" w:name="_Toc69290529"/>
      <w:bookmarkStart w:id="1727" w:name="_Toc119584637"/>
      <w:r>
        <w:t xml:space="preserve">Рисунок </w:t>
      </w:r>
      <w:fldSimple w:instr=" SEQ Рисунок \* ARABIC ">
        <w:r w:rsidR="001860A9">
          <w:rPr>
            <w:noProof/>
          </w:rPr>
          <w:t>450</w:t>
        </w:r>
      </w:fldSimple>
      <w:bookmarkEnd w:id="1724"/>
      <w:r>
        <w:t xml:space="preserve"> </w:t>
      </w:r>
      <w:r w:rsidR="00F15820">
        <w:t>–</w:t>
      </w:r>
      <w:r>
        <w:t xml:space="preserve"> Раздел «</w:t>
      </w:r>
      <w:r w:rsidRPr="00666FB5">
        <w:t>Информация о дебиторской и кредиторской задолженности</w:t>
      </w:r>
      <w:r>
        <w:t>»</w:t>
      </w:r>
      <w:bookmarkEnd w:id="1725"/>
      <w:bookmarkEnd w:id="1726"/>
      <w:bookmarkEnd w:id="1727"/>
    </w:p>
    <w:p w:rsidR="002E7433" w:rsidRDefault="002E7433" w:rsidP="00862055">
      <w:pPr>
        <w:pStyle w:val="42"/>
        <w:numPr>
          <w:ilvl w:val="3"/>
          <w:numId w:val="135"/>
        </w:numPr>
      </w:pPr>
      <w:bookmarkStart w:id="1728" w:name="_Toc42623708"/>
      <w:r>
        <w:t>Раздел</w:t>
      </w:r>
      <w:r w:rsidRPr="00733DE3">
        <w:t xml:space="preserve"> «</w:t>
      </w:r>
      <w:r>
        <w:t>Государственные задания</w:t>
      </w:r>
      <w:r w:rsidRPr="00733DE3">
        <w:t>»</w:t>
      </w:r>
      <w:bookmarkEnd w:id="1728"/>
    </w:p>
    <w:p w:rsidR="002E7433" w:rsidRDefault="002E7433" w:rsidP="002E7433">
      <w:pPr>
        <w:pStyle w:val="af0"/>
      </w:pPr>
      <w:r>
        <w:t>В данном разделе расположена ссылка на отчет «</w:t>
      </w:r>
      <w:r w:rsidRPr="0012349C">
        <w:t>Мониторинг формирования государственных заданий и заключения соглашений на их финансовое обеспечение</w:t>
      </w:r>
      <w:r>
        <w:t>».</w:t>
      </w:r>
    </w:p>
    <w:p w:rsidR="002E7433" w:rsidRDefault="002E7433" w:rsidP="00862055">
      <w:pPr>
        <w:pStyle w:val="42"/>
        <w:numPr>
          <w:ilvl w:val="3"/>
          <w:numId w:val="135"/>
        </w:numPr>
      </w:pPr>
      <w:bookmarkStart w:id="1729" w:name="_Toc42623709"/>
      <w:r>
        <w:t>Раздел</w:t>
      </w:r>
      <w:r w:rsidRPr="00733DE3">
        <w:t xml:space="preserve"> «</w:t>
      </w:r>
      <w:r>
        <w:t>Соглашения</w:t>
      </w:r>
      <w:r w:rsidRPr="00733DE3">
        <w:t>»</w:t>
      </w:r>
      <w:bookmarkEnd w:id="1729"/>
    </w:p>
    <w:p w:rsidR="002E7433" w:rsidRDefault="002E7433" w:rsidP="002E7433">
      <w:pPr>
        <w:pStyle w:val="af0"/>
      </w:pPr>
      <w:r>
        <w:t>В данном разделе расположена ссылка на отчет «</w:t>
      </w:r>
      <w:r w:rsidRPr="00E516BA">
        <w:t>Мониторинг ведения Реестра соглашений</w:t>
      </w:r>
      <w:r>
        <w:t>».</w:t>
      </w:r>
    </w:p>
    <w:p w:rsidR="002E7433" w:rsidRDefault="002E7433" w:rsidP="00862055">
      <w:pPr>
        <w:pStyle w:val="42"/>
        <w:numPr>
          <w:ilvl w:val="3"/>
          <w:numId w:val="135"/>
        </w:numPr>
      </w:pPr>
      <w:bookmarkStart w:id="1730" w:name="_Toc42623710"/>
      <w:r w:rsidRPr="0098516E">
        <w:t>Принц</w:t>
      </w:r>
      <w:r>
        <w:t>ип</w:t>
      </w:r>
      <w:r w:rsidRPr="0098516E">
        <w:t>ы работы фильтров отчета</w:t>
      </w:r>
      <w:r>
        <w:t>.</w:t>
      </w:r>
      <w:bookmarkEnd w:id="1730"/>
    </w:p>
    <w:p w:rsidR="002E7433" w:rsidRPr="00E61FCA" w:rsidRDefault="002E7433" w:rsidP="002E7433">
      <w:pPr>
        <w:pStyle w:val="af0"/>
      </w:pPr>
      <w:bookmarkStart w:id="1731" w:name="_Toc42623711"/>
      <w:r w:rsidRPr="00E61FCA">
        <w:t>При выборе определенных значений фильтров в одном представлении в случае перехода в другие представления значения по выбранным фильтрам транслируются и в другие представления, то есть не сбрасываются до значений по умолчанию.</w:t>
      </w:r>
    </w:p>
    <w:p w:rsidR="002E7433" w:rsidRPr="00E61FCA" w:rsidRDefault="002E7433" w:rsidP="002E7433">
      <w:pPr>
        <w:pStyle w:val="af0"/>
      </w:pPr>
      <w:r w:rsidRPr="00E61FCA">
        <w:t>При переходе в детализирующие отчеты в них передается период и наименование объекта контроля.</w:t>
      </w:r>
    </w:p>
    <w:p w:rsidR="002E7433" w:rsidRDefault="002E7433" w:rsidP="002E7433">
      <w:pPr>
        <w:pStyle w:val="53"/>
      </w:pPr>
      <w:r>
        <w:t>Фильтры «Тип организации» и «Разделы паспорта»</w:t>
      </w:r>
      <w:bookmarkEnd w:id="1731"/>
    </w:p>
    <w:p w:rsidR="002E7433" w:rsidRDefault="002E7433" w:rsidP="002E7433">
      <w:pPr>
        <w:pStyle w:val="af0"/>
      </w:pPr>
      <w:r>
        <w:t>Фильтр «Тип организации»: выпадающий список с перечнем типов объекта контроля в соответствии с классификацией, применяемой в сводном реестре:</w:t>
      </w:r>
    </w:p>
    <w:p w:rsidR="002E7433" w:rsidRDefault="002E7433" w:rsidP="00DE1661">
      <w:pPr>
        <w:pStyle w:val="13"/>
      </w:pPr>
      <w:r w:rsidRPr="00826673">
        <w:t>ОГВ</w:t>
      </w:r>
      <w:r>
        <w:t>;</w:t>
      </w:r>
    </w:p>
    <w:p w:rsidR="002E7433" w:rsidRDefault="002E7433" w:rsidP="00DE1661">
      <w:pPr>
        <w:pStyle w:val="13"/>
      </w:pPr>
      <w:r w:rsidRPr="00826673">
        <w:t>КУ</w:t>
      </w:r>
      <w:r>
        <w:t>;</w:t>
      </w:r>
    </w:p>
    <w:p w:rsidR="002E7433" w:rsidRDefault="002E7433" w:rsidP="00DE1661">
      <w:pPr>
        <w:pStyle w:val="13"/>
      </w:pPr>
      <w:r w:rsidRPr="00826673">
        <w:t>АУ</w:t>
      </w:r>
      <w:r>
        <w:t>;</w:t>
      </w:r>
    </w:p>
    <w:p w:rsidR="002E7433" w:rsidRDefault="002E7433" w:rsidP="00DE1661">
      <w:pPr>
        <w:pStyle w:val="13"/>
      </w:pPr>
      <w:r w:rsidRPr="00826673">
        <w:t>БУ</w:t>
      </w:r>
      <w:r>
        <w:t>;</w:t>
      </w:r>
    </w:p>
    <w:p w:rsidR="002E7433" w:rsidRDefault="002E7433" w:rsidP="00DE1661">
      <w:pPr>
        <w:pStyle w:val="13"/>
      </w:pPr>
      <w:r w:rsidRPr="00826673">
        <w:t>Фонды</w:t>
      </w:r>
      <w:r>
        <w:t>;</w:t>
      </w:r>
    </w:p>
    <w:p w:rsidR="002E7433" w:rsidRDefault="002E7433" w:rsidP="00DE1661">
      <w:pPr>
        <w:pStyle w:val="13"/>
      </w:pPr>
      <w:r w:rsidRPr="00826673">
        <w:t>Госкорпорации</w:t>
      </w:r>
      <w:r>
        <w:t>;</w:t>
      </w:r>
    </w:p>
    <w:p w:rsidR="002E7433" w:rsidRDefault="002E7433" w:rsidP="00DE1661">
      <w:pPr>
        <w:pStyle w:val="13"/>
      </w:pPr>
      <w:r w:rsidRPr="00826673">
        <w:t>ГУП</w:t>
      </w:r>
      <w:r>
        <w:t>;</w:t>
      </w:r>
    </w:p>
    <w:p w:rsidR="002E7433" w:rsidRDefault="002E7433" w:rsidP="00DE1661">
      <w:pPr>
        <w:pStyle w:val="13"/>
      </w:pPr>
      <w:r w:rsidRPr="00826673">
        <w:t>Иные</w:t>
      </w:r>
      <w:r>
        <w:t>;</w:t>
      </w:r>
    </w:p>
    <w:p w:rsidR="002E7433" w:rsidRDefault="002E7433" w:rsidP="00DE1661">
      <w:pPr>
        <w:pStyle w:val="13"/>
      </w:pPr>
      <w:r>
        <w:t>Банк России.</w:t>
      </w:r>
    </w:p>
    <w:p w:rsidR="002E7433" w:rsidRDefault="002E7433" w:rsidP="002E7433">
      <w:pPr>
        <w:pStyle w:val="afffff7"/>
      </w:pPr>
      <w:r>
        <w:rPr>
          <w:noProof/>
          <w:lang w:eastAsia="ru-RU"/>
        </w:rPr>
        <w:drawing>
          <wp:inline distT="0" distB="0" distL="0" distR="0" wp14:anchorId="69DF0F5E" wp14:editId="2D5D7053">
            <wp:extent cx="6188710" cy="1804166"/>
            <wp:effectExtent l="19050" t="19050" r="21590" b="24634"/>
            <wp:docPr id="24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4" cstate="print"/>
                    <a:srcRect/>
                    <a:stretch>
                      <a:fillRect/>
                    </a:stretch>
                  </pic:blipFill>
                  <pic:spPr bwMode="auto">
                    <a:xfrm>
                      <a:off x="0" y="0"/>
                      <a:ext cx="6188710" cy="1804166"/>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32" w:name="_Toc42623747"/>
      <w:bookmarkStart w:id="1733" w:name="_Toc69290530"/>
      <w:bookmarkStart w:id="1734" w:name="_Toc119584638"/>
      <w:r>
        <w:t xml:space="preserve">Рисунок </w:t>
      </w:r>
      <w:fldSimple w:instr=" SEQ Рисунок \* ARABIC ">
        <w:r w:rsidR="001860A9">
          <w:rPr>
            <w:noProof/>
          </w:rPr>
          <w:t>451</w:t>
        </w:r>
      </w:fldSimple>
      <w:r>
        <w:t xml:space="preserve"> – Фильтр «Тип организации»</w:t>
      </w:r>
      <w:bookmarkEnd w:id="1732"/>
      <w:bookmarkEnd w:id="1733"/>
      <w:bookmarkEnd w:id="1734"/>
    </w:p>
    <w:p w:rsidR="002E7433" w:rsidRDefault="002E7433" w:rsidP="002E7433">
      <w:pPr>
        <w:pStyle w:val="af0"/>
      </w:pPr>
      <w:r>
        <w:t xml:space="preserve">Выбранный тип объекта контроля позволяет сократить перечень организаций для упрощения поиска. Кроме того, от типа объекта контроля зависит перечень разделов Паспорта объекта контроля. </w:t>
      </w:r>
    </w:p>
    <w:p w:rsidR="002E7433" w:rsidRDefault="002E7433" w:rsidP="002E7433">
      <w:pPr>
        <w:pStyle w:val="afffff7"/>
      </w:pPr>
      <w:r>
        <w:rPr>
          <w:noProof/>
          <w:lang w:eastAsia="ru-RU"/>
        </w:rPr>
        <w:drawing>
          <wp:inline distT="0" distB="0" distL="0" distR="0" wp14:anchorId="74AAFE8F" wp14:editId="5EF4AF0E">
            <wp:extent cx="6188710" cy="1579053"/>
            <wp:effectExtent l="19050" t="19050" r="21590" b="21147"/>
            <wp:docPr id="5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5" cstate="print"/>
                    <a:srcRect/>
                    <a:stretch>
                      <a:fillRect/>
                    </a:stretch>
                  </pic:blipFill>
                  <pic:spPr bwMode="auto">
                    <a:xfrm>
                      <a:off x="0" y="0"/>
                      <a:ext cx="6188710" cy="1579053"/>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35" w:name="_Toc42623748"/>
      <w:bookmarkStart w:id="1736" w:name="_Toc69290531"/>
      <w:bookmarkStart w:id="1737" w:name="_Toc119584639"/>
      <w:r>
        <w:t xml:space="preserve">Рисунок </w:t>
      </w:r>
      <w:fldSimple w:instr=" SEQ Рисунок \* ARABIC ">
        <w:r w:rsidR="001860A9">
          <w:rPr>
            <w:noProof/>
          </w:rPr>
          <w:t>452</w:t>
        </w:r>
      </w:fldSimple>
      <w:r>
        <w:t xml:space="preserve"> – Разделы Паспорта для типа объекта «Иные»</w:t>
      </w:r>
      <w:bookmarkEnd w:id="1735"/>
      <w:bookmarkEnd w:id="1736"/>
      <w:bookmarkEnd w:id="1737"/>
    </w:p>
    <w:p w:rsidR="002E7433" w:rsidRDefault="002E7433" w:rsidP="002E7433">
      <w:pPr>
        <w:pStyle w:val="af0"/>
      </w:pPr>
      <w:r>
        <w:t xml:space="preserve">Фильтр «Разделы паспорта»: выпадающий список с перечнем разделов паспорта для выбранного объекта контроля. В фильтре предусмотрен </w:t>
      </w:r>
      <w:r w:rsidRPr="00BD0D8E">
        <w:t>множественный выбор параметров фильтрации</w:t>
      </w:r>
      <w:r>
        <w:t>.</w:t>
      </w:r>
    </w:p>
    <w:p w:rsidR="002E7433" w:rsidRDefault="002E7433" w:rsidP="002E7433">
      <w:pPr>
        <w:pStyle w:val="af0"/>
      </w:pPr>
      <w:r>
        <w:t xml:space="preserve">В таблице </w:t>
      </w:r>
      <w:r>
        <w:fldChar w:fldCharType="begin"/>
      </w:r>
      <w:r>
        <w:instrText xml:space="preserve"> REF _Ref42619088 \h </w:instrText>
      </w:r>
      <w:r w:rsidRPr="00731413">
        <w:instrText>\# #</w:instrText>
      </w:r>
      <w:r>
        <w:instrText xml:space="preserve"> \* MERGEFORMAT </w:instrText>
      </w:r>
      <w:r>
        <w:fldChar w:fldCharType="separate"/>
      </w:r>
      <w:r w:rsidR="00BF0BEE">
        <w:t>52</w:t>
      </w:r>
      <w:r>
        <w:fldChar w:fldCharType="end"/>
      </w:r>
      <w:r>
        <w:t xml:space="preserve"> указаны разделы доступные для соответствующего типа объекта контроля.</w:t>
      </w:r>
    </w:p>
    <w:p w:rsidR="002E7433" w:rsidRDefault="002E7433" w:rsidP="00073A70">
      <w:pPr>
        <w:pStyle w:val="-"/>
      </w:pPr>
      <w:bookmarkStart w:id="1738" w:name="_Ref42619088"/>
      <w:bookmarkStart w:id="1739" w:name="_Toc69290216"/>
      <w:bookmarkStart w:id="1740" w:name="_Toc119585193"/>
      <w:r>
        <w:t xml:space="preserve">Таблица </w:t>
      </w:r>
      <w:fldSimple w:instr=" SEQ Таблица \* ARABIC ">
        <w:r w:rsidR="00BF0BEE">
          <w:rPr>
            <w:noProof/>
          </w:rPr>
          <w:t>52</w:t>
        </w:r>
      </w:fldSimple>
      <w:bookmarkEnd w:id="1738"/>
      <w:r>
        <w:t xml:space="preserve"> – Соответствие типа объекта контроля и разделов паспорта</w:t>
      </w:r>
      <w:bookmarkEnd w:id="1739"/>
      <w:bookmarkEnd w:id="1740"/>
    </w:p>
    <w:tbl>
      <w:tblPr>
        <w:tblStyle w:val="affe"/>
        <w:tblW w:w="0" w:type="auto"/>
        <w:tblLook w:val="04A0" w:firstRow="1" w:lastRow="0" w:firstColumn="1" w:lastColumn="0" w:noHBand="0" w:noVBand="1"/>
      </w:tblPr>
      <w:tblGrid>
        <w:gridCol w:w="2926"/>
        <w:gridCol w:w="6927"/>
      </w:tblGrid>
      <w:tr w:rsidR="002E7433" w:rsidRPr="00073A70" w:rsidTr="00073A70">
        <w:trPr>
          <w:tblHeader/>
        </w:trPr>
        <w:tc>
          <w:tcPr>
            <w:tcW w:w="2943" w:type="dxa"/>
            <w:shd w:val="clear" w:color="auto" w:fill="D9D9D9" w:themeFill="background1" w:themeFillShade="D9"/>
          </w:tcPr>
          <w:p w:rsidR="002E7433" w:rsidRPr="00073A70" w:rsidRDefault="002E7433" w:rsidP="00073A70">
            <w:pPr>
              <w:pStyle w:val="-0"/>
              <w:spacing w:before="0" w:after="0"/>
              <w:ind w:firstLine="0"/>
              <w:rPr>
                <w:b/>
                <w:sz w:val="24"/>
                <w:szCs w:val="24"/>
              </w:rPr>
            </w:pPr>
            <w:r w:rsidRPr="00073A70">
              <w:rPr>
                <w:b/>
                <w:sz w:val="24"/>
                <w:szCs w:val="24"/>
              </w:rPr>
              <w:t>Тип объекта контроля</w:t>
            </w:r>
          </w:p>
        </w:tc>
        <w:tc>
          <w:tcPr>
            <w:tcW w:w="7019" w:type="dxa"/>
            <w:shd w:val="clear" w:color="auto" w:fill="D9D9D9" w:themeFill="background1" w:themeFillShade="D9"/>
          </w:tcPr>
          <w:p w:rsidR="002E7433" w:rsidRPr="00073A70" w:rsidRDefault="002E7433" w:rsidP="00073A70">
            <w:pPr>
              <w:pStyle w:val="-0"/>
              <w:spacing w:before="0" w:after="0"/>
              <w:ind w:firstLine="0"/>
              <w:rPr>
                <w:b/>
                <w:sz w:val="24"/>
                <w:szCs w:val="24"/>
              </w:rPr>
            </w:pPr>
            <w:r w:rsidRPr="00073A70">
              <w:rPr>
                <w:b/>
                <w:sz w:val="24"/>
                <w:szCs w:val="24"/>
              </w:rPr>
              <w:t>Доступные разделы</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 Тип "ОГВ"</w:t>
            </w: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Все разделы</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Типы "КУ", "АУ", "БУ":</w:t>
            </w:r>
          </w:p>
          <w:p w:rsidR="002E7433" w:rsidRPr="00E61FCA" w:rsidRDefault="002E7433" w:rsidP="00073A70">
            <w:pPr>
              <w:pStyle w:val="-0"/>
              <w:spacing w:before="0" w:after="0"/>
              <w:ind w:firstLine="0"/>
              <w:rPr>
                <w:sz w:val="24"/>
                <w:szCs w:val="24"/>
              </w:rPr>
            </w:pP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 Основная информация об объекте контроля</w:t>
            </w:r>
          </w:p>
          <w:p w:rsidR="002E7433" w:rsidRPr="00E61FCA" w:rsidRDefault="002E7433" w:rsidP="00073A70">
            <w:pPr>
              <w:pStyle w:val="-0"/>
              <w:spacing w:before="0" w:after="0"/>
              <w:ind w:left="318" w:firstLine="0"/>
              <w:jc w:val="left"/>
              <w:rPr>
                <w:sz w:val="24"/>
                <w:szCs w:val="24"/>
              </w:rPr>
            </w:pPr>
            <w:r w:rsidRPr="00E61FCA">
              <w:rPr>
                <w:sz w:val="24"/>
                <w:szCs w:val="24"/>
              </w:rPr>
              <w:t>- Рейтинг объекта контроля</w:t>
            </w:r>
          </w:p>
          <w:p w:rsidR="002E7433" w:rsidRPr="00E61FCA" w:rsidRDefault="002E7433" w:rsidP="00073A70">
            <w:pPr>
              <w:pStyle w:val="-0"/>
              <w:spacing w:before="0" w:after="0"/>
              <w:ind w:left="318" w:firstLine="0"/>
              <w:jc w:val="left"/>
              <w:rPr>
                <w:sz w:val="24"/>
                <w:szCs w:val="24"/>
              </w:rPr>
            </w:pPr>
            <w:r w:rsidRPr="00E61FCA">
              <w:rPr>
                <w:sz w:val="24"/>
                <w:szCs w:val="24"/>
              </w:rPr>
              <w:t>- Контрольные мероприятия</w:t>
            </w:r>
          </w:p>
          <w:p w:rsidR="002E7433" w:rsidRPr="00E61FCA" w:rsidRDefault="002E7433" w:rsidP="00073A70">
            <w:pPr>
              <w:pStyle w:val="-0"/>
              <w:spacing w:before="0" w:after="0"/>
              <w:ind w:left="318" w:firstLine="0"/>
              <w:jc w:val="left"/>
              <w:rPr>
                <w:sz w:val="24"/>
                <w:szCs w:val="24"/>
              </w:rPr>
            </w:pPr>
            <w:r w:rsidRPr="00E61FCA">
              <w:rPr>
                <w:sz w:val="24"/>
                <w:szCs w:val="24"/>
              </w:rPr>
              <w:t>- Результаты КМ</w:t>
            </w:r>
          </w:p>
          <w:p w:rsidR="002E7433" w:rsidRPr="00E61FCA" w:rsidRDefault="002E7433" w:rsidP="00073A70">
            <w:pPr>
              <w:pStyle w:val="-0"/>
              <w:spacing w:before="0" w:after="0"/>
              <w:ind w:left="318" w:firstLine="0"/>
              <w:jc w:val="left"/>
              <w:rPr>
                <w:sz w:val="24"/>
                <w:szCs w:val="24"/>
              </w:rPr>
            </w:pPr>
            <w:r w:rsidRPr="00E61FCA">
              <w:rPr>
                <w:sz w:val="24"/>
                <w:szCs w:val="24"/>
              </w:rPr>
              <w:t>- Производства</w:t>
            </w:r>
          </w:p>
          <w:p w:rsidR="002E7433" w:rsidRPr="00E61FCA" w:rsidRDefault="002E7433" w:rsidP="00073A70">
            <w:pPr>
              <w:pStyle w:val="-0"/>
              <w:spacing w:before="0" w:after="0"/>
              <w:ind w:left="318" w:firstLine="0"/>
              <w:jc w:val="left"/>
              <w:rPr>
                <w:sz w:val="24"/>
                <w:szCs w:val="24"/>
              </w:rPr>
            </w:pPr>
            <w:r w:rsidRPr="00E61FCA">
              <w:rPr>
                <w:sz w:val="24"/>
                <w:szCs w:val="24"/>
              </w:rPr>
              <w:t>- Контракты с нарушениями</w:t>
            </w:r>
          </w:p>
          <w:p w:rsidR="002E7433" w:rsidRPr="00E61FCA" w:rsidRDefault="002E7433" w:rsidP="00073A70">
            <w:pPr>
              <w:pStyle w:val="-0"/>
              <w:spacing w:before="0" w:after="0"/>
              <w:ind w:left="318" w:firstLine="0"/>
              <w:jc w:val="left"/>
              <w:rPr>
                <w:sz w:val="24"/>
                <w:szCs w:val="24"/>
              </w:rPr>
            </w:pPr>
            <w:r w:rsidRPr="00E61FCA">
              <w:rPr>
                <w:sz w:val="24"/>
                <w:szCs w:val="24"/>
              </w:rPr>
              <w:t>- Выявленные нарушения</w:t>
            </w:r>
          </w:p>
          <w:p w:rsidR="002E7433" w:rsidRPr="00E61FCA" w:rsidRDefault="002E7433" w:rsidP="00073A70">
            <w:pPr>
              <w:pStyle w:val="-0"/>
              <w:spacing w:before="0" w:after="0"/>
              <w:ind w:left="318" w:firstLine="0"/>
              <w:jc w:val="left"/>
              <w:rPr>
                <w:sz w:val="24"/>
                <w:szCs w:val="24"/>
              </w:rPr>
            </w:pPr>
            <w:r w:rsidRPr="00E61FCA">
              <w:rPr>
                <w:sz w:val="24"/>
                <w:szCs w:val="24"/>
              </w:rPr>
              <w:t>- Казначейское сопровождение</w:t>
            </w:r>
          </w:p>
          <w:p w:rsidR="002E7433" w:rsidRPr="00E61FCA" w:rsidRDefault="002E7433" w:rsidP="00073A70">
            <w:pPr>
              <w:pStyle w:val="-0"/>
              <w:spacing w:before="0" w:after="0"/>
              <w:ind w:left="318" w:firstLine="0"/>
              <w:jc w:val="left"/>
              <w:rPr>
                <w:sz w:val="24"/>
                <w:szCs w:val="24"/>
              </w:rPr>
            </w:pPr>
            <w:r w:rsidRPr="00E61FCA">
              <w:rPr>
                <w:sz w:val="24"/>
                <w:szCs w:val="24"/>
              </w:rPr>
              <w:t>- Участие в национальных проектах</w:t>
            </w:r>
          </w:p>
          <w:p w:rsidR="002E7433" w:rsidRPr="00E61FCA" w:rsidRDefault="002E7433" w:rsidP="00073A70">
            <w:pPr>
              <w:pStyle w:val="-0"/>
              <w:spacing w:before="0" w:after="0"/>
              <w:ind w:left="318" w:firstLine="0"/>
              <w:jc w:val="left"/>
              <w:rPr>
                <w:sz w:val="24"/>
                <w:szCs w:val="24"/>
              </w:rPr>
            </w:pPr>
            <w:r w:rsidRPr="00E61FCA">
              <w:rPr>
                <w:sz w:val="24"/>
                <w:szCs w:val="24"/>
              </w:rPr>
              <w:t>- Информация о дебиторской и кредиторской задолженности</w:t>
            </w:r>
          </w:p>
          <w:p w:rsidR="002E7433" w:rsidRPr="00E61FCA" w:rsidRDefault="002E7433" w:rsidP="00073A70">
            <w:pPr>
              <w:pStyle w:val="-0"/>
              <w:spacing w:before="0" w:after="0"/>
              <w:ind w:left="318" w:firstLine="0"/>
              <w:jc w:val="left"/>
              <w:rPr>
                <w:sz w:val="24"/>
                <w:szCs w:val="24"/>
              </w:rPr>
            </w:pPr>
            <w:r w:rsidRPr="00E61FCA">
              <w:rPr>
                <w:sz w:val="24"/>
                <w:szCs w:val="24"/>
              </w:rPr>
              <w:t>- Государственные задания</w:t>
            </w:r>
          </w:p>
          <w:p w:rsidR="002E7433" w:rsidRPr="00E61FCA" w:rsidRDefault="002E7433" w:rsidP="00073A70">
            <w:pPr>
              <w:pStyle w:val="-0"/>
              <w:spacing w:before="0" w:after="0"/>
              <w:ind w:left="318" w:firstLine="0"/>
              <w:jc w:val="left"/>
              <w:rPr>
                <w:sz w:val="24"/>
                <w:szCs w:val="24"/>
              </w:rPr>
            </w:pPr>
            <w:r w:rsidRPr="00E61FCA">
              <w:rPr>
                <w:sz w:val="24"/>
                <w:szCs w:val="24"/>
              </w:rPr>
              <w:t>- Соглашения</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Тип "ГУП":</w:t>
            </w:r>
          </w:p>
          <w:p w:rsidR="002E7433" w:rsidRPr="00E61FCA" w:rsidRDefault="002E7433" w:rsidP="00073A70">
            <w:pPr>
              <w:pStyle w:val="-0"/>
              <w:spacing w:before="0" w:after="0"/>
              <w:ind w:firstLine="0"/>
              <w:rPr>
                <w:sz w:val="24"/>
                <w:szCs w:val="24"/>
              </w:rPr>
            </w:pP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 Основная информация об объекте контроля</w:t>
            </w:r>
          </w:p>
          <w:p w:rsidR="002E7433" w:rsidRPr="00E61FCA" w:rsidRDefault="002E7433" w:rsidP="00073A70">
            <w:pPr>
              <w:pStyle w:val="-0"/>
              <w:spacing w:before="0" w:after="0"/>
              <w:ind w:left="318" w:firstLine="0"/>
              <w:jc w:val="left"/>
              <w:rPr>
                <w:sz w:val="24"/>
                <w:szCs w:val="24"/>
              </w:rPr>
            </w:pPr>
            <w:r w:rsidRPr="00E61FCA">
              <w:rPr>
                <w:sz w:val="24"/>
                <w:szCs w:val="24"/>
              </w:rPr>
              <w:t>- Рейтинг объекта контроля</w:t>
            </w:r>
          </w:p>
          <w:p w:rsidR="002E7433" w:rsidRPr="00E61FCA" w:rsidRDefault="002E7433" w:rsidP="00073A70">
            <w:pPr>
              <w:pStyle w:val="-0"/>
              <w:spacing w:before="0" w:after="0"/>
              <w:ind w:left="318" w:firstLine="0"/>
              <w:jc w:val="left"/>
              <w:rPr>
                <w:sz w:val="24"/>
                <w:szCs w:val="24"/>
              </w:rPr>
            </w:pPr>
            <w:r w:rsidRPr="00E61FCA">
              <w:rPr>
                <w:sz w:val="24"/>
                <w:szCs w:val="24"/>
              </w:rPr>
              <w:t>- Контрольные мероприятия</w:t>
            </w:r>
          </w:p>
          <w:p w:rsidR="002E7433" w:rsidRPr="00E61FCA" w:rsidRDefault="002E7433" w:rsidP="00073A70">
            <w:pPr>
              <w:pStyle w:val="-0"/>
              <w:spacing w:before="0" w:after="0"/>
              <w:ind w:left="318" w:firstLine="0"/>
              <w:jc w:val="left"/>
              <w:rPr>
                <w:sz w:val="24"/>
                <w:szCs w:val="24"/>
              </w:rPr>
            </w:pPr>
            <w:r w:rsidRPr="00E61FCA">
              <w:rPr>
                <w:sz w:val="24"/>
                <w:szCs w:val="24"/>
              </w:rPr>
              <w:t>- Результаты КМ</w:t>
            </w:r>
          </w:p>
          <w:p w:rsidR="002E7433" w:rsidRPr="00E61FCA" w:rsidRDefault="002E7433" w:rsidP="00073A70">
            <w:pPr>
              <w:pStyle w:val="-0"/>
              <w:spacing w:before="0" w:after="0"/>
              <w:ind w:left="318" w:firstLine="0"/>
              <w:jc w:val="left"/>
              <w:rPr>
                <w:sz w:val="24"/>
                <w:szCs w:val="24"/>
              </w:rPr>
            </w:pPr>
            <w:r w:rsidRPr="00E61FCA">
              <w:rPr>
                <w:sz w:val="24"/>
                <w:szCs w:val="24"/>
              </w:rPr>
              <w:t>- Производства</w:t>
            </w:r>
          </w:p>
          <w:p w:rsidR="002E7433" w:rsidRPr="00E61FCA" w:rsidRDefault="002E7433" w:rsidP="00073A70">
            <w:pPr>
              <w:pStyle w:val="-0"/>
              <w:spacing w:before="0" w:after="0"/>
              <w:ind w:left="318" w:firstLine="0"/>
              <w:jc w:val="left"/>
              <w:rPr>
                <w:sz w:val="24"/>
                <w:szCs w:val="24"/>
              </w:rPr>
            </w:pPr>
            <w:r w:rsidRPr="00E61FCA">
              <w:rPr>
                <w:sz w:val="24"/>
                <w:szCs w:val="24"/>
              </w:rPr>
              <w:t>- Контракты с нарушениями</w:t>
            </w:r>
          </w:p>
          <w:p w:rsidR="002E7433" w:rsidRPr="00E61FCA" w:rsidRDefault="002E7433" w:rsidP="00073A70">
            <w:pPr>
              <w:pStyle w:val="-0"/>
              <w:spacing w:before="0" w:after="0"/>
              <w:ind w:left="318" w:firstLine="0"/>
              <w:jc w:val="left"/>
              <w:rPr>
                <w:sz w:val="24"/>
                <w:szCs w:val="24"/>
              </w:rPr>
            </w:pPr>
            <w:r w:rsidRPr="00E61FCA">
              <w:rPr>
                <w:sz w:val="24"/>
                <w:szCs w:val="24"/>
              </w:rPr>
              <w:t>- Выявленные нарушения</w:t>
            </w:r>
          </w:p>
          <w:p w:rsidR="002E7433" w:rsidRPr="00E61FCA" w:rsidRDefault="002E7433" w:rsidP="00073A70">
            <w:pPr>
              <w:pStyle w:val="-0"/>
              <w:spacing w:before="0" w:after="0"/>
              <w:ind w:left="318" w:firstLine="0"/>
              <w:jc w:val="left"/>
              <w:rPr>
                <w:sz w:val="24"/>
                <w:szCs w:val="24"/>
              </w:rPr>
            </w:pPr>
            <w:r w:rsidRPr="00E61FCA">
              <w:rPr>
                <w:sz w:val="24"/>
                <w:szCs w:val="24"/>
              </w:rPr>
              <w:t>- Казначейское сопровождение</w:t>
            </w:r>
          </w:p>
          <w:p w:rsidR="002E7433" w:rsidRPr="00E61FCA" w:rsidRDefault="002E7433" w:rsidP="00073A70">
            <w:pPr>
              <w:pStyle w:val="-0"/>
              <w:spacing w:before="0" w:after="0"/>
              <w:ind w:left="318" w:firstLine="0"/>
              <w:jc w:val="left"/>
              <w:rPr>
                <w:sz w:val="24"/>
                <w:szCs w:val="24"/>
              </w:rPr>
            </w:pPr>
            <w:r w:rsidRPr="00E61FCA">
              <w:rPr>
                <w:sz w:val="24"/>
                <w:szCs w:val="24"/>
              </w:rPr>
              <w:t>- Информация о дебиторской и кредиторской задолженности</w:t>
            </w:r>
          </w:p>
          <w:p w:rsidR="002E7433" w:rsidRPr="00E61FCA" w:rsidRDefault="002E7433" w:rsidP="00073A70">
            <w:pPr>
              <w:pStyle w:val="-0"/>
              <w:spacing w:before="0" w:after="0"/>
              <w:ind w:left="318" w:firstLine="0"/>
              <w:jc w:val="left"/>
              <w:rPr>
                <w:sz w:val="24"/>
                <w:szCs w:val="24"/>
              </w:rPr>
            </w:pPr>
            <w:r w:rsidRPr="00E61FCA">
              <w:rPr>
                <w:sz w:val="24"/>
                <w:szCs w:val="24"/>
              </w:rPr>
              <w:t>- Соглашения</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Тип "Госкорпорации":</w:t>
            </w:r>
          </w:p>
          <w:p w:rsidR="002E7433" w:rsidRPr="00E61FCA" w:rsidRDefault="002E7433" w:rsidP="00073A70">
            <w:pPr>
              <w:pStyle w:val="-0"/>
              <w:spacing w:before="0" w:after="0"/>
              <w:ind w:firstLine="0"/>
              <w:rPr>
                <w:sz w:val="24"/>
                <w:szCs w:val="24"/>
              </w:rPr>
            </w:pP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 Основная информация об объекте контроля</w:t>
            </w:r>
          </w:p>
          <w:p w:rsidR="002E7433" w:rsidRPr="00E61FCA" w:rsidRDefault="002E7433" w:rsidP="00073A70">
            <w:pPr>
              <w:pStyle w:val="-0"/>
              <w:spacing w:before="0" w:after="0"/>
              <w:ind w:left="318" w:firstLine="0"/>
              <w:jc w:val="left"/>
              <w:rPr>
                <w:sz w:val="24"/>
                <w:szCs w:val="24"/>
              </w:rPr>
            </w:pPr>
            <w:r w:rsidRPr="00E61FCA">
              <w:rPr>
                <w:sz w:val="24"/>
                <w:szCs w:val="24"/>
              </w:rPr>
              <w:t>- Рейтинг объекта контроля</w:t>
            </w:r>
          </w:p>
          <w:p w:rsidR="002E7433" w:rsidRPr="00E61FCA" w:rsidRDefault="002E7433" w:rsidP="00073A70">
            <w:pPr>
              <w:pStyle w:val="-0"/>
              <w:spacing w:before="0" w:after="0"/>
              <w:ind w:left="318" w:firstLine="0"/>
              <w:jc w:val="left"/>
              <w:rPr>
                <w:sz w:val="24"/>
                <w:szCs w:val="24"/>
              </w:rPr>
            </w:pPr>
            <w:r w:rsidRPr="00E61FCA">
              <w:rPr>
                <w:sz w:val="24"/>
                <w:szCs w:val="24"/>
              </w:rPr>
              <w:t>- Контрольные мероприятия</w:t>
            </w:r>
          </w:p>
          <w:p w:rsidR="002E7433" w:rsidRPr="00E61FCA" w:rsidRDefault="002E7433" w:rsidP="00073A70">
            <w:pPr>
              <w:pStyle w:val="-0"/>
              <w:spacing w:before="0" w:after="0"/>
              <w:ind w:left="318" w:firstLine="0"/>
              <w:jc w:val="left"/>
              <w:rPr>
                <w:sz w:val="24"/>
                <w:szCs w:val="24"/>
              </w:rPr>
            </w:pPr>
            <w:r w:rsidRPr="00E61FCA">
              <w:rPr>
                <w:sz w:val="24"/>
                <w:szCs w:val="24"/>
              </w:rPr>
              <w:t>- Результаты КМ</w:t>
            </w:r>
          </w:p>
          <w:p w:rsidR="002E7433" w:rsidRPr="00E61FCA" w:rsidRDefault="002E7433" w:rsidP="00073A70">
            <w:pPr>
              <w:pStyle w:val="-0"/>
              <w:spacing w:before="0" w:after="0"/>
              <w:ind w:left="318" w:firstLine="0"/>
              <w:jc w:val="left"/>
              <w:rPr>
                <w:sz w:val="24"/>
                <w:szCs w:val="24"/>
              </w:rPr>
            </w:pPr>
            <w:r w:rsidRPr="00E61FCA">
              <w:rPr>
                <w:sz w:val="24"/>
                <w:szCs w:val="24"/>
              </w:rPr>
              <w:t>- Производства</w:t>
            </w:r>
          </w:p>
          <w:p w:rsidR="002E7433" w:rsidRPr="00E61FCA" w:rsidRDefault="002E7433" w:rsidP="00073A70">
            <w:pPr>
              <w:pStyle w:val="-0"/>
              <w:spacing w:before="0" w:after="0"/>
              <w:ind w:left="318" w:firstLine="0"/>
              <w:jc w:val="left"/>
              <w:rPr>
                <w:sz w:val="24"/>
                <w:szCs w:val="24"/>
              </w:rPr>
            </w:pPr>
            <w:r w:rsidRPr="00E61FCA">
              <w:rPr>
                <w:sz w:val="24"/>
                <w:szCs w:val="24"/>
              </w:rPr>
              <w:t>- Контракты с нарушениями</w:t>
            </w:r>
          </w:p>
          <w:p w:rsidR="002E7433" w:rsidRPr="00E61FCA" w:rsidRDefault="002E7433" w:rsidP="00073A70">
            <w:pPr>
              <w:pStyle w:val="-0"/>
              <w:spacing w:before="0" w:after="0"/>
              <w:ind w:left="318" w:firstLine="0"/>
              <w:jc w:val="left"/>
              <w:rPr>
                <w:sz w:val="24"/>
                <w:szCs w:val="24"/>
              </w:rPr>
            </w:pPr>
            <w:r w:rsidRPr="00E61FCA">
              <w:rPr>
                <w:sz w:val="24"/>
                <w:szCs w:val="24"/>
              </w:rPr>
              <w:t>- Выявленные нарушения</w:t>
            </w:r>
          </w:p>
          <w:p w:rsidR="002E7433" w:rsidRPr="00E61FCA" w:rsidRDefault="002E7433" w:rsidP="00073A70">
            <w:pPr>
              <w:pStyle w:val="-0"/>
              <w:spacing w:before="0" w:after="0"/>
              <w:ind w:left="318" w:firstLine="0"/>
              <w:jc w:val="left"/>
              <w:rPr>
                <w:sz w:val="24"/>
                <w:szCs w:val="24"/>
              </w:rPr>
            </w:pPr>
            <w:r w:rsidRPr="00E61FCA">
              <w:rPr>
                <w:sz w:val="24"/>
                <w:szCs w:val="24"/>
              </w:rPr>
              <w:t>- Казначейское сопровождение</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Тип "Фонды":</w:t>
            </w:r>
          </w:p>
          <w:p w:rsidR="002E7433" w:rsidRPr="00E61FCA" w:rsidRDefault="002E7433" w:rsidP="00073A70">
            <w:pPr>
              <w:pStyle w:val="-0"/>
              <w:spacing w:before="0" w:after="0"/>
              <w:ind w:firstLine="0"/>
              <w:rPr>
                <w:sz w:val="24"/>
                <w:szCs w:val="24"/>
              </w:rPr>
            </w:pP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 Основная информация об объекте контроля</w:t>
            </w:r>
          </w:p>
          <w:p w:rsidR="002E7433" w:rsidRPr="00E61FCA" w:rsidRDefault="002E7433" w:rsidP="00073A70">
            <w:pPr>
              <w:pStyle w:val="-0"/>
              <w:spacing w:before="0" w:after="0"/>
              <w:ind w:left="318" w:firstLine="0"/>
              <w:jc w:val="left"/>
              <w:rPr>
                <w:sz w:val="24"/>
                <w:szCs w:val="24"/>
              </w:rPr>
            </w:pPr>
            <w:r w:rsidRPr="00E61FCA">
              <w:rPr>
                <w:sz w:val="24"/>
                <w:szCs w:val="24"/>
              </w:rPr>
              <w:t>- Рейтинг объекта контроля</w:t>
            </w:r>
          </w:p>
          <w:p w:rsidR="002E7433" w:rsidRPr="00E61FCA" w:rsidRDefault="002E7433" w:rsidP="00073A70">
            <w:pPr>
              <w:pStyle w:val="-0"/>
              <w:spacing w:before="0" w:after="0"/>
              <w:ind w:left="318" w:firstLine="0"/>
              <w:jc w:val="left"/>
              <w:rPr>
                <w:sz w:val="24"/>
                <w:szCs w:val="24"/>
              </w:rPr>
            </w:pPr>
            <w:r w:rsidRPr="00E61FCA">
              <w:rPr>
                <w:sz w:val="24"/>
                <w:szCs w:val="24"/>
              </w:rPr>
              <w:t>- Контрольные мероприятия</w:t>
            </w:r>
          </w:p>
          <w:p w:rsidR="002E7433" w:rsidRPr="00E61FCA" w:rsidRDefault="002E7433" w:rsidP="00073A70">
            <w:pPr>
              <w:pStyle w:val="-0"/>
              <w:spacing w:before="0" w:after="0"/>
              <w:ind w:left="318" w:firstLine="0"/>
              <w:jc w:val="left"/>
              <w:rPr>
                <w:sz w:val="24"/>
                <w:szCs w:val="24"/>
              </w:rPr>
            </w:pPr>
            <w:r w:rsidRPr="00E61FCA">
              <w:rPr>
                <w:sz w:val="24"/>
                <w:szCs w:val="24"/>
              </w:rPr>
              <w:t>- Результаты КМ</w:t>
            </w:r>
          </w:p>
          <w:p w:rsidR="002E7433" w:rsidRPr="00E61FCA" w:rsidRDefault="002E7433" w:rsidP="00073A70">
            <w:pPr>
              <w:pStyle w:val="-0"/>
              <w:spacing w:before="0" w:after="0"/>
              <w:ind w:left="318" w:firstLine="0"/>
              <w:jc w:val="left"/>
              <w:rPr>
                <w:sz w:val="24"/>
                <w:szCs w:val="24"/>
              </w:rPr>
            </w:pPr>
            <w:r w:rsidRPr="00E61FCA">
              <w:rPr>
                <w:sz w:val="24"/>
                <w:szCs w:val="24"/>
              </w:rPr>
              <w:t>- Производства</w:t>
            </w:r>
          </w:p>
          <w:p w:rsidR="002E7433" w:rsidRPr="00E61FCA" w:rsidRDefault="002E7433" w:rsidP="00073A70">
            <w:pPr>
              <w:pStyle w:val="-0"/>
              <w:spacing w:before="0" w:after="0"/>
              <w:ind w:left="318" w:firstLine="0"/>
              <w:jc w:val="left"/>
              <w:rPr>
                <w:sz w:val="24"/>
                <w:szCs w:val="24"/>
              </w:rPr>
            </w:pPr>
            <w:r w:rsidRPr="00E61FCA">
              <w:rPr>
                <w:sz w:val="24"/>
                <w:szCs w:val="24"/>
              </w:rPr>
              <w:t>- Контракты с нарушениями</w:t>
            </w:r>
          </w:p>
          <w:p w:rsidR="002E7433" w:rsidRPr="00E61FCA" w:rsidRDefault="002E7433" w:rsidP="00073A70">
            <w:pPr>
              <w:pStyle w:val="-0"/>
              <w:spacing w:before="0" w:after="0"/>
              <w:ind w:left="318" w:firstLine="0"/>
              <w:jc w:val="left"/>
              <w:rPr>
                <w:sz w:val="24"/>
                <w:szCs w:val="24"/>
              </w:rPr>
            </w:pPr>
            <w:r w:rsidRPr="00E61FCA">
              <w:rPr>
                <w:sz w:val="24"/>
                <w:szCs w:val="24"/>
              </w:rPr>
              <w:t>- Выявленные нарушения</w:t>
            </w:r>
          </w:p>
          <w:p w:rsidR="002E7433" w:rsidRPr="00E61FCA" w:rsidRDefault="002E7433" w:rsidP="00073A70">
            <w:pPr>
              <w:pStyle w:val="-0"/>
              <w:spacing w:before="0" w:after="0"/>
              <w:ind w:left="318" w:firstLine="0"/>
              <w:jc w:val="left"/>
              <w:rPr>
                <w:sz w:val="24"/>
                <w:szCs w:val="24"/>
              </w:rPr>
            </w:pPr>
            <w:r w:rsidRPr="00E61FCA">
              <w:rPr>
                <w:sz w:val="24"/>
                <w:szCs w:val="24"/>
              </w:rPr>
              <w:t>- Казначейское сопровождение</w:t>
            </w:r>
          </w:p>
          <w:p w:rsidR="002E7433" w:rsidRPr="00E61FCA" w:rsidRDefault="002E7433" w:rsidP="00073A70">
            <w:pPr>
              <w:pStyle w:val="-0"/>
              <w:spacing w:before="0" w:after="0"/>
              <w:ind w:left="318" w:firstLine="0"/>
              <w:jc w:val="left"/>
              <w:rPr>
                <w:sz w:val="24"/>
                <w:szCs w:val="24"/>
              </w:rPr>
            </w:pPr>
            <w:r w:rsidRPr="00E61FCA">
              <w:rPr>
                <w:sz w:val="24"/>
                <w:szCs w:val="24"/>
              </w:rPr>
              <w:t>- Участие в национальных проектах</w:t>
            </w:r>
          </w:p>
          <w:p w:rsidR="002E7433" w:rsidRPr="00E61FCA" w:rsidRDefault="002E7433" w:rsidP="00073A70">
            <w:pPr>
              <w:pStyle w:val="-0"/>
              <w:spacing w:before="0" w:after="0"/>
              <w:ind w:left="318" w:firstLine="0"/>
              <w:jc w:val="left"/>
              <w:rPr>
                <w:sz w:val="24"/>
                <w:szCs w:val="24"/>
              </w:rPr>
            </w:pPr>
            <w:r w:rsidRPr="00E61FCA">
              <w:rPr>
                <w:sz w:val="24"/>
                <w:szCs w:val="24"/>
              </w:rPr>
              <w:t>- Информация о дебиторской и кредиторской задолженности</w:t>
            </w:r>
          </w:p>
        </w:tc>
      </w:tr>
      <w:tr w:rsidR="002E7433" w:rsidRPr="00E61FCA" w:rsidTr="00E9324B">
        <w:tc>
          <w:tcPr>
            <w:tcW w:w="2943" w:type="dxa"/>
          </w:tcPr>
          <w:p w:rsidR="002E7433" w:rsidRPr="00E61FCA" w:rsidRDefault="002E7433" w:rsidP="00073A70">
            <w:pPr>
              <w:pStyle w:val="-0"/>
              <w:spacing w:before="0" w:after="0"/>
              <w:ind w:firstLine="0"/>
              <w:rPr>
                <w:sz w:val="24"/>
                <w:szCs w:val="24"/>
              </w:rPr>
            </w:pPr>
            <w:r w:rsidRPr="00E61FCA">
              <w:rPr>
                <w:sz w:val="24"/>
                <w:szCs w:val="24"/>
              </w:rPr>
              <w:t>Тип "Иные":</w:t>
            </w:r>
          </w:p>
          <w:p w:rsidR="002E7433" w:rsidRPr="00E61FCA" w:rsidRDefault="002E7433" w:rsidP="00073A70">
            <w:pPr>
              <w:pStyle w:val="-0"/>
              <w:spacing w:before="0" w:after="0"/>
              <w:ind w:firstLine="0"/>
              <w:rPr>
                <w:sz w:val="24"/>
                <w:szCs w:val="24"/>
              </w:rPr>
            </w:pPr>
          </w:p>
        </w:tc>
        <w:tc>
          <w:tcPr>
            <w:tcW w:w="7019" w:type="dxa"/>
          </w:tcPr>
          <w:p w:rsidR="002E7433" w:rsidRPr="00E61FCA" w:rsidRDefault="002E7433" w:rsidP="00073A70">
            <w:pPr>
              <w:pStyle w:val="-0"/>
              <w:spacing w:before="0" w:after="0"/>
              <w:ind w:left="318" w:firstLine="0"/>
              <w:jc w:val="left"/>
              <w:rPr>
                <w:sz w:val="24"/>
                <w:szCs w:val="24"/>
              </w:rPr>
            </w:pPr>
            <w:r w:rsidRPr="00E61FCA">
              <w:rPr>
                <w:sz w:val="24"/>
                <w:szCs w:val="24"/>
              </w:rPr>
              <w:t>- Основная информация об объекте контроля</w:t>
            </w:r>
          </w:p>
          <w:p w:rsidR="002E7433" w:rsidRPr="00E61FCA" w:rsidRDefault="002E7433" w:rsidP="00073A70">
            <w:pPr>
              <w:pStyle w:val="-0"/>
              <w:spacing w:before="0" w:after="0"/>
              <w:ind w:left="318" w:firstLine="0"/>
              <w:jc w:val="left"/>
              <w:rPr>
                <w:sz w:val="24"/>
                <w:szCs w:val="24"/>
              </w:rPr>
            </w:pPr>
            <w:r w:rsidRPr="00E61FCA">
              <w:rPr>
                <w:sz w:val="24"/>
                <w:szCs w:val="24"/>
              </w:rPr>
              <w:t>- Рейтинг объекта контроля</w:t>
            </w:r>
          </w:p>
          <w:p w:rsidR="002E7433" w:rsidRPr="00E61FCA" w:rsidRDefault="002E7433" w:rsidP="00073A70">
            <w:pPr>
              <w:pStyle w:val="-0"/>
              <w:spacing w:before="0" w:after="0"/>
              <w:ind w:left="318" w:firstLine="0"/>
              <w:jc w:val="left"/>
              <w:rPr>
                <w:sz w:val="24"/>
                <w:szCs w:val="24"/>
              </w:rPr>
            </w:pPr>
            <w:r w:rsidRPr="00E61FCA">
              <w:rPr>
                <w:sz w:val="24"/>
                <w:szCs w:val="24"/>
              </w:rPr>
              <w:t>- Контрольные мероприятия</w:t>
            </w:r>
          </w:p>
          <w:p w:rsidR="002E7433" w:rsidRPr="00E61FCA" w:rsidRDefault="002E7433" w:rsidP="00073A70">
            <w:pPr>
              <w:pStyle w:val="-0"/>
              <w:spacing w:before="0" w:after="0"/>
              <w:ind w:left="318" w:firstLine="0"/>
              <w:jc w:val="left"/>
              <w:rPr>
                <w:sz w:val="24"/>
                <w:szCs w:val="24"/>
              </w:rPr>
            </w:pPr>
            <w:r w:rsidRPr="00E61FCA">
              <w:rPr>
                <w:sz w:val="24"/>
                <w:szCs w:val="24"/>
              </w:rPr>
              <w:t>- Результаты КМ</w:t>
            </w:r>
          </w:p>
          <w:p w:rsidR="002E7433" w:rsidRPr="00E61FCA" w:rsidRDefault="002E7433" w:rsidP="00073A70">
            <w:pPr>
              <w:pStyle w:val="-0"/>
              <w:spacing w:before="0" w:after="0"/>
              <w:ind w:left="318" w:firstLine="0"/>
              <w:jc w:val="left"/>
              <w:rPr>
                <w:sz w:val="24"/>
                <w:szCs w:val="24"/>
              </w:rPr>
            </w:pPr>
            <w:r w:rsidRPr="00E61FCA">
              <w:rPr>
                <w:sz w:val="24"/>
                <w:szCs w:val="24"/>
              </w:rPr>
              <w:t>- Производства</w:t>
            </w:r>
          </w:p>
          <w:p w:rsidR="002E7433" w:rsidRPr="00E61FCA" w:rsidRDefault="002E7433" w:rsidP="00073A70">
            <w:pPr>
              <w:pStyle w:val="-0"/>
              <w:spacing w:before="0" w:after="0"/>
              <w:ind w:left="318" w:firstLine="0"/>
              <w:jc w:val="left"/>
              <w:rPr>
                <w:sz w:val="24"/>
                <w:szCs w:val="24"/>
              </w:rPr>
            </w:pPr>
            <w:r w:rsidRPr="00E61FCA">
              <w:rPr>
                <w:sz w:val="24"/>
                <w:szCs w:val="24"/>
              </w:rPr>
              <w:t>- Выявленные нарушения</w:t>
            </w:r>
          </w:p>
          <w:p w:rsidR="002E7433" w:rsidRPr="00E61FCA" w:rsidRDefault="002E7433" w:rsidP="00073A70">
            <w:pPr>
              <w:pStyle w:val="-0"/>
              <w:spacing w:before="0" w:after="0"/>
              <w:ind w:left="318" w:firstLine="0"/>
              <w:jc w:val="left"/>
              <w:rPr>
                <w:sz w:val="24"/>
                <w:szCs w:val="24"/>
              </w:rPr>
            </w:pPr>
            <w:r w:rsidRPr="00E61FCA">
              <w:rPr>
                <w:sz w:val="24"/>
                <w:szCs w:val="24"/>
              </w:rPr>
              <w:t>- Казначейское сопровождение</w:t>
            </w:r>
          </w:p>
          <w:p w:rsidR="002E7433" w:rsidRPr="00E61FCA" w:rsidRDefault="002E7433" w:rsidP="00073A70">
            <w:pPr>
              <w:pStyle w:val="-0"/>
              <w:spacing w:before="0" w:after="0"/>
              <w:ind w:left="318" w:firstLine="0"/>
              <w:jc w:val="left"/>
              <w:rPr>
                <w:sz w:val="24"/>
                <w:szCs w:val="24"/>
              </w:rPr>
            </w:pPr>
            <w:r w:rsidRPr="00E61FCA">
              <w:rPr>
                <w:sz w:val="24"/>
                <w:szCs w:val="24"/>
              </w:rPr>
              <w:t>- Соглашения</w:t>
            </w:r>
          </w:p>
        </w:tc>
      </w:tr>
    </w:tbl>
    <w:p w:rsidR="002E7433" w:rsidRDefault="002E7433" w:rsidP="002E7433">
      <w:pPr>
        <w:pStyle w:val="53"/>
      </w:pPr>
      <w:bookmarkStart w:id="1741" w:name="_Toc42623712"/>
      <w:r>
        <w:t>Фильтр «Период с - по: 01.ММ.ГГГГ»</w:t>
      </w:r>
      <w:bookmarkEnd w:id="1741"/>
    </w:p>
    <w:p w:rsidR="002E7433" w:rsidRDefault="002E7433" w:rsidP="002E7433">
      <w:pPr>
        <w:pStyle w:val="af0"/>
      </w:pPr>
      <w:r>
        <w:t>Фильтр «</w:t>
      </w:r>
      <w:r w:rsidRPr="009C01AD">
        <w:t>Период с - по: 01.ММ.ГГГГ</w:t>
      </w:r>
      <w:r>
        <w:t xml:space="preserve">» </w:t>
      </w:r>
      <w:r w:rsidRPr="00510AF1">
        <w:t>отображает данные на выбранн</w:t>
      </w:r>
      <w:r>
        <w:t>ый</w:t>
      </w:r>
      <w:r w:rsidRPr="00510AF1">
        <w:t xml:space="preserve"> </w:t>
      </w:r>
      <w:r>
        <w:t>период.</w:t>
      </w:r>
    </w:p>
    <w:p w:rsidR="002E7433" w:rsidRDefault="002E7433" w:rsidP="002E7433">
      <w:pPr>
        <w:pStyle w:val="afffff7"/>
      </w:pPr>
      <w:r>
        <w:rPr>
          <w:noProof/>
          <w:lang w:eastAsia="ru-RU"/>
        </w:rPr>
        <w:drawing>
          <wp:inline distT="0" distB="0" distL="0" distR="0" wp14:anchorId="6BEC96B5" wp14:editId="6E5E89CC">
            <wp:extent cx="6188710" cy="3081254"/>
            <wp:effectExtent l="19050" t="19050" r="21590" b="23896"/>
            <wp:docPr id="24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6" cstate="print"/>
                    <a:srcRect/>
                    <a:stretch>
                      <a:fillRect/>
                    </a:stretch>
                  </pic:blipFill>
                  <pic:spPr bwMode="auto">
                    <a:xfrm>
                      <a:off x="0" y="0"/>
                      <a:ext cx="6188710" cy="3081254"/>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42" w:name="_Toc42623749"/>
      <w:bookmarkStart w:id="1743" w:name="_Toc69290532"/>
      <w:bookmarkStart w:id="1744" w:name="_Toc119584640"/>
      <w:r>
        <w:t xml:space="preserve">Рисунок </w:t>
      </w:r>
      <w:fldSimple w:instr=" SEQ Рисунок \* ARABIC ">
        <w:r w:rsidR="001860A9">
          <w:rPr>
            <w:noProof/>
          </w:rPr>
          <w:t>453</w:t>
        </w:r>
      </w:fldSimple>
      <w:r>
        <w:t xml:space="preserve"> – Фильтр «</w:t>
      </w:r>
      <w:r w:rsidRPr="009C01AD">
        <w:t>Период с - по: 01.ММ.ГГГГ</w:t>
      </w:r>
      <w:r>
        <w:t>»</w:t>
      </w:r>
      <w:bookmarkEnd w:id="1742"/>
      <w:bookmarkEnd w:id="1743"/>
      <w:bookmarkEnd w:id="1744"/>
    </w:p>
    <w:p w:rsidR="002E7433" w:rsidRDefault="002E7433" w:rsidP="002E7433">
      <w:pPr>
        <w:pStyle w:val="53"/>
      </w:pPr>
      <w:bookmarkStart w:id="1745" w:name="_Toc42623713"/>
      <w:r>
        <w:t>Фильтр «Единицы измерения»</w:t>
      </w:r>
      <w:bookmarkEnd w:id="1745"/>
    </w:p>
    <w:p w:rsidR="002E7433" w:rsidRDefault="002E7433" w:rsidP="002E7433">
      <w:pPr>
        <w:pStyle w:val="af0"/>
      </w:pPr>
      <w:r>
        <w:t>Фильтр «Единицы измерения»: фильтр отображения разрядов суммовых значений показателей. Фильтр имеет параметры:</w:t>
      </w:r>
    </w:p>
    <w:p w:rsidR="002E7433" w:rsidRDefault="002E7433" w:rsidP="00DE1661">
      <w:pPr>
        <w:pStyle w:val="13"/>
      </w:pPr>
      <w:r>
        <w:t>руб. = значение суммы;</w:t>
      </w:r>
    </w:p>
    <w:p w:rsidR="002E7433" w:rsidRDefault="002E7433" w:rsidP="00DE1661">
      <w:pPr>
        <w:pStyle w:val="13"/>
      </w:pPr>
      <w:r>
        <w:t>тыс. руб. = значение показателя / 1 000;</w:t>
      </w:r>
    </w:p>
    <w:p w:rsidR="002E7433" w:rsidRDefault="002E7433" w:rsidP="00DE1661">
      <w:pPr>
        <w:pStyle w:val="13"/>
      </w:pPr>
      <w:r>
        <w:t>млн руб. = значение показателя / 1 000 000;</w:t>
      </w:r>
    </w:p>
    <w:p w:rsidR="002E7433" w:rsidRDefault="002E7433" w:rsidP="00DE1661">
      <w:pPr>
        <w:pStyle w:val="13"/>
      </w:pPr>
      <w:r>
        <w:t>млрд руб. = значение показателя / 1 000 000 000.</w:t>
      </w:r>
    </w:p>
    <w:p w:rsidR="002E7433" w:rsidRDefault="002E7433" w:rsidP="002E7433">
      <w:pPr>
        <w:pStyle w:val="af0"/>
      </w:pPr>
      <w:r>
        <w:t>По умолчанию во всех представлениях фильтр установлен в «млн руб.»:</w:t>
      </w:r>
    </w:p>
    <w:p w:rsidR="002E7433" w:rsidRDefault="002E7433" w:rsidP="002E7433">
      <w:pPr>
        <w:pStyle w:val="afffff7"/>
      </w:pPr>
      <w:r w:rsidRPr="00C116DF">
        <w:rPr>
          <w:noProof/>
          <w:lang w:eastAsia="ru-RU"/>
        </w:rPr>
        <w:drawing>
          <wp:inline distT="0" distB="0" distL="0" distR="0" wp14:anchorId="3BD9549D" wp14:editId="1B8FEE78">
            <wp:extent cx="6188710" cy="3533365"/>
            <wp:effectExtent l="19050" t="19050" r="21590" b="9935"/>
            <wp:docPr id="24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7" cstate="print"/>
                    <a:srcRect/>
                    <a:stretch>
                      <a:fillRect/>
                    </a:stretch>
                  </pic:blipFill>
                  <pic:spPr bwMode="auto">
                    <a:xfrm>
                      <a:off x="0" y="0"/>
                      <a:ext cx="6188710" cy="3533365"/>
                    </a:xfrm>
                    <a:prstGeom prst="rect">
                      <a:avLst/>
                    </a:prstGeom>
                    <a:noFill/>
                    <a:ln w="9525">
                      <a:solidFill>
                        <a:schemeClr val="bg1">
                          <a:lumMod val="85000"/>
                        </a:schemeClr>
                      </a:solidFill>
                      <a:miter lim="800000"/>
                      <a:headEnd/>
                      <a:tailEnd/>
                    </a:ln>
                  </pic:spPr>
                </pic:pic>
              </a:graphicData>
            </a:graphic>
          </wp:inline>
        </w:drawing>
      </w:r>
    </w:p>
    <w:p w:rsidR="002E7433" w:rsidRPr="00AA23CF" w:rsidRDefault="002E7433" w:rsidP="002E7433">
      <w:pPr>
        <w:pStyle w:val="-0"/>
      </w:pPr>
      <w:bookmarkStart w:id="1746" w:name="_Toc42623750"/>
      <w:bookmarkStart w:id="1747" w:name="_Toc69290533"/>
      <w:bookmarkStart w:id="1748" w:name="_Toc119584641"/>
      <w:r>
        <w:t xml:space="preserve">Рисунок </w:t>
      </w:r>
      <w:fldSimple w:instr=" SEQ Рисунок \* ARABIC ">
        <w:r w:rsidR="001860A9">
          <w:rPr>
            <w:noProof/>
          </w:rPr>
          <w:t>454</w:t>
        </w:r>
      </w:fldSimple>
      <w:r>
        <w:t xml:space="preserve"> – Фильтр «Единицы измерения»</w:t>
      </w:r>
      <w:bookmarkEnd w:id="1746"/>
      <w:bookmarkEnd w:id="1747"/>
      <w:bookmarkEnd w:id="1748"/>
    </w:p>
    <w:p w:rsidR="002E7433" w:rsidRDefault="002E7433" w:rsidP="002E7433">
      <w:pPr>
        <w:pStyle w:val="af0"/>
      </w:pPr>
      <w:r>
        <w:t>Сменим значение параметра фильтра на «руб.»:</w:t>
      </w:r>
    </w:p>
    <w:p w:rsidR="002E7433" w:rsidRDefault="002E7433" w:rsidP="002E7433">
      <w:pPr>
        <w:pStyle w:val="afffff7"/>
      </w:pPr>
      <w:r>
        <w:rPr>
          <w:noProof/>
          <w:lang w:eastAsia="ru-RU"/>
        </w:rPr>
        <w:drawing>
          <wp:inline distT="0" distB="0" distL="0" distR="0" wp14:anchorId="7BBC267D" wp14:editId="7C1D92C0">
            <wp:extent cx="6188710" cy="3444741"/>
            <wp:effectExtent l="19050" t="19050" r="21590" b="22359"/>
            <wp:docPr id="24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8" cstate="print"/>
                    <a:srcRect/>
                    <a:stretch>
                      <a:fillRect/>
                    </a:stretch>
                  </pic:blipFill>
                  <pic:spPr bwMode="auto">
                    <a:xfrm>
                      <a:off x="0" y="0"/>
                      <a:ext cx="6188710" cy="3444741"/>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49" w:name="_Toc42623751"/>
      <w:bookmarkStart w:id="1750" w:name="_Toc69290534"/>
      <w:bookmarkStart w:id="1751" w:name="_Toc119584642"/>
      <w:r>
        <w:t xml:space="preserve">Рисунок </w:t>
      </w:r>
      <w:fldSimple w:instr=" SEQ Рисунок \* ARABIC ">
        <w:r w:rsidR="001860A9">
          <w:rPr>
            <w:noProof/>
          </w:rPr>
          <w:t>455</w:t>
        </w:r>
      </w:fldSimple>
      <w:r>
        <w:t xml:space="preserve"> – Изменение параметра фильтра «Единицы измерения»</w:t>
      </w:r>
      <w:bookmarkEnd w:id="1749"/>
      <w:bookmarkEnd w:id="1750"/>
      <w:bookmarkEnd w:id="1751"/>
    </w:p>
    <w:p w:rsidR="002E7433" w:rsidRDefault="002E7433" w:rsidP="002E7433">
      <w:pPr>
        <w:pStyle w:val="53"/>
      </w:pPr>
      <w:bookmarkStart w:id="1752" w:name="_Toc42623714"/>
      <w:r>
        <w:t>Фильтр «Территория»</w:t>
      </w:r>
      <w:bookmarkEnd w:id="1752"/>
    </w:p>
    <w:p w:rsidR="002E7433" w:rsidRDefault="002E7433" w:rsidP="002E7433">
      <w:pPr>
        <w:pStyle w:val="af0"/>
      </w:pPr>
      <w:r>
        <w:t xml:space="preserve">Фильтр «Территория»: выпадающий список с перечнем субъектов РФ. Выбранная территория позволяет сократить перечень организаций для упрощения поиска. На рисунках </w:t>
      </w:r>
      <w:r>
        <w:fldChar w:fldCharType="begin"/>
      </w:r>
      <w:r>
        <w:instrText xml:space="preserve"> REF _Ref42619735 \h </w:instrText>
      </w:r>
      <w:r w:rsidRPr="00C853A8">
        <w:instrText>\# #</w:instrText>
      </w:r>
      <w:r>
        <w:fldChar w:fldCharType="separate"/>
      </w:r>
      <w:r w:rsidR="00BF0BEE">
        <w:t>456</w:t>
      </w:r>
      <w:r>
        <w:fldChar w:fldCharType="end"/>
      </w:r>
      <w:r>
        <w:t xml:space="preserve"> и </w:t>
      </w:r>
      <w:r>
        <w:fldChar w:fldCharType="begin"/>
      </w:r>
      <w:r>
        <w:instrText xml:space="preserve"> REF _Ref42619738 \h </w:instrText>
      </w:r>
      <w:r w:rsidRPr="00C853A8">
        <w:instrText>\# #</w:instrText>
      </w:r>
      <w:r>
        <w:fldChar w:fldCharType="separate"/>
      </w:r>
      <w:r w:rsidR="00BF0BEE">
        <w:t>457</w:t>
      </w:r>
      <w:r>
        <w:fldChar w:fldCharType="end"/>
      </w:r>
      <w:r>
        <w:t xml:space="preserve"> показано изменение перечня объектов контроля при выборе разных территорий: Забайкальского края и Рязанской области.</w:t>
      </w:r>
    </w:p>
    <w:p w:rsidR="002E7433" w:rsidRDefault="002E7433" w:rsidP="002E7433">
      <w:pPr>
        <w:pStyle w:val="afffff7"/>
      </w:pPr>
      <w:r>
        <w:rPr>
          <w:noProof/>
          <w:lang w:eastAsia="ru-RU"/>
        </w:rPr>
        <w:drawing>
          <wp:inline distT="0" distB="0" distL="0" distR="0" wp14:anchorId="1593CE02" wp14:editId="6252D8C0">
            <wp:extent cx="6188710" cy="1803436"/>
            <wp:effectExtent l="19050" t="19050" r="21590" b="25364"/>
            <wp:docPr id="246"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9" cstate="print"/>
                    <a:srcRect/>
                    <a:stretch>
                      <a:fillRect/>
                    </a:stretch>
                  </pic:blipFill>
                  <pic:spPr bwMode="auto">
                    <a:xfrm>
                      <a:off x="0" y="0"/>
                      <a:ext cx="6188710" cy="1803436"/>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53" w:name="_Ref42619735"/>
      <w:bookmarkStart w:id="1754" w:name="_Toc42623752"/>
      <w:bookmarkStart w:id="1755" w:name="_Toc69290535"/>
      <w:bookmarkStart w:id="1756" w:name="_Toc119584643"/>
      <w:r>
        <w:t xml:space="preserve">Рисунок </w:t>
      </w:r>
      <w:fldSimple w:instr=" SEQ Рисунок \* ARABIC ">
        <w:r w:rsidR="001860A9">
          <w:rPr>
            <w:noProof/>
          </w:rPr>
          <w:t>456</w:t>
        </w:r>
      </w:fldSimple>
      <w:bookmarkEnd w:id="1753"/>
      <w:r>
        <w:t xml:space="preserve"> – Фильтр «Территория» - Забайкальский край</w:t>
      </w:r>
      <w:bookmarkEnd w:id="1754"/>
      <w:bookmarkEnd w:id="1755"/>
      <w:bookmarkEnd w:id="1756"/>
    </w:p>
    <w:p w:rsidR="002E7433" w:rsidRDefault="002E7433" w:rsidP="002E7433">
      <w:pPr>
        <w:pStyle w:val="af0"/>
        <w:ind w:firstLine="0"/>
      </w:pPr>
    </w:p>
    <w:p w:rsidR="002E7433" w:rsidRDefault="002E7433" w:rsidP="002E7433">
      <w:pPr>
        <w:pStyle w:val="afffff7"/>
      </w:pPr>
      <w:r>
        <w:rPr>
          <w:noProof/>
          <w:lang w:eastAsia="ru-RU"/>
        </w:rPr>
        <w:drawing>
          <wp:inline distT="0" distB="0" distL="0" distR="0" wp14:anchorId="1F52162B" wp14:editId="2B292FFC">
            <wp:extent cx="6188710" cy="1849663"/>
            <wp:effectExtent l="19050" t="19050" r="21590" b="17237"/>
            <wp:docPr id="24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0" cstate="print"/>
                    <a:srcRect/>
                    <a:stretch>
                      <a:fillRect/>
                    </a:stretch>
                  </pic:blipFill>
                  <pic:spPr bwMode="auto">
                    <a:xfrm>
                      <a:off x="0" y="0"/>
                      <a:ext cx="6188710" cy="1849663"/>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57" w:name="_Ref42619738"/>
      <w:bookmarkStart w:id="1758" w:name="_Toc42623753"/>
      <w:bookmarkStart w:id="1759" w:name="_Toc69290536"/>
      <w:bookmarkStart w:id="1760" w:name="_Toc119584644"/>
      <w:r>
        <w:t xml:space="preserve">Рисунок </w:t>
      </w:r>
      <w:fldSimple w:instr=" SEQ Рисунок \* ARABIC ">
        <w:r w:rsidR="001860A9">
          <w:rPr>
            <w:noProof/>
          </w:rPr>
          <w:t>457</w:t>
        </w:r>
      </w:fldSimple>
      <w:bookmarkEnd w:id="1757"/>
      <w:r>
        <w:t xml:space="preserve"> - Фильтр «Территория» - Рязанская область</w:t>
      </w:r>
      <w:bookmarkEnd w:id="1758"/>
      <w:bookmarkEnd w:id="1759"/>
      <w:bookmarkEnd w:id="1760"/>
    </w:p>
    <w:p w:rsidR="002E7433" w:rsidRDefault="002E7433" w:rsidP="002E7433">
      <w:pPr>
        <w:pStyle w:val="53"/>
      </w:pPr>
      <w:bookmarkStart w:id="1761" w:name="_Toc42623715"/>
      <w:r>
        <w:t>Фильтр «Объект контроля»</w:t>
      </w:r>
      <w:bookmarkEnd w:id="1761"/>
    </w:p>
    <w:p w:rsidR="002E7433" w:rsidRDefault="002E7433" w:rsidP="002E7433">
      <w:pPr>
        <w:pStyle w:val="af0"/>
      </w:pPr>
      <w:r>
        <w:t>Фильтр «Объект контроля»:</w:t>
      </w:r>
      <w:r w:rsidRPr="00C87772">
        <w:t xml:space="preserve"> </w:t>
      </w:r>
      <w:r>
        <w:t>поле для ввода наименования объекта контроля. Поле с автодополнением, при вводе 2 символов появляется выпадающий список.</w:t>
      </w:r>
    </w:p>
    <w:p w:rsidR="002E7433" w:rsidRPr="00C21CB3" w:rsidRDefault="002E7433" w:rsidP="002E7433">
      <w:pPr>
        <w:pStyle w:val="af0"/>
      </w:pPr>
      <w:r>
        <w:t>Н</w:t>
      </w:r>
      <w:r w:rsidRPr="00C21CB3">
        <w:t xml:space="preserve">ачнем ввод наименования </w:t>
      </w:r>
      <w:r>
        <w:t>объекта контроля</w:t>
      </w:r>
      <w:r w:rsidRPr="00C21CB3">
        <w:t xml:space="preserve"> «</w:t>
      </w:r>
      <w:r>
        <w:t>Упр</w:t>
      </w:r>
      <w:r w:rsidRPr="00C21CB3">
        <w:t>…»:</w:t>
      </w:r>
    </w:p>
    <w:p w:rsidR="002E7433" w:rsidRDefault="002E7433" w:rsidP="002E7433">
      <w:pPr>
        <w:pStyle w:val="afffff7"/>
      </w:pPr>
      <w:r>
        <w:rPr>
          <w:noProof/>
          <w:lang w:eastAsia="ru-RU"/>
        </w:rPr>
        <w:drawing>
          <wp:inline distT="0" distB="0" distL="0" distR="0" wp14:anchorId="6622B182" wp14:editId="5C00B5B2">
            <wp:extent cx="6188710" cy="2839051"/>
            <wp:effectExtent l="19050" t="19050" r="21590" b="18449"/>
            <wp:docPr id="25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1" cstate="print"/>
                    <a:srcRect/>
                    <a:stretch>
                      <a:fillRect/>
                    </a:stretch>
                  </pic:blipFill>
                  <pic:spPr bwMode="auto">
                    <a:xfrm>
                      <a:off x="0" y="0"/>
                      <a:ext cx="6188710" cy="2839051"/>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62" w:name="_Toc42623754"/>
      <w:bookmarkStart w:id="1763" w:name="_Toc69290537"/>
      <w:bookmarkStart w:id="1764" w:name="_Toc119584645"/>
      <w:r>
        <w:t xml:space="preserve">Рисунок </w:t>
      </w:r>
      <w:r>
        <w:rPr>
          <w:lang w:val="en-US"/>
        </w:rPr>
        <w:fldChar w:fldCharType="begin"/>
      </w:r>
      <w:r w:rsidRPr="00972703">
        <w:instrText xml:space="preserve"> </w:instrText>
      </w:r>
      <w:r>
        <w:rPr>
          <w:lang w:val="en-US"/>
        </w:rPr>
        <w:instrText>SEQ</w:instrText>
      </w:r>
      <w:r w:rsidRPr="00972703">
        <w:instrText xml:space="preserve"> Рисунок \* </w:instrText>
      </w:r>
      <w:r>
        <w:rPr>
          <w:lang w:val="en-US"/>
        </w:rPr>
        <w:instrText>ARABIC</w:instrText>
      </w:r>
      <w:r w:rsidRPr="00972703">
        <w:instrText xml:space="preserve"> </w:instrText>
      </w:r>
      <w:r>
        <w:rPr>
          <w:lang w:val="en-US"/>
        </w:rPr>
        <w:fldChar w:fldCharType="separate"/>
      </w:r>
      <w:r w:rsidR="001860A9" w:rsidRPr="001860A9">
        <w:rPr>
          <w:noProof/>
        </w:rPr>
        <w:t>458</w:t>
      </w:r>
      <w:r>
        <w:rPr>
          <w:lang w:val="en-US"/>
        </w:rPr>
        <w:fldChar w:fldCharType="end"/>
      </w:r>
      <w:r>
        <w:t xml:space="preserve"> – Ввод наименования в фильтр «Объект контроля»</w:t>
      </w:r>
      <w:bookmarkEnd w:id="1762"/>
      <w:bookmarkEnd w:id="1763"/>
      <w:bookmarkEnd w:id="1764"/>
    </w:p>
    <w:p w:rsidR="002E7433" w:rsidRDefault="002E7433" w:rsidP="002E7433">
      <w:pPr>
        <w:pStyle w:val="53"/>
      </w:pPr>
      <w:bookmarkStart w:id="1765" w:name="_Toc42623716"/>
      <w:r>
        <w:t>Фильтр «ИНН»</w:t>
      </w:r>
      <w:bookmarkEnd w:id="1765"/>
    </w:p>
    <w:p w:rsidR="002E7433" w:rsidRPr="00C21CB3" w:rsidRDefault="002E7433" w:rsidP="002E7433">
      <w:pPr>
        <w:pStyle w:val="af0"/>
      </w:pPr>
      <w:r>
        <w:t>Фильтр «ИНН»:</w:t>
      </w:r>
      <w:r w:rsidRPr="00C87772">
        <w:t xml:space="preserve"> </w:t>
      </w:r>
      <w:r>
        <w:t>поле для ввода ИНН объекта контроля. Поле с автодополнением, при вводе 2 символов появляется выпадающий список. Н</w:t>
      </w:r>
      <w:r w:rsidRPr="00C21CB3">
        <w:t xml:space="preserve">ачнем ввод </w:t>
      </w:r>
      <w:r>
        <w:t>ИНН</w:t>
      </w:r>
      <w:r w:rsidRPr="00C21CB3">
        <w:t xml:space="preserve"> </w:t>
      </w:r>
      <w:r>
        <w:t>объекта контроля</w:t>
      </w:r>
      <w:r w:rsidRPr="00C21CB3">
        <w:t xml:space="preserve"> «</w:t>
      </w:r>
      <w:r>
        <w:t>7736</w:t>
      </w:r>
      <w:r w:rsidRPr="00C21CB3">
        <w:t>…»:</w:t>
      </w:r>
    </w:p>
    <w:p w:rsidR="002E7433" w:rsidRDefault="002E7433" w:rsidP="002E7433">
      <w:pPr>
        <w:pStyle w:val="afffff7"/>
      </w:pPr>
      <w:r>
        <w:rPr>
          <w:noProof/>
          <w:lang w:eastAsia="ru-RU"/>
        </w:rPr>
        <w:drawing>
          <wp:inline distT="0" distB="0" distL="0" distR="0" wp14:anchorId="224755F7" wp14:editId="25B9B894">
            <wp:extent cx="6188710" cy="1303927"/>
            <wp:effectExtent l="19050" t="19050" r="21590" b="10523"/>
            <wp:docPr id="25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2" cstate="print"/>
                    <a:srcRect/>
                    <a:stretch>
                      <a:fillRect/>
                    </a:stretch>
                  </pic:blipFill>
                  <pic:spPr bwMode="auto">
                    <a:xfrm>
                      <a:off x="0" y="0"/>
                      <a:ext cx="6188710" cy="130392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66" w:name="_Toc42623755"/>
      <w:bookmarkStart w:id="1767" w:name="_Toc69290538"/>
      <w:bookmarkStart w:id="1768" w:name="_Toc119584646"/>
      <w:r>
        <w:t xml:space="preserve">Рисунок </w:t>
      </w:r>
      <w:fldSimple w:instr=" SEQ Рисунок \* ARABIC ">
        <w:r w:rsidR="001860A9">
          <w:rPr>
            <w:noProof/>
          </w:rPr>
          <w:t>459</w:t>
        </w:r>
      </w:fldSimple>
      <w:r>
        <w:t xml:space="preserve"> – Фильтр «ИНН»</w:t>
      </w:r>
      <w:bookmarkEnd w:id="1766"/>
      <w:bookmarkEnd w:id="1767"/>
      <w:bookmarkEnd w:id="1768"/>
    </w:p>
    <w:p w:rsidR="002E7433" w:rsidRDefault="002E7433" w:rsidP="002E7433">
      <w:pPr>
        <w:pStyle w:val="af0"/>
      </w:pPr>
      <w:r w:rsidRPr="001B2861">
        <w:rPr>
          <w:rStyle w:val="af1"/>
        </w:rPr>
        <w:t>Для сброса параметров фильтра необходимо удалить введенное значение</w:t>
      </w:r>
    </w:p>
    <w:p w:rsidR="002E7433" w:rsidRDefault="002E7433" w:rsidP="002E7433">
      <w:pPr>
        <w:pStyle w:val="53"/>
      </w:pPr>
      <w:bookmarkStart w:id="1769" w:name="_Toc42623717"/>
      <w:r>
        <w:t>Фильтр «КПП»</w:t>
      </w:r>
      <w:bookmarkEnd w:id="1769"/>
    </w:p>
    <w:p w:rsidR="002E7433" w:rsidRPr="00C21CB3" w:rsidRDefault="002E7433" w:rsidP="002E7433">
      <w:pPr>
        <w:pStyle w:val="af0"/>
      </w:pPr>
      <w:r>
        <w:t>Фильтр «КПП»:</w:t>
      </w:r>
      <w:r w:rsidRPr="00C87772">
        <w:t xml:space="preserve"> </w:t>
      </w:r>
      <w:r>
        <w:t>поле для ввода КПП объекта контроля. Поле с автодополнением, при вводе 2 символов появляется выпадающий список. Н</w:t>
      </w:r>
      <w:r w:rsidRPr="00C21CB3">
        <w:t xml:space="preserve">ачнем ввод </w:t>
      </w:r>
      <w:r>
        <w:t>КПП</w:t>
      </w:r>
      <w:r w:rsidRPr="00C21CB3">
        <w:t xml:space="preserve"> </w:t>
      </w:r>
      <w:r>
        <w:t>объекта контроля</w:t>
      </w:r>
      <w:r w:rsidRPr="00C21CB3">
        <w:t xml:space="preserve"> «</w:t>
      </w:r>
      <w:r>
        <w:t>7736</w:t>
      </w:r>
      <w:r w:rsidRPr="00C21CB3">
        <w:t>…»:</w:t>
      </w:r>
    </w:p>
    <w:p w:rsidR="002E7433" w:rsidRDefault="002E7433" w:rsidP="002E7433">
      <w:pPr>
        <w:pStyle w:val="afffff7"/>
      </w:pPr>
      <w:r>
        <w:rPr>
          <w:noProof/>
          <w:lang w:eastAsia="ru-RU"/>
        </w:rPr>
        <w:drawing>
          <wp:inline distT="0" distB="0" distL="0" distR="0" wp14:anchorId="60EAC30E" wp14:editId="2949E041">
            <wp:extent cx="6188710" cy="1165016"/>
            <wp:effectExtent l="19050" t="19050" r="21590" b="16084"/>
            <wp:docPr id="25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43" cstate="print"/>
                    <a:srcRect/>
                    <a:stretch>
                      <a:fillRect/>
                    </a:stretch>
                  </pic:blipFill>
                  <pic:spPr bwMode="auto">
                    <a:xfrm>
                      <a:off x="0" y="0"/>
                      <a:ext cx="6188710" cy="1165016"/>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70" w:name="_Toc42623756"/>
      <w:bookmarkStart w:id="1771" w:name="_Toc69290539"/>
      <w:bookmarkStart w:id="1772" w:name="_Toc119584647"/>
      <w:r>
        <w:t xml:space="preserve">Рисунок </w:t>
      </w:r>
      <w:fldSimple w:instr=" SEQ Рисунок \* ARABIC ">
        <w:r w:rsidR="001860A9">
          <w:rPr>
            <w:noProof/>
          </w:rPr>
          <w:t>460</w:t>
        </w:r>
      </w:fldSimple>
      <w:r>
        <w:t xml:space="preserve"> – </w:t>
      </w:r>
      <w:r w:rsidRPr="001B2861">
        <w:t>Фильтр</w:t>
      </w:r>
      <w:r>
        <w:t xml:space="preserve"> «КПП»</w:t>
      </w:r>
      <w:bookmarkEnd w:id="1770"/>
      <w:bookmarkEnd w:id="1771"/>
      <w:bookmarkEnd w:id="1772"/>
    </w:p>
    <w:p w:rsidR="002E7433" w:rsidRDefault="002E7433" w:rsidP="002E7433">
      <w:pPr>
        <w:pStyle w:val="af0"/>
      </w:pPr>
      <w:r>
        <w:t>Для сброса параметров фильтра необходимо удалить введенное значение.</w:t>
      </w:r>
    </w:p>
    <w:p w:rsidR="002E7433" w:rsidRDefault="002E7433" w:rsidP="002E7433">
      <w:pPr>
        <w:pStyle w:val="53"/>
      </w:pPr>
      <w:bookmarkStart w:id="1773" w:name="_Toc42623718"/>
      <w:r>
        <w:t>Фильтр «Код СвР»</w:t>
      </w:r>
      <w:bookmarkEnd w:id="1773"/>
    </w:p>
    <w:p w:rsidR="002E7433" w:rsidRPr="00C21CB3" w:rsidRDefault="002E7433" w:rsidP="002E7433">
      <w:pPr>
        <w:pStyle w:val="af0"/>
      </w:pPr>
      <w:r>
        <w:t>Фильтр «Код СвР»:</w:t>
      </w:r>
      <w:r w:rsidRPr="00C87772">
        <w:t xml:space="preserve"> </w:t>
      </w:r>
      <w:r>
        <w:t>поле для ввода Кода СвР объекта контроля. Поле с автодополнением, при вводе 2 символов появляется выпадающий список. Н</w:t>
      </w:r>
      <w:r w:rsidRPr="00C21CB3">
        <w:t xml:space="preserve">ачнем ввод </w:t>
      </w:r>
      <w:r>
        <w:t>Код СвР</w:t>
      </w:r>
      <w:r w:rsidRPr="00C21CB3">
        <w:t xml:space="preserve"> </w:t>
      </w:r>
      <w:r>
        <w:t>объекта контроля</w:t>
      </w:r>
      <w:r w:rsidRPr="00C21CB3">
        <w:t xml:space="preserve"> «</w:t>
      </w:r>
      <w:r>
        <w:t>00100</w:t>
      </w:r>
      <w:r w:rsidRPr="00C21CB3">
        <w:t>…»:</w:t>
      </w:r>
    </w:p>
    <w:p w:rsidR="002E7433" w:rsidRDefault="002E7433" w:rsidP="002E7433">
      <w:pPr>
        <w:pStyle w:val="af0"/>
      </w:pPr>
    </w:p>
    <w:p w:rsidR="002E7433" w:rsidRDefault="002E7433" w:rsidP="002E7433">
      <w:pPr>
        <w:pStyle w:val="afffff7"/>
      </w:pPr>
      <w:r>
        <w:rPr>
          <w:noProof/>
          <w:lang w:eastAsia="ru-RU"/>
        </w:rPr>
        <w:drawing>
          <wp:inline distT="0" distB="0" distL="0" distR="0" wp14:anchorId="122CF43C" wp14:editId="61A2545F">
            <wp:extent cx="6188710" cy="2393115"/>
            <wp:effectExtent l="19050" t="19050" r="21590" b="26235"/>
            <wp:docPr id="25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4" cstate="print"/>
                    <a:srcRect/>
                    <a:stretch>
                      <a:fillRect/>
                    </a:stretch>
                  </pic:blipFill>
                  <pic:spPr bwMode="auto">
                    <a:xfrm>
                      <a:off x="0" y="0"/>
                      <a:ext cx="6188710" cy="2393115"/>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74" w:name="_Toc42623757"/>
      <w:bookmarkStart w:id="1775" w:name="_Toc69290540"/>
      <w:bookmarkStart w:id="1776" w:name="_Toc119584648"/>
      <w:r>
        <w:t xml:space="preserve">Рисунок </w:t>
      </w:r>
      <w:fldSimple w:instr=" SEQ Рисунок \* ARABIC ">
        <w:r w:rsidR="001860A9">
          <w:rPr>
            <w:noProof/>
          </w:rPr>
          <w:t>461</w:t>
        </w:r>
      </w:fldSimple>
      <w:r>
        <w:t xml:space="preserve"> – Фильтр «Код СвР»</w:t>
      </w:r>
      <w:bookmarkEnd w:id="1774"/>
      <w:bookmarkEnd w:id="1775"/>
      <w:bookmarkEnd w:id="1776"/>
    </w:p>
    <w:p w:rsidR="002E7433" w:rsidRDefault="002E7433" w:rsidP="002E7433">
      <w:pPr>
        <w:pStyle w:val="af0"/>
      </w:pPr>
      <w:r>
        <w:t>Для сброса параметров фильтра необходимо удалить введенное значение.</w:t>
      </w:r>
    </w:p>
    <w:p w:rsidR="002E7433" w:rsidRDefault="002E7433" w:rsidP="00862055">
      <w:pPr>
        <w:pStyle w:val="35"/>
        <w:numPr>
          <w:ilvl w:val="2"/>
          <w:numId w:val="135"/>
        </w:numPr>
        <w:rPr>
          <w:snapToGrid/>
        </w:rPr>
      </w:pPr>
      <w:bookmarkStart w:id="1777" w:name="_Toc69290147"/>
      <w:bookmarkStart w:id="1778" w:name="_Toc119585113"/>
      <w:r>
        <w:rPr>
          <w:snapToGrid/>
        </w:rPr>
        <w:t>Отчет «</w:t>
      </w:r>
      <w:r>
        <w:t>Реестр паспортов объектов контроля</w:t>
      </w:r>
      <w:r>
        <w:rPr>
          <w:snapToGrid/>
        </w:rPr>
        <w:t>»</w:t>
      </w:r>
      <w:bookmarkEnd w:id="1777"/>
      <w:r w:rsidR="00A62540">
        <w:rPr>
          <w:snapToGrid/>
        </w:rPr>
        <w:t xml:space="preserve"> (</w:t>
      </w:r>
      <w:r w:rsidR="00A62540" w:rsidRPr="00A62540">
        <w:rPr>
          <w:snapToGrid/>
        </w:rPr>
        <w:t xml:space="preserve">PIAO_162_002_report </w:t>
      </w:r>
      <w:r w:rsidR="00A62540">
        <w:rPr>
          <w:snapToGrid/>
        </w:rPr>
        <w:t>)</w:t>
      </w:r>
      <w:bookmarkEnd w:id="1778"/>
    </w:p>
    <w:p w:rsidR="002E7433" w:rsidRPr="00646738" w:rsidRDefault="002E7433" w:rsidP="002E7433">
      <w:pPr>
        <w:pStyle w:val="af0"/>
        <w:rPr>
          <w:rStyle w:val="af1"/>
          <w:rFonts w:eastAsia="Calibri"/>
        </w:rPr>
      </w:pPr>
      <w:r w:rsidRPr="00233E44">
        <w:rPr>
          <w:rStyle w:val="af1"/>
        </w:rPr>
        <w:t>Для перехода к отчету «</w:t>
      </w:r>
      <w:r>
        <w:t>Реестр паспортов объектов контроля</w:t>
      </w:r>
      <w:r w:rsidRPr="00233E44">
        <w:rPr>
          <w:rStyle w:val="af1"/>
        </w:rPr>
        <w:t>» необходимо перейти к витрине «</w:t>
      </w:r>
      <w:r w:rsidRPr="00646738">
        <w:rPr>
          <w:rStyle w:val="af1"/>
        </w:rPr>
        <w:t>Контроль и надзор в финансово-бюджетной сфере</w:t>
      </w:r>
      <w:r>
        <w:rPr>
          <w:rStyle w:val="af1"/>
        </w:rPr>
        <w:t>» и кликнуть мышью по плашке «</w:t>
      </w:r>
      <w:r>
        <w:t>Реестр паспортов объектов контроля»,</w:t>
      </w:r>
      <w:r>
        <w:rPr>
          <w:rStyle w:val="af1"/>
        </w:rPr>
        <w:t xml:space="preserve"> как показано на рисунке</w:t>
      </w:r>
      <w:r w:rsidR="00B33AFE" w:rsidRPr="00B33AFE">
        <w:rPr>
          <w:rStyle w:val="af1"/>
        </w:rPr>
        <w:t xml:space="preserve"> </w:t>
      </w:r>
      <w:r w:rsidR="00B33AFE">
        <w:rPr>
          <w:rStyle w:val="af1"/>
        </w:rPr>
        <w:fldChar w:fldCharType="begin"/>
      </w:r>
      <w:r w:rsidR="00B33AFE">
        <w:rPr>
          <w:rStyle w:val="af1"/>
        </w:rPr>
        <w:instrText xml:space="preserve"> REF _Ref70093032 \h </w:instrText>
      </w:r>
      <w:r w:rsidR="00B33AFE">
        <w:rPr>
          <w:rStyle w:val="af1"/>
        </w:rPr>
      </w:r>
      <w:r w:rsidR="00B33AFE">
        <w:rPr>
          <w:rStyle w:val="af1"/>
        </w:rPr>
        <w:fldChar w:fldCharType="separate"/>
      </w:r>
      <w:r w:rsidR="00BF0BEE">
        <w:rPr>
          <w:noProof/>
        </w:rPr>
        <w:t>387</w:t>
      </w:r>
      <w:r w:rsidR="00B33AFE">
        <w:rPr>
          <w:rStyle w:val="af1"/>
        </w:rPr>
        <w:fldChar w:fldCharType="end"/>
      </w:r>
      <w:r>
        <w:rPr>
          <w:rStyle w:val="af1"/>
        </w:rPr>
        <w:t>.</w:t>
      </w:r>
    </w:p>
    <w:p w:rsidR="00B33AFE" w:rsidRDefault="00B33AFE" w:rsidP="00B33AFE">
      <w:pPr>
        <w:pStyle w:val="afffff7"/>
        <w:keepNext/>
      </w:pPr>
      <w:r>
        <w:rPr>
          <w:noProof/>
          <w:lang w:eastAsia="ru-RU"/>
        </w:rPr>
        <w:drawing>
          <wp:inline distT="0" distB="0" distL="0" distR="0" wp14:anchorId="2B8BB1A8" wp14:editId="292B3826">
            <wp:extent cx="5939790" cy="2895410"/>
            <wp:effectExtent l="0" t="0" r="3810" b="635"/>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5"/>
                    <a:stretch>
                      <a:fillRect/>
                    </a:stretch>
                  </pic:blipFill>
                  <pic:spPr>
                    <a:xfrm>
                      <a:off x="0" y="0"/>
                      <a:ext cx="5939790" cy="2895410"/>
                    </a:xfrm>
                    <a:prstGeom prst="rect">
                      <a:avLst/>
                    </a:prstGeom>
                  </pic:spPr>
                </pic:pic>
              </a:graphicData>
            </a:graphic>
          </wp:inline>
        </w:drawing>
      </w:r>
    </w:p>
    <w:p w:rsidR="002E7433" w:rsidRDefault="00B33AFE" w:rsidP="00B33AFE">
      <w:pPr>
        <w:pStyle w:val="-0"/>
      </w:pPr>
      <w:bookmarkStart w:id="1779" w:name="_Toc119584649"/>
      <w:r>
        <w:t xml:space="preserve">Рисунок </w:t>
      </w:r>
      <w:fldSimple w:instr=" SEQ Рисунок \* ARABIC ">
        <w:bookmarkStart w:id="1780" w:name="_Ref70093032"/>
        <w:r w:rsidR="001860A9">
          <w:rPr>
            <w:noProof/>
          </w:rPr>
          <w:t>462</w:t>
        </w:r>
        <w:bookmarkEnd w:id="1780"/>
      </w:fldSimple>
      <w:r>
        <w:t xml:space="preserve"> – </w:t>
      </w:r>
      <w:r w:rsidRPr="00C501ED">
        <w:t xml:space="preserve">Плашка для перехода к отчету </w:t>
      </w:r>
      <w:r w:rsidRPr="00C501ED">
        <w:rPr>
          <w:rStyle w:val="af1"/>
          <w:snapToGrid w:val="0"/>
        </w:rPr>
        <w:t>«</w:t>
      </w:r>
      <w:r>
        <w:rPr>
          <w:rStyle w:val="af1"/>
          <w:snapToGrid w:val="0"/>
        </w:rPr>
        <w:t>Реестр п</w:t>
      </w:r>
      <w:r>
        <w:t>аспортов объекта контроля</w:t>
      </w:r>
      <w:r w:rsidRPr="00C501ED">
        <w:rPr>
          <w:rStyle w:val="af1"/>
          <w:snapToGrid w:val="0"/>
        </w:rPr>
        <w:t>»</w:t>
      </w:r>
      <w:bookmarkEnd w:id="1779"/>
    </w:p>
    <w:p w:rsidR="002E7433" w:rsidRDefault="002E7433" w:rsidP="002E7433">
      <w:pPr>
        <w:pStyle w:val="af0"/>
      </w:pPr>
      <w:r>
        <w:t xml:space="preserve">Отчет </w:t>
      </w:r>
      <w:r w:rsidRPr="009F07FD">
        <w:t xml:space="preserve">предназначен </w:t>
      </w:r>
      <w:r>
        <w:t>работников Федерального казначейства и его территориальных органов</w:t>
      </w:r>
      <w:r w:rsidRPr="000B0628">
        <w:t xml:space="preserve"> </w:t>
      </w:r>
      <w:r>
        <w:t xml:space="preserve">с целью использования для </w:t>
      </w:r>
      <w:r w:rsidRPr="000B0628">
        <w:t>свод</w:t>
      </w:r>
      <w:r>
        <w:t>а</w:t>
      </w:r>
      <w:r w:rsidRPr="000B0628">
        <w:t xml:space="preserve"> информации об объекте </w:t>
      </w:r>
      <w:r w:rsidRPr="0066549F">
        <w:t>контроля</w:t>
      </w:r>
      <w:r>
        <w:t>, необходимой для выполнения полномочий по контролю в финансово-бюджетной сфере</w:t>
      </w:r>
      <w:r w:rsidRPr="0066549F">
        <w:t>.</w:t>
      </w:r>
    </w:p>
    <w:p w:rsidR="002E7433" w:rsidRDefault="002E7433" w:rsidP="002E7433">
      <w:pPr>
        <w:pStyle w:val="af0"/>
        <w:rPr>
          <w:szCs w:val="24"/>
        </w:rPr>
      </w:pPr>
      <w:r w:rsidRPr="002A16A7">
        <w:rPr>
          <w:szCs w:val="24"/>
        </w:rPr>
        <w:t xml:space="preserve">Отчет </w:t>
      </w:r>
      <w:r>
        <w:rPr>
          <w:szCs w:val="24"/>
        </w:rPr>
        <w:t>представлен</w:t>
      </w:r>
      <w:r w:rsidRPr="002A16A7">
        <w:rPr>
          <w:szCs w:val="24"/>
        </w:rPr>
        <w:t xml:space="preserve"> на рисунке </w:t>
      </w:r>
      <w:r w:rsidRPr="002A16A7">
        <w:rPr>
          <w:szCs w:val="24"/>
        </w:rPr>
        <w:fldChar w:fldCharType="begin"/>
      </w:r>
      <w:r w:rsidRPr="002A16A7">
        <w:rPr>
          <w:szCs w:val="24"/>
        </w:rPr>
        <w:instrText xml:space="preserve"> REF _Ref42623130 \h </w:instrText>
      </w:r>
      <w:r w:rsidRPr="002A16A7">
        <w:rPr>
          <w:szCs w:val="24"/>
          <w:lang w:val="en-US"/>
        </w:rPr>
        <w:instrText>\# #</w:instrText>
      </w:r>
      <w:r>
        <w:rPr>
          <w:szCs w:val="24"/>
        </w:rPr>
        <w:instrText xml:space="preserve"> \* MERGEFORMAT </w:instrText>
      </w:r>
      <w:r w:rsidRPr="002A16A7">
        <w:rPr>
          <w:szCs w:val="24"/>
        </w:rPr>
      </w:r>
      <w:r w:rsidRPr="002A16A7">
        <w:rPr>
          <w:szCs w:val="24"/>
        </w:rPr>
        <w:fldChar w:fldCharType="separate"/>
      </w:r>
      <w:r w:rsidR="00BF0BEE" w:rsidRPr="00BF0BEE">
        <w:rPr>
          <w:szCs w:val="24"/>
        </w:rPr>
        <w:t>463</w:t>
      </w:r>
      <w:r w:rsidRPr="002A16A7">
        <w:rPr>
          <w:szCs w:val="24"/>
        </w:rPr>
        <w:fldChar w:fldCharType="end"/>
      </w:r>
      <w:r w:rsidRPr="002A16A7">
        <w:rPr>
          <w:szCs w:val="24"/>
        </w:rPr>
        <w:t>.</w:t>
      </w:r>
    </w:p>
    <w:p w:rsidR="002E7433" w:rsidRDefault="002E7433" w:rsidP="002E7433">
      <w:pPr>
        <w:pStyle w:val="afffff7"/>
      </w:pPr>
      <w:r>
        <w:rPr>
          <w:noProof/>
          <w:lang w:eastAsia="ru-RU"/>
        </w:rPr>
        <w:drawing>
          <wp:inline distT="0" distB="0" distL="0" distR="0" wp14:anchorId="7A15D388" wp14:editId="3260FE6B">
            <wp:extent cx="6188710" cy="2615954"/>
            <wp:effectExtent l="19050" t="19050" r="21590" b="12946"/>
            <wp:docPr id="5764" name="Рисунок 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6" cstate="print"/>
                    <a:srcRect/>
                    <a:stretch>
                      <a:fillRect/>
                    </a:stretch>
                  </pic:blipFill>
                  <pic:spPr bwMode="auto">
                    <a:xfrm>
                      <a:off x="0" y="0"/>
                      <a:ext cx="6188710" cy="2615954"/>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81" w:name="_Ref42623130"/>
      <w:bookmarkStart w:id="1782" w:name="_Toc42623656"/>
      <w:bookmarkStart w:id="1783" w:name="_Toc69290542"/>
      <w:bookmarkStart w:id="1784" w:name="_Toc119584650"/>
      <w:r>
        <w:t xml:space="preserve">Рисунок </w:t>
      </w:r>
      <w:fldSimple w:instr=" SEQ Рисунок \* ARABIC ">
        <w:r w:rsidR="001860A9">
          <w:rPr>
            <w:noProof/>
          </w:rPr>
          <w:t>463</w:t>
        </w:r>
      </w:fldSimple>
      <w:bookmarkEnd w:id="1781"/>
      <w:r>
        <w:t xml:space="preserve"> – Отчет «Реестр паспортов объектов контроля»</w:t>
      </w:r>
      <w:bookmarkEnd w:id="1782"/>
      <w:bookmarkEnd w:id="1783"/>
      <w:bookmarkEnd w:id="1784"/>
    </w:p>
    <w:p w:rsidR="002E7433" w:rsidRDefault="002E7433" w:rsidP="002E7433">
      <w:pPr>
        <w:pStyle w:val="af0"/>
        <w:rPr>
          <w:szCs w:val="24"/>
        </w:rPr>
      </w:pPr>
      <w:r>
        <w:t xml:space="preserve">Отчет содержит перечень паспортов объектов контроля – организаций, находящихся в реестре </w:t>
      </w:r>
      <w:r w:rsidRPr="00866E8D">
        <w:rPr>
          <w:szCs w:val="24"/>
        </w:rPr>
        <w:t>участников бюджетного процесса, а также юридических лиц, не являющихся участниками бюджетного процесса</w:t>
      </w:r>
      <w:r>
        <w:rPr>
          <w:szCs w:val="24"/>
        </w:rPr>
        <w:t>.</w:t>
      </w:r>
    </w:p>
    <w:p w:rsidR="002E7433" w:rsidRDefault="002E7433" w:rsidP="002E7433">
      <w:pPr>
        <w:pStyle w:val="af0"/>
        <w:rPr>
          <w:szCs w:val="24"/>
        </w:rPr>
      </w:pPr>
      <w:r>
        <w:rPr>
          <w:szCs w:val="24"/>
        </w:rPr>
        <w:t xml:space="preserve">Из отчета </w:t>
      </w:r>
      <w:r w:rsidRPr="00C501ED">
        <w:rPr>
          <w:rStyle w:val="af1"/>
          <w:snapToGrid w:val="0"/>
        </w:rPr>
        <w:t>«</w:t>
      </w:r>
      <w:r>
        <w:rPr>
          <w:rStyle w:val="af1"/>
          <w:snapToGrid w:val="0"/>
        </w:rPr>
        <w:t>Реестр п</w:t>
      </w:r>
      <w:r>
        <w:t>аспортов объекта контроля</w:t>
      </w:r>
      <w:r w:rsidRPr="00C501ED">
        <w:rPr>
          <w:rStyle w:val="af1"/>
          <w:snapToGrid w:val="0"/>
        </w:rPr>
        <w:t>»</w:t>
      </w:r>
      <w:r>
        <w:rPr>
          <w:szCs w:val="24"/>
        </w:rPr>
        <w:t xml:space="preserve"> можно перейти к отчету «Паспорт объекта контроля» для выбранного объекта, нажав на ячейку с наименованием, или в его карточку в сводном реестре ЕПБС, нажав на ячейку с кодом в сводном реестре.</w:t>
      </w:r>
    </w:p>
    <w:p w:rsidR="002E7433" w:rsidRDefault="002E7433" w:rsidP="00862055">
      <w:pPr>
        <w:pStyle w:val="42"/>
        <w:numPr>
          <w:ilvl w:val="3"/>
          <w:numId w:val="135"/>
        </w:numPr>
      </w:pPr>
      <w:bookmarkStart w:id="1785" w:name="_Toc42623642"/>
      <w:r w:rsidRPr="0098516E">
        <w:t>Принц</w:t>
      </w:r>
      <w:r>
        <w:t>ип</w:t>
      </w:r>
      <w:r w:rsidRPr="0098516E">
        <w:t>ы работы фильтров отчета</w:t>
      </w:r>
      <w:r>
        <w:t>.</w:t>
      </w:r>
      <w:bookmarkEnd w:id="1785"/>
    </w:p>
    <w:p w:rsidR="002E7433" w:rsidRDefault="002E7433" w:rsidP="002E7433">
      <w:pPr>
        <w:pStyle w:val="53"/>
      </w:pPr>
      <w:bookmarkStart w:id="1786" w:name="_Toc42623643"/>
      <w:r>
        <w:t>Фильтр «Период с - по: 01.ММ.ГГГГ»</w:t>
      </w:r>
      <w:bookmarkEnd w:id="1786"/>
    </w:p>
    <w:p w:rsidR="002E7433" w:rsidRDefault="002E7433" w:rsidP="002E7433">
      <w:pPr>
        <w:pStyle w:val="af0"/>
      </w:pPr>
      <w:r>
        <w:t>Фильтр «</w:t>
      </w:r>
      <w:r w:rsidRPr="009C01AD">
        <w:t>Период с - по: 01.ММ.ГГГГ</w:t>
      </w:r>
      <w:r>
        <w:t xml:space="preserve">» </w:t>
      </w:r>
      <w:r w:rsidRPr="00510AF1">
        <w:t>отображает данные на выбранн</w:t>
      </w:r>
      <w:r>
        <w:t>ый</w:t>
      </w:r>
      <w:r w:rsidRPr="00510AF1">
        <w:t xml:space="preserve"> </w:t>
      </w:r>
      <w:r>
        <w:t>период</w:t>
      </w:r>
      <w:r w:rsidRPr="006566E3">
        <w:t xml:space="preserve"> (</w:t>
      </w:r>
      <w:r>
        <w:fldChar w:fldCharType="begin"/>
      </w:r>
      <w:r>
        <w:instrText xml:space="preserve"> REF _Ref42623170 \h </w:instrText>
      </w:r>
      <w:r>
        <w:fldChar w:fldCharType="separate"/>
      </w:r>
      <w:r w:rsidR="00BF0BEE">
        <w:t xml:space="preserve">Рисунок </w:t>
      </w:r>
      <w:r w:rsidR="00BF0BEE">
        <w:rPr>
          <w:noProof/>
        </w:rPr>
        <w:t>464</w:t>
      </w:r>
      <w:r>
        <w:fldChar w:fldCharType="end"/>
      </w:r>
      <w:r w:rsidRPr="006566E3">
        <w:t>)</w:t>
      </w:r>
      <w:r>
        <w:t>. Значения данного фильтра будут переданы в паспорт объекта контроля при переходе.</w:t>
      </w:r>
    </w:p>
    <w:p w:rsidR="002E7433" w:rsidRDefault="002E7433" w:rsidP="002E7433">
      <w:pPr>
        <w:pStyle w:val="afffff7"/>
      </w:pPr>
      <w:r>
        <w:rPr>
          <w:noProof/>
          <w:lang w:eastAsia="ru-RU"/>
        </w:rPr>
        <w:drawing>
          <wp:inline distT="0" distB="0" distL="0" distR="0" wp14:anchorId="4E0D2C02" wp14:editId="6A5E1A19">
            <wp:extent cx="6188710" cy="631284"/>
            <wp:effectExtent l="19050" t="19050" r="21590" b="16416"/>
            <wp:docPr id="57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7" cstate="print"/>
                    <a:srcRect/>
                    <a:stretch>
                      <a:fillRect/>
                    </a:stretch>
                  </pic:blipFill>
                  <pic:spPr bwMode="auto">
                    <a:xfrm>
                      <a:off x="0" y="0"/>
                      <a:ext cx="6188710" cy="631284"/>
                    </a:xfrm>
                    <a:prstGeom prst="rect">
                      <a:avLst/>
                    </a:prstGeom>
                    <a:noFill/>
                    <a:ln w="9525">
                      <a:solidFill>
                        <a:schemeClr val="bg1">
                          <a:lumMod val="85000"/>
                        </a:schemeClr>
                      </a:solidFill>
                      <a:miter lim="800000"/>
                      <a:headEnd/>
                      <a:tailEnd/>
                    </a:ln>
                  </pic:spPr>
                </pic:pic>
              </a:graphicData>
            </a:graphic>
          </wp:inline>
        </w:drawing>
      </w:r>
    </w:p>
    <w:p w:rsidR="002E7433" w:rsidRPr="008852F6" w:rsidRDefault="002E7433" w:rsidP="002E7433">
      <w:pPr>
        <w:pStyle w:val="-0"/>
      </w:pPr>
      <w:bookmarkStart w:id="1787" w:name="_Ref42623170"/>
      <w:bookmarkStart w:id="1788" w:name="_Toc42623657"/>
      <w:bookmarkStart w:id="1789" w:name="_Toc69290543"/>
      <w:bookmarkStart w:id="1790" w:name="_Toc119584651"/>
      <w:r>
        <w:t xml:space="preserve">Рисунок </w:t>
      </w:r>
      <w:fldSimple w:instr=" SEQ Рисунок \* ARABIC ">
        <w:r w:rsidR="001860A9">
          <w:rPr>
            <w:noProof/>
          </w:rPr>
          <w:t>464</w:t>
        </w:r>
      </w:fldSimple>
      <w:bookmarkEnd w:id="1787"/>
      <w:r>
        <w:t xml:space="preserve"> – Фильтр «</w:t>
      </w:r>
      <w:r w:rsidRPr="009C01AD">
        <w:t>Период с - по: 01.</w:t>
      </w:r>
      <w:r w:rsidRPr="00D101A5">
        <w:t>ММ</w:t>
      </w:r>
      <w:r w:rsidRPr="009C01AD">
        <w:t>.ГГГГ</w:t>
      </w:r>
      <w:r>
        <w:t>»</w:t>
      </w:r>
      <w:r w:rsidRPr="008852F6">
        <w:t xml:space="preserve"> </w:t>
      </w:r>
      <w:r>
        <w:t>в отчете «Реестр паспортов объектов контроля»</w:t>
      </w:r>
      <w:bookmarkEnd w:id="1788"/>
      <w:bookmarkEnd w:id="1789"/>
      <w:bookmarkEnd w:id="1790"/>
    </w:p>
    <w:p w:rsidR="002E7433" w:rsidRDefault="002E7433" w:rsidP="002E7433">
      <w:pPr>
        <w:pStyle w:val="afffff7"/>
      </w:pPr>
      <w:r>
        <w:rPr>
          <w:noProof/>
          <w:lang w:eastAsia="ru-RU"/>
        </w:rPr>
        <w:drawing>
          <wp:inline distT="0" distB="0" distL="0" distR="0" wp14:anchorId="371C14F6" wp14:editId="4B5D0014">
            <wp:extent cx="6188710" cy="807814"/>
            <wp:effectExtent l="19050" t="19050" r="21590" b="11336"/>
            <wp:docPr id="576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8" cstate="print"/>
                    <a:srcRect/>
                    <a:stretch>
                      <a:fillRect/>
                    </a:stretch>
                  </pic:blipFill>
                  <pic:spPr bwMode="auto">
                    <a:xfrm>
                      <a:off x="0" y="0"/>
                      <a:ext cx="6188710" cy="807814"/>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91" w:name="_Toc42623658"/>
      <w:bookmarkStart w:id="1792" w:name="_Toc69290544"/>
      <w:bookmarkStart w:id="1793" w:name="_Toc119584652"/>
      <w:r>
        <w:t xml:space="preserve">Рисунок </w:t>
      </w:r>
      <w:fldSimple w:instr=" SEQ Рисунок \* ARABIC ">
        <w:r w:rsidR="001860A9">
          <w:rPr>
            <w:noProof/>
          </w:rPr>
          <w:t>465</w:t>
        </w:r>
      </w:fldSimple>
      <w:r>
        <w:t xml:space="preserve"> - Фильтр «</w:t>
      </w:r>
      <w:r w:rsidRPr="009C01AD">
        <w:t>Период с - по: 01.ММ.ГГГГ</w:t>
      </w:r>
      <w:r>
        <w:t>»</w:t>
      </w:r>
      <w:r w:rsidRPr="008852F6">
        <w:t xml:space="preserve"> </w:t>
      </w:r>
      <w:r>
        <w:t>при переходе в отчет «Паспорт объекта контроля»</w:t>
      </w:r>
      <w:bookmarkEnd w:id="1791"/>
      <w:bookmarkEnd w:id="1792"/>
      <w:bookmarkEnd w:id="1793"/>
    </w:p>
    <w:p w:rsidR="002E7433" w:rsidRDefault="002E7433" w:rsidP="002E7433">
      <w:pPr>
        <w:pStyle w:val="53"/>
      </w:pPr>
      <w:bookmarkStart w:id="1794" w:name="_Toc42623644"/>
      <w:r>
        <w:t>Фильтры «Тип организации» и «Разделы паспорта»</w:t>
      </w:r>
      <w:bookmarkEnd w:id="1794"/>
    </w:p>
    <w:p w:rsidR="002E7433" w:rsidRPr="00541F54" w:rsidRDefault="002E7433" w:rsidP="002E7433">
      <w:pPr>
        <w:pStyle w:val="af0"/>
      </w:pPr>
      <w:r>
        <w:t>Фильтр «Тип организации»: выпадающий список с перечнем типов объекта контроля в соответствии с классификацией, применяемой в сводном реестре:</w:t>
      </w:r>
    </w:p>
    <w:p w:rsidR="002E7433" w:rsidRDefault="002E7433" w:rsidP="00DE1661">
      <w:pPr>
        <w:pStyle w:val="13"/>
      </w:pPr>
      <w:r w:rsidRPr="00826673">
        <w:t>ОГВ</w:t>
      </w:r>
      <w:r>
        <w:t>;</w:t>
      </w:r>
    </w:p>
    <w:p w:rsidR="002E7433" w:rsidRDefault="002E7433" w:rsidP="00DE1661">
      <w:pPr>
        <w:pStyle w:val="13"/>
      </w:pPr>
      <w:r w:rsidRPr="00826673">
        <w:t>КУ</w:t>
      </w:r>
      <w:r>
        <w:t>;</w:t>
      </w:r>
    </w:p>
    <w:p w:rsidR="002E7433" w:rsidRDefault="002E7433" w:rsidP="00DE1661">
      <w:pPr>
        <w:pStyle w:val="13"/>
      </w:pPr>
      <w:r w:rsidRPr="00826673">
        <w:t>АУ</w:t>
      </w:r>
      <w:r>
        <w:t>;</w:t>
      </w:r>
    </w:p>
    <w:p w:rsidR="002E7433" w:rsidRDefault="002E7433" w:rsidP="00DE1661">
      <w:pPr>
        <w:pStyle w:val="13"/>
      </w:pPr>
      <w:r w:rsidRPr="00826673">
        <w:t>БУ</w:t>
      </w:r>
      <w:r>
        <w:t>;</w:t>
      </w:r>
    </w:p>
    <w:p w:rsidR="002E7433" w:rsidRDefault="002E7433" w:rsidP="00DE1661">
      <w:pPr>
        <w:pStyle w:val="13"/>
      </w:pPr>
      <w:r w:rsidRPr="00826673">
        <w:t>Фонды</w:t>
      </w:r>
      <w:r>
        <w:t>;</w:t>
      </w:r>
    </w:p>
    <w:p w:rsidR="002E7433" w:rsidRDefault="002E7433" w:rsidP="00DE1661">
      <w:pPr>
        <w:pStyle w:val="13"/>
      </w:pPr>
      <w:r w:rsidRPr="00826673">
        <w:t>Госкорпорации</w:t>
      </w:r>
      <w:r>
        <w:t>;</w:t>
      </w:r>
    </w:p>
    <w:p w:rsidR="002E7433" w:rsidRDefault="002E7433" w:rsidP="00DE1661">
      <w:pPr>
        <w:pStyle w:val="13"/>
      </w:pPr>
      <w:r w:rsidRPr="00826673">
        <w:t>ГУП</w:t>
      </w:r>
      <w:r>
        <w:t>;</w:t>
      </w:r>
    </w:p>
    <w:p w:rsidR="002E7433" w:rsidRDefault="002E7433" w:rsidP="00DE1661">
      <w:pPr>
        <w:pStyle w:val="13"/>
      </w:pPr>
      <w:r w:rsidRPr="00826673">
        <w:t>Иные</w:t>
      </w:r>
      <w:r>
        <w:t>;</w:t>
      </w:r>
    </w:p>
    <w:p w:rsidR="002E7433" w:rsidRPr="006566E3" w:rsidRDefault="002E7433" w:rsidP="00DE1661">
      <w:pPr>
        <w:pStyle w:val="13"/>
      </w:pPr>
      <w:r>
        <w:t>Банк России.</w:t>
      </w:r>
    </w:p>
    <w:p w:rsidR="002E7433" w:rsidRPr="001D5E42" w:rsidRDefault="002E7433" w:rsidP="002E7433">
      <w:pPr>
        <w:pStyle w:val="af0"/>
      </w:pPr>
      <w:r>
        <w:t xml:space="preserve">Фильтр показан на рисунке </w:t>
      </w:r>
      <w:r>
        <w:fldChar w:fldCharType="begin"/>
      </w:r>
      <w:r>
        <w:instrText xml:space="preserve"> REF _Ref42623286 \h </w:instrText>
      </w:r>
      <w:r>
        <w:rPr>
          <w:lang w:val="en-US"/>
        </w:rPr>
        <w:instrText>\# #</w:instrText>
      </w:r>
      <w:r>
        <w:instrText xml:space="preserve"> \* MERGEFORMAT </w:instrText>
      </w:r>
      <w:r>
        <w:fldChar w:fldCharType="separate"/>
      </w:r>
      <w:r w:rsidR="00BF0BEE">
        <w:rPr>
          <w:lang w:val="en-US"/>
        </w:rPr>
        <w:t>466</w:t>
      </w:r>
      <w:r>
        <w:fldChar w:fldCharType="end"/>
      </w:r>
      <w:r w:rsidRPr="001D5E42">
        <w:t>.</w:t>
      </w:r>
    </w:p>
    <w:p w:rsidR="002E7433" w:rsidRDefault="002E7433" w:rsidP="002E7433">
      <w:pPr>
        <w:pStyle w:val="afffff7"/>
      </w:pPr>
      <w:r>
        <w:rPr>
          <w:noProof/>
          <w:lang w:eastAsia="ru-RU"/>
        </w:rPr>
        <w:drawing>
          <wp:inline distT="0" distB="0" distL="0" distR="0" wp14:anchorId="49D8C985" wp14:editId="1CB7CD62">
            <wp:extent cx="2976616" cy="3174737"/>
            <wp:effectExtent l="19050" t="19050" r="14234" b="25663"/>
            <wp:docPr id="57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9" cstate="print"/>
                    <a:srcRect/>
                    <a:stretch>
                      <a:fillRect/>
                    </a:stretch>
                  </pic:blipFill>
                  <pic:spPr bwMode="auto">
                    <a:xfrm>
                      <a:off x="0" y="0"/>
                      <a:ext cx="2979053" cy="317733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95" w:name="_Ref42623286"/>
      <w:bookmarkStart w:id="1796" w:name="_Toc42623659"/>
      <w:bookmarkStart w:id="1797" w:name="_Toc69290545"/>
      <w:bookmarkStart w:id="1798" w:name="_Toc119584653"/>
      <w:r>
        <w:t xml:space="preserve">Рисунок </w:t>
      </w:r>
      <w:fldSimple w:instr=" SEQ Рисунок \* ARABIC ">
        <w:r w:rsidR="001860A9">
          <w:rPr>
            <w:noProof/>
          </w:rPr>
          <w:t>466</w:t>
        </w:r>
      </w:fldSimple>
      <w:bookmarkEnd w:id="1795"/>
      <w:r>
        <w:t xml:space="preserve"> – Фильтр «Тип </w:t>
      </w:r>
      <w:r w:rsidRPr="00CC0E4B">
        <w:t>организации</w:t>
      </w:r>
      <w:r>
        <w:t>»</w:t>
      </w:r>
      <w:bookmarkEnd w:id="1796"/>
      <w:bookmarkEnd w:id="1797"/>
      <w:bookmarkEnd w:id="1798"/>
    </w:p>
    <w:p w:rsidR="002E7433" w:rsidRPr="006B02B3" w:rsidRDefault="002E7433" w:rsidP="002E7433">
      <w:pPr>
        <w:pStyle w:val="af0"/>
      </w:pPr>
      <w:r>
        <w:t>Выбранный тип объекта контроля позволяет сократить перечень организаций для упрощения поиска. Кроме того, от типа объекта контроля зависит перечень разделов Паспорта объекта контроля</w:t>
      </w:r>
      <w:r w:rsidRPr="006B02B3">
        <w:t xml:space="preserve"> (</w:t>
      </w:r>
      <w:r>
        <w:fldChar w:fldCharType="begin"/>
      </w:r>
      <w:r>
        <w:instrText xml:space="preserve"> REF _Ref42623319 \h </w:instrText>
      </w:r>
      <w:r>
        <w:fldChar w:fldCharType="separate"/>
      </w:r>
      <w:r w:rsidR="00BF0BEE">
        <w:t xml:space="preserve">Рисунок </w:t>
      </w:r>
      <w:r w:rsidR="00BF0BEE">
        <w:rPr>
          <w:noProof/>
        </w:rPr>
        <w:t>467</w:t>
      </w:r>
      <w:r>
        <w:fldChar w:fldCharType="end"/>
      </w:r>
      <w:r w:rsidRPr="006B02B3">
        <w:t>)</w:t>
      </w:r>
      <w:r>
        <w:t xml:space="preserve">. </w:t>
      </w:r>
    </w:p>
    <w:p w:rsidR="002E7433" w:rsidRDefault="002E7433" w:rsidP="002E7433">
      <w:pPr>
        <w:pStyle w:val="afffff7"/>
      </w:pPr>
      <w:r>
        <w:rPr>
          <w:noProof/>
          <w:lang w:eastAsia="ru-RU"/>
        </w:rPr>
        <w:drawing>
          <wp:inline distT="0" distB="0" distL="0" distR="0" wp14:anchorId="524EE8D0" wp14:editId="384666F4">
            <wp:extent cx="3457575" cy="5820387"/>
            <wp:effectExtent l="19050" t="19050" r="9525" b="28575"/>
            <wp:docPr id="57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0" cstate="print"/>
                    <a:srcRect/>
                    <a:stretch>
                      <a:fillRect/>
                    </a:stretch>
                  </pic:blipFill>
                  <pic:spPr bwMode="auto">
                    <a:xfrm>
                      <a:off x="0" y="0"/>
                      <a:ext cx="3455258" cy="581648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799" w:name="_Ref42623319"/>
      <w:bookmarkStart w:id="1800" w:name="_Toc42623660"/>
      <w:bookmarkStart w:id="1801" w:name="_Toc69290546"/>
      <w:bookmarkStart w:id="1802" w:name="_Toc119584654"/>
      <w:r>
        <w:t xml:space="preserve">Рисунок </w:t>
      </w:r>
      <w:fldSimple w:instr=" SEQ Рисунок \* ARABIC ">
        <w:r w:rsidR="001860A9">
          <w:rPr>
            <w:noProof/>
          </w:rPr>
          <w:t>467</w:t>
        </w:r>
      </w:fldSimple>
      <w:bookmarkEnd w:id="1799"/>
      <w:r>
        <w:t xml:space="preserve"> – Разделы Паспорта для типа объекта «Иные»</w:t>
      </w:r>
      <w:bookmarkEnd w:id="1800"/>
      <w:bookmarkEnd w:id="1801"/>
      <w:bookmarkEnd w:id="1802"/>
    </w:p>
    <w:p w:rsidR="002E7433" w:rsidRDefault="002E7433" w:rsidP="002E7433">
      <w:pPr>
        <w:pStyle w:val="af0"/>
      </w:pPr>
      <w:r>
        <w:t xml:space="preserve">Фильтр «Разделы паспорта»: выпадающий список с перечнем разделов паспорта для выбранного объекта контроля. В фильтре предусмотрен </w:t>
      </w:r>
      <w:r w:rsidRPr="00BD0D8E">
        <w:t>множественный выбор параметров фильтрации</w:t>
      </w:r>
      <w:r>
        <w:t>.</w:t>
      </w:r>
    </w:p>
    <w:p w:rsidR="002E7433" w:rsidRDefault="002E7433" w:rsidP="002E7433">
      <w:pPr>
        <w:pStyle w:val="af0"/>
      </w:pPr>
      <w:r>
        <w:t xml:space="preserve">Разделы доступные для соответствующего типа объекта контроля представлены в таблице </w:t>
      </w:r>
      <w:r>
        <w:fldChar w:fldCharType="begin"/>
      </w:r>
      <w:r>
        <w:instrText xml:space="preserve"> REF _Ref42619088 \h </w:instrText>
      </w:r>
      <w:r w:rsidRPr="00731413">
        <w:instrText>\# #</w:instrText>
      </w:r>
      <w:r>
        <w:instrText xml:space="preserve"> \* MERGEFORMAT </w:instrText>
      </w:r>
      <w:r>
        <w:fldChar w:fldCharType="separate"/>
      </w:r>
      <w:r w:rsidR="00BF0BEE">
        <w:t>52</w:t>
      </w:r>
      <w:r>
        <w:fldChar w:fldCharType="end"/>
      </w:r>
      <w:r>
        <w:t>.</w:t>
      </w:r>
    </w:p>
    <w:p w:rsidR="002E7433" w:rsidRDefault="002E7433" w:rsidP="002E7433">
      <w:pPr>
        <w:pStyle w:val="53"/>
      </w:pPr>
      <w:bookmarkStart w:id="1803" w:name="_Toc42623645"/>
      <w:r>
        <w:t>Фильтр «Объект контроля»</w:t>
      </w:r>
      <w:bookmarkEnd w:id="1803"/>
    </w:p>
    <w:p w:rsidR="002E7433" w:rsidRDefault="002E7433" w:rsidP="002E7433">
      <w:pPr>
        <w:pStyle w:val="af0"/>
      </w:pPr>
      <w:r>
        <w:t>Фильтр «Объект контроля»:</w:t>
      </w:r>
      <w:r w:rsidRPr="00C87772">
        <w:t xml:space="preserve"> </w:t>
      </w:r>
      <w:r>
        <w:t>поле для ввода наименования объекта контроля. Поле с автодополнением, при вводе 2 символов появляется выпадающий список.</w:t>
      </w:r>
    </w:p>
    <w:p w:rsidR="002E7433" w:rsidRPr="00C21CB3" w:rsidRDefault="002E7433" w:rsidP="002E7433">
      <w:pPr>
        <w:pStyle w:val="af0"/>
      </w:pPr>
      <w:r>
        <w:t>Н</w:t>
      </w:r>
      <w:r w:rsidRPr="00C21CB3">
        <w:t xml:space="preserve">ачнем ввод наименования </w:t>
      </w:r>
      <w:r>
        <w:t>объекта контроля</w:t>
      </w:r>
      <w:r w:rsidRPr="00C21CB3">
        <w:t xml:space="preserve"> «</w:t>
      </w:r>
      <w:r>
        <w:t>Министерство</w:t>
      </w:r>
      <w:r w:rsidRPr="00C21CB3">
        <w:t>…»</w:t>
      </w:r>
      <w:r w:rsidRPr="006B02B3">
        <w:t xml:space="preserve"> </w:t>
      </w:r>
      <w:r>
        <w:rPr>
          <w:lang w:val="en-US"/>
        </w:rPr>
        <w:t>(</w:t>
      </w:r>
      <w:r>
        <w:rPr>
          <w:lang w:val="en-US"/>
        </w:rPr>
        <w:fldChar w:fldCharType="begin"/>
      </w:r>
      <w:r>
        <w:rPr>
          <w:lang w:val="en-US"/>
        </w:rPr>
        <w:instrText xml:space="preserve"> REF _Ref42623331 \h </w:instrText>
      </w:r>
      <w:r>
        <w:rPr>
          <w:lang w:val="en-US"/>
        </w:rPr>
      </w:r>
      <w:r>
        <w:rPr>
          <w:lang w:val="en-US"/>
        </w:rPr>
        <w:fldChar w:fldCharType="separate"/>
      </w:r>
      <w:r w:rsidR="00BF0BEE">
        <w:t xml:space="preserve">Рисунок </w:t>
      </w:r>
      <w:r w:rsidR="00BF0BEE">
        <w:rPr>
          <w:noProof/>
          <w:lang w:val="en-US"/>
        </w:rPr>
        <w:t>468</w:t>
      </w:r>
      <w:r>
        <w:rPr>
          <w:lang w:val="en-US"/>
        </w:rPr>
        <w:fldChar w:fldCharType="end"/>
      </w:r>
      <w:r>
        <w:rPr>
          <w:lang w:val="en-US"/>
        </w:rPr>
        <w:t>)</w:t>
      </w:r>
      <w:r w:rsidRPr="00C21CB3">
        <w:t>:</w:t>
      </w:r>
    </w:p>
    <w:p w:rsidR="002E7433" w:rsidRDefault="002E7433" w:rsidP="002E7433">
      <w:pPr>
        <w:pStyle w:val="-0"/>
      </w:pPr>
      <w:r>
        <w:rPr>
          <w:noProof/>
          <w:snapToGrid/>
        </w:rPr>
        <w:drawing>
          <wp:inline distT="0" distB="0" distL="0" distR="0" wp14:anchorId="7FE86DFC" wp14:editId="12D06A77">
            <wp:extent cx="3590925" cy="4352925"/>
            <wp:effectExtent l="38100" t="19050" r="28575" b="28575"/>
            <wp:docPr id="579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1" cstate="print"/>
                    <a:srcRect/>
                    <a:stretch>
                      <a:fillRect/>
                    </a:stretch>
                  </pic:blipFill>
                  <pic:spPr bwMode="auto">
                    <a:xfrm>
                      <a:off x="0" y="0"/>
                      <a:ext cx="3590925" cy="4352925"/>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04" w:name="_Ref42623331"/>
      <w:bookmarkStart w:id="1805" w:name="_Toc42623661"/>
      <w:bookmarkStart w:id="1806" w:name="_Toc69290547"/>
      <w:bookmarkStart w:id="1807" w:name="_Toc119584655"/>
      <w:r>
        <w:t xml:space="preserve">Рисунок </w:t>
      </w:r>
      <w:r>
        <w:rPr>
          <w:lang w:val="en-US"/>
        </w:rPr>
        <w:fldChar w:fldCharType="begin"/>
      </w:r>
      <w:r w:rsidRPr="00972703">
        <w:instrText xml:space="preserve"> </w:instrText>
      </w:r>
      <w:r>
        <w:rPr>
          <w:lang w:val="en-US"/>
        </w:rPr>
        <w:instrText>SEQ</w:instrText>
      </w:r>
      <w:r w:rsidRPr="00972703">
        <w:instrText xml:space="preserve"> Рисунок \* </w:instrText>
      </w:r>
      <w:r>
        <w:rPr>
          <w:lang w:val="en-US"/>
        </w:rPr>
        <w:instrText>ARABIC</w:instrText>
      </w:r>
      <w:r w:rsidRPr="00972703">
        <w:instrText xml:space="preserve"> </w:instrText>
      </w:r>
      <w:r>
        <w:rPr>
          <w:lang w:val="en-US"/>
        </w:rPr>
        <w:fldChar w:fldCharType="separate"/>
      </w:r>
      <w:r w:rsidR="001860A9" w:rsidRPr="001860A9">
        <w:rPr>
          <w:noProof/>
        </w:rPr>
        <w:t>468</w:t>
      </w:r>
      <w:r>
        <w:rPr>
          <w:lang w:val="en-US"/>
        </w:rPr>
        <w:fldChar w:fldCharType="end"/>
      </w:r>
      <w:bookmarkEnd w:id="1804"/>
      <w:r>
        <w:t xml:space="preserve"> – Ввод наименования в фильтр «Объект контроля»</w:t>
      </w:r>
      <w:bookmarkEnd w:id="1805"/>
      <w:bookmarkEnd w:id="1806"/>
      <w:bookmarkEnd w:id="1807"/>
    </w:p>
    <w:p w:rsidR="002E7433" w:rsidRDefault="002E7433" w:rsidP="002E7433">
      <w:pPr>
        <w:pStyle w:val="53"/>
      </w:pPr>
      <w:bookmarkStart w:id="1808" w:name="_Toc42623646"/>
      <w:r>
        <w:t>Фильтр «ИНН»</w:t>
      </w:r>
      <w:bookmarkEnd w:id="1808"/>
    </w:p>
    <w:p w:rsidR="002E7433" w:rsidRPr="00C21CB3" w:rsidRDefault="002E7433" w:rsidP="002E7433">
      <w:pPr>
        <w:pStyle w:val="af0"/>
      </w:pPr>
      <w:r>
        <w:t>Фильтр «ИНН»:</w:t>
      </w:r>
      <w:r w:rsidRPr="00C87772">
        <w:t xml:space="preserve"> </w:t>
      </w:r>
      <w:r>
        <w:t>поле для ввода ИНН объекта контроля. Поле с автодополнением, при вводе 5 символов появляется выпадающий список. Н</w:t>
      </w:r>
      <w:r w:rsidRPr="00C21CB3">
        <w:t xml:space="preserve">ачнем ввод </w:t>
      </w:r>
      <w:r>
        <w:t>ИНН</w:t>
      </w:r>
      <w:r w:rsidRPr="00C21CB3">
        <w:t xml:space="preserve"> </w:t>
      </w:r>
      <w:r>
        <w:t>объекта контроля</w:t>
      </w:r>
      <w:r w:rsidRPr="00C21CB3">
        <w:t xml:space="preserve"> «</w:t>
      </w:r>
      <w:r>
        <w:t>770777</w:t>
      </w:r>
      <w:r w:rsidRPr="00C21CB3">
        <w:t>…»</w:t>
      </w:r>
      <w:r>
        <w:rPr>
          <w:lang w:val="en-US"/>
        </w:rPr>
        <w:t xml:space="preserve"> (</w:t>
      </w:r>
      <w:r>
        <w:rPr>
          <w:lang w:val="en-US"/>
        </w:rPr>
        <w:fldChar w:fldCharType="begin"/>
      </w:r>
      <w:r>
        <w:rPr>
          <w:lang w:val="en-US"/>
        </w:rPr>
        <w:instrText xml:space="preserve"> REF _Ref42623343 \h </w:instrText>
      </w:r>
      <w:r>
        <w:rPr>
          <w:lang w:val="en-US"/>
        </w:rPr>
      </w:r>
      <w:r>
        <w:rPr>
          <w:lang w:val="en-US"/>
        </w:rPr>
        <w:fldChar w:fldCharType="separate"/>
      </w:r>
      <w:r w:rsidR="00BF0BEE">
        <w:t xml:space="preserve">Рисунок </w:t>
      </w:r>
      <w:r w:rsidR="00BF0BEE">
        <w:rPr>
          <w:noProof/>
        </w:rPr>
        <w:t>469</w:t>
      </w:r>
      <w:r>
        <w:rPr>
          <w:lang w:val="en-US"/>
        </w:rPr>
        <w:fldChar w:fldCharType="end"/>
      </w:r>
      <w:r>
        <w:rPr>
          <w:lang w:val="en-US"/>
        </w:rPr>
        <w:t>)</w:t>
      </w:r>
      <w:r w:rsidRPr="00C21CB3">
        <w:t>:</w:t>
      </w:r>
    </w:p>
    <w:p w:rsidR="002E7433" w:rsidRDefault="002E7433" w:rsidP="002E7433">
      <w:pPr>
        <w:pStyle w:val="afff6"/>
        <w:keepNext/>
        <w:ind w:left="0"/>
        <w:jc w:val="center"/>
      </w:pPr>
      <w:r>
        <w:rPr>
          <w:noProof/>
          <w:snapToGrid/>
        </w:rPr>
        <w:drawing>
          <wp:inline distT="0" distB="0" distL="0" distR="0" wp14:anchorId="60910BE7" wp14:editId="3782915B">
            <wp:extent cx="3016844" cy="3401088"/>
            <wp:effectExtent l="19050" t="19050" r="12106" b="27912"/>
            <wp:docPr id="57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2" cstate="print"/>
                    <a:srcRect/>
                    <a:stretch>
                      <a:fillRect/>
                    </a:stretch>
                  </pic:blipFill>
                  <pic:spPr bwMode="auto">
                    <a:xfrm>
                      <a:off x="0" y="0"/>
                      <a:ext cx="3016072" cy="3400218"/>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09" w:name="_Ref42623343"/>
      <w:bookmarkStart w:id="1810" w:name="_Toc42623662"/>
      <w:bookmarkStart w:id="1811" w:name="_Toc69290548"/>
      <w:bookmarkStart w:id="1812" w:name="_Toc119584656"/>
      <w:r>
        <w:t xml:space="preserve">Рисунок </w:t>
      </w:r>
      <w:fldSimple w:instr=" SEQ Рисунок \* ARABIC ">
        <w:r w:rsidR="001860A9">
          <w:rPr>
            <w:noProof/>
          </w:rPr>
          <w:t>469</w:t>
        </w:r>
      </w:fldSimple>
      <w:bookmarkEnd w:id="1809"/>
      <w:r>
        <w:t xml:space="preserve"> – Фильтр «ИНН»</w:t>
      </w:r>
      <w:bookmarkEnd w:id="1810"/>
      <w:bookmarkEnd w:id="1811"/>
      <w:bookmarkEnd w:id="1812"/>
    </w:p>
    <w:p w:rsidR="002E7433" w:rsidRDefault="002E7433" w:rsidP="002E7433">
      <w:pPr>
        <w:pStyle w:val="-0"/>
        <w:ind w:firstLine="567"/>
      </w:pPr>
      <w:r>
        <w:t>Для сброса параметров фильтра необходимо удалить введенное значение.</w:t>
      </w:r>
    </w:p>
    <w:p w:rsidR="002E7433" w:rsidRDefault="002E7433" w:rsidP="002E7433">
      <w:pPr>
        <w:pStyle w:val="53"/>
      </w:pPr>
      <w:bookmarkStart w:id="1813" w:name="_Toc42623647"/>
      <w:r>
        <w:t>Фильтр «КПП»</w:t>
      </w:r>
      <w:bookmarkEnd w:id="1813"/>
    </w:p>
    <w:p w:rsidR="002E7433" w:rsidRPr="00C21CB3" w:rsidRDefault="002E7433" w:rsidP="002E7433">
      <w:pPr>
        <w:pStyle w:val="af0"/>
      </w:pPr>
      <w:r>
        <w:t>Фильтр «КПП»:</w:t>
      </w:r>
      <w:r w:rsidRPr="00C87772">
        <w:t xml:space="preserve"> </w:t>
      </w:r>
      <w:r>
        <w:t>поле для ввода КПП объекта контроля. Поле с автодополнением, при вводе 5 символов появляется выпадающий список. Н</w:t>
      </w:r>
      <w:r w:rsidRPr="00C21CB3">
        <w:t xml:space="preserve">ачнем ввод </w:t>
      </w:r>
      <w:r>
        <w:t>КПП</w:t>
      </w:r>
      <w:r w:rsidRPr="00C21CB3">
        <w:t xml:space="preserve"> </w:t>
      </w:r>
      <w:r>
        <w:t>объекта контроля</w:t>
      </w:r>
      <w:r w:rsidRPr="00C21CB3">
        <w:t xml:space="preserve"> «</w:t>
      </w:r>
      <w:r>
        <w:t>77070</w:t>
      </w:r>
      <w:r w:rsidRPr="00C21CB3">
        <w:t>…»</w:t>
      </w:r>
      <w:r>
        <w:rPr>
          <w:lang w:val="en-US"/>
        </w:rPr>
        <w:t xml:space="preserve"> (</w:t>
      </w:r>
      <w:r>
        <w:rPr>
          <w:lang w:val="en-US"/>
        </w:rPr>
        <w:fldChar w:fldCharType="begin"/>
      </w:r>
      <w:r>
        <w:rPr>
          <w:lang w:val="en-US"/>
        </w:rPr>
        <w:instrText xml:space="preserve"> REF _Ref42623350 \h </w:instrText>
      </w:r>
      <w:r>
        <w:rPr>
          <w:lang w:val="en-US"/>
        </w:rPr>
      </w:r>
      <w:r>
        <w:rPr>
          <w:lang w:val="en-US"/>
        </w:rPr>
        <w:fldChar w:fldCharType="separate"/>
      </w:r>
      <w:r w:rsidR="00BF0BEE">
        <w:t xml:space="preserve">Рисунок </w:t>
      </w:r>
      <w:r w:rsidR="00BF0BEE">
        <w:rPr>
          <w:noProof/>
        </w:rPr>
        <w:t>470</w:t>
      </w:r>
      <w:r>
        <w:rPr>
          <w:lang w:val="en-US"/>
        </w:rPr>
        <w:fldChar w:fldCharType="end"/>
      </w:r>
      <w:r>
        <w:rPr>
          <w:lang w:val="en-US"/>
        </w:rPr>
        <w:t>)</w:t>
      </w:r>
      <w:r w:rsidRPr="00C21CB3">
        <w:t>:</w:t>
      </w:r>
    </w:p>
    <w:p w:rsidR="002E7433" w:rsidRDefault="002E7433" w:rsidP="002E7433">
      <w:pPr>
        <w:pStyle w:val="afffff7"/>
      </w:pPr>
      <w:r>
        <w:rPr>
          <w:noProof/>
          <w:lang w:eastAsia="ru-RU"/>
        </w:rPr>
        <w:drawing>
          <wp:inline distT="0" distB="0" distL="0" distR="0" wp14:anchorId="270F343D" wp14:editId="0D53DC62">
            <wp:extent cx="2995497" cy="3511964"/>
            <wp:effectExtent l="38100" t="19050" r="14403" b="12286"/>
            <wp:docPr id="579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3" cstate="print"/>
                    <a:srcRect/>
                    <a:stretch>
                      <a:fillRect/>
                    </a:stretch>
                  </pic:blipFill>
                  <pic:spPr bwMode="auto">
                    <a:xfrm>
                      <a:off x="0" y="0"/>
                      <a:ext cx="3004754" cy="352281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14" w:name="_Ref42623350"/>
      <w:bookmarkStart w:id="1815" w:name="_Toc42623663"/>
      <w:bookmarkStart w:id="1816" w:name="_Toc69290549"/>
      <w:bookmarkStart w:id="1817" w:name="_Toc119584657"/>
      <w:r>
        <w:t xml:space="preserve">Рисунок </w:t>
      </w:r>
      <w:fldSimple w:instr=" SEQ Рисунок \* ARABIC ">
        <w:r w:rsidR="001860A9">
          <w:rPr>
            <w:noProof/>
          </w:rPr>
          <w:t>470</w:t>
        </w:r>
      </w:fldSimple>
      <w:bookmarkEnd w:id="1814"/>
      <w:r>
        <w:t xml:space="preserve"> – Фильтр «КПП»</w:t>
      </w:r>
      <w:bookmarkEnd w:id="1815"/>
      <w:bookmarkEnd w:id="1816"/>
      <w:bookmarkEnd w:id="1817"/>
    </w:p>
    <w:p w:rsidR="002E7433" w:rsidRDefault="002E7433" w:rsidP="002E7433">
      <w:pPr>
        <w:pStyle w:val="af0"/>
      </w:pPr>
      <w:r>
        <w:t>Для сброса параметров фильтра необходимо удалить введенное значение.</w:t>
      </w:r>
    </w:p>
    <w:p w:rsidR="002E7433" w:rsidRDefault="002E7433" w:rsidP="002E7433">
      <w:pPr>
        <w:pStyle w:val="53"/>
      </w:pPr>
      <w:bookmarkStart w:id="1818" w:name="_Toc42623648"/>
      <w:r>
        <w:t>Фильтр «Территория»</w:t>
      </w:r>
      <w:bookmarkEnd w:id="1818"/>
    </w:p>
    <w:p w:rsidR="002E7433" w:rsidRDefault="002E7433" w:rsidP="002E7433">
      <w:pPr>
        <w:pStyle w:val="af0"/>
      </w:pPr>
      <w:r>
        <w:t xml:space="preserve">Фильтр «Территория»: выпадающий список с перечнем субъектов РФ. Выбранная территория позволяет сократить перечень организаций для упрощения поиска. На рисунке </w:t>
      </w:r>
      <w:r>
        <w:fldChar w:fldCharType="begin"/>
      </w:r>
      <w:r>
        <w:instrText xml:space="preserve"> REF _Ref42619735 \h </w:instrText>
      </w:r>
      <w:r>
        <w:rPr>
          <w:lang w:val="en-US"/>
        </w:rPr>
        <w:instrText>\# #</w:instrText>
      </w:r>
      <w:r>
        <w:fldChar w:fldCharType="separate"/>
      </w:r>
      <w:r w:rsidR="00BF0BEE">
        <w:rPr>
          <w:lang w:val="en-US"/>
        </w:rPr>
        <w:t>45</w:t>
      </w:r>
      <w:r w:rsidR="00BF0BEE">
        <w:t>6</w:t>
      </w:r>
      <w:r>
        <w:fldChar w:fldCharType="end"/>
      </w:r>
      <w:r>
        <w:fldChar w:fldCharType="begin"/>
      </w:r>
      <w:r>
        <w:instrText xml:space="preserve"> REF _Ref42619735 \h </w:instrText>
      </w:r>
      <w:r w:rsidRPr="00C853A8">
        <w:instrText>\# #</w:instrText>
      </w:r>
      <w:r>
        <w:fldChar w:fldCharType="separate"/>
      </w:r>
      <w:r w:rsidR="00BF0BEE">
        <w:t>456</w:t>
      </w:r>
      <w:r>
        <w:fldChar w:fldCharType="end"/>
      </w:r>
      <w:r>
        <w:t xml:space="preserve"> показан фильтр «Территория».</w:t>
      </w:r>
    </w:p>
    <w:p w:rsidR="002E7433" w:rsidRDefault="002E7433" w:rsidP="002E7433">
      <w:pPr>
        <w:pStyle w:val="afffff7"/>
      </w:pPr>
      <w:r>
        <w:rPr>
          <w:noProof/>
          <w:lang w:eastAsia="ru-RU"/>
        </w:rPr>
        <w:drawing>
          <wp:inline distT="0" distB="0" distL="0" distR="0" wp14:anchorId="653A555F" wp14:editId="09E9F914">
            <wp:extent cx="3021034" cy="4110650"/>
            <wp:effectExtent l="38100" t="19050" r="26966" b="23200"/>
            <wp:docPr id="579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4" cstate="print"/>
                    <a:srcRect/>
                    <a:stretch>
                      <a:fillRect/>
                    </a:stretch>
                  </pic:blipFill>
                  <pic:spPr bwMode="auto">
                    <a:xfrm>
                      <a:off x="0" y="0"/>
                      <a:ext cx="3023706" cy="4114285"/>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afff8"/>
        <w:jc w:val="center"/>
      </w:pPr>
      <w:bookmarkStart w:id="1819" w:name="_Toc42623664"/>
      <w:bookmarkStart w:id="1820" w:name="_Toc69290550"/>
      <w:bookmarkStart w:id="1821" w:name="_Toc119584658"/>
      <w:r>
        <w:t xml:space="preserve">Рисунок </w:t>
      </w:r>
      <w:fldSimple w:instr=" SEQ Рисунок \* ARABIC ">
        <w:r w:rsidR="001860A9">
          <w:rPr>
            <w:noProof/>
          </w:rPr>
          <w:t>471</w:t>
        </w:r>
      </w:fldSimple>
      <w:r>
        <w:t xml:space="preserve"> – Фильтр «Территория»</w:t>
      </w:r>
      <w:bookmarkEnd w:id="1819"/>
      <w:bookmarkEnd w:id="1820"/>
      <w:bookmarkEnd w:id="1821"/>
    </w:p>
    <w:p w:rsidR="002E7433" w:rsidRDefault="002E7433" w:rsidP="002E7433">
      <w:pPr>
        <w:pStyle w:val="53"/>
      </w:pPr>
      <w:bookmarkStart w:id="1822" w:name="_Toc42623649"/>
      <w:r>
        <w:t>Фильтр «Объект контроля»</w:t>
      </w:r>
      <w:bookmarkEnd w:id="1822"/>
    </w:p>
    <w:p w:rsidR="002E7433" w:rsidRDefault="002E7433" w:rsidP="002E7433">
      <w:pPr>
        <w:pStyle w:val="af0"/>
      </w:pPr>
      <w:r>
        <w:t>Фильтр «Объект контроля»:</w:t>
      </w:r>
      <w:r w:rsidRPr="00C87772">
        <w:t xml:space="preserve"> </w:t>
      </w:r>
      <w:r>
        <w:t>поле для ввода наименования объекта контроля. Поле с автодополнением, при вводе 2 символов появляется выпадающий список.</w:t>
      </w:r>
    </w:p>
    <w:p w:rsidR="002E7433" w:rsidRPr="00C21CB3" w:rsidRDefault="002E7433" w:rsidP="002E7433">
      <w:pPr>
        <w:pStyle w:val="af0"/>
      </w:pPr>
      <w:r>
        <w:t>Н</w:t>
      </w:r>
      <w:r w:rsidRPr="00C21CB3">
        <w:t xml:space="preserve">ачнем ввод наименования </w:t>
      </w:r>
      <w:r>
        <w:t>объекта контроля</w:t>
      </w:r>
      <w:r w:rsidRPr="00C21CB3">
        <w:t xml:space="preserve"> «</w:t>
      </w:r>
      <w:r>
        <w:t>Управ</w:t>
      </w:r>
      <w:r w:rsidRPr="00C21CB3">
        <w:t>…»</w:t>
      </w:r>
      <w:r w:rsidRPr="00657F62">
        <w:t xml:space="preserve"> </w:t>
      </w:r>
      <w:r>
        <w:rPr>
          <w:lang w:val="en-US"/>
        </w:rPr>
        <w:t>(</w:t>
      </w:r>
      <w:r>
        <w:rPr>
          <w:lang w:val="en-US"/>
        </w:rPr>
        <w:fldChar w:fldCharType="begin"/>
      </w:r>
      <w:r>
        <w:rPr>
          <w:lang w:val="en-US"/>
        </w:rPr>
        <w:instrText xml:space="preserve"> REF _Ref42623410 \h </w:instrText>
      </w:r>
      <w:r>
        <w:rPr>
          <w:lang w:val="en-US"/>
        </w:rPr>
      </w:r>
      <w:r>
        <w:rPr>
          <w:lang w:val="en-US"/>
        </w:rPr>
        <w:fldChar w:fldCharType="separate"/>
      </w:r>
      <w:r w:rsidR="00BF0BEE">
        <w:t xml:space="preserve">Рисунок </w:t>
      </w:r>
      <w:r w:rsidR="00BF0BEE">
        <w:rPr>
          <w:noProof/>
          <w:lang w:val="en-US"/>
        </w:rPr>
        <w:t>472</w:t>
      </w:r>
      <w:r>
        <w:rPr>
          <w:lang w:val="en-US"/>
        </w:rPr>
        <w:fldChar w:fldCharType="end"/>
      </w:r>
      <w:r>
        <w:rPr>
          <w:lang w:val="en-US"/>
        </w:rPr>
        <w:t>)</w:t>
      </w:r>
      <w:r w:rsidRPr="00C21CB3">
        <w:t>:</w:t>
      </w:r>
    </w:p>
    <w:p w:rsidR="002E7433" w:rsidRDefault="002E7433" w:rsidP="00321FCA">
      <w:pPr>
        <w:pStyle w:val="afffff7"/>
      </w:pPr>
      <w:r>
        <w:rPr>
          <w:noProof/>
          <w:lang w:eastAsia="ru-RU"/>
        </w:rPr>
        <w:drawing>
          <wp:inline distT="0" distB="0" distL="0" distR="0" wp14:anchorId="70052664" wp14:editId="109EB807">
            <wp:extent cx="2981325" cy="3568126"/>
            <wp:effectExtent l="19050" t="19050" r="9525" b="13335"/>
            <wp:docPr id="5801" name="Рисунок 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5" cstate="print"/>
                    <a:srcRect/>
                    <a:stretch>
                      <a:fillRect/>
                    </a:stretch>
                  </pic:blipFill>
                  <pic:spPr bwMode="auto">
                    <a:xfrm>
                      <a:off x="0" y="0"/>
                      <a:ext cx="2984327" cy="3571719"/>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23" w:name="_Ref42623410"/>
      <w:bookmarkStart w:id="1824" w:name="_Toc42623665"/>
      <w:bookmarkStart w:id="1825" w:name="_Toc69290551"/>
      <w:bookmarkStart w:id="1826" w:name="_Toc119584659"/>
      <w:r>
        <w:t xml:space="preserve">Рисунок </w:t>
      </w:r>
      <w:r>
        <w:rPr>
          <w:lang w:val="en-US"/>
        </w:rPr>
        <w:fldChar w:fldCharType="begin"/>
      </w:r>
      <w:r w:rsidRPr="00972703">
        <w:instrText xml:space="preserve"> </w:instrText>
      </w:r>
      <w:r>
        <w:rPr>
          <w:lang w:val="en-US"/>
        </w:rPr>
        <w:instrText>SEQ</w:instrText>
      </w:r>
      <w:r w:rsidRPr="00972703">
        <w:instrText xml:space="preserve"> Рисунок \* </w:instrText>
      </w:r>
      <w:r>
        <w:rPr>
          <w:lang w:val="en-US"/>
        </w:rPr>
        <w:instrText>ARABIC</w:instrText>
      </w:r>
      <w:r w:rsidRPr="00972703">
        <w:instrText xml:space="preserve"> </w:instrText>
      </w:r>
      <w:r>
        <w:rPr>
          <w:lang w:val="en-US"/>
        </w:rPr>
        <w:fldChar w:fldCharType="separate"/>
      </w:r>
      <w:r w:rsidR="001860A9" w:rsidRPr="001860A9">
        <w:rPr>
          <w:noProof/>
        </w:rPr>
        <w:t>472</w:t>
      </w:r>
      <w:r>
        <w:rPr>
          <w:lang w:val="en-US"/>
        </w:rPr>
        <w:fldChar w:fldCharType="end"/>
      </w:r>
      <w:bookmarkEnd w:id="1823"/>
      <w:r>
        <w:t xml:space="preserve"> – Ввод наименования в фильтр «Объект контроля»</w:t>
      </w:r>
      <w:bookmarkEnd w:id="1824"/>
      <w:bookmarkEnd w:id="1825"/>
      <w:bookmarkEnd w:id="1826"/>
    </w:p>
    <w:p w:rsidR="002E7433" w:rsidRDefault="002E7433" w:rsidP="002E7433">
      <w:pPr>
        <w:pStyle w:val="53"/>
      </w:pPr>
      <w:bookmarkStart w:id="1827" w:name="_Toc42623650"/>
      <w:r>
        <w:t>Фильтр «Код Главы»</w:t>
      </w:r>
      <w:bookmarkEnd w:id="1827"/>
    </w:p>
    <w:p w:rsidR="002E7433" w:rsidRDefault="002E7433" w:rsidP="002E7433">
      <w:pPr>
        <w:pStyle w:val="af0"/>
      </w:pPr>
      <w:r>
        <w:t>Фильтр «Код Главы»:</w:t>
      </w:r>
      <w:r w:rsidRPr="00C87772">
        <w:t xml:space="preserve"> </w:t>
      </w:r>
      <w:r>
        <w:t>выпадающий список с перечнем Глав по БК</w:t>
      </w:r>
      <w:r w:rsidRPr="00C506B3">
        <w:t xml:space="preserve"> (</w:t>
      </w:r>
      <w:r>
        <w:fldChar w:fldCharType="begin"/>
      </w:r>
      <w:r>
        <w:instrText xml:space="preserve"> REF _Ref42623420 \h </w:instrText>
      </w:r>
      <w:r>
        <w:fldChar w:fldCharType="separate"/>
      </w:r>
      <w:r w:rsidR="00BF0BEE">
        <w:t xml:space="preserve">Рисунок </w:t>
      </w:r>
      <w:r w:rsidR="00BF0BEE">
        <w:rPr>
          <w:noProof/>
        </w:rPr>
        <w:t>473</w:t>
      </w:r>
      <w:r>
        <w:fldChar w:fldCharType="end"/>
      </w:r>
      <w:r w:rsidRPr="00C506B3">
        <w:t>)</w:t>
      </w:r>
      <w:r>
        <w:t xml:space="preserve">. </w:t>
      </w:r>
    </w:p>
    <w:p w:rsidR="002E7433" w:rsidRDefault="002E7433" w:rsidP="00321FCA">
      <w:pPr>
        <w:pStyle w:val="afffff7"/>
      </w:pPr>
      <w:r w:rsidRPr="00321FCA">
        <w:rPr>
          <w:noProof/>
          <w:lang w:eastAsia="ru-RU"/>
        </w:rPr>
        <w:drawing>
          <wp:inline distT="0" distB="0" distL="0" distR="0" wp14:anchorId="34069506" wp14:editId="7B8FCEA8">
            <wp:extent cx="3804461" cy="3310618"/>
            <wp:effectExtent l="19050" t="19050" r="24589" b="23132"/>
            <wp:docPr id="5802" name="Рисунок 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6" cstate="print"/>
                    <a:srcRect/>
                    <a:stretch>
                      <a:fillRect/>
                    </a:stretch>
                  </pic:blipFill>
                  <pic:spPr bwMode="auto">
                    <a:xfrm>
                      <a:off x="0" y="0"/>
                      <a:ext cx="3807907" cy="3313617"/>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28" w:name="_Ref42623420"/>
      <w:bookmarkStart w:id="1829" w:name="_Toc42623666"/>
      <w:bookmarkStart w:id="1830" w:name="_Toc69290552"/>
      <w:bookmarkStart w:id="1831" w:name="_Toc119584660"/>
      <w:r>
        <w:t xml:space="preserve">Рисунок </w:t>
      </w:r>
      <w:fldSimple w:instr=" SEQ Рисунок \* ARABIC ">
        <w:r w:rsidR="001860A9">
          <w:rPr>
            <w:noProof/>
          </w:rPr>
          <w:t>473</w:t>
        </w:r>
      </w:fldSimple>
      <w:bookmarkEnd w:id="1828"/>
      <w:r>
        <w:t xml:space="preserve"> – Фильтр «Код Главы»</w:t>
      </w:r>
      <w:bookmarkEnd w:id="1829"/>
      <w:bookmarkEnd w:id="1830"/>
      <w:bookmarkEnd w:id="1831"/>
    </w:p>
    <w:p w:rsidR="002E7433" w:rsidRDefault="002E7433" w:rsidP="002E7433">
      <w:pPr>
        <w:pStyle w:val="53"/>
      </w:pPr>
      <w:bookmarkStart w:id="1832" w:name="_Toc42623651"/>
      <w:r>
        <w:t>Фильтр «Код ОКФС»</w:t>
      </w:r>
      <w:bookmarkEnd w:id="1832"/>
    </w:p>
    <w:p w:rsidR="002E7433" w:rsidRPr="00C21CB3" w:rsidRDefault="002E7433" w:rsidP="002E7433">
      <w:pPr>
        <w:pStyle w:val="af0"/>
      </w:pPr>
      <w:r>
        <w:t>Фильтр «Код ОКФС»:</w:t>
      </w:r>
      <w:r w:rsidRPr="00C87772">
        <w:t xml:space="preserve"> </w:t>
      </w:r>
      <w:r>
        <w:t xml:space="preserve">выпадающий список с перечнем видов форм собственности в соответствии с </w:t>
      </w:r>
      <w:r w:rsidRPr="00DD2D70">
        <w:t>Общероссийски</w:t>
      </w:r>
      <w:r>
        <w:t>м</w:t>
      </w:r>
      <w:r w:rsidRPr="00DD2D70">
        <w:t xml:space="preserve"> классификатор</w:t>
      </w:r>
      <w:r>
        <w:t>ом</w:t>
      </w:r>
      <w:r w:rsidRPr="00DD2D70">
        <w:t xml:space="preserve"> форм собственности</w:t>
      </w:r>
      <w:r w:rsidRPr="00C506B3">
        <w:t xml:space="preserve"> (</w:t>
      </w:r>
      <w:r>
        <w:fldChar w:fldCharType="begin"/>
      </w:r>
      <w:r>
        <w:instrText xml:space="preserve"> REF _Ref42623431 \h </w:instrText>
      </w:r>
      <w:r>
        <w:fldChar w:fldCharType="separate"/>
      </w:r>
      <w:r w:rsidR="00BF0BEE">
        <w:t xml:space="preserve">Рисунок </w:t>
      </w:r>
      <w:r w:rsidR="00BF0BEE">
        <w:rPr>
          <w:noProof/>
        </w:rPr>
        <w:t>474</w:t>
      </w:r>
      <w:r>
        <w:fldChar w:fldCharType="end"/>
      </w:r>
      <w:r w:rsidRPr="00C506B3">
        <w:t>)</w:t>
      </w:r>
      <w:r>
        <w:t>.</w:t>
      </w:r>
    </w:p>
    <w:p w:rsidR="002E7433" w:rsidRDefault="002E7433" w:rsidP="002E7433">
      <w:pPr>
        <w:pStyle w:val="afffff7"/>
      </w:pPr>
      <w:r>
        <w:rPr>
          <w:noProof/>
          <w:lang w:eastAsia="ru-RU"/>
        </w:rPr>
        <w:drawing>
          <wp:inline distT="0" distB="0" distL="0" distR="0" wp14:anchorId="56F80E2C" wp14:editId="054493AA">
            <wp:extent cx="4038600" cy="3794314"/>
            <wp:effectExtent l="19050" t="19050" r="19050" b="15875"/>
            <wp:docPr id="5803" name="Рисунок 5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7" cstate="print"/>
                    <a:srcRect/>
                    <a:stretch>
                      <a:fillRect/>
                    </a:stretch>
                  </pic:blipFill>
                  <pic:spPr bwMode="auto">
                    <a:xfrm>
                      <a:off x="0" y="0"/>
                      <a:ext cx="4040100" cy="3795724"/>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33" w:name="_Ref42623431"/>
      <w:bookmarkStart w:id="1834" w:name="_Toc42623667"/>
      <w:bookmarkStart w:id="1835" w:name="_Toc69290553"/>
      <w:bookmarkStart w:id="1836" w:name="_Toc119584661"/>
      <w:r>
        <w:t xml:space="preserve">Рисунок </w:t>
      </w:r>
      <w:fldSimple w:instr=" SEQ Рисунок \* ARABIC ">
        <w:r w:rsidR="001860A9">
          <w:rPr>
            <w:noProof/>
          </w:rPr>
          <w:t>474</w:t>
        </w:r>
      </w:fldSimple>
      <w:bookmarkEnd w:id="1833"/>
      <w:r>
        <w:t xml:space="preserve"> – Фильтр «Код ОКФС»</w:t>
      </w:r>
      <w:bookmarkEnd w:id="1834"/>
      <w:bookmarkEnd w:id="1835"/>
      <w:bookmarkEnd w:id="1836"/>
    </w:p>
    <w:p w:rsidR="002E7433" w:rsidRDefault="002E7433" w:rsidP="002E7433">
      <w:pPr>
        <w:pStyle w:val="53"/>
      </w:pPr>
      <w:bookmarkStart w:id="1837" w:name="_Toc42623652"/>
      <w:r>
        <w:t>Фильтр «Код СвР»</w:t>
      </w:r>
      <w:bookmarkEnd w:id="1837"/>
    </w:p>
    <w:p w:rsidR="002E7433" w:rsidRPr="00C21CB3" w:rsidRDefault="002E7433" w:rsidP="002E7433">
      <w:pPr>
        <w:pStyle w:val="af0"/>
      </w:pPr>
      <w:r>
        <w:t>Фильтр «Код СвР»:</w:t>
      </w:r>
      <w:r w:rsidRPr="00C87772">
        <w:t xml:space="preserve"> </w:t>
      </w:r>
      <w:r>
        <w:t>поле для ввода Кода СвР объекта контроля. Поле с автодополнением, при вводе 5 символов появляется выпадающий список. Н</w:t>
      </w:r>
      <w:r w:rsidRPr="00C21CB3">
        <w:t xml:space="preserve">ачнем ввод </w:t>
      </w:r>
      <w:r>
        <w:t>Код СвР</w:t>
      </w:r>
      <w:r w:rsidRPr="00C21CB3">
        <w:t xml:space="preserve"> </w:t>
      </w:r>
      <w:r>
        <w:t>объекта контроля</w:t>
      </w:r>
      <w:r w:rsidRPr="00C21CB3">
        <w:t xml:space="preserve"> «</w:t>
      </w:r>
      <w:r>
        <w:t>00100</w:t>
      </w:r>
      <w:r w:rsidRPr="00C21CB3">
        <w:t>…»</w:t>
      </w:r>
      <w:r>
        <w:rPr>
          <w:lang w:val="en-US"/>
        </w:rPr>
        <w:t xml:space="preserve"> (</w:t>
      </w:r>
      <w:r>
        <w:rPr>
          <w:lang w:val="en-US"/>
        </w:rPr>
        <w:fldChar w:fldCharType="begin"/>
      </w:r>
      <w:r>
        <w:rPr>
          <w:lang w:val="en-US"/>
        </w:rPr>
        <w:instrText xml:space="preserve"> REF _Ref42623484 \h </w:instrText>
      </w:r>
      <w:r>
        <w:rPr>
          <w:lang w:val="en-US"/>
        </w:rPr>
      </w:r>
      <w:r>
        <w:rPr>
          <w:lang w:val="en-US"/>
        </w:rPr>
        <w:fldChar w:fldCharType="separate"/>
      </w:r>
      <w:r w:rsidR="00BF0BEE">
        <w:t xml:space="preserve">Рисунок </w:t>
      </w:r>
      <w:r w:rsidR="00BF0BEE">
        <w:rPr>
          <w:noProof/>
        </w:rPr>
        <w:t>475</w:t>
      </w:r>
      <w:r>
        <w:rPr>
          <w:lang w:val="en-US"/>
        </w:rPr>
        <w:fldChar w:fldCharType="end"/>
      </w:r>
      <w:r>
        <w:rPr>
          <w:lang w:val="en-US"/>
        </w:rPr>
        <w:t>)</w:t>
      </w:r>
      <w:r w:rsidRPr="00C21CB3">
        <w:t>:</w:t>
      </w:r>
    </w:p>
    <w:p w:rsidR="002E7433" w:rsidRDefault="002E7433" w:rsidP="002E7433">
      <w:pPr>
        <w:pStyle w:val="afffff7"/>
      </w:pPr>
      <w:r>
        <w:rPr>
          <w:noProof/>
          <w:lang w:eastAsia="ru-RU"/>
        </w:rPr>
        <w:drawing>
          <wp:inline distT="0" distB="0" distL="0" distR="0" wp14:anchorId="32E1A6E4" wp14:editId="15CC5345">
            <wp:extent cx="3205758" cy="5143500"/>
            <wp:effectExtent l="19050" t="19050" r="13970" b="19050"/>
            <wp:docPr id="5804" name="Рисунок 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8" cstate="print"/>
                    <a:srcRect/>
                    <a:stretch>
                      <a:fillRect/>
                    </a:stretch>
                  </pic:blipFill>
                  <pic:spPr bwMode="auto">
                    <a:xfrm>
                      <a:off x="0" y="0"/>
                      <a:ext cx="3205758" cy="5143500"/>
                    </a:xfrm>
                    <a:prstGeom prst="rect">
                      <a:avLst/>
                    </a:prstGeom>
                    <a:noFill/>
                    <a:ln w="9525">
                      <a:solidFill>
                        <a:schemeClr val="bg1">
                          <a:lumMod val="85000"/>
                        </a:schemeClr>
                      </a:solidFill>
                      <a:miter lim="800000"/>
                      <a:headEnd/>
                      <a:tailEnd/>
                    </a:ln>
                  </pic:spPr>
                </pic:pic>
              </a:graphicData>
            </a:graphic>
          </wp:inline>
        </w:drawing>
      </w:r>
    </w:p>
    <w:p w:rsidR="002E7433" w:rsidRDefault="002E7433" w:rsidP="002E7433">
      <w:pPr>
        <w:pStyle w:val="-0"/>
      </w:pPr>
      <w:bookmarkStart w:id="1838" w:name="_Ref42623484"/>
      <w:bookmarkStart w:id="1839" w:name="_Toc42623668"/>
      <w:bookmarkStart w:id="1840" w:name="_Toc69290554"/>
      <w:bookmarkStart w:id="1841" w:name="_Toc119584662"/>
      <w:r>
        <w:t xml:space="preserve">Рисунок </w:t>
      </w:r>
      <w:fldSimple w:instr=" SEQ Рисунок \* ARABIC ">
        <w:r w:rsidR="001860A9">
          <w:rPr>
            <w:noProof/>
          </w:rPr>
          <w:t>475</w:t>
        </w:r>
      </w:fldSimple>
      <w:bookmarkEnd w:id="1838"/>
      <w:r>
        <w:t xml:space="preserve"> – Фильтр «Код СвР»</w:t>
      </w:r>
      <w:bookmarkEnd w:id="1839"/>
      <w:bookmarkEnd w:id="1840"/>
      <w:bookmarkEnd w:id="1841"/>
    </w:p>
    <w:p w:rsidR="002E7433" w:rsidRDefault="002E7433" w:rsidP="002E7433">
      <w:pPr>
        <w:pStyle w:val="af0"/>
      </w:pPr>
      <w:r>
        <w:t>Для сброса параметров фильтра необходимо удалить введенное значение.</w:t>
      </w:r>
    </w:p>
    <w:p w:rsidR="002E7433" w:rsidRDefault="002E7433" w:rsidP="002E7433">
      <w:pPr>
        <w:pStyle w:val="53"/>
      </w:pPr>
      <w:bookmarkStart w:id="1842" w:name="_Toc42623653"/>
      <w:r>
        <w:t>Чекбокс «</w:t>
      </w:r>
      <w:r w:rsidRPr="00EE30A2">
        <w:t>Сформировать паспорт с учётом подведомственных учреждений</w:t>
      </w:r>
      <w:r>
        <w:t>»</w:t>
      </w:r>
      <w:bookmarkEnd w:id="1842"/>
    </w:p>
    <w:p w:rsidR="002E7433" w:rsidRPr="00C21CB3" w:rsidRDefault="002E7433" w:rsidP="002E7433">
      <w:pPr>
        <w:pStyle w:val="af0"/>
      </w:pPr>
      <w:r>
        <w:t>Чек-бокс «</w:t>
      </w:r>
      <w:r w:rsidRPr="00EE30A2">
        <w:t>Сформировать паспорт с учётом подведомственных учреждений</w:t>
      </w:r>
      <w:r>
        <w:t>»:</w:t>
      </w:r>
      <w:r w:rsidRPr="00C87772">
        <w:t xml:space="preserve"> </w:t>
      </w:r>
      <w:r>
        <w:t>позволяет задать параметр, каким образом должен формироваться паспорт объекта контроля для типа ОГВ: с учетом подведомственных учреждений или без. Значение передается при переходе в отчет «Паспорт объекта контроля».</w:t>
      </w:r>
    </w:p>
    <w:p w:rsidR="002E7433" w:rsidRPr="00206C4C" w:rsidRDefault="002E7433" w:rsidP="00862055">
      <w:pPr>
        <w:pStyle w:val="26"/>
        <w:numPr>
          <w:ilvl w:val="1"/>
          <w:numId w:val="135"/>
        </w:numPr>
      </w:pPr>
      <w:bookmarkStart w:id="1843" w:name="_Toc69290148"/>
      <w:bookmarkStart w:id="1844" w:name="_Toc119585114"/>
      <w:r>
        <w:t>В</w:t>
      </w:r>
      <w:r w:rsidRPr="00206C4C">
        <w:t>итрин</w:t>
      </w:r>
      <w:r>
        <w:t>а</w:t>
      </w:r>
      <w:r w:rsidRPr="00206C4C">
        <w:t xml:space="preserve"> «Казначейское сопровождение»</w:t>
      </w:r>
      <w:bookmarkEnd w:id="1843"/>
      <w:bookmarkEnd w:id="1844"/>
    </w:p>
    <w:p w:rsidR="002E7433" w:rsidRPr="00206C4C" w:rsidRDefault="002E7433" w:rsidP="002E7433">
      <w:pPr>
        <w:pStyle w:val="af0"/>
        <w:rPr>
          <w:rFonts w:eastAsia="Calibri"/>
        </w:rPr>
      </w:pPr>
      <w:r w:rsidRPr="00206C4C">
        <w:rPr>
          <w:rFonts w:eastAsia="Calibri"/>
        </w:rPr>
        <w:t xml:space="preserve">Витрина содержит информацию о перечислении средств с лицевых счетов, открытых государственным заказчикам/ органам государственной власти, по государственным контрактам (контрактам), договорам (соглашениям) о предоставлении субсидий, бюджетных инвестиций, взносов в уставный капитал, информацию об операциях на лицевых счетах, открытых юридическим лицам по государственным контрактам, а также по контрактам (договорам), заключенным в рамках исполнения указанных государственных контрактов. </w:t>
      </w:r>
    </w:p>
    <w:p w:rsidR="002E7433" w:rsidRPr="00206C4C" w:rsidRDefault="002E7433" w:rsidP="002E7433">
      <w:pPr>
        <w:pStyle w:val="af0"/>
        <w:rPr>
          <w:rFonts w:eastAsia="Calibri"/>
        </w:rPr>
      </w:pPr>
      <w:r w:rsidRPr="00206C4C">
        <w:rPr>
          <w:rFonts w:eastAsia="Calibri"/>
        </w:rPr>
        <w:t>В рамках витрины казначейского сопровождения обеспечивается прозрачность расчетов.</w:t>
      </w:r>
    </w:p>
    <w:p w:rsidR="002E7433" w:rsidRPr="00C63CD0" w:rsidRDefault="002E7433" w:rsidP="002E7433">
      <w:pPr>
        <w:pStyle w:val="-"/>
      </w:pPr>
      <w:bookmarkStart w:id="1845" w:name="_Toc37845349"/>
      <w:bookmarkStart w:id="1846" w:name="_Toc69290217"/>
      <w:bookmarkStart w:id="1847" w:name="_Toc119585194"/>
      <w:r w:rsidRPr="00206C4C">
        <w:t xml:space="preserve">Таблица </w:t>
      </w:r>
      <w:fldSimple w:instr=" SEQ Таблица \* ARABIC ">
        <w:r w:rsidR="00BF0BEE">
          <w:rPr>
            <w:noProof/>
          </w:rPr>
          <w:t>53</w:t>
        </w:r>
      </w:fldSimple>
      <w:r w:rsidRPr="00206C4C">
        <w:t xml:space="preserve"> </w:t>
      </w:r>
      <w:r w:rsidRPr="00C63CD0">
        <w:t xml:space="preserve">– </w:t>
      </w:r>
      <w:r w:rsidRPr="00206C4C">
        <w:t>Перечень аналитических отчетов витрины «Казначейское сопровождение» и соответствующих таблиц БД</w:t>
      </w:r>
      <w:bookmarkEnd w:id="1845"/>
      <w:bookmarkEnd w:id="1846"/>
      <w:bookmarkEnd w:id="1847"/>
    </w:p>
    <w:tbl>
      <w:tblPr>
        <w:tblStyle w:val="affe"/>
        <w:tblW w:w="0" w:type="auto"/>
        <w:tblLayout w:type="fixed"/>
        <w:tblLook w:val="04A0" w:firstRow="1" w:lastRow="0" w:firstColumn="1" w:lastColumn="0" w:noHBand="0" w:noVBand="1"/>
      </w:tblPr>
      <w:tblGrid>
        <w:gridCol w:w="2376"/>
        <w:gridCol w:w="3131"/>
        <w:gridCol w:w="4063"/>
      </w:tblGrid>
      <w:tr w:rsidR="002E7433" w:rsidRPr="00206C4C" w:rsidTr="001127B7">
        <w:trPr>
          <w:tblHeader/>
        </w:trPr>
        <w:tc>
          <w:tcPr>
            <w:tcW w:w="2376" w:type="dxa"/>
            <w:shd w:val="clear" w:color="auto" w:fill="D9D9D9" w:themeFill="background1" w:themeFillShade="D9"/>
            <w:vAlign w:val="center"/>
          </w:tcPr>
          <w:p w:rsidR="002E7433" w:rsidRPr="00206C4C" w:rsidRDefault="002E7433" w:rsidP="00E9324B">
            <w:pPr>
              <w:ind w:firstLine="0"/>
              <w:jc w:val="center"/>
              <w:rPr>
                <w:b/>
              </w:rPr>
            </w:pPr>
            <w:r w:rsidRPr="00206C4C">
              <w:rPr>
                <w:b/>
              </w:rPr>
              <w:t>Наименование аналитического отчета</w:t>
            </w:r>
          </w:p>
        </w:tc>
        <w:tc>
          <w:tcPr>
            <w:tcW w:w="3131" w:type="dxa"/>
            <w:shd w:val="clear" w:color="auto" w:fill="D9D9D9" w:themeFill="background1" w:themeFillShade="D9"/>
            <w:vAlign w:val="center"/>
          </w:tcPr>
          <w:p w:rsidR="002E7433" w:rsidRPr="00206C4C" w:rsidRDefault="002E7433" w:rsidP="00E9324B">
            <w:pPr>
              <w:ind w:firstLine="0"/>
              <w:jc w:val="center"/>
              <w:rPr>
                <w:b/>
              </w:rPr>
            </w:pPr>
            <w:r w:rsidRPr="00206C4C">
              <w:rPr>
                <w:b/>
              </w:rPr>
              <w:t>Код отчета</w:t>
            </w:r>
          </w:p>
        </w:tc>
        <w:tc>
          <w:tcPr>
            <w:tcW w:w="4063" w:type="dxa"/>
            <w:shd w:val="clear" w:color="auto" w:fill="D9D9D9" w:themeFill="background1" w:themeFillShade="D9"/>
            <w:vAlign w:val="center"/>
          </w:tcPr>
          <w:p w:rsidR="002E7433" w:rsidRPr="00206C4C" w:rsidRDefault="002E7433" w:rsidP="00E9324B">
            <w:pPr>
              <w:ind w:firstLine="0"/>
              <w:jc w:val="center"/>
              <w:rPr>
                <w:b/>
              </w:rPr>
            </w:pPr>
            <w:r w:rsidRPr="00206C4C">
              <w:rPr>
                <w:b/>
              </w:rPr>
              <w:t>Название таблицы БД</w:t>
            </w:r>
          </w:p>
        </w:tc>
      </w:tr>
      <w:tr w:rsidR="002E7433" w:rsidRPr="00206C4C" w:rsidTr="00E9324B">
        <w:tc>
          <w:tcPr>
            <w:tcW w:w="2376" w:type="dxa"/>
            <w:vMerge w:val="restart"/>
            <w:vAlign w:val="center"/>
          </w:tcPr>
          <w:p w:rsidR="002E7433" w:rsidRPr="00206C4C" w:rsidRDefault="002E7433" w:rsidP="00E9324B">
            <w:pPr>
              <w:ind w:firstLine="0"/>
            </w:pPr>
            <w:r>
              <w:t>Сводная информация по КС</w:t>
            </w:r>
          </w:p>
        </w:tc>
        <w:tc>
          <w:tcPr>
            <w:tcW w:w="313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PIAO_100_000_report</w:t>
            </w:r>
          </w:p>
        </w:tc>
        <w:tc>
          <w:tcPr>
            <w:tcW w:w="4063" w:type="dxa"/>
            <w:vAlign w:val="center"/>
          </w:tcPr>
          <w:p w:rsidR="002E7433" w:rsidRPr="00206C4C" w:rsidRDefault="002E7433" w:rsidP="00E9324B">
            <w:pPr>
              <w:ind w:firstLine="0"/>
            </w:pPr>
            <w:r w:rsidRPr="00206C4C">
              <w:t>D_TST_ANNULDOCREASON</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D_TST_ANNULMENTPAYDOC</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D_TST_BANK</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D_TST_CONTRACTS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D_TST_ERRLOADSOURCEDATA</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D_TST_KBK</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D_TS_TOFK</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D_TST_ORGANIZATION</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D_TST_PAYDOC</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D_TST_PAYDOC1PRIL</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D_TST_PERSACCOUNT</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D_TST_PERSACCOUNTBANK</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D_TST_PROJECT</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D_TST_REJECTREASONTYPE</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D_TST_TOFK</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F_TST_CONTRACTS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F_TST_CONTRACTSLBO</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F_TST_PAYDOC</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F_TST_PAYDOC1PRIL</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FX_TST_TRUSTFUNDS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T_TST_CONTRACTINFO</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T_TST_CONTRACTS_REPORT</w:t>
            </w:r>
          </w:p>
        </w:tc>
      </w:tr>
      <w:tr w:rsidR="002E7433" w:rsidRPr="00991B9F"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rPr>
                <w:lang w:val="en-US"/>
              </w:rPr>
            </w:pPr>
            <w:r w:rsidRPr="00206C4C">
              <w:rPr>
                <w:lang w:val="en-US"/>
              </w:rPr>
              <w:t>T_TST_CONTRACTS_REPORT_DATE</w:t>
            </w:r>
          </w:p>
        </w:tc>
      </w:tr>
      <w:tr w:rsidR="002E7433" w:rsidRPr="00991B9F"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rPr>
                <w:lang w:val="en-US"/>
              </w:rPr>
            </w:pPr>
            <w:r w:rsidRPr="00206C4C">
              <w:rPr>
                <w:lang w:val="en-US"/>
              </w:rPr>
              <w:t>T_TST_KS_SVOD_PROJECTS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T_TST_PAYDOC_REPORT</w:t>
            </w:r>
          </w:p>
        </w:tc>
      </w:tr>
      <w:tr w:rsidR="002E7433" w:rsidRPr="00991B9F"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rPr>
                <w:lang w:val="en-US"/>
              </w:rPr>
            </w:pPr>
            <w:r w:rsidRPr="00206C4C">
              <w:rPr>
                <w:lang w:val="en-US"/>
              </w:rPr>
              <w:t>T_TST_PAYDOC_REPORT_DATE</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T_TST_PAYDOC71_REPORT</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T_TST_CONTRACTS_REPORTTEMP</w:t>
            </w:r>
          </w:p>
        </w:tc>
      </w:tr>
      <w:tr w:rsidR="002E7433" w:rsidRPr="00991B9F"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rPr>
                <w:lang w:val="en-US"/>
              </w:rPr>
            </w:pPr>
            <w:r w:rsidRPr="00206C4C">
              <w:rPr>
                <w:lang w:val="en-US"/>
              </w:rPr>
              <w:t>T_TST_KS_SVOD_PROJECTS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T_TST_PARAMETERS</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T_TST_PAYDOC71_REPORT</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T_TST_CONTRACTINFO_71</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R_TST_PAYDOC1PRIL</w:t>
            </w:r>
          </w:p>
        </w:tc>
      </w:tr>
      <w:tr w:rsidR="002E7433" w:rsidRPr="00206C4C" w:rsidTr="00E9324B">
        <w:tc>
          <w:tcPr>
            <w:tcW w:w="2376" w:type="dxa"/>
            <w:vMerge w:val="restart"/>
            <w:vAlign w:val="center"/>
          </w:tcPr>
          <w:p w:rsidR="002E7433" w:rsidRPr="00206C4C" w:rsidRDefault="002E7433" w:rsidP="00E9324B">
            <w:pPr>
              <w:ind w:firstLine="0"/>
            </w:pPr>
            <w:r>
              <w:t>Цепочка контрактов</w:t>
            </w:r>
          </w:p>
        </w:tc>
        <w:tc>
          <w:tcPr>
            <w:tcW w:w="3131" w:type="dxa"/>
            <w:vMerge w:val="restart"/>
            <w:vAlign w:val="center"/>
          </w:tcPr>
          <w:p w:rsidR="002E7433" w:rsidRPr="00206C4C" w:rsidRDefault="00331436" w:rsidP="00E9324B">
            <w:pPr>
              <w:ind w:firstLine="0"/>
              <w:jc w:val="left"/>
              <w:rPr>
                <w:snapToGrid/>
                <w:color w:val="auto"/>
                <w:szCs w:val="24"/>
              </w:rPr>
            </w:pPr>
            <w:r w:rsidRPr="00206C4C">
              <w:rPr>
                <w:snapToGrid/>
                <w:color w:val="auto"/>
                <w:szCs w:val="24"/>
              </w:rPr>
              <w:t>PIAO_100_002_report</w:t>
            </w:r>
          </w:p>
        </w:tc>
        <w:tc>
          <w:tcPr>
            <w:tcW w:w="4063" w:type="dxa"/>
            <w:vAlign w:val="center"/>
          </w:tcPr>
          <w:p w:rsidR="002E7433" w:rsidRPr="00206C4C" w:rsidRDefault="002E7433" w:rsidP="00E9324B">
            <w:pPr>
              <w:ind w:firstLine="0"/>
            </w:pPr>
            <w:r w:rsidRPr="00206C4C">
              <w:t>D_TST_LVLCONTRACT</w:t>
            </w:r>
          </w:p>
        </w:tc>
      </w:tr>
      <w:tr w:rsidR="002E7433" w:rsidRPr="00206C4C" w:rsidTr="00E9324B">
        <w:tc>
          <w:tcPr>
            <w:tcW w:w="2376" w:type="dxa"/>
            <w:vMerge/>
            <w:vAlign w:val="center"/>
          </w:tcPr>
          <w:p w:rsidR="002E7433" w:rsidRPr="00206C4C" w:rsidRDefault="002E7433" w:rsidP="00E9324B">
            <w:pPr>
              <w:rPr>
                <w:lang w:val="en-US"/>
              </w:rPr>
            </w:pPr>
          </w:p>
        </w:tc>
        <w:tc>
          <w:tcPr>
            <w:tcW w:w="3131" w:type="dxa"/>
            <w:vMerge/>
            <w:vAlign w:val="center"/>
          </w:tcPr>
          <w:p w:rsidR="002E7433" w:rsidRPr="00206C4C" w:rsidRDefault="002E7433" w:rsidP="00E9324B">
            <w:pPr>
              <w:jc w:val="left"/>
              <w:rPr>
                <w:snapToGrid/>
                <w:color w:val="auto"/>
                <w:szCs w:val="24"/>
                <w:lang w:val="en-US"/>
              </w:rPr>
            </w:pPr>
          </w:p>
        </w:tc>
        <w:tc>
          <w:tcPr>
            <w:tcW w:w="4063" w:type="dxa"/>
            <w:vAlign w:val="center"/>
          </w:tcPr>
          <w:p w:rsidR="002E7433" w:rsidRPr="00206C4C" w:rsidRDefault="002E7433" w:rsidP="00E9324B">
            <w:pPr>
              <w:ind w:firstLine="0"/>
            </w:pPr>
            <w:r w:rsidRPr="00206C4C">
              <w:t>D_TST_MRK</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D_TST_PRICESTRUC</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D_TST_REJECTREASONTYPE</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F_TST_FIFA</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FX_TST_PRICESTRUCMPR</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FX_TST_PROJECTCMPR</w:t>
            </w:r>
          </w:p>
        </w:tc>
      </w:tr>
      <w:tr w:rsidR="002E7433" w:rsidRPr="00206C4C" w:rsidTr="00E9324B">
        <w:tc>
          <w:tcPr>
            <w:tcW w:w="2376" w:type="dxa"/>
            <w:vMerge/>
            <w:vAlign w:val="center"/>
          </w:tcPr>
          <w:p w:rsidR="002E7433" w:rsidRPr="00206C4C"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206C4C" w:rsidRDefault="002E7433" w:rsidP="00E9324B">
            <w:pPr>
              <w:ind w:firstLine="0"/>
            </w:pPr>
            <w:r w:rsidRPr="00206C4C">
              <w:t>T_TST_FIFAPRICESTRUC</w:t>
            </w:r>
          </w:p>
        </w:tc>
      </w:tr>
      <w:tr w:rsidR="002E7433" w:rsidRPr="00206C4C" w:rsidTr="00E9324B">
        <w:tc>
          <w:tcPr>
            <w:tcW w:w="2376" w:type="dxa"/>
            <w:vMerge w:val="restart"/>
            <w:vAlign w:val="center"/>
          </w:tcPr>
          <w:p w:rsidR="002E7433" w:rsidRPr="00206C4C" w:rsidRDefault="002E7433" w:rsidP="00E9324B">
            <w:pPr>
              <w:ind w:firstLine="0"/>
            </w:pPr>
            <w:r>
              <w:t>Казначейское сопровождение средств ФБ</w:t>
            </w:r>
          </w:p>
        </w:tc>
        <w:tc>
          <w:tcPr>
            <w:tcW w:w="313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PIAO_100_00</w:t>
            </w:r>
            <w:r>
              <w:rPr>
                <w:snapToGrid/>
                <w:color w:val="auto"/>
                <w:szCs w:val="24"/>
              </w:rPr>
              <w:t>9</w:t>
            </w:r>
            <w:r w:rsidRPr="00206C4C">
              <w:rPr>
                <w:snapToGrid/>
                <w:color w:val="auto"/>
                <w:szCs w:val="24"/>
              </w:rPr>
              <w:t>_report</w:t>
            </w:r>
          </w:p>
        </w:tc>
        <w:tc>
          <w:tcPr>
            <w:tcW w:w="4063" w:type="dxa"/>
            <w:vAlign w:val="center"/>
          </w:tcPr>
          <w:p w:rsidR="002E7433" w:rsidRPr="00206C4C" w:rsidRDefault="002E7433" w:rsidP="00E9324B">
            <w:pPr>
              <w:ind w:firstLine="0"/>
            </w:pPr>
            <w:r w:rsidRPr="00A3409A">
              <w:t>T_TST_CONTRACTS_REPORTTEMP</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T_TST_CASH_DASHBOARD</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T_TST_PAYDOC71_REPORT</w:t>
            </w:r>
          </w:p>
        </w:tc>
      </w:tr>
      <w:tr w:rsidR="002E7433" w:rsidRPr="00206C4C" w:rsidTr="00E9324B">
        <w:tc>
          <w:tcPr>
            <w:tcW w:w="2376" w:type="dxa"/>
            <w:vMerge w:val="restart"/>
            <w:vAlign w:val="center"/>
          </w:tcPr>
          <w:p w:rsidR="002E7433" w:rsidRPr="00206C4C" w:rsidRDefault="002E7433" w:rsidP="00E9324B">
            <w:pPr>
              <w:ind w:firstLine="0"/>
            </w:pPr>
            <w:r>
              <w:t>Качество данных</w:t>
            </w:r>
          </w:p>
        </w:tc>
        <w:tc>
          <w:tcPr>
            <w:tcW w:w="313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PIAO_100_007_report_quality_data</w:t>
            </w:r>
          </w:p>
        </w:tc>
        <w:tc>
          <w:tcPr>
            <w:tcW w:w="4063" w:type="dxa"/>
            <w:vAlign w:val="center"/>
          </w:tcPr>
          <w:p w:rsidR="002E7433" w:rsidRPr="00206C4C" w:rsidRDefault="002E7433" w:rsidP="00E9324B">
            <w:pPr>
              <w:ind w:firstLine="0"/>
            </w:pPr>
            <w:r w:rsidRPr="00A3409A">
              <w:t>T_TST_INITDATAKS01_71</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T_TST_INITDATAKS08</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T_TST_INITDATAKS09</w:t>
            </w:r>
          </w:p>
        </w:tc>
      </w:tr>
      <w:tr w:rsidR="002E7433" w:rsidRPr="00206C4C" w:rsidTr="00E9324B">
        <w:tc>
          <w:tcPr>
            <w:tcW w:w="2376" w:type="dxa"/>
            <w:vMerge w:val="restart"/>
            <w:vAlign w:val="center"/>
          </w:tcPr>
          <w:p w:rsidR="002E7433" w:rsidRPr="00206C4C" w:rsidRDefault="002E7433" w:rsidP="00E9324B">
            <w:pPr>
              <w:ind w:firstLine="0"/>
            </w:pPr>
            <w:r>
              <w:t>Анализ и оценка структуры цены</w:t>
            </w:r>
          </w:p>
        </w:tc>
        <w:tc>
          <w:tcPr>
            <w:tcW w:w="3131" w:type="dxa"/>
            <w:vMerge w:val="restart"/>
            <w:vAlign w:val="center"/>
          </w:tcPr>
          <w:p w:rsidR="002E7433" w:rsidRPr="00206C4C" w:rsidRDefault="002E7433" w:rsidP="00B1480F">
            <w:pPr>
              <w:ind w:firstLine="0"/>
              <w:jc w:val="left"/>
              <w:rPr>
                <w:snapToGrid/>
                <w:color w:val="auto"/>
                <w:szCs w:val="24"/>
              </w:rPr>
            </w:pPr>
            <w:r w:rsidRPr="00206C4C">
              <w:rPr>
                <w:snapToGrid/>
                <w:color w:val="auto"/>
                <w:szCs w:val="24"/>
              </w:rPr>
              <w:t>PIAO_100_0</w:t>
            </w:r>
            <w:r w:rsidR="00B1480F">
              <w:rPr>
                <w:snapToGrid/>
                <w:color w:val="auto"/>
                <w:szCs w:val="24"/>
              </w:rPr>
              <w:t>1</w:t>
            </w:r>
            <w:r>
              <w:rPr>
                <w:snapToGrid/>
                <w:color w:val="auto"/>
                <w:szCs w:val="24"/>
              </w:rPr>
              <w:t>4</w:t>
            </w:r>
            <w:r w:rsidRPr="00206C4C">
              <w:rPr>
                <w:snapToGrid/>
                <w:color w:val="auto"/>
                <w:szCs w:val="24"/>
              </w:rPr>
              <w:t>_report</w:t>
            </w:r>
          </w:p>
        </w:tc>
        <w:tc>
          <w:tcPr>
            <w:tcW w:w="4063" w:type="dxa"/>
            <w:vAlign w:val="center"/>
          </w:tcPr>
          <w:p w:rsidR="002E7433" w:rsidRPr="00206C4C" w:rsidRDefault="002E7433" w:rsidP="00E9324B">
            <w:pPr>
              <w:ind w:firstLine="0"/>
            </w:pPr>
            <w:r w:rsidRPr="00A3409A">
              <w:t>D_TST_DOCUMENTSEXPD;</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D_TST_RECIPIENTSEXPD</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D_TST_CONTRACTSEXPD</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D_TST_CALCARTICLES</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D_TST_ ZORGEXPD</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F_TST_EXPDECLARATION</w:t>
            </w:r>
          </w:p>
        </w:tc>
      </w:tr>
      <w:tr w:rsidR="002E7433" w:rsidRPr="00206C4C" w:rsidTr="00E9324B">
        <w:tc>
          <w:tcPr>
            <w:tcW w:w="2376" w:type="dxa"/>
            <w:vMerge w:val="restart"/>
            <w:vAlign w:val="center"/>
          </w:tcPr>
          <w:p w:rsidR="002E7433" w:rsidRDefault="002E7433" w:rsidP="00E9324B">
            <w:pPr>
              <w:ind w:firstLine="0"/>
            </w:pPr>
            <w:r>
              <w:t>Приостановление по ГОЗ</w:t>
            </w:r>
          </w:p>
        </w:tc>
        <w:tc>
          <w:tcPr>
            <w:tcW w:w="3131" w:type="dxa"/>
            <w:vMerge w:val="restart"/>
            <w:vAlign w:val="center"/>
          </w:tcPr>
          <w:p w:rsidR="002E7433" w:rsidRPr="00206C4C" w:rsidRDefault="002E7433" w:rsidP="00E9324B">
            <w:pPr>
              <w:ind w:firstLine="0"/>
              <w:jc w:val="left"/>
              <w:rPr>
                <w:snapToGrid/>
                <w:color w:val="auto"/>
                <w:szCs w:val="24"/>
              </w:rPr>
            </w:pPr>
            <w:r w:rsidRPr="00206C4C">
              <w:rPr>
                <w:snapToGrid/>
                <w:color w:val="auto"/>
                <w:szCs w:val="24"/>
              </w:rPr>
              <w:t>PIAO_100_0</w:t>
            </w:r>
            <w:r>
              <w:rPr>
                <w:snapToGrid/>
                <w:color w:val="auto"/>
                <w:szCs w:val="24"/>
              </w:rPr>
              <w:t>13</w:t>
            </w:r>
            <w:r w:rsidRPr="00206C4C">
              <w:rPr>
                <w:snapToGrid/>
                <w:color w:val="auto"/>
                <w:szCs w:val="24"/>
              </w:rPr>
              <w:t>_report</w:t>
            </w:r>
          </w:p>
        </w:tc>
        <w:tc>
          <w:tcPr>
            <w:tcW w:w="4063" w:type="dxa"/>
            <w:vAlign w:val="center"/>
          </w:tcPr>
          <w:p w:rsidR="002E7433" w:rsidRPr="00A3409A" w:rsidRDefault="002E7433" w:rsidP="00E9324B">
            <w:pPr>
              <w:ind w:firstLine="0"/>
            </w:pPr>
            <w:r w:rsidRPr="00A3409A">
              <w:t>D_TST_TOFKGOZ</w:t>
            </w:r>
          </w:p>
        </w:tc>
      </w:tr>
      <w:tr w:rsidR="002E7433" w:rsidRPr="00206C4C" w:rsidTr="00E9324B">
        <w:tc>
          <w:tcPr>
            <w:tcW w:w="2376" w:type="dxa"/>
            <w:vMerge/>
            <w:vAlign w:val="center"/>
          </w:tcPr>
          <w:p w:rsidR="002E7433" w:rsidRDefault="002E7433" w:rsidP="00E9324B"/>
        </w:tc>
        <w:tc>
          <w:tcPr>
            <w:tcW w:w="3131" w:type="dxa"/>
            <w:vMerge/>
            <w:vAlign w:val="center"/>
          </w:tcPr>
          <w:p w:rsidR="002E7433" w:rsidRPr="00206C4C" w:rsidRDefault="002E7433" w:rsidP="00E9324B">
            <w:pPr>
              <w:jc w:val="left"/>
              <w:rPr>
                <w:snapToGrid/>
                <w:color w:val="auto"/>
                <w:szCs w:val="24"/>
              </w:rPr>
            </w:pPr>
          </w:p>
        </w:tc>
        <w:tc>
          <w:tcPr>
            <w:tcW w:w="4063" w:type="dxa"/>
            <w:vAlign w:val="center"/>
          </w:tcPr>
          <w:p w:rsidR="002E7433" w:rsidRPr="00A3409A" w:rsidRDefault="002E7433" w:rsidP="00E9324B">
            <w:pPr>
              <w:ind w:firstLine="0"/>
            </w:pPr>
            <w:r w:rsidRPr="00A3409A">
              <w:t>F_TST_ SUSPENDGOZ</w:t>
            </w:r>
          </w:p>
        </w:tc>
      </w:tr>
      <w:tr w:rsidR="00A64A7F" w:rsidRPr="00206C4C" w:rsidTr="00A64A7F">
        <w:trPr>
          <w:trHeight w:val="271"/>
        </w:trPr>
        <w:tc>
          <w:tcPr>
            <w:tcW w:w="2376" w:type="dxa"/>
            <w:vMerge w:val="restart"/>
            <w:vAlign w:val="center"/>
          </w:tcPr>
          <w:p w:rsidR="00A64A7F" w:rsidRDefault="00A64A7F" w:rsidP="00A64A7F">
            <w:pPr>
              <w:ind w:firstLine="0"/>
            </w:pPr>
            <w:r>
              <w:t>Казначейское обеспечение обязательств</w:t>
            </w:r>
          </w:p>
        </w:tc>
        <w:tc>
          <w:tcPr>
            <w:tcW w:w="3131" w:type="dxa"/>
            <w:vMerge w:val="restart"/>
            <w:vAlign w:val="center"/>
          </w:tcPr>
          <w:p w:rsidR="00A64A7F" w:rsidRPr="00206C4C" w:rsidRDefault="00A64A7F" w:rsidP="00A64A7F">
            <w:pPr>
              <w:ind w:firstLine="0"/>
              <w:jc w:val="left"/>
              <w:rPr>
                <w:snapToGrid/>
                <w:color w:val="auto"/>
                <w:szCs w:val="24"/>
              </w:rPr>
            </w:pPr>
            <w:r w:rsidRPr="00206C4C">
              <w:rPr>
                <w:snapToGrid/>
                <w:color w:val="auto"/>
                <w:szCs w:val="24"/>
              </w:rPr>
              <w:t>PIAO_100_0</w:t>
            </w:r>
            <w:r>
              <w:rPr>
                <w:snapToGrid/>
                <w:color w:val="auto"/>
                <w:szCs w:val="24"/>
              </w:rPr>
              <w:t>18</w:t>
            </w:r>
            <w:r w:rsidRPr="00206C4C">
              <w:rPr>
                <w:snapToGrid/>
                <w:color w:val="auto"/>
                <w:szCs w:val="24"/>
              </w:rPr>
              <w:t>_report</w:t>
            </w:r>
          </w:p>
        </w:tc>
        <w:tc>
          <w:tcPr>
            <w:tcW w:w="4063" w:type="dxa"/>
            <w:vAlign w:val="center"/>
          </w:tcPr>
          <w:p w:rsidR="00A64A7F" w:rsidRPr="00A3409A" w:rsidRDefault="00A64A7F" w:rsidP="00A64A7F">
            <w:pPr>
              <w:ind w:firstLine="0"/>
            </w:pPr>
            <w:r w:rsidRPr="00A64A7F">
              <w:rPr>
                <w:lang w:val="en-US"/>
              </w:rPr>
              <w:t>D_TST_TOFK</w:t>
            </w:r>
          </w:p>
        </w:tc>
      </w:tr>
      <w:tr w:rsidR="00A64A7F" w:rsidRPr="00A64A7F" w:rsidTr="00A64A7F">
        <w:trPr>
          <w:trHeight w:val="282"/>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D_TST_PROJECT</w:t>
            </w:r>
          </w:p>
        </w:tc>
      </w:tr>
      <w:tr w:rsidR="00A64A7F" w:rsidRPr="00A64A7F" w:rsidTr="00A64A7F">
        <w:trPr>
          <w:trHeight w:val="296"/>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D_TST_ORGANIZATION</w:t>
            </w:r>
          </w:p>
        </w:tc>
      </w:tr>
      <w:tr w:rsidR="00A64A7F" w:rsidRPr="00A64A7F" w:rsidTr="00A64A7F">
        <w:trPr>
          <w:trHeight w:val="310"/>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D_TST_PERSACCOUNT</w:t>
            </w:r>
          </w:p>
        </w:tc>
      </w:tr>
      <w:tr w:rsidR="00A64A7F" w:rsidRPr="00A64A7F" w:rsidTr="00A64A7F">
        <w:trPr>
          <w:trHeight w:val="253"/>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D_TST_CONTRACTS</w:t>
            </w:r>
          </w:p>
        </w:tc>
      </w:tr>
      <w:tr w:rsidR="00A64A7F" w:rsidRPr="00A64A7F" w:rsidTr="00A64A7F">
        <w:trPr>
          <w:trHeight w:val="309"/>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F_TST_CONTRACTS</w:t>
            </w:r>
          </w:p>
        </w:tc>
      </w:tr>
      <w:tr w:rsidR="00A64A7F" w:rsidRPr="00A64A7F" w:rsidTr="00A64A7F">
        <w:trPr>
          <w:trHeight w:val="262"/>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D_TST_PAYDOC</w:t>
            </w:r>
          </w:p>
        </w:tc>
      </w:tr>
      <w:tr w:rsidR="00A64A7F" w:rsidRPr="00A64A7F" w:rsidTr="00A64A7F">
        <w:trPr>
          <w:trHeight w:val="300"/>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F_TST_PAYDOC</w:t>
            </w:r>
          </w:p>
        </w:tc>
      </w:tr>
      <w:tr w:rsidR="00A64A7F" w:rsidRPr="00A64A7F" w:rsidTr="00E9324B">
        <w:trPr>
          <w:trHeight w:val="252"/>
        </w:trPr>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A64A7F">
            <w:pPr>
              <w:ind w:firstLine="0"/>
              <w:rPr>
                <w:lang w:val="en-US"/>
              </w:rPr>
            </w:pPr>
            <w:r w:rsidRPr="00A64A7F">
              <w:rPr>
                <w:lang w:val="en-US"/>
              </w:rPr>
              <w:t>D_TST_KBK</w:t>
            </w:r>
          </w:p>
        </w:tc>
      </w:tr>
      <w:tr w:rsidR="00A64A7F" w:rsidRPr="00206C4C" w:rsidTr="00E9324B">
        <w:tc>
          <w:tcPr>
            <w:tcW w:w="2376" w:type="dxa"/>
            <w:vMerge w:val="restart"/>
            <w:vAlign w:val="center"/>
          </w:tcPr>
          <w:p w:rsidR="00A64A7F" w:rsidRDefault="00A64A7F" w:rsidP="00A64A7F">
            <w:pPr>
              <w:ind w:firstLine="0"/>
            </w:pPr>
            <w:r>
              <w:t>Казначейское сопровождение средств БС/МБ</w:t>
            </w:r>
          </w:p>
        </w:tc>
        <w:tc>
          <w:tcPr>
            <w:tcW w:w="3131" w:type="dxa"/>
            <w:vMerge w:val="restart"/>
            <w:vAlign w:val="center"/>
          </w:tcPr>
          <w:p w:rsidR="00A64A7F" w:rsidRPr="00206C4C" w:rsidRDefault="00A64A7F" w:rsidP="00A64A7F">
            <w:pPr>
              <w:ind w:firstLine="0"/>
              <w:jc w:val="left"/>
              <w:rPr>
                <w:snapToGrid/>
                <w:color w:val="auto"/>
                <w:szCs w:val="24"/>
              </w:rPr>
            </w:pPr>
            <w:r w:rsidRPr="00206C4C">
              <w:rPr>
                <w:snapToGrid/>
                <w:color w:val="auto"/>
                <w:szCs w:val="24"/>
              </w:rPr>
              <w:t>PIAO_100_0</w:t>
            </w:r>
            <w:r>
              <w:rPr>
                <w:snapToGrid/>
                <w:color w:val="auto"/>
                <w:szCs w:val="24"/>
              </w:rPr>
              <w:t>16</w:t>
            </w:r>
            <w:r w:rsidRPr="00206C4C">
              <w:rPr>
                <w:snapToGrid/>
                <w:color w:val="auto"/>
                <w:szCs w:val="24"/>
              </w:rPr>
              <w:t>_report</w:t>
            </w:r>
          </w:p>
        </w:tc>
        <w:tc>
          <w:tcPr>
            <w:tcW w:w="4063" w:type="dxa"/>
            <w:vAlign w:val="center"/>
          </w:tcPr>
          <w:p w:rsidR="00A64A7F" w:rsidRPr="00A3409A" w:rsidRDefault="00A64A7F" w:rsidP="005F2F63">
            <w:pPr>
              <w:ind w:firstLine="0"/>
            </w:pPr>
            <w:r w:rsidRPr="00A64A7F">
              <w:rPr>
                <w:lang w:val="en-US"/>
              </w:rPr>
              <w:t>D_TST_TOFK</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D_TST_PROJECT</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D_TST_ORGANIZATION</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D_TST_PERSACCOUNT</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D_TST_CONTRACTS</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F_TST_CONTRACTS</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D_TST_PAYDOC</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F_TST_PAYDOC</w:t>
            </w:r>
          </w:p>
        </w:tc>
      </w:tr>
      <w:tr w:rsidR="00A64A7F" w:rsidRPr="00206C4C" w:rsidTr="00E9324B">
        <w:tc>
          <w:tcPr>
            <w:tcW w:w="2376" w:type="dxa"/>
            <w:vMerge/>
            <w:vAlign w:val="center"/>
          </w:tcPr>
          <w:p w:rsidR="00A64A7F" w:rsidRDefault="00A64A7F" w:rsidP="00A64A7F"/>
        </w:tc>
        <w:tc>
          <w:tcPr>
            <w:tcW w:w="3131" w:type="dxa"/>
            <w:vMerge/>
            <w:vAlign w:val="center"/>
          </w:tcPr>
          <w:p w:rsidR="00A64A7F" w:rsidRPr="00206C4C" w:rsidRDefault="00A64A7F" w:rsidP="00A64A7F">
            <w:pPr>
              <w:jc w:val="left"/>
              <w:rPr>
                <w:snapToGrid/>
                <w:color w:val="auto"/>
                <w:szCs w:val="24"/>
              </w:rPr>
            </w:pPr>
          </w:p>
        </w:tc>
        <w:tc>
          <w:tcPr>
            <w:tcW w:w="4063" w:type="dxa"/>
            <w:vAlign w:val="center"/>
          </w:tcPr>
          <w:p w:rsidR="00A64A7F" w:rsidRPr="00A64A7F" w:rsidRDefault="00A64A7F" w:rsidP="005F2F63">
            <w:pPr>
              <w:ind w:firstLine="0"/>
              <w:rPr>
                <w:lang w:val="en-US"/>
              </w:rPr>
            </w:pPr>
            <w:r w:rsidRPr="00A64A7F">
              <w:rPr>
                <w:lang w:val="en-US"/>
              </w:rPr>
              <w:t>D_TST_KBK</w:t>
            </w:r>
          </w:p>
        </w:tc>
      </w:tr>
    </w:tbl>
    <w:p w:rsidR="002E7433" w:rsidRDefault="002E7433" w:rsidP="00862055">
      <w:pPr>
        <w:pStyle w:val="35"/>
        <w:numPr>
          <w:ilvl w:val="2"/>
          <w:numId w:val="135"/>
        </w:numPr>
      </w:pPr>
      <w:bookmarkStart w:id="1848" w:name="_Toc69290149"/>
      <w:bookmarkStart w:id="1849" w:name="_Toc37845340"/>
      <w:bookmarkStart w:id="1850" w:name="_Toc119585115"/>
      <w:r>
        <w:t>Отчет «Анализ и оценка структуры цены»</w:t>
      </w:r>
      <w:bookmarkEnd w:id="1848"/>
      <w:r w:rsidR="00331436">
        <w:t xml:space="preserve"> (</w:t>
      </w:r>
      <w:r w:rsidR="00331436" w:rsidRPr="00331436">
        <w:t>PIAO_100_004_report</w:t>
      </w:r>
      <w:r w:rsidR="00331436">
        <w:t>)</w:t>
      </w:r>
      <w:bookmarkEnd w:id="1850"/>
    </w:p>
    <w:p w:rsidR="002E7433" w:rsidRPr="00206C4C" w:rsidRDefault="002E7433" w:rsidP="002E7433">
      <w:pPr>
        <w:pStyle w:val="af0"/>
        <w:rPr>
          <w:rStyle w:val="af1"/>
        </w:rPr>
      </w:pPr>
      <w:r w:rsidRPr="00206C4C">
        <w:rPr>
          <w:rStyle w:val="af1"/>
        </w:rPr>
        <w:t>Для перехода к отчету «</w:t>
      </w:r>
      <w:r>
        <w:t>Анализ и оценка структуры цены</w:t>
      </w:r>
      <w:r w:rsidRPr="00206C4C">
        <w:rPr>
          <w:rStyle w:val="af1"/>
        </w:rPr>
        <w:t>» необходимо перейти к витрине «</w:t>
      </w:r>
      <w:r>
        <w:rPr>
          <w:rStyle w:val="af1"/>
        </w:rPr>
        <w:t>Казначейское сопровождение</w:t>
      </w:r>
      <w:r w:rsidRPr="00206C4C">
        <w:rPr>
          <w:rStyle w:val="af1"/>
        </w:rPr>
        <w:t xml:space="preserve">» и кликнуть мышью по </w:t>
      </w:r>
      <w:r>
        <w:rPr>
          <w:rStyle w:val="af1"/>
        </w:rPr>
        <w:t xml:space="preserve">соответствующей </w:t>
      </w:r>
      <w:r w:rsidRPr="00206C4C">
        <w:rPr>
          <w:rStyle w:val="af1"/>
        </w:rPr>
        <w:t>плашке</w:t>
      </w:r>
      <w:r>
        <w:rPr>
          <w:rStyle w:val="af1"/>
        </w:rPr>
        <w:t xml:space="preserve"> (Рисунок </w:t>
      </w:r>
      <w:r>
        <w:rPr>
          <w:rStyle w:val="af1"/>
        </w:rPr>
        <w:fldChar w:fldCharType="begin"/>
      </w:r>
      <w:r>
        <w:rPr>
          <w:rStyle w:val="af1"/>
        </w:rPr>
        <w:instrText xml:space="preserve"> REF _Ref69125288 \h </w:instrText>
      </w:r>
      <w:r>
        <w:rPr>
          <w:rStyle w:val="af1"/>
        </w:rPr>
      </w:r>
      <w:r>
        <w:rPr>
          <w:rStyle w:val="af1"/>
        </w:rPr>
        <w:fldChar w:fldCharType="separate"/>
      </w:r>
      <w:r w:rsidR="00BF0BEE">
        <w:rPr>
          <w:noProof/>
        </w:rPr>
        <w:t>401</w:t>
      </w:r>
      <w:r>
        <w:rPr>
          <w:rStyle w:val="af1"/>
        </w:rPr>
        <w:fldChar w:fldCharType="end"/>
      </w:r>
      <w:r>
        <w:rPr>
          <w:rStyle w:val="af1"/>
        </w:rPr>
        <w:t>)</w:t>
      </w:r>
      <w:r w:rsidRPr="00206C4C">
        <w:rPr>
          <w:rStyle w:val="af1"/>
        </w:rPr>
        <w:t>.</w:t>
      </w:r>
    </w:p>
    <w:p w:rsidR="002E7433" w:rsidRDefault="002E7433" w:rsidP="002E7433">
      <w:pPr>
        <w:pStyle w:val="-0"/>
      </w:pPr>
      <w:r>
        <w:rPr>
          <w:noProof/>
          <w:snapToGrid/>
        </w:rPr>
        <w:drawing>
          <wp:inline distT="0" distB="0" distL="0" distR="0" wp14:anchorId="5AA33AC2" wp14:editId="43120343">
            <wp:extent cx="5939790" cy="1897986"/>
            <wp:effectExtent l="0" t="0" r="3810" b="762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9"/>
                    <a:stretch>
                      <a:fillRect/>
                    </a:stretch>
                  </pic:blipFill>
                  <pic:spPr>
                    <a:xfrm>
                      <a:off x="0" y="0"/>
                      <a:ext cx="5939790" cy="1897986"/>
                    </a:xfrm>
                    <a:prstGeom prst="rect">
                      <a:avLst/>
                    </a:prstGeom>
                  </pic:spPr>
                </pic:pic>
              </a:graphicData>
            </a:graphic>
          </wp:inline>
        </w:drawing>
      </w:r>
    </w:p>
    <w:p w:rsidR="002E7433" w:rsidRDefault="002E7433" w:rsidP="002E7433">
      <w:pPr>
        <w:pStyle w:val="-0"/>
      </w:pPr>
      <w:bookmarkStart w:id="1851" w:name="_Toc69290555"/>
      <w:bookmarkStart w:id="1852" w:name="_Toc119584663"/>
      <w:r>
        <w:t xml:space="preserve">Рисунок </w:t>
      </w:r>
      <w:fldSimple w:instr=" SEQ Рисунок \* ARABIC ">
        <w:bookmarkStart w:id="1853" w:name="_Ref69125288"/>
        <w:r w:rsidR="001860A9">
          <w:rPr>
            <w:noProof/>
          </w:rPr>
          <w:t>476</w:t>
        </w:r>
        <w:bookmarkEnd w:id="1853"/>
      </w:fldSimple>
      <w:r>
        <w:t xml:space="preserve"> – Плашка для перехода к отчету «Анализ и оценка структуры цены»</w:t>
      </w:r>
      <w:bookmarkEnd w:id="1851"/>
      <w:bookmarkEnd w:id="1852"/>
    </w:p>
    <w:p w:rsidR="002E7433" w:rsidRDefault="002E7433" w:rsidP="002E7433">
      <w:pPr>
        <w:pStyle w:val="af0"/>
      </w:pPr>
      <w:r>
        <w:rPr>
          <w:rStyle w:val="af1"/>
        </w:rPr>
        <w:t>О</w:t>
      </w:r>
      <w:r w:rsidRPr="00206C4C">
        <w:rPr>
          <w:rStyle w:val="af1"/>
        </w:rPr>
        <w:t>тчет «</w:t>
      </w:r>
      <w:r>
        <w:t>Анализ и оценка структуры цены</w:t>
      </w:r>
      <w:r w:rsidRPr="00206C4C">
        <w:rPr>
          <w:rStyle w:val="af1"/>
        </w:rPr>
        <w:t>»</w:t>
      </w:r>
      <w:r>
        <w:rPr>
          <w:rStyle w:val="af1"/>
        </w:rPr>
        <w:t xml:space="preserve"> </w:t>
      </w:r>
      <w:r>
        <w:t>содержит информацию о</w:t>
      </w:r>
      <w:r w:rsidRPr="00FE5230">
        <w:t xml:space="preserve"> структуре цены государственного контракта (контракта), договора, суммы субсидии (взноса) по соглашению по лицевым счетам с кодом "71"</w:t>
      </w:r>
      <w:r>
        <w:t>.</w:t>
      </w:r>
    </w:p>
    <w:p w:rsidR="002E7433" w:rsidRDefault="002E7433" w:rsidP="00862055">
      <w:pPr>
        <w:pStyle w:val="42"/>
        <w:numPr>
          <w:ilvl w:val="3"/>
          <w:numId w:val="135"/>
        </w:numPr>
      </w:pPr>
      <w:r>
        <w:t>Представление «В целом по ГК/соглашению»- «Таблица».</w:t>
      </w:r>
    </w:p>
    <w:p w:rsidR="002E7433" w:rsidRDefault="002E7433" w:rsidP="002E7433">
      <w:pPr>
        <w:pStyle w:val="af0"/>
        <w:spacing w:after="120"/>
      </w:pPr>
      <w:r>
        <w:t>Параметры представления «В целом по ГК/соглашению»- «Таблица»:</w:t>
      </w:r>
    </w:p>
    <w:p w:rsidR="002E7433" w:rsidRDefault="002E7433" w:rsidP="00DE1661">
      <w:pPr>
        <w:pStyle w:val="13"/>
      </w:pPr>
      <w:r>
        <w:t>по состоянию на. Календарь с возможностью выбора даты последней расходной декларации;</w:t>
      </w:r>
    </w:p>
    <w:p w:rsidR="002E7433" w:rsidRDefault="002E7433" w:rsidP="00DE1661">
      <w:pPr>
        <w:pStyle w:val="13"/>
      </w:pPr>
      <w:r>
        <w:t>Номер ГК/соглашения (ИГК). Выпадающий список</w:t>
      </w:r>
      <w:r w:rsidRPr="00773F49">
        <w:t xml:space="preserve"> </w:t>
      </w:r>
      <w:r>
        <w:t>с возможностью поиска, поиск осуществляется по номеру государственного контракта/соглашения/ или ИГК</w:t>
      </w:r>
      <w:r w:rsidRPr="00773F49">
        <w:t xml:space="preserve">. </w:t>
      </w:r>
      <w:r>
        <w:t xml:space="preserve">Алгоритм работы поиска – </w:t>
      </w:r>
      <w:r w:rsidRPr="00773F49">
        <w:rPr>
          <w:i/>
        </w:rPr>
        <w:t>содержит введенн</w:t>
      </w:r>
      <w:r>
        <w:rPr>
          <w:i/>
        </w:rPr>
        <w:t>ые</w:t>
      </w:r>
      <w:r w:rsidRPr="00773F49">
        <w:rPr>
          <w:i/>
        </w:rPr>
        <w:t xml:space="preserve"> </w:t>
      </w:r>
      <w:r>
        <w:rPr>
          <w:i/>
        </w:rPr>
        <w:t>символы</w:t>
      </w:r>
      <w:r>
        <w:t>;</w:t>
      </w:r>
    </w:p>
    <w:p w:rsidR="002E7433" w:rsidRDefault="002E7433" w:rsidP="00DE1661">
      <w:pPr>
        <w:pStyle w:val="13"/>
      </w:pPr>
      <w:r>
        <w:t xml:space="preserve">единицы измерения. Выпадающий список. Содержит значения: </w:t>
      </w:r>
      <w:r w:rsidRPr="009C16CE">
        <w:rPr>
          <w:i/>
        </w:rPr>
        <w:t>руб, тыс руб, млн руб, млрд руб</w:t>
      </w:r>
      <w:r>
        <w:t>.</w:t>
      </w:r>
    </w:p>
    <w:p w:rsidR="002E7433" w:rsidRDefault="002E7433" w:rsidP="002E7433">
      <w:pPr>
        <w:pStyle w:val="af0"/>
        <w:spacing w:after="120"/>
      </w:pPr>
      <w:r w:rsidRPr="006C5AA0">
        <w:t>Отчет должен поддерживать сортировку по всем колонкам.</w:t>
      </w:r>
    </w:p>
    <w:p w:rsidR="002E7433" w:rsidRDefault="002E7433" w:rsidP="002E7433">
      <w:pPr>
        <w:pStyle w:val="-0"/>
      </w:pPr>
      <w:r>
        <w:rPr>
          <w:noProof/>
          <w:snapToGrid/>
        </w:rPr>
        <w:drawing>
          <wp:inline distT="0" distB="0" distL="0" distR="0" wp14:anchorId="2513F290" wp14:editId="094D5442">
            <wp:extent cx="5939790" cy="2215544"/>
            <wp:effectExtent l="0" t="0" r="381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0"/>
                    <a:stretch>
                      <a:fillRect/>
                    </a:stretch>
                  </pic:blipFill>
                  <pic:spPr>
                    <a:xfrm>
                      <a:off x="0" y="0"/>
                      <a:ext cx="5939790" cy="2215544"/>
                    </a:xfrm>
                    <a:prstGeom prst="rect">
                      <a:avLst/>
                    </a:prstGeom>
                  </pic:spPr>
                </pic:pic>
              </a:graphicData>
            </a:graphic>
          </wp:inline>
        </w:drawing>
      </w:r>
    </w:p>
    <w:p w:rsidR="002E7433" w:rsidRDefault="002E7433" w:rsidP="002E7433">
      <w:pPr>
        <w:pStyle w:val="-0"/>
      </w:pPr>
      <w:bookmarkStart w:id="1854" w:name="_Toc69290556"/>
      <w:bookmarkStart w:id="1855" w:name="_Toc119584664"/>
      <w:r>
        <w:t xml:space="preserve">Рисунок </w:t>
      </w:r>
      <w:fldSimple w:instr=" SEQ Рисунок \* ARABIC ">
        <w:bookmarkStart w:id="1856" w:name="_Ref69125412"/>
        <w:r w:rsidR="001860A9">
          <w:rPr>
            <w:noProof/>
          </w:rPr>
          <w:t>477</w:t>
        </w:r>
        <w:bookmarkEnd w:id="1856"/>
      </w:fldSimple>
      <w:r>
        <w:t xml:space="preserve"> – Макет отчета «Анализ и оценка структуры цены», представление «В целом по ГК/соглашению»- «Таблица»</w:t>
      </w:r>
      <w:bookmarkEnd w:id="1854"/>
      <w:bookmarkEnd w:id="1855"/>
    </w:p>
    <w:p w:rsidR="002E7433" w:rsidRDefault="002E7433" w:rsidP="00862055">
      <w:pPr>
        <w:pStyle w:val="42"/>
        <w:numPr>
          <w:ilvl w:val="3"/>
          <w:numId w:val="135"/>
        </w:numPr>
      </w:pPr>
      <w:r>
        <w:t>Представление «В целом по ГК/соглашению» - «Гистограмма»</w:t>
      </w:r>
    </w:p>
    <w:p w:rsidR="002E7433" w:rsidRPr="00B1480F" w:rsidRDefault="002E7433" w:rsidP="00B1480F">
      <w:pPr>
        <w:pStyle w:val="af0"/>
      </w:pPr>
      <w:r w:rsidRPr="00B1480F">
        <w:t>Гистограмма отображает соотношение сумм расходов по одному государственному контракту/соглашению в разрезе показателей кассового расхода (план, факт, факт(раздельный учет)) и остатка.</w:t>
      </w:r>
    </w:p>
    <w:p w:rsidR="002E7433" w:rsidRPr="00B1480F" w:rsidRDefault="002E7433" w:rsidP="00B1480F">
      <w:pPr>
        <w:pStyle w:val="af0"/>
      </w:pPr>
      <w:r w:rsidRPr="00B1480F">
        <w:t>В нижней части гистограммы размещена легенда с возможностью включения/отключения пунктов расходов. По умолчанию отображаются все пункты расходов.</w:t>
      </w:r>
    </w:p>
    <w:p w:rsidR="002E7433" w:rsidRDefault="002E7433" w:rsidP="002E7433">
      <w:pPr>
        <w:pStyle w:val="af0"/>
        <w:spacing w:after="120"/>
      </w:pPr>
      <w:r>
        <w:t>Параметры отчета:</w:t>
      </w:r>
    </w:p>
    <w:p w:rsidR="002E7433" w:rsidRDefault="002E7433" w:rsidP="00DE1661">
      <w:pPr>
        <w:pStyle w:val="13"/>
      </w:pPr>
      <w:r>
        <w:t>по состоянию на. Календарь с возможностью выбора даты последней расходной декларации;</w:t>
      </w:r>
    </w:p>
    <w:p w:rsidR="002E7433" w:rsidRDefault="002E7433" w:rsidP="00DE1661">
      <w:pPr>
        <w:pStyle w:val="13"/>
      </w:pPr>
      <w:r>
        <w:t>Номер ГК/соглашения (ИГК). Выпадающий список</w:t>
      </w:r>
      <w:r w:rsidRPr="00773F49">
        <w:t xml:space="preserve"> </w:t>
      </w:r>
      <w:r>
        <w:t>с возможностью поиска, поиск осуществляется по номеру государственного контракта/соглашения/ или ИГК</w:t>
      </w:r>
      <w:r w:rsidRPr="00773F49">
        <w:t xml:space="preserve">. </w:t>
      </w:r>
      <w:r>
        <w:t xml:space="preserve">Алгоритм работы поиска – </w:t>
      </w:r>
      <w:r w:rsidRPr="00773F49">
        <w:rPr>
          <w:i/>
        </w:rPr>
        <w:t>содержит введенн</w:t>
      </w:r>
      <w:r>
        <w:rPr>
          <w:i/>
        </w:rPr>
        <w:t>ые</w:t>
      </w:r>
      <w:r w:rsidRPr="00773F49">
        <w:rPr>
          <w:i/>
        </w:rPr>
        <w:t xml:space="preserve"> </w:t>
      </w:r>
      <w:r>
        <w:rPr>
          <w:i/>
        </w:rPr>
        <w:t>символы</w:t>
      </w:r>
      <w:r>
        <w:t>;</w:t>
      </w:r>
    </w:p>
    <w:p w:rsidR="002E7433" w:rsidRDefault="002E7433" w:rsidP="00DE1661">
      <w:pPr>
        <w:pStyle w:val="13"/>
      </w:pPr>
      <w:r>
        <w:t xml:space="preserve">единицы измерения. Выпадающий список. Содержит значения: </w:t>
      </w:r>
      <w:r w:rsidRPr="00EF746B">
        <w:rPr>
          <w:i/>
        </w:rPr>
        <w:t>руб, тыс руб, млн руб, млрд руб</w:t>
      </w:r>
      <w:r>
        <w:t>.</w:t>
      </w:r>
    </w:p>
    <w:p w:rsidR="009F3296" w:rsidRDefault="002E7433" w:rsidP="009F3296">
      <w:pPr>
        <w:keepNext/>
      </w:pPr>
      <w:r>
        <w:rPr>
          <w:noProof/>
          <w:snapToGrid/>
        </w:rPr>
        <w:drawing>
          <wp:inline distT="0" distB="0" distL="0" distR="0" wp14:anchorId="76A62890" wp14:editId="5F6F0C2E">
            <wp:extent cx="5890294" cy="2752127"/>
            <wp:effectExtent l="0" t="0" r="0"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1"/>
                    <a:stretch>
                      <a:fillRect/>
                    </a:stretch>
                  </pic:blipFill>
                  <pic:spPr>
                    <a:xfrm>
                      <a:off x="0" y="0"/>
                      <a:ext cx="5889686" cy="2751843"/>
                    </a:xfrm>
                    <a:prstGeom prst="rect">
                      <a:avLst/>
                    </a:prstGeom>
                  </pic:spPr>
                </pic:pic>
              </a:graphicData>
            </a:graphic>
          </wp:inline>
        </w:drawing>
      </w:r>
    </w:p>
    <w:p w:rsidR="002E7433" w:rsidRDefault="009F3296" w:rsidP="009F3296">
      <w:pPr>
        <w:pStyle w:val="-0"/>
      </w:pPr>
      <w:bookmarkStart w:id="1857" w:name="_Toc119584665"/>
      <w:r>
        <w:t xml:space="preserve">Рисунок </w:t>
      </w:r>
      <w:fldSimple w:instr=" SEQ Рисунок \* ARABIC ">
        <w:r w:rsidR="001860A9">
          <w:rPr>
            <w:noProof/>
          </w:rPr>
          <w:t>478</w:t>
        </w:r>
      </w:fldSimple>
      <w:r>
        <w:t xml:space="preserve"> – Макет отчета </w:t>
      </w:r>
      <w:r w:rsidRPr="001C355F">
        <w:t>«</w:t>
      </w:r>
      <w:r w:rsidRPr="00FE5230">
        <w:t>Анализ и оценка структуры цены</w:t>
      </w:r>
      <w:r>
        <w:t>»,</w:t>
      </w:r>
      <w:r w:rsidRPr="00FE5230">
        <w:t xml:space="preserve"> </w:t>
      </w:r>
      <w:r>
        <w:t>представление «В целом по ГК/соглашения» - «Гистограмма»</w:t>
      </w:r>
      <w:bookmarkEnd w:id="1857"/>
    </w:p>
    <w:p w:rsidR="002E7433" w:rsidRDefault="002E7433" w:rsidP="00862055">
      <w:pPr>
        <w:pStyle w:val="42"/>
        <w:numPr>
          <w:ilvl w:val="3"/>
          <w:numId w:val="135"/>
        </w:numPr>
      </w:pPr>
      <w:r>
        <w:t>Представление «В целом по ГК/соглашения» - «Диаграмма».</w:t>
      </w:r>
    </w:p>
    <w:p w:rsidR="002E7433" w:rsidRPr="00B1480F" w:rsidRDefault="002E7433" w:rsidP="00B1480F">
      <w:pPr>
        <w:pStyle w:val="af0"/>
      </w:pPr>
      <w:r>
        <w:t xml:space="preserve">Представление реализовано в виде круговой диаграммы, которая </w:t>
      </w:r>
      <w:r w:rsidRPr="00B1480F">
        <w:t xml:space="preserve">отображает процентное соотношение сумм расходов по одному государственному контракту/соглашению в разрезе показателей кассового расхода (план, факт, факт(раздельный учет)) и остатка. Каждый показатель представлен в виде отдельной диаграммы. </w:t>
      </w:r>
    </w:p>
    <w:p w:rsidR="002E7433" w:rsidRDefault="002E7433" w:rsidP="00B1480F">
      <w:pPr>
        <w:pStyle w:val="af0"/>
      </w:pPr>
      <w:r w:rsidRPr="00B1480F">
        <w:t>В нижней части диаграммы размещена легенда с возможностью включения/отключения пунктов расходов. По умолчанию отображаются все</w:t>
      </w:r>
      <w:r>
        <w:t xml:space="preserve"> пункты расходов.</w:t>
      </w:r>
    </w:p>
    <w:p w:rsidR="002E7433" w:rsidRDefault="002E7433" w:rsidP="002E7433">
      <w:pPr>
        <w:pStyle w:val="af0"/>
        <w:spacing w:after="120"/>
      </w:pPr>
      <w:r>
        <w:t>Параметры отчета:</w:t>
      </w:r>
    </w:p>
    <w:p w:rsidR="002E7433" w:rsidRDefault="002E7433" w:rsidP="00DE1661">
      <w:pPr>
        <w:pStyle w:val="13"/>
      </w:pPr>
      <w:r>
        <w:t>по состоянию на. Календарь с возможностью выбора даты последней расходной декларации;</w:t>
      </w:r>
    </w:p>
    <w:p w:rsidR="002E7433" w:rsidRDefault="002E7433" w:rsidP="00DE1661">
      <w:pPr>
        <w:pStyle w:val="13"/>
      </w:pPr>
      <w:r>
        <w:t>Номер ГК/соглашения (ИГК). Выпадающий список</w:t>
      </w:r>
      <w:r w:rsidRPr="00773F49">
        <w:t xml:space="preserve"> </w:t>
      </w:r>
      <w:r>
        <w:t>с возможностью поиска, поиск осуществляется по номеру государственного контракта/соглашения/ или ИГК</w:t>
      </w:r>
      <w:r w:rsidRPr="00773F49">
        <w:t xml:space="preserve">. </w:t>
      </w:r>
      <w:r>
        <w:t xml:space="preserve">Алгоритм работы поиска – </w:t>
      </w:r>
      <w:r w:rsidRPr="00773F49">
        <w:rPr>
          <w:i/>
        </w:rPr>
        <w:t>содержит введенн</w:t>
      </w:r>
      <w:r>
        <w:rPr>
          <w:i/>
        </w:rPr>
        <w:t>ые</w:t>
      </w:r>
      <w:r w:rsidRPr="00773F49">
        <w:rPr>
          <w:i/>
        </w:rPr>
        <w:t xml:space="preserve"> </w:t>
      </w:r>
      <w:r>
        <w:rPr>
          <w:i/>
        </w:rPr>
        <w:t>символы</w:t>
      </w:r>
      <w:r>
        <w:t>.</w:t>
      </w:r>
    </w:p>
    <w:p w:rsidR="009F3296" w:rsidRDefault="002E7433" w:rsidP="009F3296">
      <w:pPr>
        <w:keepNext/>
      </w:pPr>
      <w:r>
        <w:rPr>
          <w:noProof/>
          <w:snapToGrid/>
        </w:rPr>
        <w:drawing>
          <wp:inline distT="0" distB="0" distL="0" distR="0" wp14:anchorId="423321E5" wp14:editId="3EA81839">
            <wp:extent cx="5963355" cy="2269264"/>
            <wp:effectExtent l="0" t="0" r="0"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2"/>
                    <a:stretch>
                      <a:fillRect/>
                    </a:stretch>
                  </pic:blipFill>
                  <pic:spPr>
                    <a:xfrm>
                      <a:off x="0" y="0"/>
                      <a:ext cx="5962397" cy="2268899"/>
                    </a:xfrm>
                    <a:prstGeom prst="rect">
                      <a:avLst/>
                    </a:prstGeom>
                  </pic:spPr>
                </pic:pic>
              </a:graphicData>
            </a:graphic>
          </wp:inline>
        </w:drawing>
      </w:r>
    </w:p>
    <w:p w:rsidR="002E7433" w:rsidRPr="003E0BB2" w:rsidRDefault="009F3296" w:rsidP="009F3296">
      <w:pPr>
        <w:pStyle w:val="-0"/>
      </w:pPr>
      <w:bookmarkStart w:id="1858" w:name="_Toc119584666"/>
      <w:r>
        <w:t xml:space="preserve">Рисунок </w:t>
      </w:r>
      <w:fldSimple w:instr=" SEQ Рисунок \* ARABIC ">
        <w:r w:rsidR="001860A9">
          <w:rPr>
            <w:noProof/>
          </w:rPr>
          <w:t>479</w:t>
        </w:r>
      </w:fldSimple>
      <w:r>
        <w:t xml:space="preserve"> – Макет отчета </w:t>
      </w:r>
      <w:r w:rsidRPr="001C355F">
        <w:t>«</w:t>
      </w:r>
      <w:r w:rsidRPr="00FE5230">
        <w:t>Анализ и оценка структуры цены</w:t>
      </w:r>
      <w:r>
        <w:t>»,</w:t>
      </w:r>
      <w:r w:rsidRPr="00FE5230">
        <w:t xml:space="preserve"> </w:t>
      </w:r>
      <w:r>
        <w:t>представление «В целом по ГК/соглашения» - «Диаграмма»</w:t>
      </w:r>
      <w:bookmarkEnd w:id="1858"/>
    </w:p>
    <w:p w:rsidR="002E7433" w:rsidRDefault="002E7433" w:rsidP="00862055">
      <w:pPr>
        <w:pStyle w:val="42"/>
        <w:numPr>
          <w:ilvl w:val="3"/>
          <w:numId w:val="135"/>
        </w:numPr>
      </w:pPr>
      <w:r>
        <w:t>Представление «По исполнителям» - «Таблица»</w:t>
      </w:r>
    </w:p>
    <w:p w:rsidR="002E7433" w:rsidRDefault="002E7433" w:rsidP="002E7433">
      <w:pPr>
        <w:pStyle w:val="af0"/>
        <w:spacing w:after="120"/>
      </w:pPr>
      <w:r>
        <w:t xml:space="preserve">Представление «По исполнителям» - «Таблица» реализовано в виде  иерархической таблицы (Рисунок </w:t>
      </w:r>
      <w:r>
        <w:fldChar w:fldCharType="begin"/>
      </w:r>
      <w:r>
        <w:instrText xml:space="preserve"> REF _Ref69126033 \h </w:instrText>
      </w:r>
      <w:r>
        <w:fldChar w:fldCharType="separate"/>
      </w:r>
      <w:r w:rsidR="00BF0BEE">
        <w:rPr>
          <w:noProof/>
        </w:rPr>
        <w:t>405</w:t>
      </w:r>
      <w:r>
        <w:fldChar w:fldCharType="end"/>
      </w:r>
      <w:r>
        <w:t>) и содержит следующие показатели:</w:t>
      </w:r>
    </w:p>
    <w:p w:rsidR="002E7433" w:rsidRDefault="002E7433" w:rsidP="00DE1661">
      <w:pPr>
        <w:pStyle w:val="13"/>
      </w:pPr>
      <w:r>
        <w:t>по состоянию на. Календарь с возможностью выбора даты последней расходной декларации;</w:t>
      </w:r>
    </w:p>
    <w:p w:rsidR="002E7433" w:rsidRDefault="002E7433" w:rsidP="00DE1661">
      <w:pPr>
        <w:pStyle w:val="13"/>
      </w:pPr>
      <w:r>
        <w:t>Номер ГК/соглашения (ИГК). Выпадающий список</w:t>
      </w:r>
      <w:r w:rsidRPr="00773F49">
        <w:t xml:space="preserve"> </w:t>
      </w:r>
      <w:r>
        <w:t>с возможностью поиска, поиск осуществляется по номеру государственного контракта/соглашения/ или ИГК</w:t>
      </w:r>
      <w:r w:rsidRPr="00773F49">
        <w:t xml:space="preserve">. </w:t>
      </w:r>
      <w:r>
        <w:t xml:space="preserve">Алгоритм работы поиска – </w:t>
      </w:r>
      <w:r w:rsidRPr="00773F49">
        <w:rPr>
          <w:i/>
        </w:rPr>
        <w:t>содержит введенн</w:t>
      </w:r>
      <w:r>
        <w:rPr>
          <w:i/>
        </w:rPr>
        <w:t>ые</w:t>
      </w:r>
      <w:r w:rsidRPr="00773F49">
        <w:rPr>
          <w:i/>
        </w:rPr>
        <w:t xml:space="preserve"> </w:t>
      </w:r>
      <w:r>
        <w:rPr>
          <w:i/>
        </w:rPr>
        <w:t>символы</w:t>
      </w:r>
      <w:r>
        <w:t>;</w:t>
      </w:r>
    </w:p>
    <w:p w:rsidR="002E7433" w:rsidRDefault="002E7433" w:rsidP="00DE1661">
      <w:pPr>
        <w:pStyle w:val="13"/>
      </w:pPr>
      <w:r>
        <w:t>Номер контракта, договора, соглашения. Выпадающий список с возможностью выбора контракта/договора/соглашения;</w:t>
      </w:r>
    </w:p>
    <w:p w:rsidR="002E7433" w:rsidRDefault="002E7433" w:rsidP="00DE1661">
      <w:pPr>
        <w:pStyle w:val="13"/>
      </w:pPr>
      <w:r>
        <w:t>Уровень кооперации. Выпадающий список с возможностью выбора уровня кооперации;</w:t>
      </w:r>
    </w:p>
    <w:p w:rsidR="002E7433" w:rsidRDefault="002E7433" w:rsidP="00DE1661">
      <w:pPr>
        <w:pStyle w:val="13"/>
      </w:pPr>
      <w:r>
        <w:t>ИНН заказчика. Выпадающий список с возможностью выбора ИНН заказчика;</w:t>
      </w:r>
    </w:p>
    <w:p w:rsidR="002E7433" w:rsidRDefault="002E7433" w:rsidP="00DE1661">
      <w:pPr>
        <w:pStyle w:val="13"/>
      </w:pPr>
      <w:r>
        <w:t>ИНН исполнителя. Выпадающий список с возможностью выбора ИНН исполнителя;</w:t>
      </w:r>
    </w:p>
    <w:p w:rsidR="002E7433" w:rsidRDefault="002E7433" w:rsidP="00DE1661">
      <w:pPr>
        <w:pStyle w:val="13"/>
      </w:pPr>
      <w:r>
        <w:t xml:space="preserve">единицы измерения. Выпадающий список. Содержит значения: </w:t>
      </w:r>
      <w:r w:rsidRPr="00EF746B">
        <w:rPr>
          <w:i/>
        </w:rPr>
        <w:t>руб, тыс руб, млн руб, млрд руб</w:t>
      </w:r>
      <w:r>
        <w:t>.</w:t>
      </w:r>
    </w:p>
    <w:p w:rsidR="002E7433" w:rsidRDefault="002E7433" w:rsidP="002E7433">
      <w:pPr>
        <w:pStyle w:val="-0"/>
      </w:pPr>
      <w:r>
        <w:rPr>
          <w:noProof/>
          <w:snapToGrid/>
        </w:rPr>
        <w:drawing>
          <wp:inline distT="0" distB="0" distL="0" distR="0" wp14:anchorId="51B607DD" wp14:editId="4F589C39">
            <wp:extent cx="5939790" cy="1847104"/>
            <wp:effectExtent l="0" t="0" r="3810" b="127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3"/>
                    <a:stretch>
                      <a:fillRect/>
                    </a:stretch>
                  </pic:blipFill>
                  <pic:spPr>
                    <a:xfrm>
                      <a:off x="0" y="0"/>
                      <a:ext cx="5939790" cy="1847104"/>
                    </a:xfrm>
                    <a:prstGeom prst="rect">
                      <a:avLst/>
                    </a:prstGeom>
                  </pic:spPr>
                </pic:pic>
              </a:graphicData>
            </a:graphic>
          </wp:inline>
        </w:drawing>
      </w:r>
    </w:p>
    <w:p w:rsidR="002E7433" w:rsidRPr="007D385B" w:rsidRDefault="002E7433" w:rsidP="002E7433">
      <w:pPr>
        <w:pStyle w:val="-0"/>
      </w:pPr>
      <w:bookmarkStart w:id="1859" w:name="_Toc69290557"/>
      <w:bookmarkStart w:id="1860" w:name="_Toc119584667"/>
      <w:r>
        <w:t xml:space="preserve">Рисунок </w:t>
      </w:r>
      <w:fldSimple w:instr=" SEQ Рисунок \* ARABIC ">
        <w:bookmarkStart w:id="1861" w:name="_Ref69126033"/>
        <w:r w:rsidR="001860A9">
          <w:rPr>
            <w:noProof/>
          </w:rPr>
          <w:t>480</w:t>
        </w:r>
        <w:bookmarkEnd w:id="1861"/>
      </w:fldSimple>
      <w:r>
        <w:t xml:space="preserve"> – Макет отчета </w:t>
      </w:r>
      <w:r w:rsidRPr="001C355F">
        <w:t>«</w:t>
      </w:r>
      <w:r w:rsidRPr="00FE5230">
        <w:t>Анализ и оценка структуры цены</w:t>
      </w:r>
      <w:r>
        <w:t>»,</w:t>
      </w:r>
      <w:r w:rsidRPr="00FE5230">
        <w:t xml:space="preserve"> </w:t>
      </w:r>
      <w:r>
        <w:t>представление «По исполнителям» - «Таблица»</w:t>
      </w:r>
      <w:bookmarkEnd w:id="1859"/>
      <w:bookmarkEnd w:id="1860"/>
    </w:p>
    <w:p w:rsidR="002E7433" w:rsidRDefault="002E7433" w:rsidP="00862055">
      <w:pPr>
        <w:pStyle w:val="42"/>
        <w:numPr>
          <w:ilvl w:val="3"/>
          <w:numId w:val="135"/>
        </w:numPr>
      </w:pPr>
      <w:r>
        <w:t>Представление «По исполнителям» - «Гистограмма».</w:t>
      </w:r>
    </w:p>
    <w:p w:rsidR="002E7433" w:rsidRDefault="002E7433" w:rsidP="002E7433">
      <w:pPr>
        <w:pStyle w:val="af0"/>
        <w:spacing w:after="120"/>
      </w:pPr>
      <w:r>
        <w:t xml:space="preserve">Представление сформировано в виде гистограммы, которая отображает соотношение сумм расходов по одному государственному контракту/соглашению в разрезе показателей кассового расхода (план, факт, факт(раздельный учет)) и остатка (Рисунок </w:t>
      </w:r>
      <w:r>
        <w:fldChar w:fldCharType="begin"/>
      </w:r>
      <w:r>
        <w:instrText xml:space="preserve"> REF _Ref69126216 \h </w:instrText>
      </w:r>
      <w:r>
        <w:fldChar w:fldCharType="separate"/>
      </w:r>
      <w:r w:rsidR="00BF0BEE">
        <w:rPr>
          <w:noProof/>
        </w:rPr>
        <w:t>406</w:t>
      </w:r>
      <w:r>
        <w:fldChar w:fldCharType="end"/>
      </w:r>
      <w:r>
        <w:t>).</w:t>
      </w:r>
    </w:p>
    <w:p w:rsidR="002E7433" w:rsidRDefault="002E7433" w:rsidP="002E7433">
      <w:pPr>
        <w:pStyle w:val="-0"/>
      </w:pPr>
      <w:r>
        <w:rPr>
          <w:noProof/>
          <w:snapToGrid/>
        </w:rPr>
        <w:drawing>
          <wp:inline distT="0" distB="0" distL="0" distR="0" wp14:anchorId="156E28FA" wp14:editId="3E26B25F">
            <wp:extent cx="5939790" cy="2861693"/>
            <wp:effectExtent l="0" t="0" r="381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4"/>
                    <a:stretch>
                      <a:fillRect/>
                    </a:stretch>
                  </pic:blipFill>
                  <pic:spPr>
                    <a:xfrm>
                      <a:off x="0" y="0"/>
                      <a:ext cx="5939790" cy="2861693"/>
                    </a:xfrm>
                    <a:prstGeom prst="rect">
                      <a:avLst/>
                    </a:prstGeom>
                  </pic:spPr>
                </pic:pic>
              </a:graphicData>
            </a:graphic>
          </wp:inline>
        </w:drawing>
      </w:r>
    </w:p>
    <w:p w:rsidR="002E7433" w:rsidRDefault="002E7433" w:rsidP="002E7433">
      <w:pPr>
        <w:pStyle w:val="-0"/>
      </w:pPr>
      <w:bookmarkStart w:id="1862" w:name="_Toc69290558"/>
      <w:bookmarkStart w:id="1863" w:name="_Toc119584668"/>
      <w:r>
        <w:t xml:space="preserve">Рисунок </w:t>
      </w:r>
      <w:fldSimple w:instr=" SEQ Рисунок \* ARABIC ">
        <w:bookmarkStart w:id="1864" w:name="_Ref69126216"/>
        <w:r w:rsidR="001860A9">
          <w:rPr>
            <w:noProof/>
          </w:rPr>
          <w:t>481</w:t>
        </w:r>
        <w:bookmarkEnd w:id="1864"/>
      </w:fldSimple>
      <w:r>
        <w:t xml:space="preserve"> – Макет отчета </w:t>
      </w:r>
      <w:r w:rsidRPr="001C355F">
        <w:t>«</w:t>
      </w:r>
      <w:r w:rsidRPr="00FE5230">
        <w:t>Анализ и оценка структуры цены</w:t>
      </w:r>
      <w:r>
        <w:t>»,</w:t>
      </w:r>
      <w:r w:rsidRPr="00FE5230">
        <w:t xml:space="preserve"> </w:t>
      </w:r>
      <w:r>
        <w:t>представление «По исполнителям» - «Гистограмма»</w:t>
      </w:r>
      <w:bookmarkEnd w:id="1862"/>
      <w:bookmarkEnd w:id="1863"/>
    </w:p>
    <w:p w:rsidR="002E7433" w:rsidRDefault="002E7433" w:rsidP="002E7433">
      <w:pPr>
        <w:pStyle w:val="af0"/>
        <w:spacing w:after="120"/>
      </w:pPr>
      <w:r>
        <w:t>В нижней части гистограммы размещена легенда с возможностью включения/отключения пунктов расходов. По умолчанию отображаются все пункты расходов.</w:t>
      </w:r>
    </w:p>
    <w:p w:rsidR="002E7433" w:rsidRDefault="002E7433" w:rsidP="00862055">
      <w:pPr>
        <w:pStyle w:val="42"/>
        <w:numPr>
          <w:ilvl w:val="3"/>
          <w:numId w:val="135"/>
        </w:numPr>
      </w:pPr>
      <w:r>
        <w:t>Представление «По исполнителям» - «Диаграмма».</w:t>
      </w:r>
    </w:p>
    <w:p w:rsidR="002E7433" w:rsidRDefault="002E7433" w:rsidP="002E7433">
      <w:pPr>
        <w:pStyle w:val="af0"/>
        <w:spacing w:after="120"/>
      </w:pPr>
      <w:r>
        <w:t xml:space="preserve">Представление сформировано в виде круговой диаграммы, которая отображает процентное соотношение сумм расходов по одному государственному контракту/соглашению в разрезе показателей кассового расхода (план, факт, факт(раздельный учет)) и остатка. Каждый показатель представлен в виде отдельной диаграммы (Рисунок </w:t>
      </w:r>
      <w:r>
        <w:fldChar w:fldCharType="begin"/>
      </w:r>
      <w:r>
        <w:instrText xml:space="preserve"> REF _Ref69126359 \h </w:instrText>
      </w:r>
      <w:r>
        <w:fldChar w:fldCharType="separate"/>
      </w:r>
      <w:r w:rsidR="00BF0BEE">
        <w:rPr>
          <w:noProof/>
        </w:rPr>
        <w:t>407</w:t>
      </w:r>
      <w:r>
        <w:fldChar w:fldCharType="end"/>
      </w:r>
      <w:r>
        <w:t>).</w:t>
      </w:r>
    </w:p>
    <w:p w:rsidR="002E7433" w:rsidRDefault="002E7433" w:rsidP="002E7433">
      <w:pPr>
        <w:pStyle w:val="-0"/>
      </w:pPr>
      <w:r>
        <w:rPr>
          <w:noProof/>
          <w:snapToGrid/>
        </w:rPr>
        <w:drawing>
          <wp:inline distT="0" distB="0" distL="0" distR="0" wp14:anchorId="6D95BF26" wp14:editId="24D31070">
            <wp:extent cx="5939790" cy="2774640"/>
            <wp:effectExtent l="0" t="0" r="3810" b="6985"/>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5"/>
                    <a:stretch>
                      <a:fillRect/>
                    </a:stretch>
                  </pic:blipFill>
                  <pic:spPr>
                    <a:xfrm>
                      <a:off x="0" y="0"/>
                      <a:ext cx="5939790" cy="2774640"/>
                    </a:xfrm>
                    <a:prstGeom prst="rect">
                      <a:avLst/>
                    </a:prstGeom>
                  </pic:spPr>
                </pic:pic>
              </a:graphicData>
            </a:graphic>
          </wp:inline>
        </w:drawing>
      </w:r>
    </w:p>
    <w:p w:rsidR="002E7433" w:rsidRPr="00A82597" w:rsidRDefault="002E7433" w:rsidP="002E7433">
      <w:pPr>
        <w:pStyle w:val="-0"/>
      </w:pPr>
      <w:bookmarkStart w:id="1865" w:name="_Toc69290559"/>
      <w:bookmarkStart w:id="1866" w:name="_Toc119584669"/>
      <w:r>
        <w:t xml:space="preserve">Рисунок </w:t>
      </w:r>
      <w:fldSimple w:instr=" SEQ Рисунок \* ARABIC ">
        <w:bookmarkStart w:id="1867" w:name="_Ref69126359"/>
        <w:r w:rsidR="001860A9">
          <w:rPr>
            <w:noProof/>
          </w:rPr>
          <w:t>482</w:t>
        </w:r>
        <w:bookmarkEnd w:id="1867"/>
      </w:fldSimple>
      <w:r>
        <w:t xml:space="preserve"> – Макет отчета </w:t>
      </w:r>
      <w:r w:rsidRPr="001C355F">
        <w:t>«</w:t>
      </w:r>
      <w:r w:rsidRPr="00FE5230">
        <w:t>Анализ и оценка структуры цены</w:t>
      </w:r>
      <w:r>
        <w:t>»,</w:t>
      </w:r>
      <w:r w:rsidRPr="00FE5230">
        <w:t xml:space="preserve"> </w:t>
      </w:r>
      <w:r>
        <w:t>представление «По исполнителям» - «Диаграмма»</w:t>
      </w:r>
      <w:bookmarkEnd w:id="1865"/>
      <w:bookmarkEnd w:id="1866"/>
    </w:p>
    <w:p w:rsidR="002E7433" w:rsidRPr="003E0BB2" w:rsidRDefault="002E7433" w:rsidP="002E7433">
      <w:pPr>
        <w:pStyle w:val="af0"/>
        <w:spacing w:after="120"/>
      </w:pPr>
      <w:r>
        <w:t>В нижней части диаграммы размещена легенда с возможностью включения/отключения пунктов расходов. По умолчанию отображаются все пункты расходов.</w:t>
      </w:r>
      <w:r w:rsidDel="007841B4">
        <w:t xml:space="preserve"> </w:t>
      </w:r>
    </w:p>
    <w:p w:rsidR="002E7433" w:rsidRDefault="002E7433" w:rsidP="00862055">
      <w:pPr>
        <w:pStyle w:val="35"/>
        <w:numPr>
          <w:ilvl w:val="2"/>
          <w:numId w:val="135"/>
        </w:numPr>
      </w:pPr>
      <w:bookmarkStart w:id="1868" w:name="_Toc69290150"/>
      <w:bookmarkStart w:id="1869" w:name="_Toc119585116"/>
      <w:r w:rsidRPr="00206C4C">
        <w:t>Отчет «</w:t>
      </w:r>
      <w:r>
        <w:t>Приостановление по ГОЗ</w:t>
      </w:r>
      <w:r w:rsidRPr="00206C4C">
        <w:t>»</w:t>
      </w:r>
      <w:bookmarkEnd w:id="1868"/>
      <w:r w:rsidR="00331436">
        <w:t xml:space="preserve"> (</w:t>
      </w:r>
      <w:r w:rsidR="00331436" w:rsidRPr="00331436">
        <w:t>PIAO_100_013_report</w:t>
      </w:r>
      <w:r w:rsidR="00331436">
        <w:t>)</w:t>
      </w:r>
      <w:bookmarkEnd w:id="1869"/>
    </w:p>
    <w:p w:rsidR="002E7433" w:rsidRPr="00206C4C" w:rsidRDefault="002E7433" w:rsidP="002E7433">
      <w:pPr>
        <w:pStyle w:val="af0"/>
        <w:rPr>
          <w:rStyle w:val="af1"/>
        </w:rPr>
      </w:pPr>
      <w:r w:rsidRPr="00206C4C">
        <w:rPr>
          <w:rStyle w:val="af1"/>
        </w:rPr>
        <w:t>Для перехода к отчету «</w:t>
      </w:r>
      <w:r>
        <w:t>Приостановление по ГОЗ</w:t>
      </w:r>
      <w:r w:rsidRPr="00206C4C">
        <w:rPr>
          <w:rStyle w:val="af1"/>
        </w:rPr>
        <w:t>» необходимо перейти к витрине «</w:t>
      </w:r>
      <w:r>
        <w:rPr>
          <w:rStyle w:val="af1"/>
        </w:rPr>
        <w:t>Казначейское сопровождение</w:t>
      </w:r>
      <w:r w:rsidRPr="00206C4C">
        <w:rPr>
          <w:rStyle w:val="af1"/>
        </w:rPr>
        <w:t xml:space="preserve">» и кликнуть мышью по </w:t>
      </w:r>
      <w:r>
        <w:rPr>
          <w:rStyle w:val="af1"/>
        </w:rPr>
        <w:t xml:space="preserve">соответствующей </w:t>
      </w:r>
      <w:r w:rsidRPr="00206C4C">
        <w:rPr>
          <w:rStyle w:val="af1"/>
        </w:rPr>
        <w:t>плашке</w:t>
      </w:r>
      <w:r>
        <w:rPr>
          <w:rStyle w:val="af1"/>
        </w:rPr>
        <w:t xml:space="preserve"> (</w:t>
      </w:r>
      <w:r>
        <w:rPr>
          <w:rStyle w:val="af1"/>
        </w:rPr>
        <w:fldChar w:fldCharType="begin"/>
      </w:r>
      <w:r>
        <w:rPr>
          <w:rStyle w:val="af1"/>
        </w:rPr>
        <w:instrText xml:space="preserve"> REF _Ref69124834 \h </w:instrText>
      </w:r>
      <w:r>
        <w:rPr>
          <w:rStyle w:val="af1"/>
        </w:rPr>
      </w:r>
      <w:r>
        <w:rPr>
          <w:rStyle w:val="af1"/>
        </w:rPr>
        <w:fldChar w:fldCharType="separate"/>
      </w:r>
      <w:r w:rsidR="00BF0BEE">
        <w:t xml:space="preserve">Рисунок </w:t>
      </w:r>
      <w:r w:rsidR="00BF0BEE">
        <w:rPr>
          <w:noProof/>
        </w:rPr>
        <w:t>483</w:t>
      </w:r>
      <w:r>
        <w:rPr>
          <w:rStyle w:val="af1"/>
        </w:rPr>
        <w:fldChar w:fldCharType="end"/>
      </w:r>
      <w:r>
        <w:rPr>
          <w:rStyle w:val="af1"/>
        </w:rPr>
        <w:t>)</w:t>
      </w:r>
      <w:r w:rsidRPr="00206C4C">
        <w:rPr>
          <w:rStyle w:val="af1"/>
        </w:rPr>
        <w:t>.</w:t>
      </w:r>
    </w:p>
    <w:p w:rsidR="002E7433" w:rsidRDefault="002E7433" w:rsidP="002E7433">
      <w:pPr>
        <w:pStyle w:val="46"/>
        <w:keepNext/>
        <w:numPr>
          <w:ilvl w:val="0"/>
          <w:numId w:val="0"/>
        </w:numPr>
      </w:pPr>
      <w:r>
        <w:rPr>
          <w:noProof/>
          <w:snapToGrid/>
        </w:rPr>
        <w:drawing>
          <wp:inline distT="0" distB="0" distL="0" distR="0" wp14:anchorId="502A6770" wp14:editId="05CF09DC">
            <wp:extent cx="5939790" cy="1910860"/>
            <wp:effectExtent l="0" t="0" r="381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6"/>
                    <a:stretch>
                      <a:fillRect/>
                    </a:stretch>
                  </pic:blipFill>
                  <pic:spPr>
                    <a:xfrm>
                      <a:off x="0" y="0"/>
                      <a:ext cx="5939790" cy="1910860"/>
                    </a:xfrm>
                    <a:prstGeom prst="rect">
                      <a:avLst/>
                    </a:prstGeom>
                  </pic:spPr>
                </pic:pic>
              </a:graphicData>
            </a:graphic>
          </wp:inline>
        </w:drawing>
      </w:r>
    </w:p>
    <w:p w:rsidR="002E7433" w:rsidRDefault="002E7433" w:rsidP="002E7433">
      <w:pPr>
        <w:pStyle w:val="-0"/>
      </w:pPr>
      <w:bookmarkStart w:id="1870" w:name="_Ref69124834"/>
      <w:bookmarkStart w:id="1871" w:name="_Ref69124822"/>
      <w:bookmarkStart w:id="1872" w:name="_Toc69290560"/>
      <w:bookmarkStart w:id="1873" w:name="_Toc119584670"/>
      <w:r>
        <w:t xml:space="preserve">Рисунок </w:t>
      </w:r>
      <w:fldSimple w:instr=" SEQ Рисунок \* ARABIC ">
        <w:r w:rsidR="001860A9">
          <w:rPr>
            <w:noProof/>
          </w:rPr>
          <w:t>483</w:t>
        </w:r>
      </w:fldSimple>
      <w:bookmarkEnd w:id="1870"/>
      <w:r>
        <w:t xml:space="preserve"> – Плашка для перехода к отчету «Приостановления по ГОЗ»</w:t>
      </w:r>
      <w:bookmarkEnd w:id="1871"/>
      <w:bookmarkEnd w:id="1872"/>
      <w:bookmarkEnd w:id="1873"/>
    </w:p>
    <w:p w:rsidR="002E7433" w:rsidRPr="00F53C3F" w:rsidRDefault="002E7433" w:rsidP="002E7433">
      <w:pPr>
        <w:pStyle w:val="af0"/>
        <w:spacing w:after="120"/>
      </w:pPr>
      <w:r>
        <w:t>Отчет</w:t>
      </w:r>
      <w:r w:rsidRPr="00F53C3F">
        <w:t xml:space="preserve"> «Приостановление по ГОЗ» </w:t>
      </w:r>
      <w:r>
        <w:t xml:space="preserve">представлен на рисунке </w:t>
      </w:r>
      <w:r>
        <w:fldChar w:fldCharType="begin"/>
      </w:r>
      <w:r>
        <w:instrText xml:space="preserve"> REF _Ref69125042 \h </w:instrText>
      </w:r>
      <w:r>
        <w:fldChar w:fldCharType="separate"/>
      </w:r>
      <w:r w:rsidR="00BF0BEE">
        <w:rPr>
          <w:noProof/>
        </w:rPr>
        <w:t>409</w:t>
      </w:r>
      <w:r>
        <w:fldChar w:fldCharType="end"/>
      </w:r>
      <w:r>
        <w:t xml:space="preserve"> и </w:t>
      </w:r>
      <w:r w:rsidRPr="00F53C3F">
        <w:t>содерж</w:t>
      </w:r>
      <w:r>
        <w:t>ит</w:t>
      </w:r>
      <w:r w:rsidRPr="00F53C3F">
        <w:t xml:space="preserve"> информацию о:</w:t>
      </w:r>
    </w:p>
    <w:p w:rsidR="002E7433" w:rsidRPr="00F53C3F" w:rsidRDefault="002E7433" w:rsidP="00DE1661">
      <w:pPr>
        <w:pStyle w:val="13"/>
      </w:pPr>
      <w:r w:rsidRPr="00F53C3F">
        <w:t xml:space="preserve">приостановлении открытия (отказе в открытии) лицевых счетов с кодом 71 для учета операций неучастника бюджетного процесса; </w:t>
      </w:r>
    </w:p>
    <w:p w:rsidR="002E7433" w:rsidRPr="00F53C3F" w:rsidRDefault="002E7433" w:rsidP="00DE1661">
      <w:pPr>
        <w:pStyle w:val="13"/>
      </w:pPr>
      <w:r w:rsidRPr="00F53C3F">
        <w:t>приостановлении (отмене приостановления) операций по лицевым счетам с кодом 71 головных исполнителей (исполнителей) и отказе в проведении приостановленной операции территориальными органами Федерального казначейства при казначейском сопровождении средств.</w:t>
      </w:r>
    </w:p>
    <w:p w:rsidR="002E7433" w:rsidRDefault="002E7433" w:rsidP="002E7433">
      <w:pPr>
        <w:pStyle w:val="-0"/>
      </w:pPr>
      <w:r>
        <w:rPr>
          <w:noProof/>
          <w:snapToGrid/>
        </w:rPr>
        <w:drawing>
          <wp:inline distT="0" distB="0" distL="0" distR="0" wp14:anchorId="72B9EC0D" wp14:editId="61A1923A">
            <wp:extent cx="5939790" cy="2883149"/>
            <wp:effectExtent l="0" t="0" r="381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7"/>
                    <a:stretch>
                      <a:fillRect/>
                    </a:stretch>
                  </pic:blipFill>
                  <pic:spPr>
                    <a:xfrm>
                      <a:off x="0" y="0"/>
                      <a:ext cx="5939790" cy="2883149"/>
                    </a:xfrm>
                    <a:prstGeom prst="rect">
                      <a:avLst/>
                    </a:prstGeom>
                  </pic:spPr>
                </pic:pic>
              </a:graphicData>
            </a:graphic>
          </wp:inline>
        </w:drawing>
      </w:r>
    </w:p>
    <w:p w:rsidR="002E7433" w:rsidRPr="004D2B4D" w:rsidRDefault="002E7433" w:rsidP="002E7433">
      <w:pPr>
        <w:pStyle w:val="-0"/>
      </w:pPr>
      <w:bookmarkStart w:id="1874" w:name="_Toc69290561"/>
      <w:bookmarkStart w:id="1875" w:name="_Toc119584671"/>
      <w:r>
        <w:t xml:space="preserve">Рисунок </w:t>
      </w:r>
      <w:fldSimple w:instr=" SEQ Рисунок \* ARABIC ">
        <w:bookmarkStart w:id="1876" w:name="_Ref69125042"/>
        <w:r w:rsidR="001860A9">
          <w:rPr>
            <w:noProof/>
          </w:rPr>
          <w:t>484</w:t>
        </w:r>
        <w:bookmarkEnd w:id="1876"/>
      </w:fldSimple>
      <w:r>
        <w:t xml:space="preserve"> – Макет отчета «Приостановление по ГОЗ»</w:t>
      </w:r>
      <w:bookmarkEnd w:id="1874"/>
      <w:bookmarkEnd w:id="1875"/>
    </w:p>
    <w:p w:rsidR="002E7433" w:rsidRPr="00F53C3F" w:rsidRDefault="002E7433" w:rsidP="002E7433">
      <w:pPr>
        <w:pStyle w:val="af0"/>
        <w:spacing w:after="120"/>
      </w:pPr>
      <w:r>
        <w:t>Отчет имеет следующий атрибутный состав</w:t>
      </w:r>
      <w:r w:rsidRPr="00F53C3F">
        <w:t>:</w:t>
      </w:r>
    </w:p>
    <w:p w:rsidR="002E7433" w:rsidRPr="00F53C3F" w:rsidRDefault="002E7433" w:rsidP="00DE1661">
      <w:pPr>
        <w:pStyle w:val="13"/>
      </w:pPr>
      <w:r w:rsidRPr="00F53C3F">
        <w:t>Код ТОФК ЦС по КС;</w:t>
      </w:r>
    </w:p>
    <w:p w:rsidR="002E7433" w:rsidRPr="00F53C3F" w:rsidRDefault="002E7433" w:rsidP="00DE1661">
      <w:pPr>
        <w:pStyle w:val="13"/>
      </w:pPr>
      <w:r w:rsidRPr="00F53C3F">
        <w:t>Наименование ТОФК ЦС по КС;</w:t>
      </w:r>
    </w:p>
    <w:p w:rsidR="002E7433" w:rsidRPr="00F53C3F" w:rsidRDefault="002E7433" w:rsidP="00DE1661">
      <w:pPr>
        <w:pStyle w:val="13"/>
      </w:pPr>
      <w:r w:rsidRPr="00F53C3F">
        <w:t>Открыто лицевых счетов с кодом 71;</w:t>
      </w:r>
    </w:p>
    <w:p w:rsidR="002E7433" w:rsidRPr="00F53C3F" w:rsidRDefault="002E7433" w:rsidP="00DE1661">
      <w:pPr>
        <w:pStyle w:val="13"/>
      </w:pPr>
      <w:r w:rsidRPr="00F53C3F">
        <w:t>Количество направленных Уведомлений о приостановлении открытия лицевого счета;</w:t>
      </w:r>
    </w:p>
    <w:p w:rsidR="002E7433" w:rsidRPr="00F53C3F" w:rsidRDefault="002E7433" w:rsidP="00DE1661">
      <w:pPr>
        <w:pStyle w:val="13"/>
      </w:pPr>
      <w:r w:rsidRPr="00F53C3F">
        <w:t>Количество документов с Информацией о подтверждении открытия лицевого счета или об отказе в его открытии, полученных от государственного заказчика (заказчика);</w:t>
      </w:r>
    </w:p>
    <w:p w:rsidR="002E7433" w:rsidRPr="00F53C3F" w:rsidRDefault="002E7433" w:rsidP="00DE1661">
      <w:pPr>
        <w:pStyle w:val="13"/>
      </w:pPr>
      <w:r w:rsidRPr="00F53C3F">
        <w:t>Количество лицевых счетов, по которым отказано в открытии на основании информации об отказе в открытии лицевого счета, полученной от государственного заказчика (заказчика);</w:t>
      </w:r>
    </w:p>
    <w:p w:rsidR="002E7433" w:rsidRPr="00F53C3F" w:rsidRDefault="002E7433" w:rsidP="00DE1661">
      <w:pPr>
        <w:pStyle w:val="13"/>
      </w:pPr>
      <w:r w:rsidRPr="00F53C3F">
        <w:t>Количество Уведомлений об открытии лицевого счета  головному исполнителю (исполнителю) или об отказе в его открытии;</w:t>
      </w:r>
    </w:p>
    <w:p w:rsidR="002E7433" w:rsidRPr="00F53C3F" w:rsidRDefault="002E7433" w:rsidP="00DE1661">
      <w:pPr>
        <w:pStyle w:val="13"/>
      </w:pPr>
      <w:r w:rsidRPr="00F53C3F">
        <w:t>Количество исполненных платежных поручений;</w:t>
      </w:r>
    </w:p>
    <w:p w:rsidR="002E7433" w:rsidRPr="00F53C3F" w:rsidRDefault="002E7433" w:rsidP="00DE1661">
      <w:pPr>
        <w:pStyle w:val="13"/>
      </w:pPr>
      <w:r w:rsidRPr="00F53C3F">
        <w:t>Сумма исполненных платежных поручений, руб.;</w:t>
      </w:r>
    </w:p>
    <w:p w:rsidR="002E7433" w:rsidRPr="00F53C3F" w:rsidRDefault="002E7433" w:rsidP="00DE1661">
      <w:pPr>
        <w:pStyle w:val="13"/>
      </w:pPr>
      <w:r w:rsidRPr="00F53C3F">
        <w:t>Количество направленных Уведомлений о приостановлении операции по лицевому счету;</w:t>
      </w:r>
    </w:p>
    <w:p w:rsidR="002E7433" w:rsidRPr="00F53C3F" w:rsidRDefault="002E7433" w:rsidP="00DE1661">
      <w:pPr>
        <w:pStyle w:val="13"/>
      </w:pPr>
      <w:r w:rsidRPr="00F53C3F">
        <w:t>Количество платежных поручений, по которым были приостановлены операции;</w:t>
      </w:r>
    </w:p>
    <w:p w:rsidR="002E7433" w:rsidRPr="00F53C3F" w:rsidRDefault="002E7433" w:rsidP="00DE1661">
      <w:pPr>
        <w:pStyle w:val="13"/>
      </w:pPr>
      <w:r w:rsidRPr="00F53C3F">
        <w:t>Сумма платежных поручений, по которым были приостановлены операции;</w:t>
      </w:r>
    </w:p>
    <w:p w:rsidR="002E7433" w:rsidRPr="00F53C3F" w:rsidRDefault="002E7433" w:rsidP="00DE1661">
      <w:pPr>
        <w:pStyle w:val="13"/>
      </w:pPr>
      <w:r w:rsidRPr="00F53C3F">
        <w:t>Количество Уведомлений об обоснованности или о необоснованности приостановления операции по лицевому счету, полученных от Государственного заказчика (заказчика);</w:t>
      </w:r>
    </w:p>
    <w:p w:rsidR="002E7433" w:rsidRPr="00F53C3F" w:rsidRDefault="002E7433" w:rsidP="00DE1661">
      <w:pPr>
        <w:pStyle w:val="13"/>
      </w:pPr>
      <w:r w:rsidRPr="00F53C3F">
        <w:t>Количество платежных поручений, которые отказаны на основании Уведомлений об обоснованности приостановления операции по лицевому счету, полученных от Государственного заказчика (заказчика);</w:t>
      </w:r>
    </w:p>
    <w:p w:rsidR="002E7433" w:rsidRPr="00F53C3F" w:rsidRDefault="002E7433" w:rsidP="00DE1661">
      <w:pPr>
        <w:pStyle w:val="13"/>
      </w:pPr>
      <w:r w:rsidRPr="00F53C3F">
        <w:t>Сумма платежных поручений, которые отказаны на основании Уведомлений об обоснованности приостановления операции по лицевому счету, полученных от Государственного заказчика (заказчика);</w:t>
      </w:r>
    </w:p>
    <w:p w:rsidR="002E7433" w:rsidRPr="00F53C3F" w:rsidRDefault="002E7433" w:rsidP="00DE1661">
      <w:pPr>
        <w:pStyle w:val="13"/>
      </w:pPr>
      <w:r w:rsidRPr="00F53C3F">
        <w:t>Количество Уведомлений о проведении ранее приостановленной операции или отказе в проведении ранее приостановленной операции;</w:t>
      </w:r>
    </w:p>
    <w:p w:rsidR="002E7433" w:rsidRPr="00F53C3F" w:rsidRDefault="002E7433" w:rsidP="00DE1661">
      <w:pPr>
        <w:pStyle w:val="13"/>
      </w:pPr>
      <w:r w:rsidRPr="00F53C3F">
        <w:t>Количество Уведомлений об отказе в принятии к исполнению платежных документов;</w:t>
      </w:r>
    </w:p>
    <w:p w:rsidR="002E7433" w:rsidRPr="00F53C3F" w:rsidRDefault="002E7433" w:rsidP="00DE1661">
      <w:pPr>
        <w:pStyle w:val="13"/>
      </w:pPr>
      <w:r w:rsidRPr="00F53C3F">
        <w:t>Количество платежных документов, отказанных в связи с нарушением режима лицевого счета;</w:t>
      </w:r>
    </w:p>
    <w:p w:rsidR="002E7433" w:rsidRPr="00F53C3F" w:rsidRDefault="002E7433" w:rsidP="00DE1661">
      <w:pPr>
        <w:pStyle w:val="13"/>
      </w:pPr>
      <w:r w:rsidRPr="00F53C3F">
        <w:t>Сумма платежных документов, отказанных в связи с нарушением режима лицевого счета.</w:t>
      </w:r>
    </w:p>
    <w:p w:rsidR="002E7433" w:rsidRPr="00F53C3F" w:rsidRDefault="002E7433" w:rsidP="002E7433">
      <w:pPr>
        <w:pStyle w:val="af0"/>
        <w:spacing w:after="120"/>
      </w:pPr>
      <w:r>
        <w:t>Параметры отчета</w:t>
      </w:r>
      <w:r w:rsidRPr="00F53C3F">
        <w:t>:</w:t>
      </w:r>
    </w:p>
    <w:p w:rsidR="002E7433" w:rsidRPr="00F53C3F" w:rsidRDefault="002E7433" w:rsidP="00DE1661">
      <w:pPr>
        <w:pStyle w:val="13"/>
      </w:pPr>
      <w:r w:rsidRPr="00F53C3F">
        <w:t>по состоянию на (с 01.01 выбранного года);</w:t>
      </w:r>
    </w:p>
    <w:p w:rsidR="002E7433" w:rsidRPr="00F53C3F" w:rsidRDefault="002E7433" w:rsidP="00DE1661">
      <w:pPr>
        <w:pStyle w:val="13"/>
      </w:pPr>
      <w:r w:rsidRPr="00F53C3F">
        <w:t>ТОФК обслуживания (ЦС по КС) со множественным выбором;</w:t>
      </w:r>
    </w:p>
    <w:p w:rsidR="002E7433" w:rsidRPr="00F53C3F" w:rsidRDefault="002E7433" w:rsidP="00DE1661">
      <w:pPr>
        <w:pStyle w:val="13"/>
      </w:pPr>
      <w:r w:rsidRPr="00F53C3F">
        <w:t xml:space="preserve">Единицы измерения (содержит значения </w:t>
      </w:r>
      <w:r w:rsidRPr="00F53C3F">
        <w:rPr>
          <w:i/>
        </w:rPr>
        <w:t>руб, тыс руб, млн руб, млрд руб</w:t>
      </w:r>
      <w:r w:rsidRPr="00F53C3F">
        <w:t xml:space="preserve">). По умолчанию выбрано значение </w:t>
      </w:r>
      <w:r w:rsidRPr="00F53C3F">
        <w:rPr>
          <w:i/>
        </w:rPr>
        <w:t>млн руб.</w:t>
      </w:r>
    </w:p>
    <w:p w:rsidR="002E7433" w:rsidRPr="00206C4C" w:rsidRDefault="002E7433" w:rsidP="00862055">
      <w:pPr>
        <w:pStyle w:val="35"/>
        <w:numPr>
          <w:ilvl w:val="2"/>
          <w:numId w:val="135"/>
        </w:numPr>
      </w:pPr>
      <w:bookmarkStart w:id="1877" w:name="_Toc69290151"/>
      <w:bookmarkStart w:id="1878" w:name="_Toc119585117"/>
      <w:r w:rsidRPr="00206C4C">
        <w:t>Отчет «</w:t>
      </w:r>
      <w:r w:rsidR="00331436" w:rsidRPr="00331436">
        <w:t>Цепочка контрактов</w:t>
      </w:r>
      <w:r w:rsidRPr="00206C4C">
        <w:t>»</w:t>
      </w:r>
      <w:bookmarkEnd w:id="1849"/>
      <w:bookmarkEnd w:id="1877"/>
      <w:r w:rsidR="00331436">
        <w:t xml:space="preserve"> (</w:t>
      </w:r>
      <w:r w:rsidR="00331436" w:rsidRPr="00331436">
        <w:t>PIAO_100_002_report</w:t>
      </w:r>
      <w:r w:rsidR="00331436">
        <w:t>)</w:t>
      </w:r>
      <w:bookmarkEnd w:id="1878"/>
    </w:p>
    <w:p w:rsidR="002E7433" w:rsidRPr="00206C4C" w:rsidRDefault="002E7433" w:rsidP="002E7433">
      <w:pPr>
        <w:pStyle w:val="af0"/>
        <w:rPr>
          <w:rStyle w:val="af1"/>
        </w:rPr>
      </w:pPr>
      <w:r w:rsidRPr="00206C4C">
        <w:rPr>
          <w:rStyle w:val="af1"/>
        </w:rPr>
        <w:t>Для перехода к отчету «</w:t>
      </w:r>
      <w:r w:rsidR="00331436" w:rsidRPr="00331436">
        <w:rPr>
          <w:szCs w:val="28"/>
        </w:rPr>
        <w:t>Цепочка контрактов</w:t>
      </w:r>
      <w:r w:rsidRPr="00206C4C">
        <w:rPr>
          <w:rStyle w:val="af1"/>
        </w:rPr>
        <w:t>» необходимо перейти к витрине «Казначейское сопровождение» и кликнуть мышью по плашке с наименованием отчета «</w:t>
      </w:r>
      <w:r w:rsidR="00331436" w:rsidRPr="00331436">
        <w:rPr>
          <w:szCs w:val="28"/>
        </w:rPr>
        <w:t>Цепочка контрактов</w:t>
      </w:r>
      <w:r w:rsidRPr="00206C4C">
        <w:rPr>
          <w:rStyle w:val="af1"/>
        </w:rPr>
        <w:t xml:space="preserve">», как показано на рисунке </w:t>
      </w:r>
      <w:r w:rsidRPr="00206C4C">
        <w:rPr>
          <w:rStyle w:val="af1"/>
        </w:rPr>
        <w:fldChar w:fldCharType="begin"/>
      </w:r>
      <w:r w:rsidRPr="00206C4C">
        <w:rPr>
          <w:rStyle w:val="af1"/>
        </w:rPr>
        <w:instrText xml:space="preserve"> REF _Ref15922799 \h  \* MERGEFORMAT </w:instrText>
      </w:r>
      <w:r w:rsidRPr="00206C4C">
        <w:rPr>
          <w:rStyle w:val="af1"/>
        </w:rPr>
      </w:r>
      <w:r w:rsidRPr="00206C4C">
        <w:rPr>
          <w:rStyle w:val="af1"/>
        </w:rPr>
        <w:fldChar w:fldCharType="separate"/>
      </w:r>
      <w:r w:rsidR="00BF0BEE">
        <w:rPr>
          <w:noProof/>
        </w:rPr>
        <w:t>410</w:t>
      </w:r>
      <w:r w:rsidRPr="00206C4C">
        <w:rPr>
          <w:rStyle w:val="af1"/>
        </w:rPr>
        <w:fldChar w:fldCharType="end"/>
      </w:r>
      <w:r w:rsidRPr="00206C4C">
        <w:rPr>
          <w:rStyle w:val="af1"/>
        </w:rPr>
        <w:t>.</w:t>
      </w:r>
    </w:p>
    <w:p w:rsidR="002E7433" w:rsidRPr="00206C4C" w:rsidRDefault="002E7433" w:rsidP="002E7433">
      <w:pPr>
        <w:pStyle w:val="afffff7"/>
        <w:keepNext/>
      </w:pPr>
      <w:r>
        <w:rPr>
          <w:noProof/>
          <w:lang w:eastAsia="ru-RU"/>
        </w:rPr>
        <w:drawing>
          <wp:inline distT="0" distB="0" distL="0" distR="0" wp14:anchorId="0E739D4E" wp14:editId="046671D6">
            <wp:extent cx="5939790" cy="1886952"/>
            <wp:effectExtent l="0" t="0" r="381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8"/>
                    <a:stretch>
                      <a:fillRect/>
                    </a:stretch>
                  </pic:blipFill>
                  <pic:spPr>
                    <a:xfrm>
                      <a:off x="0" y="0"/>
                      <a:ext cx="5939790" cy="1886952"/>
                    </a:xfrm>
                    <a:prstGeom prst="rect">
                      <a:avLst/>
                    </a:prstGeom>
                  </pic:spPr>
                </pic:pic>
              </a:graphicData>
            </a:graphic>
          </wp:inline>
        </w:drawing>
      </w:r>
    </w:p>
    <w:p w:rsidR="002E7433" w:rsidRPr="00206C4C" w:rsidRDefault="002E7433" w:rsidP="002E7433">
      <w:pPr>
        <w:pStyle w:val="-0"/>
      </w:pPr>
      <w:bookmarkStart w:id="1879" w:name="_Toc37845595"/>
      <w:bookmarkStart w:id="1880" w:name="_Toc69290562"/>
      <w:bookmarkStart w:id="1881" w:name="_Toc119584672"/>
      <w:r w:rsidRPr="00206C4C">
        <w:t xml:space="preserve">Рисунок </w:t>
      </w:r>
      <w:fldSimple w:instr=" SEQ Рисунок \* ARABIC ">
        <w:bookmarkStart w:id="1882" w:name="_Ref15922799"/>
        <w:r w:rsidR="001860A9">
          <w:rPr>
            <w:noProof/>
          </w:rPr>
          <w:t>485</w:t>
        </w:r>
        <w:bookmarkEnd w:id="1882"/>
      </w:fldSimple>
      <w:r w:rsidRPr="00206C4C">
        <w:t xml:space="preserve"> – Плашка для перехода к отчету «</w:t>
      </w:r>
      <w:r w:rsidR="00331436" w:rsidRPr="00331436">
        <w:t>Цепочка контрактов</w:t>
      </w:r>
      <w:r w:rsidRPr="00206C4C">
        <w:t>»</w:t>
      </w:r>
      <w:bookmarkEnd w:id="1879"/>
      <w:bookmarkEnd w:id="1880"/>
      <w:bookmarkEnd w:id="1881"/>
    </w:p>
    <w:p w:rsidR="00F05829" w:rsidRDefault="00F05829" w:rsidP="00862055">
      <w:pPr>
        <w:pStyle w:val="42"/>
        <w:numPr>
          <w:ilvl w:val="3"/>
          <w:numId w:val="135"/>
        </w:numPr>
      </w:pPr>
      <w:r>
        <w:t>Представление «2</w:t>
      </w:r>
      <w:r>
        <w:rPr>
          <w:lang w:val="en-US"/>
        </w:rPr>
        <w:t>D</w:t>
      </w:r>
      <w:r>
        <w:t xml:space="preserve"> граф»</w:t>
      </w:r>
    </w:p>
    <w:p w:rsidR="00F05829" w:rsidRDefault="00F05829" w:rsidP="00F05829">
      <w:pPr>
        <w:pStyle w:val="af0"/>
      </w:pPr>
      <w:r w:rsidRPr="00136E1E">
        <w:t>Представление «2D граф» реализова</w:t>
      </w:r>
      <w:r>
        <w:t>н</w:t>
      </w:r>
      <w:r w:rsidRPr="00136E1E">
        <w:t xml:space="preserve">о в виде древовидной схемы, на которой изображены узлы, связанные ветвями, отходящими от родительского узла к дочернему узлу. </w:t>
      </w:r>
    </w:p>
    <w:p w:rsidR="00F05829" w:rsidRDefault="00F05829" w:rsidP="00F05829">
      <w:pPr>
        <w:pStyle w:val="af0"/>
      </w:pPr>
      <w:r w:rsidRPr="00136E1E">
        <w:t>Каждым элементом графа явля</w:t>
      </w:r>
      <w:r w:rsidR="00D10779">
        <w:t>е</w:t>
      </w:r>
      <w:r w:rsidRPr="00136E1E">
        <w:t>тся контракт/соглашение. По умолчанию всегда отобража</w:t>
      </w:r>
      <w:r w:rsidR="00D10779">
        <w:t>е</w:t>
      </w:r>
      <w:r w:rsidRPr="00136E1E">
        <w:t xml:space="preserve">тся 0 и 1 уровни кооперации. </w:t>
      </w:r>
    </w:p>
    <w:p w:rsidR="00F05829" w:rsidRDefault="00F05829" w:rsidP="00F05829">
      <w:pPr>
        <w:pStyle w:val="af0"/>
      </w:pPr>
      <w:r>
        <w:t>В представлении реализована возможность раскрытия/скрытия всех элементов цепочки от нулевого до выбранного уровня кооперации. Для этого реализова</w:t>
      </w:r>
      <w:r w:rsidR="00D10779">
        <w:t>на</w:t>
      </w:r>
      <w:r>
        <w:t xml:space="preserve"> шкал</w:t>
      </w:r>
      <w:r w:rsidR="00D10779">
        <w:t>а</w:t>
      </w:r>
      <w:r>
        <w:t>, на которой отражены все уровни кооперации рассматриваемой цепочки и количество контрактов для соответствующего уровня.</w:t>
      </w:r>
    </w:p>
    <w:p w:rsidR="00F05829" w:rsidRDefault="00F05829" w:rsidP="00D10779">
      <w:pPr>
        <w:pStyle w:val="af0"/>
      </w:pPr>
      <w:r>
        <w:t>Пример шкалы уровней кооперации представлен на рисунке</w:t>
      </w:r>
      <w:r w:rsidR="00D10779">
        <w:t xml:space="preserve"> </w:t>
      </w:r>
      <w:r w:rsidR="00D10779">
        <w:fldChar w:fldCharType="begin"/>
      </w:r>
      <w:r w:rsidR="00D10779">
        <w:instrText xml:space="preserve"> REF _Ref82433058 \h  \* MERGEFORMAT </w:instrText>
      </w:r>
      <w:r w:rsidR="00D10779">
        <w:fldChar w:fldCharType="separate"/>
      </w:r>
      <w:r w:rsidR="00BF0BEE" w:rsidRPr="00BF0BEE">
        <w:rPr>
          <w:noProof/>
          <w:color w:val="auto"/>
          <w:szCs w:val="28"/>
        </w:rPr>
        <w:t>411</w:t>
      </w:r>
      <w:r w:rsidR="00D10779">
        <w:fldChar w:fldCharType="end"/>
      </w:r>
      <w:r>
        <w:t>.</w:t>
      </w:r>
    </w:p>
    <w:p w:rsidR="00F05829" w:rsidRDefault="00F05829" w:rsidP="00F05829">
      <w:pPr>
        <w:ind w:firstLine="567"/>
        <w:rPr>
          <w:sz w:val="28"/>
        </w:rPr>
      </w:pPr>
    </w:p>
    <w:p w:rsidR="00F05829" w:rsidRDefault="00F05829" w:rsidP="00D10779">
      <w:pPr>
        <w:pStyle w:val="-0"/>
        <w:rPr>
          <w:szCs w:val="24"/>
        </w:rPr>
      </w:pPr>
      <w:r w:rsidRPr="00564D23">
        <w:rPr>
          <w:noProof/>
        </w:rPr>
        <w:drawing>
          <wp:inline distT="0" distB="0" distL="0" distR="0" wp14:anchorId="6929D091" wp14:editId="043342DD">
            <wp:extent cx="4607560" cy="795655"/>
            <wp:effectExtent l="0" t="0" r="254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4607560" cy="795655"/>
                    </a:xfrm>
                    <a:prstGeom prst="rect">
                      <a:avLst/>
                    </a:prstGeom>
                    <a:noFill/>
                    <a:ln>
                      <a:noFill/>
                    </a:ln>
                  </pic:spPr>
                </pic:pic>
              </a:graphicData>
            </a:graphic>
          </wp:inline>
        </w:drawing>
      </w:r>
    </w:p>
    <w:p w:rsidR="00F05829" w:rsidRPr="00290545" w:rsidRDefault="00F05829" w:rsidP="00D10779">
      <w:pPr>
        <w:pStyle w:val="-0"/>
      </w:pPr>
      <w:bookmarkStart w:id="1883" w:name="_Toc81300107"/>
      <w:bookmarkStart w:id="1884" w:name="_Toc119584673"/>
      <w:r w:rsidRPr="00290545">
        <w:t xml:space="preserve">Рисунок </w:t>
      </w:r>
      <w:fldSimple w:instr=" SEQ Рисунок \* ARABIC ">
        <w:bookmarkStart w:id="1885" w:name="_Ref82433058"/>
        <w:r w:rsidR="001860A9">
          <w:rPr>
            <w:noProof/>
          </w:rPr>
          <w:t>486</w:t>
        </w:r>
        <w:bookmarkEnd w:id="1885"/>
      </w:fldSimple>
      <w:r>
        <w:t xml:space="preserve"> – </w:t>
      </w:r>
      <w:r w:rsidRPr="00290545">
        <w:t>Пример шкалы уровней кооперации</w:t>
      </w:r>
      <w:bookmarkEnd w:id="1883"/>
      <w:bookmarkEnd w:id="1884"/>
    </w:p>
    <w:p w:rsidR="00F05829" w:rsidRDefault="00F05829" w:rsidP="00F05829">
      <w:pPr>
        <w:pStyle w:val="af0"/>
      </w:pPr>
    </w:p>
    <w:p w:rsidR="00F05829" w:rsidRDefault="00F05829" w:rsidP="00F05829">
      <w:pPr>
        <w:pStyle w:val="af0"/>
      </w:pPr>
      <w:r w:rsidRPr="00136E1E">
        <w:t xml:space="preserve">Максимальное количество </w:t>
      </w:r>
      <w:r>
        <w:t xml:space="preserve">отображаемых </w:t>
      </w:r>
      <w:r w:rsidRPr="00136E1E">
        <w:t>элементов на уровне - 5. Если на одном уровне больше пяти элементов, то в этом случае отобража</w:t>
      </w:r>
      <w:r w:rsidR="00D10779">
        <w:t>е</w:t>
      </w:r>
      <w:r w:rsidRPr="00136E1E">
        <w:t>т</w:t>
      </w:r>
      <w:r w:rsidR="00D10779">
        <w:t>ся</w:t>
      </w:r>
      <w:r w:rsidRPr="00136E1E">
        <w:t xml:space="preserve"> 4 контракта (соглашения) и один элемент, в котором отображается оставшееся количество контрактов (соглашений) на данном уровне. Двойным щелчком по такому элементу реализована возможность раскрытия не отображенных контрактов, шаг раскрытия - 5 контрактов.</w:t>
      </w:r>
    </w:p>
    <w:p w:rsidR="00F05829" w:rsidRDefault="00F05829" w:rsidP="00F05829">
      <w:pPr>
        <w:pStyle w:val="af0"/>
      </w:pPr>
      <w:r>
        <w:t>В случае если у элемента есть подчиненные элементы на следующем нижнем уровне кооперации, отобража</w:t>
      </w:r>
      <w:r w:rsidR="00D10779">
        <w:t>е</w:t>
      </w:r>
      <w:r>
        <w:t>т</w:t>
      </w:r>
      <w:r w:rsidR="00D10779">
        <w:t>ся</w:t>
      </w:r>
      <w:r>
        <w:t xml:space="preserve"> количество подчиненных элементов.</w:t>
      </w:r>
    </w:p>
    <w:p w:rsidR="00F05829" w:rsidRDefault="00F05829" w:rsidP="00F05829">
      <w:pPr>
        <w:pStyle w:val="af0"/>
      </w:pPr>
      <w:r>
        <w:t>Пример отображения количества</w:t>
      </w:r>
      <w:r w:rsidR="00974816">
        <w:t xml:space="preserve"> подчиненных элементов на Р</w:t>
      </w:r>
      <w:r>
        <w:t xml:space="preserve">исунке </w:t>
      </w:r>
      <w:r w:rsidR="00974816">
        <w:fldChar w:fldCharType="begin"/>
      </w:r>
      <w:r w:rsidR="00974816">
        <w:instrText xml:space="preserve"> REF _Ref82432951 \h </w:instrText>
      </w:r>
      <w:r w:rsidR="00974816">
        <w:fldChar w:fldCharType="separate"/>
      </w:r>
      <w:r w:rsidR="00BF0BEE">
        <w:rPr>
          <w:noProof/>
        </w:rPr>
        <w:t>412</w:t>
      </w:r>
      <w:r w:rsidR="00974816">
        <w:fldChar w:fldCharType="end"/>
      </w:r>
      <w:r>
        <w:t>.</w:t>
      </w:r>
    </w:p>
    <w:p w:rsidR="00F05829" w:rsidRDefault="00F05829" w:rsidP="00974816">
      <w:pPr>
        <w:pStyle w:val="-0"/>
      </w:pPr>
      <w:r w:rsidRPr="00564D23">
        <w:rPr>
          <w:noProof/>
          <w:snapToGrid/>
        </w:rPr>
        <w:drawing>
          <wp:inline distT="0" distB="0" distL="0" distR="0" wp14:anchorId="3D98D940" wp14:editId="2BD3323C">
            <wp:extent cx="2055572" cy="1657719"/>
            <wp:effectExtent l="0" t="0" r="190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0"/>
                    <a:stretch>
                      <a:fillRect/>
                    </a:stretch>
                  </pic:blipFill>
                  <pic:spPr>
                    <a:xfrm>
                      <a:off x="0" y="0"/>
                      <a:ext cx="2056907" cy="1658796"/>
                    </a:xfrm>
                    <a:prstGeom prst="rect">
                      <a:avLst/>
                    </a:prstGeom>
                  </pic:spPr>
                </pic:pic>
              </a:graphicData>
            </a:graphic>
          </wp:inline>
        </w:drawing>
      </w:r>
    </w:p>
    <w:p w:rsidR="00F05829" w:rsidRDefault="00F05829" w:rsidP="00974816">
      <w:pPr>
        <w:pStyle w:val="-0"/>
      </w:pPr>
      <w:bookmarkStart w:id="1886" w:name="_Toc81300108"/>
      <w:bookmarkStart w:id="1887" w:name="_Toc119584674"/>
      <w:r>
        <w:t xml:space="preserve">Рисунок </w:t>
      </w:r>
      <w:fldSimple w:instr=" SEQ Рисунок \* ARABIC ">
        <w:bookmarkStart w:id="1888" w:name="_Ref82432951"/>
        <w:r w:rsidR="001860A9">
          <w:rPr>
            <w:noProof/>
          </w:rPr>
          <w:t>487</w:t>
        </w:r>
        <w:bookmarkEnd w:id="1888"/>
      </w:fldSimple>
      <w:r>
        <w:t xml:space="preserve"> – Пример отображения количества подчиненных элементов</w:t>
      </w:r>
      <w:bookmarkEnd w:id="1886"/>
      <w:bookmarkEnd w:id="1887"/>
    </w:p>
    <w:p w:rsidR="00F05829" w:rsidRDefault="00974816" w:rsidP="00F05829">
      <w:pPr>
        <w:pStyle w:val="af0"/>
      </w:pPr>
      <w:r>
        <w:t>Р</w:t>
      </w:r>
      <w:r w:rsidR="00F05829">
        <w:t xml:space="preserve">еализована возможность последовательного раскрытия цепочки от элемента верхнего уровня к подчиненным </w:t>
      </w:r>
      <w:r>
        <w:t>элементам,</w:t>
      </w:r>
      <w:r w:rsidR="00F05829">
        <w:t xml:space="preserve"> расположенным на следующем нижнем уровне. Раскрытие/скрытие элементов нижнего уровня должно быть реализовано с помощью двойного нажатия на элемент верхнего уровня. </w:t>
      </w:r>
    </w:p>
    <w:p w:rsidR="00F05829" w:rsidRDefault="00F05829" w:rsidP="00F05829">
      <w:pPr>
        <w:pStyle w:val="af0"/>
      </w:pPr>
    </w:p>
    <w:p w:rsidR="00F05829" w:rsidRDefault="00F05829" w:rsidP="00F05829">
      <w:pPr>
        <w:pStyle w:val="af0"/>
        <w:rPr>
          <w:szCs w:val="22"/>
        </w:rPr>
      </w:pPr>
      <w:r w:rsidRPr="00BA2073">
        <w:rPr>
          <w:szCs w:val="22"/>
        </w:rPr>
        <w:t>Пример новой визуали</w:t>
      </w:r>
      <w:r>
        <w:rPr>
          <w:szCs w:val="22"/>
        </w:rPr>
        <w:t xml:space="preserve">зации представлен на рисунке </w:t>
      </w:r>
      <w:r>
        <w:rPr>
          <w:szCs w:val="22"/>
        </w:rPr>
        <w:fldChar w:fldCharType="begin"/>
      </w:r>
      <w:r>
        <w:rPr>
          <w:szCs w:val="22"/>
        </w:rPr>
        <w:instrText xml:space="preserve"> REF рис2 \h </w:instrText>
      </w:r>
      <w:r>
        <w:rPr>
          <w:szCs w:val="22"/>
        </w:rPr>
      </w:r>
      <w:r>
        <w:rPr>
          <w:szCs w:val="22"/>
        </w:rPr>
        <w:fldChar w:fldCharType="separate"/>
      </w:r>
      <w:r w:rsidR="00BF0BEE">
        <w:rPr>
          <w:noProof/>
        </w:rPr>
        <w:t>488</w:t>
      </w:r>
      <w:r>
        <w:rPr>
          <w:szCs w:val="22"/>
        </w:rPr>
        <w:fldChar w:fldCharType="end"/>
      </w:r>
      <w:r>
        <w:rPr>
          <w:szCs w:val="22"/>
        </w:rPr>
        <w:t>.</w:t>
      </w:r>
    </w:p>
    <w:p w:rsidR="00F05829" w:rsidRDefault="00F05829" w:rsidP="00F05829">
      <w:pPr>
        <w:pStyle w:val="-0"/>
      </w:pPr>
      <w:r>
        <w:rPr>
          <w:noProof/>
        </w:rPr>
        <w:drawing>
          <wp:inline distT="0" distB="0" distL="0" distR="0" wp14:anchorId="603AF44C" wp14:editId="50BAF2E8">
            <wp:extent cx="6291818" cy="2912628"/>
            <wp:effectExtent l="0" t="0" r="0" b="254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6297869" cy="2915429"/>
                    </a:xfrm>
                    <a:prstGeom prst="rect">
                      <a:avLst/>
                    </a:prstGeom>
                    <a:noFill/>
                    <a:ln>
                      <a:noFill/>
                    </a:ln>
                  </pic:spPr>
                </pic:pic>
              </a:graphicData>
            </a:graphic>
          </wp:inline>
        </w:drawing>
      </w:r>
    </w:p>
    <w:p w:rsidR="00F05829" w:rsidRPr="00BA2073" w:rsidRDefault="00F05829" w:rsidP="00F05829">
      <w:pPr>
        <w:pStyle w:val="-0"/>
      </w:pPr>
      <w:bookmarkStart w:id="1889" w:name="_Toc81300109"/>
      <w:bookmarkStart w:id="1890" w:name="_Toc119584675"/>
      <w:r w:rsidRPr="00BA2073">
        <w:t xml:space="preserve">Рисунок </w:t>
      </w:r>
      <w:bookmarkStart w:id="1891" w:name="рис2"/>
      <w:r w:rsidRPr="00BA2073">
        <w:fldChar w:fldCharType="begin"/>
      </w:r>
      <w:r w:rsidRPr="00BA2073">
        <w:instrText xml:space="preserve"> SEQ Рисунок \* ARABIC </w:instrText>
      </w:r>
      <w:r w:rsidRPr="00BA2073">
        <w:fldChar w:fldCharType="separate"/>
      </w:r>
      <w:r w:rsidR="001860A9">
        <w:rPr>
          <w:noProof/>
        </w:rPr>
        <w:t>488</w:t>
      </w:r>
      <w:r w:rsidRPr="00BA2073">
        <w:fldChar w:fldCharType="end"/>
      </w:r>
      <w:bookmarkEnd w:id="1891"/>
      <w:r>
        <w:t xml:space="preserve"> – </w:t>
      </w:r>
      <w:r w:rsidRPr="00BA2073">
        <w:t>Пример новой визуализации «2</w:t>
      </w:r>
      <w:r w:rsidRPr="00BA2073">
        <w:rPr>
          <w:lang w:val="en-US"/>
        </w:rPr>
        <w:t>D</w:t>
      </w:r>
      <w:r w:rsidRPr="00BA2073">
        <w:t xml:space="preserve"> граф»</w:t>
      </w:r>
      <w:bookmarkEnd w:id="1889"/>
      <w:bookmarkEnd w:id="1890"/>
    </w:p>
    <w:p w:rsidR="00F05829" w:rsidRDefault="00F05829" w:rsidP="00F05829">
      <w:pPr>
        <w:ind w:firstLine="567"/>
        <w:rPr>
          <w:sz w:val="28"/>
        </w:rPr>
      </w:pPr>
      <w:r w:rsidRPr="00136E1E">
        <w:rPr>
          <w:sz w:val="28"/>
        </w:rPr>
        <w:t>У каждого элемента подписа</w:t>
      </w:r>
      <w:r w:rsidR="00974816">
        <w:rPr>
          <w:sz w:val="28"/>
        </w:rPr>
        <w:t>н</w:t>
      </w:r>
      <w:r w:rsidRPr="00136E1E">
        <w:rPr>
          <w:sz w:val="28"/>
        </w:rPr>
        <w:t xml:space="preserve"> номер контракта</w:t>
      </w:r>
      <w:r>
        <w:rPr>
          <w:sz w:val="28"/>
        </w:rPr>
        <w:t>/соглашения</w:t>
      </w:r>
      <w:r w:rsidRPr="00136E1E">
        <w:rPr>
          <w:sz w:val="28"/>
        </w:rPr>
        <w:t xml:space="preserve"> и </w:t>
      </w:r>
      <w:r>
        <w:rPr>
          <w:sz w:val="28"/>
        </w:rPr>
        <w:t xml:space="preserve">его </w:t>
      </w:r>
      <w:r w:rsidRPr="00136E1E">
        <w:rPr>
          <w:sz w:val="28"/>
        </w:rPr>
        <w:t>сумм</w:t>
      </w:r>
      <w:r w:rsidR="00974816">
        <w:rPr>
          <w:sz w:val="28"/>
        </w:rPr>
        <w:t>а</w:t>
      </w:r>
      <w:r w:rsidRPr="00136E1E">
        <w:rPr>
          <w:sz w:val="28"/>
        </w:rPr>
        <w:t xml:space="preserve">. Для обобщенного элемента </w:t>
      </w:r>
      <w:r>
        <w:rPr>
          <w:sz w:val="28"/>
        </w:rPr>
        <w:t>отража</w:t>
      </w:r>
      <w:r w:rsidR="00974816">
        <w:rPr>
          <w:sz w:val="28"/>
        </w:rPr>
        <w:t>е</w:t>
      </w:r>
      <w:r>
        <w:rPr>
          <w:sz w:val="28"/>
        </w:rPr>
        <w:t>т</w:t>
      </w:r>
      <w:r w:rsidR="00974816">
        <w:rPr>
          <w:sz w:val="28"/>
        </w:rPr>
        <w:t>ся</w:t>
      </w:r>
      <w:r w:rsidRPr="00136E1E">
        <w:rPr>
          <w:sz w:val="28"/>
        </w:rPr>
        <w:t xml:space="preserve"> сумм</w:t>
      </w:r>
      <w:r w:rsidR="00974816">
        <w:rPr>
          <w:sz w:val="28"/>
        </w:rPr>
        <w:t>а</w:t>
      </w:r>
      <w:r w:rsidRPr="00136E1E">
        <w:rPr>
          <w:sz w:val="28"/>
        </w:rPr>
        <w:t xml:space="preserve"> по всем не отображенным элементам</w:t>
      </w:r>
      <w:r>
        <w:rPr>
          <w:sz w:val="28"/>
        </w:rPr>
        <w:t xml:space="preserve"> и их количество.</w:t>
      </w:r>
    </w:p>
    <w:p w:rsidR="00F05829" w:rsidRDefault="00F05829" w:rsidP="00F05829">
      <w:pPr>
        <w:ind w:firstLine="567"/>
        <w:rPr>
          <w:sz w:val="28"/>
        </w:rPr>
      </w:pPr>
      <w:r>
        <w:rPr>
          <w:sz w:val="28"/>
        </w:rPr>
        <w:t>Цветовое обозначение элементов:</w:t>
      </w:r>
    </w:p>
    <w:p w:rsidR="00F05829" w:rsidRDefault="00F05829" w:rsidP="00F05829">
      <w:pPr>
        <w:ind w:firstLine="567"/>
        <w:rPr>
          <w:sz w:val="28"/>
        </w:rPr>
      </w:pPr>
      <w:r w:rsidRPr="00564D23">
        <w:rPr>
          <w:noProof/>
          <w:snapToGrid/>
        </w:rPr>
        <w:drawing>
          <wp:inline distT="0" distB="0" distL="0" distR="0" wp14:anchorId="2F058C51" wp14:editId="02E4D7B2">
            <wp:extent cx="180952" cy="295238"/>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2"/>
                    <a:stretch>
                      <a:fillRect/>
                    </a:stretch>
                  </pic:blipFill>
                  <pic:spPr>
                    <a:xfrm>
                      <a:off x="0" y="0"/>
                      <a:ext cx="180952" cy="295238"/>
                    </a:xfrm>
                    <a:prstGeom prst="rect">
                      <a:avLst/>
                    </a:prstGeom>
                  </pic:spPr>
                </pic:pic>
              </a:graphicData>
            </a:graphic>
          </wp:inline>
        </w:drawing>
      </w:r>
      <w:r>
        <w:rPr>
          <w:sz w:val="28"/>
        </w:rPr>
        <w:t xml:space="preserve"> - государственный контракт/соглашение</w:t>
      </w:r>
    </w:p>
    <w:p w:rsidR="00F05829" w:rsidRDefault="00F05829" w:rsidP="00F05829">
      <w:pPr>
        <w:ind w:firstLine="567"/>
        <w:rPr>
          <w:sz w:val="28"/>
        </w:rPr>
      </w:pPr>
      <w:r w:rsidRPr="00564D23">
        <w:rPr>
          <w:noProof/>
          <w:snapToGrid/>
        </w:rPr>
        <w:drawing>
          <wp:inline distT="0" distB="0" distL="0" distR="0" wp14:anchorId="20337A18" wp14:editId="71DFA78F">
            <wp:extent cx="180952" cy="295238"/>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3"/>
                    <a:stretch>
                      <a:fillRect/>
                    </a:stretch>
                  </pic:blipFill>
                  <pic:spPr>
                    <a:xfrm>
                      <a:off x="0" y="0"/>
                      <a:ext cx="180952" cy="295238"/>
                    </a:xfrm>
                    <a:prstGeom prst="rect">
                      <a:avLst/>
                    </a:prstGeom>
                  </pic:spPr>
                </pic:pic>
              </a:graphicData>
            </a:graphic>
          </wp:inline>
        </w:drawing>
      </w:r>
      <w:r>
        <w:rPr>
          <w:sz w:val="28"/>
        </w:rPr>
        <w:t xml:space="preserve"> - контракт/соглашение</w:t>
      </w:r>
    </w:p>
    <w:p w:rsidR="00F05829" w:rsidRDefault="00F05829" w:rsidP="00F05829">
      <w:pPr>
        <w:ind w:firstLine="567"/>
        <w:rPr>
          <w:sz w:val="28"/>
        </w:rPr>
      </w:pPr>
      <w:r w:rsidRPr="00564D23">
        <w:rPr>
          <w:noProof/>
          <w:snapToGrid/>
        </w:rPr>
        <w:drawing>
          <wp:inline distT="0" distB="0" distL="0" distR="0" wp14:anchorId="2C2C1CAD" wp14:editId="3354D8EA">
            <wp:extent cx="180952" cy="295238"/>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4"/>
                    <a:stretch>
                      <a:fillRect/>
                    </a:stretch>
                  </pic:blipFill>
                  <pic:spPr>
                    <a:xfrm>
                      <a:off x="0" y="0"/>
                      <a:ext cx="180952" cy="295238"/>
                    </a:xfrm>
                    <a:prstGeom prst="rect">
                      <a:avLst/>
                    </a:prstGeom>
                  </pic:spPr>
                </pic:pic>
              </a:graphicData>
            </a:graphic>
          </wp:inline>
        </w:drawing>
      </w:r>
      <w:r>
        <w:rPr>
          <w:sz w:val="28"/>
        </w:rPr>
        <w:t xml:space="preserve"> - наличие риска у исполнителя по контракту/соглашению </w:t>
      </w:r>
    </w:p>
    <w:p w:rsidR="00F05829" w:rsidRDefault="00F05829" w:rsidP="00F05829">
      <w:pPr>
        <w:ind w:firstLine="567"/>
        <w:rPr>
          <w:sz w:val="28"/>
        </w:rPr>
      </w:pPr>
      <w:r w:rsidRPr="00564D23">
        <w:rPr>
          <w:noProof/>
          <w:snapToGrid/>
        </w:rPr>
        <w:drawing>
          <wp:inline distT="0" distB="0" distL="0" distR="0" wp14:anchorId="59124819" wp14:editId="2D64BEAD">
            <wp:extent cx="190476" cy="285714"/>
            <wp:effectExtent l="0" t="0" r="635" b="63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5"/>
                    <a:stretch>
                      <a:fillRect/>
                    </a:stretch>
                  </pic:blipFill>
                  <pic:spPr>
                    <a:xfrm>
                      <a:off x="0" y="0"/>
                      <a:ext cx="190476" cy="285714"/>
                    </a:xfrm>
                    <a:prstGeom prst="rect">
                      <a:avLst/>
                    </a:prstGeom>
                  </pic:spPr>
                </pic:pic>
              </a:graphicData>
            </a:graphic>
          </wp:inline>
        </w:drawing>
      </w:r>
      <w:r>
        <w:rPr>
          <w:sz w:val="28"/>
        </w:rPr>
        <w:t xml:space="preserve"> - цвет для отображения общей информации</w:t>
      </w:r>
    </w:p>
    <w:p w:rsidR="00F05829" w:rsidRDefault="00F05829" w:rsidP="00F05829">
      <w:pPr>
        <w:ind w:firstLine="567"/>
        <w:rPr>
          <w:sz w:val="28"/>
        </w:rPr>
      </w:pPr>
      <w:r>
        <w:rPr>
          <w:sz w:val="28"/>
        </w:rPr>
        <w:t xml:space="preserve"> </w:t>
      </w:r>
    </w:p>
    <w:p w:rsidR="00F05829" w:rsidRPr="006417E3" w:rsidRDefault="00F05829" w:rsidP="00F05829">
      <w:pPr>
        <w:ind w:firstLine="567"/>
        <w:rPr>
          <w:sz w:val="28"/>
        </w:rPr>
      </w:pPr>
      <w:r w:rsidRPr="006417E3">
        <w:rPr>
          <w:sz w:val="28"/>
          <w:szCs w:val="22"/>
        </w:rPr>
        <w:t xml:space="preserve">Пример </w:t>
      </w:r>
      <w:r w:rsidRPr="006417E3">
        <w:rPr>
          <w:sz w:val="28"/>
        </w:rPr>
        <w:t>отображения элементов на графе</w:t>
      </w:r>
      <w:r w:rsidRPr="006417E3">
        <w:rPr>
          <w:sz w:val="28"/>
          <w:szCs w:val="22"/>
        </w:rPr>
        <w:t xml:space="preserve"> представлен на </w:t>
      </w:r>
      <w:r w:rsidRPr="002C3C0A">
        <w:rPr>
          <w:sz w:val="28"/>
          <w:szCs w:val="28"/>
        </w:rPr>
        <w:t xml:space="preserve">рисунке </w:t>
      </w:r>
      <w:r w:rsidRPr="002C3C0A">
        <w:rPr>
          <w:sz w:val="28"/>
          <w:szCs w:val="28"/>
        </w:rPr>
        <w:fldChar w:fldCharType="begin"/>
      </w:r>
      <w:r w:rsidRPr="002C3C0A">
        <w:rPr>
          <w:sz w:val="28"/>
          <w:szCs w:val="28"/>
        </w:rPr>
        <w:instrText xml:space="preserve"> REF рис3 \h </w:instrText>
      </w:r>
      <w:r>
        <w:rPr>
          <w:sz w:val="28"/>
          <w:szCs w:val="28"/>
        </w:rPr>
        <w:instrText xml:space="preserve"> \* MERGEFORMAT </w:instrText>
      </w:r>
      <w:r w:rsidRPr="002C3C0A">
        <w:rPr>
          <w:sz w:val="28"/>
          <w:szCs w:val="28"/>
        </w:rPr>
      </w:r>
      <w:r w:rsidRPr="002C3C0A">
        <w:rPr>
          <w:sz w:val="28"/>
          <w:szCs w:val="28"/>
        </w:rPr>
        <w:fldChar w:fldCharType="separate"/>
      </w:r>
      <w:r w:rsidR="00BF0BEE" w:rsidRPr="00BF0BEE">
        <w:rPr>
          <w:noProof/>
          <w:sz w:val="28"/>
          <w:szCs w:val="28"/>
        </w:rPr>
        <w:t>489</w:t>
      </w:r>
      <w:r w:rsidRPr="002C3C0A">
        <w:rPr>
          <w:sz w:val="28"/>
          <w:szCs w:val="28"/>
        </w:rPr>
        <w:fldChar w:fldCharType="end"/>
      </w:r>
      <w:r w:rsidRPr="006417E3">
        <w:rPr>
          <w:sz w:val="28"/>
          <w:szCs w:val="22"/>
        </w:rPr>
        <w:t>.</w:t>
      </w:r>
    </w:p>
    <w:p w:rsidR="00F05829" w:rsidRDefault="00F05829" w:rsidP="00F05829">
      <w:pPr>
        <w:pStyle w:val="-0"/>
        <w:rPr>
          <w:szCs w:val="24"/>
        </w:rPr>
      </w:pPr>
      <w:r>
        <w:rPr>
          <w:noProof/>
        </w:rPr>
        <w:drawing>
          <wp:inline distT="0" distB="0" distL="0" distR="0" wp14:anchorId="0CF3B34A" wp14:editId="7C31D973">
            <wp:extent cx="3990975" cy="5238750"/>
            <wp:effectExtent l="0" t="0" r="952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0" y="0"/>
                      <a:ext cx="3990975" cy="5238750"/>
                    </a:xfrm>
                    <a:prstGeom prst="rect">
                      <a:avLst/>
                    </a:prstGeom>
                    <a:noFill/>
                    <a:ln>
                      <a:noFill/>
                    </a:ln>
                  </pic:spPr>
                </pic:pic>
              </a:graphicData>
            </a:graphic>
          </wp:inline>
        </w:drawing>
      </w:r>
    </w:p>
    <w:p w:rsidR="00F05829" w:rsidRPr="006417E3" w:rsidRDefault="00F05829" w:rsidP="00F05829">
      <w:pPr>
        <w:pStyle w:val="-0"/>
      </w:pPr>
      <w:bookmarkStart w:id="1892" w:name="_Toc81300110"/>
      <w:bookmarkStart w:id="1893" w:name="_Toc119584676"/>
      <w:r w:rsidRPr="006417E3">
        <w:t xml:space="preserve">Рисунок </w:t>
      </w:r>
      <w:bookmarkStart w:id="1894" w:name="рис3"/>
      <w:r w:rsidRPr="006417E3">
        <w:fldChar w:fldCharType="begin"/>
      </w:r>
      <w:r w:rsidRPr="006417E3">
        <w:instrText xml:space="preserve"> SEQ Рисунок \* ARABIC </w:instrText>
      </w:r>
      <w:r w:rsidRPr="006417E3">
        <w:fldChar w:fldCharType="separate"/>
      </w:r>
      <w:r w:rsidR="001860A9">
        <w:rPr>
          <w:noProof/>
        </w:rPr>
        <w:t>489</w:t>
      </w:r>
      <w:r w:rsidRPr="006417E3">
        <w:fldChar w:fldCharType="end"/>
      </w:r>
      <w:bookmarkEnd w:id="1894"/>
      <w:r w:rsidRPr="006417E3">
        <w:t xml:space="preserve"> </w:t>
      </w:r>
      <w:r>
        <w:t xml:space="preserve">– </w:t>
      </w:r>
      <w:r w:rsidRPr="006417E3">
        <w:t xml:space="preserve">Пример элемента на </w:t>
      </w:r>
      <w:r>
        <w:t>«</w:t>
      </w:r>
      <w:r w:rsidRPr="006417E3">
        <w:t>2</w:t>
      </w:r>
      <w:r w:rsidRPr="006417E3">
        <w:rPr>
          <w:lang w:val="en-US"/>
        </w:rPr>
        <w:t>D</w:t>
      </w:r>
      <w:r w:rsidRPr="006417E3">
        <w:t xml:space="preserve"> графе»</w:t>
      </w:r>
      <w:bookmarkEnd w:id="1892"/>
      <w:bookmarkEnd w:id="1893"/>
    </w:p>
    <w:p w:rsidR="00F05829" w:rsidRPr="00136E1E" w:rsidRDefault="00F05829" w:rsidP="00F05829">
      <w:pPr>
        <w:ind w:firstLine="567"/>
        <w:rPr>
          <w:sz w:val="28"/>
        </w:rPr>
      </w:pPr>
      <w:r w:rsidRPr="00136E1E">
        <w:rPr>
          <w:sz w:val="28"/>
        </w:rPr>
        <w:t>При выборе элемента в правой части экрана должно отображаться основная информация о контракте (соглашении) в виде карточки ГК/соглашения/контракта.</w:t>
      </w:r>
    </w:p>
    <w:p w:rsidR="00F05829" w:rsidRPr="00136E1E" w:rsidRDefault="00F05829" w:rsidP="00F05829">
      <w:pPr>
        <w:ind w:firstLine="567"/>
        <w:rPr>
          <w:sz w:val="28"/>
        </w:rPr>
      </w:pPr>
      <w:r w:rsidRPr="00136E1E">
        <w:rPr>
          <w:sz w:val="28"/>
        </w:rPr>
        <w:t>Карточка должна содержать следующие показатели:</w:t>
      </w:r>
    </w:p>
    <w:p w:rsidR="00F05829" w:rsidRPr="001E507B" w:rsidRDefault="00F05829" w:rsidP="00DE1661">
      <w:pPr>
        <w:pStyle w:val="13"/>
      </w:pPr>
      <w:r>
        <w:t>«</w:t>
      </w:r>
      <w:r w:rsidRPr="001E507B">
        <w:t>Номер</w:t>
      </w:r>
      <w:r>
        <w:t>».</w:t>
      </w:r>
      <w:r w:rsidRPr="001E507B">
        <w:t xml:space="preserve"> </w:t>
      </w:r>
      <w:r>
        <w:t>Показатель отобража</w:t>
      </w:r>
      <w:r w:rsidR="00974816">
        <w:t>ет</w:t>
      </w:r>
      <w:r>
        <w:t xml:space="preserve">ся по умолчанию, </w:t>
      </w:r>
      <w:r w:rsidRPr="001E507B">
        <w:t>наименование показателя не отобра</w:t>
      </w:r>
      <w:r>
        <w:t>жаем</w:t>
      </w:r>
      <w:r w:rsidRPr="001E507B">
        <w:t>;</w:t>
      </w:r>
      <w:r>
        <w:t xml:space="preserve"> </w:t>
      </w:r>
    </w:p>
    <w:p w:rsidR="00F05829" w:rsidRPr="001E507B" w:rsidRDefault="00F05829" w:rsidP="00DE1661">
      <w:pPr>
        <w:pStyle w:val="13"/>
      </w:pPr>
      <w:r>
        <w:t>«</w:t>
      </w:r>
      <w:r w:rsidRPr="001E507B">
        <w:t>Дата заключения</w:t>
      </w:r>
      <w:r>
        <w:t>».</w:t>
      </w:r>
      <w:r w:rsidRPr="001E507B">
        <w:tab/>
      </w:r>
      <w:r>
        <w:t>Показатель отобража</w:t>
      </w:r>
      <w:r w:rsidR="00974816">
        <w:t>е</w:t>
      </w:r>
      <w:r>
        <w:t>тся по умолчанию</w:t>
      </w:r>
      <w:r w:rsidRPr="001E507B">
        <w:t>;</w:t>
      </w:r>
    </w:p>
    <w:p w:rsidR="00F05829" w:rsidRPr="001E507B" w:rsidRDefault="00F05829" w:rsidP="00DE1661">
      <w:pPr>
        <w:pStyle w:val="13"/>
      </w:pPr>
      <w:r>
        <w:t>«</w:t>
      </w:r>
      <w:r w:rsidRPr="001E507B">
        <w:t>Предмет</w:t>
      </w:r>
      <w:r>
        <w:t>».</w:t>
      </w:r>
      <w:r w:rsidRPr="001E507B">
        <w:t xml:space="preserve"> </w:t>
      </w:r>
      <w:r>
        <w:t>Показатель отобража</w:t>
      </w:r>
      <w:r w:rsidR="00974816">
        <w:t>е</w:t>
      </w:r>
      <w:r>
        <w:t xml:space="preserve">тся по умолчанию, </w:t>
      </w:r>
      <w:r w:rsidRPr="001E507B">
        <w:t>наименование показателя не отобра</w:t>
      </w:r>
      <w:r>
        <w:t>жаем</w:t>
      </w:r>
      <w:r w:rsidRPr="001E507B">
        <w:t>;</w:t>
      </w:r>
    </w:p>
    <w:p w:rsidR="00F05829" w:rsidRDefault="00F05829" w:rsidP="00DE1661">
      <w:pPr>
        <w:pStyle w:val="13"/>
      </w:pPr>
      <w:r>
        <w:t>«Сумма гос.контракта (контракта), млн руб.».</w:t>
      </w:r>
      <w:r w:rsidRPr="00D56235">
        <w:t xml:space="preserve"> </w:t>
      </w:r>
      <w:r>
        <w:t>Показатель отобража</w:t>
      </w:r>
      <w:r w:rsidR="00974816">
        <w:t>е</w:t>
      </w:r>
      <w:r>
        <w:t xml:space="preserve">тся по умолчанию. Наименование показателя </w:t>
      </w:r>
      <w:r w:rsidR="00974816">
        <w:t xml:space="preserve">выполнено </w:t>
      </w:r>
      <w:r>
        <w:t>динамическим: при выборе контракта головного уровня отобража</w:t>
      </w:r>
      <w:r w:rsidR="00974816">
        <w:t>е</w:t>
      </w:r>
      <w:r>
        <w:t>тся наименование «Сумма гос. контракта, млн руб», при выборе контракта неголовного уровня - «Сумма контракта, млн руб»;</w:t>
      </w:r>
    </w:p>
    <w:p w:rsidR="00F05829" w:rsidRDefault="00F05829" w:rsidP="00DE1661">
      <w:pPr>
        <w:pStyle w:val="13"/>
      </w:pPr>
      <w:r>
        <w:t>Переход в ПУР КС «Показать в ПУР КС»;</w:t>
      </w:r>
    </w:p>
    <w:p w:rsidR="00F05829" w:rsidRPr="00D56235" w:rsidRDefault="00F05829" w:rsidP="00DE1661">
      <w:pPr>
        <w:pStyle w:val="13"/>
      </w:pPr>
      <w:r>
        <w:t>Переход в ЕИС «Показать в ЕИС»;</w:t>
      </w:r>
    </w:p>
    <w:p w:rsidR="00F05829" w:rsidRDefault="00F05829" w:rsidP="00DE1661">
      <w:pPr>
        <w:pStyle w:val="13"/>
      </w:pPr>
      <w:r>
        <w:t>Карточка «Гос. заказчик/ГРБС»/«Заказчик» (по умолчанию карточка свернута)</w:t>
      </w:r>
      <w:r w:rsidRPr="001E507B">
        <w:t xml:space="preserve">: </w:t>
      </w:r>
    </w:p>
    <w:p w:rsidR="00F05829" w:rsidRDefault="00F05829" w:rsidP="00F05829">
      <w:pPr>
        <w:pStyle w:val="29"/>
      </w:pPr>
      <w:r w:rsidRPr="001E507B">
        <w:t>наименование,</w:t>
      </w:r>
      <w:r>
        <w:t xml:space="preserve"> </w:t>
      </w:r>
    </w:p>
    <w:p w:rsidR="00F05829" w:rsidRDefault="00F05829" w:rsidP="00F05829">
      <w:pPr>
        <w:pStyle w:val="29"/>
      </w:pPr>
      <w:r>
        <w:t xml:space="preserve">ИНН, </w:t>
      </w:r>
    </w:p>
    <w:p w:rsidR="00F05829" w:rsidRDefault="00F05829" w:rsidP="00F05829">
      <w:pPr>
        <w:pStyle w:val="29"/>
      </w:pPr>
      <w:r>
        <w:t xml:space="preserve">КПП, </w:t>
      </w:r>
    </w:p>
    <w:p w:rsidR="00F05829" w:rsidRDefault="00F05829" w:rsidP="00F05829">
      <w:pPr>
        <w:pStyle w:val="29"/>
      </w:pPr>
      <w:r>
        <w:t>Номер лицевого счета</w:t>
      </w:r>
      <w:r w:rsidRPr="001E507B">
        <w:t>;</w:t>
      </w:r>
    </w:p>
    <w:p w:rsidR="00F05829" w:rsidRPr="00AB78A7" w:rsidRDefault="00F05829" w:rsidP="00F05829">
      <w:pPr>
        <w:pStyle w:val="af0"/>
      </w:pPr>
      <w:r w:rsidRPr="00871037">
        <w:t xml:space="preserve">Наименование карточки с реквизитами заказчика </w:t>
      </w:r>
      <w:r>
        <w:t xml:space="preserve">выполнено </w:t>
      </w:r>
      <w:r w:rsidRPr="00871037">
        <w:t>динамическим: при выборе контракта головного уровня должно отображаться наименование «Гос. заказчик/ГРБС», при выборе контракта неголовного уровня - «Заказчик»</w:t>
      </w:r>
      <w:r>
        <w:t xml:space="preserve">. В карточке реализованы переходы к представлению «Заказчики» в отчет Казначейское сопровождение средств ФБ», а так же </w:t>
      </w:r>
      <w:r w:rsidRPr="00871037">
        <w:t xml:space="preserve">в </w:t>
      </w:r>
      <w:r w:rsidRPr="00AB78A7">
        <w:t>«Реестр участников бюджетного процесса, а также юридических лиц, не являющихся участниками бюджетного процесса» на ЕПБС.</w:t>
      </w:r>
    </w:p>
    <w:p w:rsidR="00F05829" w:rsidRDefault="00F05829" w:rsidP="00DE1661">
      <w:pPr>
        <w:pStyle w:val="13"/>
      </w:pPr>
      <w:r>
        <w:t>Карточка «Головной исполнитель/получатель субсидии» (по умолчанию карточка должна быть свернута)</w:t>
      </w:r>
      <w:r w:rsidRPr="001E507B">
        <w:t xml:space="preserve">: </w:t>
      </w:r>
    </w:p>
    <w:p w:rsidR="00F05829" w:rsidRPr="00C7419A" w:rsidRDefault="00F05829" w:rsidP="00F05829">
      <w:pPr>
        <w:pStyle w:val="29"/>
      </w:pPr>
      <w:r w:rsidRPr="00C7419A">
        <w:t xml:space="preserve">наименование, </w:t>
      </w:r>
    </w:p>
    <w:p w:rsidR="00F05829" w:rsidRPr="00C7419A" w:rsidRDefault="00F05829" w:rsidP="00F05829">
      <w:pPr>
        <w:pStyle w:val="29"/>
      </w:pPr>
      <w:r w:rsidRPr="00C7419A">
        <w:t xml:space="preserve">ИНН, </w:t>
      </w:r>
    </w:p>
    <w:p w:rsidR="00F05829" w:rsidRPr="00C7419A" w:rsidRDefault="00F05829" w:rsidP="00F05829">
      <w:pPr>
        <w:pStyle w:val="29"/>
      </w:pPr>
      <w:r w:rsidRPr="00C7419A">
        <w:t xml:space="preserve">КПП, </w:t>
      </w:r>
    </w:p>
    <w:p w:rsidR="00F05829" w:rsidRPr="00C7419A" w:rsidRDefault="00F05829" w:rsidP="00F05829">
      <w:pPr>
        <w:pStyle w:val="29"/>
      </w:pPr>
      <w:r w:rsidRPr="00C7419A">
        <w:t xml:space="preserve">номер лицевого счета/раздела, </w:t>
      </w:r>
    </w:p>
    <w:p w:rsidR="00F05829" w:rsidRPr="00C7419A" w:rsidRDefault="00F05829" w:rsidP="00F05829">
      <w:pPr>
        <w:pStyle w:val="29"/>
      </w:pPr>
      <w:r w:rsidRPr="00C7419A">
        <w:t xml:space="preserve">дата открытия раздела, </w:t>
      </w:r>
    </w:p>
    <w:p w:rsidR="00F05829" w:rsidRPr="00C7419A" w:rsidRDefault="00F05829" w:rsidP="00F05829">
      <w:pPr>
        <w:pStyle w:val="29"/>
      </w:pPr>
      <w:r w:rsidRPr="00C7419A">
        <w:t xml:space="preserve">дата закрытия раздела, </w:t>
      </w:r>
    </w:p>
    <w:p w:rsidR="00F05829" w:rsidRDefault="00F05829" w:rsidP="00F05829">
      <w:pPr>
        <w:pStyle w:val="29"/>
      </w:pPr>
      <w:r w:rsidRPr="00C7419A">
        <w:t>наличие в федеральном реестре сведений о банкротстве;</w:t>
      </w:r>
    </w:p>
    <w:p w:rsidR="00F05829" w:rsidRPr="002C3C0A" w:rsidRDefault="00F05829" w:rsidP="00F05829">
      <w:pPr>
        <w:pStyle w:val="29"/>
      </w:pPr>
      <w:r w:rsidRPr="002C3C0A">
        <w:t>наличие сведений в реестре недобросовестных поставщиков;</w:t>
      </w:r>
    </w:p>
    <w:p w:rsidR="00F05829" w:rsidRPr="002C3C0A" w:rsidRDefault="00F05829" w:rsidP="00F05829">
      <w:pPr>
        <w:pStyle w:val="29"/>
      </w:pPr>
      <w:r w:rsidRPr="002C3C0A">
        <w:t>уровень риска Росфинмониторинга.</w:t>
      </w:r>
    </w:p>
    <w:p w:rsidR="00F05829" w:rsidRPr="006B3B83" w:rsidRDefault="00F05829" w:rsidP="00F05829">
      <w:pPr>
        <w:pStyle w:val="af0"/>
        <w:rPr>
          <w:rFonts w:cstheme="minorHAnsi"/>
          <w:color w:val="252525"/>
          <w:szCs w:val="28"/>
        </w:rPr>
      </w:pPr>
      <w:r w:rsidRPr="006B3B83">
        <w:t xml:space="preserve">Наименование карточки с реквизитами </w:t>
      </w:r>
      <w:r>
        <w:t>исполнителя</w:t>
      </w:r>
      <w:r w:rsidRPr="006B3B83">
        <w:t xml:space="preserve"> </w:t>
      </w:r>
      <w:r>
        <w:t xml:space="preserve">выполнено </w:t>
      </w:r>
      <w:r w:rsidRPr="006B3B83">
        <w:t>динамическим: при выборе контракта головного уровня должно отображаться наименование «</w:t>
      </w:r>
      <w:r>
        <w:t>Головной исполнитель/получатель субсидии</w:t>
      </w:r>
      <w:r w:rsidRPr="006B3B83">
        <w:t>», при выборе контракта неголовного уровня - «</w:t>
      </w:r>
      <w:r>
        <w:t>Исполнитель</w:t>
      </w:r>
      <w:r w:rsidRPr="006B3B83">
        <w:t>». В карточке реализованы переходы к представлению «</w:t>
      </w:r>
      <w:r>
        <w:t>Исполнители</w:t>
      </w:r>
      <w:r w:rsidRPr="006B3B83">
        <w:t>» в отчет Казначейское сопровождение средств ФБ», а так же в «</w:t>
      </w:r>
      <w:r w:rsidRPr="006B3B83">
        <w:rPr>
          <w:rFonts w:cstheme="minorHAnsi"/>
          <w:color w:val="252525"/>
          <w:szCs w:val="28"/>
        </w:rPr>
        <w:t>Реестр участников бюджетного процесса, а также юридических лиц, не являющихся участниками бюджетного процесса» на ЕПБС.</w:t>
      </w:r>
    </w:p>
    <w:p w:rsidR="00F05829" w:rsidRDefault="00F05829" w:rsidP="00DE1661">
      <w:pPr>
        <w:pStyle w:val="13"/>
      </w:pPr>
      <w:r>
        <w:t>Карточка</w:t>
      </w:r>
      <w:r w:rsidRPr="001E507B">
        <w:t xml:space="preserve"> </w:t>
      </w:r>
      <w:r>
        <w:t>«Д</w:t>
      </w:r>
      <w:r w:rsidRPr="001E507B">
        <w:t>вижение средств</w:t>
      </w:r>
      <w:r>
        <w:t>»</w:t>
      </w:r>
      <w:r w:rsidRPr="00B67AFD">
        <w:t xml:space="preserve"> </w:t>
      </w:r>
      <w:r>
        <w:t>(по умолчанию карточка должна быть свернута)</w:t>
      </w:r>
      <w:r w:rsidRPr="001E507B">
        <w:t>:</w:t>
      </w:r>
    </w:p>
    <w:p w:rsidR="00F05829" w:rsidRPr="00B67AFD" w:rsidRDefault="00F05829" w:rsidP="00F05829">
      <w:pPr>
        <w:pStyle w:val="29"/>
      </w:pPr>
      <w:r w:rsidRPr="00B67AFD">
        <w:t xml:space="preserve">остатки на разделах на начало текущего года, </w:t>
      </w:r>
    </w:p>
    <w:p w:rsidR="00F05829" w:rsidRDefault="00F05829" w:rsidP="00F05829">
      <w:pPr>
        <w:pStyle w:val="29"/>
      </w:pPr>
      <w:r w:rsidRPr="00B67AFD">
        <w:t xml:space="preserve">поступления, </w:t>
      </w:r>
    </w:p>
    <w:p w:rsidR="00F05829" w:rsidRDefault="00F05829" w:rsidP="00F05829">
      <w:pPr>
        <w:pStyle w:val="29"/>
      </w:pPr>
      <w:r w:rsidRPr="00B67AFD">
        <w:t xml:space="preserve">кассовый расход, всего, </w:t>
      </w:r>
    </w:p>
    <w:p w:rsidR="00F05829" w:rsidRDefault="00F05829" w:rsidP="00F05829">
      <w:pPr>
        <w:pStyle w:val="29"/>
      </w:pPr>
      <w:r w:rsidRPr="00B67AFD">
        <w:t xml:space="preserve">кассовый расход на ЛС, </w:t>
      </w:r>
    </w:p>
    <w:p w:rsidR="00F05829" w:rsidRDefault="00F05829" w:rsidP="00F05829">
      <w:pPr>
        <w:pStyle w:val="29"/>
      </w:pPr>
      <w:r w:rsidRPr="00B67AFD">
        <w:t xml:space="preserve">кассовый расход на расчетные счета, </w:t>
      </w:r>
    </w:p>
    <w:p w:rsidR="00F05829" w:rsidRDefault="00F05829" w:rsidP="00F05829">
      <w:pPr>
        <w:pStyle w:val="29"/>
      </w:pPr>
      <w:r w:rsidRPr="00B67AFD">
        <w:t>остатки на разделах на отчетную дату.</w:t>
      </w:r>
    </w:p>
    <w:p w:rsidR="00F05829" w:rsidRDefault="00F05829" w:rsidP="00F05829">
      <w:pPr>
        <w:pStyle w:val="af0"/>
      </w:pPr>
      <w:r>
        <w:t>В карточке реализован</w:t>
      </w:r>
      <w:r w:rsidRPr="006B3B83">
        <w:t xml:space="preserve"> переход к представлению «</w:t>
      </w:r>
      <w:r>
        <w:t>Движение средств</w:t>
      </w:r>
      <w:r w:rsidRPr="006B3B83">
        <w:t xml:space="preserve">» в отчет </w:t>
      </w:r>
      <w:r>
        <w:t>«Цепочка контрактов».</w:t>
      </w:r>
    </w:p>
    <w:p w:rsidR="00F05829" w:rsidRPr="00290545" w:rsidRDefault="00F05829" w:rsidP="00F05829">
      <w:pPr>
        <w:pStyle w:val="af0"/>
      </w:pPr>
      <w:r w:rsidRPr="00290545">
        <w:rPr>
          <w:szCs w:val="22"/>
        </w:rPr>
        <w:t xml:space="preserve">Пример </w:t>
      </w:r>
      <w:r w:rsidRPr="00290545">
        <w:t xml:space="preserve">карточки контракта </w:t>
      </w:r>
      <w:r>
        <w:rPr>
          <w:szCs w:val="22"/>
        </w:rPr>
        <w:t>представлен на Р</w:t>
      </w:r>
      <w:r w:rsidRPr="00290545">
        <w:rPr>
          <w:szCs w:val="22"/>
        </w:rPr>
        <w:t>исунк</w:t>
      </w:r>
      <w:r w:rsidRPr="00290545">
        <w:t>ах</w:t>
      </w:r>
      <w:r>
        <w:t xml:space="preserve"> </w:t>
      </w:r>
      <w:r>
        <w:fldChar w:fldCharType="begin"/>
      </w:r>
      <w:r>
        <w:instrText xml:space="preserve"> REF рис4 \h </w:instrText>
      </w:r>
      <w:r>
        <w:fldChar w:fldCharType="separate"/>
      </w:r>
      <w:r w:rsidR="00BF0BEE">
        <w:rPr>
          <w:noProof/>
        </w:rPr>
        <w:t>490</w:t>
      </w:r>
      <w:r>
        <w:fldChar w:fldCharType="end"/>
      </w:r>
      <w:r>
        <w:t xml:space="preserve"> и </w:t>
      </w:r>
      <w:r>
        <w:fldChar w:fldCharType="begin"/>
      </w:r>
      <w:r>
        <w:instrText xml:space="preserve"> REF рис5 \h </w:instrText>
      </w:r>
      <w:r>
        <w:fldChar w:fldCharType="separate"/>
      </w:r>
      <w:r w:rsidR="00BF0BEE">
        <w:rPr>
          <w:noProof/>
        </w:rPr>
        <w:t>491</w:t>
      </w:r>
      <w:r>
        <w:fldChar w:fldCharType="end"/>
      </w:r>
      <w:r w:rsidRPr="00290545">
        <w:rPr>
          <w:szCs w:val="22"/>
        </w:rPr>
        <w:t>.</w:t>
      </w:r>
    </w:p>
    <w:p w:rsidR="00F05829" w:rsidRDefault="00F05829" w:rsidP="00F05829">
      <w:pPr>
        <w:pStyle w:val="-0"/>
      </w:pPr>
      <w:r>
        <w:rPr>
          <w:noProof/>
        </w:rPr>
        <w:drawing>
          <wp:inline distT="0" distB="0" distL="0" distR="0" wp14:anchorId="1F6FFA21" wp14:editId="25DB8674">
            <wp:extent cx="4162425" cy="3295650"/>
            <wp:effectExtent l="0" t="0" r="9525" b="0"/>
            <wp:docPr id="5702" name="Рисунок 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4162425" cy="3295650"/>
                    </a:xfrm>
                    <a:prstGeom prst="rect">
                      <a:avLst/>
                    </a:prstGeom>
                    <a:noFill/>
                    <a:ln>
                      <a:noFill/>
                    </a:ln>
                  </pic:spPr>
                </pic:pic>
              </a:graphicData>
            </a:graphic>
          </wp:inline>
        </w:drawing>
      </w:r>
    </w:p>
    <w:p w:rsidR="00F05829" w:rsidRPr="00290545" w:rsidRDefault="00F05829" w:rsidP="00F05829">
      <w:pPr>
        <w:pStyle w:val="-0"/>
      </w:pPr>
      <w:bookmarkStart w:id="1895" w:name="_Toc81300111"/>
      <w:bookmarkStart w:id="1896" w:name="_Toc119584677"/>
      <w:r w:rsidRPr="00290545">
        <w:t xml:space="preserve">Рисунок </w:t>
      </w:r>
      <w:bookmarkStart w:id="1897" w:name="рис4"/>
      <w:r w:rsidRPr="00290545">
        <w:fldChar w:fldCharType="begin"/>
      </w:r>
      <w:r w:rsidRPr="00290545">
        <w:instrText xml:space="preserve"> SEQ Рисунок \* ARABIC </w:instrText>
      </w:r>
      <w:r w:rsidRPr="00290545">
        <w:fldChar w:fldCharType="separate"/>
      </w:r>
      <w:r w:rsidR="001860A9">
        <w:rPr>
          <w:noProof/>
        </w:rPr>
        <w:t>490</w:t>
      </w:r>
      <w:r w:rsidRPr="00290545">
        <w:fldChar w:fldCharType="end"/>
      </w:r>
      <w:bookmarkEnd w:id="1897"/>
      <w:r>
        <w:t xml:space="preserve"> – </w:t>
      </w:r>
      <w:r w:rsidRPr="00290545">
        <w:t>Пример карточки контракта (скрытые секции)</w:t>
      </w:r>
      <w:bookmarkEnd w:id="1895"/>
      <w:bookmarkEnd w:id="1896"/>
    </w:p>
    <w:p w:rsidR="00F05829" w:rsidRDefault="00F05829" w:rsidP="00F05829">
      <w:pPr>
        <w:pStyle w:val="-0"/>
        <w:rPr>
          <w:szCs w:val="24"/>
        </w:rPr>
      </w:pPr>
      <w:r>
        <w:rPr>
          <w:noProof/>
        </w:rPr>
        <w:drawing>
          <wp:inline distT="0" distB="0" distL="0" distR="0" wp14:anchorId="71C1C809" wp14:editId="3223EE71">
            <wp:extent cx="3438525" cy="4166359"/>
            <wp:effectExtent l="0" t="0" r="0" b="5715"/>
            <wp:docPr id="5705" name="Рисунок 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3445548" cy="4174869"/>
                    </a:xfrm>
                    <a:prstGeom prst="rect">
                      <a:avLst/>
                    </a:prstGeom>
                    <a:noFill/>
                    <a:ln>
                      <a:noFill/>
                    </a:ln>
                  </pic:spPr>
                </pic:pic>
              </a:graphicData>
            </a:graphic>
          </wp:inline>
        </w:drawing>
      </w:r>
    </w:p>
    <w:p w:rsidR="00F05829" w:rsidRPr="00290545" w:rsidRDefault="00F05829" w:rsidP="00F05829">
      <w:pPr>
        <w:pStyle w:val="-0"/>
      </w:pPr>
      <w:bookmarkStart w:id="1898" w:name="_Toc81300112"/>
      <w:bookmarkStart w:id="1899" w:name="_Toc119584678"/>
      <w:r w:rsidRPr="00290545">
        <w:t xml:space="preserve">Рисунок </w:t>
      </w:r>
      <w:bookmarkStart w:id="1900" w:name="рис5"/>
      <w:r w:rsidRPr="00290545">
        <w:fldChar w:fldCharType="begin"/>
      </w:r>
      <w:r w:rsidRPr="00290545">
        <w:instrText xml:space="preserve"> SEQ Рисунок \* ARABIC </w:instrText>
      </w:r>
      <w:r w:rsidRPr="00290545">
        <w:fldChar w:fldCharType="separate"/>
      </w:r>
      <w:r w:rsidR="001860A9">
        <w:rPr>
          <w:noProof/>
        </w:rPr>
        <w:t>491</w:t>
      </w:r>
      <w:r w:rsidRPr="00290545">
        <w:fldChar w:fldCharType="end"/>
      </w:r>
      <w:bookmarkEnd w:id="1900"/>
      <w:r>
        <w:t xml:space="preserve"> – </w:t>
      </w:r>
      <w:r w:rsidRPr="00290545">
        <w:t>Пример карточки контракта (раскрытая секция)</w:t>
      </w:r>
      <w:bookmarkEnd w:id="1898"/>
      <w:bookmarkEnd w:id="1899"/>
    </w:p>
    <w:p w:rsidR="00F05829" w:rsidRDefault="00F05829" w:rsidP="00F05829">
      <w:pPr>
        <w:ind w:firstLine="567"/>
        <w:rPr>
          <w:sz w:val="28"/>
          <w:szCs w:val="28"/>
        </w:rPr>
      </w:pPr>
      <w:r w:rsidRPr="00290545">
        <w:rPr>
          <w:sz w:val="28"/>
          <w:szCs w:val="28"/>
        </w:rPr>
        <w:t>В представлении реализованы следующие фильтры:</w:t>
      </w:r>
    </w:p>
    <w:p w:rsidR="00F05829" w:rsidRPr="00290545" w:rsidRDefault="00F05829" w:rsidP="00DE1661">
      <w:pPr>
        <w:pStyle w:val="13"/>
        <w:rPr>
          <w:rFonts w:eastAsiaTheme="minorEastAsia"/>
          <w:snapToGrid/>
        </w:rPr>
      </w:pPr>
      <w:r w:rsidRPr="00290545">
        <w:rPr>
          <w:rFonts w:eastAsiaTheme="minorEastAsia"/>
          <w:snapToGrid/>
        </w:rPr>
        <w:t>«По состоянию на». Фильтр с возможностью выбора значения из календаря;</w:t>
      </w:r>
    </w:p>
    <w:p w:rsidR="00F05829" w:rsidRPr="00290545" w:rsidRDefault="00F05829" w:rsidP="00DE1661">
      <w:pPr>
        <w:pStyle w:val="13"/>
        <w:rPr>
          <w:rFonts w:eastAsiaTheme="minorEastAsia"/>
          <w:snapToGrid/>
        </w:rPr>
      </w:pPr>
      <w:r w:rsidRPr="00290545">
        <w:rPr>
          <w:rFonts w:eastAsiaTheme="minorEastAsia"/>
          <w:snapToGrid/>
        </w:rPr>
        <w:t>«Год»; Фильтр с возможностью выбора значения из выпадающего списка;</w:t>
      </w:r>
    </w:p>
    <w:p w:rsidR="00F05829" w:rsidRDefault="00F05829" w:rsidP="00DE1661">
      <w:pPr>
        <w:pStyle w:val="13"/>
      </w:pPr>
      <w:r w:rsidRPr="001E507B">
        <w:t>«Единицы измерения» Фильтр с возможностью выбора значения из выпадающего списка.</w:t>
      </w:r>
    </w:p>
    <w:p w:rsidR="002E7433" w:rsidRPr="00206C4C" w:rsidRDefault="002E7433" w:rsidP="00862055">
      <w:pPr>
        <w:pStyle w:val="42"/>
        <w:numPr>
          <w:ilvl w:val="3"/>
          <w:numId w:val="135"/>
        </w:numPr>
      </w:pPr>
      <w:r w:rsidRPr="00206C4C">
        <w:t xml:space="preserve">Представление «Структура цены» - «По проекту» - «Таблица». </w:t>
      </w:r>
    </w:p>
    <w:p w:rsidR="002E7433" w:rsidRPr="00206C4C" w:rsidRDefault="002E7433" w:rsidP="002E7433">
      <w:pPr>
        <w:pStyle w:val="af0"/>
        <w:rPr>
          <w:rFonts w:eastAsia="Calibri"/>
        </w:rPr>
      </w:pPr>
      <w:r w:rsidRPr="00206C4C">
        <w:rPr>
          <w:szCs w:val="28"/>
        </w:rPr>
        <w:t xml:space="preserve">Представление </w:t>
      </w:r>
      <w:r w:rsidRPr="00206C4C">
        <w:t>«Структура цены» - «По проекту» - «Таблица» содержит информацию о структуре цены в рамках одного проекта</w:t>
      </w:r>
      <w:r w:rsidRPr="00206C4C">
        <w:rPr>
          <w:szCs w:val="28"/>
        </w:rPr>
        <w:t xml:space="preserve"> и обеспечивает анализ информации, </w:t>
      </w:r>
      <w:r w:rsidRPr="00206C4C">
        <w:rPr>
          <w:rFonts w:eastAsia="Calibri"/>
        </w:rPr>
        <w:t>включающей в себя сведения о цене контракта, состоянии расчетов и остатков средств по всем статьям калькуляции в виде иерархической таблицы с группировкой по уровням кооперации (Рисунок</w:t>
      </w:r>
      <w:r w:rsidR="005F2F63">
        <w:rPr>
          <w:rFonts w:eastAsia="Calibri"/>
        </w:rPr>
        <w:t xml:space="preserve"> </w:t>
      </w:r>
      <w:r w:rsidR="005F2F63">
        <w:rPr>
          <w:rFonts w:eastAsia="Calibri"/>
        </w:rPr>
        <w:fldChar w:fldCharType="begin"/>
      </w:r>
      <w:r w:rsidR="005F2F63">
        <w:rPr>
          <w:rFonts w:eastAsia="Calibri"/>
        </w:rPr>
        <w:instrText xml:space="preserve"> REF _Ref70318730 \h </w:instrText>
      </w:r>
      <w:r w:rsidR="005F2F63">
        <w:rPr>
          <w:rFonts w:eastAsia="Calibri"/>
        </w:rPr>
      </w:r>
      <w:r w:rsidR="005F2F63">
        <w:rPr>
          <w:rFonts w:eastAsia="Calibri"/>
        </w:rPr>
        <w:fldChar w:fldCharType="separate"/>
      </w:r>
      <w:r w:rsidR="00BF0BEE">
        <w:rPr>
          <w:noProof/>
        </w:rPr>
        <w:t>417</w:t>
      </w:r>
      <w:r w:rsidR="005F2F63">
        <w:rPr>
          <w:rFonts w:eastAsia="Calibri"/>
        </w:rPr>
        <w:fldChar w:fldCharType="end"/>
      </w:r>
      <w:r w:rsidRPr="00206C4C">
        <w:rPr>
          <w:rFonts w:eastAsia="Calibri"/>
        </w:rPr>
        <w:t>).</w:t>
      </w:r>
    </w:p>
    <w:p w:rsidR="005F2F63" w:rsidRDefault="005F2F63" w:rsidP="005F2F63">
      <w:pPr>
        <w:pStyle w:val="afffff7"/>
        <w:keepNext/>
      </w:pPr>
      <w:r>
        <w:rPr>
          <w:noProof/>
          <w:lang w:eastAsia="ru-RU"/>
        </w:rPr>
        <w:drawing>
          <wp:inline distT="0" distB="0" distL="0" distR="0" wp14:anchorId="277F318E" wp14:editId="559CD985">
            <wp:extent cx="5939790" cy="2898475"/>
            <wp:effectExtent l="0" t="0" r="381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9"/>
                    <a:stretch>
                      <a:fillRect/>
                    </a:stretch>
                  </pic:blipFill>
                  <pic:spPr>
                    <a:xfrm>
                      <a:off x="0" y="0"/>
                      <a:ext cx="5939790" cy="2898475"/>
                    </a:xfrm>
                    <a:prstGeom prst="rect">
                      <a:avLst/>
                    </a:prstGeom>
                  </pic:spPr>
                </pic:pic>
              </a:graphicData>
            </a:graphic>
          </wp:inline>
        </w:drawing>
      </w:r>
    </w:p>
    <w:p w:rsidR="002E7433" w:rsidRPr="00206C4C" w:rsidRDefault="005F2F63" w:rsidP="008E7E06">
      <w:pPr>
        <w:pStyle w:val="-0"/>
      </w:pPr>
      <w:bookmarkStart w:id="1901" w:name="_Toc119584679"/>
      <w:r w:rsidRPr="00206C4C">
        <w:t xml:space="preserve">Рисунок </w:t>
      </w:r>
      <w:fldSimple w:instr=" SEQ Рисунок \* ARABIC ">
        <w:bookmarkStart w:id="1902" w:name="_Ref70318730"/>
        <w:r w:rsidR="001860A9">
          <w:rPr>
            <w:noProof/>
          </w:rPr>
          <w:t>492</w:t>
        </w:r>
        <w:bookmarkEnd w:id="1902"/>
      </w:fldSimple>
      <w:r w:rsidRPr="00206C4C">
        <w:t xml:space="preserve"> – </w:t>
      </w:r>
      <w:r w:rsidRPr="00206C4C">
        <w:rPr>
          <w:rStyle w:val="af1"/>
        </w:rPr>
        <w:t>Макет отчета «</w:t>
      </w:r>
      <w:r w:rsidRPr="008E7E06">
        <w:rPr>
          <w:rStyle w:val="af1"/>
          <w:snapToGrid w:val="0"/>
        </w:rPr>
        <w:t>Структура</w:t>
      </w:r>
      <w:r w:rsidRPr="00206C4C">
        <w:rPr>
          <w:rStyle w:val="af1"/>
        </w:rPr>
        <w:t xml:space="preserve"> цены» - «По проекту» - «Таблица»</w:t>
      </w:r>
      <w:bookmarkEnd w:id="1901"/>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должны использоваться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rPr>
          <w:szCs w:val="28"/>
        </w:rPr>
      </w:pPr>
      <w:r w:rsidRPr="00206C4C">
        <w:rPr>
          <w:rFonts w:eastAsia="Calibri"/>
        </w:rPr>
        <w:t>таблица, содержащая информацию по перечню показателей (D_TST_MRK).</w:t>
      </w:r>
    </w:p>
    <w:p w:rsidR="002E7433" w:rsidRPr="00206C4C" w:rsidRDefault="002E7433" w:rsidP="002E7433">
      <w:pPr>
        <w:pStyle w:val="af0"/>
      </w:pPr>
      <w:r w:rsidRPr="00206C4C">
        <w:t>Параметры представления:</w:t>
      </w:r>
    </w:p>
    <w:p w:rsidR="002E7433" w:rsidRPr="00206C4C" w:rsidRDefault="002E7433" w:rsidP="00DE1661">
      <w:pPr>
        <w:pStyle w:val="13"/>
        <w:rPr>
          <w:lang w:eastAsia="en-US"/>
        </w:rPr>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проекту» - «Гистограмма» - «Абсолютная»</w:t>
      </w:r>
    </w:p>
    <w:p w:rsidR="002E7433" w:rsidRPr="00206C4C" w:rsidRDefault="002E7433" w:rsidP="002E7433">
      <w:pPr>
        <w:pStyle w:val="af0"/>
        <w:rPr>
          <w:rFonts w:eastAsia="Calibri"/>
        </w:rPr>
      </w:pPr>
      <w:r w:rsidRPr="00206C4C">
        <w:t xml:space="preserve">Представление «Структура цены» - «По проекту» - «Гистограмма» - «Абсолютная» обеспечивает анализ информации, </w:t>
      </w:r>
      <w:r w:rsidRPr="00206C4C">
        <w:rPr>
          <w:rFonts w:eastAsia="Calibri"/>
        </w:rPr>
        <w:t>включающей в себя сведения о фактической структуре цены контракта по всем статьям калькуляции в виде гистограммы с группировкой по уровням контрактации, отображающей абсолютные значения (Рисунок</w:t>
      </w:r>
      <w:r w:rsidR="00FC45E6">
        <w:rPr>
          <w:rFonts w:eastAsia="Calibri"/>
        </w:rPr>
        <w:t xml:space="preserve"> </w:t>
      </w:r>
      <w:r w:rsidR="00FC45E6">
        <w:rPr>
          <w:rFonts w:eastAsia="Calibri"/>
        </w:rPr>
        <w:fldChar w:fldCharType="begin"/>
      </w:r>
      <w:r w:rsidR="00FC45E6">
        <w:rPr>
          <w:rFonts w:eastAsia="Calibri"/>
        </w:rPr>
        <w:instrText xml:space="preserve"> REF _Ref70318798 \h </w:instrText>
      </w:r>
      <w:r w:rsidR="00FC45E6">
        <w:rPr>
          <w:rFonts w:eastAsia="Calibri"/>
        </w:rPr>
      </w:r>
      <w:r w:rsidR="00FC45E6">
        <w:rPr>
          <w:rFonts w:eastAsia="Calibri"/>
        </w:rPr>
        <w:fldChar w:fldCharType="separate"/>
      </w:r>
      <w:r w:rsidR="00BF0BEE">
        <w:rPr>
          <w:noProof/>
        </w:rPr>
        <w:t>418</w:t>
      </w:r>
      <w:r w:rsidR="00FC45E6">
        <w:rPr>
          <w:rFonts w:eastAsia="Calibri"/>
        </w:rPr>
        <w:fldChar w:fldCharType="end"/>
      </w:r>
      <w:r w:rsidRPr="00206C4C">
        <w:rPr>
          <w:rFonts w:eastAsia="Calibri"/>
        </w:rPr>
        <w:t>).</w:t>
      </w:r>
    </w:p>
    <w:p w:rsidR="00FC45E6" w:rsidRDefault="00FC45E6" w:rsidP="00FC45E6">
      <w:pPr>
        <w:pStyle w:val="afffff7"/>
        <w:keepNext/>
      </w:pPr>
      <w:r>
        <w:rPr>
          <w:noProof/>
          <w:lang w:eastAsia="ru-RU"/>
        </w:rPr>
        <w:drawing>
          <wp:inline distT="0" distB="0" distL="0" distR="0" wp14:anchorId="7D51A159" wp14:editId="3FA7D1F6">
            <wp:extent cx="5939790" cy="2894184"/>
            <wp:effectExtent l="0" t="0" r="3810" b="1905"/>
            <wp:docPr id="5763" name="Рисунок 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0"/>
                    <a:stretch>
                      <a:fillRect/>
                    </a:stretch>
                  </pic:blipFill>
                  <pic:spPr>
                    <a:xfrm>
                      <a:off x="0" y="0"/>
                      <a:ext cx="5939790" cy="2894184"/>
                    </a:xfrm>
                    <a:prstGeom prst="rect">
                      <a:avLst/>
                    </a:prstGeom>
                  </pic:spPr>
                </pic:pic>
              </a:graphicData>
            </a:graphic>
          </wp:inline>
        </w:drawing>
      </w:r>
    </w:p>
    <w:p w:rsidR="002E7433" w:rsidRPr="00206C4C" w:rsidRDefault="00FC45E6" w:rsidP="00FC45E6">
      <w:pPr>
        <w:pStyle w:val="-0"/>
      </w:pPr>
      <w:bookmarkStart w:id="1903" w:name="_Toc119584680"/>
      <w:r w:rsidRPr="00206C4C">
        <w:t xml:space="preserve">Рисунок </w:t>
      </w:r>
      <w:fldSimple w:instr=" SEQ Рисунок \* ARABIC ">
        <w:bookmarkStart w:id="1904" w:name="_Ref70318798"/>
        <w:r w:rsidR="001860A9">
          <w:rPr>
            <w:noProof/>
          </w:rPr>
          <w:t>493</w:t>
        </w:r>
        <w:bookmarkEnd w:id="1904"/>
      </w:fldSimple>
      <w:r w:rsidRPr="00206C4C">
        <w:t xml:space="preserve"> – Макет отчета «Структура цены» - «По проекту» - «Гистограмма» - «Абсолютная»</w:t>
      </w:r>
      <w:bookmarkEnd w:id="1903"/>
    </w:p>
    <w:p w:rsidR="002E7433" w:rsidRPr="00206C4C" w:rsidRDefault="002E7433" w:rsidP="002E7433">
      <w:pPr>
        <w:pStyle w:val="af0"/>
        <w:rPr>
          <w:rFonts w:eastAsia="Calibri"/>
        </w:rPr>
      </w:pPr>
      <w:r w:rsidRPr="00206C4C">
        <w:rPr>
          <w:rFonts w:eastAsia="Calibri"/>
        </w:rPr>
        <w:t>На гистограмме реализована возможность включения/отключения необходимых статей калькуляции. При наведении курсора мыши на элемент гистограммы отображается всплывающая подсказка, содержащая основную информацию: наименование исполнителя/уровень контрактации; наименование статьи калькуляции; сумму.</w:t>
      </w:r>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pPr>
      <w:r w:rsidRPr="00206C4C">
        <w:rPr>
          <w:rFonts w:eastAsia="Calibri"/>
        </w:rPr>
        <w:t>таблица, содержащая информацию по перечню показателей (D_TST_MRK).</w:t>
      </w:r>
    </w:p>
    <w:p w:rsidR="002E7433" w:rsidRPr="00206C4C" w:rsidRDefault="002E7433" w:rsidP="002E7433">
      <w:pPr>
        <w:spacing w:before="240"/>
        <w:rPr>
          <w:sz w:val="28"/>
          <w:szCs w:val="28"/>
        </w:rPr>
      </w:pPr>
      <w:r w:rsidRPr="00206C4C">
        <w:rPr>
          <w:sz w:val="28"/>
          <w:szCs w:val="28"/>
        </w:rPr>
        <w:t>Параметры представления:</w:t>
      </w:r>
    </w:p>
    <w:p w:rsidR="002E7433" w:rsidRPr="00206C4C" w:rsidRDefault="002E7433" w:rsidP="00DE1661">
      <w:pPr>
        <w:pStyle w:val="13"/>
        <w:rPr>
          <w:lang w:eastAsia="en-US"/>
        </w:rPr>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проекту» - «Гистограмма» - «Относительная»</w:t>
      </w:r>
    </w:p>
    <w:p w:rsidR="002E7433" w:rsidRPr="00206C4C" w:rsidRDefault="002E7433" w:rsidP="002E7433">
      <w:pPr>
        <w:pStyle w:val="af0"/>
        <w:rPr>
          <w:rFonts w:eastAsia="Calibri"/>
        </w:rPr>
      </w:pPr>
      <w:r w:rsidRPr="00206C4C">
        <w:t xml:space="preserve">Представление «Структура цены» - «По проекту»  - «Гистограмма» - «Абсолютная» обеспечивает возможность анализа информации, </w:t>
      </w:r>
      <w:r w:rsidRPr="00206C4C">
        <w:rPr>
          <w:rFonts w:eastAsia="Calibri"/>
        </w:rPr>
        <w:t>включающей в себя сведения о фактической структуре цены контракта по всем статьям калькуляции в виде гистограммы с группировкой по уровням контрактации, отображающей относительные значения (Рисунок</w:t>
      </w:r>
      <w:r w:rsidR="00FC45E6">
        <w:rPr>
          <w:rFonts w:eastAsia="Calibri"/>
        </w:rPr>
        <w:t xml:space="preserve"> </w:t>
      </w:r>
      <w:r w:rsidR="00FC45E6">
        <w:rPr>
          <w:rFonts w:eastAsia="Calibri"/>
        </w:rPr>
        <w:fldChar w:fldCharType="begin"/>
      </w:r>
      <w:r w:rsidR="00FC45E6">
        <w:rPr>
          <w:rFonts w:eastAsia="Calibri"/>
        </w:rPr>
        <w:instrText xml:space="preserve"> REF _Ref70318948 \h </w:instrText>
      </w:r>
      <w:r w:rsidR="00FC45E6">
        <w:rPr>
          <w:rFonts w:eastAsia="Calibri"/>
        </w:rPr>
      </w:r>
      <w:r w:rsidR="00FC45E6">
        <w:rPr>
          <w:rFonts w:eastAsia="Calibri"/>
        </w:rPr>
        <w:fldChar w:fldCharType="separate"/>
      </w:r>
      <w:r w:rsidR="00BF0BEE">
        <w:rPr>
          <w:noProof/>
        </w:rPr>
        <w:t>419</w:t>
      </w:r>
      <w:r w:rsidR="00FC45E6">
        <w:rPr>
          <w:rFonts w:eastAsia="Calibri"/>
        </w:rPr>
        <w:fldChar w:fldCharType="end"/>
      </w:r>
      <w:r w:rsidRPr="00206C4C">
        <w:rPr>
          <w:rFonts w:eastAsia="Calibri"/>
        </w:rPr>
        <w:t>).</w:t>
      </w:r>
    </w:p>
    <w:p w:rsidR="00FC45E6" w:rsidRDefault="00FC45E6" w:rsidP="00FC45E6">
      <w:pPr>
        <w:pStyle w:val="afffff7"/>
        <w:keepNext/>
      </w:pPr>
      <w:r>
        <w:rPr>
          <w:noProof/>
          <w:lang w:eastAsia="ru-RU"/>
        </w:rPr>
        <w:drawing>
          <wp:inline distT="0" distB="0" distL="0" distR="0" wp14:anchorId="242EA34F" wp14:editId="2C3BD87B">
            <wp:extent cx="5939790" cy="2903380"/>
            <wp:effectExtent l="0" t="0" r="381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1"/>
                    <a:stretch>
                      <a:fillRect/>
                    </a:stretch>
                  </pic:blipFill>
                  <pic:spPr>
                    <a:xfrm>
                      <a:off x="0" y="0"/>
                      <a:ext cx="5939790" cy="2903380"/>
                    </a:xfrm>
                    <a:prstGeom prst="rect">
                      <a:avLst/>
                    </a:prstGeom>
                  </pic:spPr>
                </pic:pic>
              </a:graphicData>
            </a:graphic>
          </wp:inline>
        </w:drawing>
      </w:r>
    </w:p>
    <w:p w:rsidR="002E7433" w:rsidRPr="00206C4C" w:rsidRDefault="00FC45E6" w:rsidP="00FC45E6">
      <w:pPr>
        <w:pStyle w:val="-0"/>
      </w:pPr>
      <w:bookmarkStart w:id="1905" w:name="_Toc119584681"/>
      <w:r w:rsidRPr="00206C4C">
        <w:t xml:space="preserve">Рисунок </w:t>
      </w:r>
      <w:fldSimple w:instr=" SEQ Рисунок \* ARABIC ">
        <w:bookmarkStart w:id="1906" w:name="_Ref70318948"/>
        <w:r w:rsidR="001860A9">
          <w:rPr>
            <w:noProof/>
          </w:rPr>
          <w:t>494</w:t>
        </w:r>
        <w:bookmarkEnd w:id="1906"/>
      </w:fldSimple>
      <w:r w:rsidRPr="00206C4C">
        <w:t xml:space="preserve"> – Макет отчета «Структура цены» - «По проекту». - «Гистограмма» - «Относительная»</w:t>
      </w:r>
      <w:bookmarkEnd w:id="1905"/>
    </w:p>
    <w:p w:rsidR="002E7433" w:rsidRPr="00206C4C" w:rsidRDefault="002E7433" w:rsidP="002E7433">
      <w:pPr>
        <w:pStyle w:val="af0"/>
        <w:rPr>
          <w:rFonts w:eastAsia="Calibri"/>
        </w:rPr>
      </w:pPr>
      <w:r w:rsidRPr="00206C4C">
        <w:rPr>
          <w:rFonts w:eastAsia="Calibri"/>
        </w:rPr>
        <w:t xml:space="preserve">На гистограмме реализована возможность включения/отключения необходимых статей калькуляции. При наведении курсора мыши на элемент гистограммы отображается всплывающая подсказка, содержащая основную информацию: наименование исполнителя/уровень контрактации; наименование статьи калькуляции; сумму. </w:t>
      </w:r>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pPr>
      <w:r w:rsidRPr="00206C4C">
        <w:rPr>
          <w:rFonts w:eastAsia="Calibri"/>
        </w:rPr>
        <w:t>таблица, содержащая информацию по перечню показателей (D_TST_MRK).</w:t>
      </w:r>
    </w:p>
    <w:p w:rsidR="002E7433" w:rsidRPr="00206C4C" w:rsidRDefault="002E7433" w:rsidP="002E7433">
      <w:pPr>
        <w:spacing w:before="240"/>
        <w:rPr>
          <w:sz w:val="28"/>
          <w:szCs w:val="28"/>
        </w:rPr>
      </w:pPr>
      <w:r w:rsidRPr="00206C4C">
        <w:rPr>
          <w:sz w:val="28"/>
          <w:szCs w:val="28"/>
        </w:rPr>
        <w:t>Параметры представления:</w:t>
      </w:r>
    </w:p>
    <w:p w:rsidR="002E7433" w:rsidRPr="00206C4C" w:rsidRDefault="002E7433" w:rsidP="00DE1661">
      <w:pPr>
        <w:pStyle w:val="13"/>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проекту» - «Диаграмма»</w:t>
      </w:r>
    </w:p>
    <w:p w:rsidR="002E7433" w:rsidRPr="00206C4C" w:rsidRDefault="002E7433" w:rsidP="002E7433">
      <w:pPr>
        <w:pStyle w:val="af0"/>
        <w:rPr>
          <w:rFonts w:eastAsia="Calibri"/>
        </w:rPr>
      </w:pPr>
      <w:r w:rsidRPr="00206C4C">
        <w:t xml:space="preserve">Представление «Структура цены» - «По проекту» - «Диаграмма» обеспечивает возможность анализа информации, </w:t>
      </w:r>
      <w:r w:rsidRPr="00206C4C">
        <w:rPr>
          <w:rFonts w:eastAsia="Calibri"/>
        </w:rPr>
        <w:t>включающей в себя сведения о фактической структуре цены контракта</w:t>
      </w:r>
      <w:r w:rsidRPr="00206C4C">
        <w:t xml:space="preserve"> </w:t>
      </w:r>
      <w:r w:rsidRPr="00206C4C">
        <w:rPr>
          <w:rFonts w:eastAsia="Calibri"/>
        </w:rPr>
        <w:t>по всем статьям калькуляции в виде круговой диаграммы (Рисунок</w:t>
      </w:r>
      <w:r w:rsidR="00FC45E6">
        <w:rPr>
          <w:rFonts w:eastAsia="Calibri"/>
        </w:rPr>
        <w:t xml:space="preserve"> </w:t>
      </w:r>
      <w:r w:rsidR="00FC45E6">
        <w:rPr>
          <w:rFonts w:eastAsia="Calibri"/>
        </w:rPr>
        <w:fldChar w:fldCharType="begin"/>
      </w:r>
      <w:r w:rsidR="00FC45E6">
        <w:rPr>
          <w:rFonts w:eastAsia="Calibri"/>
        </w:rPr>
        <w:instrText xml:space="preserve"> REF _Ref70318996 \h </w:instrText>
      </w:r>
      <w:r w:rsidR="00FC45E6">
        <w:rPr>
          <w:rFonts w:eastAsia="Calibri"/>
        </w:rPr>
      </w:r>
      <w:r w:rsidR="00FC45E6">
        <w:rPr>
          <w:rFonts w:eastAsia="Calibri"/>
        </w:rPr>
        <w:fldChar w:fldCharType="separate"/>
      </w:r>
      <w:r w:rsidR="00BF0BEE">
        <w:rPr>
          <w:noProof/>
        </w:rPr>
        <w:t>420</w:t>
      </w:r>
      <w:r w:rsidR="00FC45E6">
        <w:rPr>
          <w:rFonts w:eastAsia="Calibri"/>
        </w:rPr>
        <w:fldChar w:fldCharType="end"/>
      </w:r>
      <w:r w:rsidRPr="00206C4C">
        <w:rPr>
          <w:rFonts w:eastAsia="Calibri"/>
        </w:rPr>
        <w:t>).</w:t>
      </w:r>
    </w:p>
    <w:p w:rsidR="00FC45E6" w:rsidRDefault="00FC45E6" w:rsidP="00FC45E6">
      <w:pPr>
        <w:pStyle w:val="afffff7"/>
        <w:keepNext/>
      </w:pPr>
      <w:r>
        <w:rPr>
          <w:noProof/>
          <w:lang w:eastAsia="ru-RU"/>
        </w:rPr>
        <w:drawing>
          <wp:inline distT="0" distB="0" distL="0" distR="0" wp14:anchorId="0EECA4CD" wp14:editId="277B1634">
            <wp:extent cx="5939790" cy="2895410"/>
            <wp:effectExtent l="0" t="0" r="3810" b="635"/>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2"/>
                    <a:stretch>
                      <a:fillRect/>
                    </a:stretch>
                  </pic:blipFill>
                  <pic:spPr>
                    <a:xfrm>
                      <a:off x="0" y="0"/>
                      <a:ext cx="5939790" cy="2895410"/>
                    </a:xfrm>
                    <a:prstGeom prst="rect">
                      <a:avLst/>
                    </a:prstGeom>
                  </pic:spPr>
                </pic:pic>
              </a:graphicData>
            </a:graphic>
          </wp:inline>
        </w:drawing>
      </w:r>
    </w:p>
    <w:p w:rsidR="002E7433" w:rsidRPr="00206C4C" w:rsidRDefault="00FC45E6" w:rsidP="00FC45E6">
      <w:pPr>
        <w:pStyle w:val="-0"/>
      </w:pPr>
      <w:bookmarkStart w:id="1907" w:name="_Toc119584682"/>
      <w:r w:rsidRPr="00206C4C">
        <w:t xml:space="preserve">Рисунок </w:t>
      </w:r>
      <w:fldSimple w:instr=" SEQ Рисунок \* ARABIC ">
        <w:bookmarkStart w:id="1908" w:name="_Ref70318996"/>
        <w:r w:rsidR="001860A9">
          <w:rPr>
            <w:noProof/>
          </w:rPr>
          <w:t>495</w:t>
        </w:r>
        <w:bookmarkEnd w:id="1908"/>
      </w:fldSimple>
      <w:r w:rsidRPr="00206C4C">
        <w:t xml:space="preserve"> – Макет отчета «Структура цены» - «По проекту» - «Диаграмма»</w:t>
      </w:r>
      <w:bookmarkEnd w:id="1907"/>
    </w:p>
    <w:p w:rsidR="002E7433" w:rsidRPr="00206C4C" w:rsidRDefault="002E7433" w:rsidP="002E7433">
      <w:pPr>
        <w:pStyle w:val="af0"/>
        <w:rPr>
          <w:rFonts w:eastAsia="Calibri"/>
        </w:rPr>
      </w:pPr>
      <w:r w:rsidRPr="00206C4C">
        <w:rPr>
          <w:rFonts w:eastAsia="Calibri"/>
        </w:rPr>
        <w:t>На диаграмме реализована возможность включения/отключения необходимых статей калькуляции. При наведении курсора мыши на элемент диаграммы отображается всплывающая подсказка, содержащая основную информацию: наименование статьи калькуляции; сумму.</w:t>
      </w:r>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pPr>
      <w:r w:rsidRPr="00206C4C">
        <w:rPr>
          <w:rFonts w:eastAsia="Calibri"/>
        </w:rPr>
        <w:t>таблица, содержащая информацию по перечню показателей (D_TST_MRK).</w:t>
      </w:r>
    </w:p>
    <w:p w:rsidR="002E7433" w:rsidRPr="00206C4C" w:rsidRDefault="002E7433" w:rsidP="002E7433">
      <w:pPr>
        <w:pStyle w:val="af0"/>
      </w:pPr>
      <w:r w:rsidRPr="00206C4C">
        <w:t>Параметры представления:</w:t>
      </w:r>
    </w:p>
    <w:p w:rsidR="002E7433" w:rsidRPr="00206C4C" w:rsidRDefault="002E7433" w:rsidP="00DE1661">
      <w:pPr>
        <w:pStyle w:val="13"/>
        <w:rPr>
          <w:lang w:eastAsia="en-US"/>
        </w:rPr>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исполнителям» - «Таблица»</w:t>
      </w:r>
    </w:p>
    <w:p w:rsidR="002E7433" w:rsidRPr="00206C4C" w:rsidRDefault="002E7433" w:rsidP="002E7433">
      <w:pPr>
        <w:pStyle w:val="af0"/>
        <w:rPr>
          <w:rFonts w:eastAsia="Calibri"/>
        </w:rPr>
      </w:pPr>
      <w:r w:rsidRPr="00206C4C">
        <w:t xml:space="preserve">Представление «Структура цены» - «По исполнителям» - «Таблица» обеспечивает анализ информации, </w:t>
      </w:r>
      <w:r w:rsidRPr="00206C4C">
        <w:rPr>
          <w:rFonts w:eastAsia="Calibri"/>
        </w:rPr>
        <w:t>включающей в себя сведения о цене контракта, состоянии расчетов и остатков средств в разрезе уровней кооперации</w:t>
      </w:r>
      <w:r w:rsidRPr="00206C4C">
        <w:t xml:space="preserve"> </w:t>
      </w:r>
      <w:r w:rsidRPr="00206C4C">
        <w:rPr>
          <w:rFonts w:eastAsia="Calibri"/>
        </w:rPr>
        <w:t>по всем статьям калькуляции в виде иерархической таблицы в разрезе исполнителей (Рисунок</w:t>
      </w:r>
      <w:r w:rsidR="00FC45E6">
        <w:rPr>
          <w:rFonts w:eastAsia="Calibri"/>
        </w:rPr>
        <w:t xml:space="preserve"> </w:t>
      </w:r>
      <w:r w:rsidR="00FC45E6">
        <w:rPr>
          <w:rFonts w:eastAsia="Calibri"/>
        </w:rPr>
        <w:fldChar w:fldCharType="begin"/>
      </w:r>
      <w:r w:rsidR="00FC45E6">
        <w:rPr>
          <w:rFonts w:eastAsia="Calibri"/>
        </w:rPr>
        <w:instrText xml:space="preserve"> REF _Ref70319068 \h </w:instrText>
      </w:r>
      <w:r w:rsidR="00FC45E6">
        <w:rPr>
          <w:rFonts w:eastAsia="Calibri"/>
        </w:rPr>
      </w:r>
      <w:r w:rsidR="00FC45E6">
        <w:rPr>
          <w:rFonts w:eastAsia="Calibri"/>
        </w:rPr>
        <w:fldChar w:fldCharType="separate"/>
      </w:r>
      <w:r w:rsidR="00BF0BEE">
        <w:rPr>
          <w:noProof/>
        </w:rPr>
        <w:t>421</w:t>
      </w:r>
      <w:r w:rsidR="00FC45E6">
        <w:rPr>
          <w:rFonts w:eastAsia="Calibri"/>
        </w:rPr>
        <w:fldChar w:fldCharType="end"/>
      </w:r>
      <w:r w:rsidRPr="00206C4C">
        <w:rPr>
          <w:rFonts w:eastAsia="Calibri"/>
        </w:rPr>
        <w:t>).</w:t>
      </w:r>
    </w:p>
    <w:p w:rsidR="00FC45E6" w:rsidRDefault="00FC45E6" w:rsidP="00FC45E6">
      <w:pPr>
        <w:pStyle w:val="afffff7"/>
        <w:keepNext/>
      </w:pPr>
      <w:r>
        <w:rPr>
          <w:noProof/>
          <w:lang w:eastAsia="ru-RU"/>
        </w:rPr>
        <w:drawing>
          <wp:inline distT="0" distB="0" distL="0" distR="0" wp14:anchorId="380F988A" wp14:editId="495BC332">
            <wp:extent cx="5939790" cy="2891119"/>
            <wp:effectExtent l="0" t="0" r="3810" b="508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3"/>
                    <a:stretch>
                      <a:fillRect/>
                    </a:stretch>
                  </pic:blipFill>
                  <pic:spPr>
                    <a:xfrm>
                      <a:off x="0" y="0"/>
                      <a:ext cx="5939790" cy="2891119"/>
                    </a:xfrm>
                    <a:prstGeom prst="rect">
                      <a:avLst/>
                    </a:prstGeom>
                  </pic:spPr>
                </pic:pic>
              </a:graphicData>
            </a:graphic>
          </wp:inline>
        </w:drawing>
      </w:r>
    </w:p>
    <w:p w:rsidR="002E7433" w:rsidRPr="00206C4C" w:rsidRDefault="00FC45E6" w:rsidP="00FC45E6">
      <w:pPr>
        <w:pStyle w:val="-0"/>
      </w:pPr>
      <w:bookmarkStart w:id="1909" w:name="_Toc119584683"/>
      <w:r w:rsidRPr="00206C4C">
        <w:t xml:space="preserve">Рисунок </w:t>
      </w:r>
      <w:fldSimple w:instr=" SEQ Рисунок \* ARABIC ">
        <w:bookmarkStart w:id="1910" w:name="_Ref70319068"/>
        <w:r w:rsidR="001860A9">
          <w:rPr>
            <w:noProof/>
          </w:rPr>
          <w:t>496</w:t>
        </w:r>
        <w:bookmarkEnd w:id="1910"/>
      </w:fldSimple>
      <w:r w:rsidRPr="00206C4C">
        <w:t xml:space="preserve"> – Макет отчета «Структура цены» - «По исполнителям» - «Таблица»</w:t>
      </w:r>
      <w:bookmarkEnd w:id="1909"/>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pPr>
      <w:r w:rsidRPr="00206C4C">
        <w:rPr>
          <w:rFonts w:eastAsia="Calibri"/>
        </w:rPr>
        <w:t>таблица, содержащая информацию по перечню показателей (D_TST_MRK).</w:t>
      </w:r>
    </w:p>
    <w:p w:rsidR="002E7433" w:rsidRPr="00206C4C" w:rsidRDefault="002E7433" w:rsidP="002E7433">
      <w:pPr>
        <w:spacing w:before="240"/>
        <w:rPr>
          <w:sz w:val="28"/>
          <w:szCs w:val="28"/>
        </w:rPr>
      </w:pPr>
      <w:r w:rsidRPr="00206C4C">
        <w:rPr>
          <w:sz w:val="28"/>
          <w:szCs w:val="28"/>
        </w:rPr>
        <w:t>Параметры представления:</w:t>
      </w:r>
    </w:p>
    <w:p w:rsidR="002E7433" w:rsidRPr="00206C4C" w:rsidRDefault="002E7433" w:rsidP="00DE1661">
      <w:pPr>
        <w:pStyle w:val="13"/>
      </w:pPr>
      <w:r w:rsidRPr="00206C4C">
        <w:t>Уровень кооперации: выпадающий список с выбором уровня кооперации. Состоит из элементов: 0-й уровень, 1-й уровень, 2-й уровень, 3-й уровень, 4-й уровень, 5-й уровень.</w:t>
      </w:r>
    </w:p>
    <w:p w:rsidR="002E7433" w:rsidRPr="00206C4C" w:rsidRDefault="002E7433" w:rsidP="00DE1661">
      <w:pPr>
        <w:pStyle w:val="13"/>
      </w:pPr>
      <w:r w:rsidRPr="00206C4C">
        <w:t xml:space="preserve">Исполнитель: выпадающий список с выбором исполнителя по наименованию организации в рамках выбранного уровня кооперации. </w:t>
      </w:r>
    </w:p>
    <w:p w:rsidR="002E7433" w:rsidRPr="00206C4C" w:rsidRDefault="002E7433" w:rsidP="00DE1661">
      <w:pPr>
        <w:pStyle w:val="13"/>
      </w:pPr>
      <w:r w:rsidRPr="00206C4C">
        <w:t>Номер контракта: выпадающий список с выбором номера контракта в рамках выбранного уровня кооперации.</w:t>
      </w:r>
    </w:p>
    <w:p w:rsidR="002E7433" w:rsidRPr="00206C4C" w:rsidRDefault="002E7433" w:rsidP="00DE1661">
      <w:pPr>
        <w:pStyle w:val="13"/>
        <w:rPr>
          <w:lang w:eastAsia="en-US"/>
        </w:rPr>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исполнителям» - «Гистограмма»</w:t>
      </w:r>
    </w:p>
    <w:p w:rsidR="002E7433" w:rsidRPr="00206C4C" w:rsidRDefault="002E7433" w:rsidP="002E7433">
      <w:pPr>
        <w:pStyle w:val="af0"/>
        <w:rPr>
          <w:rFonts w:eastAsia="Calibri"/>
        </w:rPr>
      </w:pPr>
      <w:r w:rsidRPr="00206C4C">
        <w:rPr>
          <w:szCs w:val="28"/>
        </w:rPr>
        <w:t xml:space="preserve">Представление «Структура цены» обеспечивает анализ информации, </w:t>
      </w:r>
      <w:r w:rsidRPr="00206C4C">
        <w:rPr>
          <w:rFonts w:eastAsia="Calibri"/>
        </w:rPr>
        <w:t>включающей в себя сведения о фактической структуре цены контракта по всем статьям калькуляции в виде гистограммы в разрезе исполнителей (Рисунок</w:t>
      </w:r>
      <w:r w:rsidR="00FC45E6">
        <w:rPr>
          <w:rFonts w:eastAsia="Calibri"/>
        </w:rPr>
        <w:t xml:space="preserve"> </w:t>
      </w:r>
      <w:r w:rsidR="00FC45E6">
        <w:rPr>
          <w:rFonts w:eastAsia="Calibri"/>
        </w:rPr>
        <w:fldChar w:fldCharType="begin"/>
      </w:r>
      <w:r w:rsidR="00FC45E6">
        <w:rPr>
          <w:rFonts w:eastAsia="Calibri"/>
        </w:rPr>
        <w:instrText xml:space="preserve"> REF _Ref70319119 \h </w:instrText>
      </w:r>
      <w:r w:rsidR="00FC45E6">
        <w:rPr>
          <w:rFonts w:eastAsia="Calibri"/>
        </w:rPr>
      </w:r>
      <w:r w:rsidR="00FC45E6">
        <w:rPr>
          <w:rFonts w:eastAsia="Calibri"/>
        </w:rPr>
        <w:fldChar w:fldCharType="separate"/>
      </w:r>
      <w:r w:rsidR="00BF0BEE">
        <w:rPr>
          <w:noProof/>
        </w:rPr>
        <w:t>422</w:t>
      </w:r>
      <w:r w:rsidR="00FC45E6">
        <w:rPr>
          <w:rFonts w:eastAsia="Calibri"/>
        </w:rPr>
        <w:fldChar w:fldCharType="end"/>
      </w:r>
      <w:r w:rsidRPr="00206C4C">
        <w:rPr>
          <w:rFonts w:eastAsia="Calibri"/>
        </w:rPr>
        <w:t>).</w:t>
      </w:r>
    </w:p>
    <w:p w:rsidR="00FC45E6" w:rsidRDefault="00FC45E6" w:rsidP="00FC45E6">
      <w:pPr>
        <w:pStyle w:val="afffff7"/>
        <w:keepNext/>
      </w:pPr>
      <w:r>
        <w:rPr>
          <w:noProof/>
          <w:lang w:eastAsia="ru-RU"/>
        </w:rPr>
        <w:drawing>
          <wp:inline distT="0" distB="0" distL="0" distR="0" wp14:anchorId="605C1F91" wp14:editId="4933E5AD">
            <wp:extent cx="5939790" cy="2900314"/>
            <wp:effectExtent l="0" t="0" r="381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4"/>
                    <a:stretch>
                      <a:fillRect/>
                    </a:stretch>
                  </pic:blipFill>
                  <pic:spPr>
                    <a:xfrm>
                      <a:off x="0" y="0"/>
                      <a:ext cx="5939790" cy="2900314"/>
                    </a:xfrm>
                    <a:prstGeom prst="rect">
                      <a:avLst/>
                    </a:prstGeom>
                  </pic:spPr>
                </pic:pic>
              </a:graphicData>
            </a:graphic>
          </wp:inline>
        </w:drawing>
      </w:r>
    </w:p>
    <w:p w:rsidR="002E7433" w:rsidRPr="00206C4C" w:rsidRDefault="00FC45E6" w:rsidP="00FC45E6">
      <w:pPr>
        <w:pStyle w:val="-0"/>
      </w:pPr>
      <w:bookmarkStart w:id="1911" w:name="_Toc119584684"/>
      <w:r w:rsidRPr="00206C4C">
        <w:t xml:space="preserve">Рисунок </w:t>
      </w:r>
      <w:fldSimple w:instr=" SEQ Рисунок \* ARABIC ">
        <w:bookmarkStart w:id="1912" w:name="_Ref70319119"/>
        <w:r w:rsidR="001860A9">
          <w:rPr>
            <w:noProof/>
          </w:rPr>
          <w:t>497</w:t>
        </w:r>
        <w:bookmarkEnd w:id="1912"/>
      </w:fldSimple>
      <w:r w:rsidRPr="00206C4C">
        <w:t xml:space="preserve"> – Макет отчета «Структура цены» - «По исполнителям» - «Гистограмма»</w:t>
      </w:r>
      <w:bookmarkEnd w:id="1911"/>
    </w:p>
    <w:p w:rsidR="002E7433" w:rsidRPr="00206C4C" w:rsidRDefault="002E7433" w:rsidP="002E7433">
      <w:pPr>
        <w:pStyle w:val="af0"/>
        <w:rPr>
          <w:rFonts w:eastAsia="Calibri"/>
        </w:rPr>
      </w:pPr>
      <w:r w:rsidRPr="00206C4C">
        <w:rPr>
          <w:rFonts w:eastAsia="Calibri"/>
        </w:rPr>
        <w:t>На гистограмме реализована возможность включения/отключения необходимых статей калькуляции. При наведении курсора мыши на элемент гистограммы отображается всплывающая подсказка, содержащая основную информацию: наименование исполнителя/уровень контрактации; наименование статьи калькуляции; сумму.</w:t>
      </w:r>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rPr>
          <w:szCs w:val="28"/>
        </w:rPr>
      </w:pPr>
      <w:r w:rsidRPr="00206C4C">
        <w:rPr>
          <w:rFonts w:eastAsia="Calibri"/>
        </w:rPr>
        <w:t>таблица, содержащая информацию по перечню показателей (D_TST_MRK).</w:t>
      </w:r>
    </w:p>
    <w:p w:rsidR="002E7433" w:rsidRPr="00206C4C" w:rsidRDefault="002E7433" w:rsidP="002E7433">
      <w:pPr>
        <w:pStyle w:val="af0"/>
      </w:pPr>
      <w:r w:rsidRPr="00206C4C">
        <w:t>Параметры представления:</w:t>
      </w:r>
    </w:p>
    <w:p w:rsidR="002E7433" w:rsidRPr="00206C4C" w:rsidRDefault="002E7433" w:rsidP="00DE1661">
      <w:pPr>
        <w:pStyle w:val="13"/>
      </w:pPr>
      <w:r w:rsidRPr="00206C4C">
        <w:t>Уровень кооперации: выпадающий список с выбором уровня кооперации. Состоит из элементов: 0-й уровень, 1-й уровень, 2-й уровень, 3-й уровень, 4-й уровень, 5-й уровень.</w:t>
      </w:r>
    </w:p>
    <w:p w:rsidR="002E7433" w:rsidRPr="00206C4C" w:rsidRDefault="002E7433" w:rsidP="00DE1661">
      <w:pPr>
        <w:pStyle w:val="13"/>
      </w:pPr>
      <w:r w:rsidRPr="00206C4C">
        <w:t xml:space="preserve">Исполнитель: выпадающий список с выбором исполнителя по наименованию организации в рамках выбранного уровня кооперации. </w:t>
      </w:r>
    </w:p>
    <w:p w:rsidR="002E7433" w:rsidRPr="00206C4C" w:rsidRDefault="002E7433" w:rsidP="00DE1661">
      <w:pPr>
        <w:pStyle w:val="13"/>
      </w:pPr>
      <w:r w:rsidRPr="00206C4C">
        <w:t>Номер контракта: выпадающий список с выбором номера контракта в рамках выбранного уровня кооперации.</w:t>
      </w:r>
    </w:p>
    <w:p w:rsidR="002E7433" w:rsidRPr="00206C4C" w:rsidRDefault="002E7433" w:rsidP="00DE1661">
      <w:pPr>
        <w:pStyle w:val="13"/>
        <w:rPr>
          <w:lang w:eastAsia="en-US"/>
        </w:rPr>
      </w:pPr>
      <w:r w:rsidRPr="00206C4C">
        <w:t>Единицы измерения: выпадающий список с выбором единиц измерения. Состоит из элементов: руб., тыс. руб., млн руб., млрд руб.</w:t>
      </w:r>
    </w:p>
    <w:p w:rsidR="002E7433" w:rsidRPr="00206C4C" w:rsidRDefault="002E7433" w:rsidP="00862055">
      <w:pPr>
        <w:pStyle w:val="42"/>
        <w:numPr>
          <w:ilvl w:val="3"/>
          <w:numId w:val="135"/>
        </w:numPr>
      </w:pPr>
      <w:r w:rsidRPr="00206C4C">
        <w:t>Представление «Структура цены» - «По статьям»</w:t>
      </w:r>
    </w:p>
    <w:p w:rsidR="002E7433" w:rsidRPr="00206C4C" w:rsidRDefault="002E7433" w:rsidP="002E7433">
      <w:pPr>
        <w:pStyle w:val="af0"/>
        <w:rPr>
          <w:rFonts w:eastAsia="Calibri"/>
        </w:rPr>
      </w:pPr>
      <w:r w:rsidRPr="00206C4C">
        <w:rPr>
          <w:szCs w:val="28"/>
        </w:rPr>
        <w:t xml:space="preserve">Аналитический отчет «Структура цены» должен обеспечивать возможность анализа информации, </w:t>
      </w:r>
      <w:r w:rsidRPr="00206C4C">
        <w:rPr>
          <w:rFonts w:eastAsia="Calibri"/>
        </w:rPr>
        <w:t>включающей в себя сведения о фактической структуре цены контракта по всем статьям калькуляции в виде гистограммы с накоплением. При наведении курсора мыши на элемент гистограммы должна отображаться всплывающая подсказка, содержащая основную информацию: наименование статьи калькуляции; сумму (Рисунок</w:t>
      </w:r>
      <w:r w:rsidR="00602775">
        <w:rPr>
          <w:rFonts w:eastAsia="Calibri"/>
        </w:rPr>
        <w:t xml:space="preserve"> </w:t>
      </w:r>
      <w:r w:rsidR="00602775">
        <w:rPr>
          <w:rFonts w:eastAsia="Calibri"/>
        </w:rPr>
        <w:fldChar w:fldCharType="begin"/>
      </w:r>
      <w:r w:rsidR="00602775">
        <w:rPr>
          <w:rFonts w:eastAsia="Calibri"/>
        </w:rPr>
        <w:instrText xml:space="preserve"> REF _Ref70319161 \h </w:instrText>
      </w:r>
      <w:r w:rsidR="00602775">
        <w:rPr>
          <w:rFonts w:eastAsia="Calibri"/>
        </w:rPr>
      </w:r>
      <w:r w:rsidR="00602775">
        <w:rPr>
          <w:rFonts w:eastAsia="Calibri"/>
        </w:rPr>
        <w:fldChar w:fldCharType="separate"/>
      </w:r>
      <w:r w:rsidR="00BF0BEE">
        <w:rPr>
          <w:noProof/>
        </w:rPr>
        <w:t>423</w:t>
      </w:r>
      <w:r w:rsidR="00602775">
        <w:rPr>
          <w:rFonts w:eastAsia="Calibri"/>
        </w:rPr>
        <w:fldChar w:fldCharType="end"/>
      </w:r>
      <w:r w:rsidRPr="00206C4C">
        <w:rPr>
          <w:rFonts w:eastAsia="Calibri"/>
        </w:rPr>
        <w:t>).</w:t>
      </w:r>
    </w:p>
    <w:p w:rsidR="00602775" w:rsidRDefault="00602775" w:rsidP="00602775">
      <w:pPr>
        <w:pStyle w:val="afffff7"/>
        <w:keepNext/>
      </w:pPr>
      <w:r>
        <w:rPr>
          <w:noProof/>
          <w:lang w:eastAsia="ru-RU"/>
        </w:rPr>
        <w:drawing>
          <wp:inline distT="0" distB="0" distL="0" distR="0" wp14:anchorId="66FEFC2E" wp14:editId="5F1D64D9">
            <wp:extent cx="5939790" cy="2895410"/>
            <wp:effectExtent l="0" t="0" r="3810" b="635"/>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5"/>
                    <a:stretch>
                      <a:fillRect/>
                    </a:stretch>
                  </pic:blipFill>
                  <pic:spPr>
                    <a:xfrm>
                      <a:off x="0" y="0"/>
                      <a:ext cx="5939790" cy="2895410"/>
                    </a:xfrm>
                    <a:prstGeom prst="rect">
                      <a:avLst/>
                    </a:prstGeom>
                  </pic:spPr>
                </pic:pic>
              </a:graphicData>
            </a:graphic>
          </wp:inline>
        </w:drawing>
      </w:r>
    </w:p>
    <w:p w:rsidR="002E7433" w:rsidRPr="00206C4C" w:rsidRDefault="00602775" w:rsidP="00602775">
      <w:pPr>
        <w:pStyle w:val="-0"/>
      </w:pPr>
      <w:bookmarkStart w:id="1913" w:name="_Toc119584685"/>
      <w:r w:rsidRPr="00206C4C">
        <w:rPr>
          <w:rFonts w:eastAsia="Calibri"/>
        </w:rPr>
        <w:t xml:space="preserve">Рисунок </w:t>
      </w:r>
      <w:fldSimple w:instr=" SEQ Рисунок \* ARABIC ">
        <w:bookmarkStart w:id="1914" w:name="_Ref70319161"/>
        <w:r w:rsidR="001860A9">
          <w:rPr>
            <w:noProof/>
          </w:rPr>
          <w:t>498</w:t>
        </w:r>
        <w:bookmarkEnd w:id="1914"/>
      </w:fldSimple>
      <w:r w:rsidRPr="00206C4C">
        <w:rPr>
          <w:rFonts w:eastAsia="Calibri"/>
        </w:rPr>
        <w:t xml:space="preserve"> – Макет отчета «Структура цены» - «По статьям»</w:t>
      </w:r>
      <w:bookmarkEnd w:id="1913"/>
    </w:p>
    <w:p w:rsidR="002E7433" w:rsidRPr="00206C4C" w:rsidRDefault="002E7433" w:rsidP="002E7433">
      <w:pPr>
        <w:pStyle w:val="af0"/>
        <w:rPr>
          <w:rFonts w:eastAsia="Calibri"/>
        </w:rPr>
      </w:pPr>
      <w:r w:rsidRPr="00206C4C">
        <w:rPr>
          <w:rFonts w:eastAsia="Calibri"/>
        </w:rPr>
        <w:t xml:space="preserve">Отчет формируется на основе таблицы </w:t>
      </w:r>
      <w:r w:rsidRPr="00206C4C">
        <w:rPr>
          <w:rFonts w:eastAsia="Calibri"/>
          <w:lang w:val="en-US"/>
        </w:rPr>
        <w:t>F</w:t>
      </w:r>
      <w:r w:rsidRPr="00206C4C">
        <w:rPr>
          <w:rFonts w:eastAsia="Calibri"/>
        </w:rPr>
        <w:t>_</w:t>
      </w:r>
      <w:r w:rsidRPr="00206C4C">
        <w:rPr>
          <w:rFonts w:eastAsia="Calibri"/>
          <w:lang w:val="en-US"/>
        </w:rPr>
        <w:t>TST</w:t>
      </w:r>
      <w:r w:rsidRPr="00206C4C">
        <w:rPr>
          <w:rFonts w:eastAsia="Calibri"/>
        </w:rPr>
        <w:t>_</w:t>
      </w:r>
      <w:r w:rsidRPr="00206C4C">
        <w:rPr>
          <w:rFonts w:eastAsia="Calibri"/>
          <w:lang w:val="en-US"/>
        </w:rPr>
        <w:t>FIFA</w:t>
      </w:r>
      <w:r w:rsidRPr="00206C4C">
        <w:rPr>
          <w:rFonts w:eastAsia="Calibri"/>
        </w:rPr>
        <w:t>, которая заполняется сценарием загрузки. Также в отчете используются фиксированные таблицы, сформированные один раз, которые не обновляются сценарием загрузки, так как перечень необходимой для отчета информации, жестко определен в исходном файле и не требует автоматического обновления сценарием загрузки:</w:t>
      </w:r>
    </w:p>
    <w:p w:rsidR="002E7433" w:rsidRPr="00206C4C" w:rsidRDefault="002E7433" w:rsidP="00DE1661">
      <w:pPr>
        <w:pStyle w:val="13"/>
        <w:rPr>
          <w:rFonts w:eastAsia="Calibri"/>
        </w:rPr>
      </w:pPr>
      <w:r w:rsidRPr="00206C4C">
        <w:rPr>
          <w:rFonts w:eastAsia="Calibri"/>
        </w:rPr>
        <w:t>таблица, содержащая информацию по статьям калькуляции (D_TST_PRICESTRUC);</w:t>
      </w:r>
    </w:p>
    <w:p w:rsidR="002E7433" w:rsidRPr="00206C4C" w:rsidRDefault="002E7433" w:rsidP="00DE1661">
      <w:pPr>
        <w:pStyle w:val="13"/>
        <w:rPr>
          <w:szCs w:val="28"/>
        </w:rPr>
      </w:pPr>
      <w:r w:rsidRPr="00206C4C">
        <w:rPr>
          <w:rFonts w:eastAsia="Calibri"/>
        </w:rPr>
        <w:t>таблица, содержащая информацию по перечню показателей (D_TST_MRK).</w:t>
      </w:r>
    </w:p>
    <w:p w:rsidR="002E7433" w:rsidRPr="00206C4C" w:rsidRDefault="002E7433" w:rsidP="002E7433">
      <w:pPr>
        <w:pStyle w:val="af0"/>
      </w:pPr>
      <w:r w:rsidRPr="00206C4C">
        <w:t>Параметры представления:</w:t>
      </w:r>
    </w:p>
    <w:p w:rsidR="002E7433" w:rsidRPr="00206C4C" w:rsidRDefault="002E7433" w:rsidP="00DE1661">
      <w:pPr>
        <w:pStyle w:val="13"/>
      </w:pPr>
      <w:r w:rsidRPr="00206C4C">
        <w:t>Уровень кооперации: выпадающий список с множественным выбором уровня кооперации. Состоит из элементов: 0-й уровень, 1-й уровень, 2-й уровень, 3-й уровень, 4-й уровень, 5-й уровень.</w:t>
      </w:r>
    </w:p>
    <w:p w:rsidR="006A1B2D" w:rsidRDefault="002E7433" w:rsidP="00DE1661">
      <w:pPr>
        <w:pStyle w:val="13"/>
      </w:pPr>
      <w:r w:rsidRPr="00206C4C">
        <w:t>Единицы измерения: выпадающий список с выбором единиц измерения. Состоит из элементов: руб.,</w:t>
      </w:r>
      <w:r>
        <w:t xml:space="preserve"> тыс. руб., млн руб., млрд руб.</w:t>
      </w:r>
    </w:p>
    <w:p w:rsidR="0085043E" w:rsidRDefault="00C37C2D" w:rsidP="00862055">
      <w:pPr>
        <w:pStyle w:val="35"/>
        <w:numPr>
          <w:ilvl w:val="2"/>
          <w:numId w:val="135"/>
        </w:numPr>
      </w:pPr>
      <w:bookmarkStart w:id="1915" w:name="_Toc119585118"/>
      <w:r>
        <w:t>Отчет «Казначейское сопровождение средств БС/МБ»</w:t>
      </w:r>
      <w:r w:rsidR="00730A50">
        <w:t xml:space="preserve"> (</w:t>
      </w:r>
      <w:r w:rsidR="00730A50" w:rsidRPr="00730A50">
        <w:t>PIAO_100_016_report</w:t>
      </w:r>
      <w:r w:rsidR="00730A50">
        <w:t>)</w:t>
      </w:r>
      <w:bookmarkEnd w:id="1915"/>
    </w:p>
    <w:p w:rsidR="00AE6357" w:rsidRPr="00206C4C" w:rsidRDefault="00AE6357" w:rsidP="00AE6357">
      <w:pPr>
        <w:pStyle w:val="af0"/>
        <w:rPr>
          <w:rStyle w:val="af1"/>
        </w:rPr>
      </w:pPr>
      <w:r w:rsidRPr="00206C4C">
        <w:rPr>
          <w:rStyle w:val="af1"/>
        </w:rPr>
        <w:t>Для перехода к отчету «</w:t>
      </w:r>
      <w:r w:rsidRPr="00AE6357">
        <w:rPr>
          <w:szCs w:val="28"/>
        </w:rPr>
        <w:t>Казначейское сопровождение средств БС/МБ</w:t>
      </w:r>
      <w:r w:rsidRPr="00206C4C">
        <w:rPr>
          <w:rStyle w:val="af1"/>
        </w:rPr>
        <w:t>» необходимо перейти к витрине «Казначейское сопровождение» и кликнуть мышью по плашке с наименованием отчета «</w:t>
      </w:r>
      <w:r w:rsidRPr="00AE6357">
        <w:rPr>
          <w:szCs w:val="28"/>
        </w:rPr>
        <w:t>Казначейское сопровождение средств БС/МБ</w:t>
      </w:r>
      <w:r w:rsidRPr="00206C4C">
        <w:rPr>
          <w:rStyle w:val="af1"/>
        </w:rPr>
        <w:t xml:space="preserve">», как показано на </w:t>
      </w:r>
      <w:r>
        <w:rPr>
          <w:rStyle w:val="af1"/>
        </w:rPr>
        <w:t>Р</w:t>
      </w:r>
      <w:r w:rsidRPr="00206C4C">
        <w:rPr>
          <w:rStyle w:val="af1"/>
        </w:rPr>
        <w:t>исунке</w:t>
      </w:r>
      <w:r>
        <w:rPr>
          <w:rStyle w:val="af1"/>
        </w:rPr>
        <w:t xml:space="preserve"> </w:t>
      </w:r>
      <w:r w:rsidR="006A3EDD">
        <w:rPr>
          <w:rStyle w:val="af1"/>
        </w:rPr>
        <w:fldChar w:fldCharType="begin"/>
      </w:r>
      <w:r w:rsidR="006A3EDD">
        <w:rPr>
          <w:rStyle w:val="af1"/>
        </w:rPr>
        <w:instrText xml:space="preserve"> REF _Ref82427842 \h </w:instrText>
      </w:r>
      <w:r w:rsidR="006A3EDD">
        <w:rPr>
          <w:rStyle w:val="af1"/>
        </w:rPr>
      </w:r>
      <w:r w:rsidR="006A3EDD">
        <w:rPr>
          <w:rStyle w:val="af1"/>
        </w:rPr>
        <w:fldChar w:fldCharType="separate"/>
      </w:r>
      <w:r w:rsidR="00BF0BEE">
        <w:rPr>
          <w:noProof/>
        </w:rPr>
        <w:t>424</w:t>
      </w:r>
      <w:r w:rsidR="006A3EDD">
        <w:rPr>
          <w:rStyle w:val="af1"/>
        </w:rPr>
        <w:fldChar w:fldCharType="end"/>
      </w:r>
      <w:r w:rsidRPr="00206C4C">
        <w:rPr>
          <w:rStyle w:val="af1"/>
        </w:rPr>
        <w:t>.</w:t>
      </w:r>
    </w:p>
    <w:p w:rsidR="006A3EDD" w:rsidRDefault="006A3EDD" w:rsidP="006A3EDD">
      <w:pPr>
        <w:pStyle w:val="-0"/>
      </w:pPr>
      <w:r>
        <w:rPr>
          <w:noProof/>
          <w:snapToGrid/>
        </w:rPr>
        <w:drawing>
          <wp:inline distT="0" distB="0" distL="0" distR="0" wp14:anchorId="05B2C781" wp14:editId="369C5E34">
            <wp:extent cx="6119495" cy="2979851"/>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6"/>
                    <a:stretch>
                      <a:fillRect/>
                    </a:stretch>
                  </pic:blipFill>
                  <pic:spPr>
                    <a:xfrm>
                      <a:off x="0" y="0"/>
                      <a:ext cx="6119495" cy="2979851"/>
                    </a:xfrm>
                    <a:prstGeom prst="rect">
                      <a:avLst/>
                    </a:prstGeom>
                  </pic:spPr>
                </pic:pic>
              </a:graphicData>
            </a:graphic>
          </wp:inline>
        </w:drawing>
      </w:r>
    </w:p>
    <w:p w:rsidR="00AE6357" w:rsidRDefault="006A3EDD" w:rsidP="006A3EDD">
      <w:pPr>
        <w:pStyle w:val="-0"/>
      </w:pPr>
      <w:bookmarkStart w:id="1916" w:name="_Toc119584686"/>
      <w:r>
        <w:t xml:space="preserve">Рисунок </w:t>
      </w:r>
      <w:fldSimple w:instr=" SEQ Рисунок \* ARABIC ">
        <w:bookmarkStart w:id="1917" w:name="_Ref82427842"/>
        <w:r w:rsidR="001860A9">
          <w:rPr>
            <w:noProof/>
          </w:rPr>
          <w:t>499</w:t>
        </w:r>
        <w:bookmarkEnd w:id="1917"/>
      </w:fldSimple>
      <w:r w:rsidRPr="00206C4C">
        <w:t xml:space="preserve"> – Плашка для перехода к отчету «</w:t>
      </w:r>
      <w:r w:rsidRPr="00AE6357">
        <w:rPr>
          <w:szCs w:val="28"/>
        </w:rPr>
        <w:t>Казначейское сопровождение средств БС/МБ</w:t>
      </w:r>
      <w:r w:rsidRPr="00206C4C">
        <w:t>»</w:t>
      </w:r>
      <w:bookmarkEnd w:id="1916"/>
    </w:p>
    <w:p w:rsidR="006A3EDD" w:rsidRPr="00B975AE" w:rsidRDefault="006A3EDD" w:rsidP="00862055">
      <w:pPr>
        <w:pStyle w:val="42"/>
        <w:keepNext/>
        <w:numPr>
          <w:ilvl w:val="3"/>
          <w:numId w:val="135"/>
        </w:numPr>
      </w:pPr>
      <w:bookmarkStart w:id="1918" w:name="_Toc80799851"/>
      <w:r w:rsidRPr="00B975AE">
        <w:t>Представление «ГК (МК), соглашения»</w:t>
      </w:r>
      <w:bookmarkEnd w:id="1918"/>
    </w:p>
    <w:p w:rsidR="006A3EDD" w:rsidRPr="000B7F01" w:rsidRDefault="006A3EDD" w:rsidP="006A3EDD">
      <w:pPr>
        <w:pStyle w:val="af0"/>
      </w:pPr>
      <w:bookmarkStart w:id="1919" w:name="_Toc80180444"/>
      <w:r w:rsidRPr="000B7F01">
        <w:t>Представление «ГК</w:t>
      </w:r>
      <w:r>
        <w:t xml:space="preserve"> </w:t>
      </w:r>
      <w:r w:rsidRPr="000B7F01">
        <w:t>(МК),</w:t>
      </w:r>
      <w:r>
        <w:t xml:space="preserve"> </w:t>
      </w:r>
      <w:r w:rsidRPr="000B7F01">
        <w:t xml:space="preserve">соглашения» </w:t>
      </w:r>
      <w:r>
        <w:t xml:space="preserve">содержит </w:t>
      </w:r>
      <w:r w:rsidRPr="000B7F01">
        <w:t xml:space="preserve">сведения о заключенных государственных </w:t>
      </w:r>
      <w:r>
        <w:t xml:space="preserve">(муниципальных) </w:t>
      </w:r>
      <w:r w:rsidRPr="000B7F01">
        <w:t>контрактах, соглашениях, находящихся под казначейским сопров</w:t>
      </w:r>
      <w:r>
        <w:t>ождением</w:t>
      </w:r>
      <w:r w:rsidRPr="000B7F01">
        <w:t>,</w:t>
      </w:r>
      <w:r>
        <w:t xml:space="preserve"> финансирование которых происходит за счет средств бюджетов субъектов и местных бюджетов</w:t>
      </w:r>
      <w:r w:rsidRPr="000B7F01">
        <w:t>.</w:t>
      </w:r>
      <w:bookmarkEnd w:id="1919"/>
    </w:p>
    <w:p w:rsidR="006A3EDD" w:rsidRDefault="006A3EDD" w:rsidP="006A3EDD">
      <w:pPr>
        <w:pStyle w:val="af0"/>
        <w:spacing w:after="120"/>
      </w:pPr>
      <w:r>
        <w:t>Отчет содержит следующие атрибуты:</w:t>
      </w:r>
    </w:p>
    <w:p w:rsidR="006A3EDD" w:rsidRDefault="006A3EDD" w:rsidP="00DE1661">
      <w:pPr>
        <w:pStyle w:val="13"/>
      </w:pPr>
      <w:r>
        <w:t>ГРБС, предоставивший средства (федеральный уровень): Код ГРБС;</w:t>
      </w:r>
    </w:p>
    <w:p w:rsidR="006A3EDD" w:rsidRDefault="006A3EDD" w:rsidP="00DE1661">
      <w:pPr>
        <w:pStyle w:val="13"/>
      </w:pPr>
      <w:r>
        <w:t>ГРБС, предоставивший средства (федеральный уровень): Наименование ГРБС;</w:t>
      </w:r>
    </w:p>
    <w:p w:rsidR="006A3EDD" w:rsidRDefault="006A3EDD" w:rsidP="00DE1661">
      <w:pPr>
        <w:pStyle w:val="13"/>
      </w:pPr>
      <w:r>
        <w:t>Соглашение (договор) о предоставлении МБТ из ФБ, имеющего целевое назначение: Номер  договора (соглашения);</w:t>
      </w:r>
    </w:p>
    <w:p w:rsidR="006A3EDD" w:rsidRDefault="006A3EDD" w:rsidP="00DE1661">
      <w:pPr>
        <w:pStyle w:val="13"/>
      </w:pPr>
      <w:r>
        <w:t>Соглашение (договор) о предоставлении МБТ из ФБ, имеющего целевое назначение: Дата  договора (соглашения);</w:t>
      </w:r>
    </w:p>
    <w:p w:rsidR="006A3EDD" w:rsidRDefault="006A3EDD" w:rsidP="00DE1661">
      <w:pPr>
        <w:pStyle w:val="13"/>
      </w:pPr>
      <w:r>
        <w:t>Соглашение (договор) о предоставлении МБТ из ФБ, имеющего целевое назначение: Реестровая запись;</w:t>
      </w:r>
    </w:p>
    <w:p w:rsidR="006A3EDD" w:rsidRDefault="006A3EDD" w:rsidP="00DE1661">
      <w:pPr>
        <w:pStyle w:val="13"/>
      </w:pPr>
      <w:r>
        <w:t>Уровень бюджета;</w:t>
      </w:r>
    </w:p>
    <w:p w:rsidR="006A3EDD" w:rsidRDefault="006A3EDD" w:rsidP="00DE1661">
      <w:pPr>
        <w:pStyle w:val="13"/>
      </w:pPr>
      <w:r>
        <w:t>Наименование субъекта/муниципального образования;</w:t>
      </w:r>
    </w:p>
    <w:p w:rsidR="006A3EDD" w:rsidRDefault="006A3EDD" w:rsidP="00DE1661">
      <w:pPr>
        <w:pStyle w:val="13"/>
      </w:pPr>
      <w:r>
        <w:t>Тип документа (гос. (муниц.) контракт/соглашение);</w:t>
      </w:r>
    </w:p>
    <w:p w:rsidR="006A3EDD" w:rsidRDefault="006A3EDD" w:rsidP="00DE1661">
      <w:pPr>
        <w:pStyle w:val="13"/>
      </w:pPr>
      <w:r>
        <w:t>Номер гос. (муниц.) контракта/соглашения;</w:t>
      </w:r>
    </w:p>
    <w:p w:rsidR="006A3EDD" w:rsidRDefault="006A3EDD" w:rsidP="00DE1661">
      <w:pPr>
        <w:pStyle w:val="13"/>
      </w:pPr>
      <w:r>
        <w:t>Дата заключения;</w:t>
      </w:r>
    </w:p>
    <w:p w:rsidR="006A3EDD" w:rsidRDefault="006A3EDD" w:rsidP="00DE1661">
      <w:pPr>
        <w:pStyle w:val="13"/>
      </w:pPr>
      <w:r>
        <w:t>Дата исполнения;</w:t>
      </w:r>
    </w:p>
    <w:p w:rsidR="006A3EDD" w:rsidRDefault="006A3EDD" w:rsidP="00DE1661">
      <w:pPr>
        <w:pStyle w:val="13"/>
      </w:pPr>
      <w:r>
        <w:t>Номер идентификатора;</w:t>
      </w:r>
    </w:p>
    <w:p w:rsidR="006A3EDD" w:rsidRDefault="006A3EDD" w:rsidP="00DE1661">
      <w:pPr>
        <w:pStyle w:val="13"/>
      </w:pPr>
      <w:r>
        <w:t>Код нац.проекта;</w:t>
      </w:r>
    </w:p>
    <w:p w:rsidR="006A3EDD" w:rsidRDefault="006A3EDD" w:rsidP="00DE1661">
      <w:pPr>
        <w:pStyle w:val="13"/>
      </w:pPr>
      <w:r>
        <w:t>Наименование нац.проекта (по умолчанию скрыта);</w:t>
      </w:r>
    </w:p>
    <w:p w:rsidR="006A3EDD" w:rsidRDefault="006A3EDD" w:rsidP="00DE1661">
      <w:pPr>
        <w:pStyle w:val="13"/>
      </w:pPr>
      <w:r>
        <w:t>Код фед.проекта;</w:t>
      </w:r>
    </w:p>
    <w:p w:rsidR="006A3EDD" w:rsidRDefault="006A3EDD" w:rsidP="00DE1661">
      <w:pPr>
        <w:pStyle w:val="13"/>
      </w:pPr>
      <w:r>
        <w:t>Наименование фед.проекта (по умолчанию скрыта);</w:t>
      </w:r>
    </w:p>
    <w:p w:rsidR="006A3EDD" w:rsidRDefault="006A3EDD" w:rsidP="00DE1661">
      <w:pPr>
        <w:pStyle w:val="13"/>
      </w:pPr>
      <w:r>
        <w:t>Предмет гос. (муниц.) контракта/соглашения;</w:t>
      </w:r>
    </w:p>
    <w:p w:rsidR="006A3EDD" w:rsidRDefault="006A3EDD" w:rsidP="00DE1661">
      <w:pPr>
        <w:pStyle w:val="13"/>
      </w:pPr>
      <w:r>
        <w:t>Сумма гос. (муниц.) контракта/соглашения;</w:t>
      </w:r>
    </w:p>
    <w:p w:rsidR="006A3EDD" w:rsidRDefault="006A3EDD" w:rsidP="00DE1661">
      <w:pPr>
        <w:pStyle w:val="13"/>
      </w:pPr>
      <w:r>
        <w:t>В том числе % софинансирования из ФБ;</w:t>
      </w:r>
    </w:p>
    <w:p w:rsidR="006A3EDD" w:rsidRDefault="006A3EDD" w:rsidP="00DE1661">
      <w:pPr>
        <w:pStyle w:val="13"/>
      </w:pPr>
      <w:r>
        <w:t>Сумма софинансирования из ФБ;</w:t>
      </w:r>
    </w:p>
    <w:p w:rsidR="006A3EDD" w:rsidRDefault="006A3EDD" w:rsidP="00DE1661">
      <w:pPr>
        <w:pStyle w:val="13"/>
      </w:pPr>
      <w:r>
        <w:t>Сумма аванса;</w:t>
      </w:r>
    </w:p>
    <w:p w:rsidR="006A3EDD" w:rsidRDefault="006A3EDD" w:rsidP="00DE1661">
      <w:pPr>
        <w:pStyle w:val="13"/>
      </w:pPr>
      <w:r>
        <w:t>Количество уровней кооперации;</w:t>
      </w:r>
    </w:p>
    <w:p w:rsidR="006A3EDD" w:rsidRDefault="006A3EDD" w:rsidP="00DE1661">
      <w:pPr>
        <w:pStyle w:val="13"/>
      </w:pPr>
      <w:r>
        <w:t>Наименование ГРБС/ гос. (муниц.) заказчика;</w:t>
      </w:r>
    </w:p>
    <w:p w:rsidR="006A3EDD" w:rsidRDefault="006A3EDD" w:rsidP="00DE1661">
      <w:pPr>
        <w:pStyle w:val="13"/>
      </w:pPr>
      <w:r>
        <w:t>Лицевой счет ГРБС/гос. (муниц.) заказчика;</w:t>
      </w:r>
    </w:p>
    <w:p w:rsidR="006A3EDD" w:rsidRDefault="006A3EDD" w:rsidP="00DE1661">
      <w:pPr>
        <w:pStyle w:val="13"/>
      </w:pPr>
      <w:r>
        <w:t>Наименование головного исполнителя/получателя субсидии;</w:t>
      </w:r>
    </w:p>
    <w:p w:rsidR="006A3EDD" w:rsidRDefault="006A3EDD" w:rsidP="00DE1661">
      <w:pPr>
        <w:pStyle w:val="13"/>
      </w:pPr>
      <w:r>
        <w:t>Лицевой счет головного исполнителя/получателя субсидии;</w:t>
      </w:r>
    </w:p>
    <w:p w:rsidR="006A3EDD" w:rsidRDefault="006A3EDD" w:rsidP="00DE1661">
      <w:pPr>
        <w:pStyle w:val="13"/>
      </w:pPr>
      <w:r>
        <w:t>Код раздела головного исполнителя/получателя субсидии;</w:t>
      </w:r>
    </w:p>
    <w:p w:rsidR="006A3EDD" w:rsidRDefault="006A3EDD" w:rsidP="00DE1661">
      <w:pPr>
        <w:pStyle w:val="13"/>
      </w:pPr>
      <w:r>
        <w:t>41 лицевой счет головного исполнителя/получателя субсидии;</w:t>
      </w:r>
    </w:p>
    <w:p w:rsidR="006A3EDD" w:rsidRDefault="006A3EDD" w:rsidP="00DE1661">
      <w:pPr>
        <w:pStyle w:val="13"/>
      </w:pPr>
      <w:r>
        <w:t>Остатки на разделах головных исполнителей на начало текущего года;</w:t>
      </w:r>
    </w:p>
    <w:p w:rsidR="006A3EDD" w:rsidRDefault="006A3EDD" w:rsidP="00DE1661">
      <w:pPr>
        <w:pStyle w:val="13"/>
      </w:pPr>
      <w:r>
        <w:t>Поступления на разделы головного исполнителя/получателя субсидии;</w:t>
      </w:r>
    </w:p>
    <w:p w:rsidR="006A3EDD" w:rsidRDefault="006A3EDD" w:rsidP="00DE1661">
      <w:pPr>
        <w:pStyle w:val="13"/>
      </w:pPr>
      <w:r>
        <w:t>Кассовый расход, всего;</w:t>
      </w:r>
    </w:p>
    <w:p w:rsidR="006A3EDD" w:rsidRDefault="006A3EDD" w:rsidP="00DE1661">
      <w:pPr>
        <w:pStyle w:val="13"/>
      </w:pPr>
      <w:r>
        <w:t>Кассовый расход на ЛС;</w:t>
      </w:r>
    </w:p>
    <w:p w:rsidR="006A3EDD" w:rsidRDefault="006A3EDD" w:rsidP="00DE1661">
      <w:pPr>
        <w:pStyle w:val="13"/>
      </w:pPr>
      <w:r>
        <w:t>Кассовый расход на расчетные счета;</w:t>
      </w:r>
    </w:p>
    <w:p w:rsidR="006A3EDD" w:rsidRDefault="006A3EDD" w:rsidP="00DE1661">
      <w:pPr>
        <w:pStyle w:val="13"/>
      </w:pPr>
      <w:r>
        <w:t>Остатки на разделах головного исполнителя/получателя субсидии на отчетную дату;</w:t>
      </w:r>
    </w:p>
    <w:p w:rsidR="006A3EDD" w:rsidRDefault="006A3EDD" w:rsidP="00DE1661">
      <w:pPr>
        <w:pStyle w:val="13"/>
      </w:pPr>
      <w:r>
        <w:t>Проект;</w:t>
      </w:r>
    </w:p>
    <w:p w:rsidR="006A3EDD" w:rsidRDefault="006A3EDD" w:rsidP="00DE1661">
      <w:pPr>
        <w:pStyle w:val="13"/>
      </w:pPr>
      <w:r>
        <w:t>Вид средств;</w:t>
      </w:r>
    </w:p>
    <w:p w:rsidR="006A3EDD" w:rsidRDefault="006A3EDD" w:rsidP="006A3EDD">
      <w:pPr>
        <w:pStyle w:val="af0"/>
        <w:spacing w:after="120"/>
      </w:pPr>
      <w:r>
        <w:t>Отчет должен формироваться в виде таблицы с возможностью перехода:</w:t>
      </w:r>
    </w:p>
    <w:p w:rsidR="006A3EDD" w:rsidRDefault="006A3EDD" w:rsidP="00DE1661">
      <w:pPr>
        <w:pStyle w:val="13"/>
      </w:pPr>
      <w:r>
        <w:t>С атрибута «Номер гос. (муниц.) контракта/соглашения»:</w:t>
      </w:r>
    </w:p>
    <w:p w:rsidR="006A3EDD" w:rsidRDefault="006A3EDD" w:rsidP="006A3EDD">
      <w:pPr>
        <w:pStyle w:val="29"/>
      </w:pPr>
      <w:r>
        <w:t>к отчету «Цепочка контрактов БС/МБ»;</w:t>
      </w:r>
    </w:p>
    <w:p w:rsidR="006A3EDD" w:rsidRDefault="006A3EDD" w:rsidP="006A3EDD">
      <w:pPr>
        <w:pStyle w:val="29"/>
      </w:pPr>
      <w:r>
        <w:t>в карточку соглашения на ЕПБС;</w:t>
      </w:r>
    </w:p>
    <w:p w:rsidR="006A3EDD" w:rsidRDefault="006A3EDD" w:rsidP="006A3EDD">
      <w:pPr>
        <w:pStyle w:val="29"/>
      </w:pPr>
      <w:r w:rsidRPr="009B19C3">
        <w:t>по номеру реестровой записи на документ</w:t>
      </w:r>
      <w:r>
        <w:t>-</w:t>
      </w:r>
      <w:r w:rsidRPr="009B19C3">
        <w:t>основание на ЕИС, по ссылке</w:t>
      </w:r>
      <w:r>
        <w:t>,</w:t>
      </w:r>
      <w:r w:rsidRPr="009B19C3">
        <w:t xml:space="preserve"> </w:t>
      </w:r>
      <w:r>
        <w:t>получаемой из ПУР КС.</w:t>
      </w:r>
    </w:p>
    <w:p w:rsidR="006A3EDD" w:rsidRDefault="006A3EDD" w:rsidP="00DE1661">
      <w:pPr>
        <w:pStyle w:val="13"/>
      </w:pPr>
      <w:r>
        <w:t>С атрибутов «Поступления на разделы головного исполнителя/получателя субсидии», «Кассовый расход, всего», «Кассовый расход на ЛС», «Кассовый расход на расчетные счета» к отчету «Движение средств»;</w:t>
      </w:r>
    </w:p>
    <w:p w:rsidR="006A3EDD" w:rsidRDefault="006A3EDD" w:rsidP="006A3EDD">
      <w:pPr>
        <w:pStyle w:val="af0"/>
        <w:spacing w:after="120"/>
      </w:pPr>
      <w:r>
        <w:t>Отчет содержит фильтры:</w:t>
      </w:r>
    </w:p>
    <w:p w:rsidR="006A3EDD" w:rsidRDefault="006A3EDD" w:rsidP="00DE1661">
      <w:pPr>
        <w:pStyle w:val="13"/>
      </w:pPr>
      <w:r>
        <w:t>«По состоянию на:». Фильтр с возможностью выбора значения из календаря;</w:t>
      </w:r>
    </w:p>
    <w:p w:rsidR="006A3EDD" w:rsidRDefault="006A3EDD"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6A3EDD" w:rsidRDefault="006A3EDD"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6A3EDD" w:rsidRDefault="006A3EDD" w:rsidP="00DE1661">
      <w:pPr>
        <w:pStyle w:val="13"/>
      </w:pPr>
      <w:r>
        <w:t>«Код бюджета заказчика».</w:t>
      </w:r>
      <w:r>
        <w:tab/>
        <w:t>Фильтр с возможностью множественного выбора значений из выпадающего списка: «код бюджета» - «наименование бюджета», «Все» (установлено по умолчанию). Фильтр должен быть зависим от фильтра «Уровень бюджета заказчика» и от фильтра «Наименование субъекта/муниципального образования»;</w:t>
      </w:r>
    </w:p>
    <w:p w:rsidR="006A3EDD" w:rsidRDefault="006A3EDD" w:rsidP="00DE1661">
      <w:pPr>
        <w:pStyle w:val="13"/>
      </w:pPr>
      <w:r>
        <w:t>«ГРБС (ФБ)». Фильтр с возможностью множественного выбора значений из выпадающего списка: «код ГРБС» - «наименование ГРБС», «Все» (установлено по умолчанию);</w:t>
      </w:r>
    </w:p>
    <w:p w:rsidR="006A3EDD" w:rsidRDefault="006A3EDD" w:rsidP="00DE1661">
      <w:pPr>
        <w:pStyle w:val="13"/>
      </w:pPr>
      <w:r>
        <w:t>«ГРБС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6A3EDD" w:rsidRDefault="006A3EDD" w:rsidP="00DE1661">
      <w:pPr>
        <w:pStyle w:val="13"/>
      </w:pPr>
      <w:r>
        <w:t>«Проект».</w:t>
      </w:r>
      <w:r>
        <w:tab/>
        <w:t xml:space="preserve"> Фильтр с возможностью множественного выбора значений из выпадающего списка;</w:t>
      </w:r>
    </w:p>
    <w:p w:rsidR="006A3EDD" w:rsidRDefault="006A3EDD" w:rsidP="00DE1661">
      <w:pPr>
        <w:pStyle w:val="13"/>
      </w:pPr>
      <w:r>
        <w:t>«Номер гос.(муниц.)контракта/соглашения».</w:t>
      </w:r>
      <w:r>
        <w:tab/>
        <w:t>Фильтр с возможностью поиска по введенному значению;</w:t>
      </w:r>
    </w:p>
    <w:p w:rsidR="006A3EDD" w:rsidRDefault="006A3EDD" w:rsidP="00DE1661">
      <w:pPr>
        <w:pStyle w:val="13"/>
      </w:pPr>
      <w:r>
        <w:t>«Год заключения гос. (муниц.)контракта/ соглашения».</w:t>
      </w:r>
      <w:r>
        <w:tab/>
        <w:t>Фильтр с возможностью выбора значения из выпадающего списка;</w:t>
      </w:r>
    </w:p>
    <w:p w:rsidR="006A3EDD" w:rsidRDefault="006A3EDD" w:rsidP="00DE1661">
      <w:pPr>
        <w:pStyle w:val="13"/>
      </w:pPr>
      <w:r>
        <w:t>«Тип документа».</w:t>
      </w:r>
      <w:r>
        <w:tab/>
        <w:t xml:space="preserve">Фильтр с возможностью выбора значения из выпадающего списка; </w:t>
      </w:r>
    </w:p>
    <w:p w:rsidR="006A3EDD" w:rsidRDefault="006A3EDD" w:rsidP="00DE1661">
      <w:pPr>
        <w:pStyle w:val="13"/>
      </w:pPr>
      <w:r>
        <w:t>«Национальный (федеральный) проект».</w:t>
      </w:r>
      <w:r>
        <w:tab/>
        <w:t>Иерархический фильтр с возможностью множественного выбора;</w:t>
      </w:r>
    </w:p>
    <w:p w:rsidR="006A3EDD" w:rsidRDefault="006A3EDD" w:rsidP="00DE1661">
      <w:pPr>
        <w:pStyle w:val="13"/>
      </w:pPr>
      <w:r>
        <w:t>«Единицы измерения». Фильтр с возможностью выбора значения из выпадающего списка;</w:t>
      </w:r>
    </w:p>
    <w:p w:rsidR="006A3EDD" w:rsidRDefault="006A3EDD" w:rsidP="00DE1661">
      <w:pPr>
        <w:pStyle w:val="13"/>
      </w:pPr>
      <w:r>
        <w:t>«ЛС головного исполнителя/получателя субсидии».</w:t>
      </w:r>
      <w:r>
        <w:tab/>
        <w:t>Фильтр с возможностью поиска по введенному значению;</w:t>
      </w:r>
    </w:p>
    <w:p w:rsidR="006A3EDD" w:rsidRDefault="006A3EDD" w:rsidP="00DE1661">
      <w:pPr>
        <w:pStyle w:val="13"/>
      </w:pPr>
      <w:r>
        <w:t>«Предмет гос. (муниц.) контракта/соглашения».</w:t>
      </w:r>
      <w:r>
        <w:tab/>
        <w:t xml:space="preserve"> Фильтр с возможностью поиска по введенному значению;</w:t>
      </w:r>
    </w:p>
    <w:p w:rsidR="006A3EDD" w:rsidRDefault="006A3EDD" w:rsidP="00DE1661">
      <w:pPr>
        <w:pStyle w:val="13"/>
      </w:pPr>
      <w:r>
        <w:t>«Код раздела исполнителя».</w:t>
      </w:r>
      <w:r>
        <w:tab/>
        <w:t>Пагинационный фильтр с возможностью множественного выбора значений из выпадающего списка. Фильтр должен быть зависимым от фильтра «Лицевой счет головного исполнителя», то есть должны отображаться только те коды раздела, которые открыты на выбранном лицевом счете;</w:t>
      </w:r>
    </w:p>
    <w:p w:rsidR="006A3EDD" w:rsidRDefault="006A3EDD" w:rsidP="00DE1661">
      <w:pPr>
        <w:pStyle w:val="13"/>
      </w:pPr>
      <w:r>
        <w:t>«Аккредитив».</w:t>
      </w:r>
      <w:r>
        <w:tab/>
        <w:t>Фильтр с возможностью выбора значения из выпадающего списка: «Все», «Да», «Нет»;</w:t>
      </w:r>
    </w:p>
    <w:p w:rsidR="006A3EDD" w:rsidRDefault="006A3EDD" w:rsidP="00DE1661">
      <w:pPr>
        <w:pStyle w:val="13"/>
      </w:pPr>
      <w:r>
        <w:t>«Вид средств». Фильтр с возможностью множественного выбора значений из выпадающего списка;</w:t>
      </w:r>
    </w:p>
    <w:p w:rsidR="006A3EDD" w:rsidRDefault="006A3EDD" w:rsidP="00DE1661">
      <w:pPr>
        <w:pStyle w:val="13"/>
      </w:pPr>
      <w:r>
        <w:t>«Статус исполнения гос.контракта/соглашения».</w:t>
      </w:r>
      <w:r>
        <w:tab/>
        <w:t>Фильтр с возможностью множественного выбора значений из выпадающего списка: «Все», «На исполнении» (установлено по умолчанию), «Исполнено» (установлено по умолчанию), «Аннулировано»;</w:t>
      </w:r>
    </w:p>
    <w:p w:rsidR="006A3EDD" w:rsidRDefault="006A3EDD" w:rsidP="00DE1661">
      <w:pPr>
        <w:pStyle w:val="13"/>
      </w:pPr>
      <w:r>
        <w:t>«Статус раздела».</w:t>
      </w:r>
      <w:r>
        <w:tab/>
        <w:t>Фильтр с возможностью множественного выбора значений из выпадающего списка: «Все» (установлено по умолчанию), «Активен», «Закрыт», «Статус не заполнен в ПУР КС»;</w:t>
      </w:r>
    </w:p>
    <w:p w:rsidR="006A3EDD" w:rsidRDefault="006A3EDD" w:rsidP="00DE1661">
      <w:pPr>
        <w:pStyle w:val="13"/>
      </w:pPr>
      <w:r>
        <w:t xml:space="preserve">«Найти ГРБС/гос. (муниц.) заказчика». </w:t>
      </w:r>
      <w:r w:rsidRPr="00331ED5">
        <w:t>Фильтр с возможностью поиска по введенному значению ИНН, КПП, наименованию или лицевому счету заказчика;</w:t>
      </w:r>
    </w:p>
    <w:p w:rsidR="006A3EDD" w:rsidRDefault="006A3EDD" w:rsidP="00DE1661">
      <w:pPr>
        <w:pStyle w:val="13"/>
      </w:pPr>
      <w:r>
        <w:t xml:space="preserve">Номер идентификатора. </w:t>
      </w:r>
      <w:r w:rsidRPr="00331ED5">
        <w:t>Фильтр с возможностью поиска по введенному значению</w:t>
      </w:r>
      <w:r>
        <w:t xml:space="preserve"> идентификатора государственного (муниципального) контракта, соглашения;</w:t>
      </w:r>
    </w:p>
    <w:p w:rsidR="006A3EDD" w:rsidRDefault="006A3EDD" w:rsidP="00DE1661">
      <w:pPr>
        <w:pStyle w:val="13"/>
      </w:pPr>
      <w:r>
        <w:t>«Центр специализации/ТОФК (по исполнителю)»</w:t>
      </w:r>
      <w:r>
        <w:tab/>
        <w:t>Фильтр с возможностью множественного выбора значений из выпадающего списка.</w:t>
      </w:r>
    </w:p>
    <w:p w:rsidR="006A3EDD" w:rsidRDefault="006A3EDD" w:rsidP="006A3EDD">
      <w:pPr>
        <w:pStyle w:val="af0"/>
      </w:pPr>
      <w:r w:rsidRPr="006C5AA0">
        <w:t>Отчет поддержива</w:t>
      </w:r>
      <w:r w:rsidR="0018586D">
        <w:t>е</w:t>
      </w:r>
      <w:r w:rsidRPr="006C5AA0">
        <w:t>т сортировку по всем колонкам.</w:t>
      </w:r>
    </w:p>
    <w:p w:rsidR="00C95799" w:rsidRDefault="00C95799" w:rsidP="00C95799">
      <w:pPr>
        <w:pStyle w:val="-0"/>
      </w:pPr>
      <w:r w:rsidRPr="002732BF">
        <w:rPr>
          <w:noProof/>
        </w:rPr>
        <w:drawing>
          <wp:inline distT="0" distB="0" distL="0" distR="0" wp14:anchorId="27D6CF87" wp14:editId="76E43153">
            <wp:extent cx="6119495" cy="2460902"/>
            <wp:effectExtent l="0" t="0" r="0" b="0"/>
            <wp:docPr id="1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6119495" cy="2460902"/>
                    </a:xfrm>
                    <a:prstGeom prst="rect">
                      <a:avLst/>
                    </a:prstGeom>
                    <a:noFill/>
                    <a:ln>
                      <a:noFill/>
                    </a:ln>
                  </pic:spPr>
                </pic:pic>
              </a:graphicData>
            </a:graphic>
          </wp:inline>
        </w:drawing>
      </w:r>
    </w:p>
    <w:p w:rsidR="00C95799" w:rsidRDefault="00C95799" w:rsidP="00C95799">
      <w:pPr>
        <w:pStyle w:val="-0"/>
      </w:pPr>
      <w:bookmarkStart w:id="1920" w:name="_Toc119584687"/>
      <w:r>
        <w:t xml:space="preserve">Рисунок </w:t>
      </w:r>
      <w:fldSimple w:instr=" SEQ Рисунок \* ARABIC ">
        <w:r w:rsidR="001860A9">
          <w:rPr>
            <w:noProof/>
          </w:rPr>
          <w:t>500</w:t>
        </w:r>
      </w:fldSimple>
      <w:r>
        <w:t xml:space="preserve"> – </w:t>
      </w:r>
      <w:r w:rsidRPr="002732BF">
        <w:t>Представление</w:t>
      </w:r>
      <w:r w:rsidRPr="001752C1">
        <w:t xml:space="preserve"> «ГК(МК), соглашения»</w:t>
      </w:r>
      <w:bookmarkEnd w:id="1920"/>
    </w:p>
    <w:p w:rsidR="00C95799" w:rsidRDefault="00C95799" w:rsidP="00862055">
      <w:pPr>
        <w:pStyle w:val="42"/>
        <w:keepNext/>
        <w:numPr>
          <w:ilvl w:val="3"/>
          <w:numId w:val="135"/>
        </w:numPr>
      </w:pPr>
      <w:bookmarkStart w:id="1921" w:name="_Toc80799852"/>
      <w:r w:rsidRPr="00B975AE">
        <w:t>Представление</w:t>
      </w:r>
      <w:r>
        <w:t xml:space="preserve"> </w:t>
      </w:r>
      <w:r w:rsidRPr="000B7F01">
        <w:t>«</w:t>
      </w:r>
      <w:r>
        <w:t>Заказчики</w:t>
      </w:r>
      <w:r w:rsidRPr="000B7F01">
        <w:t>»</w:t>
      </w:r>
      <w:bookmarkEnd w:id="1921"/>
    </w:p>
    <w:p w:rsidR="00C95799" w:rsidRDefault="00C95799" w:rsidP="00C95799">
      <w:pPr>
        <w:pStyle w:val="af0"/>
        <w:spacing w:after="120"/>
      </w:pPr>
      <w:r>
        <w:t xml:space="preserve">Представление «Заказчики» содержит данные </w:t>
      </w:r>
      <w:r>
        <w:rPr>
          <w:rFonts w:eastAsia="Calibri"/>
        </w:rPr>
        <w:t>о заказчиках</w:t>
      </w:r>
      <w:r w:rsidRPr="00233D86">
        <w:rPr>
          <w:rFonts w:eastAsia="Calibri"/>
        </w:rPr>
        <w:t xml:space="preserve">, заключающих </w:t>
      </w:r>
      <w:r>
        <w:t>государственные (муниципальные) контракты и соглашения,</w:t>
      </w:r>
      <w:r w:rsidRPr="00233D86">
        <w:rPr>
          <w:rFonts w:ascii="Arial" w:hAnsi="Arial" w:cs="Arial"/>
          <w:color w:val="8A9199"/>
          <w:sz w:val="21"/>
          <w:szCs w:val="21"/>
          <w:shd w:val="clear" w:color="auto" w:fill="FFFFFF"/>
        </w:rPr>
        <w:t xml:space="preserve"> </w:t>
      </w:r>
      <w:r w:rsidRPr="009612B5">
        <w:t>финансирование которых осуществляется за счет средств бюджетов субъектов РФ и местных бюджетов,</w:t>
      </w:r>
      <w:r w:rsidRPr="00233D86">
        <w:rPr>
          <w:rFonts w:ascii="Arial" w:hAnsi="Arial" w:cs="Arial"/>
          <w:color w:val="8A9199"/>
          <w:sz w:val="21"/>
          <w:szCs w:val="21"/>
          <w:shd w:val="clear" w:color="auto" w:fill="FFFFFF"/>
        </w:rPr>
        <w:t xml:space="preserve"> </w:t>
      </w:r>
      <w:r w:rsidRPr="00BF5E9A">
        <w:t>находящихся под казн</w:t>
      </w:r>
      <w:r>
        <w:t>ачейским сопровождением.</w:t>
      </w:r>
    </w:p>
    <w:p w:rsidR="00C95799" w:rsidRDefault="00C95799" w:rsidP="00C95799">
      <w:pPr>
        <w:pStyle w:val="af0"/>
        <w:spacing w:after="120"/>
      </w:pPr>
      <w:r>
        <w:t>Отчет содержит следующие атрибуты:</w:t>
      </w:r>
    </w:p>
    <w:p w:rsidR="00C95799" w:rsidRDefault="00C95799" w:rsidP="00DE1661">
      <w:pPr>
        <w:pStyle w:val="13"/>
      </w:pPr>
      <w:r>
        <w:t>Наименование ГРБС/гос.(муниц.) заказчика;</w:t>
      </w:r>
    </w:p>
    <w:p w:rsidR="00C95799" w:rsidRDefault="00C95799" w:rsidP="00DE1661">
      <w:pPr>
        <w:pStyle w:val="13"/>
      </w:pPr>
      <w:r>
        <w:t>ИНН;</w:t>
      </w:r>
    </w:p>
    <w:p w:rsidR="00C95799" w:rsidRDefault="00C95799" w:rsidP="00DE1661">
      <w:pPr>
        <w:pStyle w:val="13"/>
      </w:pPr>
      <w:r>
        <w:t>КПП;</w:t>
      </w:r>
    </w:p>
    <w:p w:rsidR="00C95799" w:rsidRDefault="00C95799" w:rsidP="00DE1661">
      <w:pPr>
        <w:pStyle w:val="13"/>
      </w:pPr>
      <w:r>
        <w:t>Лицевой счет гос.(муниц.) заказчика;</w:t>
      </w:r>
    </w:p>
    <w:p w:rsidR="00C95799" w:rsidRDefault="00C95799" w:rsidP="00DE1661">
      <w:pPr>
        <w:pStyle w:val="13"/>
      </w:pPr>
      <w:r>
        <w:t>Количество заключенных гос.(муниц.) контрактов/соглашений;</w:t>
      </w:r>
    </w:p>
    <w:p w:rsidR="00C95799" w:rsidRPr="000323AF" w:rsidRDefault="00C95799" w:rsidP="00DE1661">
      <w:pPr>
        <w:pStyle w:val="13"/>
      </w:pPr>
      <w:r>
        <w:t>Сумма заключенных гос.(муниц.) контрактов/соглашений.</w:t>
      </w:r>
    </w:p>
    <w:p w:rsidR="00C95799" w:rsidRDefault="00C95799" w:rsidP="00C95799">
      <w:pPr>
        <w:pStyle w:val="af0"/>
        <w:spacing w:after="120"/>
      </w:pPr>
      <w:r>
        <w:t>Отчет формируется в виде таблицы с возможностью перехода в  представление «ГК(МК), соглашения» со столбца «Наименование ГРБС/гос.(муниц.) заказчика».</w:t>
      </w:r>
    </w:p>
    <w:p w:rsidR="00C95799" w:rsidRDefault="00C95799" w:rsidP="00C95799">
      <w:pPr>
        <w:pStyle w:val="af0"/>
        <w:spacing w:after="120"/>
      </w:pPr>
      <w:r>
        <w:t>Фильтры в представлении «Заказчики»:</w:t>
      </w:r>
    </w:p>
    <w:p w:rsidR="00C95799" w:rsidRDefault="00C95799" w:rsidP="00DE1661">
      <w:pPr>
        <w:pStyle w:val="13"/>
      </w:pPr>
      <w:r>
        <w:t>«По состоянию на:». Фильтр с возможностью выбора значения из календаря;</w:t>
      </w:r>
    </w:p>
    <w:p w:rsidR="00C95799" w:rsidRDefault="00C95799"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C95799" w:rsidRDefault="00C95799"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C95799" w:rsidRDefault="00C95799" w:rsidP="00DE1661">
      <w:pPr>
        <w:pStyle w:val="13"/>
      </w:pPr>
      <w:r>
        <w:t>«Код бюджета заказчика».</w:t>
      </w:r>
      <w:r>
        <w:tab/>
        <w:t>Фильтр с возможностью множественного выбора значений из выпадающего списка: «код бюджета» - «наименование бюджета», «Все» (установлено по умолчанию). Фильтр должен быть зависим от фильтра «Уровень бюджета заказчика» и от фильтра «Наименование субъекта/муниципального образования»;</w:t>
      </w:r>
    </w:p>
    <w:p w:rsidR="00C95799" w:rsidRDefault="00C95799" w:rsidP="00DE1661">
      <w:pPr>
        <w:pStyle w:val="13"/>
      </w:pPr>
      <w:r>
        <w:t>«ГРБС (ФБ)». Фильтр с возможностью множественного выбора значений из выпадающего списка: «код ГРБС» - «наименование ГРБС», «Все» (установлено по умолчанию);</w:t>
      </w:r>
    </w:p>
    <w:p w:rsidR="00C95799" w:rsidRDefault="00C95799" w:rsidP="00DE1661">
      <w:pPr>
        <w:pStyle w:val="13"/>
      </w:pPr>
      <w:r>
        <w:t>«ГРБС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C95799" w:rsidRDefault="00C95799" w:rsidP="00DE1661">
      <w:pPr>
        <w:pStyle w:val="13"/>
      </w:pPr>
      <w:r>
        <w:t xml:space="preserve">«Найти ГРБС/гос. (муниц.) заказчика». </w:t>
      </w:r>
      <w:r w:rsidRPr="00331ED5">
        <w:t>Фильтр с возможностью поиска по введенному значению ИНН, КПП, наименованию или лицевому счету заказчика;</w:t>
      </w:r>
    </w:p>
    <w:p w:rsidR="00C95799" w:rsidRDefault="00C95799" w:rsidP="00DE1661">
      <w:pPr>
        <w:pStyle w:val="13"/>
      </w:pPr>
      <w:r>
        <w:t>«Год заключения гос. (муниц.)контракта/ соглашения».</w:t>
      </w:r>
      <w:r>
        <w:tab/>
        <w:t>Фильтр с возможностью выбора значения из выпадающего списка;</w:t>
      </w:r>
    </w:p>
    <w:p w:rsidR="00C95799" w:rsidRDefault="00C95799" w:rsidP="00DE1661">
      <w:pPr>
        <w:pStyle w:val="13"/>
      </w:pPr>
      <w:r>
        <w:t>«Тип документа».</w:t>
      </w:r>
      <w:r>
        <w:tab/>
        <w:t xml:space="preserve">Фильтр с возможностью выбора значения из выпадающего списка; </w:t>
      </w:r>
    </w:p>
    <w:p w:rsidR="00C95799" w:rsidRDefault="00C95799" w:rsidP="00DE1661">
      <w:pPr>
        <w:pStyle w:val="13"/>
      </w:pPr>
      <w:r>
        <w:t>«Статус исполнения гос.контракта/соглашения».</w:t>
      </w:r>
      <w:r>
        <w:tab/>
        <w:t>Фильтр с возможностью множественного выбора значений из выпадающего списка: «Все», «На исполнении» (установлено по умолчанию), «Исполнено» (установлено по умолчанию), «Аннулировано»;</w:t>
      </w:r>
    </w:p>
    <w:p w:rsidR="00C95799" w:rsidRDefault="00C95799" w:rsidP="00DE1661">
      <w:pPr>
        <w:pStyle w:val="13"/>
      </w:pPr>
      <w:r>
        <w:t>«Статус раздела».</w:t>
      </w:r>
      <w:r>
        <w:tab/>
        <w:t>Фильтр с возможностью множественного выбора значений из выпадающего списка: «Все» (установлено по умолчанию), «Активен», «Закрыт», «Статус не заполнен в ПУР КС»;</w:t>
      </w:r>
    </w:p>
    <w:p w:rsidR="00C95799" w:rsidRDefault="00C95799" w:rsidP="00DE1661">
      <w:pPr>
        <w:pStyle w:val="13"/>
      </w:pPr>
      <w:r>
        <w:t>«Единицы измерения». Фильтр с возможностью выбора значения из выпадающего списка;</w:t>
      </w:r>
    </w:p>
    <w:p w:rsidR="00C95799" w:rsidRDefault="00C95799" w:rsidP="00DE1661">
      <w:pPr>
        <w:pStyle w:val="13"/>
      </w:pPr>
      <w:r>
        <w:t xml:space="preserve">«Номер идентификатора». </w:t>
      </w:r>
      <w:r w:rsidRPr="00331ED5">
        <w:t>Фильтр с возможностью поиска по введенному значению</w:t>
      </w:r>
      <w:r>
        <w:t xml:space="preserve"> идентификатора государственного (муниципального) контракта, соглашения.</w:t>
      </w:r>
    </w:p>
    <w:p w:rsidR="00C95799" w:rsidRDefault="00C95799" w:rsidP="00C95799">
      <w:pPr>
        <w:pStyle w:val="af0"/>
      </w:pPr>
      <w:r w:rsidRPr="007F33E1">
        <w:t>Отчет поддержива</w:t>
      </w:r>
      <w:r>
        <w:t>е</w:t>
      </w:r>
      <w:r w:rsidRPr="007F33E1">
        <w:t>т сортировку по всем колонкам.</w:t>
      </w:r>
    </w:p>
    <w:p w:rsidR="00C95799" w:rsidRDefault="00C95799" w:rsidP="00C95799">
      <w:pPr>
        <w:pStyle w:val="-0"/>
        <w:keepNext/>
      </w:pPr>
      <w:r>
        <w:rPr>
          <w:noProof/>
          <w:snapToGrid/>
        </w:rPr>
        <w:drawing>
          <wp:inline distT="0" distB="0" distL="0" distR="0" wp14:anchorId="2B4541B4" wp14:editId="1AF6564F">
            <wp:extent cx="6031230" cy="2692400"/>
            <wp:effectExtent l="0" t="0" r="7620" b="0"/>
            <wp:docPr id="1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6031230" cy="2692400"/>
                    </a:xfrm>
                    <a:prstGeom prst="rect">
                      <a:avLst/>
                    </a:prstGeom>
                    <a:noFill/>
                    <a:ln>
                      <a:noFill/>
                    </a:ln>
                  </pic:spPr>
                </pic:pic>
              </a:graphicData>
            </a:graphic>
          </wp:inline>
        </w:drawing>
      </w:r>
    </w:p>
    <w:p w:rsidR="00C95799" w:rsidRDefault="00C95799" w:rsidP="00C95799">
      <w:pPr>
        <w:pStyle w:val="-0"/>
      </w:pPr>
      <w:bookmarkStart w:id="1922" w:name="_Toc119584688"/>
      <w:r>
        <w:t xml:space="preserve">Рисунок </w:t>
      </w:r>
      <w:fldSimple w:instr=" SEQ Рисунок \* ARABIC ">
        <w:r w:rsidR="001860A9">
          <w:rPr>
            <w:noProof/>
          </w:rPr>
          <w:t>501</w:t>
        </w:r>
      </w:fldSimple>
      <w:r>
        <w:t xml:space="preserve"> – Представление «Заказчики»</w:t>
      </w:r>
      <w:bookmarkEnd w:id="1922"/>
    </w:p>
    <w:p w:rsidR="00C95799" w:rsidRDefault="00C95799" w:rsidP="00862055">
      <w:pPr>
        <w:pStyle w:val="42"/>
        <w:keepNext/>
        <w:numPr>
          <w:ilvl w:val="3"/>
          <w:numId w:val="135"/>
        </w:numPr>
      </w:pPr>
      <w:bookmarkStart w:id="1923" w:name="_Toc80799853"/>
      <w:r w:rsidRPr="00B975AE">
        <w:t>Представление</w:t>
      </w:r>
      <w:r>
        <w:t xml:space="preserve"> </w:t>
      </w:r>
      <w:r w:rsidRPr="000B7F01">
        <w:t>«</w:t>
      </w:r>
      <w:r>
        <w:t>Исполнители</w:t>
      </w:r>
      <w:r w:rsidRPr="000B7F01">
        <w:t>»</w:t>
      </w:r>
      <w:bookmarkEnd w:id="1923"/>
    </w:p>
    <w:p w:rsidR="00C95799" w:rsidRDefault="00C95799" w:rsidP="00C95799">
      <w:pPr>
        <w:pStyle w:val="af0"/>
        <w:spacing w:after="120"/>
      </w:pPr>
      <w:r>
        <w:t xml:space="preserve">Представление «Исполнители» содержит данные </w:t>
      </w:r>
      <w:r>
        <w:rPr>
          <w:rFonts w:eastAsia="Calibri"/>
        </w:rPr>
        <w:t>об исполнителях по</w:t>
      </w:r>
      <w:r w:rsidRPr="00233D86">
        <w:rPr>
          <w:rFonts w:eastAsia="Calibri"/>
        </w:rPr>
        <w:t xml:space="preserve"> </w:t>
      </w:r>
      <w:r>
        <w:t>государственным (муниципальным) контрактам и соглашениям,</w:t>
      </w:r>
      <w:r w:rsidRPr="00233D86">
        <w:rPr>
          <w:rFonts w:ascii="Arial" w:hAnsi="Arial" w:cs="Arial"/>
          <w:color w:val="8A9199"/>
          <w:sz w:val="21"/>
          <w:szCs w:val="21"/>
          <w:shd w:val="clear" w:color="auto" w:fill="FFFFFF"/>
        </w:rPr>
        <w:t xml:space="preserve"> </w:t>
      </w:r>
      <w:r w:rsidRPr="009612B5">
        <w:t>финансирование которых осуществляется за счет средств бюджетов субъектов РФ и местных бюджетов,</w:t>
      </w:r>
      <w:r w:rsidRPr="00233D86">
        <w:rPr>
          <w:rFonts w:ascii="Arial" w:hAnsi="Arial" w:cs="Arial"/>
          <w:color w:val="8A9199"/>
          <w:sz w:val="21"/>
          <w:szCs w:val="21"/>
          <w:shd w:val="clear" w:color="auto" w:fill="FFFFFF"/>
        </w:rPr>
        <w:t xml:space="preserve"> </w:t>
      </w:r>
      <w:r w:rsidRPr="00BF5E9A">
        <w:t>находящихся под казн</w:t>
      </w:r>
      <w:r>
        <w:t>ачейским сопровождением</w:t>
      </w:r>
      <w:r w:rsidRPr="006B1B2D">
        <w:t xml:space="preserve">. </w:t>
      </w:r>
    </w:p>
    <w:p w:rsidR="00C95799" w:rsidRDefault="00C95799" w:rsidP="00C95799">
      <w:pPr>
        <w:pStyle w:val="af0"/>
        <w:spacing w:after="120"/>
      </w:pPr>
      <w:r>
        <w:t>Отчет содержит следующие атрибуты:</w:t>
      </w:r>
    </w:p>
    <w:p w:rsidR="00C95799" w:rsidRDefault="00C95799" w:rsidP="00DE1661">
      <w:pPr>
        <w:pStyle w:val="13"/>
      </w:pPr>
      <w:r>
        <w:t>Наименование головного исполнителя/получателя субсидии;</w:t>
      </w:r>
    </w:p>
    <w:p w:rsidR="00C95799" w:rsidRDefault="00C95799" w:rsidP="00DE1661">
      <w:pPr>
        <w:pStyle w:val="13"/>
      </w:pPr>
      <w:r>
        <w:t>ИНН;</w:t>
      </w:r>
    </w:p>
    <w:p w:rsidR="00C95799" w:rsidRDefault="00C95799" w:rsidP="00DE1661">
      <w:pPr>
        <w:pStyle w:val="13"/>
      </w:pPr>
      <w:r>
        <w:t>КПП;</w:t>
      </w:r>
    </w:p>
    <w:p w:rsidR="00C95799" w:rsidRDefault="00C95799" w:rsidP="00DE1661">
      <w:pPr>
        <w:pStyle w:val="13"/>
      </w:pPr>
      <w:r>
        <w:t>Лицевой счет головного исполнителя/получателя субсидии;</w:t>
      </w:r>
    </w:p>
    <w:p w:rsidR="00C95799" w:rsidRDefault="00C95799" w:rsidP="00DE1661">
      <w:pPr>
        <w:pStyle w:val="13"/>
      </w:pPr>
      <w:r>
        <w:t>Код раздела головного исполнителя/получателя субсидии;</w:t>
      </w:r>
    </w:p>
    <w:p w:rsidR="00C95799" w:rsidRDefault="00C95799" w:rsidP="00DE1661">
      <w:pPr>
        <w:pStyle w:val="13"/>
      </w:pPr>
      <w:r>
        <w:t>Количество заключенных гос.(муниц.) контрактов/соглашений;</w:t>
      </w:r>
    </w:p>
    <w:p w:rsidR="00C95799" w:rsidRDefault="00C95799" w:rsidP="00DE1661">
      <w:pPr>
        <w:pStyle w:val="13"/>
      </w:pPr>
      <w:r>
        <w:t>Сумма заключенных гос.(муниц.) контрактов/соглашений.</w:t>
      </w:r>
    </w:p>
    <w:p w:rsidR="00C95799" w:rsidRDefault="00C95799" w:rsidP="00C95799">
      <w:pPr>
        <w:pStyle w:val="af0"/>
        <w:spacing w:after="120"/>
      </w:pPr>
      <w:r>
        <w:t>Отчет формируется в виде таблицы с возможностью перехода в представление «ГК(МК), соглашения» со столбца «Наименование головного исполнителя/получателя субсидии».</w:t>
      </w:r>
    </w:p>
    <w:p w:rsidR="00C95799" w:rsidRDefault="00C95799" w:rsidP="00C95799">
      <w:pPr>
        <w:pStyle w:val="af0"/>
        <w:spacing w:after="120"/>
      </w:pPr>
      <w:r>
        <w:t>Фильтры в представлении «</w:t>
      </w:r>
      <w:r w:rsidRPr="002C3DB1">
        <w:t>Исполнители</w:t>
      </w:r>
      <w:r>
        <w:t>»:</w:t>
      </w:r>
    </w:p>
    <w:p w:rsidR="00C95799" w:rsidRDefault="00C95799" w:rsidP="00DE1661">
      <w:pPr>
        <w:pStyle w:val="13"/>
      </w:pPr>
      <w:r>
        <w:t>«По состоянию на:». Фильтр с возможностью выбора значения из календаря;</w:t>
      </w:r>
    </w:p>
    <w:p w:rsidR="00C95799" w:rsidRDefault="00C95799"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C95799" w:rsidRDefault="00C95799"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C95799" w:rsidRDefault="00C95799" w:rsidP="00DE1661">
      <w:pPr>
        <w:pStyle w:val="13"/>
      </w:pPr>
      <w:r>
        <w:t>«Код бюджета заказчика».</w:t>
      </w:r>
      <w:r>
        <w:tab/>
        <w:t>Фильтр с возможностью множественного выбора значений из выпадающего списка: «код бюджета» - «наименование бюджета», «Все» (установлено по умолчанию). Фильтр должен быть зависим от фильтра «Уровень бюджета заказчика» и от фильтра «Наименование субъекта/муниципального образования»;</w:t>
      </w:r>
    </w:p>
    <w:p w:rsidR="00C95799" w:rsidRDefault="00C95799" w:rsidP="00DE1661">
      <w:pPr>
        <w:pStyle w:val="13"/>
      </w:pPr>
      <w:r>
        <w:t>«ГРБС (ФБ)». Фильтр с возможностью множественного выбора значений из выпадающего списка: «код ГРБС» - «наименование ГРБС», «Все» (установлено по умолчанию);</w:t>
      </w:r>
    </w:p>
    <w:p w:rsidR="00C95799" w:rsidRDefault="00C95799" w:rsidP="00DE1661">
      <w:pPr>
        <w:pStyle w:val="13"/>
      </w:pPr>
      <w:r>
        <w:t>«ГРБС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C95799" w:rsidRDefault="00C95799" w:rsidP="00DE1661">
      <w:pPr>
        <w:pStyle w:val="13"/>
      </w:pPr>
      <w:r>
        <w:t xml:space="preserve">«Найти головного исполнителя/получателя субсидии». </w:t>
      </w:r>
      <w:r w:rsidRPr="00331ED5">
        <w:t xml:space="preserve">Фильтр с возможностью поиска по введенному значению ИНН, КПП, наименованию или лицевому счету </w:t>
      </w:r>
      <w:r>
        <w:t>исполнителя</w:t>
      </w:r>
      <w:r w:rsidRPr="00331ED5">
        <w:t>;</w:t>
      </w:r>
    </w:p>
    <w:p w:rsidR="00C95799" w:rsidRDefault="00C95799" w:rsidP="00DE1661">
      <w:pPr>
        <w:pStyle w:val="13"/>
      </w:pPr>
      <w:r>
        <w:t>«Год заключения гос. (муниц.)контракта/ соглашения».</w:t>
      </w:r>
      <w:r>
        <w:tab/>
        <w:t>Фильтр с возможностью выбора значения из выпадающего списка;</w:t>
      </w:r>
    </w:p>
    <w:p w:rsidR="00C95799" w:rsidRDefault="00C95799" w:rsidP="00DE1661">
      <w:pPr>
        <w:pStyle w:val="13"/>
      </w:pPr>
      <w:r>
        <w:t>«Тип документа».</w:t>
      </w:r>
      <w:r>
        <w:tab/>
        <w:t xml:space="preserve">Фильтр с возможностью выбора значения из выпадающего списка; </w:t>
      </w:r>
    </w:p>
    <w:p w:rsidR="00C95799" w:rsidRDefault="00C95799" w:rsidP="00DE1661">
      <w:pPr>
        <w:pStyle w:val="13"/>
      </w:pPr>
      <w:r>
        <w:t>«Статус исполнения гос.контракта/соглашения».</w:t>
      </w:r>
      <w:r>
        <w:tab/>
        <w:t>Фильтр с возможностью множественного выбора значений из выпадающего списка: «Все», «На исполнении» (установлено по умолчанию), «Исполнено» (установлено по умолчанию), «Аннулировано»;</w:t>
      </w:r>
    </w:p>
    <w:p w:rsidR="00C95799" w:rsidRDefault="00C95799" w:rsidP="00DE1661">
      <w:pPr>
        <w:pStyle w:val="13"/>
      </w:pPr>
      <w:r>
        <w:t>«Статус раздела».</w:t>
      </w:r>
      <w:r>
        <w:tab/>
        <w:t>Фильтр с возможностью множественного выбора значений из выпадающего списка: «Все» (установлено по умолчанию), «Активен», «Закрыт», «Статус не заполнен в ПУР КС»;</w:t>
      </w:r>
    </w:p>
    <w:p w:rsidR="00C95799" w:rsidRDefault="00C95799" w:rsidP="00DE1661">
      <w:pPr>
        <w:pStyle w:val="13"/>
      </w:pPr>
      <w:r>
        <w:t>«Единицы измерения». Фильтр с возможностью выбора значения из выпадающего списка;</w:t>
      </w:r>
    </w:p>
    <w:p w:rsidR="00C95799" w:rsidRDefault="00C95799" w:rsidP="00DE1661">
      <w:pPr>
        <w:pStyle w:val="13"/>
      </w:pPr>
      <w:r>
        <w:t xml:space="preserve">«Номер идентификатора». </w:t>
      </w:r>
      <w:r w:rsidRPr="00331ED5">
        <w:t>Фильтр с возможностью поиска по введенному значению</w:t>
      </w:r>
      <w:r>
        <w:t xml:space="preserve"> идентификатора государственного (муниципального) контракта, соглашения.</w:t>
      </w:r>
    </w:p>
    <w:p w:rsidR="00C95799" w:rsidRDefault="00C95799" w:rsidP="00C95799">
      <w:pPr>
        <w:pStyle w:val="af0"/>
      </w:pPr>
      <w:r w:rsidRPr="007F33E1">
        <w:t>Отчет поддержива</w:t>
      </w:r>
      <w:r>
        <w:t>е</w:t>
      </w:r>
      <w:r w:rsidRPr="007F33E1">
        <w:t>т сортировку по всем колонкам.</w:t>
      </w:r>
    </w:p>
    <w:p w:rsidR="0043259D" w:rsidRDefault="0043259D" w:rsidP="0043259D">
      <w:pPr>
        <w:pStyle w:val="-0"/>
        <w:keepNext/>
      </w:pPr>
      <w:r>
        <w:rPr>
          <w:noProof/>
          <w:snapToGrid/>
        </w:rPr>
        <w:drawing>
          <wp:inline distT="0" distB="0" distL="0" distR="0" wp14:anchorId="7759C5D9" wp14:editId="4A081C07">
            <wp:extent cx="6119495" cy="2731418"/>
            <wp:effectExtent l="0" t="0" r="0" b="0"/>
            <wp:docPr id="10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6119495" cy="2731418"/>
                    </a:xfrm>
                    <a:prstGeom prst="rect">
                      <a:avLst/>
                    </a:prstGeom>
                    <a:noFill/>
                    <a:ln>
                      <a:noFill/>
                    </a:ln>
                  </pic:spPr>
                </pic:pic>
              </a:graphicData>
            </a:graphic>
          </wp:inline>
        </w:drawing>
      </w:r>
    </w:p>
    <w:p w:rsidR="0043259D" w:rsidRDefault="0043259D" w:rsidP="0043259D">
      <w:pPr>
        <w:pStyle w:val="-0"/>
      </w:pPr>
      <w:bookmarkStart w:id="1924" w:name="_Toc119584689"/>
      <w:r>
        <w:t xml:space="preserve">Рисунок </w:t>
      </w:r>
      <w:fldSimple w:instr=" SEQ Рисунок \* ARABIC ">
        <w:r w:rsidR="001860A9">
          <w:rPr>
            <w:noProof/>
          </w:rPr>
          <w:t>502</w:t>
        </w:r>
      </w:fldSimple>
      <w:r>
        <w:t xml:space="preserve"> – Представление «Исполнители»</w:t>
      </w:r>
      <w:bookmarkEnd w:id="1924"/>
    </w:p>
    <w:p w:rsidR="0043259D" w:rsidRDefault="0043259D" w:rsidP="00862055">
      <w:pPr>
        <w:pStyle w:val="42"/>
        <w:keepNext/>
        <w:numPr>
          <w:ilvl w:val="3"/>
          <w:numId w:val="135"/>
        </w:numPr>
      </w:pPr>
      <w:bookmarkStart w:id="1925" w:name="_Toc80799854"/>
      <w:r w:rsidRPr="00B975AE">
        <w:t>Представление</w:t>
      </w:r>
      <w:r>
        <w:t xml:space="preserve"> </w:t>
      </w:r>
      <w:r w:rsidRPr="000B7F01">
        <w:t>«</w:t>
      </w:r>
      <w:r>
        <w:t>Движение средств</w:t>
      </w:r>
      <w:r w:rsidRPr="000B7F01">
        <w:t>»</w:t>
      </w:r>
      <w:bookmarkEnd w:id="1925"/>
    </w:p>
    <w:p w:rsidR="0043259D" w:rsidRDefault="0043259D" w:rsidP="0043259D">
      <w:pPr>
        <w:pStyle w:val="af0"/>
        <w:spacing w:after="120"/>
      </w:pPr>
      <w:r>
        <w:t xml:space="preserve">Представление «Движение средств» содержит </w:t>
      </w:r>
      <w:r w:rsidRPr="00AD2176">
        <w:rPr>
          <w:szCs w:val="28"/>
        </w:rPr>
        <w:t xml:space="preserve">информацию об исполнении государственных </w:t>
      </w:r>
      <w:r>
        <w:rPr>
          <w:szCs w:val="28"/>
        </w:rPr>
        <w:t xml:space="preserve">(муниципальных) </w:t>
      </w:r>
      <w:r w:rsidRPr="00AD2176">
        <w:rPr>
          <w:szCs w:val="28"/>
        </w:rPr>
        <w:t>контрактов</w:t>
      </w:r>
      <w:r>
        <w:rPr>
          <w:szCs w:val="28"/>
        </w:rPr>
        <w:t>, соглашений,</w:t>
      </w:r>
      <w:r w:rsidRPr="005D55CB">
        <w:t xml:space="preserve"> </w:t>
      </w:r>
      <w:r w:rsidRPr="009612B5">
        <w:t>финансирование которых осуществляется за счет средств бюджетов субъектов РФ и местных бюджетов</w:t>
      </w:r>
      <w:r>
        <w:t>,</w:t>
      </w:r>
      <w:r w:rsidRPr="005D55CB">
        <w:t xml:space="preserve"> </w:t>
      </w:r>
      <w:r w:rsidRPr="004249BA">
        <w:t>в отношении которых осуществляется каз</w:t>
      </w:r>
      <w:r>
        <w:t>начейское сопровождение</w:t>
      </w:r>
      <w:r w:rsidRPr="006B1B2D">
        <w:t xml:space="preserve">. </w:t>
      </w:r>
    </w:p>
    <w:p w:rsidR="0043259D" w:rsidRDefault="0043259D" w:rsidP="0043259D">
      <w:pPr>
        <w:pStyle w:val="af0"/>
        <w:spacing w:after="120"/>
      </w:pPr>
      <w:r>
        <w:t>Отчет должен содержать следующие атрибуты:</w:t>
      </w:r>
    </w:p>
    <w:p w:rsidR="0043259D" w:rsidRDefault="0043259D" w:rsidP="00DE1661">
      <w:pPr>
        <w:pStyle w:val="13"/>
      </w:pPr>
      <w:r>
        <w:t>Наименование плательщика;</w:t>
      </w:r>
    </w:p>
    <w:p w:rsidR="0043259D" w:rsidRDefault="0043259D" w:rsidP="00DE1661">
      <w:pPr>
        <w:pStyle w:val="13"/>
      </w:pPr>
      <w:r>
        <w:t>Наименование бюджета плательщика;</w:t>
      </w:r>
    </w:p>
    <w:p w:rsidR="0043259D" w:rsidRDefault="0043259D" w:rsidP="00DE1661">
      <w:pPr>
        <w:pStyle w:val="13"/>
      </w:pPr>
      <w:r>
        <w:t>ИНН плательщика</w:t>
      </w:r>
      <w:r>
        <w:tab/>
        <w:t>;</w:t>
      </w:r>
    </w:p>
    <w:p w:rsidR="0043259D" w:rsidRDefault="0043259D" w:rsidP="00DE1661">
      <w:pPr>
        <w:pStyle w:val="13"/>
      </w:pPr>
      <w:r>
        <w:t>КПП плательщика;</w:t>
      </w:r>
    </w:p>
    <w:p w:rsidR="0043259D" w:rsidRDefault="0043259D" w:rsidP="00DE1661">
      <w:pPr>
        <w:pStyle w:val="13"/>
      </w:pPr>
      <w:r>
        <w:t>Лицевой счет плательщика;</w:t>
      </w:r>
    </w:p>
    <w:p w:rsidR="0043259D" w:rsidRDefault="0043259D" w:rsidP="00DE1661">
      <w:pPr>
        <w:pStyle w:val="13"/>
      </w:pPr>
      <w:r>
        <w:t>Код раздела плательщика;</w:t>
      </w:r>
    </w:p>
    <w:p w:rsidR="0043259D" w:rsidRDefault="0043259D" w:rsidP="00DE1661">
      <w:pPr>
        <w:pStyle w:val="13"/>
      </w:pPr>
      <w:r>
        <w:t>Наименование получателя;</w:t>
      </w:r>
    </w:p>
    <w:p w:rsidR="0043259D" w:rsidRDefault="0043259D" w:rsidP="00DE1661">
      <w:pPr>
        <w:pStyle w:val="13"/>
      </w:pPr>
      <w:r>
        <w:t>ИНН получателя;</w:t>
      </w:r>
    </w:p>
    <w:p w:rsidR="0043259D" w:rsidRDefault="0043259D" w:rsidP="00DE1661">
      <w:pPr>
        <w:pStyle w:val="13"/>
      </w:pPr>
      <w:r>
        <w:t>КПП получателя;</w:t>
      </w:r>
    </w:p>
    <w:p w:rsidR="0043259D" w:rsidRDefault="0043259D" w:rsidP="00DE1661">
      <w:pPr>
        <w:pStyle w:val="13"/>
      </w:pPr>
      <w:r>
        <w:t>Лицевой счет получателя;</w:t>
      </w:r>
    </w:p>
    <w:p w:rsidR="0043259D" w:rsidRDefault="0043259D" w:rsidP="00DE1661">
      <w:pPr>
        <w:pStyle w:val="13"/>
      </w:pPr>
      <w:r>
        <w:t>Код раздела получателя;</w:t>
      </w:r>
    </w:p>
    <w:p w:rsidR="0043259D" w:rsidRDefault="0043259D" w:rsidP="00DE1661">
      <w:pPr>
        <w:pStyle w:val="13"/>
      </w:pPr>
      <w:r>
        <w:t>Номер платежного поручения;</w:t>
      </w:r>
    </w:p>
    <w:p w:rsidR="0043259D" w:rsidRDefault="0043259D" w:rsidP="00DE1661">
      <w:pPr>
        <w:pStyle w:val="13"/>
      </w:pPr>
      <w:r>
        <w:t>Дата платежного поручения;</w:t>
      </w:r>
    </w:p>
    <w:p w:rsidR="0043259D" w:rsidRDefault="0043259D" w:rsidP="00DE1661">
      <w:pPr>
        <w:pStyle w:val="13"/>
      </w:pPr>
      <w:r>
        <w:t>Сумма;</w:t>
      </w:r>
    </w:p>
    <w:p w:rsidR="0043259D" w:rsidRDefault="0043259D" w:rsidP="00DE1661">
      <w:pPr>
        <w:pStyle w:val="13"/>
      </w:pPr>
      <w:r>
        <w:t>Назначение платежа;</w:t>
      </w:r>
    </w:p>
    <w:p w:rsidR="0043259D" w:rsidRDefault="0043259D" w:rsidP="00DE1661">
      <w:pPr>
        <w:pStyle w:val="13"/>
      </w:pPr>
      <w:r>
        <w:t>Код источника поступления/направления расходования;</w:t>
      </w:r>
    </w:p>
    <w:p w:rsidR="0043259D" w:rsidRDefault="0043259D" w:rsidP="00DE1661">
      <w:pPr>
        <w:pStyle w:val="13"/>
      </w:pPr>
      <w:r>
        <w:t>Направление платежа;</w:t>
      </w:r>
    </w:p>
    <w:p w:rsidR="0043259D" w:rsidRDefault="0043259D" w:rsidP="00DE1661">
      <w:pPr>
        <w:pStyle w:val="13"/>
      </w:pPr>
      <w:r>
        <w:t>Проект.</w:t>
      </w:r>
    </w:p>
    <w:p w:rsidR="0043259D" w:rsidRDefault="0043259D" w:rsidP="0043259D">
      <w:pPr>
        <w:pStyle w:val="af0"/>
        <w:spacing w:after="120"/>
      </w:pPr>
      <w:r>
        <w:t>Отчет формируется в виде таблицы с возможностью перехода в ПУР КС с номера платежного поручения.</w:t>
      </w:r>
    </w:p>
    <w:p w:rsidR="0043259D" w:rsidRDefault="0043259D" w:rsidP="0043259D">
      <w:pPr>
        <w:pStyle w:val="af0"/>
        <w:spacing w:after="120"/>
      </w:pPr>
      <w:r>
        <w:t>Фильтры в представлении «Движение средств»:</w:t>
      </w:r>
    </w:p>
    <w:p w:rsidR="0043259D" w:rsidRDefault="0043259D" w:rsidP="00DE1661">
      <w:pPr>
        <w:pStyle w:val="13"/>
      </w:pPr>
      <w:r>
        <w:t>«</w:t>
      </w:r>
      <w:r w:rsidRPr="00F371C0">
        <w:t>Дата операции</w:t>
      </w:r>
      <w:r>
        <w:t xml:space="preserve"> с.. по..». Фильтр с возможностью выбора значения из календаря;</w:t>
      </w:r>
    </w:p>
    <w:p w:rsidR="0043259D" w:rsidRDefault="0043259D"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43259D" w:rsidRDefault="0043259D"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43259D" w:rsidRDefault="0043259D" w:rsidP="00DE1661">
      <w:pPr>
        <w:pStyle w:val="13"/>
      </w:pPr>
      <w:r>
        <w:t>«Код бюджета заказчика».</w:t>
      </w:r>
      <w:r>
        <w:tab/>
        <w:t>Фильтр с возможностью множественного выбора значений из выпадающего списка: «код бюджета» - «наименование бюджета», «Все» (установлено по умолчанию). Фильтр должен быть зависим от фильтра «Уровень бюджета заказчика» и от фильтра «Наименование субъекта/муниципального образования»;</w:t>
      </w:r>
    </w:p>
    <w:p w:rsidR="0043259D" w:rsidRDefault="0043259D" w:rsidP="00DE1661">
      <w:pPr>
        <w:pStyle w:val="13"/>
      </w:pPr>
      <w:r>
        <w:t>«ГРБС (ФБ)». Фильтр с возможностью множественного выбора значений из выпадающего списка: «код ГРБС» - «наименование ГРБС», «Все» (установлено по умолчанию);</w:t>
      </w:r>
    </w:p>
    <w:p w:rsidR="0043259D" w:rsidRDefault="0043259D" w:rsidP="00DE1661">
      <w:pPr>
        <w:pStyle w:val="13"/>
      </w:pPr>
      <w:r>
        <w:t>«ГРБС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43259D" w:rsidRDefault="0043259D" w:rsidP="00DE1661">
      <w:pPr>
        <w:pStyle w:val="13"/>
      </w:pPr>
      <w:r>
        <w:t xml:space="preserve">«Найти плательщика». </w:t>
      </w:r>
      <w:r w:rsidRPr="00331ED5">
        <w:t xml:space="preserve">Фильтр с возможностью поиска по введенному значению ИНН, КПП, наименованию или лицевому счету </w:t>
      </w:r>
      <w:r>
        <w:t>плательщика</w:t>
      </w:r>
      <w:r w:rsidRPr="00331ED5">
        <w:t>;</w:t>
      </w:r>
    </w:p>
    <w:p w:rsidR="0043259D" w:rsidRDefault="0043259D" w:rsidP="00DE1661">
      <w:pPr>
        <w:pStyle w:val="13"/>
      </w:pPr>
      <w:r>
        <w:t xml:space="preserve">«Найти получателя». </w:t>
      </w:r>
      <w:r w:rsidRPr="00331ED5">
        <w:t xml:space="preserve">Фильтр с возможностью поиска по введенному значению ИНН, КПП, наименованию или лицевому счету </w:t>
      </w:r>
      <w:r>
        <w:t>получателя</w:t>
      </w:r>
      <w:r w:rsidRPr="00331ED5">
        <w:t>;</w:t>
      </w:r>
    </w:p>
    <w:p w:rsidR="0043259D" w:rsidRDefault="0043259D" w:rsidP="00DE1661">
      <w:pPr>
        <w:pStyle w:val="13"/>
      </w:pPr>
      <w:r w:rsidRPr="00806A33">
        <w:t>«Направление платежа».</w:t>
      </w:r>
      <w:r>
        <w:rPr>
          <w:sz w:val="24"/>
          <w:szCs w:val="24"/>
        </w:rPr>
        <w:t xml:space="preserve"> </w:t>
      </w:r>
      <w:r>
        <w:t>Фильтр с возможностью выбора значения из выпадающего списка: «Поступления», «Выбытия», «Возвраты», «Восстановления»;</w:t>
      </w:r>
    </w:p>
    <w:p w:rsidR="0043259D" w:rsidRDefault="0043259D" w:rsidP="00DE1661">
      <w:pPr>
        <w:pStyle w:val="13"/>
      </w:pPr>
      <w:r>
        <w:t xml:space="preserve">«Номер п/п». </w:t>
      </w:r>
      <w:r w:rsidRPr="00331ED5">
        <w:t>Фильтр с возможностью поиска по введенному значению</w:t>
      </w:r>
      <w:r>
        <w:t xml:space="preserve"> номера платежного поручения;</w:t>
      </w:r>
    </w:p>
    <w:p w:rsidR="0043259D" w:rsidRDefault="0043259D" w:rsidP="00DE1661">
      <w:pPr>
        <w:pStyle w:val="13"/>
      </w:pPr>
      <w:r>
        <w:t>«Номер гос.(муниц.) контракта/соглашения».</w:t>
      </w:r>
      <w:r>
        <w:tab/>
        <w:t>Фильтр с возможностью поиска по введенному значению;</w:t>
      </w:r>
    </w:p>
    <w:p w:rsidR="0043259D" w:rsidRDefault="0043259D" w:rsidP="00DE1661">
      <w:pPr>
        <w:pStyle w:val="13"/>
      </w:pPr>
      <w:r>
        <w:t>«Назначение платежа». Фильтр с возможностью поиска по введенному значению;</w:t>
      </w:r>
    </w:p>
    <w:p w:rsidR="0043259D" w:rsidRDefault="0043259D" w:rsidP="00DE1661">
      <w:pPr>
        <w:pStyle w:val="13"/>
      </w:pPr>
      <w:r w:rsidRPr="001A23F6">
        <w:t>«Код источника поступления/направления расходования».</w:t>
      </w:r>
      <w:r>
        <w:rPr>
          <w:sz w:val="24"/>
          <w:szCs w:val="24"/>
        </w:rPr>
        <w:t xml:space="preserve"> </w:t>
      </w:r>
      <w:r>
        <w:t>Фильтр с возможностью выбора значения из выпадающего списка с кодами;</w:t>
      </w:r>
    </w:p>
    <w:p w:rsidR="0043259D" w:rsidRDefault="0043259D" w:rsidP="00DE1661">
      <w:pPr>
        <w:pStyle w:val="13"/>
      </w:pPr>
      <w:r w:rsidRPr="00A40686">
        <w:t>«Направление расходования». Иерархический ф</w:t>
      </w:r>
      <w:r>
        <w:t>ильтр с возможностью выбора значения из выпадающего списка с направлениями расходования;</w:t>
      </w:r>
    </w:p>
    <w:p w:rsidR="0043259D" w:rsidRDefault="0043259D" w:rsidP="00DE1661">
      <w:pPr>
        <w:pStyle w:val="13"/>
      </w:pPr>
      <w:r>
        <w:t xml:space="preserve"> «Единицы измерения». Фильтр с возможностью выбора значения из выпадающего списка;</w:t>
      </w:r>
    </w:p>
    <w:p w:rsidR="0043259D" w:rsidRDefault="0043259D" w:rsidP="00DE1661">
      <w:pPr>
        <w:pStyle w:val="13"/>
      </w:pPr>
      <w:r>
        <w:t xml:space="preserve">«Номер идентификатора». </w:t>
      </w:r>
      <w:r w:rsidRPr="00331ED5">
        <w:t>Фильтр с возможностью поиска по введенному значению</w:t>
      </w:r>
      <w:r>
        <w:t xml:space="preserve"> идентификатора государственного (муниципального) контракта, соглашения.</w:t>
      </w:r>
    </w:p>
    <w:p w:rsidR="0043259D" w:rsidRDefault="0043259D" w:rsidP="0043259D">
      <w:pPr>
        <w:pStyle w:val="af0"/>
      </w:pPr>
      <w:r w:rsidRPr="007F33E1">
        <w:t>Отчет поддержива</w:t>
      </w:r>
      <w:r>
        <w:t>е</w:t>
      </w:r>
      <w:r w:rsidRPr="007F33E1">
        <w:t>т сортировку по всем колонкам.</w:t>
      </w:r>
    </w:p>
    <w:p w:rsidR="0043259D" w:rsidRDefault="0043259D" w:rsidP="0043259D">
      <w:pPr>
        <w:pStyle w:val="-0"/>
        <w:keepNext/>
      </w:pPr>
      <w:r>
        <w:rPr>
          <w:noProof/>
          <w:snapToGrid/>
        </w:rPr>
        <w:drawing>
          <wp:inline distT="0" distB="0" distL="0" distR="0" wp14:anchorId="34281EAC" wp14:editId="022D7611">
            <wp:extent cx="6119495" cy="2741534"/>
            <wp:effectExtent l="0" t="0" r="0" b="1905"/>
            <wp:docPr id="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6119495" cy="2741534"/>
                    </a:xfrm>
                    <a:prstGeom prst="rect">
                      <a:avLst/>
                    </a:prstGeom>
                    <a:noFill/>
                    <a:ln>
                      <a:noFill/>
                    </a:ln>
                  </pic:spPr>
                </pic:pic>
              </a:graphicData>
            </a:graphic>
          </wp:inline>
        </w:drawing>
      </w:r>
    </w:p>
    <w:p w:rsidR="0043259D" w:rsidRDefault="0043259D" w:rsidP="0043259D">
      <w:pPr>
        <w:pStyle w:val="-0"/>
      </w:pPr>
      <w:bookmarkStart w:id="1926" w:name="_Toc119584690"/>
      <w:r>
        <w:t xml:space="preserve">Рисунок </w:t>
      </w:r>
      <w:fldSimple w:instr=" SEQ Рисунок \* ARABIC ">
        <w:r w:rsidR="001860A9">
          <w:rPr>
            <w:noProof/>
          </w:rPr>
          <w:t>503</w:t>
        </w:r>
      </w:fldSimple>
      <w:r>
        <w:t xml:space="preserve"> – Представление «Движение средств»</w:t>
      </w:r>
      <w:bookmarkEnd w:id="1926"/>
    </w:p>
    <w:p w:rsidR="0043259D" w:rsidRDefault="0043259D" w:rsidP="00862055">
      <w:pPr>
        <w:pStyle w:val="42"/>
        <w:keepNext/>
        <w:numPr>
          <w:ilvl w:val="3"/>
          <w:numId w:val="135"/>
        </w:numPr>
      </w:pPr>
      <w:bookmarkStart w:id="1927" w:name="_Toc80799855"/>
      <w:r>
        <w:t xml:space="preserve">Представление </w:t>
      </w:r>
      <w:r w:rsidRPr="000B7F01">
        <w:t>«</w:t>
      </w:r>
      <w:r>
        <w:t>Факты отказа платежных поручений</w:t>
      </w:r>
      <w:r w:rsidRPr="000B7F01">
        <w:t>»</w:t>
      </w:r>
      <w:bookmarkEnd w:id="1927"/>
    </w:p>
    <w:p w:rsidR="0043259D" w:rsidRDefault="0043259D" w:rsidP="0043259D">
      <w:pPr>
        <w:pStyle w:val="af0"/>
        <w:spacing w:after="120"/>
      </w:pPr>
      <w:r>
        <w:t xml:space="preserve">Представление «Факты отказа платежных поручений» </w:t>
      </w:r>
      <w:r w:rsidR="00730A50">
        <w:t>содержит</w:t>
      </w:r>
      <w:r w:rsidRPr="004249BA">
        <w:t xml:space="preserve"> информацию по фактам отказа в приеме к исполнению платежных поручений юридических лиц по гос</w:t>
      </w:r>
      <w:r>
        <w:t>ударственным (муниципальным) контрактам, соглашениям,</w:t>
      </w:r>
      <w:r w:rsidRPr="005D55CB">
        <w:t xml:space="preserve"> </w:t>
      </w:r>
      <w:r w:rsidRPr="009612B5">
        <w:t>финансирование которых осуществляется за счет средств бюджетов субъектов РФ и местных бюджетов,</w:t>
      </w:r>
      <w:r>
        <w:rPr>
          <w:rFonts w:ascii="Arial" w:hAnsi="Arial" w:cs="Arial"/>
          <w:color w:val="8A9199"/>
          <w:sz w:val="21"/>
          <w:szCs w:val="21"/>
          <w:shd w:val="clear" w:color="auto" w:fill="FFFFFF"/>
        </w:rPr>
        <w:t xml:space="preserve"> </w:t>
      </w:r>
      <w:r w:rsidRPr="004249BA">
        <w:t>в отношении которых осуществляется каз</w:t>
      </w:r>
      <w:r>
        <w:t>начейское сопровождение.</w:t>
      </w:r>
    </w:p>
    <w:p w:rsidR="0043259D" w:rsidRDefault="0043259D" w:rsidP="0043259D">
      <w:pPr>
        <w:pStyle w:val="af0"/>
        <w:spacing w:after="120"/>
      </w:pPr>
      <w:r>
        <w:t>Отчет должен содержать следующие атрибуты:</w:t>
      </w:r>
    </w:p>
    <w:p w:rsidR="0043259D" w:rsidRDefault="0043259D" w:rsidP="00DE1661">
      <w:pPr>
        <w:pStyle w:val="13"/>
      </w:pPr>
      <w:r>
        <w:t>Код ТОФК;</w:t>
      </w:r>
    </w:p>
    <w:p w:rsidR="0043259D" w:rsidRDefault="0043259D" w:rsidP="00DE1661">
      <w:pPr>
        <w:pStyle w:val="13"/>
      </w:pPr>
      <w:r>
        <w:t>Код главы;</w:t>
      </w:r>
    </w:p>
    <w:p w:rsidR="0043259D" w:rsidRDefault="0043259D" w:rsidP="00DE1661">
      <w:pPr>
        <w:pStyle w:val="13"/>
      </w:pPr>
      <w:r>
        <w:t>Наименование плательщика;</w:t>
      </w:r>
    </w:p>
    <w:p w:rsidR="0043259D" w:rsidRDefault="0043259D" w:rsidP="00DE1661">
      <w:pPr>
        <w:pStyle w:val="13"/>
      </w:pPr>
      <w:r>
        <w:t>Номер идентификатора ;</w:t>
      </w:r>
    </w:p>
    <w:p w:rsidR="0043259D" w:rsidRDefault="0043259D" w:rsidP="00DE1661">
      <w:pPr>
        <w:pStyle w:val="13"/>
      </w:pPr>
      <w:r>
        <w:t>Проект;</w:t>
      </w:r>
    </w:p>
    <w:p w:rsidR="0043259D" w:rsidRDefault="0043259D" w:rsidP="00DE1661">
      <w:pPr>
        <w:pStyle w:val="13"/>
      </w:pPr>
      <w:r>
        <w:t>Платежное поручение в статусе "ОТМЕНЕНО": Лицевой счет;</w:t>
      </w:r>
    </w:p>
    <w:p w:rsidR="0043259D" w:rsidRDefault="0043259D" w:rsidP="00DE1661">
      <w:pPr>
        <w:pStyle w:val="13"/>
      </w:pPr>
      <w:r>
        <w:t>Платежное поручение в статусе "ОТМЕНЕНО": Аналитический код раздела на лицевом счете с кодом 71, по которому отказано в проведении платежа;</w:t>
      </w:r>
    </w:p>
    <w:p w:rsidR="0043259D" w:rsidRDefault="0043259D" w:rsidP="00DE1661">
      <w:pPr>
        <w:pStyle w:val="13"/>
      </w:pPr>
      <w:r>
        <w:t>Платежное поручение в статусе "ОТМЕНЕНО": Номер;</w:t>
      </w:r>
    </w:p>
    <w:p w:rsidR="0043259D" w:rsidRDefault="0043259D" w:rsidP="00DE1661">
      <w:pPr>
        <w:pStyle w:val="13"/>
      </w:pPr>
      <w:r>
        <w:t>Платежное поручение в статусе "ОТМЕНЕНО": Дата;</w:t>
      </w:r>
    </w:p>
    <w:p w:rsidR="0043259D" w:rsidRDefault="0043259D" w:rsidP="00DE1661">
      <w:pPr>
        <w:pStyle w:val="13"/>
      </w:pPr>
      <w:r>
        <w:t>Платежное поручение в статусе "ОТМЕНЕНО": Сумма;</w:t>
      </w:r>
    </w:p>
    <w:p w:rsidR="0043259D" w:rsidRDefault="0043259D" w:rsidP="00DE1661">
      <w:pPr>
        <w:pStyle w:val="13"/>
      </w:pPr>
      <w:r>
        <w:t>Платежное поручение в статусе "ОТМЕНЕНО": Назначение платежа;</w:t>
      </w:r>
    </w:p>
    <w:p w:rsidR="0043259D" w:rsidRDefault="0043259D" w:rsidP="00DE1661">
      <w:pPr>
        <w:pStyle w:val="13"/>
      </w:pPr>
      <w:r>
        <w:t>Платежное поручение в статусе "ОТМЕНЕНО": Причина отказа из протокола;</w:t>
      </w:r>
    </w:p>
    <w:p w:rsidR="0043259D" w:rsidRDefault="0043259D" w:rsidP="00DE1661">
      <w:pPr>
        <w:pStyle w:val="13"/>
      </w:pPr>
      <w:r>
        <w:t>Виды причин отказа: Код;</w:t>
      </w:r>
    </w:p>
    <w:p w:rsidR="0043259D" w:rsidRDefault="0043259D" w:rsidP="00DE1661">
      <w:pPr>
        <w:pStyle w:val="13"/>
      </w:pPr>
      <w:r>
        <w:t>Виды причин отказа: Наименование ;</w:t>
      </w:r>
    </w:p>
    <w:p w:rsidR="0043259D" w:rsidRDefault="0043259D" w:rsidP="00DE1661">
      <w:pPr>
        <w:pStyle w:val="13"/>
      </w:pPr>
      <w:r>
        <w:t>Виды причин отказа: Все коды причин отказа по ПП;</w:t>
      </w:r>
    </w:p>
    <w:p w:rsidR="0043259D" w:rsidRDefault="0043259D" w:rsidP="00DE1661">
      <w:pPr>
        <w:pStyle w:val="13"/>
      </w:pPr>
      <w:r>
        <w:t>Виды причин отказа: Количество причин отказа по ПП;</w:t>
      </w:r>
    </w:p>
    <w:p w:rsidR="0043259D" w:rsidRDefault="0043259D" w:rsidP="00DE1661">
      <w:pPr>
        <w:pStyle w:val="13"/>
      </w:pPr>
      <w:r>
        <w:t>Дата фактического отказа ПП;</w:t>
      </w:r>
    </w:p>
    <w:p w:rsidR="0043259D" w:rsidRDefault="0043259D" w:rsidP="0043259D">
      <w:pPr>
        <w:pStyle w:val="af0"/>
        <w:spacing w:after="120"/>
      </w:pPr>
      <w:r>
        <w:t>Отчет формир</w:t>
      </w:r>
      <w:r w:rsidR="00730A50">
        <w:t>уется</w:t>
      </w:r>
      <w:r>
        <w:t xml:space="preserve"> в виде таблицы с возможностью перехода в ПУР КС с номера платежного поручения.</w:t>
      </w:r>
    </w:p>
    <w:p w:rsidR="0043259D" w:rsidRDefault="0043259D" w:rsidP="0043259D">
      <w:pPr>
        <w:pStyle w:val="af0"/>
        <w:spacing w:after="120"/>
      </w:pPr>
      <w:r>
        <w:t>Фильтры в представлении «Факты отказа платежных поручений»:</w:t>
      </w:r>
    </w:p>
    <w:p w:rsidR="0043259D" w:rsidRDefault="0043259D"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43259D" w:rsidRDefault="0043259D"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43259D" w:rsidRDefault="0043259D" w:rsidP="00DE1661">
      <w:pPr>
        <w:pStyle w:val="13"/>
      </w:pPr>
      <w:r>
        <w:t xml:space="preserve"> «ГРБС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43259D" w:rsidRDefault="0043259D" w:rsidP="00DE1661">
      <w:pPr>
        <w:pStyle w:val="13"/>
      </w:pPr>
      <w:r>
        <w:t>«Проект». Фильтр с возможностью множественного выбора значений из выпадающего списка;</w:t>
      </w:r>
    </w:p>
    <w:p w:rsidR="0043259D" w:rsidRDefault="0043259D" w:rsidP="00DE1661">
      <w:pPr>
        <w:pStyle w:val="13"/>
      </w:pPr>
      <w:r>
        <w:t>«Центр специализации/ТОФК (по исполнителю)».</w:t>
      </w:r>
      <w:r>
        <w:tab/>
        <w:t>Фильтр с возможностью множественного выбора значений из выпадающего списка;</w:t>
      </w:r>
    </w:p>
    <w:p w:rsidR="0043259D" w:rsidRDefault="0043259D" w:rsidP="00DE1661">
      <w:pPr>
        <w:pStyle w:val="13"/>
      </w:pPr>
      <w:r>
        <w:t>«Номер лицевого счета».</w:t>
      </w:r>
      <w:r w:rsidRPr="001B473E">
        <w:t xml:space="preserve"> </w:t>
      </w:r>
      <w:r>
        <w:t>Фильтр с возможностью выбора значений из выпадающего списка;</w:t>
      </w:r>
    </w:p>
    <w:p w:rsidR="0043259D" w:rsidRDefault="0043259D" w:rsidP="00DE1661">
      <w:pPr>
        <w:pStyle w:val="13"/>
      </w:pPr>
      <w:r>
        <w:t>«Код причины отказа». Иерархический фильтр с возможностью множественного выбора значений из выпадающего списка;</w:t>
      </w:r>
    </w:p>
    <w:p w:rsidR="0043259D" w:rsidRDefault="0043259D" w:rsidP="00DE1661">
      <w:pPr>
        <w:pStyle w:val="13"/>
      </w:pPr>
      <w:r>
        <w:t xml:space="preserve">«Причины отказа из протокола». </w:t>
      </w:r>
      <w:r w:rsidRPr="00331ED5">
        <w:t>Фильтр с возможностью поиска по введенному значению</w:t>
      </w:r>
      <w:r>
        <w:t>;</w:t>
      </w:r>
    </w:p>
    <w:p w:rsidR="0043259D" w:rsidRDefault="0043259D" w:rsidP="00DE1661">
      <w:pPr>
        <w:pStyle w:val="13"/>
      </w:pPr>
      <w:r>
        <w:t>«Код раздела». Фильтр с возможностью выбора значений из выпадающего списка;</w:t>
      </w:r>
    </w:p>
    <w:p w:rsidR="0043259D" w:rsidRPr="00A7591E" w:rsidRDefault="0043259D" w:rsidP="00DE1661">
      <w:pPr>
        <w:pStyle w:val="13"/>
      </w:pPr>
      <w:r>
        <w:t>«Дата документа от до».</w:t>
      </w:r>
      <w:r w:rsidRPr="00FB3125">
        <w:t xml:space="preserve"> </w:t>
      </w:r>
      <w:r>
        <w:t>Фильтр должен быть реализован по диапазону д</w:t>
      </w:r>
      <w:r w:rsidRPr="00036128">
        <w:t>ат платежного поручения</w:t>
      </w:r>
      <w:r>
        <w:t xml:space="preserve"> с помощью календаря</w:t>
      </w:r>
      <w:r>
        <w:rPr>
          <w:szCs w:val="28"/>
        </w:rPr>
        <w:t>;</w:t>
      </w:r>
    </w:p>
    <w:p w:rsidR="0043259D" w:rsidRDefault="0043259D" w:rsidP="00DE1661">
      <w:pPr>
        <w:pStyle w:val="13"/>
      </w:pPr>
      <w:r>
        <w:t xml:space="preserve"> «Номер документа».</w:t>
      </w:r>
      <w:r w:rsidRPr="001B473E">
        <w:t xml:space="preserve"> </w:t>
      </w:r>
      <w:r w:rsidRPr="00331ED5">
        <w:t>Фильтр с возможностью поиска по введенному значению</w:t>
      </w:r>
      <w:r>
        <w:t xml:space="preserve"> номера платежного поручения;</w:t>
      </w:r>
    </w:p>
    <w:p w:rsidR="0043259D" w:rsidRDefault="0043259D" w:rsidP="00DE1661">
      <w:pPr>
        <w:pStyle w:val="13"/>
      </w:pPr>
      <w:r>
        <w:t xml:space="preserve">«Плательщик». </w:t>
      </w:r>
      <w:r w:rsidRPr="00331ED5">
        <w:t xml:space="preserve">Фильтр с возможностью поиска по введенному значению ИНН, наименованию </w:t>
      </w:r>
      <w:r>
        <w:t>плательщика;</w:t>
      </w:r>
    </w:p>
    <w:p w:rsidR="0043259D" w:rsidRDefault="0043259D" w:rsidP="00DE1661">
      <w:pPr>
        <w:pStyle w:val="13"/>
      </w:pPr>
      <w:r>
        <w:t xml:space="preserve">«Сумма документа от до». </w:t>
      </w:r>
      <w:r w:rsidRPr="00331ED5">
        <w:t xml:space="preserve">Фильтр с возможностью поиска по </w:t>
      </w:r>
      <w:r>
        <w:t>диапазону введенных сумм документа;</w:t>
      </w:r>
    </w:p>
    <w:p w:rsidR="0043259D" w:rsidRDefault="0043259D" w:rsidP="00DE1661">
      <w:pPr>
        <w:pStyle w:val="13"/>
      </w:pPr>
      <w:r>
        <w:t>«Дата фактического отказа ПП от.. до..».</w:t>
      </w:r>
      <w:r w:rsidRPr="006741BA">
        <w:t xml:space="preserve"> </w:t>
      </w:r>
      <w:r>
        <w:t>Фильтр должен быть реализован по диапазону д</w:t>
      </w:r>
      <w:r w:rsidRPr="00036128">
        <w:t xml:space="preserve">ат </w:t>
      </w:r>
      <w:r>
        <w:t xml:space="preserve">фактического отказа </w:t>
      </w:r>
      <w:r w:rsidRPr="00036128">
        <w:t>платежного поручения</w:t>
      </w:r>
      <w:r>
        <w:t xml:space="preserve"> с помощью календаря</w:t>
      </w:r>
      <w:r>
        <w:rPr>
          <w:szCs w:val="28"/>
        </w:rPr>
        <w:t>;</w:t>
      </w:r>
    </w:p>
    <w:p w:rsidR="0043259D" w:rsidRDefault="0043259D" w:rsidP="00DE1661">
      <w:pPr>
        <w:pStyle w:val="13"/>
      </w:pPr>
      <w:r>
        <w:t>«Единицы измерения». Фильтр с возможностью выбора значения из выпадающего списка;</w:t>
      </w:r>
    </w:p>
    <w:p w:rsidR="0043259D" w:rsidRDefault="0043259D" w:rsidP="0043259D">
      <w:pPr>
        <w:pStyle w:val="af0"/>
      </w:pPr>
      <w:r w:rsidRPr="007F33E1">
        <w:t>Отчет поддержива</w:t>
      </w:r>
      <w:r>
        <w:t>е</w:t>
      </w:r>
      <w:r w:rsidRPr="007F33E1">
        <w:t>т сортировку по всем колонкам.</w:t>
      </w:r>
    </w:p>
    <w:p w:rsidR="00730A50" w:rsidRDefault="00730A50" w:rsidP="00730A50">
      <w:pPr>
        <w:pStyle w:val="-0"/>
        <w:keepNext/>
      </w:pPr>
      <w:r>
        <w:rPr>
          <w:noProof/>
          <w:snapToGrid/>
        </w:rPr>
        <w:drawing>
          <wp:inline distT="0" distB="0" distL="0" distR="0" wp14:anchorId="25172BE4" wp14:editId="04FB88C6">
            <wp:extent cx="6119495" cy="2368219"/>
            <wp:effectExtent l="0" t="0" r="0" b="0"/>
            <wp:docPr id="1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6119495" cy="2368219"/>
                    </a:xfrm>
                    <a:prstGeom prst="rect">
                      <a:avLst/>
                    </a:prstGeom>
                    <a:noFill/>
                    <a:ln>
                      <a:noFill/>
                    </a:ln>
                  </pic:spPr>
                </pic:pic>
              </a:graphicData>
            </a:graphic>
          </wp:inline>
        </w:drawing>
      </w:r>
    </w:p>
    <w:p w:rsidR="00730A50" w:rsidRDefault="00730A50" w:rsidP="00730A50">
      <w:pPr>
        <w:pStyle w:val="-0"/>
      </w:pPr>
      <w:bookmarkStart w:id="1928" w:name="_Toc119584691"/>
      <w:r>
        <w:t xml:space="preserve">Рисунок </w:t>
      </w:r>
      <w:fldSimple w:instr=" SEQ Рисунок \* ARABIC ">
        <w:r w:rsidR="001860A9">
          <w:rPr>
            <w:noProof/>
          </w:rPr>
          <w:t>504</w:t>
        </w:r>
      </w:fldSimple>
      <w:r>
        <w:t xml:space="preserve"> – Представление «</w:t>
      </w:r>
      <w:r w:rsidRPr="002732BF">
        <w:t>Факты</w:t>
      </w:r>
      <w:r>
        <w:t xml:space="preserve"> отказа платежных поручений»</w:t>
      </w:r>
      <w:bookmarkEnd w:id="1928"/>
    </w:p>
    <w:p w:rsidR="00417E1C" w:rsidRDefault="00417E1C" w:rsidP="00862055">
      <w:pPr>
        <w:pStyle w:val="42"/>
        <w:numPr>
          <w:ilvl w:val="3"/>
          <w:numId w:val="135"/>
        </w:numPr>
      </w:pPr>
      <w:bookmarkStart w:id="1929" w:name="_Toc80799856"/>
      <w:r>
        <w:t xml:space="preserve">Отчет </w:t>
      </w:r>
      <w:r w:rsidRPr="000B7F01">
        <w:t>«</w:t>
      </w:r>
      <w:r w:rsidRPr="00C15EBE">
        <w:t>Цепочка</w:t>
      </w:r>
      <w:r>
        <w:t xml:space="preserve"> контрактов (БС/МБ)</w:t>
      </w:r>
      <w:r w:rsidRPr="000B7F01">
        <w:t>»</w:t>
      </w:r>
      <w:bookmarkEnd w:id="1929"/>
    </w:p>
    <w:p w:rsidR="00417E1C" w:rsidRDefault="00417E1C" w:rsidP="00417E1C">
      <w:pPr>
        <w:pStyle w:val="af0"/>
      </w:pPr>
      <w:r>
        <w:t>Отчет «Цепочка контрактов БС/МБ» содержит</w:t>
      </w:r>
      <w:r w:rsidRPr="004249BA">
        <w:t xml:space="preserve"> информацию </w:t>
      </w:r>
      <w:r>
        <w:t>о</w:t>
      </w:r>
      <w:r w:rsidRPr="002962AF">
        <w:t xml:space="preserve"> цепочке контрактов</w:t>
      </w:r>
      <w:r>
        <w:t>/договоров</w:t>
      </w:r>
      <w:r w:rsidRPr="002962AF">
        <w:t xml:space="preserve"> в рамках одного </w:t>
      </w:r>
      <w:r w:rsidRPr="004249BA">
        <w:t>гос</w:t>
      </w:r>
      <w:r>
        <w:t>ударственного (муниципальным) контракта, соглашения,</w:t>
      </w:r>
      <w:r w:rsidRPr="005D55CB">
        <w:t xml:space="preserve"> </w:t>
      </w:r>
      <w:r>
        <w:t>финансирование которого</w:t>
      </w:r>
      <w:r w:rsidRPr="009612B5">
        <w:t xml:space="preserve"> осуществляется за счет средств бюджетов субъектов РФ и местных бюджетов,</w:t>
      </w:r>
      <w:r>
        <w:rPr>
          <w:rFonts w:cs="Arial"/>
          <w:color w:val="8A9199"/>
          <w:sz w:val="21"/>
          <w:szCs w:val="21"/>
          <w:shd w:val="clear" w:color="auto" w:fill="FFFFFF"/>
        </w:rPr>
        <w:t xml:space="preserve"> </w:t>
      </w:r>
      <w:r>
        <w:t>в отношении которого</w:t>
      </w:r>
      <w:r w:rsidRPr="004249BA">
        <w:t xml:space="preserve"> осуществляется каз</w:t>
      </w:r>
      <w:r>
        <w:t>начейское сопровождение.</w:t>
      </w:r>
    </w:p>
    <w:p w:rsidR="00417E1C" w:rsidRDefault="00417E1C" w:rsidP="00417E1C">
      <w:pPr>
        <w:pStyle w:val="af0"/>
      </w:pPr>
      <w:r>
        <w:t>Отчет должен включать в себя следующие представления:</w:t>
      </w:r>
    </w:p>
    <w:p w:rsidR="00417E1C" w:rsidRDefault="00417E1C" w:rsidP="00DE1661">
      <w:pPr>
        <w:pStyle w:val="13"/>
      </w:pPr>
      <w:r>
        <w:t>Цепочка контрактов;</w:t>
      </w:r>
    </w:p>
    <w:p w:rsidR="00417E1C" w:rsidRPr="00E650D8" w:rsidRDefault="00417E1C" w:rsidP="00DE1661">
      <w:pPr>
        <w:pStyle w:val="13"/>
      </w:pPr>
      <w:r>
        <w:t>2</w:t>
      </w:r>
      <w:r>
        <w:rPr>
          <w:lang w:val="en-US"/>
        </w:rPr>
        <w:t>D</w:t>
      </w:r>
      <w:r>
        <w:t xml:space="preserve"> граф;</w:t>
      </w:r>
    </w:p>
    <w:p w:rsidR="00417E1C" w:rsidRDefault="00417E1C" w:rsidP="00DE1661">
      <w:pPr>
        <w:pStyle w:val="13"/>
      </w:pPr>
      <w:r>
        <w:rPr>
          <w:lang w:val="en-US"/>
        </w:rPr>
        <w:t xml:space="preserve">3D </w:t>
      </w:r>
      <w:r>
        <w:t>граф;</w:t>
      </w:r>
    </w:p>
    <w:p w:rsidR="00417E1C" w:rsidRDefault="00417E1C" w:rsidP="00DE1661">
      <w:pPr>
        <w:pStyle w:val="13"/>
      </w:pPr>
      <w:r>
        <w:t>Движение средств;</w:t>
      </w:r>
    </w:p>
    <w:p w:rsidR="00417E1C" w:rsidRDefault="00417E1C" w:rsidP="00DE1661">
      <w:pPr>
        <w:pStyle w:val="13"/>
      </w:pPr>
      <w:r>
        <w:t>Сведения о гос.(муниц.) контракте/соглашении.</w:t>
      </w:r>
    </w:p>
    <w:p w:rsidR="00417E1C" w:rsidRPr="00502514" w:rsidRDefault="00417E1C" w:rsidP="00862055">
      <w:pPr>
        <w:pStyle w:val="42"/>
        <w:numPr>
          <w:ilvl w:val="3"/>
          <w:numId w:val="135"/>
        </w:numPr>
      </w:pPr>
      <w:bookmarkStart w:id="1930" w:name="_Toc80799857"/>
      <w:r w:rsidRPr="00502514">
        <w:t>Представление «Цепочка контрактов»</w:t>
      </w:r>
      <w:bookmarkEnd w:id="1930"/>
      <w:r w:rsidR="005451D0">
        <w:t xml:space="preserve"> (</w:t>
      </w:r>
      <w:r w:rsidR="005451D0" w:rsidRPr="005451D0">
        <w:t>PIAO_100_017_report</w:t>
      </w:r>
      <w:r w:rsidR="005451D0">
        <w:t>)</w:t>
      </w:r>
    </w:p>
    <w:p w:rsidR="00417E1C" w:rsidRDefault="00417E1C" w:rsidP="00417E1C">
      <w:pPr>
        <w:pStyle w:val="af0"/>
        <w:spacing w:after="120"/>
      </w:pPr>
      <w:r>
        <w:t>Представление «Цепочка контрактов» содержит</w:t>
      </w:r>
      <w:r w:rsidRPr="004249BA">
        <w:t xml:space="preserve"> информацию </w:t>
      </w:r>
      <w:r>
        <w:t>о</w:t>
      </w:r>
      <w:r w:rsidRPr="002962AF">
        <w:t xml:space="preserve"> цепочке контрактов</w:t>
      </w:r>
      <w:r>
        <w:t>/договоров</w:t>
      </w:r>
      <w:r w:rsidRPr="002962AF">
        <w:t xml:space="preserve"> в рамках одного </w:t>
      </w:r>
      <w:r w:rsidRPr="004249BA">
        <w:t>гос</w:t>
      </w:r>
      <w:r>
        <w:t>ударственного (муниципальным) контракта, соглашения,</w:t>
      </w:r>
      <w:r w:rsidRPr="005D55CB">
        <w:t xml:space="preserve"> </w:t>
      </w:r>
      <w:r>
        <w:t>финансирование которого</w:t>
      </w:r>
      <w:r w:rsidRPr="009612B5">
        <w:t xml:space="preserve"> осуществляется за счет средств бюджетов субъектов РФ и местных бюджетов,</w:t>
      </w:r>
      <w:r>
        <w:rPr>
          <w:rFonts w:ascii="Arial" w:hAnsi="Arial" w:cs="Arial"/>
          <w:color w:val="8A9199"/>
          <w:sz w:val="21"/>
          <w:szCs w:val="21"/>
          <w:shd w:val="clear" w:color="auto" w:fill="FFFFFF"/>
        </w:rPr>
        <w:t xml:space="preserve"> </w:t>
      </w:r>
      <w:r>
        <w:t>в отношении, которого</w:t>
      </w:r>
      <w:r w:rsidRPr="004249BA">
        <w:t xml:space="preserve"> осуществляется каз</w:t>
      </w:r>
      <w:r>
        <w:t>начейское сопровождение.</w:t>
      </w:r>
    </w:p>
    <w:p w:rsidR="00417E1C" w:rsidRDefault="00417E1C" w:rsidP="00417E1C">
      <w:pPr>
        <w:pStyle w:val="af0"/>
        <w:spacing w:after="120"/>
      </w:pPr>
      <w:r>
        <w:t>Отчет содержит следующие атрибуты:</w:t>
      </w:r>
    </w:p>
    <w:p w:rsidR="00417E1C" w:rsidRDefault="00417E1C" w:rsidP="00DE1661">
      <w:pPr>
        <w:pStyle w:val="13"/>
      </w:pPr>
      <w:r>
        <w:t>Уровень кооперации;</w:t>
      </w:r>
    </w:p>
    <w:p w:rsidR="00417E1C" w:rsidRDefault="00417E1C" w:rsidP="00DE1661">
      <w:pPr>
        <w:pStyle w:val="13"/>
      </w:pPr>
      <w:r>
        <w:t>Уровень бюджета;</w:t>
      </w:r>
    </w:p>
    <w:p w:rsidR="00417E1C" w:rsidRDefault="00417E1C" w:rsidP="00DE1661">
      <w:pPr>
        <w:pStyle w:val="13"/>
      </w:pPr>
      <w:r>
        <w:t>Наименование субъекта/муниципального образования;</w:t>
      </w:r>
    </w:p>
    <w:p w:rsidR="00417E1C" w:rsidRDefault="00417E1C" w:rsidP="00DE1661">
      <w:pPr>
        <w:pStyle w:val="13"/>
      </w:pPr>
      <w:r>
        <w:t>Тип документа (гос.(муниц.) контракт/соглашение);</w:t>
      </w:r>
    </w:p>
    <w:p w:rsidR="00417E1C" w:rsidRDefault="00417E1C" w:rsidP="00DE1661">
      <w:pPr>
        <w:pStyle w:val="13"/>
      </w:pPr>
      <w:r>
        <w:t>Номер гос. (муниц.) контракта (контракта)/соглашения (договора);</w:t>
      </w:r>
    </w:p>
    <w:p w:rsidR="00417E1C" w:rsidRDefault="00417E1C" w:rsidP="00DE1661">
      <w:pPr>
        <w:pStyle w:val="13"/>
      </w:pPr>
      <w:r>
        <w:t>Дата заключения;</w:t>
      </w:r>
    </w:p>
    <w:p w:rsidR="00417E1C" w:rsidRDefault="00417E1C" w:rsidP="00DE1661">
      <w:pPr>
        <w:pStyle w:val="13"/>
      </w:pPr>
      <w:r>
        <w:t>Дата исполнения;</w:t>
      </w:r>
    </w:p>
    <w:p w:rsidR="00417E1C" w:rsidRDefault="00417E1C" w:rsidP="00DE1661">
      <w:pPr>
        <w:pStyle w:val="13"/>
      </w:pPr>
      <w:r>
        <w:t>Номер идентификатора;</w:t>
      </w:r>
    </w:p>
    <w:p w:rsidR="00417E1C" w:rsidRDefault="00417E1C" w:rsidP="00DE1661">
      <w:pPr>
        <w:pStyle w:val="13"/>
      </w:pPr>
      <w:r>
        <w:t>Код нац.проекта;</w:t>
      </w:r>
    </w:p>
    <w:p w:rsidR="00417E1C" w:rsidRDefault="00417E1C" w:rsidP="00DE1661">
      <w:pPr>
        <w:pStyle w:val="13"/>
      </w:pPr>
      <w:r>
        <w:t>Наименование нац.проекта (по умолчанию скрыта);</w:t>
      </w:r>
    </w:p>
    <w:p w:rsidR="00417E1C" w:rsidRDefault="00417E1C" w:rsidP="00DE1661">
      <w:pPr>
        <w:pStyle w:val="13"/>
      </w:pPr>
      <w:r>
        <w:t>Код фед.проекта;</w:t>
      </w:r>
    </w:p>
    <w:p w:rsidR="00417E1C" w:rsidRDefault="00417E1C" w:rsidP="00DE1661">
      <w:pPr>
        <w:pStyle w:val="13"/>
      </w:pPr>
      <w:r>
        <w:t>Наименование фед.проекта (по умолчанию скрыта);</w:t>
      </w:r>
    </w:p>
    <w:p w:rsidR="00417E1C" w:rsidRDefault="00417E1C" w:rsidP="00DE1661">
      <w:pPr>
        <w:pStyle w:val="13"/>
      </w:pPr>
      <w:r>
        <w:t>Предмет гос. (муниц) контракта (контракта)/соглашения (договора);</w:t>
      </w:r>
    </w:p>
    <w:p w:rsidR="00417E1C" w:rsidRDefault="00417E1C" w:rsidP="00DE1661">
      <w:pPr>
        <w:pStyle w:val="13"/>
      </w:pPr>
      <w:r>
        <w:t>Сумма гос. (муниц.) контракта (контракта)/соглашения (договора);</w:t>
      </w:r>
    </w:p>
    <w:p w:rsidR="00417E1C" w:rsidRDefault="00417E1C" w:rsidP="00DE1661">
      <w:pPr>
        <w:pStyle w:val="13"/>
      </w:pPr>
      <w:r>
        <w:t>В том числе: % софинансирования из ФБ;</w:t>
      </w:r>
    </w:p>
    <w:p w:rsidR="00417E1C" w:rsidRDefault="00417E1C" w:rsidP="00DE1661">
      <w:pPr>
        <w:pStyle w:val="13"/>
      </w:pPr>
      <w:r>
        <w:t>В том числе: Сумма софинансирования из ФБ;</w:t>
      </w:r>
    </w:p>
    <w:p w:rsidR="00417E1C" w:rsidRDefault="00417E1C" w:rsidP="00DE1661">
      <w:pPr>
        <w:pStyle w:val="13"/>
      </w:pPr>
      <w:r>
        <w:t>Сумма аванса;</w:t>
      </w:r>
    </w:p>
    <w:p w:rsidR="00417E1C" w:rsidRDefault="00417E1C" w:rsidP="00DE1661">
      <w:pPr>
        <w:pStyle w:val="13"/>
      </w:pPr>
      <w:r>
        <w:t>Процент аванса;</w:t>
      </w:r>
    </w:p>
    <w:p w:rsidR="00417E1C" w:rsidRDefault="00417E1C" w:rsidP="00DE1661">
      <w:pPr>
        <w:pStyle w:val="13"/>
      </w:pPr>
      <w:r>
        <w:t>Наименование ГРБС/гос. (муниц.) заказчика (заказчика);</w:t>
      </w:r>
    </w:p>
    <w:p w:rsidR="00417E1C" w:rsidRDefault="00417E1C" w:rsidP="00DE1661">
      <w:pPr>
        <w:pStyle w:val="13"/>
      </w:pPr>
      <w:r>
        <w:t>Лицевой счет ГРБС/гос. (муниц.) заказчика (заказчика);</w:t>
      </w:r>
    </w:p>
    <w:p w:rsidR="00417E1C" w:rsidRDefault="00417E1C" w:rsidP="00DE1661">
      <w:pPr>
        <w:pStyle w:val="13"/>
      </w:pPr>
      <w:r>
        <w:t>Наименование головного исполнителя (исполнителя)/получателя субсидии;</w:t>
      </w:r>
    </w:p>
    <w:p w:rsidR="00417E1C" w:rsidRDefault="00417E1C" w:rsidP="00DE1661">
      <w:pPr>
        <w:pStyle w:val="13"/>
      </w:pPr>
      <w:r>
        <w:t>Лицевой счет головного исполнителя (исполнителя)/получателя субсидии;</w:t>
      </w:r>
    </w:p>
    <w:p w:rsidR="00417E1C" w:rsidRDefault="00417E1C" w:rsidP="00DE1661">
      <w:pPr>
        <w:pStyle w:val="13"/>
      </w:pPr>
      <w:r>
        <w:t>Код раздела головного исполнителя (исполнителя)/получателя субсидии;</w:t>
      </w:r>
    </w:p>
    <w:p w:rsidR="00417E1C" w:rsidRDefault="00417E1C" w:rsidP="00DE1661">
      <w:pPr>
        <w:pStyle w:val="13"/>
      </w:pPr>
      <w:r>
        <w:t>Остатки на разделах головных исполнителей (исполнителей) на начало текущего года;</w:t>
      </w:r>
    </w:p>
    <w:p w:rsidR="00417E1C" w:rsidRDefault="00417E1C" w:rsidP="00DE1661">
      <w:pPr>
        <w:pStyle w:val="13"/>
      </w:pPr>
      <w:r>
        <w:t>Поступления на ЛС головного исполнителя (исполнителя)/получателя субсидии;</w:t>
      </w:r>
    </w:p>
    <w:p w:rsidR="00417E1C" w:rsidRDefault="00417E1C" w:rsidP="00DE1661">
      <w:pPr>
        <w:pStyle w:val="13"/>
      </w:pPr>
      <w:r>
        <w:t>Кассовый расход, всего;</w:t>
      </w:r>
    </w:p>
    <w:p w:rsidR="00417E1C" w:rsidRDefault="00417E1C" w:rsidP="00DE1661">
      <w:pPr>
        <w:pStyle w:val="13"/>
      </w:pPr>
      <w:r>
        <w:t>Кассовый расход на ЛС;</w:t>
      </w:r>
    </w:p>
    <w:p w:rsidR="00417E1C" w:rsidRDefault="00417E1C" w:rsidP="00DE1661">
      <w:pPr>
        <w:pStyle w:val="13"/>
      </w:pPr>
      <w:r>
        <w:t>Кассовый расход на расчетные счета;</w:t>
      </w:r>
    </w:p>
    <w:p w:rsidR="00417E1C" w:rsidRDefault="00417E1C" w:rsidP="00DE1661">
      <w:pPr>
        <w:pStyle w:val="13"/>
      </w:pPr>
      <w:r>
        <w:t>Остатки на ЛС головного исполнителя (исполнителя)/получателя субсидии на отчетную дату;</w:t>
      </w:r>
    </w:p>
    <w:p w:rsidR="00417E1C" w:rsidRDefault="00417E1C" w:rsidP="00DE1661">
      <w:pPr>
        <w:pStyle w:val="13"/>
      </w:pPr>
      <w:r>
        <w:t>Проект;</w:t>
      </w:r>
    </w:p>
    <w:p w:rsidR="00417E1C" w:rsidRDefault="00417E1C" w:rsidP="00417E1C">
      <w:pPr>
        <w:pStyle w:val="af0"/>
        <w:spacing w:after="120"/>
      </w:pPr>
      <w:r>
        <w:t>Отчет формируется в виде таблицы с возможностью перехода в ПУР КС с номера платежного поручения.</w:t>
      </w:r>
    </w:p>
    <w:p w:rsidR="00417E1C" w:rsidRDefault="00417E1C" w:rsidP="00417E1C">
      <w:pPr>
        <w:pStyle w:val="af0"/>
        <w:spacing w:after="120"/>
      </w:pPr>
      <w:r>
        <w:t>Фильтры в представлении «Цепочка контрактов»:</w:t>
      </w:r>
    </w:p>
    <w:p w:rsidR="00417E1C" w:rsidRDefault="00417E1C" w:rsidP="00DE1661">
      <w:pPr>
        <w:pStyle w:val="13"/>
      </w:pPr>
      <w:r>
        <w:t>«По состоянию на: ». Фильтр с возможностью выбора значения из календаря;</w:t>
      </w:r>
    </w:p>
    <w:p w:rsidR="00417E1C" w:rsidRDefault="00417E1C" w:rsidP="00DE1661">
      <w:pPr>
        <w:pStyle w:val="13"/>
      </w:pPr>
      <w:r>
        <w:t>«Код раздела исполнителя». Фильтр с возможностью выбора из выпадающего списка кодов раздела исполнителя в рамках одной цепочки;</w:t>
      </w:r>
    </w:p>
    <w:p w:rsidR="00417E1C" w:rsidRDefault="00417E1C" w:rsidP="00DE1661">
      <w:pPr>
        <w:pStyle w:val="13"/>
      </w:pPr>
      <w:r>
        <w:t>«Номер гос. (муниц.) контракта/соглашения».</w:t>
      </w:r>
      <w:r w:rsidRPr="001B473E">
        <w:t xml:space="preserve"> </w:t>
      </w:r>
      <w:r>
        <w:t>Фильтр с возможностью выбора из выпадающего списка номера государственного (муниципального) контракта/соглашения в рамках одной цепочки;</w:t>
      </w:r>
    </w:p>
    <w:p w:rsidR="00417E1C" w:rsidRDefault="00417E1C" w:rsidP="00DE1661">
      <w:pPr>
        <w:pStyle w:val="13"/>
      </w:pPr>
      <w:r>
        <w:t xml:space="preserve">«Найти исполнителя». </w:t>
      </w:r>
      <w:r w:rsidRPr="00331ED5">
        <w:t>Фильтр с возможностью поиска по введенному значению ИНН, наименованию</w:t>
      </w:r>
      <w:r>
        <w:t>, лицевому счету</w:t>
      </w:r>
      <w:r w:rsidRPr="00331ED5">
        <w:t xml:space="preserve"> </w:t>
      </w:r>
      <w:r>
        <w:t>исполнителя;</w:t>
      </w:r>
    </w:p>
    <w:p w:rsidR="00417E1C" w:rsidRDefault="00417E1C" w:rsidP="00DE1661">
      <w:pPr>
        <w:pStyle w:val="13"/>
      </w:pPr>
      <w:r>
        <w:t xml:space="preserve">«Предмет гос. (муниц.) контракта (контракта)/соглашения». Фильтр </w:t>
      </w:r>
      <w:r w:rsidRPr="00331ED5">
        <w:t>с возможностью поиска по введенному</w:t>
      </w:r>
      <w:r>
        <w:t xml:space="preserve"> значению предмет государственного (муниципального) контракта (контракта)/соглашения;</w:t>
      </w:r>
    </w:p>
    <w:p w:rsidR="00417E1C" w:rsidRDefault="00417E1C" w:rsidP="00DE1661">
      <w:pPr>
        <w:pStyle w:val="13"/>
      </w:pPr>
      <w:r>
        <w:t>«Аккредитив». Фильтр с возможностью выбора значения из выпадающего списка: «Все» (по умолчанию), «Да», «Нет»;</w:t>
      </w:r>
    </w:p>
    <w:p w:rsidR="00417E1C" w:rsidRDefault="00417E1C" w:rsidP="00DE1661">
      <w:pPr>
        <w:pStyle w:val="13"/>
      </w:pPr>
      <w:r>
        <w:t>«Единицы измерения». Фильтр с возможностью выбора значения из выпадающего списка.</w:t>
      </w:r>
    </w:p>
    <w:p w:rsidR="00730A50" w:rsidRDefault="00417E1C" w:rsidP="00417E1C">
      <w:pPr>
        <w:pStyle w:val="af0"/>
      </w:pPr>
      <w:r w:rsidRPr="007F33E1">
        <w:t>Отчет должен поддерживать сортировку по всем колонкам</w:t>
      </w:r>
      <w:r>
        <w:t>.</w:t>
      </w:r>
    </w:p>
    <w:p w:rsidR="00417E1C" w:rsidRDefault="00417E1C" w:rsidP="00417E1C">
      <w:pPr>
        <w:pStyle w:val="-0"/>
        <w:keepNext/>
      </w:pPr>
      <w:r w:rsidRPr="002732BF">
        <w:rPr>
          <w:noProof/>
        </w:rPr>
        <w:drawing>
          <wp:inline distT="0" distB="0" distL="0" distR="0" wp14:anchorId="40BACE39" wp14:editId="598646AF">
            <wp:extent cx="6119495" cy="2263375"/>
            <wp:effectExtent l="0" t="0" r="0" b="3810"/>
            <wp:docPr id="10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6119495" cy="2263375"/>
                    </a:xfrm>
                    <a:prstGeom prst="rect">
                      <a:avLst/>
                    </a:prstGeom>
                    <a:noFill/>
                    <a:ln>
                      <a:noFill/>
                    </a:ln>
                  </pic:spPr>
                </pic:pic>
              </a:graphicData>
            </a:graphic>
          </wp:inline>
        </w:drawing>
      </w:r>
    </w:p>
    <w:p w:rsidR="00417E1C" w:rsidRDefault="00417E1C" w:rsidP="00417E1C">
      <w:pPr>
        <w:pStyle w:val="-0"/>
      </w:pPr>
      <w:bookmarkStart w:id="1931" w:name="_Toc119584692"/>
      <w:r>
        <w:t xml:space="preserve">Рисунок </w:t>
      </w:r>
      <w:fldSimple w:instr=" SEQ Рисунок \* ARABIC ">
        <w:r w:rsidR="001860A9">
          <w:rPr>
            <w:noProof/>
          </w:rPr>
          <w:t>505</w:t>
        </w:r>
      </w:fldSimple>
      <w:r>
        <w:t xml:space="preserve"> – Представление «Цепочка контрактов»</w:t>
      </w:r>
      <w:bookmarkEnd w:id="1931"/>
    </w:p>
    <w:p w:rsidR="00417E1C" w:rsidRDefault="00417E1C" w:rsidP="00862055">
      <w:pPr>
        <w:pStyle w:val="42"/>
        <w:keepNext/>
        <w:numPr>
          <w:ilvl w:val="3"/>
          <w:numId w:val="135"/>
        </w:numPr>
      </w:pPr>
      <w:bookmarkStart w:id="1932" w:name="_Toc80799858"/>
      <w:r w:rsidRPr="00502514">
        <w:t>Представление «</w:t>
      </w:r>
      <w:r>
        <w:t>2</w:t>
      </w:r>
      <w:r>
        <w:rPr>
          <w:lang w:val="en-US"/>
        </w:rPr>
        <w:t xml:space="preserve">D </w:t>
      </w:r>
      <w:r>
        <w:t>граф</w:t>
      </w:r>
      <w:r w:rsidRPr="00502514">
        <w:t>»</w:t>
      </w:r>
      <w:bookmarkEnd w:id="1932"/>
    </w:p>
    <w:p w:rsidR="00417E1C" w:rsidRDefault="00417E1C" w:rsidP="00417E1C">
      <w:pPr>
        <w:pStyle w:val="af0"/>
      </w:pPr>
      <w:r w:rsidRPr="00136E1E">
        <w:t xml:space="preserve">Представление «2D граф» </w:t>
      </w:r>
      <w:r>
        <w:t>отраж</w:t>
      </w:r>
      <w:r w:rsidR="00CF1DC6">
        <w:t>ает</w:t>
      </w:r>
      <w:r w:rsidRPr="00582D8A">
        <w:t xml:space="preserve"> информацию о цепочках государственных контрактов, соглашений, финансирование которых осуществляется за счет средств бюджетов субъектов РФ и местных бюджетов, в отношении которых осуществляется казначейское сопровождение, с возможностью просмотра основной информации по выбранному элементу.</w:t>
      </w:r>
    </w:p>
    <w:p w:rsidR="00417E1C" w:rsidRPr="00136E1E" w:rsidRDefault="00417E1C" w:rsidP="00417E1C">
      <w:pPr>
        <w:pStyle w:val="af0"/>
      </w:pPr>
      <w:r w:rsidRPr="00136E1E">
        <w:t>Представление «2D граф» реализова</w:t>
      </w:r>
      <w:r>
        <w:t>н</w:t>
      </w:r>
      <w:r w:rsidRPr="00136E1E">
        <w:t>о в виде древовидной схемы, на которой изображены узлы, связанные ветвями, отходящими от родительского узла к дочернему узлу. Каждым элементом графа должен являться контракт/соглашение. По умолчанию всегда должны отображаться 0 и 1 уровни кооперации. Максимальное количество элементов на уровне - 5. Если на одном уровне больше пяти элементов, то в этом случае необходимо отображать 4 контракта (соглашения) и один элемент, в котором отображается оставшееся количество контрактов (соглашений) на данном уровне. Двойным щелчком по такому элементу должна быть реализована возможность раскрытия не отображенных контрактов, шаг раскрытия - 5 контрактов.</w:t>
      </w:r>
    </w:p>
    <w:p w:rsidR="00417E1C" w:rsidRPr="00136E1E" w:rsidRDefault="00417E1C" w:rsidP="00417E1C">
      <w:pPr>
        <w:pStyle w:val="af0"/>
      </w:pPr>
      <w:r w:rsidRPr="00136E1E">
        <w:t>У каждого элемента подписа</w:t>
      </w:r>
      <w:r w:rsidR="00CF1DC6">
        <w:t>н</w:t>
      </w:r>
      <w:r w:rsidRPr="00136E1E">
        <w:t xml:space="preserve"> номер контракта и сумм</w:t>
      </w:r>
      <w:r w:rsidR="00CF1DC6">
        <w:t>а</w:t>
      </w:r>
      <w:r w:rsidRPr="00136E1E">
        <w:t>, переданн</w:t>
      </w:r>
      <w:r w:rsidR="00CF1DC6">
        <w:t>ая</w:t>
      </w:r>
      <w:r w:rsidRPr="00136E1E">
        <w:t xml:space="preserve"> на нижние уровни кооперации. Для обобщенного элемента необходимо добавить надпись «Другие контракты/договоры» и подсчитывать сумму по всем не отображенным элементам. При выборе элемента в правой части экрана должно отображаться основная информация о контракте (соглашении) в виде карточки ГК/соглашения/контракта.</w:t>
      </w:r>
    </w:p>
    <w:p w:rsidR="00417E1C" w:rsidRPr="00136E1E" w:rsidRDefault="00417E1C" w:rsidP="00417E1C">
      <w:pPr>
        <w:pStyle w:val="af0"/>
      </w:pPr>
      <w:r w:rsidRPr="00136E1E">
        <w:t>Карточка содерж</w:t>
      </w:r>
      <w:r w:rsidR="00CF1DC6">
        <w:t>ит</w:t>
      </w:r>
      <w:r w:rsidRPr="00136E1E">
        <w:t xml:space="preserve"> следующие показатели:</w:t>
      </w:r>
    </w:p>
    <w:p w:rsidR="00417E1C" w:rsidRPr="00136E1E" w:rsidRDefault="00417E1C" w:rsidP="00DE1661">
      <w:pPr>
        <w:pStyle w:val="13"/>
      </w:pPr>
      <w:r w:rsidRPr="00136E1E">
        <w:t>Номер (наименование показателя не отображаем)</w:t>
      </w:r>
      <w:r w:rsidRPr="00136E1E">
        <w:tab/>
      </w:r>
    </w:p>
    <w:p w:rsidR="00417E1C" w:rsidRPr="00136E1E" w:rsidRDefault="00417E1C" w:rsidP="00DE1661">
      <w:pPr>
        <w:pStyle w:val="13"/>
      </w:pPr>
      <w:r w:rsidRPr="00136E1E">
        <w:t>Дата заключения</w:t>
      </w:r>
      <w:r w:rsidRPr="00136E1E">
        <w:tab/>
      </w:r>
    </w:p>
    <w:p w:rsidR="00417E1C" w:rsidRPr="00136E1E" w:rsidRDefault="00417E1C" w:rsidP="00DE1661">
      <w:pPr>
        <w:pStyle w:val="13"/>
      </w:pPr>
      <w:r w:rsidRPr="00136E1E">
        <w:t>Предмет (наименование показателя не отображаем)</w:t>
      </w:r>
      <w:r w:rsidRPr="00136E1E">
        <w:tab/>
      </w:r>
    </w:p>
    <w:p w:rsidR="00417E1C" w:rsidRPr="00136E1E" w:rsidRDefault="00417E1C" w:rsidP="00DE1661">
      <w:pPr>
        <w:pStyle w:val="13"/>
      </w:pPr>
      <w:r w:rsidRPr="00136E1E">
        <w:t>Сумма</w:t>
      </w:r>
      <w:r w:rsidRPr="00136E1E">
        <w:tab/>
      </w:r>
    </w:p>
    <w:p w:rsidR="00417E1C" w:rsidRPr="00136E1E" w:rsidRDefault="00417E1C" w:rsidP="00DE1661">
      <w:pPr>
        <w:pStyle w:val="13"/>
      </w:pPr>
      <w:r w:rsidRPr="00136E1E">
        <w:t>Реквизиты гос. зака</w:t>
      </w:r>
      <w:r>
        <w:t>зчика (заказчика): наименование</w:t>
      </w:r>
      <w:r w:rsidRPr="00136E1E">
        <w:t>, ИНН, КПП, Номер лицевого счета</w:t>
      </w:r>
      <w:r w:rsidRPr="00136E1E">
        <w:tab/>
      </w:r>
    </w:p>
    <w:p w:rsidR="00417E1C" w:rsidRPr="00136E1E" w:rsidRDefault="00417E1C" w:rsidP="00DE1661">
      <w:pPr>
        <w:pStyle w:val="13"/>
      </w:pPr>
      <w:r w:rsidRPr="00136E1E">
        <w:t>Реквизиты головного исполнителя (исполнителя): наименование, ИНН, КПП, номер лицевого счета/раздела, дата открытия раздела, дата закрытия раздела, наличие в федеральном</w:t>
      </w:r>
      <w:r w:rsidR="00AD1546">
        <w:t xml:space="preserve"> реестре сведений о банкротстве;</w:t>
      </w:r>
    </w:p>
    <w:p w:rsidR="00417E1C" w:rsidRPr="00136E1E" w:rsidRDefault="00417E1C" w:rsidP="00DE1661">
      <w:pPr>
        <w:pStyle w:val="13"/>
      </w:pPr>
      <w:r w:rsidRPr="00136E1E">
        <w:t>Информация о движение средств: остатки на разделах головных исполнителей (исполнителей) на начало текущего года, поступления на разделы головного исполнителя (исполнителя), кассовый расход, всего, кассовый расход на ЛС, кассовый расход на расчетные счета, остатки на разделах головного исполнителя (исполнителя) на отчетную дату.</w:t>
      </w:r>
    </w:p>
    <w:p w:rsidR="00417E1C" w:rsidRPr="00136E1E" w:rsidRDefault="00417E1C" w:rsidP="00DE1661">
      <w:pPr>
        <w:pStyle w:val="13"/>
      </w:pPr>
      <w:r w:rsidRPr="00136E1E">
        <w:t>Фильтры:</w:t>
      </w:r>
    </w:p>
    <w:p w:rsidR="00417E1C" w:rsidRDefault="00417E1C" w:rsidP="00DE1661">
      <w:pPr>
        <w:pStyle w:val="13"/>
      </w:pPr>
      <w:r>
        <w:t>«</w:t>
      </w:r>
      <w:r w:rsidRPr="00136E1E">
        <w:t>По состоянию на</w:t>
      </w:r>
      <w:r>
        <w:t>».</w:t>
      </w:r>
      <w:r w:rsidRPr="0099396D">
        <w:t xml:space="preserve"> </w:t>
      </w:r>
      <w:r>
        <w:t>Фильтр с возможностью выбора значения из календаря;</w:t>
      </w:r>
    </w:p>
    <w:p w:rsidR="00417E1C" w:rsidRDefault="00417E1C" w:rsidP="00DE1661">
      <w:pPr>
        <w:pStyle w:val="13"/>
      </w:pPr>
      <w:r>
        <w:t>«</w:t>
      </w:r>
      <w:r w:rsidRPr="00136E1E">
        <w:t>Год</w:t>
      </w:r>
      <w:r>
        <w:t>»</w:t>
      </w:r>
      <w:r w:rsidRPr="00136E1E">
        <w:t>;</w:t>
      </w:r>
      <w:r w:rsidRPr="0099396D">
        <w:t xml:space="preserve"> </w:t>
      </w:r>
      <w:r>
        <w:t>Фильтр с возможностью выбора значения из выпадающего списка;</w:t>
      </w:r>
    </w:p>
    <w:p w:rsidR="00417E1C" w:rsidRDefault="00417E1C" w:rsidP="00DE1661">
      <w:pPr>
        <w:pStyle w:val="13"/>
      </w:pPr>
      <w:r>
        <w:t>«</w:t>
      </w:r>
      <w:r w:rsidRPr="0099396D">
        <w:t>Единицы измерения</w:t>
      </w:r>
      <w:r>
        <w:t>»</w:t>
      </w:r>
      <w:r w:rsidRPr="0099396D">
        <w:t xml:space="preserve"> </w:t>
      </w:r>
      <w:r>
        <w:t>Фильтр с возможностью выбора значения из выпадающего списка.</w:t>
      </w:r>
    </w:p>
    <w:p w:rsidR="00CF1DC6" w:rsidRDefault="00CF1DC6" w:rsidP="00CF1DC6">
      <w:pPr>
        <w:pStyle w:val="-0"/>
      </w:pPr>
      <w:r>
        <w:rPr>
          <w:noProof/>
          <w:snapToGrid/>
        </w:rPr>
        <w:drawing>
          <wp:inline distT="0" distB="0" distL="0" distR="0" wp14:anchorId="0F528995" wp14:editId="6C74E315">
            <wp:extent cx="6119495" cy="2462054"/>
            <wp:effectExtent l="0" t="0" r="0" b="0"/>
            <wp:docPr id="1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6119495" cy="2462054"/>
                    </a:xfrm>
                    <a:prstGeom prst="rect">
                      <a:avLst/>
                    </a:prstGeom>
                    <a:noFill/>
                    <a:ln>
                      <a:noFill/>
                    </a:ln>
                  </pic:spPr>
                </pic:pic>
              </a:graphicData>
            </a:graphic>
          </wp:inline>
        </w:drawing>
      </w:r>
    </w:p>
    <w:p w:rsidR="00CF1DC6" w:rsidRDefault="00CF1DC6" w:rsidP="00CF1DC6">
      <w:pPr>
        <w:pStyle w:val="-0"/>
      </w:pPr>
      <w:bookmarkStart w:id="1933" w:name="_Toc119584693"/>
      <w:r>
        <w:t xml:space="preserve">Рисунок </w:t>
      </w:r>
      <w:fldSimple w:instr=" SEQ Рисунок \* ARABIC ">
        <w:r w:rsidR="001860A9">
          <w:rPr>
            <w:noProof/>
          </w:rPr>
          <w:t>506</w:t>
        </w:r>
      </w:fldSimple>
      <w:r>
        <w:t xml:space="preserve"> – Представление «</w:t>
      </w:r>
      <w:r>
        <w:rPr>
          <w:lang w:val="en-US"/>
        </w:rPr>
        <w:t xml:space="preserve">2D </w:t>
      </w:r>
      <w:r>
        <w:t>граф»</w:t>
      </w:r>
      <w:bookmarkEnd w:id="1933"/>
    </w:p>
    <w:p w:rsidR="00CF1DC6" w:rsidRDefault="00CF1DC6" w:rsidP="00862055">
      <w:pPr>
        <w:pStyle w:val="42"/>
        <w:keepNext/>
        <w:numPr>
          <w:ilvl w:val="3"/>
          <w:numId w:val="135"/>
        </w:numPr>
      </w:pPr>
      <w:bookmarkStart w:id="1934" w:name="_Toc80799859"/>
      <w:r w:rsidRPr="00502514">
        <w:t>Представление «</w:t>
      </w:r>
      <w:r>
        <w:t>3</w:t>
      </w:r>
      <w:r>
        <w:rPr>
          <w:lang w:val="en-US"/>
        </w:rPr>
        <w:t xml:space="preserve">D </w:t>
      </w:r>
      <w:r>
        <w:t>граф</w:t>
      </w:r>
      <w:r w:rsidRPr="00502514">
        <w:t>»</w:t>
      </w:r>
      <w:bookmarkEnd w:id="1934"/>
    </w:p>
    <w:p w:rsidR="00CF1DC6" w:rsidRDefault="00CF1DC6" w:rsidP="00CF1DC6">
      <w:pPr>
        <w:pStyle w:val="af0"/>
      </w:pPr>
      <w:r w:rsidRPr="00136E1E">
        <w:t>Представление «</w:t>
      </w:r>
      <w:r>
        <w:t>3</w:t>
      </w:r>
      <w:r w:rsidRPr="00136E1E">
        <w:t xml:space="preserve">D граф» </w:t>
      </w:r>
      <w:r>
        <w:t>отража</w:t>
      </w:r>
      <w:r w:rsidR="00E447AB">
        <w:t>е</w:t>
      </w:r>
      <w:r>
        <w:t>т</w:t>
      </w:r>
      <w:r w:rsidRPr="00582D8A">
        <w:t xml:space="preserve"> информацию о цепочках государственных контрактов, соглашений, финансирование которых осуществляется за счет средств бюджетов субъектов РФ и местных бюджетов, в отношении которых осуществляется казначейское сопровождение, с возможностью просмотра основной информации по выбранному элементу.</w:t>
      </w:r>
    </w:p>
    <w:p w:rsidR="00CF1DC6" w:rsidRPr="00773E95" w:rsidRDefault="00CF1DC6" w:rsidP="00CF1DC6">
      <w:pPr>
        <w:pStyle w:val="af0"/>
      </w:pPr>
      <w:r w:rsidRPr="00773E95">
        <w:t>Каждый элемент 3D графа представля</w:t>
      </w:r>
      <w:r w:rsidR="00E447AB">
        <w:t>е</w:t>
      </w:r>
      <w:r w:rsidRPr="00773E95">
        <w:t>т организацию и отражаться на графе в виде шара, который имеет определенный цвет:</w:t>
      </w:r>
    </w:p>
    <w:p w:rsidR="00CF1DC6" w:rsidRPr="00773E95" w:rsidRDefault="00CF1DC6" w:rsidP="00CF1DC6">
      <w:pPr>
        <w:rPr>
          <w:sz w:val="28"/>
        </w:rPr>
      </w:pPr>
      <w:r w:rsidRPr="00773E95">
        <w:rPr>
          <w:sz w:val="28"/>
        </w:rPr>
        <w:t xml:space="preserve"> </w:t>
      </w:r>
      <w:r>
        <w:rPr>
          <w:noProof/>
          <w:snapToGrid/>
          <w:sz w:val="28"/>
        </w:rPr>
        <w:drawing>
          <wp:inline distT="0" distB="0" distL="0" distR="0" wp14:anchorId="5B38812E" wp14:editId="21C0B8ED">
            <wp:extent cx="152400" cy="180975"/>
            <wp:effectExtent l="0" t="0" r="0" b="9525"/>
            <wp:docPr id="1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773E95">
        <w:rPr>
          <w:sz w:val="28"/>
        </w:rPr>
        <w:t xml:space="preserve"> Государственный (муниципальный) заказчик</w:t>
      </w:r>
    </w:p>
    <w:p w:rsidR="00CF1DC6" w:rsidRPr="00773E95" w:rsidRDefault="00CF1DC6" w:rsidP="00CF1DC6">
      <w:pPr>
        <w:rPr>
          <w:sz w:val="28"/>
        </w:rPr>
      </w:pPr>
      <w:r w:rsidRPr="00773E95">
        <w:rPr>
          <w:sz w:val="28"/>
        </w:rPr>
        <w:t xml:space="preserve"> </w:t>
      </w:r>
      <w:r>
        <w:rPr>
          <w:noProof/>
          <w:snapToGrid/>
          <w:sz w:val="28"/>
        </w:rPr>
        <w:drawing>
          <wp:inline distT="0" distB="0" distL="0" distR="0" wp14:anchorId="79830F32" wp14:editId="33EAECB9">
            <wp:extent cx="152400" cy="180975"/>
            <wp:effectExtent l="0" t="0" r="0" b="9525"/>
            <wp:docPr id="1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773E95">
        <w:rPr>
          <w:sz w:val="28"/>
        </w:rPr>
        <w:t xml:space="preserve"> Головной исполнитель</w:t>
      </w:r>
    </w:p>
    <w:p w:rsidR="00CF1DC6" w:rsidRPr="00773E95" w:rsidRDefault="00CF1DC6" w:rsidP="00CF1DC6">
      <w:pPr>
        <w:rPr>
          <w:sz w:val="28"/>
        </w:rPr>
      </w:pPr>
      <w:r>
        <w:rPr>
          <w:noProof/>
          <w:snapToGrid/>
          <w:sz w:val="28"/>
        </w:rPr>
        <w:drawing>
          <wp:inline distT="0" distB="0" distL="0" distR="0" wp14:anchorId="56883CEA" wp14:editId="4395B054">
            <wp:extent cx="161925" cy="171450"/>
            <wp:effectExtent l="0" t="0" r="9525" b="0"/>
            <wp:docPr id="1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161925" cy="171450"/>
                    </a:xfrm>
                    <a:prstGeom prst="rect">
                      <a:avLst/>
                    </a:prstGeom>
                    <a:noFill/>
                    <a:ln>
                      <a:noFill/>
                    </a:ln>
                  </pic:spPr>
                </pic:pic>
              </a:graphicData>
            </a:graphic>
          </wp:inline>
        </w:drawing>
      </w:r>
      <w:r w:rsidRPr="00773E95">
        <w:rPr>
          <w:sz w:val="28"/>
        </w:rPr>
        <w:t xml:space="preserve"> Исполнители последующих уровней</w:t>
      </w:r>
    </w:p>
    <w:p w:rsidR="00CF1DC6" w:rsidRPr="00773E95" w:rsidRDefault="00CF1DC6" w:rsidP="00CF1DC6">
      <w:pPr>
        <w:rPr>
          <w:sz w:val="28"/>
        </w:rPr>
      </w:pPr>
      <w:r w:rsidRPr="00773E95">
        <w:rPr>
          <w:sz w:val="28"/>
        </w:rPr>
        <w:t xml:space="preserve"> </w:t>
      </w:r>
      <w:r>
        <w:rPr>
          <w:noProof/>
          <w:snapToGrid/>
          <w:sz w:val="28"/>
        </w:rPr>
        <w:drawing>
          <wp:inline distT="0" distB="0" distL="0" distR="0" wp14:anchorId="609A5FC1" wp14:editId="1D5855C4">
            <wp:extent cx="133350" cy="171450"/>
            <wp:effectExtent l="0" t="0" r="0" b="0"/>
            <wp:docPr id="1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773E95">
        <w:rPr>
          <w:sz w:val="28"/>
        </w:rPr>
        <w:t xml:space="preserve"> Участие в разных ветках кооперации</w:t>
      </w:r>
    </w:p>
    <w:p w:rsidR="00CF1DC6" w:rsidRPr="00773E95" w:rsidRDefault="00CF1DC6" w:rsidP="00CF1DC6">
      <w:pPr>
        <w:rPr>
          <w:sz w:val="28"/>
        </w:rPr>
      </w:pPr>
      <w:r w:rsidRPr="00773E95">
        <w:rPr>
          <w:sz w:val="28"/>
        </w:rPr>
        <w:t xml:space="preserve"> </w:t>
      </w:r>
      <w:r>
        <w:rPr>
          <w:noProof/>
          <w:snapToGrid/>
          <w:sz w:val="28"/>
        </w:rPr>
        <w:drawing>
          <wp:inline distT="0" distB="0" distL="0" distR="0" wp14:anchorId="60DF1432" wp14:editId="6916B3C1">
            <wp:extent cx="133350" cy="180975"/>
            <wp:effectExtent l="0" t="0" r="0" b="9525"/>
            <wp:docPr id="1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773E95">
        <w:rPr>
          <w:sz w:val="28"/>
        </w:rPr>
        <w:t xml:space="preserve"> Наличие рисков</w:t>
      </w:r>
    </w:p>
    <w:p w:rsidR="00CF1DC6" w:rsidRPr="00773E95" w:rsidRDefault="00CF1DC6" w:rsidP="00CF1DC6">
      <w:pPr>
        <w:pStyle w:val="af0"/>
      </w:pPr>
      <w:r w:rsidRPr="00773E95">
        <w:t>Связи между элементами также име</w:t>
      </w:r>
      <w:r w:rsidR="00E447AB">
        <w:t>е</w:t>
      </w:r>
      <w:r w:rsidRPr="00773E95">
        <w:t>т цветовые значения:</w:t>
      </w:r>
    </w:p>
    <w:p w:rsidR="00CF1DC6" w:rsidRPr="00773E95" w:rsidRDefault="00CF1DC6" w:rsidP="005C6E50">
      <w:pPr>
        <w:pStyle w:val="afff6"/>
        <w:numPr>
          <w:ilvl w:val="0"/>
          <w:numId w:val="115"/>
        </w:numPr>
        <w:tabs>
          <w:tab w:val="clear" w:pos="720"/>
          <w:tab w:val="num" w:pos="426"/>
        </w:tabs>
        <w:spacing w:after="200"/>
        <w:ind w:hanging="578"/>
        <w:contextualSpacing/>
        <w:jc w:val="left"/>
      </w:pPr>
      <w:r w:rsidRPr="00773E95">
        <w:t>Сум</w:t>
      </w:r>
      <w:r>
        <w:t>ма контракта больше 1 млрд. руб;</w:t>
      </w:r>
    </w:p>
    <w:p w:rsidR="00CF1DC6" w:rsidRPr="00773E95" w:rsidRDefault="00CF1DC6" w:rsidP="00CF1DC6">
      <w:pPr>
        <w:ind w:left="360" w:hanging="218"/>
        <w:rPr>
          <w:sz w:val="28"/>
        </w:rPr>
      </w:pPr>
      <w:r>
        <w:rPr>
          <w:noProof/>
          <w:snapToGrid/>
          <w:sz w:val="28"/>
        </w:rPr>
        <w:drawing>
          <wp:inline distT="0" distB="0" distL="0" distR="0" wp14:anchorId="26FADB0A" wp14:editId="00B1E601">
            <wp:extent cx="180975" cy="152400"/>
            <wp:effectExtent l="0" t="0" r="9525" b="0"/>
            <wp:docPr id="1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r w:rsidRPr="00773E95">
        <w:rPr>
          <w:sz w:val="28"/>
        </w:rPr>
        <w:t>Возврат денег на уровень кооперации</w:t>
      </w:r>
      <w:r>
        <w:rPr>
          <w:sz w:val="28"/>
        </w:rPr>
        <w:t>.</w:t>
      </w:r>
    </w:p>
    <w:p w:rsidR="00CF1DC6" w:rsidRPr="00773E95" w:rsidRDefault="00CF1DC6" w:rsidP="00CF1DC6">
      <w:pPr>
        <w:pStyle w:val="af0"/>
      </w:pPr>
      <w:r w:rsidRPr="00773E95">
        <w:t xml:space="preserve">Перечень организаций </w:t>
      </w:r>
      <w:r>
        <w:t>определя</w:t>
      </w:r>
      <w:r w:rsidR="00E447AB">
        <w:t>е</w:t>
      </w:r>
      <w:r>
        <w:t>тся</w:t>
      </w:r>
      <w:r w:rsidRPr="00773E95">
        <w:t xml:space="preserve">, как выборка всех уникальных комбинаций </w:t>
      </w:r>
      <w:r>
        <w:t>ИНН+КПП</w:t>
      </w:r>
      <w:r w:rsidRPr="00773E95">
        <w:t xml:space="preserve">. На основании полученной выборки </w:t>
      </w:r>
      <w:r>
        <w:t>определя</w:t>
      </w:r>
      <w:r w:rsidR="00E447AB">
        <w:t>е</w:t>
      </w:r>
      <w:r>
        <w:t>тся</w:t>
      </w:r>
      <w:r w:rsidRPr="00773E95">
        <w:t xml:space="preserve"> контракты, по которым организация является заказчиком или исполнителем и проставляется связь между организацией заказчиком и организацией исполнителем в виде стрелки с соответствующим цветом. </w:t>
      </w:r>
      <w:r w:rsidR="00E447AB">
        <w:t>В</w:t>
      </w:r>
      <w:r w:rsidRPr="00773E95">
        <w:t>ыделен</w:t>
      </w:r>
      <w:r w:rsidR="00E447AB">
        <w:t>ы</w:t>
      </w:r>
      <w:r w:rsidRPr="00773E95">
        <w:t xml:space="preserve"> связ</w:t>
      </w:r>
      <w:r w:rsidR="00E447AB">
        <w:t>и</w:t>
      </w:r>
      <w:r w:rsidRPr="00773E95">
        <w:t xml:space="preserve"> между организациями в двух случаях: </w:t>
      </w:r>
    </w:p>
    <w:p w:rsidR="00CF1DC6" w:rsidRPr="00773E95" w:rsidRDefault="00CF1DC6" w:rsidP="00DE1661">
      <w:pPr>
        <w:pStyle w:val="13"/>
      </w:pPr>
      <w:r>
        <w:t xml:space="preserve"> </w:t>
      </w:r>
      <w:r w:rsidRPr="00773E95">
        <w:t>когда сумма контракта, заключенного между организациями, превышает 1 млрд. рублей;</w:t>
      </w:r>
    </w:p>
    <w:p w:rsidR="00CF1DC6" w:rsidRPr="00773E95" w:rsidRDefault="00CF1DC6" w:rsidP="00DE1661">
      <w:pPr>
        <w:pStyle w:val="13"/>
      </w:pPr>
      <w:r w:rsidRPr="00773E95">
        <w:t xml:space="preserve"> когда организация заказчик заключила контракт с организацией исполнителем, которая находится на вышестоящем уровне цепочки или одном уровне с организацией заказчиком.</w:t>
      </w:r>
    </w:p>
    <w:p w:rsidR="00CF1DC6" w:rsidRPr="00773E95" w:rsidRDefault="00E447AB" w:rsidP="00CF1DC6">
      <w:pPr>
        <w:pStyle w:val="af0"/>
      </w:pPr>
      <w:r>
        <w:t>Р</w:t>
      </w:r>
      <w:r w:rsidR="00CF1DC6" w:rsidRPr="00773E95">
        <w:t>еализова</w:t>
      </w:r>
      <w:r>
        <w:t>на</w:t>
      </w:r>
      <w:r w:rsidR="00CF1DC6" w:rsidRPr="00773E95">
        <w:t xml:space="preserve"> возможность скрытия/отображения уровней цепочки с помощью кнопочной панели, расположенной в левой верхней части экрана. </w:t>
      </w:r>
    </w:p>
    <w:p w:rsidR="00CF1DC6" w:rsidRPr="00773E95" w:rsidRDefault="00CF1DC6" w:rsidP="00CF1DC6">
      <w:pPr>
        <w:pStyle w:val="af0"/>
      </w:pPr>
      <w:r w:rsidRPr="00773E95">
        <w:t>В нижней части экрана отчета отража</w:t>
      </w:r>
      <w:r w:rsidR="00E447AB">
        <w:t>е</w:t>
      </w:r>
      <w:r w:rsidRPr="00773E95">
        <w:t>тся легенда, в которой описаны цветовые значения</w:t>
      </w:r>
      <w:r>
        <w:t xml:space="preserve"> элементов и связей между ними</w:t>
      </w:r>
      <w:r w:rsidRPr="00773E95">
        <w:t>.</w:t>
      </w:r>
    </w:p>
    <w:p w:rsidR="00CF1DC6" w:rsidRPr="00773E95" w:rsidRDefault="00CF1DC6" w:rsidP="00CF1DC6">
      <w:pPr>
        <w:pStyle w:val="af0"/>
      </w:pPr>
      <w:r w:rsidRPr="00773E95">
        <w:t>При нажатии на цветовое значение элемента</w:t>
      </w:r>
      <w:r>
        <w:t xml:space="preserve"> </w:t>
      </w:r>
      <w:r w:rsidRPr="00773E95">
        <w:t>в 3D графе отража</w:t>
      </w:r>
      <w:r w:rsidR="00E447AB">
        <w:t>е</w:t>
      </w:r>
      <w:r w:rsidRPr="00773E95">
        <w:t>тся основная информация о выбранной организации в трех блоках, представленных в виде карточек:</w:t>
      </w:r>
    </w:p>
    <w:p w:rsidR="00CF1DC6" w:rsidRPr="00773E95" w:rsidRDefault="00CF1DC6" w:rsidP="00DE1661">
      <w:pPr>
        <w:pStyle w:val="13"/>
      </w:pPr>
      <w:r w:rsidRPr="00773E95">
        <w:t>Сведения о выбранной организации;</w:t>
      </w:r>
    </w:p>
    <w:p w:rsidR="00CF1DC6" w:rsidRPr="00773E95" w:rsidRDefault="00CF1DC6" w:rsidP="00DE1661">
      <w:pPr>
        <w:pStyle w:val="13"/>
      </w:pPr>
      <w:r w:rsidRPr="00773E95">
        <w:t xml:space="preserve">Сведения об организациях, которые являются исполнителями по отношению к выбранной организации; </w:t>
      </w:r>
    </w:p>
    <w:p w:rsidR="00CF1DC6" w:rsidRPr="00773E95" w:rsidRDefault="00CF1DC6" w:rsidP="00DE1661">
      <w:pPr>
        <w:pStyle w:val="13"/>
      </w:pPr>
      <w:r w:rsidRPr="00773E95">
        <w:t>Сведения об организациях, которые являются заказчиками по отношению к выбранной организации.</w:t>
      </w:r>
    </w:p>
    <w:p w:rsidR="00CF1DC6" w:rsidRPr="00341809" w:rsidRDefault="00CF1DC6" w:rsidP="00CF1DC6">
      <w:pPr>
        <w:pStyle w:val="af0"/>
      </w:pPr>
      <w:r w:rsidRPr="00341809">
        <w:t>Каждая карточка включа</w:t>
      </w:r>
      <w:r w:rsidR="00E447AB">
        <w:t>е</w:t>
      </w:r>
      <w:r w:rsidRPr="00341809">
        <w:t>т следующий набор атрибутов:</w:t>
      </w:r>
    </w:p>
    <w:p w:rsidR="00CF1DC6" w:rsidRPr="00341809" w:rsidRDefault="00CF1DC6" w:rsidP="00DE1661">
      <w:pPr>
        <w:pStyle w:val="13"/>
      </w:pPr>
      <w:r w:rsidRPr="00341809">
        <w:t xml:space="preserve">Сведения о </w:t>
      </w:r>
      <w:r w:rsidRPr="00C15EBE">
        <w:t>выбранной</w:t>
      </w:r>
      <w:r w:rsidRPr="00341809">
        <w:t xml:space="preserve"> организации</w:t>
      </w:r>
      <w:r>
        <w:t>:</w:t>
      </w:r>
    </w:p>
    <w:p w:rsidR="00CF1DC6" w:rsidRPr="00C15EBE" w:rsidRDefault="00CF1DC6" w:rsidP="00CF1DC6">
      <w:pPr>
        <w:pStyle w:val="29"/>
      </w:pPr>
      <w:r w:rsidRPr="00C15EBE">
        <w:t>Наименование;</w:t>
      </w:r>
    </w:p>
    <w:p w:rsidR="00CF1DC6" w:rsidRPr="00C15EBE" w:rsidRDefault="00CF1DC6" w:rsidP="00CF1DC6">
      <w:pPr>
        <w:pStyle w:val="29"/>
      </w:pPr>
      <w:r w:rsidRPr="00C15EBE">
        <w:t>Количество контрактов, по которым является заказчиком;</w:t>
      </w:r>
    </w:p>
    <w:p w:rsidR="00CF1DC6" w:rsidRPr="00C15EBE" w:rsidRDefault="00CF1DC6" w:rsidP="00CF1DC6">
      <w:pPr>
        <w:pStyle w:val="29"/>
      </w:pPr>
      <w:r w:rsidRPr="00C15EBE">
        <w:t>Сумма контрактов, по которым является заказчиком;</w:t>
      </w:r>
    </w:p>
    <w:p w:rsidR="00CF1DC6" w:rsidRPr="00C15EBE" w:rsidRDefault="00CF1DC6" w:rsidP="00CF1DC6">
      <w:pPr>
        <w:pStyle w:val="29"/>
      </w:pPr>
      <w:r w:rsidRPr="00C15EBE">
        <w:t>Количество контрактов, по которым является исполнителем;</w:t>
      </w:r>
    </w:p>
    <w:p w:rsidR="00CF1DC6" w:rsidRPr="00C15EBE" w:rsidRDefault="00CF1DC6" w:rsidP="00CF1DC6">
      <w:pPr>
        <w:pStyle w:val="29"/>
      </w:pPr>
      <w:r w:rsidRPr="00C15EBE">
        <w:t>Сумма контрактов, по которым является исполнителем;</w:t>
      </w:r>
    </w:p>
    <w:p w:rsidR="00CF1DC6" w:rsidRPr="00341809" w:rsidRDefault="00CF1DC6" w:rsidP="00DE1661">
      <w:pPr>
        <w:pStyle w:val="13"/>
      </w:pPr>
      <w:r w:rsidRPr="00341809">
        <w:t>Сведения об исполнителях</w:t>
      </w:r>
      <w:r>
        <w:t>:</w:t>
      </w:r>
    </w:p>
    <w:p w:rsidR="00CF1DC6" w:rsidRPr="007F5EC4" w:rsidRDefault="00CF1DC6" w:rsidP="00CF1DC6">
      <w:pPr>
        <w:pStyle w:val="29"/>
      </w:pPr>
      <w:r w:rsidRPr="007F5EC4">
        <w:t>Наименование;</w:t>
      </w:r>
    </w:p>
    <w:p w:rsidR="00CF1DC6" w:rsidRPr="007F5EC4" w:rsidRDefault="00CF1DC6" w:rsidP="00CF1DC6">
      <w:pPr>
        <w:pStyle w:val="29"/>
      </w:pPr>
      <w:r w:rsidRPr="007F5EC4">
        <w:t>Уровень кооперации;</w:t>
      </w:r>
    </w:p>
    <w:p w:rsidR="00CF1DC6" w:rsidRPr="007F5EC4" w:rsidRDefault="00CF1DC6" w:rsidP="00CF1DC6">
      <w:pPr>
        <w:pStyle w:val="29"/>
      </w:pPr>
      <w:r w:rsidRPr="007F5EC4">
        <w:t>Лицевой счет/раздел;</w:t>
      </w:r>
    </w:p>
    <w:p w:rsidR="00CF1DC6" w:rsidRPr="007F5EC4" w:rsidRDefault="00CF1DC6" w:rsidP="00CF1DC6">
      <w:pPr>
        <w:pStyle w:val="29"/>
      </w:pPr>
      <w:r w:rsidRPr="007F5EC4">
        <w:t>Номер контракта;</w:t>
      </w:r>
    </w:p>
    <w:p w:rsidR="00CF1DC6" w:rsidRPr="007F5EC4" w:rsidRDefault="00CF1DC6" w:rsidP="00CF1DC6">
      <w:pPr>
        <w:pStyle w:val="29"/>
      </w:pPr>
      <w:r w:rsidRPr="007F5EC4">
        <w:t>Дата контракта;</w:t>
      </w:r>
    </w:p>
    <w:p w:rsidR="00CF1DC6" w:rsidRPr="007F5EC4" w:rsidRDefault="00CF1DC6" w:rsidP="00CF1DC6">
      <w:pPr>
        <w:pStyle w:val="29"/>
      </w:pPr>
      <w:r w:rsidRPr="007F5EC4">
        <w:t>Предмет контракта;</w:t>
      </w:r>
    </w:p>
    <w:p w:rsidR="00CF1DC6" w:rsidRPr="007F5EC4" w:rsidRDefault="00CF1DC6" w:rsidP="00CF1DC6">
      <w:pPr>
        <w:pStyle w:val="29"/>
      </w:pPr>
      <w:r w:rsidRPr="007F5EC4">
        <w:t>Сумма;</w:t>
      </w:r>
    </w:p>
    <w:p w:rsidR="00CF1DC6" w:rsidRPr="007F5EC4" w:rsidRDefault="00CF1DC6" w:rsidP="00CF1DC6">
      <w:pPr>
        <w:pStyle w:val="29"/>
      </w:pPr>
      <w:r w:rsidRPr="007F5EC4">
        <w:t>Поступило;</w:t>
      </w:r>
    </w:p>
    <w:p w:rsidR="00CF1DC6" w:rsidRPr="007F5EC4" w:rsidRDefault="00CF1DC6" w:rsidP="00CF1DC6">
      <w:pPr>
        <w:pStyle w:val="29"/>
      </w:pPr>
      <w:r w:rsidRPr="007F5EC4">
        <w:t>Касса;</w:t>
      </w:r>
    </w:p>
    <w:p w:rsidR="00CF1DC6" w:rsidRDefault="00CF1DC6" w:rsidP="00CF1DC6">
      <w:pPr>
        <w:pStyle w:val="29"/>
      </w:pPr>
      <w:r w:rsidRPr="007F5EC4">
        <w:t>Остаток;</w:t>
      </w:r>
    </w:p>
    <w:p w:rsidR="00CF1DC6" w:rsidRPr="00341809" w:rsidRDefault="00CF1DC6" w:rsidP="00DE1661">
      <w:pPr>
        <w:pStyle w:val="13"/>
      </w:pPr>
      <w:r w:rsidRPr="00341809">
        <w:t>Сведения о заказчиках</w:t>
      </w:r>
      <w:r>
        <w:t>:</w:t>
      </w:r>
    </w:p>
    <w:p w:rsidR="00CF1DC6" w:rsidRDefault="00CF1DC6" w:rsidP="00CF1DC6">
      <w:pPr>
        <w:pStyle w:val="29"/>
      </w:pPr>
      <w:r>
        <w:t>Наименование;</w:t>
      </w:r>
    </w:p>
    <w:p w:rsidR="00CF1DC6" w:rsidRDefault="00CF1DC6" w:rsidP="00CF1DC6">
      <w:pPr>
        <w:pStyle w:val="29"/>
      </w:pPr>
      <w:r>
        <w:t>Уровень кооперации;</w:t>
      </w:r>
    </w:p>
    <w:p w:rsidR="00CF1DC6" w:rsidRDefault="00CF1DC6" w:rsidP="00CF1DC6">
      <w:pPr>
        <w:pStyle w:val="29"/>
      </w:pPr>
      <w:r>
        <w:t>Лицевой счет/раздел;</w:t>
      </w:r>
    </w:p>
    <w:p w:rsidR="00CF1DC6" w:rsidRDefault="00CF1DC6" w:rsidP="00CF1DC6">
      <w:pPr>
        <w:pStyle w:val="29"/>
      </w:pPr>
      <w:r>
        <w:t>Номер контракта;</w:t>
      </w:r>
    </w:p>
    <w:p w:rsidR="00CF1DC6" w:rsidRDefault="00CF1DC6" w:rsidP="00CF1DC6">
      <w:pPr>
        <w:pStyle w:val="29"/>
      </w:pPr>
      <w:r>
        <w:t>Дата контракта;</w:t>
      </w:r>
    </w:p>
    <w:p w:rsidR="00CF1DC6" w:rsidRDefault="00CF1DC6" w:rsidP="00CF1DC6">
      <w:pPr>
        <w:pStyle w:val="29"/>
      </w:pPr>
      <w:r>
        <w:t>Предмет контракта;</w:t>
      </w:r>
    </w:p>
    <w:p w:rsidR="00CF1DC6" w:rsidRDefault="00CF1DC6" w:rsidP="00CF1DC6">
      <w:pPr>
        <w:pStyle w:val="29"/>
      </w:pPr>
      <w:r>
        <w:t>Сумма;</w:t>
      </w:r>
    </w:p>
    <w:p w:rsidR="00CF1DC6" w:rsidRDefault="00CF1DC6" w:rsidP="00CF1DC6">
      <w:pPr>
        <w:pStyle w:val="29"/>
      </w:pPr>
      <w:r>
        <w:t>Поступило;</w:t>
      </w:r>
    </w:p>
    <w:p w:rsidR="00CF1DC6" w:rsidRDefault="00CF1DC6" w:rsidP="00CF1DC6">
      <w:pPr>
        <w:pStyle w:val="29"/>
      </w:pPr>
      <w:r>
        <w:t>Касса;</w:t>
      </w:r>
    </w:p>
    <w:p w:rsidR="00CF1DC6" w:rsidRDefault="00CF1DC6" w:rsidP="00CF1DC6">
      <w:pPr>
        <w:pStyle w:val="29"/>
      </w:pPr>
      <w:r>
        <w:t>Остаток.</w:t>
      </w:r>
    </w:p>
    <w:p w:rsidR="00E447AB" w:rsidRDefault="00E447AB" w:rsidP="00E447AB">
      <w:pPr>
        <w:pStyle w:val="-0"/>
        <w:keepNext/>
      </w:pPr>
      <w:r>
        <w:rPr>
          <w:noProof/>
          <w:snapToGrid/>
        </w:rPr>
        <w:drawing>
          <wp:inline distT="0" distB="0" distL="0" distR="0" wp14:anchorId="43D15FE6" wp14:editId="5258C27C">
            <wp:extent cx="6119495" cy="2689504"/>
            <wp:effectExtent l="0" t="0" r="0" b="0"/>
            <wp:docPr id="11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6119495" cy="2689504"/>
                    </a:xfrm>
                    <a:prstGeom prst="rect">
                      <a:avLst/>
                    </a:prstGeom>
                    <a:noFill/>
                    <a:ln>
                      <a:noFill/>
                    </a:ln>
                  </pic:spPr>
                </pic:pic>
              </a:graphicData>
            </a:graphic>
          </wp:inline>
        </w:drawing>
      </w:r>
    </w:p>
    <w:p w:rsidR="00E447AB" w:rsidRDefault="00E447AB" w:rsidP="00E447AB">
      <w:pPr>
        <w:pStyle w:val="-0"/>
      </w:pPr>
      <w:bookmarkStart w:id="1935" w:name="_Toc119584694"/>
      <w:r>
        <w:t xml:space="preserve">Рисунок </w:t>
      </w:r>
      <w:fldSimple w:instr=" SEQ Рисунок \* ARABIC ">
        <w:r w:rsidR="001860A9">
          <w:rPr>
            <w:noProof/>
          </w:rPr>
          <w:t>507</w:t>
        </w:r>
      </w:fldSimple>
      <w:r>
        <w:t xml:space="preserve"> – Представление «3</w:t>
      </w:r>
      <w:r>
        <w:rPr>
          <w:lang w:val="en-US"/>
        </w:rPr>
        <w:t>D</w:t>
      </w:r>
      <w:r w:rsidRPr="00C15EBE">
        <w:t xml:space="preserve"> </w:t>
      </w:r>
      <w:r>
        <w:t>граф»</w:t>
      </w:r>
      <w:bookmarkEnd w:id="1935"/>
    </w:p>
    <w:p w:rsidR="00E447AB" w:rsidRDefault="00E447AB" w:rsidP="00862055">
      <w:pPr>
        <w:pStyle w:val="42"/>
        <w:keepNext/>
        <w:numPr>
          <w:ilvl w:val="3"/>
          <w:numId w:val="135"/>
        </w:numPr>
      </w:pPr>
      <w:bookmarkStart w:id="1936" w:name="_Toc80799860"/>
      <w:r w:rsidRPr="00502514">
        <w:t>Представление «</w:t>
      </w:r>
      <w:r w:rsidRPr="00553EEC">
        <w:t>Движение средств</w:t>
      </w:r>
      <w:r w:rsidRPr="00502514">
        <w:t>»</w:t>
      </w:r>
      <w:bookmarkEnd w:id="1936"/>
    </w:p>
    <w:p w:rsidR="00E447AB" w:rsidRDefault="00E447AB" w:rsidP="00E447AB">
      <w:pPr>
        <w:pStyle w:val="af0"/>
        <w:spacing w:after="120"/>
      </w:pPr>
      <w:r>
        <w:t xml:space="preserve">Представление «Движение средств» содержит </w:t>
      </w:r>
      <w:r w:rsidRPr="00AD2176">
        <w:rPr>
          <w:szCs w:val="28"/>
        </w:rPr>
        <w:t xml:space="preserve">информацию об исполнении </w:t>
      </w:r>
      <w:r>
        <w:rPr>
          <w:szCs w:val="28"/>
        </w:rPr>
        <w:t>по государственному (муниципальному) контракту), контрактам, договорам в рамках одной цепочки,</w:t>
      </w:r>
      <w:r w:rsidRPr="005D55CB">
        <w:t xml:space="preserve"> </w:t>
      </w:r>
      <w:r w:rsidRPr="009612B5">
        <w:t>финансирование которых осуществляется за счет средств бюджетов субъектов РФ и местных бюджетов</w:t>
      </w:r>
      <w:r>
        <w:t>,</w:t>
      </w:r>
      <w:r w:rsidRPr="005D55CB">
        <w:t xml:space="preserve"> </w:t>
      </w:r>
      <w:r w:rsidRPr="004249BA">
        <w:t>в отношении которых осуществляется каз</w:t>
      </w:r>
      <w:r>
        <w:t>начейское сопровождение</w:t>
      </w:r>
      <w:r w:rsidRPr="006B1B2D">
        <w:t xml:space="preserve">. </w:t>
      </w:r>
    </w:p>
    <w:p w:rsidR="00E447AB" w:rsidRDefault="00E447AB" w:rsidP="00E447AB">
      <w:pPr>
        <w:pStyle w:val="af0"/>
        <w:spacing w:after="120"/>
      </w:pPr>
      <w:r>
        <w:t>Отчет содерж</w:t>
      </w:r>
      <w:r w:rsidR="006F30A7">
        <w:t>и</w:t>
      </w:r>
      <w:r>
        <w:t>т следующие атрибуты:</w:t>
      </w:r>
    </w:p>
    <w:p w:rsidR="00E447AB" w:rsidRDefault="00E447AB" w:rsidP="00DE1661">
      <w:pPr>
        <w:pStyle w:val="13"/>
      </w:pPr>
      <w:r>
        <w:t>Наименование плательщика;</w:t>
      </w:r>
    </w:p>
    <w:p w:rsidR="00E447AB" w:rsidRDefault="00E447AB" w:rsidP="00DE1661">
      <w:pPr>
        <w:pStyle w:val="13"/>
      </w:pPr>
      <w:r>
        <w:t>Наименование бюджета плательщика;</w:t>
      </w:r>
    </w:p>
    <w:p w:rsidR="00E447AB" w:rsidRDefault="00E447AB" w:rsidP="00DE1661">
      <w:pPr>
        <w:pStyle w:val="13"/>
      </w:pPr>
      <w:r>
        <w:t>ИНН плательщика</w:t>
      </w:r>
      <w:r>
        <w:tab/>
        <w:t>;</w:t>
      </w:r>
    </w:p>
    <w:p w:rsidR="00E447AB" w:rsidRDefault="00E447AB" w:rsidP="00DE1661">
      <w:pPr>
        <w:pStyle w:val="13"/>
      </w:pPr>
      <w:r>
        <w:t>КПП плательщика;</w:t>
      </w:r>
    </w:p>
    <w:p w:rsidR="00E447AB" w:rsidRDefault="00E447AB" w:rsidP="00DE1661">
      <w:pPr>
        <w:pStyle w:val="13"/>
      </w:pPr>
      <w:r>
        <w:t>Лицевой счет плательщика;</w:t>
      </w:r>
    </w:p>
    <w:p w:rsidR="00E447AB" w:rsidRDefault="00E447AB" w:rsidP="00DE1661">
      <w:pPr>
        <w:pStyle w:val="13"/>
      </w:pPr>
      <w:r>
        <w:t>Код раздела плательщика;</w:t>
      </w:r>
    </w:p>
    <w:p w:rsidR="00E447AB" w:rsidRDefault="00E447AB" w:rsidP="00DE1661">
      <w:pPr>
        <w:pStyle w:val="13"/>
      </w:pPr>
      <w:r>
        <w:t>Наименование получателя;</w:t>
      </w:r>
    </w:p>
    <w:p w:rsidR="00E447AB" w:rsidRDefault="00E447AB" w:rsidP="00DE1661">
      <w:pPr>
        <w:pStyle w:val="13"/>
      </w:pPr>
      <w:r>
        <w:t>ИНН получателя;</w:t>
      </w:r>
    </w:p>
    <w:p w:rsidR="00E447AB" w:rsidRDefault="00E447AB" w:rsidP="00DE1661">
      <w:pPr>
        <w:pStyle w:val="13"/>
      </w:pPr>
      <w:r>
        <w:t>КПП получателя;</w:t>
      </w:r>
    </w:p>
    <w:p w:rsidR="00E447AB" w:rsidRDefault="00E447AB" w:rsidP="00DE1661">
      <w:pPr>
        <w:pStyle w:val="13"/>
      </w:pPr>
      <w:r>
        <w:t>Лицевой счет получателя;</w:t>
      </w:r>
    </w:p>
    <w:p w:rsidR="00E447AB" w:rsidRDefault="00E447AB" w:rsidP="00DE1661">
      <w:pPr>
        <w:pStyle w:val="13"/>
      </w:pPr>
      <w:r>
        <w:t>Код раздела получателя;</w:t>
      </w:r>
    </w:p>
    <w:p w:rsidR="00E447AB" w:rsidRDefault="00E447AB" w:rsidP="00DE1661">
      <w:pPr>
        <w:pStyle w:val="13"/>
      </w:pPr>
      <w:r>
        <w:t>Номер платежного поручения;</w:t>
      </w:r>
    </w:p>
    <w:p w:rsidR="00E447AB" w:rsidRDefault="00E447AB" w:rsidP="00DE1661">
      <w:pPr>
        <w:pStyle w:val="13"/>
      </w:pPr>
      <w:r>
        <w:t>Дата платежного поручения;</w:t>
      </w:r>
    </w:p>
    <w:p w:rsidR="00E447AB" w:rsidRDefault="00E447AB" w:rsidP="00DE1661">
      <w:pPr>
        <w:pStyle w:val="13"/>
      </w:pPr>
      <w:r>
        <w:t>Сумма;</w:t>
      </w:r>
    </w:p>
    <w:p w:rsidR="00E447AB" w:rsidRDefault="00E447AB" w:rsidP="00DE1661">
      <w:pPr>
        <w:pStyle w:val="13"/>
      </w:pPr>
      <w:r>
        <w:t>Назначение платежа;</w:t>
      </w:r>
    </w:p>
    <w:p w:rsidR="00E447AB" w:rsidRDefault="00E447AB" w:rsidP="00DE1661">
      <w:pPr>
        <w:pStyle w:val="13"/>
      </w:pPr>
      <w:r>
        <w:t>Код источника поступления/направления расходования;</w:t>
      </w:r>
    </w:p>
    <w:p w:rsidR="00E447AB" w:rsidRDefault="00E447AB" w:rsidP="00DE1661">
      <w:pPr>
        <w:pStyle w:val="13"/>
      </w:pPr>
      <w:r>
        <w:t>Направление платежа;</w:t>
      </w:r>
    </w:p>
    <w:p w:rsidR="00E447AB" w:rsidRDefault="00E447AB" w:rsidP="00DE1661">
      <w:pPr>
        <w:pStyle w:val="13"/>
      </w:pPr>
      <w:r>
        <w:t>Проект.</w:t>
      </w:r>
    </w:p>
    <w:p w:rsidR="00E447AB" w:rsidRDefault="00E447AB" w:rsidP="00E447AB">
      <w:pPr>
        <w:pStyle w:val="af0"/>
        <w:spacing w:after="120"/>
      </w:pPr>
      <w:r>
        <w:t>Отчет формир</w:t>
      </w:r>
      <w:r w:rsidR="006F30A7">
        <w:t>уется</w:t>
      </w:r>
      <w:r>
        <w:t xml:space="preserve"> в виде таблицы с возможностью перехода в  ПУР КС с номера платежного поручения.</w:t>
      </w:r>
    </w:p>
    <w:p w:rsidR="00E447AB" w:rsidRDefault="00E447AB" w:rsidP="00E447AB">
      <w:pPr>
        <w:pStyle w:val="af0"/>
        <w:spacing w:after="120"/>
      </w:pPr>
      <w:r>
        <w:t>Фильтры в представлении «Движение средств»:</w:t>
      </w:r>
    </w:p>
    <w:p w:rsidR="00E447AB" w:rsidRDefault="00E447AB" w:rsidP="00DE1661">
      <w:pPr>
        <w:pStyle w:val="13"/>
      </w:pPr>
      <w:r>
        <w:t>«</w:t>
      </w:r>
      <w:r w:rsidRPr="00F371C0">
        <w:t>Дата операции</w:t>
      </w:r>
      <w:r>
        <w:t xml:space="preserve"> с.. по..». Фильтр с возможностью выбора значения из календаря;</w:t>
      </w:r>
    </w:p>
    <w:p w:rsidR="00E447AB" w:rsidRDefault="00E447AB" w:rsidP="00DE1661">
      <w:pPr>
        <w:pStyle w:val="13"/>
      </w:pPr>
      <w:r>
        <w:t>«Уровень бюджета заказчика». Фильтр с возможностью выбора значения из выпадающего списка: «Бюджет субъекта РФ», «Бюджет муниципального образования», «Все»</w:t>
      </w:r>
      <w:r w:rsidRPr="00902FD8">
        <w:t xml:space="preserve"> </w:t>
      </w:r>
      <w:r>
        <w:t>(установлено по умолчанию);</w:t>
      </w:r>
    </w:p>
    <w:p w:rsidR="00E447AB" w:rsidRDefault="00E447AB" w:rsidP="00DE1661">
      <w:pPr>
        <w:pStyle w:val="13"/>
      </w:pPr>
      <w:r>
        <w:t>«Наименование субъекта/муниципального образования».</w:t>
      </w:r>
      <w:r w:rsidRPr="00902FD8">
        <w:t xml:space="preserve"> </w:t>
      </w:r>
      <w:r>
        <w:t>Фильтр с возможностью выбора значения из выпадающего списка. Фильтр должен быть зависим от фильтра «Уровень бюджета заказчика»;</w:t>
      </w:r>
    </w:p>
    <w:p w:rsidR="00E447AB" w:rsidRDefault="00E447AB" w:rsidP="00DE1661">
      <w:pPr>
        <w:pStyle w:val="13"/>
      </w:pPr>
      <w:r>
        <w:t>«Код бюджета заказчика».</w:t>
      </w:r>
      <w:r>
        <w:tab/>
        <w:t>Фильтр с возможностью множественного выбора значений из выпадающего списка: «код бюджета» - «наименование бюджета», «Все» (установлено по умолчанию). Фильтр должен быть зависим от фильтра «Уровень бюджета заказчика» и от фильтра «Наименование субъекта/муниципального образования»;</w:t>
      </w:r>
    </w:p>
    <w:p w:rsidR="00E447AB" w:rsidRDefault="00E447AB" w:rsidP="00DE1661">
      <w:pPr>
        <w:pStyle w:val="13"/>
      </w:pPr>
      <w:r>
        <w:t>«ГРБС (ФБ)». Фильтр с возможностью множественного выбора значений из выпадающего списка: «код ГРБС» - «наименование ГРБС», «Все» (установлено по умолчанию);</w:t>
      </w:r>
    </w:p>
    <w:p w:rsidR="00E447AB" w:rsidRDefault="00E447AB" w:rsidP="00DE1661">
      <w:pPr>
        <w:pStyle w:val="13"/>
      </w:pPr>
      <w:r>
        <w:t>«ГРБС (БС/МБ)».</w:t>
      </w:r>
      <w:r>
        <w:tab/>
        <w:t>Фильтр с возможностью множественного выбора значений из выпадающего списка: «код ГРБС» - «наименование ГРБС», «Все» (установлено по умолчанию);</w:t>
      </w:r>
    </w:p>
    <w:p w:rsidR="00E447AB" w:rsidRDefault="00E447AB" w:rsidP="00DE1661">
      <w:pPr>
        <w:pStyle w:val="13"/>
      </w:pPr>
      <w:r>
        <w:t xml:space="preserve">«Найти плательщика». </w:t>
      </w:r>
      <w:r w:rsidRPr="00331ED5">
        <w:t xml:space="preserve">Фильтр с возможностью поиска по введенному значению ИНН, КПП, наименованию или лицевому счету </w:t>
      </w:r>
      <w:r>
        <w:t>плательщика</w:t>
      </w:r>
      <w:r w:rsidRPr="00331ED5">
        <w:t>;</w:t>
      </w:r>
    </w:p>
    <w:p w:rsidR="00E447AB" w:rsidRDefault="00E447AB" w:rsidP="00DE1661">
      <w:pPr>
        <w:pStyle w:val="13"/>
      </w:pPr>
      <w:r>
        <w:t xml:space="preserve">«Найти получателя». </w:t>
      </w:r>
      <w:r w:rsidRPr="00331ED5">
        <w:t xml:space="preserve">Фильтр с возможностью поиска по введенному значению ИНН, КПП, наименованию или лицевому счету </w:t>
      </w:r>
      <w:r>
        <w:t>получателя</w:t>
      </w:r>
      <w:r w:rsidRPr="00331ED5">
        <w:t>;</w:t>
      </w:r>
    </w:p>
    <w:p w:rsidR="00E447AB" w:rsidRDefault="00E447AB" w:rsidP="00DE1661">
      <w:pPr>
        <w:pStyle w:val="13"/>
      </w:pPr>
      <w:r w:rsidRPr="00806A33">
        <w:t>«Направление платежа».</w:t>
      </w:r>
      <w:r>
        <w:rPr>
          <w:sz w:val="24"/>
          <w:szCs w:val="24"/>
        </w:rPr>
        <w:t xml:space="preserve"> </w:t>
      </w:r>
      <w:r>
        <w:t>Фильтр с возможностью выбора значения из выпадающего списка: «Поступления», «Выбытия», «Возвраты», «Восстановления»;</w:t>
      </w:r>
    </w:p>
    <w:p w:rsidR="00E447AB" w:rsidRDefault="00E447AB" w:rsidP="00DE1661">
      <w:pPr>
        <w:pStyle w:val="13"/>
      </w:pPr>
      <w:r>
        <w:t xml:space="preserve">«Номер п/п». </w:t>
      </w:r>
      <w:r w:rsidRPr="00331ED5">
        <w:t>Фильтр с возможностью поиска по введенному значению</w:t>
      </w:r>
      <w:r>
        <w:t xml:space="preserve"> номера платежного поручения;</w:t>
      </w:r>
    </w:p>
    <w:p w:rsidR="00E447AB" w:rsidRDefault="00E447AB" w:rsidP="00DE1661">
      <w:pPr>
        <w:pStyle w:val="13"/>
      </w:pPr>
      <w:r>
        <w:t>«Номер гос.(муниц.) контракта/соглашения».</w:t>
      </w:r>
      <w:r>
        <w:tab/>
        <w:t>Фильтр с возможностью поиска по введенному значению;</w:t>
      </w:r>
    </w:p>
    <w:p w:rsidR="00E447AB" w:rsidRDefault="00E447AB" w:rsidP="00DE1661">
      <w:pPr>
        <w:pStyle w:val="13"/>
      </w:pPr>
      <w:r>
        <w:t>«Назначение платежа». Фильтр с возможностью поиска по введенному значению;</w:t>
      </w:r>
    </w:p>
    <w:p w:rsidR="00E447AB" w:rsidRDefault="00E447AB" w:rsidP="00DE1661">
      <w:pPr>
        <w:pStyle w:val="13"/>
      </w:pPr>
      <w:r w:rsidRPr="001A23F6">
        <w:t>«Код источника поступления/направления расходования».</w:t>
      </w:r>
      <w:r>
        <w:rPr>
          <w:sz w:val="24"/>
          <w:szCs w:val="24"/>
        </w:rPr>
        <w:t xml:space="preserve"> </w:t>
      </w:r>
      <w:r>
        <w:t>Фильтр с возможностью выбора значения из выпадающего списка с кодами;</w:t>
      </w:r>
    </w:p>
    <w:p w:rsidR="00E447AB" w:rsidRDefault="00E447AB" w:rsidP="00DE1661">
      <w:pPr>
        <w:pStyle w:val="13"/>
      </w:pPr>
      <w:r w:rsidRPr="00A40686">
        <w:t>«Направление расходования». Иерархический ф</w:t>
      </w:r>
      <w:r>
        <w:t>ильтр с возможностью выбора значения из выпадающего списка с направлениями расходования;</w:t>
      </w:r>
    </w:p>
    <w:p w:rsidR="00E447AB" w:rsidRDefault="00E447AB" w:rsidP="00DE1661">
      <w:pPr>
        <w:pStyle w:val="13"/>
      </w:pPr>
      <w:r>
        <w:t xml:space="preserve"> «Единицы измерения». Фильтр с возможностью выбора значения из выпадающего списка;</w:t>
      </w:r>
    </w:p>
    <w:p w:rsidR="00E447AB" w:rsidRDefault="00E447AB" w:rsidP="00DE1661">
      <w:pPr>
        <w:pStyle w:val="13"/>
      </w:pPr>
      <w:r>
        <w:t xml:space="preserve">«Номер идентификатора». </w:t>
      </w:r>
      <w:r w:rsidRPr="00331ED5">
        <w:t>Фильтр с возможностью поиска по введенному значению</w:t>
      </w:r>
      <w:r>
        <w:t xml:space="preserve"> идентификатора государственного (муниципального) контракта, соглашения;</w:t>
      </w:r>
    </w:p>
    <w:p w:rsidR="00E447AB" w:rsidRDefault="00E447AB" w:rsidP="00E447AB">
      <w:pPr>
        <w:pStyle w:val="af0"/>
      </w:pPr>
      <w:r w:rsidRPr="007F33E1">
        <w:t>Отчет поддержива</w:t>
      </w:r>
      <w:r w:rsidR="006F30A7">
        <w:t>е</w:t>
      </w:r>
      <w:r w:rsidRPr="007F33E1">
        <w:t>т сортировку по всем колонкам.</w:t>
      </w:r>
    </w:p>
    <w:p w:rsidR="006F30A7" w:rsidRDefault="006F30A7" w:rsidP="006F30A7">
      <w:pPr>
        <w:pStyle w:val="-0"/>
      </w:pPr>
      <w:r>
        <w:rPr>
          <w:noProof/>
          <w:snapToGrid/>
        </w:rPr>
        <w:drawing>
          <wp:inline distT="0" distB="0" distL="0" distR="0" wp14:anchorId="322A02BD" wp14:editId="10B7D186">
            <wp:extent cx="6119495" cy="2745689"/>
            <wp:effectExtent l="0" t="0" r="0" b="0"/>
            <wp:docPr id="1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6119495" cy="2745689"/>
                    </a:xfrm>
                    <a:prstGeom prst="rect">
                      <a:avLst/>
                    </a:prstGeom>
                    <a:noFill/>
                    <a:ln>
                      <a:noFill/>
                    </a:ln>
                  </pic:spPr>
                </pic:pic>
              </a:graphicData>
            </a:graphic>
          </wp:inline>
        </w:drawing>
      </w:r>
    </w:p>
    <w:p w:rsidR="006F30A7" w:rsidRDefault="006F30A7" w:rsidP="006F30A7">
      <w:pPr>
        <w:pStyle w:val="-0"/>
      </w:pPr>
      <w:bookmarkStart w:id="1937" w:name="_Toc119584695"/>
      <w:r>
        <w:t xml:space="preserve">Рисунок </w:t>
      </w:r>
      <w:fldSimple w:instr=" SEQ Рисунок \* ARABIC ">
        <w:r w:rsidR="001860A9">
          <w:rPr>
            <w:noProof/>
          </w:rPr>
          <w:t>508</w:t>
        </w:r>
      </w:fldSimple>
      <w:r>
        <w:t xml:space="preserve"> – Представление «Движение средств»</w:t>
      </w:r>
      <w:bookmarkEnd w:id="1937"/>
    </w:p>
    <w:p w:rsidR="006F30A7" w:rsidRDefault="006F30A7" w:rsidP="00862055">
      <w:pPr>
        <w:pStyle w:val="42"/>
        <w:keepNext/>
        <w:numPr>
          <w:ilvl w:val="3"/>
          <w:numId w:val="135"/>
        </w:numPr>
      </w:pPr>
      <w:bookmarkStart w:id="1938" w:name="_Toc80799861"/>
      <w:r w:rsidRPr="00502514">
        <w:t>Представление «</w:t>
      </w:r>
      <w:r w:rsidRPr="00BE6C5D">
        <w:t>Сведения о гос.</w:t>
      </w:r>
      <w:r>
        <w:t xml:space="preserve"> </w:t>
      </w:r>
      <w:r w:rsidRPr="00BE6C5D">
        <w:t>(муниц.) контракте/соглашении</w:t>
      </w:r>
      <w:r w:rsidRPr="00502514">
        <w:t>»</w:t>
      </w:r>
      <w:bookmarkEnd w:id="1938"/>
    </w:p>
    <w:p w:rsidR="006F30A7" w:rsidRPr="00432641" w:rsidRDefault="006F30A7" w:rsidP="006F30A7">
      <w:pPr>
        <w:pStyle w:val="af0"/>
      </w:pPr>
      <w:r w:rsidRPr="00432641">
        <w:t>Представление «Сведения о гос. (муниц.) контракте/соглашении» содерж</w:t>
      </w:r>
      <w:r w:rsidR="00C5499D">
        <w:t>и</w:t>
      </w:r>
      <w:r w:rsidRPr="00432641">
        <w:t xml:space="preserve">т информацию о выбранном государственном (муниципальном) контракте, соглашении, находящимся под казначейским сопровождением, финансирование которого происходит за счет средств  бюджетов субъектов и местных бюджетов, данные о заказчике и исполнителю, сведения  об исполнении. </w:t>
      </w:r>
    </w:p>
    <w:p w:rsidR="006F30A7" w:rsidRPr="00432641" w:rsidRDefault="006F30A7" w:rsidP="006F30A7">
      <w:pPr>
        <w:pStyle w:val="af0"/>
      </w:pPr>
      <w:r w:rsidRPr="00432641">
        <w:t>Отчет содерж</w:t>
      </w:r>
      <w:r w:rsidR="00C5499D">
        <w:t>и</w:t>
      </w:r>
      <w:r w:rsidRPr="00432641">
        <w:t>т 4 карточки:</w:t>
      </w:r>
    </w:p>
    <w:p w:rsidR="006F30A7" w:rsidRPr="00881DF7" w:rsidRDefault="006F30A7" w:rsidP="00DE1661">
      <w:pPr>
        <w:pStyle w:val="13"/>
      </w:pPr>
      <w:r>
        <w:t>«</w:t>
      </w:r>
      <w:r w:rsidRPr="00881DF7">
        <w:t>Данные о гос.(муниц.)контракте/соглашении</w:t>
      </w:r>
      <w:r>
        <w:t>»</w:t>
      </w:r>
      <w:r w:rsidRPr="00881DF7">
        <w:t>;</w:t>
      </w:r>
    </w:p>
    <w:p w:rsidR="006F30A7" w:rsidRPr="00881DF7" w:rsidRDefault="006F30A7" w:rsidP="00DE1661">
      <w:pPr>
        <w:pStyle w:val="13"/>
      </w:pPr>
      <w:r>
        <w:t>«</w:t>
      </w:r>
      <w:r w:rsidRPr="00881DF7">
        <w:t>Гос.(муниц.) заказчик/ГРБС</w:t>
      </w:r>
      <w:r>
        <w:t>»</w:t>
      </w:r>
      <w:r w:rsidRPr="00881DF7">
        <w:t>;</w:t>
      </w:r>
    </w:p>
    <w:p w:rsidR="006F30A7" w:rsidRPr="00881DF7" w:rsidRDefault="006F30A7" w:rsidP="00DE1661">
      <w:pPr>
        <w:pStyle w:val="13"/>
      </w:pPr>
      <w:r>
        <w:t>«</w:t>
      </w:r>
      <w:r w:rsidRPr="00881DF7">
        <w:t>Головной исполнитель/получатель субсидии</w:t>
      </w:r>
      <w:r>
        <w:t>»</w:t>
      </w:r>
      <w:r w:rsidRPr="00881DF7">
        <w:t>;</w:t>
      </w:r>
    </w:p>
    <w:p w:rsidR="006F30A7" w:rsidRPr="00881DF7" w:rsidRDefault="006F30A7" w:rsidP="00DE1661">
      <w:pPr>
        <w:pStyle w:val="13"/>
      </w:pPr>
      <w:r>
        <w:t>«</w:t>
      </w:r>
      <w:r w:rsidRPr="00881DF7">
        <w:t>Движение средств</w:t>
      </w:r>
      <w:r>
        <w:t>».</w:t>
      </w:r>
    </w:p>
    <w:p w:rsidR="006F30A7" w:rsidRPr="00432641" w:rsidRDefault="006F30A7" w:rsidP="006F30A7">
      <w:pPr>
        <w:pStyle w:val="af0"/>
      </w:pPr>
      <w:r w:rsidRPr="00432641">
        <w:t>При открытии отчета по умолчанию раскрыта карточка «Данные о гос.(муниц.)контракте/соглашении», другие карточки свернуты.</w:t>
      </w:r>
    </w:p>
    <w:p w:rsidR="006F30A7" w:rsidRPr="00432641" w:rsidRDefault="006F30A7" w:rsidP="006F30A7">
      <w:pPr>
        <w:pStyle w:val="af0"/>
      </w:pPr>
      <w:r w:rsidRPr="00432641">
        <w:t>Карточка «Данные о гос.(муниц.)контракте/соглашении» содерж</w:t>
      </w:r>
      <w:r>
        <w:t>и</w:t>
      </w:r>
      <w:r w:rsidRPr="00432641">
        <w:t>т следующие атрибуты:</w:t>
      </w:r>
    </w:p>
    <w:p w:rsidR="006F30A7" w:rsidRDefault="006F30A7" w:rsidP="00DE1661">
      <w:pPr>
        <w:pStyle w:val="13"/>
      </w:pPr>
      <w:r>
        <w:t>Номер;</w:t>
      </w:r>
    </w:p>
    <w:p w:rsidR="006F30A7" w:rsidRDefault="006F30A7" w:rsidP="00DE1661">
      <w:pPr>
        <w:pStyle w:val="13"/>
      </w:pPr>
      <w:r>
        <w:t>Идентификатор;</w:t>
      </w:r>
    </w:p>
    <w:p w:rsidR="006F30A7" w:rsidRDefault="006F30A7" w:rsidP="00DE1661">
      <w:pPr>
        <w:pStyle w:val="13"/>
      </w:pPr>
      <w:r>
        <w:t>Дата заключения;</w:t>
      </w:r>
    </w:p>
    <w:p w:rsidR="006F30A7" w:rsidRDefault="006F30A7" w:rsidP="00DE1661">
      <w:pPr>
        <w:pStyle w:val="13"/>
      </w:pPr>
      <w:r>
        <w:t>Дата исполнения;</w:t>
      </w:r>
    </w:p>
    <w:p w:rsidR="006F30A7" w:rsidRDefault="006F30A7" w:rsidP="00DE1661">
      <w:pPr>
        <w:pStyle w:val="13"/>
      </w:pPr>
      <w:r>
        <w:t>Предмет;</w:t>
      </w:r>
    </w:p>
    <w:p w:rsidR="006F30A7" w:rsidRDefault="006F30A7" w:rsidP="00DE1661">
      <w:pPr>
        <w:pStyle w:val="13"/>
      </w:pPr>
      <w:r>
        <w:t>Сумма;</w:t>
      </w:r>
    </w:p>
    <w:p w:rsidR="006F30A7" w:rsidRDefault="006F30A7" w:rsidP="00DE1661">
      <w:pPr>
        <w:pStyle w:val="13"/>
      </w:pPr>
      <w:r>
        <w:t>Сумма аккредитива;</w:t>
      </w:r>
    </w:p>
    <w:p w:rsidR="006F30A7" w:rsidRDefault="006F30A7" w:rsidP="00DE1661">
      <w:pPr>
        <w:pStyle w:val="13"/>
      </w:pPr>
      <w:r>
        <w:t>Сумма переданного аккредитива.</w:t>
      </w:r>
    </w:p>
    <w:p w:rsidR="006F30A7" w:rsidRDefault="006F30A7" w:rsidP="006F30A7">
      <w:pPr>
        <w:pStyle w:val="af0"/>
      </w:pPr>
      <w:r>
        <w:t>Карточка «</w:t>
      </w:r>
      <w:r w:rsidRPr="00881DF7">
        <w:t>Гос.</w:t>
      </w:r>
      <w:r>
        <w:t xml:space="preserve"> </w:t>
      </w:r>
      <w:r w:rsidRPr="00881DF7">
        <w:t>(муниц.) заказчик/ГРБС</w:t>
      </w:r>
      <w:r>
        <w:t xml:space="preserve">» содержит </w:t>
      </w:r>
      <w:r w:rsidRPr="00432641">
        <w:t>следующие</w:t>
      </w:r>
      <w:r>
        <w:t xml:space="preserve"> атрибуты:</w:t>
      </w:r>
    </w:p>
    <w:p w:rsidR="006F30A7" w:rsidRDefault="006F30A7" w:rsidP="00DE1661">
      <w:pPr>
        <w:pStyle w:val="13"/>
      </w:pPr>
      <w:r>
        <w:t>Наименование;</w:t>
      </w:r>
    </w:p>
    <w:p w:rsidR="006F30A7" w:rsidRDefault="006F30A7" w:rsidP="00DE1661">
      <w:pPr>
        <w:pStyle w:val="13"/>
      </w:pPr>
      <w:r>
        <w:t>ИНН;</w:t>
      </w:r>
    </w:p>
    <w:p w:rsidR="006F30A7" w:rsidRDefault="006F30A7" w:rsidP="00DE1661">
      <w:pPr>
        <w:pStyle w:val="13"/>
      </w:pPr>
      <w:r>
        <w:t>КПП;</w:t>
      </w:r>
    </w:p>
    <w:p w:rsidR="006F30A7" w:rsidRDefault="006F30A7" w:rsidP="00DE1661">
      <w:pPr>
        <w:pStyle w:val="13"/>
      </w:pPr>
      <w:r>
        <w:t>Номер лицевого счета.</w:t>
      </w:r>
    </w:p>
    <w:p w:rsidR="006F30A7" w:rsidRDefault="006F30A7" w:rsidP="006F30A7">
      <w:pPr>
        <w:pStyle w:val="af0"/>
        <w:spacing w:after="120"/>
      </w:pPr>
      <w:r>
        <w:t>Карточка «</w:t>
      </w:r>
      <w:r w:rsidRPr="00881DF7">
        <w:t>Головной исполнитель/получатель субсидии</w:t>
      </w:r>
      <w:r>
        <w:t>» содержит следующие атрибуты:</w:t>
      </w:r>
    </w:p>
    <w:p w:rsidR="006F30A7" w:rsidRDefault="006F30A7" w:rsidP="00DE1661">
      <w:pPr>
        <w:pStyle w:val="13"/>
      </w:pPr>
      <w:r>
        <w:t>Наименование;</w:t>
      </w:r>
    </w:p>
    <w:p w:rsidR="006F30A7" w:rsidRDefault="006F30A7" w:rsidP="00DE1661">
      <w:pPr>
        <w:pStyle w:val="13"/>
      </w:pPr>
      <w:r>
        <w:t>ИНН;</w:t>
      </w:r>
    </w:p>
    <w:p w:rsidR="006F30A7" w:rsidRDefault="006F30A7" w:rsidP="00DE1661">
      <w:pPr>
        <w:pStyle w:val="13"/>
      </w:pPr>
      <w:r>
        <w:t>КПП;</w:t>
      </w:r>
    </w:p>
    <w:p w:rsidR="006F30A7" w:rsidRDefault="006F30A7" w:rsidP="00DE1661">
      <w:pPr>
        <w:pStyle w:val="13"/>
      </w:pPr>
      <w:r>
        <w:t>Номер лицевого счета/раздела;</w:t>
      </w:r>
    </w:p>
    <w:p w:rsidR="006F30A7" w:rsidRDefault="006F30A7" w:rsidP="00DE1661">
      <w:pPr>
        <w:pStyle w:val="13"/>
      </w:pPr>
      <w:r>
        <w:t>Дата открытия раздела;</w:t>
      </w:r>
    </w:p>
    <w:p w:rsidR="006F30A7" w:rsidRDefault="006F30A7" w:rsidP="00DE1661">
      <w:pPr>
        <w:pStyle w:val="13"/>
      </w:pPr>
      <w:r>
        <w:t>Дата закрытия раздела;</w:t>
      </w:r>
    </w:p>
    <w:p w:rsidR="006F30A7" w:rsidRDefault="006F30A7" w:rsidP="00DE1661">
      <w:pPr>
        <w:pStyle w:val="13"/>
      </w:pPr>
      <w:r>
        <w:t>Наличие в федеральном реестре сведений о банкротстве.</w:t>
      </w:r>
    </w:p>
    <w:p w:rsidR="006F30A7" w:rsidRDefault="006F30A7" w:rsidP="006F30A7">
      <w:pPr>
        <w:pStyle w:val="af0"/>
      </w:pPr>
      <w:r>
        <w:t>Карточка «</w:t>
      </w:r>
      <w:r w:rsidRPr="00881DF7">
        <w:t>Движение средств</w:t>
      </w:r>
      <w:r>
        <w:t>» содержит следующие атрибуты:</w:t>
      </w:r>
    </w:p>
    <w:p w:rsidR="006F30A7" w:rsidRDefault="006F30A7" w:rsidP="00DE1661">
      <w:pPr>
        <w:pStyle w:val="13"/>
      </w:pPr>
      <w:r>
        <w:t>Остатки на разделах головных исполнителей на начало текущего года, руб.;</w:t>
      </w:r>
    </w:p>
    <w:p w:rsidR="006F30A7" w:rsidRDefault="006F30A7" w:rsidP="00DE1661">
      <w:pPr>
        <w:pStyle w:val="13"/>
      </w:pPr>
      <w:r>
        <w:t>Поступления на разделы головного исполнителя/получателя субсидии, руб.;</w:t>
      </w:r>
    </w:p>
    <w:p w:rsidR="006F30A7" w:rsidRDefault="006F30A7" w:rsidP="00DE1661">
      <w:pPr>
        <w:pStyle w:val="13"/>
      </w:pPr>
      <w:r>
        <w:t>Кассовый расход, всего;</w:t>
      </w:r>
    </w:p>
    <w:p w:rsidR="006F30A7" w:rsidRDefault="006F30A7" w:rsidP="00DE1661">
      <w:pPr>
        <w:pStyle w:val="13"/>
      </w:pPr>
      <w:r>
        <w:t>Кассовый расход на ЛС ;</w:t>
      </w:r>
    </w:p>
    <w:p w:rsidR="006F30A7" w:rsidRDefault="006F30A7" w:rsidP="00DE1661">
      <w:pPr>
        <w:pStyle w:val="13"/>
      </w:pPr>
      <w:r>
        <w:t>Кассовый расход на расчетные счета;</w:t>
      </w:r>
    </w:p>
    <w:p w:rsidR="006F30A7" w:rsidRDefault="006F30A7" w:rsidP="00DE1661">
      <w:pPr>
        <w:pStyle w:val="13"/>
      </w:pPr>
      <w:r>
        <w:t>Остатки на разделах головного исполнителя/получателя субсидии на отчетную дату, руб.</w:t>
      </w:r>
    </w:p>
    <w:p w:rsidR="006F30A7" w:rsidRDefault="006F30A7" w:rsidP="006F30A7">
      <w:pPr>
        <w:pStyle w:val="af0"/>
      </w:pPr>
      <w:r>
        <w:t xml:space="preserve">В </w:t>
      </w:r>
      <w:r w:rsidRPr="00432641">
        <w:t>представлении</w:t>
      </w:r>
      <w:r>
        <w:t xml:space="preserve"> должны быть реализованы следующие фильтры:</w:t>
      </w:r>
    </w:p>
    <w:p w:rsidR="006F30A7" w:rsidRDefault="006F30A7" w:rsidP="00DE1661">
      <w:pPr>
        <w:pStyle w:val="13"/>
      </w:pPr>
      <w:r>
        <w:t>«</w:t>
      </w:r>
      <w:r w:rsidRPr="00136E1E">
        <w:t>По состоянию на</w:t>
      </w:r>
      <w:r>
        <w:t>».</w:t>
      </w:r>
      <w:r w:rsidRPr="0099396D">
        <w:t xml:space="preserve"> </w:t>
      </w:r>
      <w:r>
        <w:t>Фильтр с возможностью выбора значения из календаря;</w:t>
      </w:r>
    </w:p>
    <w:p w:rsidR="006F30A7" w:rsidRDefault="006F30A7" w:rsidP="00DE1661">
      <w:pPr>
        <w:pStyle w:val="13"/>
      </w:pPr>
      <w:r>
        <w:t>«</w:t>
      </w:r>
      <w:r w:rsidRPr="00136E1E">
        <w:t>Год</w:t>
      </w:r>
      <w:r>
        <w:t>»</w:t>
      </w:r>
      <w:r w:rsidRPr="00136E1E">
        <w:t>;</w:t>
      </w:r>
      <w:r w:rsidRPr="0099396D">
        <w:t xml:space="preserve"> </w:t>
      </w:r>
      <w:r>
        <w:t>Фильтр с возможностью выбора значения из выпадающего списка;</w:t>
      </w:r>
    </w:p>
    <w:p w:rsidR="006F30A7" w:rsidRDefault="006F30A7" w:rsidP="00DE1661">
      <w:pPr>
        <w:pStyle w:val="13"/>
      </w:pPr>
      <w:r>
        <w:t>«</w:t>
      </w:r>
      <w:r w:rsidRPr="0099396D">
        <w:t>Единицы измерения</w:t>
      </w:r>
      <w:r>
        <w:t>»</w:t>
      </w:r>
      <w:r w:rsidRPr="0099396D">
        <w:t xml:space="preserve"> </w:t>
      </w:r>
      <w:r>
        <w:t>Фильтр с возможностью выбора значения из выпадающего списка.</w:t>
      </w:r>
    </w:p>
    <w:p w:rsidR="00E133B4" w:rsidRDefault="00E133B4" w:rsidP="00E133B4">
      <w:pPr>
        <w:pStyle w:val="-0"/>
      </w:pPr>
      <w:r>
        <w:rPr>
          <w:noProof/>
          <w:snapToGrid/>
        </w:rPr>
        <w:drawing>
          <wp:inline distT="0" distB="0" distL="0" distR="0" wp14:anchorId="76EDB261" wp14:editId="17E135FE">
            <wp:extent cx="6119495" cy="2740072"/>
            <wp:effectExtent l="0" t="0" r="0" b="3175"/>
            <wp:docPr id="11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6119495" cy="2740072"/>
                    </a:xfrm>
                    <a:prstGeom prst="rect">
                      <a:avLst/>
                    </a:prstGeom>
                    <a:noFill/>
                    <a:ln>
                      <a:noFill/>
                    </a:ln>
                  </pic:spPr>
                </pic:pic>
              </a:graphicData>
            </a:graphic>
          </wp:inline>
        </w:drawing>
      </w:r>
    </w:p>
    <w:p w:rsidR="00E133B4" w:rsidRPr="00E133B4" w:rsidRDefault="00E133B4" w:rsidP="00E133B4">
      <w:pPr>
        <w:pStyle w:val="-0"/>
      </w:pPr>
      <w:bookmarkStart w:id="1939" w:name="_Toc119584696"/>
      <w:r>
        <w:t xml:space="preserve">Рисунок </w:t>
      </w:r>
      <w:fldSimple w:instr=" SEQ Рисунок \* ARABIC ">
        <w:r w:rsidR="001860A9">
          <w:rPr>
            <w:noProof/>
          </w:rPr>
          <w:t>509</w:t>
        </w:r>
      </w:fldSimple>
      <w:r>
        <w:t xml:space="preserve"> – Представление «</w:t>
      </w:r>
      <w:r w:rsidRPr="00BE6C5D">
        <w:t>Сведения о гос. (муниц.) контракте/соглашении</w:t>
      </w:r>
      <w:r>
        <w:t>»</w:t>
      </w:r>
      <w:bookmarkEnd w:id="1939"/>
    </w:p>
    <w:p w:rsidR="00472B5B" w:rsidRPr="00206C4C" w:rsidRDefault="00472B5B" w:rsidP="00862055">
      <w:pPr>
        <w:pStyle w:val="26"/>
        <w:numPr>
          <w:ilvl w:val="1"/>
          <w:numId w:val="135"/>
        </w:numPr>
      </w:pPr>
      <w:bookmarkStart w:id="1940" w:name="_Toc37845341"/>
      <w:bookmarkStart w:id="1941" w:name="_Toc69290152"/>
      <w:bookmarkStart w:id="1942" w:name="_Toc119585119"/>
      <w:r w:rsidRPr="00206C4C">
        <w:t>Витрина «</w:t>
      </w:r>
      <w:r w:rsidRPr="00206C4C">
        <w:rPr>
          <w:rFonts w:eastAsia="Calibri"/>
        </w:rPr>
        <w:t>Статистика государственных финансов</w:t>
      </w:r>
      <w:r w:rsidRPr="00206C4C">
        <w:t>»</w:t>
      </w:r>
      <w:bookmarkEnd w:id="1940"/>
      <w:bookmarkEnd w:id="1941"/>
      <w:bookmarkEnd w:id="1942"/>
    </w:p>
    <w:p w:rsidR="00472B5B" w:rsidRPr="00206C4C" w:rsidRDefault="00472B5B" w:rsidP="00472B5B">
      <w:pPr>
        <w:pStyle w:val="af0"/>
        <w:rPr>
          <w:rFonts w:eastAsia="Calibri"/>
        </w:rPr>
      </w:pPr>
      <w:r w:rsidRPr="00206C4C">
        <w:rPr>
          <w:rFonts w:eastAsia="Calibri"/>
        </w:rPr>
        <w:t>Витрина содержит статистику государственных финансов в целях проведения анализа и осуществления мониторинга показателей, входящих в состав госу</w:t>
      </w:r>
      <w:r>
        <w:rPr>
          <w:rFonts w:eastAsia="Calibri"/>
        </w:rPr>
        <w:t>дарственного сектора экономики.</w:t>
      </w:r>
    </w:p>
    <w:p w:rsidR="00472B5B" w:rsidRPr="00206C4C" w:rsidRDefault="00472B5B" w:rsidP="00472B5B">
      <w:pPr>
        <w:pStyle w:val="af0"/>
        <w:rPr>
          <w:rFonts w:eastAsia="Calibri"/>
        </w:rPr>
      </w:pPr>
      <w:r w:rsidRPr="00206C4C">
        <w:rPr>
          <w:rFonts w:eastAsia="Calibri"/>
        </w:rPr>
        <w:t>Перечень аналитических отчетов и соответствующих каждому отчету таблиц реляционного хранилища данных приведен в таблице ниже.</w:t>
      </w:r>
    </w:p>
    <w:p w:rsidR="00472B5B" w:rsidRPr="00C63CD0" w:rsidRDefault="00472B5B" w:rsidP="00A35886">
      <w:pPr>
        <w:pStyle w:val="-"/>
      </w:pPr>
      <w:bookmarkStart w:id="1943" w:name="_Toc37845350"/>
      <w:bookmarkStart w:id="1944" w:name="_Toc69290218"/>
      <w:bookmarkStart w:id="1945" w:name="_Toc119585195"/>
      <w:r w:rsidRPr="00206C4C">
        <w:t xml:space="preserve">Таблица </w:t>
      </w:r>
      <w:fldSimple w:instr=" SEQ Таблица \* ARABIC ">
        <w:r w:rsidR="00BF0BEE">
          <w:rPr>
            <w:noProof/>
          </w:rPr>
          <w:t>54</w:t>
        </w:r>
      </w:fldSimple>
      <w:r w:rsidRPr="00206C4C">
        <w:t xml:space="preserve"> </w:t>
      </w:r>
      <w:r w:rsidRPr="00C63CD0">
        <w:t xml:space="preserve">– </w:t>
      </w:r>
      <w:r w:rsidRPr="00206C4C">
        <w:t>Перечень аналитических отчетов витрины «Статистика государственных финансов» и соответствующих таблиц БД</w:t>
      </w:r>
      <w:bookmarkEnd w:id="1943"/>
      <w:bookmarkEnd w:id="1944"/>
      <w:bookmarkEnd w:id="1945"/>
    </w:p>
    <w:tbl>
      <w:tblPr>
        <w:tblStyle w:val="affe"/>
        <w:tblW w:w="9606" w:type="dxa"/>
        <w:tblLayout w:type="fixed"/>
        <w:tblLook w:val="04A0" w:firstRow="1" w:lastRow="0" w:firstColumn="1" w:lastColumn="0" w:noHBand="0" w:noVBand="1"/>
      </w:tblPr>
      <w:tblGrid>
        <w:gridCol w:w="4219"/>
        <w:gridCol w:w="2552"/>
        <w:gridCol w:w="2835"/>
      </w:tblGrid>
      <w:tr w:rsidR="00472B5B" w:rsidRPr="00206C4C" w:rsidTr="002D6509">
        <w:trPr>
          <w:tblHeader/>
        </w:trPr>
        <w:tc>
          <w:tcPr>
            <w:tcW w:w="4219" w:type="dxa"/>
            <w:shd w:val="clear" w:color="auto" w:fill="D9D9D9" w:themeFill="background1" w:themeFillShade="D9"/>
            <w:vAlign w:val="center"/>
          </w:tcPr>
          <w:p w:rsidR="00472B5B" w:rsidRPr="00206C4C" w:rsidRDefault="00472B5B" w:rsidP="00E9324B">
            <w:pPr>
              <w:ind w:firstLine="0"/>
              <w:jc w:val="center"/>
              <w:rPr>
                <w:b/>
              </w:rPr>
            </w:pPr>
            <w:r w:rsidRPr="00206C4C">
              <w:rPr>
                <w:b/>
              </w:rPr>
              <w:t>Наименование аналитического отчета</w:t>
            </w:r>
          </w:p>
        </w:tc>
        <w:tc>
          <w:tcPr>
            <w:tcW w:w="2552" w:type="dxa"/>
            <w:shd w:val="clear" w:color="auto" w:fill="D9D9D9" w:themeFill="background1" w:themeFillShade="D9"/>
            <w:vAlign w:val="center"/>
          </w:tcPr>
          <w:p w:rsidR="00472B5B" w:rsidRPr="00206C4C" w:rsidRDefault="00472B5B" w:rsidP="00E9324B">
            <w:pPr>
              <w:ind w:firstLine="0"/>
              <w:jc w:val="center"/>
              <w:rPr>
                <w:b/>
              </w:rPr>
            </w:pPr>
            <w:r w:rsidRPr="00206C4C">
              <w:rPr>
                <w:b/>
              </w:rPr>
              <w:t>Код отчета</w:t>
            </w:r>
          </w:p>
        </w:tc>
        <w:tc>
          <w:tcPr>
            <w:tcW w:w="2835" w:type="dxa"/>
            <w:shd w:val="clear" w:color="auto" w:fill="D9D9D9" w:themeFill="background1" w:themeFillShade="D9"/>
            <w:vAlign w:val="center"/>
          </w:tcPr>
          <w:p w:rsidR="00472B5B" w:rsidRPr="00206C4C" w:rsidRDefault="00472B5B" w:rsidP="00E9324B">
            <w:pPr>
              <w:ind w:firstLine="0"/>
              <w:jc w:val="center"/>
              <w:rPr>
                <w:b/>
              </w:rPr>
            </w:pPr>
            <w:r w:rsidRPr="00206C4C">
              <w:rPr>
                <w:b/>
              </w:rPr>
              <w:t>Название таблицы БД</w:t>
            </w:r>
          </w:p>
        </w:tc>
      </w:tr>
      <w:tr w:rsidR="00472B5B" w:rsidRPr="00206C4C" w:rsidTr="00E9324B">
        <w:trPr>
          <w:cantSplit/>
        </w:trPr>
        <w:tc>
          <w:tcPr>
            <w:tcW w:w="4219" w:type="dxa"/>
            <w:vMerge w:val="restart"/>
            <w:vAlign w:val="center"/>
          </w:tcPr>
          <w:p w:rsidR="00472B5B" w:rsidRPr="00206C4C" w:rsidRDefault="00472B5B" w:rsidP="00E9324B">
            <w:pPr>
              <w:pStyle w:val="af0"/>
              <w:ind w:firstLine="34"/>
              <w:rPr>
                <w:sz w:val="24"/>
              </w:rPr>
            </w:pPr>
            <w:r w:rsidRPr="00206C4C">
              <w:rPr>
                <w:sz w:val="24"/>
              </w:rPr>
              <w:t>Информация по статистике государственных финансов Российской Федерации</w:t>
            </w:r>
          </w:p>
        </w:tc>
        <w:tc>
          <w:tcPr>
            <w:tcW w:w="2552" w:type="dxa"/>
            <w:vMerge w:val="restart"/>
            <w:vAlign w:val="center"/>
          </w:tcPr>
          <w:p w:rsidR="00472B5B" w:rsidRPr="00206C4C" w:rsidRDefault="00472B5B" w:rsidP="00E9324B">
            <w:pPr>
              <w:ind w:firstLine="0"/>
              <w:jc w:val="left"/>
              <w:rPr>
                <w:snapToGrid/>
                <w:color w:val="auto"/>
                <w:szCs w:val="24"/>
              </w:rPr>
            </w:pPr>
            <w:r w:rsidRPr="00206C4C">
              <w:t>PIAO_155_001_report</w:t>
            </w:r>
          </w:p>
        </w:tc>
        <w:tc>
          <w:tcPr>
            <w:tcW w:w="2835" w:type="dxa"/>
            <w:vAlign w:val="center"/>
          </w:tcPr>
          <w:p w:rsidR="00472B5B" w:rsidRPr="00206C4C" w:rsidRDefault="00472B5B" w:rsidP="00E9324B">
            <w:pPr>
              <w:ind w:firstLine="0"/>
              <w:rPr>
                <w:snapToGrid/>
                <w:color w:val="auto"/>
                <w:szCs w:val="24"/>
              </w:rPr>
            </w:pPr>
            <w:r w:rsidRPr="006F631D">
              <w:rPr>
                <w:snapToGrid/>
                <w:color w:val="auto"/>
                <w:szCs w:val="24"/>
              </w:rPr>
              <w:t>D_SGF_BALANCEMRK</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rPr>
                <w:snapToGrid/>
                <w:color w:val="auto"/>
                <w:szCs w:val="24"/>
              </w:rPr>
            </w:pPr>
            <w:r w:rsidRPr="006F631D">
              <w:rPr>
                <w:snapToGrid/>
                <w:color w:val="auto"/>
                <w:szCs w:val="24"/>
              </w:rPr>
              <w:t>D_SGF_IMRK</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D_SGF_MRK</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D_SGF_OMRK</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D_SGF_SECTOR</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F_SGF_BALANCE</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F_SGF_GDP</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F_SGF_I</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F_SGF_INVEST</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F_SGF_ISSVR</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F_SGF_O</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F_SGF_O</w:t>
            </w:r>
          </w:p>
        </w:tc>
      </w:tr>
      <w:tr w:rsidR="00472B5B" w:rsidRPr="00206C4C" w:rsidTr="00E9324B">
        <w:trPr>
          <w:cantSplit/>
        </w:trPr>
        <w:tc>
          <w:tcPr>
            <w:tcW w:w="4219" w:type="dxa"/>
            <w:vMerge/>
            <w:vAlign w:val="center"/>
          </w:tcPr>
          <w:p w:rsidR="00472B5B" w:rsidRPr="00206C4C" w:rsidRDefault="00472B5B" w:rsidP="00E9324B">
            <w:pPr>
              <w:pStyle w:val="af0"/>
              <w:ind w:firstLine="34"/>
              <w:rPr>
                <w:sz w:val="24"/>
              </w:rPr>
            </w:pPr>
          </w:p>
        </w:tc>
        <w:tc>
          <w:tcPr>
            <w:tcW w:w="2552" w:type="dxa"/>
            <w:vMerge/>
            <w:vAlign w:val="center"/>
          </w:tcPr>
          <w:p w:rsidR="00472B5B" w:rsidRPr="00206C4C" w:rsidRDefault="00472B5B" w:rsidP="00E9324B">
            <w:pPr>
              <w:jc w:val="left"/>
              <w:rPr>
                <w:snapToGrid/>
                <w:color w:val="auto"/>
                <w:szCs w:val="24"/>
              </w:rPr>
            </w:pPr>
          </w:p>
        </w:tc>
        <w:tc>
          <w:tcPr>
            <w:tcW w:w="2835" w:type="dxa"/>
            <w:vAlign w:val="center"/>
          </w:tcPr>
          <w:p w:rsidR="00472B5B" w:rsidRPr="006F631D" w:rsidRDefault="00472B5B" w:rsidP="00E9324B">
            <w:pPr>
              <w:ind w:firstLine="0"/>
              <w:rPr>
                <w:snapToGrid/>
                <w:color w:val="auto"/>
                <w:szCs w:val="24"/>
              </w:rPr>
            </w:pPr>
            <w:r w:rsidRPr="006F631D">
              <w:rPr>
                <w:snapToGrid/>
                <w:color w:val="auto"/>
                <w:szCs w:val="24"/>
              </w:rPr>
              <w:t>F_SGF_O</w:t>
            </w:r>
          </w:p>
        </w:tc>
      </w:tr>
      <w:tr w:rsidR="00472B5B" w:rsidRPr="00206C4C" w:rsidTr="00E9324B">
        <w:trPr>
          <w:cantSplit/>
        </w:trPr>
        <w:tc>
          <w:tcPr>
            <w:tcW w:w="4219" w:type="dxa"/>
            <w:vMerge w:val="restart"/>
            <w:vAlign w:val="center"/>
          </w:tcPr>
          <w:p w:rsidR="00472B5B" w:rsidRPr="00D3000C" w:rsidRDefault="00472B5B" w:rsidP="00E9324B">
            <w:pPr>
              <w:ind w:firstLine="0"/>
              <w:rPr>
                <w:color w:val="000000" w:themeColor="text1"/>
              </w:rPr>
            </w:pPr>
            <w:r w:rsidRPr="00D3000C">
              <w:rPr>
                <w:color w:val="000000" w:themeColor="text1"/>
              </w:rPr>
              <w:t>Институциональные единицы и сектора</w:t>
            </w:r>
          </w:p>
        </w:tc>
        <w:tc>
          <w:tcPr>
            <w:tcW w:w="2552" w:type="dxa"/>
            <w:vMerge w:val="restart"/>
            <w:vAlign w:val="center"/>
          </w:tcPr>
          <w:p w:rsidR="00472B5B" w:rsidRPr="00206C4C" w:rsidRDefault="00472B5B" w:rsidP="00E9324B">
            <w:pPr>
              <w:ind w:firstLine="0"/>
              <w:jc w:val="left"/>
              <w:rPr>
                <w:snapToGrid/>
                <w:color w:val="auto"/>
                <w:szCs w:val="24"/>
              </w:rPr>
            </w:pPr>
            <w:r w:rsidRPr="00206C4C">
              <w:rPr>
                <w:snapToGrid/>
                <w:color w:val="auto"/>
                <w:szCs w:val="24"/>
              </w:rPr>
              <w:t>PIAO_101_010_mainReport</w:t>
            </w:r>
          </w:p>
        </w:tc>
        <w:tc>
          <w:tcPr>
            <w:tcW w:w="2835" w:type="dxa"/>
            <w:vAlign w:val="center"/>
          </w:tcPr>
          <w:p w:rsidR="00472B5B" w:rsidRPr="00206C4C" w:rsidRDefault="00472B5B" w:rsidP="00E9324B">
            <w:pPr>
              <w:ind w:firstLine="0"/>
            </w:pPr>
            <w:r w:rsidRPr="00206C4C">
              <w:t>D_BS_RF</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D_EB_BUDSISTRF</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D_EB_AUTHORG</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D_EB_SERVISORFK</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FX_EB_ORGSTATUS</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D_EB_PPOTERR</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FX_EB_BUDLEVELNSI</w:t>
            </w:r>
          </w:p>
        </w:tc>
      </w:tr>
      <w:tr w:rsidR="00472B5B" w:rsidRPr="00206C4C" w:rsidTr="00E9324B">
        <w:trPr>
          <w:cantSplit/>
        </w:trPr>
        <w:tc>
          <w:tcPr>
            <w:tcW w:w="4219" w:type="dxa"/>
            <w:vMerge w:val="restart"/>
            <w:vAlign w:val="center"/>
          </w:tcPr>
          <w:p w:rsidR="00472B5B" w:rsidRPr="00D3000C" w:rsidRDefault="00472B5B" w:rsidP="00E9324B">
            <w:pPr>
              <w:ind w:firstLine="0"/>
              <w:rPr>
                <w:color w:val="000000" w:themeColor="text1"/>
              </w:rPr>
            </w:pPr>
            <w:r w:rsidRPr="00D3000C">
              <w:rPr>
                <w:color w:val="000000" w:themeColor="text1"/>
              </w:rPr>
              <w:t>Организации институциональных единиц и секторов</w:t>
            </w:r>
          </w:p>
        </w:tc>
        <w:tc>
          <w:tcPr>
            <w:tcW w:w="2552" w:type="dxa"/>
            <w:vMerge w:val="restart"/>
            <w:vAlign w:val="center"/>
          </w:tcPr>
          <w:p w:rsidR="00472B5B" w:rsidRPr="00206C4C" w:rsidRDefault="00472B5B" w:rsidP="00E9324B">
            <w:pPr>
              <w:ind w:firstLine="0"/>
              <w:jc w:val="left"/>
              <w:rPr>
                <w:snapToGrid/>
                <w:color w:val="auto"/>
                <w:szCs w:val="24"/>
              </w:rPr>
            </w:pPr>
            <w:r w:rsidRPr="00206C4C">
              <w:rPr>
                <w:snapToGrid/>
                <w:color w:val="auto"/>
                <w:szCs w:val="24"/>
              </w:rPr>
              <w:t>PIAO_101_010_detailReport</w:t>
            </w:r>
          </w:p>
        </w:tc>
        <w:tc>
          <w:tcPr>
            <w:tcW w:w="2835" w:type="dxa"/>
            <w:vAlign w:val="center"/>
          </w:tcPr>
          <w:p w:rsidR="00472B5B" w:rsidRPr="00206C4C" w:rsidRDefault="00472B5B" w:rsidP="00E9324B">
            <w:pPr>
              <w:ind w:firstLine="0"/>
            </w:pPr>
            <w:r w:rsidRPr="00206C4C">
              <w:t>D_BS_RF</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D_EB_BUDSISTRF</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D_EB_AUTHORG</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D_EB_SERVISORFK</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FX_EB_ORGSTATUS</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D_EB_PPOTERR</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FX_EB_BUDLEVELNSI</w:t>
            </w:r>
          </w:p>
        </w:tc>
      </w:tr>
      <w:tr w:rsidR="00472B5B" w:rsidRPr="00206C4C" w:rsidTr="00E9324B">
        <w:trPr>
          <w:cantSplit/>
        </w:trPr>
        <w:tc>
          <w:tcPr>
            <w:tcW w:w="4219" w:type="dxa"/>
            <w:vMerge w:val="restart"/>
            <w:vAlign w:val="center"/>
          </w:tcPr>
          <w:p w:rsidR="00472B5B" w:rsidRPr="00D3000C" w:rsidRDefault="00472B5B" w:rsidP="00E9324B">
            <w:pPr>
              <w:ind w:firstLine="0"/>
              <w:rPr>
                <w:color w:val="000000" w:themeColor="text1"/>
              </w:rPr>
            </w:pPr>
            <w:r w:rsidRPr="00D3000C">
              <w:rPr>
                <w:color w:val="000000" w:themeColor="text1"/>
              </w:rPr>
              <w:t>Подведомственные организации</w:t>
            </w:r>
          </w:p>
        </w:tc>
        <w:tc>
          <w:tcPr>
            <w:tcW w:w="2552" w:type="dxa"/>
            <w:vMerge w:val="restart"/>
            <w:vAlign w:val="center"/>
          </w:tcPr>
          <w:p w:rsidR="00472B5B" w:rsidRPr="00206C4C" w:rsidRDefault="00472B5B" w:rsidP="00E9324B">
            <w:pPr>
              <w:ind w:firstLine="0"/>
              <w:jc w:val="left"/>
              <w:rPr>
                <w:snapToGrid/>
                <w:color w:val="auto"/>
                <w:szCs w:val="24"/>
              </w:rPr>
            </w:pPr>
            <w:r w:rsidRPr="00206C4C">
              <w:rPr>
                <w:snapToGrid/>
                <w:color w:val="auto"/>
                <w:szCs w:val="24"/>
              </w:rPr>
              <w:t>PIAO_101_021_relOrgReport</w:t>
            </w:r>
          </w:p>
        </w:tc>
        <w:tc>
          <w:tcPr>
            <w:tcW w:w="2835" w:type="dxa"/>
            <w:vAlign w:val="center"/>
          </w:tcPr>
          <w:p w:rsidR="00472B5B" w:rsidRPr="00206C4C" w:rsidRDefault="00472B5B" w:rsidP="00E9324B">
            <w:pPr>
              <w:ind w:firstLine="0"/>
            </w:pPr>
            <w:r w:rsidRPr="00206C4C">
              <w:t>D_BS_RF</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D_EB_AUTHORG</w:t>
            </w:r>
          </w:p>
        </w:tc>
      </w:tr>
      <w:tr w:rsidR="00472B5B" w:rsidRPr="00206C4C" w:rsidTr="00E9324B">
        <w:trPr>
          <w:cantSplit/>
        </w:trPr>
        <w:tc>
          <w:tcPr>
            <w:tcW w:w="4219" w:type="dxa"/>
            <w:vMerge/>
            <w:vAlign w:val="center"/>
          </w:tcPr>
          <w:p w:rsidR="00472B5B" w:rsidRPr="00D3000C" w:rsidRDefault="00472B5B" w:rsidP="00E9324B">
            <w:pPr>
              <w:ind w:firstLine="0"/>
              <w:rPr>
                <w:color w:val="000000" w:themeColor="text1"/>
              </w:rPr>
            </w:pPr>
          </w:p>
        </w:tc>
        <w:tc>
          <w:tcPr>
            <w:tcW w:w="2552" w:type="dxa"/>
            <w:vMerge/>
            <w:vAlign w:val="center"/>
          </w:tcPr>
          <w:p w:rsidR="00472B5B" w:rsidRPr="00206C4C" w:rsidRDefault="00472B5B" w:rsidP="00E9324B">
            <w:pPr>
              <w:ind w:firstLine="0"/>
              <w:jc w:val="left"/>
              <w:rPr>
                <w:snapToGrid/>
                <w:color w:val="auto"/>
                <w:szCs w:val="24"/>
              </w:rPr>
            </w:pPr>
          </w:p>
        </w:tc>
        <w:tc>
          <w:tcPr>
            <w:tcW w:w="2835" w:type="dxa"/>
            <w:vAlign w:val="center"/>
          </w:tcPr>
          <w:p w:rsidR="00472B5B" w:rsidRPr="00206C4C" w:rsidRDefault="00472B5B" w:rsidP="00E9324B">
            <w:pPr>
              <w:ind w:firstLine="0"/>
            </w:pPr>
            <w:r w:rsidRPr="00206C4C">
              <w:t>D_EB_SERVISORFK</w:t>
            </w:r>
          </w:p>
        </w:tc>
      </w:tr>
      <w:tr w:rsidR="00472B5B" w:rsidRPr="00206C4C" w:rsidTr="00E9324B">
        <w:trPr>
          <w:cantSplit/>
        </w:trPr>
        <w:tc>
          <w:tcPr>
            <w:tcW w:w="4219" w:type="dxa"/>
            <w:vMerge w:val="restart"/>
            <w:vAlign w:val="center"/>
          </w:tcPr>
          <w:p w:rsidR="00472B5B" w:rsidRPr="00D3000C" w:rsidRDefault="00472B5B" w:rsidP="00E9324B">
            <w:pPr>
              <w:ind w:firstLine="0"/>
              <w:rPr>
                <w:color w:val="000000" w:themeColor="text1"/>
              </w:rPr>
            </w:pPr>
            <w:r>
              <w:rPr>
                <w:color w:val="000000" w:themeColor="text1"/>
              </w:rPr>
              <w:t>Сектор государственных нефинансовых корпораций</w:t>
            </w:r>
          </w:p>
        </w:tc>
        <w:tc>
          <w:tcPr>
            <w:tcW w:w="2552" w:type="dxa"/>
            <w:vMerge w:val="restart"/>
            <w:vAlign w:val="center"/>
          </w:tcPr>
          <w:p w:rsidR="00472B5B" w:rsidRPr="00206C4C" w:rsidRDefault="00472B5B" w:rsidP="00E9324B">
            <w:pPr>
              <w:ind w:firstLine="0"/>
              <w:jc w:val="left"/>
              <w:rPr>
                <w:snapToGrid/>
                <w:color w:val="auto"/>
                <w:szCs w:val="24"/>
              </w:rPr>
            </w:pPr>
            <w:r>
              <w:t>PIAO_155_005_report</w:t>
            </w:r>
          </w:p>
        </w:tc>
        <w:tc>
          <w:tcPr>
            <w:tcW w:w="2835" w:type="dxa"/>
            <w:vAlign w:val="center"/>
          </w:tcPr>
          <w:p w:rsidR="00472B5B" w:rsidRPr="00206C4C" w:rsidRDefault="00472B5B" w:rsidP="00E9324B">
            <w:pPr>
              <w:ind w:firstLine="0"/>
            </w:pPr>
            <w:r w:rsidRPr="00282994">
              <w:t>D_FNS_TRANSTABLE</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D_FNS_NALOGPLAT</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D_FNS_OKFS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D_FNS_OKOPF</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D_FNS_OKVED</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F_FNS_TRANSTABLE</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82994" w:rsidRDefault="00472B5B" w:rsidP="00E9324B">
            <w:pPr>
              <w:ind w:firstLine="0"/>
            </w:pPr>
            <w:r w:rsidRPr="00282994">
              <w:t>F_FNS_POYASZAP</w:t>
            </w:r>
          </w:p>
        </w:tc>
      </w:tr>
      <w:tr w:rsidR="00472B5B" w:rsidRPr="00206C4C" w:rsidTr="00E9324B">
        <w:trPr>
          <w:cantSplit/>
        </w:trPr>
        <w:tc>
          <w:tcPr>
            <w:tcW w:w="4219" w:type="dxa"/>
            <w:vMerge w:val="restart"/>
            <w:vAlign w:val="center"/>
          </w:tcPr>
          <w:p w:rsidR="00472B5B" w:rsidRDefault="00472B5B" w:rsidP="00E9324B">
            <w:pPr>
              <w:ind w:firstLine="0"/>
              <w:rPr>
                <w:color w:val="000000" w:themeColor="text1"/>
              </w:rPr>
            </w:pPr>
            <w:r>
              <w:rPr>
                <w:color w:val="000000" w:themeColor="text1"/>
              </w:rPr>
              <w:t>Бухгалтерский баланс</w:t>
            </w:r>
          </w:p>
        </w:tc>
        <w:tc>
          <w:tcPr>
            <w:tcW w:w="2552" w:type="dxa"/>
            <w:vMerge w:val="restart"/>
            <w:vAlign w:val="center"/>
          </w:tcPr>
          <w:p w:rsidR="00472B5B" w:rsidRDefault="00472B5B" w:rsidP="00E9324B">
            <w:pPr>
              <w:ind w:firstLine="0"/>
              <w:jc w:val="left"/>
            </w:pPr>
            <w:r>
              <w:t>PIAO_155_002_report</w:t>
            </w:r>
          </w:p>
        </w:tc>
        <w:tc>
          <w:tcPr>
            <w:tcW w:w="2835" w:type="dxa"/>
            <w:vAlign w:val="center"/>
          </w:tcPr>
          <w:p w:rsidR="00472B5B" w:rsidRPr="00206C4C" w:rsidRDefault="00472B5B" w:rsidP="00E9324B">
            <w:pPr>
              <w:ind w:firstLine="0"/>
            </w:pPr>
            <w:r w:rsidRPr="007F0452">
              <w:t>D_FNS_BALANCEITEM</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D_FNS_NALOGPLAT</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D_FNS_OKFS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w:t>
            </w:r>
            <w:r>
              <w:t>спс</w:t>
            </w:r>
            <w:r w:rsidRPr="007F0452">
              <w:t>S_OKOPF</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D_FNS_OKVED</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F_FNS_BALANCE</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F0452" w:rsidRDefault="00472B5B" w:rsidP="00E9324B">
            <w:pPr>
              <w:ind w:firstLine="0"/>
            </w:pPr>
            <w:r w:rsidRPr="007F0452">
              <w:t>F_FNS_POYASZAP</w:t>
            </w:r>
          </w:p>
        </w:tc>
      </w:tr>
      <w:tr w:rsidR="00472B5B" w:rsidRPr="00206C4C" w:rsidTr="00E9324B">
        <w:trPr>
          <w:cantSplit/>
        </w:trPr>
        <w:tc>
          <w:tcPr>
            <w:tcW w:w="4219" w:type="dxa"/>
            <w:vMerge w:val="restart"/>
            <w:vAlign w:val="center"/>
          </w:tcPr>
          <w:p w:rsidR="00472B5B" w:rsidRDefault="00472B5B" w:rsidP="00E9324B">
            <w:pPr>
              <w:ind w:firstLine="0"/>
              <w:rPr>
                <w:color w:val="000000" w:themeColor="text1"/>
              </w:rPr>
            </w:pPr>
            <w:r>
              <w:rPr>
                <w:color w:val="000000" w:themeColor="text1"/>
              </w:rPr>
              <w:t>Отчет о финансовых результатах</w:t>
            </w:r>
          </w:p>
        </w:tc>
        <w:tc>
          <w:tcPr>
            <w:tcW w:w="2552" w:type="dxa"/>
            <w:vMerge w:val="restart"/>
            <w:vAlign w:val="center"/>
          </w:tcPr>
          <w:p w:rsidR="00472B5B" w:rsidRDefault="00472B5B" w:rsidP="00E9324B">
            <w:pPr>
              <w:ind w:firstLine="0"/>
              <w:jc w:val="left"/>
            </w:pPr>
            <w:r>
              <w:t>PIAO_155_003_report</w:t>
            </w:r>
          </w:p>
        </w:tc>
        <w:tc>
          <w:tcPr>
            <w:tcW w:w="2835" w:type="dxa"/>
            <w:vAlign w:val="center"/>
          </w:tcPr>
          <w:p w:rsidR="00472B5B" w:rsidRPr="00206C4C" w:rsidRDefault="00472B5B" w:rsidP="00E9324B">
            <w:pPr>
              <w:ind w:firstLine="0"/>
            </w:pPr>
            <w:r w:rsidRPr="007F0452">
              <w:t>D_FNS_MRKFINRES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D_FNS_NALOGPLAT</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D_FNS_OKFS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D_FNS_OKOPF</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D_FNS_OKVED</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F_FNS_FINRES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F0452">
              <w:t>F_FNS_POYASZAP</w:t>
            </w:r>
          </w:p>
        </w:tc>
      </w:tr>
      <w:tr w:rsidR="00472B5B" w:rsidRPr="00991B9F" w:rsidTr="00E9324B">
        <w:trPr>
          <w:cantSplit/>
        </w:trPr>
        <w:tc>
          <w:tcPr>
            <w:tcW w:w="4219" w:type="dxa"/>
            <w:vMerge w:val="restart"/>
            <w:vAlign w:val="center"/>
          </w:tcPr>
          <w:p w:rsidR="00472B5B" w:rsidRDefault="00472B5B" w:rsidP="00E9324B">
            <w:pPr>
              <w:ind w:firstLine="0"/>
              <w:rPr>
                <w:color w:val="000000" w:themeColor="text1"/>
              </w:rPr>
            </w:pPr>
            <w:r>
              <w:rPr>
                <w:color w:val="000000" w:themeColor="text1"/>
              </w:rPr>
              <w:t>Отчет о целевом использовании средств</w:t>
            </w:r>
          </w:p>
        </w:tc>
        <w:tc>
          <w:tcPr>
            <w:tcW w:w="2552" w:type="dxa"/>
            <w:vMerge w:val="restart"/>
            <w:vAlign w:val="center"/>
          </w:tcPr>
          <w:p w:rsidR="00472B5B" w:rsidRDefault="00472B5B" w:rsidP="00E9324B">
            <w:pPr>
              <w:ind w:firstLine="0"/>
              <w:jc w:val="left"/>
            </w:pPr>
            <w:r>
              <w:t>PIAO_155_004_report</w:t>
            </w:r>
          </w:p>
        </w:tc>
        <w:tc>
          <w:tcPr>
            <w:tcW w:w="2835" w:type="dxa"/>
            <w:vAlign w:val="center"/>
          </w:tcPr>
          <w:p w:rsidR="00472B5B" w:rsidRPr="00A57DE0" w:rsidRDefault="00472B5B" w:rsidP="00E9324B">
            <w:pPr>
              <w:ind w:firstLine="0"/>
              <w:rPr>
                <w:lang w:val="en-US"/>
              </w:rPr>
            </w:pPr>
            <w:r w:rsidRPr="00A57DE0">
              <w:rPr>
                <w:lang w:val="en-US"/>
              </w:rPr>
              <w:t>D_FNS_MRK_MEJBUDG_TSEL</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rPr>
                <w:lang w:val="en-US"/>
              </w:rPr>
            </w:pPr>
            <w:r w:rsidRPr="00A57DE0">
              <w:rPr>
                <w:lang w:val="en-US"/>
              </w:rPr>
              <w:t>D_FNS_NALOGPLAT</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rPr>
                <w:lang w:val="en-US"/>
              </w:rPr>
            </w:pPr>
            <w:r w:rsidRPr="00A57DE0">
              <w:rPr>
                <w:lang w:val="en-US"/>
              </w:rPr>
              <w:t>D_FNS_OKFS</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rPr>
                <w:lang w:val="en-US"/>
              </w:rPr>
            </w:pPr>
            <w:r w:rsidRPr="00A57DE0">
              <w:rPr>
                <w:lang w:val="en-US"/>
              </w:rPr>
              <w:t>D_FNS_OKOPF</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rPr>
                <w:lang w:val="en-US"/>
              </w:rPr>
            </w:pPr>
            <w:r w:rsidRPr="00A57DE0">
              <w:rPr>
                <w:lang w:val="en-US"/>
              </w:rPr>
              <w:t>D_FNS_OKVED</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rPr>
                <w:lang w:val="en-US"/>
              </w:rPr>
            </w:pPr>
            <w:r w:rsidRPr="00A57DE0">
              <w:rPr>
                <w:lang w:val="en-US"/>
              </w:rPr>
              <w:t>F_FNS_MEJBUDG_TSEL</w:t>
            </w:r>
          </w:p>
        </w:tc>
      </w:tr>
      <w:tr w:rsidR="00472B5B" w:rsidRPr="00A57DE0" w:rsidTr="00E9324B">
        <w:trPr>
          <w:cantSplit/>
        </w:trPr>
        <w:tc>
          <w:tcPr>
            <w:tcW w:w="4219" w:type="dxa"/>
            <w:vMerge/>
            <w:vAlign w:val="center"/>
          </w:tcPr>
          <w:p w:rsidR="00472B5B" w:rsidRPr="00A57DE0" w:rsidRDefault="00472B5B" w:rsidP="00E9324B">
            <w:pPr>
              <w:rPr>
                <w:color w:val="000000" w:themeColor="text1"/>
                <w:lang w:val="en-US"/>
              </w:rPr>
            </w:pPr>
          </w:p>
        </w:tc>
        <w:tc>
          <w:tcPr>
            <w:tcW w:w="2552" w:type="dxa"/>
            <w:vMerge/>
            <w:vAlign w:val="center"/>
          </w:tcPr>
          <w:p w:rsidR="00472B5B" w:rsidRPr="00A57DE0" w:rsidRDefault="00472B5B" w:rsidP="00E9324B">
            <w:pPr>
              <w:jc w:val="left"/>
              <w:rPr>
                <w:lang w:val="en-US"/>
              </w:rPr>
            </w:pPr>
          </w:p>
        </w:tc>
        <w:tc>
          <w:tcPr>
            <w:tcW w:w="2835" w:type="dxa"/>
            <w:vAlign w:val="center"/>
          </w:tcPr>
          <w:p w:rsidR="00472B5B" w:rsidRPr="00A57DE0" w:rsidRDefault="00472B5B" w:rsidP="00E9324B">
            <w:pPr>
              <w:ind w:firstLine="0"/>
            </w:pPr>
            <w:r w:rsidRPr="00A57DE0">
              <w:t>F_FNS_POYASZAP</w:t>
            </w:r>
          </w:p>
        </w:tc>
      </w:tr>
      <w:tr w:rsidR="00472B5B" w:rsidRPr="00206C4C" w:rsidTr="00E9324B">
        <w:trPr>
          <w:cantSplit/>
        </w:trPr>
        <w:tc>
          <w:tcPr>
            <w:tcW w:w="4219" w:type="dxa"/>
            <w:vMerge w:val="restart"/>
            <w:vAlign w:val="center"/>
          </w:tcPr>
          <w:p w:rsidR="00472B5B" w:rsidRDefault="00472B5B" w:rsidP="00E9324B">
            <w:pPr>
              <w:ind w:firstLine="0"/>
              <w:rPr>
                <w:color w:val="000000" w:themeColor="text1"/>
              </w:rPr>
            </w:pPr>
            <w:r>
              <w:rPr>
                <w:color w:val="000000" w:themeColor="text1"/>
              </w:rPr>
              <w:t>Отчет об изменении капитала</w:t>
            </w:r>
          </w:p>
        </w:tc>
        <w:tc>
          <w:tcPr>
            <w:tcW w:w="2552" w:type="dxa"/>
            <w:vMerge w:val="restart"/>
            <w:vAlign w:val="center"/>
          </w:tcPr>
          <w:p w:rsidR="00472B5B" w:rsidRDefault="00472B5B" w:rsidP="00E9324B">
            <w:pPr>
              <w:ind w:firstLine="0"/>
              <w:jc w:val="left"/>
            </w:pPr>
            <w:r>
              <w:t>PIAO_155_006_report</w:t>
            </w:r>
          </w:p>
        </w:tc>
        <w:tc>
          <w:tcPr>
            <w:tcW w:w="2835" w:type="dxa"/>
            <w:vAlign w:val="center"/>
          </w:tcPr>
          <w:p w:rsidR="00472B5B" w:rsidRPr="00206C4C" w:rsidRDefault="00472B5B" w:rsidP="00E9324B">
            <w:pPr>
              <w:ind w:firstLine="0"/>
            </w:pPr>
            <w:r w:rsidRPr="00DF1D06">
              <w:t>D_FNS_MRKIZMCAP</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D_FNS_NALOGPLAT</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D_FNS_OKFS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D_FNS_OKOPF</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D_FNS_OKVED</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F_FNS_IZMCAP</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DF1D06">
              <w:t>F_FNS_POYASZAP</w:t>
            </w:r>
          </w:p>
        </w:tc>
      </w:tr>
      <w:tr w:rsidR="00472B5B" w:rsidRPr="00206C4C" w:rsidTr="00E9324B">
        <w:trPr>
          <w:cantSplit/>
        </w:trPr>
        <w:tc>
          <w:tcPr>
            <w:tcW w:w="4219" w:type="dxa"/>
            <w:vMerge w:val="restart"/>
            <w:vAlign w:val="center"/>
          </w:tcPr>
          <w:p w:rsidR="00472B5B" w:rsidRDefault="00472B5B" w:rsidP="00E9324B">
            <w:pPr>
              <w:ind w:firstLine="0"/>
              <w:rPr>
                <w:color w:val="000000" w:themeColor="text1"/>
              </w:rPr>
            </w:pPr>
            <w:r>
              <w:rPr>
                <w:color w:val="000000" w:themeColor="text1"/>
              </w:rPr>
              <w:t>Отчет о движении денежных средств</w:t>
            </w:r>
          </w:p>
        </w:tc>
        <w:tc>
          <w:tcPr>
            <w:tcW w:w="2552" w:type="dxa"/>
            <w:vMerge w:val="restart"/>
            <w:vAlign w:val="center"/>
          </w:tcPr>
          <w:p w:rsidR="00472B5B" w:rsidRDefault="00472B5B" w:rsidP="00E9324B">
            <w:pPr>
              <w:ind w:firstLine="0"/>
              <w:jc w:val="left"/>
            </w:pPr>
            <w:r>
              <w:t>PIAO_155_007_report</w:t>
            </w:r>
          </w:p>
        </w:tc>
        <w:tc>
          <w:tcPr>
            <w:tcW w:w="2835" w:type="dxa"/>
            <w:vAlign w:val="center"/>
          </w:tcPr>
          <w:p w:rsidR="00472B5B" w:rsidRPr="00206C4C" w:rsidRDefault="00472B5B" w:rsidP="00E9324B">
            <w:pPr>
              <w:ind w:firstLine="0"/>
            </w:pPr>
            <w:r w:rsidRPr="00771F5A">
              <w:t>D_FNS_MRKCASH</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206C4C" w:rsidRDefault="00472B5B" w:rsidP="00E9324B">
            <w:pPr>
              <w:ind w:firstLine="0"/>
            </w:pPr>
            <w:r w:rsidRPr="00771F5A">
              <w:t>D_FNS_NALOGPLAT</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71F5A" w:rsidRDefault="00472B5B" w:rsidP="00E9324B">
            <w:pPr>
              <w:ind w:firstLine="0"/>
            </w:pPr>
            <w:r w:rsidRPr="00771F5A">
              <w:t>D_FNS_OKFS</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71F5A" w:rsidRDefault="00472B5B" w:rsidP="00E9324B">
            <w:pPr>
              <w:ind w:firstLine="0"/>
            </w:pPr>
            <w:r w:rsidRPr="00771F5A">
              <w:t>D_FNS_OKOPF</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71F5A" w:rsidRDefault="00472B5B" w:rsidP="00E9324B">
            <w:pPr>
              <w:ind w:firstLine="0"/>
            </w:pPr>
            <w:r w:rsidRPr="00771F5A">
              <w:t>D_FNS_OKVED</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71F5A" w:rsidRDefault="00472B5B" w:rsidP="00E9324B">
            <w:pPr>
              <w:ind w:firstLine="0"/>
            </w:pPr>
            <w:r w:rsidRPr="00771F5A">
              <w:t>F_FNS_CASHFLOW</w:t>
            </w:r>
          </w:p>
        </w:tc>
      </w:tr>
      <w:tr w:rsidR="00472B5B" w:rsidRPr="00206C4C" w:rsidTr="00E9324B">
        <w:trPr>
          <w:cantSplit/>
        </w:trPr>
        <w:tc>
          <w:tcPr>
            <w:tcW w:w="4219" w:type="dxa"/>
            <w:vMerge/>
            <w:vAlign w:val="center"/>
          </w:tcPr>
          <w:p w:rsidR="00472B5B" w:rsidRDefault="00472B5B" w:rsidP="00E9324B">
            <w:pPr>
              <w:rPr>
                <w:color w:val="000000" w:themeColor="text1"/>
              </w:rPr>
            </w:pPr>
          </w:p>
        </w:tc>
        <w:tc>
          <w:tcPr>
            <w:tcW w:w="2552" w:type="dxa"/>
            <w:vMerge/>
            <w:vAlign w:val="center"/>
          </w:tcPr>
          <w:p w:rsidR="00472B5B" w:rsidRDefault="00472B5B" w:rsidP="00E9324B">
            <w:pPr>
              <w:jc w:val="left"/>
            </w:pPr>
          </w:p>
        </w:tc>
        <w:tc>
          <w:tcPr>
            <w:tcW w:w="2835" w:type="dxa"/>
            <w:vAlign w:val="center"/>
          </w:tcPr>
          <w:p w:rsidR="00472B5B" w:rsidRPr="00771F5A" w:rsidRDefault="00472B5B" w:rsidP="00E9324B">
            <w:pPr>
              <w:ind w:firstLine="0"/>
            </w:pPr>
            <w:r>
              <w:t>F_FNS_POYASZAP</w:t>
            </w:r>
          </w:p>
        </w:tc>
      </w:tr>
      <w:tr w:rsidR="0096680A" w:rsidRPr="00206C4C" w:rsidTr="0096680A">
        <w:trPr>
          <w:cantSplit/>
          <w:trHeight w:val="20"/>
        </w:trPr>
        <w:tc>
          <w:tcPr>
            <w:tcW w:w="4219" w:type="dxa"/>
            <w:vMerge w:val="restart"/>
            <w:vAlign w:val="center"/>
          </w:tcPr>
          <w:p w:rsidR="0096680A" w:rsidRDefault="0096680A" w:rsidP="002751A4">
            <w:pPr>
              <w:ind w:firstLine="0"/>
              <w:rPr>
                <w:color w:val="000000" w:themeColor="text1"/>
              </w:rPr>
            </w:pPr>
            <w:r w:rsidRPr="002751A4">
              <w:rPr>
                <w:color w:val="000000" w:themeColor="text1"/>
              </w:rPr>
              <w:t>Отчетность организаций по данным ГИР БО</w:t>
            </w:r>
          </w:p>
        </w:tc>
        <w:tc>
          <w:tcPr>
            <w:tcW w:w="2552" w:type="dxa"/>
            <w:vMerge w:val="restart"/>
            <w:vAlign w:val="center"/>
          </w:tcPr>
          <w:p w:rsidR="0096680A" w:rsidRDefault="0096680A" w:rsidP="002751A4">
            <w:pPr>
              <w:ind w:firstLine="0"/>
              <w:jc w:val="left"/>
            </w:pPr>
            <w:r w:rsidRPr="002751A4">
              <w:t>PIAO_155_008_report</w:t>
            </w:r>
          </w:p>
        </w:tc>
        <w:tc>
          <w:tcPr>
            <w:tcW w:w="2835" w:type="dxa"/>
            <w:vAlign w:val="center"/>
          </w:tcPr>
          <w:p w:rsidR="0096680A" w:rsidRDefault="0096680A" w:rsidP="0096680A">
            <w:pPr>
              <w:ind w:firstLine="0"/>
            </w:pPr>
            <w:r w:rsidRPr="0096680A">
              <w:rPr>
                <w:lang w:val="en-US"/>
              </w:rPr>
              <w:t>D_FNS_BALANCEITEM</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D_FNS_DOCUMENT</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D_FNS_MRKCASH</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p>
          <w:p w:rsidR="0096680A" w:rsidRPr="0096680A" w:rsidRDefault="0096680A" w:rsidP="0096680A">
            <w:pPr>
              <w:ind w:firstLine="0"/>
              <w:rPr>
                <w:lang w:val="en-US"/>
              </w:rPr>
            </w:pPr>
            <w:r w:rsidRPr="0096680A">
              <w:rPr>
                <w:lang w:val="en-US"/>
              </w:rPr>
              <w:t>D_FNS_MRKFINRES</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D_FNS_MRKIZMCAP</w:t>
            </w:r>
          </w:p>
        </w:tc>
      </w:tr>
      <w:tr w:rsidR="0096680A" w:rsidRPr="00991B9F"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D_FNS_MRK_MEJBUDG_TSEL</w:t>
            </w:r>
          </w:p>
        </w:tc>
      </w:tr>
      <w:tr w:rsidR="0096680A" w:rsidRPr="0096680A" w:rsidTr="0096680A">
        <w:trPr>
          <w:cantSplit/>
          <w:trHeight w:val="20"/>
        </w:trPr>
        <w:tc>
          <w:tcPr>
            <w:tcW w:w="4219" w:type="dxa"/>
            <w:vMerge/>
            <w:vAlign w:val="center"/>
          </w:tcPr>
          <w:p w:rsidR="0096680A" w:rsidRPr="00D1142C" w:rsidRDefault="0096680A" w:rsidP="002751A4">
            <w:pPr>
              <w:rPr>
                <w:color w:val="000000" w:themeColor="text1"/>
                <w:lang w:val="en-US"/>
              </w:rPr>
            </w:pPr>
          </w:p>
        </w:tc>
        <w:tc>
          <w:tcPr>
            <w:tcW w:w="2552" w:type="dxa"/>
            <w:vMerge/>
            <w:vAlign w:val="center"/>
          </w:tcPr>
          <w:p w:rsidR="0096680A" w:rsidRPr="00D1142C" w:rsidRDefault="0096680A" w:rsidP="002751A4">
            <w:pPr>
              <w:jc w:val="left"/>
              <w:rPr>
                <w:lang w:val="en-US"/>
              </w:rPr>
            </w:pPr>
          </w:p>
        </w:tc>
        <w:tc>
          <w:tcPr>
            <w:tcW w:w="2835" w:type="dxa"/>
            <w:vAlign w:val="center"/>
          </w:tcPr>
          <w:p w:rsidR="0096680A" w:rsidRPr="0096680A" w:rsidRDefault="0096680A" w:rsidP="0096680A">
            <w:pPr>
              <w:ind w:firstLine="0"/>
              <w:rPr>
                <w:lang w:val="en-US"/>
              </w:rPr>
            </w:pPr>
            <w:r w:rsidRPr="0096680A">
              <w:rPr>
                <w:lang w:val="en-US"/>
              </w:rPr>
              <w:t>D_FNS_MRKREPORTPERIOD</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D_FNS_MRKSIGNED</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D_FNS_NALOGPLAT</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F_FNS_BALANCE</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F_FNS_CASHFLOW</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F_FNS_FINRES</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F_FNS_IZMCAP</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F_FNS_MEJBUDG_TSEL</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F_FNS_POYASZAP</w:t>
            </w:r>
          </w:p>
        </w:tc>
      </w:tr>
      <w:tr w:rsidR="0096680A" w:rsidRPr="00206C4C" w:rsidTr="0096680A">
        <w:trPr>
          <w:cantSplit/>
          <w:trHeight w:val="20"/>
        </w:trPr>
        <w:tc>
          <w:tcPr>
            <w:tcW w:w="4219" w:type="dxa"/>
            <w:vMerge w:val="restart"/>
            <w:vAlign w:val="center"/>
          </w:tcPr>
          <w:p w:rsidR="0096680A" w:rsidRPr="002751A4" w:rsidRDefault="0096680A" w:rsidP="002751A4">
            <w:pPr>
              <w:ind w:firstLine="0"/>
              <w:rPr>
                <w:color w:val="000000" w:themeColor="text1"/>
              </w:rPr>
            </w:pPr>
            <w:r w:rsidRPr="002751A4">
              <w:rPr>
                <w:color w:val="000000" w:themeColor="text1"/>
              </w:rPr>
              <w:t>Организации, предоставляющие отчетность в ГИР БО</w:t>
            </w:r>
          </w:p>
        </w:tc>
        <w:tc>
          <w:tcPr>
            <w:tcW w:w="2552" w:type="dxa"/>
            <w:vMerge w:val="restart"/>
            <w:vAlign w:val="center"/>
          </w:tcPr>
          <w:p w:rsidR="0096680A" w:rsidRPr="002751A4" w:rsidRDefault="0096680A" w:rsidP="002751A4">
            <w:pPr>
              <w:ind w:firstLine="0"/>
              <w:jc w:val="left"/>
            </w:pPr>
            <w:r w:rsidRPr="002751A4">
              <w:t>PIAO_155_009_report</w:t>
            </w:r>
          </w:p>
        </w:tc>
        <w:tc>
          <w:tcPr>
            <w:tcW w:w="2835" w:type="dxa"/>
            <w:vAlign w:val="center"/>
          </w:tcPr>
          <w:p w:rsidR="0096680A" w:rsidRDefault="0096680A" w:rsidP="0096680A">
            <w:pPr>
              <w:ind w:firstLine="0"/>
            </w:pPr>
            <w:r w:rsidRPr="0096680A">
              <w:rPr>
                <w:lang w:val="en-US"/>
              </w:rPr>
              <w:t>D_FNS_BALANCEITEM</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D_FNS_DOCUMENT</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D_FNS_MRKCASH</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D_FNS_MRKFINRES</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D_FNS_MRKIZMCAP</w:t>
            </w:r>
          </w:p>
        </w:tc>
      </w:tr>
      <w:tr w:rsidR="0096680A" w:rsidRPr="00991B9F"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D_FNS_MRK_MEJBUDG_TSEL</w:t>
            </w:r>
          </w:p>
        </w:tc>
      </w:tr>
      <w:tr w:rsidR="0096680A" w:rsidRPr="0096680A" w:rsidTr="0096680A">
        <w:trPr>
          <w:cantSplit/>
          <w:trHeight w:val="20"/>
        </w:trPr>
        <w:tc>
          <w:tcPr>
            <w:tcW w:w="4219" w:type="dxa"/>
            <w:vMerge/>
            <w:vAlign w:val="center"/>
          </w:tcPr>
          <w:p w:rsidR="0096680A" w:rsidRPr="00D1142C" w:rsidRDefault="0096680A" w:rsidP="002751A4">
            <w:pPr>
              <w:rPr>
                <w:color w:val="000000" w:themeColor="text1"/>
                <w:lang w:val="en-US"/>
              </w:rPr>
            </w:pPr>
          </w:p>
        </w:tc>
        <w:tc>
          <w:tcPr>
            <w:tcW w:w="2552" w:type="dxa"/>
            <w:vMerge/>
            <w:vAlign w:val="center"/>
          </w:tcPr>
          <w:p w:rsidR="0096680A" w:rsidRPr="00D1142C" w:rsidRDefault="0096680A" w:rsidP="002751A4">
            <w:pPr>
              <w:jc w:val="left"/>
              <w:rPr>
                <w:lang w:val="en-US"/>
              </w:rPr>
            </w:pPr>
          </w:p>
        </w:tc>
        <w:tc>
          <w:tcPr>
            <w:tcW w:w="2835" w:type="dxa"/>
            <w:vAlign w:val="center"/>
          </w:tcPr>
          <w:p w:rsidR="0096680A" w:rsidRPr="0096680A" w:rsidRDefault="0096680A" w:rsidP="0096680A">
            <w:pPr>
              <w:ind w:firstLine="0"/>
              <w:rPr>
                <w:lang w:val="en-US"/>
              </w:rPr>
            </w:pPr>
            <w:r w:rsidRPr="0096680A">
              <w:rPr>
                <w:lang w:val="en-US"/>
              </w:rPr>
              <w:t>D_FNS_MRKREPORTPERIOD</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D_FNS_MRKSIGNED</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D_FNS_NALOGPLAT</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F_FNS_BALANCE</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F_FNS_CASHFLOW</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F_FNS_FINRES</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F_FNS_IZMCAP</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F_FNS_MEJBUDG_TSEL</w:t>
            </w:r>
          </w:p>
        </w:tc>
      </w:tr>
      <w:tr w:rsidR="0096680A" w:rsidRPr="0096680A" w:rsidTr="0096680A">
        <w:trPr>
          <w:cantSplit/>
          <w:trHeight w:val="20"/>
        </w:trPr>
        <w:tc>
          <w:tcPr>
            <w:tcW w:w="4219" w:type="dxa"/>
            <w:vMerge/>
            <w:vAlign w:val="center"/>
          </w:tcPr>
          <w:p w:rsidR="0096680A" w:rsidRPr="002751A4" w:rsidRDefault="0096680A" w:rsidP="002751A4">
            <w:pPr>
              <w:rPr>
                <w:color w:val="000000" w:themeColor="text1"/>
              </w:rPr>
            </w:pPr>
          </w:p>
        </w:tc>
        <w:tc>
          <w:tcPr>
            <w:tcW w:w="2552" w:type="dxa"/>
            <w:vMerge/>
            <w:vAlign w:val="center"/>
          </w:tcPr>
          <w:p w:rsidR="0096680A" w:rsidRPr="002751A4" w:rsidRDefault="0096680A" w:rsidP="002751A4">
            <w:pPr>
              <w:jc w:val="left"/>
            </w:pPr>
          </w:p>
        </w:tc>
        <w:tc>
          <w:tcPr>
            <w:tcW w:w="2835" w:type="dxa"/>
            <w:vAlign w:val="center"/>
          </w:tcPr>
          <w:p w:rsidR="0096680A" w:rsidRPr="0096680A" w:rsidRDefault="0096680A" w:rsidP="0096680A">
            <w:pPr>
              <w:ind w:firstLine="0"/>
              <w:rPr>
                <w:lang w:val="en-US"/>
              </w:rPr>
            </w:pPr>
            <w:r w:rsidRPr="0096680A">
              <w:rPr>
                <w:lang w:val="en-US"/>
              </w:rPr>
              <w:t>F_FNS_POYASZAP</w:t>
            </w:r>
          </w:p>
        </w:tc>
      </w:tr>
    </w:tbl>
    <w:p w:rsidR="00472B5B" w:rsidRPr="00206C4C" w:rsidRDefault="00472B5B" w:rsidP="00862055">
      <w:pPr>
        <w:pStyle w:val="35"/>
        <w:numPr>
          <w:ilvl w:val="2"/>
          <w:numId w:val="135"/>
        </w:numPr>
      </w:pPr>
      <w:bookmarkStart w:id="1946" w:name="_Toc37845342"/>
      <w:bookmarkStart w:id="1947" w:name="_Toc69290153"/>
      <w:bookmarkStart w:id="1948" w:name="_Toc119585120"/>
      <w:r w:rsidRPr="00206C4C">
        <w:t>Отчет «Информация по статистике государственных финансов Российской Федерации»</w:t>
      </w:r>
      <w:bookmarkEnd w:id="1946"/>
      <w:bookmarkEnd w:id="1947"/>
      <w:r w:rsidR="00D1142C">
        <w:t xml:space="preserve"> (</w:t>
      </w:r>
      <w:r w:rsidR="00D1142C" w:rsidRPr="00D1142C">
        <w:t>PIAO_155_001_report</w:t>
      </w:r>
      <w:r w:rsidR="00D1142C">
        <w:t>)</w:t>
      </w:r>
      <w:bookmarkEnd w:id="1948"/>
    </w:p>
    <w:p w:rsidR="00472B5B" w:rsidRPr="00206C4C" w:rsidRDefault="00472B5B" w:rsidP="00472B5B">
      <w:pPr>
        <w:pStyle w:val="af0"/>
        <w:rPr>
          <w:rStyle w:val="af1"/>
        </w:rPr>
      </w:pPr>
      <w:r w:rsidRPr="00206C4C">
        <w:rPr>
          <w:rStyle w:val="af1"/>
        </w:rPr>
        <w:t>Для перехода к отчету «</w:t>
      </w:r>
      <w:r w:rsidRPr="00206C4C">
        <w:t>Информация по статистике государственных финансов Российской Федерации</w:t>
      </w:r>
      <w:r w:rsidRPr="00206C4C">
        <w:rPr>
          <w:rStyle w:val="af1"/>
        </w:rPr>
        <w:t>» необходимо перейти к витрине «С</w:t>
      </w:r>
      <w:r w:rsidRPr="00206C4C">
        <w:t>татистика государственных финансов</w:t>
      </w:r>
      <w:r w:rsidRPr="00206C4C">
        <w:rPr>
          <w:rStyle w:val="af1"/>
        </w:rPr>
        <w:t>» и кликнуть мышью по плашке «</w:t>
      </w:r>
      <w:r w:rsidRPr="00206C4C">
        <w:t>Информация по статистике государственных финансов Российской Федерации</w:t>
      </w:r>
      <w:r w:rsidRPr="00206C4C">
        <w:rPr>
          <w:rStyle w:val="af1"/>
        </w:rPr>
        <w:t>».</w:t>
      </w:r>
    </w:p>
    <w:p w:rsidR="00472B5B" w:rsidRPr="00206C4C" w:rsidRDefault="00472B5B" w:rsidP="00472B5B">
      <w:pPr>
        <w:pStyle w:val="af0"/>
        <w:rPr>
          <w:szCs w:val="28"/>
        </w:rPr>
      </w:pPr>
      <w:r w:rsidRPr="00206C4C">
        <w:rPr>
          <w:szCs w:val="28"/>
        </w:rPr>
        <w:t xml:space="preserve">Отчет </w:t>
      </w:r>
      <w:r w:rsidRPr="00206C4C">
        <w:rPr>
          <w:rStyle w:val="af1"/>
        </w:rPr>
        <w:t>«</w:t>
      </w:r>
      <w:r w:rsidRPr="00206C4C">
        <w:t>Информация по статистике государственных финансов Российской Федерации</w:t>
      </w:r>
      <w:r w:rsidRPr="00206C4C">
        <w:rPr>
          <w:rStyle w:val="af1"/>
        </w:rPr>
        <w:t xml:space="preserve">» </w:t>
      </w:r>
      <w:r w:rsidRPr="00206C4C">
        <w:rPr>
          <w:szCs w:val="28"/>
        </w:rPr>
        <w:t>обеспечивает возможность визуального анализа и мониторинга данных секторов и элементов, связей между секторами и элементами, входящими в эти сектора с возможностью применения фильтров, соответствующих показателям отчета, и выбора дат. В отчете реализована возможность переходов в детализирующие отчеты, позволяющие проводить более подробный анализ и/или сравнительную характеристику отдельных показателей между отдельными институциональными единицами, динамику их изменений.</w:t>
      </w:r>
    </w:p>
    <w:p w:rsidR="00472B5B" w:rsidRPr="00206C4C" w:rsidRDefault="00472B5B" w:rsidP="00862055">
      <w:pPr>
        <w:pStyle w:val="42"/>
        <w:numPr>
          <w:ilvl w:val="3"/>
          <w:numId w:val="135"/>
        </w:numPr>
      </w:pPr>
      <w:r w:rsidRPr="00206C4C">
        <w:t>Представление «Инфографика</w:t>
      </w:r>
      <w:r w:rsidR="00973D05">
        <w:t xml:space="preserve"> «Связи»</w:t>
      </w:r>
      <w:r w:rsidRPr="00206C4C">
        <w:t>» - «В абсолютном выражении»</w:t>
      </w:r>
    </w:p>
    <w:p w:rsidR="00472B5B" w:rsidRPr="00206C4C" w:rsidRDefault="00973D05" w:rsidP="00472B5B">
      <w:pPr>
        <w:pStyle w:val="af0"/>
        <w:rPr>
          <w:szCs w:val="28"/>
        </w:rPr>
      </w:pPr>
      <w:r>
        <w:rPr>
          <w:szCs w:val="28"/>
        </w:rPr>
        <w:t>Представление «Инфографика «С</w:t>
      </w:r>
      <w:r w:rsidR="00472B5B" w:rsidRPr="00206C4C">
        <w:rPr>
          <w:szCs w:val="28"/>
        </w:rPr>
        <w:t>вязи» - «В процентах к ВВП» обеспечивает возможность анализа данных и связей между элементами с возможностью применения фильтров, соответствующих показателям отчета в соотношении с номинальным процентом ВВП, и выбора дат (Рисунок</w:t>
      </w:r>
      <w:r w:rsidR="00D1142C">
        <w:rPr>
          <w:szCs w:val="28"/>
        </w:rPr>
        <w:t xml:space="preserve"> </w:t>
      </w:r>
      <w:r w:rsidR="00D1142C">
        <w:rPr>
          <w:szCs w:val="28"/>
        </w:rPr>
        <w:fldChar w:fldCharType="begin"/>
      </w:r>
      <w:r w:rsidR="00D1142C">
        <w:rPr>
          <w:szCs w:val="28"/>
        </w:rPr>
        <w:instrText xml:space="preserve"> REF _Ref70320167 \h </w:instrText>
      </w:r>
      <w:r w:rsidR="00D1142C">
        <w:rPr>
          <w:szCs w:val="28"/>
        </w:rPr>
      </w:r>
      <w:r w:rsidR="00D1142C">
        <w:rPr>
          <w:szCs w:val="28"/>
        </w:rPr>
        <w:fldChar w:fldCharType="separate"/>
      </w:r>
      <w:r w:rsidR="00BF0BEE">
        <w:rPr>
          <w:noProof/>
        </w:rPr>
        <w:t>435</w:t>
      </w:r>
      <w:r w:rsidR="00D1142C">
        <w:rPr>
          <w:szCs w:val="28"/>
        </w:rPr>
        <w:fldChar w:fldCharType="end"/>
      </w:r>
      <w:r w:rsidR="00472B5B" w:rsidRPr="00206C4C">
        <w:rPr>
          <w:szCs w:val="28"/>
        </w:rPr>
        <w:t>).</w:t>
      </w:r>
    </w:p>
    <w:p w:rsidR="00D1142C" w:rsidRDefault="00D1142C" w:rsidP="00D1142C">
      <w:pPr>
        <w:pStyle w:val="afffff7"/>
        <w:keepNext/>
      </w:pPr>
      <w:r>
        <w:rPr>
          <w:noProof/>
          <w:lang w:eastAsia="ru-RU"/>
        </w:rPr>
        <w:drawing>
          <wp:inline distT="0" distB="0" distL="0" distR="0" wp14:anchorId="35E10367" wp14:editId="144C4DC1">
            <wp:extent cx="5939790" cy="2898475"/>
            <wp:effectExtent l="0" t="0" r="381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3"/>
                    <a:stretch>
                      <a:fillRect/>
                    </a:stretch>
                  </pic:blipFill>
                  <pic:spPr>
                    <a:xfrm>
                      <a:off x="0" y="0"/>
                      <a:ext cx="5939790" cy="2898475"/>
                    </a:xfrm>
                    <a:prstGeom prst="rect">
                      <a:avLst/>
                    </a:prstGeom>
                  </pic:spPr>
                </pic:pic>
              </a:graphicData>
            </a:graphic>
          </wp:inline>
        </w:drawing>
      </w:r>
    </w:p>
    <w:p w:rsidR="00472B5B" w:rsidRPr="00206C4C" w:rsidRDefault="00D1142C" w:rsidP="002D6509">
      <w:pPr>
        <w:pStyle w:val="-0"/>
      </w:pPr>
      <w:bookmarkStart w:id="1949" w:name="_Toc119584697"/>
      <w:r w:rsidRPr="00206C4C">
        <w:rPr>
          <w:rStyle w:val="af1"/>
          <w:rFonts w:eastAsia="Calibri"/>
        </w:rPr>
        <w:t xml:space="preserve">Рисунок </w:t>
      </w:r>
      <w:fldSimple w:instr=" SEQ Рисунок \* ARABIC ">
        <w:bookmarkStart w:id="1950" w:name="_Ref70320167"/>
        <w:r w:rsidR="001860A9">
          <w:rPr>
            <w:noProof/>
          </w:rPr>
          <w:t>510</w:t>
        </w:r>
        <w:bookmarkEnd w:id="1950"/>
      </w:fldSimple>
      <w:r w:rsidRPr="00206C4C">
        <w:rPr>
          <w:rStyle w:val="af1"/>
          <w:rFonts w:eastAsia="Calibri"/>
        </w:rPr>
        <w:t xml:space="preserve"> – Макет отчета «Информация по статистике государственных финансов Российской Федерации», представление «Инфографика «Связи» - «В процентах к ВВП»</w:t>
      </w:r>
      <w:bookmarkEnd w:id="1949"/>
    </w:p>
    <w:p w:rsidR="00472B5B" w:rsidRPr="00206C4C" w:rsidRDefault="00472B5B" w:rsidP="00472B5B">
      <w:pPr>
        <w:pStyle w:val="af0"/>
      </w:pPr>
      <w:r w:rsidRPr="00206C4C">
        <w:t>Инфографика состоит из:</w:t>
      </w:r>
    </w:p>
    <w:p w:rsidR="00472B5B" w:rsidRPr="00206C4C" w:rsidRDefault="00472B5B" w:rsidP="00794B58">
      <w:pPr>
        <w:pStyle w:val="afff6"/>
        <w:numPr>
          <w:ilvl w:val="0"/>
          <w:numId w:val="60"/>
        </w:numPr>
        <w:rPr>
          <w:szCs w:val="28"/>
        </w:rPr>
      </w:pPr>
      <w:r w:rsidRPr="00206C4C">
        <w:rPr>
          <w:szCs w:val="28"/>
        </w:rPr>
        <w:t>Заголовка: «Информация по статистике государственных финансов Российской Федерации».</w:t>
      </w:r>
    </w:p>
    <w:p w:rsidR="00472B5B" w:rsidRPr="00206C4C" w:rsidRDefault="00472B5B" w:rsidP="00794B58">
      <w:pPr>
        <w:pStyle w:val="GOSTNormal"/>
        <w:numPr>
          <w:ilvl w:val="0"/>
          <w:numId w:val="60"/>
        </w:numPr>
        <w:tabs>
          <w:tab w:val="left" w:pos="993"/>
        </w:tabs>
        <w:spacing w:line="360" w:lineRule="exact"/>
        <w:rPr>
          <w:sz w:val="28"/>
          <w:szCs w:val="28"/>
        </w:rPr>
      </w:pPr>
      <w:r w:rsidRPr="00206C4C">
        <w:rPr>
          <w:sz w:val="28"/>
          <w:szCs w:val="28"/>
        </w:rPr>
        <w:t>Параметра отчета:</w:t>
      </w:r>
    </w:p>
    <w:p w:rsidR="00472B5B" w:rsidRPr="00206C4C" w:rsidRDefault="00472B5B" w:rsidP="00DE1661">
      <w:pPr>
        <w:pStyle w:val="13"/>
        <w:rPr>
          <w:snapToGrid/>
        </w:rPr>
      </w:pPr>
      <w:r w:rsidRPr="00206C4C">
        <w:rPr>
          <w:snapToGrid/>
        </w:rPr>
        <w:t xml:space="preserve">«Год» - Выпадающий список, предусматривающий выбор года. </w:t>
      </w:r>
    </w:p>
    <w:p w:rsidR="00472B5B" w:rsidRPr="00206C4C" w:rsidRDefault="00472B5B" w:rsidP="00472B5B">
      <w:pPr>
        <w:pStyle w:val="afff6"/>
        <w:spacing w:line="360" w:lineRule="exact"/>
        <w:ind w:left="720"/>
        <w:rPr>
          <w:snapToGrid/>
          <w:color w:val="auto"/>
          <w:szCs w:val="28"/>
        </w:rPr>
      </w:pPr>
      <w:r w:rsidRPr="00206C4C">
        <w:rPr>
          <w:snapToGrid/>
          <w:color w:val="auto"/>
          <w:szCs w:val="28"/>
        </w:rPr>
        <w:t>По умолчанию выводится текущий год.</w:t>
      </w:r>
    </w:p>
    <w:p w:rsidR="00472B5B" w:rsidRPr="00206C4C" w:rsidRDefault="00472B5B" w:rsidP="00794B58">
      <w:pPr>
        <w:pStyle w:val="GOSTNormal"/>
        <w:numPr>
          <w:ilvl w:val="0"/>
          <w:numId w:val="60"/>
        </w:numPr>
        <w:tabs>
          <w:tab w:val="left" w:pos="993"/>
        </w:tabs>
        <w:spacing w:line="360" w:lineRule="exact"/>
        <w:rPr>
          <w:sz w:val="28"/>
          <w:szCs w:val="28"/>
        </w:rPr>
      </w:pPr>
      <w:r w:rsidRPr="00206C4C">
        <w:rPr>
          <w:sz w:val="28"/>
          <w:szCs w:val="28"/>
        </w:rPr>
        <w:t>Значений и связей инфографики:</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Блок отчета «Сектор государственного управления»:</w:t>
      </w:r>
    </w:p>
    <w:p w:rsidR="00472B5B" w:rsidRPr="00206C4C" w:rsidRDefault="00472B5B" w:rsidP="00DE1661">
      <w:pPr>
        <w:pStyle w:val="13"/>
        <w:rPr>
          <w:snapToGrid/>
        </w:rPr>
      </w:pPr>
      <w:r w:rsidRPr="00206C4C">
        <w:rPr>
          <w:snapToGrid/>
        </w:rPr>
        <w:t xml:space="preserve">«Количество единиц» (Формируется в соответствии с полем </w:t>
      </w:r>
      <w:r w:rsidRPr="00206C4C">
        <w:rPr>
          <w:snapToGrid/>
          <w:lang w:val="en-US"/>
        </w:rPr>
        <w:t>COST</w:t>
      </w:r>
      <w:r w:rsidRPr="00206C4C">
        <w:rPr>
          <w:snapToGrid/>
        </w:rPr>
        <w:t xml:space="preserve"> таблицы  фактов </w:t>
      </w:r>
      <w:r w:rsidRPr="00206C4C">
        <w:rPr>
          <w:snapToGrid/>
          <w:lang w:val="en-US"/>
        </w:rPr>
        <w:t>F</w:t>
      </w:r>
      <w:r w:rsidRPr="00206C4C">
        <w:rPr>
          <w:snapToGrid/>
        </w:rPr>
        <w:t>_</w:t>
      </w:r>
      <w:r w:rsidRPr="00206C4C">
        <w:rPr>
          <w:snapToGrid/>
          <w:lang w:val="en-US"/>
        </w:rPr>
        <w:t>SGF</w:t>
      </w:r>
      <w:r w:rsidRPr="00206C4C">
        <w:rPr>
          <w:snapToGrid/>
        </w:rPr>
        <w:t>_</w:t>
      </w:r>
      <w:r w:rsidRPr="00206C4C">
        <w:rPr>
          <w:snapToGrid/>
          <w:lang w:val="en-US"/>
        </w:rPr>
        <w:t>ISSVR</w:t>
      </w:r>
      <w:r w:rsidRPr="00206C4C">
        <w:rPr>
          <w:snapToGrid/>
        </w:rPr>
        <w:t>);</w:t>
      </w:r>
    </w:p>
    <w:p w:rsidR="00472B5B" w:rsidRPr="00206C4C" w:rsidRDefault="00472B5B" w:rsidP="00DE1661">
      <w:pPr>
        <w:pStyle w:val="13"/>
        <w:rPr>
          <w:snapToGrid/>
        </w:rPr>
      </w:pPr>
      <w:r w:rsidRPr="00206C4C">
        <w:rPr>
          <w:snapToGrid/>
        </w:rPr>
        <w:t>«Доходы» (Формируется в соответствии с полем PETCENTGDP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DE1661">
      <w:pPr>
        <w:pStyle w:val="13"/>
        <w:rPr>
          <w:snapToGrid/>
        </w:rPr>
      </w:pPr>
      <w:r w:rsidRPr="00206C4C">
        <w:rPr>
          <w:snapToGrid/>
        </w:rPr>
        <w:t>«Расходы» (Формируется в соответствии с полем PETCENTGDP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DE1661">
      <w:pPr>
        <w:pStyle w:val="13"/>
        <w:rPr>
          <w:snapToGrid/>
        </w:rPr>
      </w:pPr>
      <w:r w:rsidRPr="00206C4C">
        <w:rPr>
          <w:snapToGrid/>
        </w:rPr>
        <w:t>«Активы»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«Обязательства»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«Чистые активы»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Центральное правительство (Выводится наименование, предусматривается переход с синего треугольник в правом верхнем углу в представление «СГУ -&gt;Диаграмма»);</w:t>
      </w:r>
    </w:p>
    <w:p w:rsidR="00472B5B" w:rsidRPr="00206C4C" w:rsidRDefault="00472B5B" w:rsidP="00DE1661">
      <w:pPr>
        <w:pStyle w:val="13"/>
        <w:rPr>
          <w:snapToGrid/>
        </w:rPr>
      </w:pPr>
      <w:r w:rsidRPr="00206C4C">
        <w:rPr>
          <w:snapToGrid/>
        </w:rPr>
        <w:t>«Фонды социального обеспечения» (Выводится наименование, предусматривается переход с синего треугольник в правом верхнем углу в представление «СГУ -&gt;Диаграмма»);</w:t>
      </w:r>
    </w:p>
    <w:p w:rsidR="00472B5B" w:rsidRPr="00206C4C" w:rsidRDefault="00472B5B" w:rsidP="00DE1661">
      <w:pPr>
        <w:pStyle w:val="13"/>
        <w:rPr>
          <w:snapToGrid/>
        </w:rPr>
      </w:pPr>
      <w:r w:rsidRPr="00206C4C">
        <w:rPr>
          <w:snapToGrid/>
        </w:rPr>
        <w:t xml:space="preserve">«Региональные и местные органы власти» (Выводится наименование, предусматривается переход с синего треугольник в правом верхнем углу в представление «СГУ -&gt;Диаграмма»). </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Блок отчета «Граждане страны, домашние хозяйства»:</w:t>
      </w:r>
    </w:p>
    <w:p w:rsidR="00472B5B" w:rsidRPr="00206C4C" w:rsidRDefault="00472B5B" w:rsidP="00472B5B">
      <w:pPr>
        <w:spacing w:line="360" w:lineRule="exact"/>
        <w:ind w:firstLine="709"/>
        <w:rPr>
          <w:snapToGrid/>
          <w:color w:val="auto"/>
          <w:sz w:val="28"/>
          <w:szCs w:val="28"/>
        </w:rPr>
      </w:pPr>
      <w:r w:rsidRPr="00206C4C">
        <w:rPr>
          <w:snapToGrid/>
          <w:color w:val="auto"/>
          <w:sz w:val="28"/>
          <w:szCs w:val="28"/>
        </w:rPr>
        <w:t>Выводится наименование.</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Блок отчета «Иностранные государства»:</w:t>
      </w:r>
      <w:r w:rsidRPr="00206C4C">
        <w:rPr>
          <w:sz w:val="28"/>
          <w:szCs w:val="28"/>
        </w:rPr>
        <w:tab/>
      </w:r>
    </w:p>
    <w:p w:rsidR="00472B5B" w:rsidRPr="00206C4C" w:rsidRDefault="00472B5B" w:rsidP="00472B5B">
      <w:pPr>
        <w:spacing w:line="360" w:lineRule="exact"/>
        <w:ind w:firstLine="709"/>
        <w:rPr>
          <w:snapToGrid/>
          <w:color w:val="auto"/>
          <w:sz w:val="28"/>
          <w:szCs w:val="28"/>
        </w:rPr>
      </w:pPr>
      <w:r w:rsidRPr="00206C4C">
        <w:rPr>
          <w:snapToGrid/>
          <w:color w:val="auto"/>
          <w:sz w:val="28"/>
          <w:szCs w:val="28"/>
        </w:rPr>
        <w:t>Выводится наименование.</w:t>
      </w:r>
      <w:r w:rsidRPr="00206C4C">
        <w:rPr>
          <w:snapToGrid/>
          <w:color w:val="auto"/>
          <w:sz w:val="28"/>
          <w:szCs w:val="28"/>
        </w:rPr>
        <w:tab/>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Блок отчета «Государственные корпорации»:</w:t>
      </w:r>
    </w:p>
    <w:p w:rsidR="00472B5B" w:rsidRPr="00206C4C" w:rsidRDefault="00472B5B" w:rsidP="00472B5B">
      <w:pPr>
        <w:spacing w:line="360" w:lineRule="exact"/>
        <w:ind w:firstLine="709"/>
        <w:rPr>
          <w:b/>
          <w:sz w:val="28"/>
          <w:szCs w:val="28"/>
        </w:rPr>
      </w:pPr>
      <w:r w:rsidRPr="00206C4C">
        <w:rPr>
          <w:sz w:val="28"/>
          <w:szCs w:val="28"/>
        </w:rPr>
        <w:t>Выводится название сектора, реализован переход в представление «ГОССЕКТОР-&gt;Таблица». Внутри блока раскрываем его по элементам:</w:t>
      </w:r>
    </w:p>
    <w:p w:rsidR="00472B5B" w:rsidRPr="00206C4C" w:rsidRDefault="00472B5B" w:rsidP="00DE1661">
      <w:pPr>
        <w:pStyle w:val="13"/>
        <w:rPr>
          <w:snapToGrid/>
        </w:rPr>
      </w:pPr>
      <w:r w:rsidRPr="00206C4C">
        <w:rPr>
          <w:snapToGrid/>
        </w:rPr>
        <w:t>«Государственные финансовые корпорации»;</w:t>
      </w:r>
    </w:p>
    <w:p w:rsidR="00472B5B" w:rsidRPr="00206C4C" w:rsidRDefault="00472B5B" w:rsidP="00DE1661">
      <w:pPr>
        <w:pStyle w:val="13"/>
        <w:rPr>
          <w:snapToGrid/>
        </w:rPr>
      </w:pPr>
      <w:r w:rsidRPr="00206C4C">
        <w:rPr>
          <w:snapToGrid/>
        </w:rPr>
        <w:t>«Государственные нефинансовые корпорации».</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Блок отчета «Негосударственные корпорации»:</w:t>
      </w:r>
    </w:p>
    <w:p w:rsidR="00472B5B" w:rsidRPr="00206C4C" w:rsidRDefault="00472B5B" w:rsidP="00472B5B">
      <w:pPr>
        <w:spacing w:line="360" w:lineRule="exact"/>
        <w:ind w:firstLine="709"/>
        <w:rPr>
          <w:sz w:val="28"/>
          <w:szCs w:val="28"/>
        </w:rPr>
      </w:pPr>
      <w:r w:rsidRPr="00206C4C">
        <w:rPr>
          <w:sz w:val="28"/>
          <w:szCs w:val="28"/>
        </w:rPr>
        <w:t>Выводится название сектора, предусматриваем переход в представление «ГОССЕКТОР-&gt;Таблица». Внутри блока раскрываем его по элементам:</w:t>
      </w:r>
    </w:p>
    <w:p w:rsidR="00472B5B" w:rsidRPr="00206C4C" w:rsidRDefault="00472B5B" w:rsidP="00DE1661">
      <w:pPr>
        <w:pStyle w:val="13"/>
        <w:rPr>
          <w:snapToGrid/>
        </w:rPr>
      </w:pPr>
      <w:r w:rsidRPr="00206C4C">
        <w:t>«</w:t>
      </w:r>
      <w:r w:rsidRPr="00206C4C">
        <w:rPr>
          <w:snapToGrid/>
        </w:rPr>
        <w:t>Негосударственные финансовые корпорации»;</w:t>
      </w:r>
    </w:p>
    <w:p w:rsidR="00472B5B" w:rsidRPr="00206C4C" w:rsidRDefault="00472B5B" w:rsidP="00DE1661">
      <w:pPr>
        <w:pStyle w:val="13"/>
        <w:rPr>
          <w:snapToGrid/>
        </w:rPr>
      </w:pPr>
      <w:r w:rsidRPr="00206C4C">
        <w:rPr>
          <w:snapToGrid/>
        </w:rPr>
        <w:t>«Негосударственные нефинансовые корпорации».</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Стрелка «Заработная плата»:</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ab/>
        <w:t>Стрелка «Социальные пособия»:</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Стрелка «Инвестирование в капитал»:</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«Государственные корпорации». Значение формируется по  формуле: </w:t>
      </w:r>
      <w:bookmarkStart w:id="1951" w:name="_Hlk19105780"/>
      <w:r w:rsidRPr="00206C4C">
        <w:rPr>
          <w:sz w:val="28"/>
          <w:szCs w:val="28"/>
        </w:rPr>
        <w:t xml:space="preserve">(поле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INVEST</w:t>
      </w:r>
      <w:bookmarkEnd w:id="1951"/>
      <w:r w:rsidRPr="00206C4C">
        <w:rPr>
          <w:sz w:val="28"/>
          <w:szCs w:val="28"/>
        </w:rPr>
        <w:t xml:space="preserve">/ поле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GDP</w:t>
      </w:r>
      <w:r w:rsidRPr="00206C4C">
        <w:rPr>
          <w:sz w:val="28"/>
          <w:szCs w:val="28"/>
        </w:rPr>
        <w:t>) и *100%, реализован переход в представление «Баланс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Стрелка «Налоги и взносы»:</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w:t>
      </w:r>
      <w:r w:rsidRPr="00206C4C">
        <w:rPr>
          <w:sz w:val="28"/>
          <w:szCs w:val="28"/>
        </w:rPr>
        <w:t>, реализован переход в представление «Доходы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Стрелка «Госзакупки»:</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Стрелка «Субсидии»:</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napToGrid/>
          <w:color w:val="auto"/>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1"/>
        </w:numPr>
        <w:tabs>
          <w:tab w:val="left" w:pos="1276"/>
        </w:tabs>
        <w:spacing w:line="360" w:lineRule="exact"/>
        <w:rPr>
          <w:sz w:val="28"/>
          <w:szCs w:val="28"/>
        </w:rPr>
      </w:pPr>
      <w:r w:rsidRPr="00206C4C">
        <w:rPr>
          <w:sz w:val="28"/>
          <w:szCs w:val="28"/>
        </w:rPr>
        <w:t>Переход Государственный сектор экономики.</w:t>
      </w:r>
      <w:r w:rsidRPr="00206C4C">
        <w:rPr>
          <w:b/>
          <w:sz w:val="28"/>
          <w:szCs w:val="28"/>
        </w:rPr>
        <w:t xml:space="preserve"> </w:t>
      </w:r>
    </w:p>
    <w:p w:rsidR="00472B5B" w:rsidRPr="00206C4C" w:rsidRDefault="00472B5B" w:rsidP="00472B5B">
      <w:pPr>
        <w:spacing w:line="360" w:lineRule="exact"/>
        <w:ind w:firstLine="709"/>
        <w:rPr>
          <w:sz w:val="28"/>
          <w:szCs w:val="28"/>
        </w:rPr>
      </w:pPr>
      <w:r w:rsidRPr="00206C4C">
        <w:rPr>
          <w:sz w:val="28"/>
          <w:szCs w:val="28"/>
        </w:rPr>
        <w:t>Реализован переход к представлению  «Инфографика «Связи»- «В абсолютном выражении».</w:t>
      </w:r>
    </w:p>
    <w:p w:rsidR="00472B5B" w:rsidRPr="00206C4C" w:rsidRDefault="00472B5B" w:rsidP="00794B58">
      <w:pPr>
        <w:pStyle w:val="GOSTNormal"/>
        <w:numPr>
          <w:ilvl w:val="1"/>
          <w:numId w:val="61"/>
        </w:numPr>
        <w:tabs>
          <w:tab w:val="left" w:pos="1276"/>
        </w:tabs>
        <w:spacing w:line="360" w:lineRule="exact"/>
        <w:ind w:hanging="366"/>
        <w:rPr>
          <w:b/>
          <w:sz w:val="28"/>
          <w:szCs w:val="28"/>
        </w:rPr>
      </w:pPr>
      <w:r w:rsidRPr="00206C4C">
        <w:rPr>
          <w:sz w:val="28"/>
          <w:szCs w:val="28"/>
        </w:rPr>
        <w:t>Переход Дерево связей, показатели которых включены в расширенную версию по статистике государственных финансов.</w:t>
      </w:r>
      <w:r w:rsidRPr="00206C4C">
        <w:rPr>
          <w:b/>
          <w:sz w:val="28"/>
          <w:szCs w:val="28"/>
        </w:rPr>
        <w:t xml:space="preserve">  </w:t>
      </w:r>
      <w:r w:rsidRPr="00206C4C">
        <w:rPr>
          <w:sz w:val="28"/>
          <w:szCs w:val="28"/>
        </w:rPr>
        <w:t>Реализован переход к представлению «Инфографика «Связи» - «Дерево связей» - «Схема».</w:t>
      </w:r>
    </w:p>
    <w:p w:rsidR="00472B5B" w:rsidRPr="00206C4C" w:rsidRDefault="00472B5B" w:rsidP="00862055">
      <w:pPr>
        <w:pStyle w:val="42"/>
        <w:numPr>
          <w:ilvl w:val="3"/>
          <w:numId w:val="135"/>
        </w:numPr>
      </w:pPr>
      <w:r w:rsidRPr="00206C4C">
        <w:t>Представление «Инфографика</w:t>
      </w:r>
      <w:r w:rsidR="00D1142C">
        <w:t xml:space="preserve"> «Связи»</w:t>
      </w:r>
      <w:r w:rsidRPr="00206C4C">
        <w:t>» - «В процентах ВВП»</w:t>
      </w:r>
    </w:p>
    <w:p w:rsidR="00472B5B" w:rsidRPr="00206C4C" w:rsidRDefault="00472B5B" w:rsidP="00472B5B">
      <w:pPr>
        <w:pStyle w:val="GOSTNormal"/>
        <w:spacing w:line="360" w:lineRule="exact"/>
        <w:rPr>
          <w:snapToGrid w:val="0"/>
          <w:color w:val="000000"/>
          <w:sz w:val="28"/>
          <w:szCs w:val="28"/>
        </w:rPr>
      </w:pPr>
      <w:r w:rsidRPr="00206C4C">
        <w:rPr>
          <w:snapToGrid w:val="0"/>
          <w:color w:val="000000"/>
          <w:sz w:val="28"/>
          <w:szCs w:val="28"/>
        </w:rPr>
        <w:t>Представление</w:t>
      </w:r>
      <w:r w:rsidR="00D1142C">
        <w:rPr>
          <w:snapToGrid w:val="0"/>
          <w:color w:val="000000"/>
          <w:sz w:val="28"/>
          <w:szCs w:val="28"/>
        </w:rPr>
        <w:t xml:space="preserve"> «Инфографика «С</w:t>
      </w:r>
      <w:r w:rsidRPr="00206C4C">
        <w:rPr>
          <w:snapToGrid w:val="0"/>
          <w:color w:val="000000"/>
          <w:sz w:val="28"/>
          <w:szCs w:val="28"/>
        </w:rPr>
        <w:t>вязи</w:t>
      </w:r>
      <w:r w:rsidR="00D1142C">
        <w:rPr>
          <w:snapToGrid w:val="0"/>
          <w:color w:val="000000"/>
          <w:sz w:val="28"/>
          <w:szCs w:val="28"/>
        </w:rPr>
        <w:t>»</w:t>
      </w:r>
      <w:r w:rsidRPr="00206C4C">
        <w:rPr>
          <w:snapToGrid w:val="0"/>
          <w:color w:val="000000"/>
          <w:sz w:val="28"/>
          <w:szCs w:val="28"/>
        </w:rPr>
        <w:t>» - «В процентах к ВВП» обеспечивает возможность анализа данных и связей между элементами с возможностью применения фильтров, соответствующих показателям отчета в соотношении с номинальным процентом ВВП, и выбора дат (Рисунок</w:t>
      </w:r>
      <w:r w:rsidR="00973D05">
        <w:rPr>
          <w:snapToGrid w:val="0"/>
          <w:color w:val="000000"/>
          <w:sz w:val="28"/>
          <w:szCs w:val="28"/>
        </w:rPr>
        <w:t xml:space="preserve"> </w:t>
      </w:r>
      <w:r w:rsidR="00973D05">
        <w:rPr>
          <w:snapToGrid w:val="0"/>
          <w:color w:val="000000"/>
          <w:sz w:val="28"/>
          <w:szCs w:val="28"/>
        </w:rPr>
        <w:fldChar w:fldCharType="begin"/>
      </w:r>
      <w:r w:rsidR="00973D05">
        <w:rPr>
          <w:snapToGrid w:val="0"/>
          <w:color w:val="000000"/>
          <w:sz w:val="28"/>
          <w:szCs w:val="28"/>
        </w:rPr>
        <w:instrText xml:space="preserve"> REF _Ref70320247 \h </w:instrText>
      </w:r>
      <w:r w:rsidR="00973D05">
        <w:rPr>
          <w:snapToGrid w:val="0"/>
          <w:color w:val="000000"/>
          <w:sz w:val="28"/>
          <w:szCs w:val="28"/>
        </w:rPr>
      </w:r>
      <w:r w:rsidR="00973D05">
        <w:rPr>
          <w:snapToGrid w:val="0"/>
          <w:color w:val="000000"/>
          <w:sz w:val="28"/>
          <w:szCs w:val="28"/>
        </w:rPr>
        <w:fldChar w:fldCharType="separate"/>
      </w:r>
      <w:r w:rsidR="00BF0BEE">
        <w:rPr>
          <w:noProof/>
        </w:rPr>
        <w:t>436</w:t>
      </w:r>
      <w:r w:rsidR="00973D05">
        <w:rPr>
          <w:snapToGrid w:val="0"/>
          <w:color w:val="000000"/>
          <w:sz w:val="28"/>
          <w:szCs w:val="28"/>
        </w:rPr>
        <w:fldChar w:fldCharType="end"/>
      </w:r>
      <w:r w:rsidRPr="00206C4C">
        <w:rPr>
          <w:snapToGrid w:val="0"/>
          <w:color w:val="000000"/>
          <w:sz w:val="28"/>
          <w:szCs w:val="28"/>
        </w:rPr>
        <w:t>).</w:t>
      </w:r>
    </w:p>
    <w:p w:rsidR="00973D05" w:rsidRDefault="00973D05" w:rsidP="00973D05">
      <w:pPr>
        <w:pStyle w:val="afffff7"/>
        <w:keepNext/>
      </w:pPr>
      <w:r>
        <w:rPr>
          <w:noProof/>
          <w:lang w:eastAsia="ru-RU"/>
        </w:rPr>
        <w:drawing>
          <wp:inline distT="0" distB="0" distL="0" distR="0" wp14:anchorId="4E4F9597" wp14:editId="5E2AAFB3">
            <wp:extent cx="5939790" cy="2895410"/>
            <wp:effectExtent l="0" t="0" r="3810" b="635"/>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4"/>
                    <a:stretch>
                      <a:fillRect/>
                    </a:stretch>
                  </pic:blipFill>
                  <pic:spPr>
                    <a:xfrm>
                      <a:off x="0" y="0"/>
                      <a:ext cx="5939790" cy="2895410"/>
                    </a:xfrm>
                    <a:prstGeom prst="rect">
                      <a:avLst/>
                    </a:prstGeom>
                  </pic:spPr>
                </pic:pic>
              </a:graphicData>
            </a:graphic>
          </wp:inline>
        </w:drawing>
      </w:r>
    </w:p>
    <w:p w:rsidR="00472B5B" w:rsidRPr="00206C4C" w:rsidRDefault="00973D05" w:rsidP="00973D05">
      <w:pPr>
        <w:pStyle w:val="-0"/>
      </w:pPr>
      <w:bookmarkStart w:id="1952" w:name="_Toc119584698"/>
      <w:r w:rsidRPr="00206C4C">
        <w:rPr>
          <w:szCs w:val="28"/>
        </w:rPr>
        <w:t xml:space="preserve">Рисунок </w:t>
      </w:r>
      <w:fldSimple w:instr=" SEQ Рисунок \* ARABIC ">
        <w:bookmarkStart w:id="1953" w:name="_Ref70320247"/>
        <w:r w:rsidR="001860A9">
          <w:rPr>
            <w:noProof/>
          </w:rPr>
          <w:t>511</w:t>
        </w:r>
        <w:bookmarkEnd w:id="1953"/>
      </w:fldSimple>
      <w:r w:rsidRPr="00206C4C">
        <w:rPr>
          <w:szCs w:val="28"/>
        </w:rPr>
        <w:t xml:space="preserve"> – </w:t>
      </w:r>
      <w:r w:rsidRPr="00206C4C">
        <w:rPr>
          <w:snapToGrid/>
        </w:rPr>
        <w:t>Макет отчета «Информация по статистике государственных финансов Российской Федерации», представление «Инфографика «Связи» - «В процентах к ВВП»</w:t>
      </w:r>
      <w:bookmarkEnd w:id="1952"/>
    </w:p>
    <w:p w:rsidR="00472B5B" w:rsidRPr="00206C4C" w:rsidRDefault="00472B5B" w:rsidP="00472B5B">
      <w:pPr>
        <w:pStyle w:val="GOSTNormal"/>
        <w:spacing w:line="360" w:lineRule="exact"/>
        <w:rPr>
          <w:snapToGrid w:val="0"/>
          <w:color w:val="000000"/>
          <w:sz w:val="28"/>
          <w:szCs w:val="28"/>
        </w:rPr>
      </w:pPr>
      <w:r w:rsidRPr="00206C4C">
        <w:rPr>
          <w:snapToGrid w:val="0"/>
          <w:color w:val="000000"/>
          <w:sz w:val="28"/>
          <w:szCs w:val="28"/>
        </w:rPr>
        <w:t>Инфографика состоит из:</w:t>
      </w:r>
    </w:p>
    <w:p w:rsidR="00472B5B" w:rsidRPr="00206C4C" w:rsidRDefault="00472B5B" w:rsidP="00794B58">
      <w:pPr>
        <w:pStyle w:val="afff6"/>
        <w:numPr>
          <w:ilvl w:val="0"/>
          <w:numId w:val="63"/>
        </w:numPr>
        <w:rPr>
          <w:szCs w:val="28"/>
        </w:rPr>
      </w:pPr>
      <w:r w:rsidRPr="00206C4C">
        <w:rPr>
          <w:szCs w:val="28"/>
        </w:rPr>
        <w:t>Заголовка: «Информация по статистике государственных финансов Российской Федерации».</w:t>
      </w:r>
    </w:p>
    <w:p w:rsidR="00472B5B" w:rsidRPr="00206C4C" w:rsidRDefault="00472B5B" w:rsidP="00794B58">
      <w:pPr>
        <w:pStyle w:val="GOSTNormal"/>
        <w:numPr>
          <w:ilvl w:val="0"/>
          <w:numId w:val="63"/>
        </w:numPr>
        <w:tabs>
          <w:tab w:val="left" w:pos="993"/>
        </w:tabs>
        <w:spacing w:line="360" w:lineRule="exact"/>
        <w:rPr>
          <w:sz w:val="28"/>
          <w:szCs w:val="28"/>
        </w:rPr>
      </w:pPr>
      <w:r w:rsidRPr="00206C4C">
        <w:rPr>
          <w:sz w:val="28"/>
          <w:szCs w:val="28"/>
        </w:rPr>
        <w:t>Параметра отчета:</w:t>
      </w:r>
    </w:p>
    <w:p w:rsidR="00472B5B" w:rsidRPr="00206C4C" w:rsidRDefault="00472B5B" w:rsidP="00DE1661">
      <w:pPr>
        <w:pStyle w:val="13"/>
        <w:rPr>
          <w:snapToGrid/>
        </w:rPr>
      </w:pPr>
      <w:r w:rsidRPr="00206C4C">
        <w:rPr>
          <w:snapToGrid/>
        </w:rPr>
        <w:t xml:space="preserve">«Год» - Выпадающий список, предусматривающий выбор года. </w:t>
      </w:r>
    </w:p>
    <w:p w:rsidR="00472B5B" w:rsidRPr="00206C4C" w:rsidRDefault="00472B5B" w:rsidP="00472B5B">
      <w:pPr>
        <w:pStyle w:val="afff6"/>
        <w:spacing w:line="360" w:lineRule="exact"/>
        <w:ind w:left="720"/>
        <w:rPr>
          <w:snapToGrid/>
          <w:color w:val="auto"/>
          <w:szCs w:val="28"/>
        </w:rPr>
      </w:pPr>
      <w:r w:rsidRPr="00206C4C">
        <w:rPr>
          <w:snapToGrid/>
          <w:color w:val="auto"/>
          <w:szCs w:val="28"/>
        </w:rPr>
        <w:t>По умолчанию выводится текущий год.</w:t>
      </w:r>
    </w:p>
    <w:p w:rsidR="00472B5B" w:rsidRPr="00206C4C" w:rsidRDefault="00472B5B" w:rsidP="00794B58">
      <w:pPr>
        <w:pStyle w:val="GOSTNormal"/>
        <w:numPr>
          <w:ilvl w:val="0"/>
          <w:numId w:val="63"/>
        </w:numPr>
        <w:tabs>
          <w:tab w:val="left" w:pos="993"/>
        </w:tabs>
        <w:spacing w:line="360" w:lineRule="exact"/>
        <w:rPr>
          <w:sz w:val="28"/>
          <w:szCs w:val="28"/>
        </w:rPr>
      </w:pPr>
      <w:r w:rsidRPr="00206C4C">
        <w:rPr>
          <w:sz w:val="28"/>
          <w:szCs w:val="28"/>
        </w:rPr>
        <w:t>Значений и связей инфографики:</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Блок отчета «Сектор государственного управления»:</w:t>
      </w:r>
    </w:p>
    <w:p w:rsidR="00472B5B" w:rsidRPr="00206C4C" w:rsidRDefault="00472B5B" w:rsidP="00DE1661">
      <w:pPr>
        <w:pStyle w:val="13"/>
        <w:rPr>
          <w:snapToGrid/>
        </w:rPr>
      </w:pPr>
      <w:r w:rsidRPr="00206C4C">
        <w:rPr>
          <w:snapToGrid/>
        </w:rPr>
        <w:t xml:space="preserve">«Количество единиц» (Формируется в соответствии с полем </w:t>
      </w:r>
      <w:r w:rsidRPr="00206C4C">
        <w:rPr>
          <w:snapToGrid/>
          <w:lang w:val="en-US"/>
        </w:rPr>
        <w:t>COST</w:t>
      </w:r>
      <w:r w:rsidRPr="00206C4C">
        <w:rPr>
          <w:snapToGrid/>
        </w:rPr>
        <w:t xml:space="preserve"> таблицы  фактов </w:t>
      </w:r>
      <w:r w:rsidRPr="00206C4C">
        <w:rPr>
          <w:snapToGrid/>
          <w:lang w:val="en-US"/>
        </w:rPr>
        <w:t>F</w:t>
      </w:r>
      <w:r w:rsidRPr="00206C4C">
        <w:rPr>
          <w:snapToGrid/>
        </w:rPr>
        <w:t>_</w:t>
      </w:r>
      <w:r w:rsidRPr="00206C4C">
        <w:rPr>
          <w:snapToGrid/>
          <w:lang w:val="en-US"/>
        </w:rPr>
        <w:t>SGF</w:t>
      </w:r>
      <w:r w:rsidRPr="00206C4C">
        <w:rPr>
          <w:snapToGrid/>
        </w:rPr>
        <w:t>_</w:t>
      </w:r>
      <w:r w:rsidRPr="00206C4C">
        <w:rPr>
          <w:snapToGrid/>
          <w:lang w:val="en-US"/>
        </w:rPr>
        <w:t>ISSVR</w:t>
      </w:r>
      <w:r w:rsidRPr="00206C4C">
        <w:rPr>
          <w:snapToGrid/>
        </w:rPr>
        <w:t>);</w:t>
      </w:r>
    </w:p>
    <w:p w:rsidR="00472B5B" w:rsidRPr="00206C4C" w:rsidRDefault="00472B5B" w:rsidP="00DE1661">
      <w:pPr>
        <w:pStyle w:val="13"/>
        <w:rPr>
          <w:snapToGrid/>
        </w:rPr>
      </w:pPr>
      <w:r w:rsidRPr="00206C4C">
        <w:rPr>
          <w:snapToGrid/>
        </w:rPr>
        <w:t>«Доходы» (Формируется в соответствии с полем PETCENTGDP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DE1661">
      <w:pPr>
        <w:pStyle w:val="13"/>
        <w:rPr>
          <w:snapToGrid/>
        </w:rPr>
      </w:pPr>
      <w:r w:rsidRPr="00206C4C">
        <w:rPr>
          <w:snapToGrid/>
        </w:rPr>
        <w:t>«Расходы» (Формируется в соответствии с полем PETCENTGDP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DE1661">
      <w:pPr>
        <w:pStyle w:val="13"/>
        <w:rPr>
          <w:snapToGrid/>
        </w:rPr>
      </w:pPr>
      <w:r w:rsidRPr="00206C4C">
        <w:rPr>
          <w:snapToGrid/>
        </w:rPr>
        <w:t>«Активы»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«Обязательства»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«Чистые активы» (Формируется в соответствии с полем PETCENTGDP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Центральное правительство (Выводится наименование, предусматривается переход с синего треугольник в правом верхнем углу в представление «СГУ -&gt;Диаграмма»);</w:t>
      </w:r>
    </w:p>
    <w:p w:rsidR="00472B5B" w:rsidRPr="00206C4C" w:rsidRDefault="00472B5B" w:rsidP="00DE1661">
      <w:pPr>
        <w:pStyle w:val="13"/>
        <w:rPr>
          <w:snapToGrid/>
        </w:rPr>
      </w:pPr>
      <w:r w:rsidRPr="00206C4C">
        <w:rPr>
          <w:snapToGrid/>
        </w:rPr>
        <w:t>«Фонды социального обеспечения» (Выводится наименование, предусматривается переход с синего треугольник в правом верхнем углу в представление «СГУ -&gt;Диаграмма»);</w:t>
      </w:r>
    </w:p>
    <w:p w:rsidR="00472B5B" w:rsidRPr="00206C4C" w:rsidRDefault="00472B5B" w:rsidP="00DE1661">
      <w:pPr>
        <w:pStyle w:val="13"/>
        <w:rPr>
          <w:snapToGrid/>
        </w:rPr>
      </w:pPr>
      <w:r w:rsidRPr="00206C4C">
        <w:rPr>
          <w:snapToGrid/>
        </w:rPr>
        <w:t xml:space="preserve">«Региональные и местные органы власти» (Выводится наименование, предусматривается переход с синего треугольник в правом верхнем углу в представление «СГУ -&gt;Диаграмма»). </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Блок отчета «Граждане страны, домашние хозяйства»:</w:t>
      </w:r>
    </w:p>
    <w:p w:rsidR="00472B5B" w:rsidRPr="00206C4C" w:rsidRDefault="00472B5B" w:rsidP="00472B5B">
      <w:pPr>
        <w:spacing w:line="360" w:lineRule="exact"/>
        <w:ind w:firstLine="709"/>
        <w:rPr>
          <w:snapToGrid/>
          <w:color w:val="auto"/>
          <w:sz w:val="28"/>
          <w:szCs w:val="28"/>
        </w:rPr>
      </w:pPr>
      <w:r w:rsidRPr="00206C4C">
        <w:rPr>
          <w:snapToGrid/>
          <w:color w:val="auto"/>
          <w:sz w:val="28"/>
          <w:szCs w:val="28"/>
        </w:rPr>
        <w:t>Выводится наименование.</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Блок отчета «Иностранные государства»:</w:t>
      </w:r>
      <w:r w:rsidRPr="00206C4C">
        <w:rPr>
          <w:sz w:val="28"/>
          <w:szCs w:val="28"/>
        </w:rPr>
        <w:tab/>
      </w:r>
    </w:p>
    <w:p w:rsidR="00472B5B" w:rsidRPr="00206C4C" w:rsidRDefault="00472B5B" w:rsidP="00472B5B">
      <w:pPr>
        <w:spacing w:line="360" w:lineRule="exact"/>
        <w:ind w:firstLine="709"/>
        <w:rPr>
          <w:snapToGrid/>
          <w:color w:val="auto"/>
          <w:sz w:val="28"/>
          <w:szCs w:val="28"/>
        </w:rPr>
      </w:pPr>
      <w:r w:rsidRPr="00206C4C">
        <w:rPr>
          <w:snapToGrid/>
          <w:color w:val="auto"/>
          <w:sz w:val="28"/>
          <w:szCs w:val="28"/>
        </w:rPr>
        <w:t>Выводится наименование.</w:t>
      </w:r>
      <w:r w:rsidRPr="00206C4C">
        <w:rPr>
          <w:snapToGrid/>
          <w:color w:val="auto"/>
          <w:sz w:val="28"/>
          <w:szCs w:val="28"/>
        </w:rPr>
        <w:tab/>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Блок отчета «Государственные корпорации»:</w:t>
      </w:r>
    </w:p>
    <w:p w:rsidR="00472B5B" w:rsidRPr="00206C4C" w:rsidRDefault="00472B5B" w:rsidP="00472B5B">
      <w:pPr>
        <w:spacing w:line="360" w:lineRule="exact"/>
        <w:ind w:firstLine="709"/>
        <w:rPr>
          <w:b/>
          <w:sz w:val="28"/>
          <w:szCs w:val="28"/>
        </w:rPr>
      </w:pPr>
      <w:r w:rsidRPr="00206C4C">
        <w:rPr>
          <w:sz w:val="28"/>
          <w:szCs w:val="28"/>
        </w:rPr>
        <w:t>Выводим название сектора, предусматриваем переход в представление «ГОССЕКТОР-&gt;Таблица». Внутри блока раскрываем его по элементам:</w:t>
      </w:r>
    </w:p>
    <w:p w:rsidR="00472B5B" w:rsidRPr="00206C4C" w:rsidRDefault="00472B5B" w:rsidP="00DE1661">
      <w:pPr>
        <w:pStyle w:val="13"/>
        <w:rPr>
          <w:snapToGrid/>
        </w:rPr>
      </w:pPr>
      <w:r w:rsidRPr="00206C4C">
        <w:rPr>
          <w:snapToGrid/>
        </w:rPr>
        <w:t>«Государственные финансовые корпорации»;</w:t>
      </w:r>
    </w:p>
    <w:p w:rsidR="00472B5B" w:rsidRPr="00206C4C" w:rsidRDefault="00472B5B" w:rsidP="00DE1661">
      <w:pPr>
        <w:pStyle w:val="13"/>
        <w:rPr>
          <w:snapToGrid/>
        </w:rPr>
      </w:pPr>
      <w:r w:rsidRPr="00206C4C">
        <w:rPr>
          <w:snapToGrid/>
        </w:rPr>
        <w:t>«Государственные нефинансовые корпорации».</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Блок отчета «Негосударственные корпорации»:</w:t>
      </w:r>
    </w:p>
    <w:p w:rsidR="00472B5B" w:rsidRPr="00206C4C" w:rsidRDefault="00472B5B" w:rsidP="00472B5B">
      <w:pPr>
        <w:spacing w:line="360" w:lineRule="exact"/>
        <w:ind w:firstLine="709"/>
        <w:rPr>
          <w:sz w:val="28"/>
          <w:szCs w:val="28"/>
        </w:rPr>
      </w:pPr>
      <w:r w:rsidRPr="00206C4C">
        <w:rPr>
          <w:sz w:val="28"/>
          <w:szCs w:val="28"/>
        </w:rPr>
        <w:t>Выводим название сектора, предусматриваем переход в представление «ГОССЕКТОР-&gt;Таблица». Внутри блока раскрываем его по элементам:</w:t>
      </w:r>
    </w:p>
    <w:p w:rsidR="00472B5B" w:rsidRPr="00206C4C" w:rsidRDefault="00472B5B" w:rsidP="00DE1661">
      <w:pPr>
        <w:pStyle w:val="13"/>
        <w:rPr>
          <w:snapToGrid/>
        </w:rPr>
      </w:pPr>
      <w:r w:rsidRPr="00206C4C">
        <w:t>«</w:t>
      </w:r>
      <w:r w:rsidRPr="00206C4C">
        <w:rPr>
          <w:snapToGrid/>
        </w:rPr>
        <w:t>Негосударственные финансовые корпорации»;</w:t>
      </w:r>
    </w:p>
    <w:p w:rsidR="00472B5B" w:rsidRPr="00206C4C" w:rsidRDefault="00472B5B" w:rsidP="00DE1661">
      <w:pPr>
        <w:pStyle w:val="13"/>
        <w:rPr>
          <w:snapToGrid/>
        </w:rPr>
      </w:pPr>
      <w:r w:rsidRPr="00206C4C">
        <w:rPr>
          <w:snapToGrid/>
        </w:rPr>
        <w:t>«Негосударственные нефинансовые корпорации».</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Стрелка «Заработная плата»:</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ab/>
        <w:t>Стрелка «Социальные пособия»:</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Стрелка «Инвестирование в капитал»:</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«Государственные корпорации». Значение формируется по  формуле: (поле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INVEST</w:t>
      </w:r>
      <w:r w:rsidRPr="00206C4C">
        <w:rPr>
          <w:sz w:val="28"/>
          <w:szCs w:val="28"/>
        </w:rPr>
        <w:t xml:space="preserve">/ поле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GDP</w:t>
      </w:r>
      <w:r w:rsidRPr="00206C4C">
        <w:rPr>
          <w:sz w:val="28"/>
          <w:szCs w:val="28"/>
        </w:rPr>
        <w:t>) и *100%, реализован переход в представление «Баланс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Стрелка «Налоги и взносы»:</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w:t>
      </w:r>
      <w:r w:rsidRPr="00206C4C">
        <w:rPr>
          <w:sz w:val="28"/>
          <w:szCs w:val="28"/>
        </w:rPr>
        <w:t>, реализован переход в представление «Доходы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Стрелка «Госзакупки»:</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Стрелка «Субсидии»:</w:t>
      </w:r>
    </w:p>
    <w:p w:rsidR="00472B5B" w:rsidRPr="00206C4C" w:rsidRDefault="00472B5B" w:rsidP="00472B5B">
      <w:pPr>
        <w:spacing w:line="360" w:lineRule="exact"/>
        <w:ind w:firstLine="709"/>
        <w:rPr>
          <w:sz w:val="28"/>
          <w:szCs w:val="28"/>
        </w:rPr>
      </w:pPr>
      <w:r w:rsidRPr="00206C4C">
        <w:rPr>
          <w:sz w:val="28"/>
          <w:szCs w:val="28"/>
        </w:rPr>
        <w:t xml:space="preserve">Предусматривает связь между блоками «Сектор государственного управления» и «Граждане страны, домашние хозяйства». Значение формируется по полю </w:t>
      </w:r>
      <w:r w:rsidRPr="00206C4C">
        <w:rPr>
          <w:snapToGrid/>
          <w:color w:val="auto"/>
          <w:sz w:val="28"/>
          <w:szCs w:val="28"/>
          <w:lang w:val="en-US"/>
        </w:rPr>
        <w:t>PETCENTGDP</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O</w:t>
      </w:r>
      <w:r w:rsidRPr="00206C4C">
        <w:rPr>
          <w:sz w:val="28"/>
          <w:szCs w:val="28"/>
        </w:rPr>
        <w:t>, реализован переход в представление «Расходы СГУ».</w:t>
      </w:r>
    </w:p>
    <w:p w:rsidR="00472B5B" w:rsidRPr="00206C4C" w:rsidRDefault="00472B5B" w:rsidP="00794B58">
      <w:pPr>
        <w:pStyle w:val="GOSTNormal"/>
        <w:numPr>
          <w:ilvl w:val="1"/>
          <w:numId w:val="64"/>
        </w:numPr>
        <w:tabs>
          <w:tab w:val="left" w:pos="1276"/>
        </w:tabs>
        <w:spacing w:line="360" w:lineRule="exact"/>
        <w:rPr>
          <w:sz w:val="28"/>
          <w:szCs w:val="28"/>
        </w:rPr>
      </w:pPr>
      <w:r w:rsidRPr="00206C4C">
        <w:rPr>
          <w:sz w:val="28"/>
          <w:szCs w:val="28"/>
        </w:rPr>
        <w:t>Переход Государственный сектор экономики.</w:t>
      </w:r>
      <w:r w:rsidRPr="00206C4C">
        <w:rPr>
          <w:b/>
          <w:sz w:val="28"/>
          <w:szCs w:val="28"/>
        </w:rPr>
        <w:t xml:space="preserve"> </w:t>
      </w:r>
    </w:p>
    <w:p w:rsidR="00472B5B" w:rsidRPr="00206C4C" w:rsidRDefault="00472B5B" w:rsidP="00472B5B">
      <w:pPr>
        <w:spacing w:line="360" w:lineRule="exact"/>
        <w:ind w:firstLine="709"/>
        <w:rPr>
          <w:sz w:val="28"/>
          <w:szCs w:val="28"/>
        </w:rPr>
      </w:pPr>
      <w:r w:rsidRPr="00206C4C">
        <w:rPr>
          <w:sz w:val="28"/>
          <w:szCs w:val="28"/>
        </w:rPr>
        <w:t>Реализован переход к представлению  «Инфографика «Связи»- «В абсолютном выражении».</w:t>
      </w:r>
    </w:p>
    <w:p w:rsidR="00472B5B" w:rsidRPr="00206C4C" w:rsidRDefault="00472B5B" w:rsidP="00794B58">
      <w:pPr>
        <w:pStyle w:val="GOSTNormal"/>
        <w:numPr>
          <w:ilvl w:val="1"/>
          <w:numId w:val="64"/>
        </w:numPr>
        <w:tabs>
          <w:tab w:val="left" w:pos="1276"/>
        </w:tabs>
        <w:spacing w:line="360" w:lineRule="exact"/>
        <w:rPr>
          <w:b/>
          <w:sz w:val="28"/>
          <w:szCs w:val="28"/>
        </w:rPr>
      </w:pPr>
      <w:r w:rsidRPr="00206C4C">
        <w:rPr>
          <w:sz w:val="28"/>
          <w:szCs w:val="28"/>
        </w:rPr>
        <w:t>Переход Дерево связей, показатели которых включены в расширенную версию по статистике государственных финансов.</w:t>
      </w:r>
      <w:r w:rsidRPr="00206C4C">
        <w:rPr>
          <w:b/>
          <w:sz w:val="28"/>
          <w:szCs w:val="28"/>
        </w:rPr>
        <w:t xml:space="preserve"> </w:t>
      </w:r>
    </w:p>
    <w:p w:rsidR="00472B5B" w:rsidRPr="00206C4C" w:rsidRDefault="00472B5B" w:rsidP="00472B5B">
      <w:pPr>
        <w:spacing w:line="360" w:lineRule="exact"/>
        <w:ind w:firstLine="709"/>
        <w:rPr>
          <w:b/>
          <w:sz w:val="28"/>
          <w:szCs w:val="28"/>
        </w:rPr>
      </w:pPr>
      <w:r w:rsidRPr="00206C4C">
        <w:rPr>
          <w:sz w:val="28"/>
          <w:szCs w:val="28"/>
        </w:rPr>
        <w:t>Реализован переход к представлению «Инфографика «Связи» - «Дерево связей» - «Схема».</w:t>
      </w:r>
    </w:p>
    <w:p w:rsidR="00472B5B" w:rsidRPr="00206C4C" w:rsidRDefault="00472B5B" w:rsidP="00862055">
      <w:pPr>
        <w:pStyle w:val="42"/>
        <w:numPr>
          <w:ilvl w:val="3"/>
          <w:numId w:val="135"/>
        </w:numPr>
      </w:pPr>
      <w:r w:rsidRPr="00206C4C">
        <w:t>Представление «Инфографика</w:t>
      </w:r>
      <w:r w:rsidR="00B6743C">
        <w:t xml:space="preserve"> «Связи»</w:t>
      </w:r>
      <w:r w:rsidRPr="00206C4C">
        <w:t>» - «Дерево связей» - «Схема»</w:t>
      </w:r>
    </w:p>
    <w:p w:rsidR="00472B5B" w:rsidRPr="00206C4C" w:rsidRDefault="00472B5B" w:rsidP="00472B5B">
      <w:pPr>
        <w:spacing w:line="360" w:lineRule="exact"/>
        <w:ind w:firstLine="708"/>
        <w:rPr>
          <w:sz w:val="28"/>
          <w:szCs w:val="28"/>
        </w:rPr>
      </w:pPr>
      <w:r w:rsidRPr="00206C4C">
        <w:rPr>
          <w:sz w:val="28"/>
          <w:szCs w:val="28"/>
        </w:rPr>
        <w:t>Представление «Инфографика «Связи»</w:t>
      </w:r>
      <w:r w:rsidR="00B6743C">
        <w:rPr>
          <w:sz w:val="28"/>
          <w:szCs w:val="28"/>
        </w:rPr>
        <w:t>»</w:t>
      </w:r>
      <w:r w:rsidRPr="00206C4C">
        <w:rPr>
          <w:sz w:val="28"/>
          <w:szCs w:val="28"/>
        </w:rPr>
        <w:t xml:space="preserve"> - «Дерево связей» - «Схема» обеспечивает возможность визуального анализа связей единиц, показатели которых включены в расширенную информацию по статистике государственных финансов. Представление отображается в виде схемы, при выборе соответствующих параметров (Рисунок</w:t>
      </w:r>
      <w:r w:rsidR="00B6743C">
        <w:rPr>
          <w:sz w:val="28"/>
          <w:szCs w:val="28"/>
        </w:rPr>
        <w:t xml:space="preserve"> </w:t>
      </w:r>
      <w:r w:rsidR="00B6743C">
        <w:rPr>
          <w:sz w:val="28"/>
          <w:szCs w:val="28"/>
        </w:rPr>
        <w:fldChar w:fldCharType="begin"/>
      </w:r>
      <w:r w:rsidR="00B6743C">
        <w:rPr>
          <w:sz w:val="28"/>
          <w:szCs w:val="28"/>
        </w:rPr>
        <w:instrText xml:space="preserve"> REF _Ref70320327 \h </w:instrText>
      </w:r>
      <w:r w:rsidR="00B6743C">
        <w:rPr>
          <w:sz w:val="28"/>
          <w:szCs w:val="28"/>
        </w:rPr>
      </w:r>
      <w:r w:rsidR="00B6743C">
        <w:rPr>
          <w:sz w:val="28"/>
          <w:szCs w:val="28"/>
        </w:rPr>
        <w:fldChar w:fldCharType="separate"/>
      </w:r>
      <w:r w:rsidR="00BF0BEE">
        <w:rPr>
          <w:noProof/>
        </w:rPr>
        <w:t>437</w:t>
      </w:r>
      <w:r w:rsidR="00B6743C">
        <w:rPr>
          <w:sz w:val="28"/>
          <w:szCs w:val="28"/>
        </w:rPr>
        <w:fldChar w:fldCharType="end"/>
      </w:r>
      <w:r w:rsidRPr="00206C4C">
        <w:rPr>
          <w:sz w:val="28"/>
          <w:szCs w:val="28"/>
        </w:rPr>
        <w:t xml:space="preserve">). </w:t>
      </w:r>
    </w:p>
    <w:p w:rsidR="00B6743C" w:rsidRDefault="00B6743C" w:rsidP="00B6743C">
      <w:pPr>
        <w:pStyle w:val="afffff7"/>
        <w:keepNext/>
      </w:pPr>
      <w:r>
        <w:rPr>
          <w:noProof/>
          <w:lang w:eastAsia="ru-RU"/>
        </w:rPr>
        <w:drawing>
          <wp:inline distT="0" distB="0" distL="0" distR="0" wp14:anchorId="26A34ACF" wp14:editId="6179A670">
            <wp:extent cx="5939790" cy="2897249"/>
            <wp:effectExtent l="0" t="0" r="381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5"/>
                    <a:stretch>
                      <a:fillRect/>
                    </a:stretch>
                  </pic:blipFill>
                  <pic:spPr>
                    <a:xfrm>
                      <a:off x="0" y="0"/>
                      <a:ext cx="5939790" cy="2897249"/>
                    </a:xfrm>
                    <a:prstGeom prst="rect">
                      <a:avLst/>
                    </a:prstGeom>
                  </pic:spPr>
                </pic:pic>
              </a:graphicData>
            </a:graphic>
          </wp:inline>
        </w:drawing>
      </w:r>
    </w:p>
    <w:p w:rsidR="00472B5B" w:rsidRPr="00206C4C" w:rsidRDefault="00B6743C" w:rsidP="00B6743C">
      <w:pPr>
        <w:pStyle w:val="-0"/>
      </w:pPr>
      <w:bookmarkStart w:id="1954" w:name="_Toc119584699"/>
      <w:r w:rsidRPr="00206C4C">
        <w:rPr>
          <w:szCs w:val="28"/>
        </w:rPr>
        <w:t xml:space="preserve">Рисунок </w:t>
      </w:r>
      <w:fldSimple w:instr=" SEQ Рисунок \* ARABIC ">
        <w:bookmarkStart w:id="1955" w:name="_Ref70320327"/>
        <w:r w:rsidR="001860A9">
          <w:rPr>
            <w:noProof/>
          </w:rPr>
          <w:t>512</w:t>
        </w:r>
        <w:bookmarkEnd w:id="1955"/>
      </w:fldSimple>
      <w:r w:rsidRPr="00206C4C">
        <w:rPr>
          <w:szCs w:val="28"/>
        </w:rPr>
        <w:t xml:space="preserve"> – </w:t>
      </w:r>
      <w:r w:rsidRPr="00206C4C">
        <w:rPr>
          <w:rStyle w:val="af1"/>
        </w:rPr>
        <w:t>Макет отчета «Информация по статистике государственных финансов Российской Федерации», представление «Инфографика «Связи» - «Дерево связей» - «Схема»</w:t>
      </w:r>
      <w:bookmarkEnd w:id="1954"/>
    </w:p>
    <w:p w:rsidR="00472B5B" w:rsidRPr="00206C4C" w:rsidRDefault="00472B5B" w:rsidP="00472B5B">
      <w:pPr>
        <w:pStyle w:val="GOSTNormal"/>
        <w:spacing w:line="360" w:lineRule="exact"/>
        <w:rPr>
          <w:snapToGrid w:val="0"/>
          <w:color w:val="000000"/>
          <w:sz w:val="28"/>
          <w:szCs w:val="28"/>
        </w:rPr>
      </w:pPr>
      <w:r w:rsidRPr="00206C4C">
        <w:rPr>
          <w:snapToGrid w:val="0"/>
          <w:color w:val="000000"/>
          <w:sz w:val="28"/>
          <w:szCs w:val="28"/>
        </w:rPr>
        <w:t>Инфографика состоит из:</w:t>
      </w:r>
    </w:p>
    <w:p w:rsidR="00472B5B" w:rsidRPr="00206C4C" w:rsidRDefault="00472B5B" w:rsidP="00794B58">
      <w:pPr>
        <w:pStyle w:val="GOSTNormal"/>
        <w:numPr>
          <w:ilvl w:val="0"/>
          <w:numId w:val="65"/>
        </w:numPr>
        <w:tabs>
          <w:tab w:val="left" w:pos="993"/>
        </w:tabs>
        <w:spacing w:line="360" w:lineRule="exact"/>
        <w:rPr>
          <w:snapToGrid w:val="0"/>
          <w:color w:val="000000"/>
          <w:sz w:val="28"/>
          <w:szCs w:val="28"/>
        </w:rPr>
      </w:pPr>
      <w:r w:rsidRPr="00206C4C">
        <w:rPr>
          <w:snapToGrid w:val="0"/>
          <w:color w:val="000000"/>
          <w:sz w:val="28"/>
          <w:szCs w:val="28"/>
        </w:rPr>
        <w:t>Заголовка: «Дерево связей и единиц, включенных в расширенную информацию по статистике государственных финансов».</w:t>
      </w:r>
    </w:p>
    <w:p w:rsidR="00472B5B" w:rsidRPr="00206C4C" w:rsidRDefault="00472B5B" w:rsidP="00794B58">
      <w:pPr>
        <w:pStyle w:val="GOSTNormal"/>
        <w:numPr>
          <w:ilvl w:val="0"/>
          <w:numId w:val="65"/>
        </w:numPr>
        <w:tabs>
          <w:tab w:val="left" w:pos="993"/>
        </w:tabs>
        <w:spacing w:line="360" w:lineRule="exact"/>
        <w:rPr>
          <w:sz w:val="28"/>
          <w:szCs w:val="28"/>
        </w:rPr>
      </w:pPr>
      <w:r w:rsidRPr="00206C4C">
        <w:rPr>
          <w:sz w:val="28"/>
          <w:szCs w:val="28"/>
        </w:rPr>
        <w:t>Параметра отчета:</w:t>
      </w:r>
    </w:p>
    <w:p w:rsidR="00472B5B" w:rsidRPr="00206C4C" w:rsidRDefault="00472B5B" w:rsidP="00794B58">
      <w:pPr>
        <w:pStyle w:val="afff6"/>
        <w:numPr>
          <w:ilvl w:val="0"/>
          <w:numId w:val="62"/>
        </w:numPr>
        <w:spacing w:line="360" w:lineRule="exact"/>
        <w:ind w:left="851" w:hanging="142"/>
        <w:rPr>
          <w:snapToGrid/>
          <w:color w:val="auto"/>
          <w:szCs w:val="28"/>
        </w:rPr>
      </w:pPr>
      <w:r w:rsidRPr="00206C4C">
        <w:rPr>
          <w:snapToGrid/>
          <w:color w:val="auto"/>
          <w:szCs w:val="28"/>
        </w:rPr>
        <w:t>«Год»</w:t>
      </w:r>
    </w:p>
    <w:p w:rsidR="00472B5B" w:rsidRPr="00206C4C" w:rsidRDefault="00472B5B" w:rsidP="00472B5B">
      <w:pPr>
        <w:pStyle w:val="afff6"/>
        <w:spacing w:line="360" w:lineRule="exact"/>
        <w:ind w:left="720"/>
        <w:rPr>
          <w:snapToGrid/>
          <w:color w:val="auto"/>
          <w:szCs w:val="28"/>
        </w:rPr>
      </w:pPr>
      <w:r w:rsidRPr="00206C4C">
        <w:rPr>
          <w:snapToGrid/>
          <w:color w:val="auto"/>
          <w:szCs w:val="28"/>
        </w:rPr>
        <w:t xml:space="preserve">Выпадающий список, предусматривающий выбор года. </w:t>
      </w:r>
    </w:p>
    <w:p w:rsidR="00472B5B" w:rsidRPr="00206C4C" w:rsidRDefault="00472B5B" w:rsidP="00472B5B">
      <w:pPr>
        <w:pStyle w:val="afff6"/>
        <w:spacing w:line="360" w:lineRule="exact"/>
        <w:ind w:left="720"/>
        <w:rPr>
          <w:snapToGrid/>
          <w:color w:val="auto"/>
          <w:szCs w:val="28"/>
        </w:rPr>
      </w:pPr>
      <w:r w:rsidRPr="00206C4C">
        <w:rPr>
          <w:snapToGrid/>
          <w:color w:val="auto"/>
          <w:szCs w:val="28"/>
        </w:rPr>
        <w:t>По умолчанию выводится текущий год.</w:t>
      </w:r>
    </w:p>
    <w:p w:rsidR="00472B5B" w:rsidRPr="00206C4C" w:rsidRDefault="00472B5B" w:rsidP="00794B58">
      <w:pPr>
        <w:pStyle w:val="GOSTNormal"/>
        <w:numPr>
          <w:ilvl w:val="0"/>
          <w:numId w:val="65"/>
        </w:numPr>
        <w:tabs>
          <w:tab w:val="left" w:pos="993"/>
        </w:tabs>
        <w:spacing w:line="360" w:lineRule="exact"/>
        <w:rPr>
          <w:sz w:val="28"/>
          <w:szCs w:val="28"/>
        </w:rPr>
      </w:pPr>
      <w:r w:rsidRPr="00206C4C">
        <w:rPr>
          <w:sz w:val="28"/>
          <w:szCs w:val="28"/>
        </w:rPr>
        <w:t>Схемы инфографики (на которой изображены доли, находящие в собственности субъекта).</w:t>
      </w:r>
    </w:p>
    <w:p w:rsidR="00472B5B" w:rsidRPr="00206C4C" w:rsidRDefault="00472B5B" w:rsidP="00862055">
      <w:pPr>
        <w:pStyle w:val="42"/>
        <w:numPr>
          <w:ilvl w:val="3"/>
          <w:numId w:val="135"/>
        </w:numPr>
      </w:pPr>
      <w:r w:rsidRPr="00206C4C">
        <w:t>Представление «Инфографика</w:t>
      </w:r>
      <w:r w:rsidR="00097ED8">
        <w:t xml:space="preserve"> «Связи»</w:t>
      </w:r>
      <w:r w:rsidRPr="00206C4C">
        <w:t>» - «Дерево связей»</w:t>
      </w:r>
      <w:r w:rsidRPr="00206C4C">
        <w:tab/>
        <w:t xml:space="preserve"> - «Таблица»</w:t>
      </w:r>
    </w:p>
    <w:p w:rsidR="00472B5B" w:rsidRPr="00206C4C" w:rsidRDefault="00472B5B" w:rsidP="00472B5B">
      <w:pPr>
        <w:pStyle w:val="af0"/>
        <w:rPr>
          <w:szCs w:val="24"/>
        </w:rPr>
      </w:pPr>
      <w:r w:rsidRPr="00206C4C">
        <w:t>Представление «Инфографика «Связи»</w:t>
      </w:r>
      <w:r w:rsidR="00097ED8">
        <w:t>»</w:t>
      </w:r>
      <w:r w:rsidRPr="00206C4C">
        <w:t xml:space="preserve"> - «Дерево связей» - «Схема» обеспечивает возможность визуального анализа связей единиц, показатели которых включены в расширенную информацию по статистике государственных финансов. Представление отображается в виде таблицы, при выборе соответствующих параметров (Рисунок</w:t>
      </w:r>
      <w:r w:rsidR="00694E17">
        <w:t xml:space="preserve"> </w:t>
      </w:r>
      <w:r w:rsidR="00694E17">
        <w:fldChar w:fldCharType="begin"/>
      </w:r>
      <w:r w:rsidR="00694E17">
        <w:instrText xml:space="preserve"> REF _Ref70320382 \h </w:instrText>
      </w:r>
      <w:r w:rsidR="00694E17">
        <w:fldChar w:fldCharType="separate"/>
      </w:r>
      <w:r w:rsidR="00BF0BEE">
        <w:rPr>
          <w:noProof/>
        </w:rPr>
        <w:t>438</w:t>
      </w:r>
      <w:r w:rsidR="00694E17">
        <w:fldChar w:fldCharType="end"/>
      </w:r>
      <w:r w:rsidRPr="00206C4C">
        <w:t>).</w:t>
      </w:r>
    </w:p>
    <w:p w:rsidR="00694E17" w:rsidRDefault="00694E17" w:rsidP="00694E17">
      <w:pPr>
        <w:pStyle w:val="afffff7"/>
        <w:keepNext/>
      </w:pPr>
      <w:r>
        <w:rPr>
          <w:noProof/>
          <w:lang w:eastAsia="ru-RU"/>
        </w:rPr>
        <w:drawing>
          <wp:inline distT="0" distB="0" distL="0" distR="0" wp14:anchorId="12F2FC38" wp14:editId="0EC2A88B">
            <wp:extent cx="5939790" cy="2889280"/>
            <wp:effectExtent l="0" t="0" r="3810" b="6350"/>
            <wp:docPr id="5952" name="Рисунок 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6"/>
                    <a:stretch>
                      <a:fillRect/>
                    </a:stretch>
                  </pic:blipFill>
                  <pic:spPr>
                    <a:xfrm>
                      <a:off x="0" y="0"/>
                      <a:ext cx="5939790" cy="2889280"/>
                    </a:xfrm>
                    <a:prstGeom prst="rect">
                      <a:avLst/>
                    </a:prstGeom>
                  </pic:spPr>
                </pic:pic>
              </a:graphicData>
            </a:graphic>
          </wp:inline>
        </w:drawing>
      </w:r>
    </w:p>
    <w:p w:rsidR="00472B5B" w:rsidRPr="00206C4C" w:rsidRDefault="00694E17" w:rsidP="00694E17">
      <w:pPr>
        <w:pStyle w:val="-0"/>
      </w:pPr>
      <w:bookmarkStart w:id="1956" w:name="_Toc119584700"/>
      <w:r w:rsidRPr="00206C4C">
        <w:t xml:space="preserve">Рисунок </w:t>
      </w:r>
      <w:fldSimple w:instr=" SEQ Рисунок \* ARABIC ">
        <w:bookmarkStart w:id="1957" w:name="_Ref70320382"/>
        <w:r w:rsidR="001860A9">
          <w:rPr>
            <w:noProof/>
          </w:rPr>
          <w:t>513</w:t>
        </w:r>
        <w:bookmarkEnd w:id="1957"/>
      </w:fldSimple>
      <w:r w:rsidRPr="00206C4C">
        <w:t xml:space="preserve"> – </w:t>
      </w:r>
      <w:r w:rsidRPr="00206C4C">
        <w:rPr>
          <w:rStyle w:val="af1"/>
        </w:rPr>
        <w:t>Макет отчета «Информация по статистике государственных финансов Российской Федерации», представление «Инфографика «Связи» - «Дерево связей» - «Таблица»</w:t>
      </w:r>
      <w:bookmarkEnd w:id="1956"/>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Столбцы таблицы:</w:t>
      </w:r>
    </w:p>
    <w:p w:rsidR="00472B5B" w:rsidRPr="00206C4C" w:rsidRDefault="00472B5B" w:rsidP="00DE1661">
      <w:pPr>
        <w:pStyle w:val="13"/>
        <w:rPr>
          <w:snapToGrid/>
        </w:rPr>
      </w:pPr>
      <w:r w:rsidRPr="00206C4C">
        <w:rPr>
          <w:snapToGrid/>
        </w:rPr>
        <w:t>Наименование организации (выводится поле NAME таблицы фактов F_SGF_ORG), предусматривается переход с синего треугольника в правом верхнем углу в «Реестр участников и неучастников бюджетного процесса»;</w:t>
      </w:r>
    </w:p>
    <w:p w:rsidR="00472B5B" w:rsidRPr="00206C4C" w:rsidRDefault="00472B5B" w:rsidP="00DE1661">
      <w:pPr>
        <w:pStyle w:val="13"/>
        <w:rPr>
          <w:snapToGrid/>
        </w:rPr>
      </w:pPr>
      <w:r w:rsidRPr="00206C4C">
        <w:rPr>
          <w:snapToGrid/>
        </w:rPr>
        <w:t>Код организации (выводится поле CODE_ORG таблицы фактов F_SGF_ORG);</w:t>
      </w:r>
    </w:p>
    <w:p w:rsidR="00472B5B" w:rsidRPr="00206C4C" w:rsidRDefault="00472B5B" w:rsidP="00DE1661">
      <w:pPr>
        <w:pStyle w:val="13"/>
        <w:rPr>
          <w:snapToGrid/>
        </w:rPr>
      </w:pPr>
      <w:r w:rsidRPr="00206C4C">
        <w:rPr>
          <w:snapToGrid/>
        </w:rPr>
        <w:t>ИНН (выводится поле INN  таблицы фактов F_SGF_ORG);</w:t>
      </w:r>
    </w:p>
    <w:p w:rsidR="00472B5B" w:rsidRPr="00206C4C" w:rsidRDefault="00472B5B" w:rsidP="00DE1661">
      <w:pPr>
        <w:pStyle w:val="13"/>
        <w:rPr>
          <w:snapToGrid/>
        </w:rPr>
      </w:pPr>
      <w:r w:rsidRPr="00206C4C">
        <w:rPr>
          <w:snapToGrid/>
        </w:rPr>
        <w:t>КПП (выводится поле KPP таблицы фактов F_SGF_ORG);</w:t>
      </w:r>
    </w:p>
    <w:p w:rsidR="00472B5B" w:rsidRPr="00206C4C" w:rsidRDefault="00472B5B" w:rsidP="00DE1661">
      <w:pPr>
        <w:pStyle w:val="13"/>
        <w:rPr>
          <w:snapToGrid/>
        </w:rPr>
      </w:pPr>
      <w:r w:rsidRPr="00206C4C">
        <w:rPr>
          <w:snapToGrid/>
        </w:rPr>
        <w:t>Доля РФ,% (выводится поле SUPRF таблицы фактов F_SGF_ORG);</w:t>
      </w:r>
    </w:p>
    <w:p w:rsidR="00472B5B" w:rsidRPr="00206C4C" w:rsidRDefault="00472B5B" w:rsidP="00DE1661">
      <w:pPr>
        <w:pStyle w:val="13"/>
        <w:rPr>
          <w:snapToGrid/>
        </w:rPr>
      </w:pPr>
      <w:r w:rsidRPr="00206C4C">
        <w:rPr>
          <w:snapToGrid/>
        </w:rPr>
        <w:t>Доля субъектов, % (выводится поле SUPSUB таблицы фактов F_SGF_ORG);</w:t>
      </w:r>
    </w:p>
    <w:p w:rsidR="00472B5B" w:rsidRPr="00206C4C" w:rsidRDefault="00472B5B" w:rsidP="00DE1661">
      <w:pPr>
        <w:pStyle w:val="13"/>
        <w:rPr>
          <w:snapToGrid/>
        </w:rPr>
      </w:pPr>
      <w:r w:rsidRPr="00206C4C">
        <w:rPr>
          <w:snapToGrid/>
        </w:rPr>
        <w:t>Доля иные,% (выводится поле SUPOTHER таблицы фактов F_SGF_ORG);</w:t>
      </w:r>
    </w:p>
    <w:p w:rsidR="00472B5B" w:rsidRPr="00206C4C" w:rsidRDefault="00472B5B" w:rsidP="00862055">
      <w:pPr>
        <w:pStyle w:val="42"/>
        <w:numPr>
          <w:ilvl w:val="3"/>
          <w:numId w:val="135"/>
        </w:numPr>
        <w:rPr>
          <w:szCs w:val="24"/>
        </w:rPr>
      </w:pPr>
      <w:r w:rsidRPr="00206C4C">
        <w:t>Представление «ГОССЕКТОР» - «Инфографика»</w:t>
      </w:r>
      <w:r w:rsidRPr="00206C4C">
        <w:tab/>
        <w:t xml:space="preserve"> </w:t>
      </w:r>
    </w:p>
    <w:p w:rsidR="00472B5B" w:rsidRPr="00206C4C" w:rsidRDefault="00472B5B" w:rsidP="00472B5B">
      <w:pPr>
        <w:pStyle w:val="GOSTNormal"/>
        <w:spacing w:line="360" w:lineRule="exact"/>
        <w:rPr>
          <w:snapToGrid w:val="0"/>
          <w:color w:val="000000"/>
          <w:sz w:val="28"/>
          <w:szCs w:val="28"/>
        </w:rPr>
      </w:pPr>
      <w:r w:rsidRPr="00206C4C">
        <w:rPr>
          <w:snapToGrid w:val="0"/>
          <w:color w:val="000000"/>
          <w:sz w:val="28"/>
          <w:szCs w:val="28"/>
        </w:rPr>
        <w:t>Представление «ГОССЕКТОР» - «Инфографика» обеспечивает возможность визуального  анализа и мониторинга данных по Государственному сектору с возможностью применения фильтров, соответствующих показателям отчета в абсолютном выражении, при выборе соответствующих параметров (</w:t>
      </w:r>
      <w:r w:rsidRPr="002D6509">
        <w:rPr>
          <w:snapToGrid w:val="0"/>
          <w:color w:val="000000"/>
          <w:sz w:val="28"/>
          <w:szCs w:val="28"/>
        </w:rPr>
        <w:t xml:space="preserve">Рисунок </w:t>
      </w:r>
      <w:r w:rsidRPr="002D6509">
        <w:rPr>
          <w:snapToGrid w:val="0"/>
          <w:color w:val="000000"/>
          <w:sz w:val="28"/>
          <w:szCs w:val="28"/>
        </w:rPr>
        <w:fldChar w:fldCharType="begin"/>
      </w:r>
      <w:r w:rsidRPr="002D6509">
        <w:rPr>
          <w:snapToGrid w:val="0"/>
          <w:color w:val="000000"/>
          <w:sz w:val="28"/>
          <w:szCs w:val="28"/>
        </w:rPr>
        <w:instrText xml:space="preserve"> REF _Ref20051899 \h  \* MERGEFORMAT </w:instrText>
      </w:r>
      <w:r w:rsidRPr="002D6509">
        <w:rPr>
          <w:snapToGrid w:val="0"/>
          <w:color w:val="000000"/>
          <w:sz w:val="28"/>
          <w:szCs w:val="28"/>
        </w:rPr>
      </w:r>
      <w:r w:rsidRPr="002D6509">
        <w:rPr>
          <w:snapToGrid w:val="0"/>
          <w:color w:val="000000"/>
          <w:sz w:val="28"/>
          <w:szCs w:val="28"/>
        </w:rPr>
        <w:fldChar w:fldCharType="separate"/>
      </w:r>
      <w:r w:rsidR="00BF0BEE" w:rsidRPr="00BF0BEE">
        <w:rPr>
          <w:noProof/>
          <w:sz w:val="28"/>
          <w:szCs w:val="28"/>
        </w:rPr>
        <w:t>439</w:t>
      </w:r>
      <w:r w:rsidRPr="002D6509">
        <w:rPr>
          <w:snapToGrid w:val="0"/>
          <w:color w:val="000000"/>
          <w:sz w:val="28"/>
          <w:szCs w:val="28"/>
        </w:rPr>
        <w:fldChar w:fldCharType="end"/>
      </w:r>
      <w:r w:rsidRPr="00206C4C">
        <w:rPr>
          <w:snapToGrid w:val="0"/>
          <w:color w:val="000000"/>
          <w:sz w:val="28"/>
          <w:szCs w:val="28"/>
        </w:rPr>
        <w:t>).</w:t>
      </w:r>
    </w:p>
    <w:p w:rsidR="00472B5B" w:rsidRPr="00206C4C" w:rsidRDefault="00472B5B" w:rsidP="00472B5B">
      <w:pPr>
        <w:pStyle w:val="afffff7"/>
        <w:keepNext/>
      </w:pPr>
      <w:r w:rsidRPr="00206C4C">
        <w:rPr>
          <w:noProof/>
          <w:lang w:eastAsia="ru-RU"/>
        </w:rPr>
        <w:drawing>
          <wp:inline distT="0" distB="0" distL="0" distR="0" wp14:anchorId="5CC898D0" wp14:editId="169B45DF">
            <wp:extent cx="5760085" cy="2960221"/>
            <wp:effectExtent l="0" t="0" r="0" b="0"/>
            <wp:docPr id="5974" name="Рисунок 5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7"/>
                    <a:srcRect l="3095" t="18902" r="20503" b="11293"/>
                    <a:stretch/>
                  </pic:blipFill>
                  <pic:spPr bwMode="auto">
                    <a:xfrm>
                      <a:off x="0" y="0"/>
                      <a:ext cx="5760085" cy="2960221"/>
                    </a:xfrm>
                    <a:prstGeom prst="rect">
                      <a:avLst/>
                    </a:prstGeom>
                    <a:ln>
                      <a:noFill/>
                    </a:ln>
                    <a:extLst>
                      <a:ext uri="{53640926-AAD7-44D8-BBD7-CCE9431645EC}">
                        <a14:shadowObscured xmlns:a14="http://schemas.microsoft.com/office/drawing/2010/main"/>
                      </a:ext>
                    </a:extLst>
                  </pic:spPr>
                </pic:pic>
              </a:graphicData>
            </a:graphic>
          </wp:inline>
        </w:drawing>
      </w:r>
    </w:p>
    <w:p w:rsidR="00472B5B" w:rsidRPr="00206C4C" w:rsidRDefault="00472B5B" w:rsidP="00533FE0">
      <w:pPr>
        <w:pStyle w:val="-0"/>
        <w:rPr>
          <w:szCs w:val="28"/>
        </w:rPr>
      </w:pPr>
      <w:bookmarkStart w:id="1958" w:name="_Toc37845607"/>
      <w:bookmarkStart w:id="1959" w:name="_Toc69290574"/>
      <w:bookmarkStart w:id="1960" w:name="_Toc119584701"/>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1961" w:name="_Ref20051899"/>
      <w:r w:rsidR="001860A9">
        <w:rPr>
          <w:noProof/>
          <w:szCs w:val="28"/>
        </w:rPr>
        <w:t>514</w:t>
      </w:r>
      <w:bookmarkEnd w:id="1961"/>
      <w:r w:rsidRPr="00206C4C">
        <w:rPr>
          <w:szCs w:val="28"/>
        </w:rPr>
        <w:fldChar w:fldCharType="end"/>
      </w:r>
      <w:r w:rsidRPr="00206C4C">
        <w:rPr>
          <w:szCs w:val="28"/>
        </w:rPr>
        <w:t xml:space="preserve"> –</w:t>
      </w:r>
      <w:bookmarkStart w:id="1962" w:name="_Toc19528532"/>
      <w:r w:rsidRPr="00206C4C">
        <w:t xml:space="preserve"> </w:t>
      </w:r>
      <w:r w:rsidRPr="00206C4C">
        <w:rPr>
          <w:rStyle w:val="af1"/>
        </w:rPr>
        <w:t xml:space="preserve">Макет отчета «Информация по статистике государственных финансов Российской </w:t>
      </w:r>
      <w:r w:rsidRPr="00533FE0">
        <w:rPr>
          <w:rStyle w:val="af1"/>
          <w:snapToGrid w:val="0"/>
        </w:rPr>
        <w:t>Федерации</w:t>
      </w:r>
      <w:r w:rsidRPr="00206C4C">
        <w:rPr>
          <w:rStyle w:val="af1"/>
        </w:rPr>
        <w:t>», представление «ГОССЕКТОР» - «Инфографика»</w:t>
      </w:r>
      <w:bookmarkEnd w:id="1958"/>
      <w:bookmarkEnd w:id="1959"/>
      <w:bookmarkEnd w:id="1962"/>
      <w:bookmarkEnd w:id="1960"/>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rPr>
          <w:snapToGrid/>
        </w:rPr>
      </w:pPr>
      <w:r w:rsidRPr="00206C4C">
        <w:rPr>
          <w:snapToGrid/>
        </w:rPr>
        <w:t>Значений инфографики:</w:t>
      </w:r>
    </w:p>
    <w:p w:rsidR="00472B5B" w:rsidRPr="00206C4C" w:rsidRDefault="00472B5B" w:rsidP="00794B58">
      <w:pPr>
        <w:pStyle w:val="GOSTNormal"/>
        <w:numPr>
          <w:ilvl w:val="0"/>
          <w:numId w:val="66"/>
        </w:numPr>
        <w:tabs>
          <w:tab w:val="left" w:pos="993"/>
        </w:tabs>
        <w:spacing w:line="360" w:lineRule="exact"/>
        <w:rPr>
          <w:sz w:val="28"/>
          <w:szCs w:val="28"/>
        </w:rPr>
      </w:pPr>
      <w:r w:rsidRPr="00206C4C">
        <w:rPr>
          <w:sz w:val="28"/>
          <w:szCs w:val="28"/>
        </w:rPr>
        <w:t>Блок «Сектор государственного управления»</w:t>
      </w:r>
    </w:p>
    <w:p w:rsidR="00472B5B" w:rsidRPr="00206C4C" w:rsidRDefault="00472B5B" w:rsidP="00DE1661">
      <w:pPr>
        <w:pStyle w:val="13"/>
        <w:rPr>
          <w:snapToGrid/>
        </w:rPr>
      </w:pPr>
      <w:r w:rsidRPr="00206C4C">
        <w:rPr>
          <w:snapToGrid/>
        </w:rPr>
        <w:t>Итого по сектору:</w:t>
      </w:r>
    </w:p>
    <w:p w:rsidR="00472B5B" w:rsidRPr="00206C4C" w:rsidRDefault="00472B5B" w:rsidP="00472B5B">
      <w:pPr>
        <w:pStyle w:val="29"/>
      </w:pPr>
      <w:r w:rsidRPr="00206C4C">
        <w:t>Доходы. Выводится поле VALUE  таблицы фактов F_SGF_I, предусматривается переход  в представление «Доходы СГУ»;</w:t>
      </w:r>
    </w:p>
    <w:p w:rsidR="00472B5B" w:rsidRPr="00206C4C" w:rsidRDefault="00472B5B" w:rsidP="00472B5B">
      <w:pPr>
        <w:pStyle w:val="29"/>
      </w:pPr>
      <w:r w:rsidRPr="00206C4C">
        <w:t>Расходы. Выводится поле VALUE  таблицы фактов F_SGF_O, предусматривается переход в представление «Расходы СГУ»;</w:t>
      </w:r>
    </w:p>
    <w:p w:rsidR="00472B5B" w:rsidRPr="00206C4C" w:rsidRDefault="00472B5B" w:rsidP="00472B5B">
      <w:pPr>
        <w:pStyle w:val="29"/>
      </w:pPr>
      <w:r w:rsidRPr="00206C4C">
        <w:t>Активы. Выводится поле VALUE  таблицы фактов F_SGF_BALANCE, предусматривается переход в представление «Баланс СГУ»;</w:t>
      </w:r>
    </w:p>
    <w:p w:rsidR="00472B5B" w:rsidRPr="00206C4C" w:rsidRDefault="00472B5B" w:rsidP="00472B5B">
      <w:pPr>
        <w:pStyle w:val="29"/>
      </w:pPr>
      <w:r w:rsidRPr="00206C4C">
        <w:t>Обязательства.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VALUE  таблицы фактов F_SGF_BALANCE,  предусматривается переход в представление «Баланс СГУ».</w:t>
      </w:r>
    </w:p>
    <w:p w:rsidR="00472B5B" w:rsidRPr="00206C4C" w:rsidRDefault="00472B5B" w:rsidP="00DE1661">
      <w:pPr>
        <w:pStyle w:val="13"/>
      </w:pPr>
      <w:r w:rsidRPr="00206C4C">
        <w:t>Центральное правительство:</w:t>
      </w:r>
    </w:p>
    <w:p w:rsidR="00472B5B" w:rsidRPr="00206C4C" w:rsidRDefault="00472B5B" w:rsidP="00472B5B">
      <w:pPr>
        <w:pStyle w:val="29"/>
      </w:pPr>
      <w:r w:rsidRPr="00206C4C">
        <w:t>Доходы. Выводится поле VALUE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VALUE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Обязательства.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Фонды социального обеспечения:</w:t>
      </w:r>
    </w:p>
    <w:p w:rsidR="00472B5B" w:rsidRPr="00206C4C" w:rsidRDefault="00472B5B" w:rsidP="00472B5B">
      <w:pPr>
        <w:pStyle w:val="29"/>
      </w:pPr>
      <w:r w:rsidRPr="00206C4C">
        <w:t>Доходы. Выводится поле VALUE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VALUE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VALUE таблицы фактов F_SGF_BALANCE;</w:t>
      </w:r>
    </w:p>
    <w:p w:rsidR="00472B5B" w:rsidRPr="00206C4C" w:rsidRDefault="00472B5B" w:rsidP="00472B5B">
      <w:pPr>
        <w:pStyle w:val="29"/>
      </w:pPr>
      <w:r w:rsidRPr="00206C4C">
        <w:t>Обязательства.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Региональные и местные органы власти:</w:t>
      </w:r>
    </w:p>
    <w:p w:rsidR="00472B5B" w:rsidRPr="00206C4C" w:rsidRDefault="00472B5B" w:rsidP="00472B5B">
      <w:pPr>
        <w:pStyle w:val="29"/>
      </w:pPr>
      <w:r w:rsidRPr="00206C4C">
        <w:t>Доходы. Выводится поле VALUE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VALUE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Обязательства.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VALUE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794B58">
      <w:pPr>
        <w:pStyle w:val="GOSTNormal"/>
        <w:numPr>
          <w:ilvl w:val="0"/>
          <w:numId w:val="66"/>
        </w:numPr>
        <w:tabs>
          <w:tab w:val="left" w:pos="993"/>
        </w:tabs>
        <w:spacing w:line="360" w:lineRule="exact"/>
        <w:rPr>
          <w:sz w:val="28"/>
          <w:szCs w:val="28"/>
        </w:rPr>
      </w:pPr>
      <w:r w:rsidRPr="00206C4C">
        <w:rPr>
          <w:sz w:val="28"/>
          <w:szCs w:val="28"/>
        </w:rPr>
        <w:t>Блок «Государственные корпорации»:</w:t>
      </w:r>
    </w:p>
    <w:p w:rsidR="00472B5B" w:rsidRPr="00206C4C" w:rsidRDefault="00472B5B" w:rsidP="00DE1661">
      <w:pPr>
        <w:pStyle w:val="13"/>
        <w:rPr>
          <w:snapToGrid/>
        </w:rPr>
      </w:pPr>
      <w:r w:rsidRPr="00206C4C">
        <w:rPr>
          <w:snapToGrid/>
        </w:rPr>
        <w:t>Государственные финансовые корпорации</w:t>
      </w:r>
    </w:p>
    <w:p w:rsidR="00472B5B" w:rsidRPr="00206C4C" w:rsidRDefault="00AD1546" w:rsidP="00472B5B">
      <w:pPr>
        <w:pStyle w:val="29"/>
      </w:pPr>
      <w:r>
        <w:t xml:space="preserve">Доходы. Выводится поле VALUE </w:t>
      </w:r>
      <w:r w:rsidR="00472B5B" w:rsidRPr="00206C4C">
        <w:t>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Расходы. Выводится поле VALUE 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Активы.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Обязательства. Выводится поле VALUE 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Чистые активы.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DE1661">
      <w:pPr>
        <w:pStyle w:val="13"/>
        <w:rPr>
          <w:snapToGrid/>
        </w:rPr>
      </w:pPr>
      <w:r w:rsidRPr="00206C4C">
        <w:rPr>
          <w:snapToGrid/>
        </w:rPr>
        <w:t>Государственные нефинансовые корпорации:</w:t>
      </w:r>
    </w:p>
    <w:p w:rsidR="00472B5B" w:rsidRPr="00206C4C" w:rsidRDefault="00472B5B" w:rsidP="00472B5B">
      <w:pPr>
        <w:pStyle w:val="29"/>
      </w:pPr>
      <w:r w:rsidRPr="00206C4C">
        <w:t>Доходы.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Расходы.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Активы.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Обязательства.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Чистые активы. Выводится поле VALUE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794B58">
      <w:pPr>
        <w:pStyle w:val="GOSTNormal"/>
        <w:numPr>
          <w:ilvl w:val="0"/>
          <w:numId w:val="66"/>
        </w:numPr>
        <w:tabs>
          <w:tab w:val="left" w:pos="993"/>
        </w:tabs>
        <w:spacing w:line="360" w:lineRule="exact"/>
        <w:rPr>
          <w:sz w:val="28"/>
          <w:szCs w:val="28"/>
        </w:rPr>
      </w:pPr>
      <w:r w:rsidRPr="00206C4C">
        <w:rPr>
          <w:sz w:val="28"/>
          <w:szCs w:val="28"/>
        </w:rPr>
        <w:t xml:space="preserve">Стрелка «Инвестирование в капитал». Выводится значение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INVEST</w:t>
      </w:r>
      <w:r w:rsidRPr="00206C4C">
        <w:rPr>
          <w:sz w:val="28"/>
          <w:szCs w:val="28"/>
        </w:rPr>
        <w:t>. Реализован переход в представление «Баланс СГУ».</w:t>
      </w:r>
    </w:p>
    <w:p w:rsidR="00472B5B" w:rsidRPr="00206C4C" w:rsidRDefault="00472B5B" w:rsidP="00794B58">
      <w:pPr>
        <w:pStyle w:val="GOSTNormal"/>
        <w:numPr>
          <w:ilvl w:val="0"/>
          <w:numId w:val="66"/>
        </w:numPr>
        <w:tabs>
          <w:tab w:val="left" w:pos="993"/>
        </w:tabs>
        <w:spacing w:line="360" w:lineRule="exact"/>
        <w:rPr>
          <w:sz w:val="28"/>
          <w:szCs w:val="28"/>
        </w:rPr>
      </w:pPr>
      <w:r w:rsidRPr="00206C4C">
        <w:rPr>
          <w:sz w:val="28"/>
          <w:szCs w:val="28"/>
        </w:rPr>
        <w:t>Кнопка  дерево связей единиц, показатели которых включены в расширенную информацию по статистике гос. Финансов.</w:t>
      </w:r>
    </w:p>
    <w:p w:rsidR="00472B5B" w:rsidRPr="00206C4C" w:rsidRDefault="00472B5B" w:rsidP="00472B5B">
      <w:pPr>
        <w:pStyle w:val="GOSTNormal"/>
        <w:spacing w:line="360" w:lineRule="exact"/>
        <w:rPr>
          <w:sz w:val="28"/>
          <w:szCs w:val="28"/>
        </w:rPr>
      </w:pPr>
      <w:r w:rsidRPr="00206C4C">
        <w:rPr>
          <w:sz w:val="28"/>
          <w:szCs w:val="28"/>
        </w:rPr>
        <w:t>Реализован переход с текста в представление «Дерево связей»- «Схема»).</w:t>
      </w:r>
    </w:p>
    <w:p w:rsidR="00472B5B" w:rsidRPr="00206C4C" w:rsidRDefault="00472B5B" w:rsidP="00794B58">
      <w:pPr>
        <w:pStyle w:val="GOSTNormal"/>
        <w:numPr>
          <w:ilvl w:val="0"/>
          <w:numId w:val="66"/>
        </w:numPr>
        <w:tabs>
          <w:tab w:val="left" w:pos="993"/>
        </w:tabs>
        <w:spacing w:line="360" w:lineRule="exact"/>
        <w:rPr>
          <w:sz w:val="28"/>
          <w:szCs w:val="28"/>
        </w:rPr>
      </w:pPr>
      <w:r w:rsidRPr="00206C4C">
        <w:rPr>
          <w:sz w:val="28"/>
          <w:szCs w:val="28"/>
        </w:rPr>
        <w:t>Кнопка «Статистика государственных финансов РФ в системе</w:t>
      </w:r>
    </w:p>
    <w:p w:rsidR="00472B5B" w:rsidRPr="00206C4C" w:rsidRDefault="00472B5B" w:rsidP="00472B5B">
      <w:pPr>
        <w:spacing w:line="360" w:lineRule="exact"/>
        <w:rPr>
          <w:sz w:val="28"/>
          <w:szCs w:val="28"/>
        </w:rPr>
      </w:pPr>
      <w:r w:rsidRPr="00206C4C">
        <w:rPr>
          <w:snapToGrid/>
          <w:color w:val="auto"/>
          <w:sz w:val="28"/>
          <w:szCs w:val="28"/>
        </w:rPr>
        <w:t xml:space="preserve">макроэкономической статистики». Реализован </w:t>
      </w:r>
      <w:r w:rsidRPr="00206C4C">
        <w:rPr>
          <w:sz w:val="28"/>
          <w:szCs w:val="28"/>
        </w:rPr>
        <w:t>переход с текста в представление «Инфографика «Связи» - «В абсолютном выражении».</w:t>
      </w:r>
    </w:p>
    <w:p w:rsidR="00472B5B" w:rsidRPr="00206C4C" w:rsidRDefault="00472B5B" w:rsidP="00862055">
      <w:pPr>
        <w:pStyle w:val="42"/>
        <w:numPr>
          <w:ilvl w:val="3"/>
          <w:numId w:val="135"/>
        </w:numPr>
        <w:rPr>
          <w:szCs w:val="24"/>
        </w:rPr>
      </w:pPr>
      <w:r w:rsidRPr="00206C4C">
        <w:t>Представление «ГОССЕКТОР» - «</w:t>
      </w:r>
      <w:r w:rsidRPr="00206C4C">
        <w:rPr>
          <w:sz w:val="30"/>
          <w:szCs w:val="30"/>
        </w:rPr>
        <w:t>Инфографика в процентах к ВВП</w:t>
      </w:r>
      <w:r w:rsidRPr="00206C4C">
        <w:t>»</w:t>
      </w:r>
      <w:r w:rsidRPr="00206C4C">
        <w:tab/>
        <w:t xml:space="preserve"> </w:t>
      </w:r>
    </w:p>
    <w:p w:rsidR="00472B5B" w:rsidRPr="00206C4C" w:rsidRDefault="00472B5B" w:rsidP="00472B5B">
      <w:pPr>
        <w:pStyle w:val="GOSTNormal"/>
        <w:spacing w:line="360" w:lineRule="exact"/>
        <w:rPr>
          <w:snapToGrid w:val="0"/>
          <w:color w:val="000000"/>
          <w:sz w:val="28"/>
          <w:szCs w:val="28"/>
        </w:rPr>
      </w:pPr>
      <w:r w:rsidRPr="00206C4C">
        <w:rPr>
          <w:snapToGrid w:val="0"/>
          <w:color w:val="000000"/>
          <w:sz w:val="28"/>
          <w:szCs w:val="28"/>
        </w:rPr>
        <w:t>Представление «ГОССЕКТОР» - «Инфографика в процентах к ВВП» обеспечивает возможность визуального  анализа и мониторинга данных по Государственному сектору с возможностью применения фильтров, соответствующих показателям отчета в процентах к ВВП, при выборе соответствующих параметров.</w:t>
      </w:r>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Значений инфографики:</w:t>
      </w:r>
    </w:p>
    <w:p w:rsidR="00472B5B" w:rsidRPr="00206C4C" w:rsidRDefault="00472B5B" w:rsidP="00794B58">
      <w:pPr>
        <w:pStyle w:val="GOSTNormal"/>
        <w:numPr>
          <w:ilvl w:val="0"/>
          <w:numId w:val="67"/>
        </w:numPr>
        <w:tabs>
          <w:tab w:val="left" w:pos="993"/>
        </w:tabs>
        <w:spacing w:line="360" w:lineRule="exact"/>
        <w:rPr>
          <w:sz w:val="28"/>
          <w:szCs w:val="28"/>
        </w:rPr>
      </w:pPr>
      <w:r w:rsidRPr="00206C4C">
        <w:rPr>
          <w:sz w:val="28"/>
          <w:szCs w:val="28"/>
        </w:rPr>
        <w:t>Блок отчета «Сектор государственного управления»</w:t>
      </w:r>
    </w:p>
    <w:p w:rsidR="00472B5B" w:rsidRPr="00206C4C" w:rsidRDefault="00472B5B" w:rsidP="00DE1661">
      <w:pPr>
        <w:pStyle w:val="13"/>
        <w:rPr>
          <w:snapToGrid/>
        </w:rPr>
      </w:pPr>
      <w:r w:rsidRPr="00206C4C">
        <w:rPr>
          <w:snapToGrid/>
        </w:rPr>
        <w:t>Итого по сектору:</w:t>
      </w:r>
    </w:p>
    <w:p w:rsidR="00472B5B" w:rsidRPr="00206C4C" w:rsidRDefault="00472B5B" w:rsidP="00472B5B">
      <w:pPr>
        <w:pStyle w:val="29"/>
      </w:pPr>
      <w:r w:rsidRPr="00206C4C">
        <w:t>Доходы. Выводится поле PERCENTGDP  таблицы фактов F_SGF_I, предусматривается переход синим треугольником в правом верхнем углу в представление «Доходы СГУ»;</w:t>
      </w:r>
    </w:p>
    <w:p w:rsidR="00472B5B" w:rsidRPr="00206C4C" w:rsidRDefault="00472B5B" w:rsidP="00472B5B">
      <w:pPr>
        <w:pStyle w:val="29"/>
      </w:pPr>
      <w:r w:rsidRPr="00206C4C">
        <w:t>Расходы. Выводится поле PERCENTGDP  таблицы фактов F_SGF_O, предусматривается переход синим треугольником в правом верхнем углу в представление «Расходы СГУ»;</w:t>
      </w:r>
    </w:p>
    <w:p w:rsidR="00472B5B" w:rsidRPr="00206C4C" w:rsidRDefault="00472B5B" w:rsidP="00472B5B">
      <w:pPr>
        <w:pStyle w:val="29"/>
      </w:pPr>
      <w:r w:rsidRPr="00206C4C">
        <w:t>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Обязательства.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Центральное правительство:</w:t>
      </w:r>
    </w:p>
    <w:p w:rsidR="00472B5B" w:rsidRPr="00206C4C" w:rsidRDefault="00472B5B" w:rsidP="00472B5B">
      <w:pPr>
        <w:pStyle w:val="29"/>
      </w:pPr>
      <w:r w:rsidRPr="00206C4C">
        <w:t>Доходы. Выводится поле PERCENTGDP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PERCENTGDP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Обязательства.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Фонды социального обеспечения:</w:t>
      </w:r>
    </w:p>
    <w:p w:rsidR="00472B5B" w:rsidRPr="00206C4C" w:rsidRDefault="00472B5B" w:rsidP="00472B5B">
      <w:pPr>
        <w:pStyle w:val="29"/>
      </w:pPr>
      <w:r w:rsidRPr="00206C4C">
        <w:t>Доходы. Выводится поле PERCENTGDP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PERCENTGDP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PERCENTGDP  таблицы фактов F_SGF_BALANCE;</w:t>
      </w:r>
    </w:p>
    <w:p w:rsidR="00472B5B" w:rsidRPr="00206C4C" w:rsidRDefault="00472B5B" w:rsidP="00472B5B">
      <w:pPr>
        <w:pStyle w:val="29"/>
      </w:pPr>
      <w:r w:rsidRPr="00206C4C">
        <w:t>Обязательства.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DE1661">
      <w:pPr>
        <w:pStyle w:val="13"/>
        <w:rPr>
          <w:snapToGrid/>
        </w:rPr>
      </w:pPr>
      <w:r w:rsidRPr="00206C4C">
        <w:rPr>
          <w:snapToGrid/>
        </w:rPr>
        <w:t>Региональные и местные органы власти:</w:t>
      </w:r>
    </w:p>
    <w:p w:rsidR="00472B5B" w:rsidRPr="00206C4C" w:rsidRDefault="00472B5B" w:rsidP="00472B5B">
      <w:pPr>
        <w:pStyle w:val="29"/>
      </w:pPr>
      <w:r w:rsidRPr="00206C4C">
        <w:t>Доходы .Выводится поле PERCENTGDP  таблицы фактов F_SGF_I, предусматривается переход с синего треугольника в правом верхнем углу в представление «Доходы СГУ»;</w:t>
      </w:r>
    </w:p>
    <w:p w:rsidR="00472B5B" w:rsidRPr="00206C4C" w:rsidRDefault="00472B5B" w:rsidP="00472B5B">
      <w:pPr>
        <w:pStyle w:val="29"/>
      </w:pPr>
      <w:r w:rsidRPr="00206C4C">
        <w:t>Расходы. Выводится поле PERCENTGDP  таблицы фактов F_SGF_O, предусматривается переход с синего треугольника в правом верхнем углу в представление «Расходы СГУ»;</w:t>
      </w:r>
    </w:p>
    <w:p w:rsidR="00472B5B" w:rsidRPr="00206C4C" w:rsidRDefault="00472B5B" w:rsidP="00472B5B">
      <w:pPr>
        <w:pStyle w:val="29"/>
      </w:pPr>
      <w:r w:rsidRPr="00206C4C">
        <w:t>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Обязательства.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472B5B">
      <w:pPr>
        <w:pStyle w:val="29"/>
      </w:pPr>
      <w:r w:rsidRPr="00206C4C">
        <w:t>Чистые активы. Выводится поле PERCENTGDP таблицы фактов F_SGF_BALANCE, предусматривается переход с синего треугольника в правом верхнем углу в представление «Баланс СГУ».</w:t>
      </w:r>
    </w:p>
    <w:p w:rsidR="00472B5B" w:rsidRPr="00206C4C" w:rsidRDefault="00472B5B" w:rsidP="00794B58">
      <w:pPr>
        <w:pStyle w:val="GOSTNormal"/>
        <w:numPr>
          <w:ilvl w:val="0"/>
          <w:numId w:val="67"/>
        </w:numPr>
        <w:tabs>
          <w:tab w:val="left" w:pos="993"/>
        </w:tabs>
        <w:spacing w:line="360" w:lineRule="exact"/>
        <w:rPr>
          <w:sz w:val="28"/>
          <w:szCs w:val="28"/>
        </w:rPr>
      </w:pPr>
      <w:r w:rsidRPr="00206C4C">
        <w:rPr>
          <w:sz w:val="28"/>
          <w:szCs w:val="28"/>
        </w:rPr>
        <w:t xml:space="preserve">Стрелка «Инвестирование в капитал» </w:t>
      </w:r>
    </w:p>
    <w:p w:rsidR="00472B5B" w:rsidRPr="00206C4C" w:rsidRDefault="00472B5B" w:rsidP="00472B5B">
      <w:pPr>
        <w:pStyle w:val="GOSTNormal"/>
        <w:tabs>
          <w:tab w:val="left" w:pos="1276"/>
        </w:tabs>
        <w:spacing w:line="360" w:lineRule="exact"/>
        <w:ind w:left="792" w:firstLine="0"/>
        <w:rPr>
          <w:sz w:val="28"/>
          <w:szCs w:val="28"/>
        </w:rPr>
      </w:pPr>
      <w:r w:rsidRPr="00206C4C">
        <w:rPr>
          <w:sz w:val="28"/>
          <w:szCs w:val="28"/>
        </w:rPr>
        <w:t>Выводится  значение (</w:t>
      </w:r>
      <w:r w:rsidRPr="00206C4C">
        <w:rPr>
          <w:snapToGrid w:val="0"/>
          <w:sz w:val="28"/>
          <w:szCs w:val="28"/>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INVEST</w:t>
      </w:r>
      <w:r w:rsidRPr="00206C4C">
        <w:rPr>
          <w:sz w:val="28"/>
          <w:szCs w:val="28"/>
        </w:rPr>
        <w:t xml:space="preserve">/ Значение </w:t>
      </w:r>
      <w:r w:rsidRPr="00206C4C">
        <w:rPr>
          <w:sz w:val="28"/>
          <w:szCs w:val="28"/>
          <w:lang w:val="en-US"/>
        </w:rPr>
        <w:t>VALUE</w:t>
      </w:r>
      <w:r w:rsidRPr="00206C4C">
        <w:rPr>
          <w:sz w:val="28"/>
          <w:szCs w:val="28"/>
        </w:rPr>
        <w:t xml:space="preserve"> таблицы фактов  </w:t>
      </w:r>
      <w:r w:rsidRPr="00206C4C">
        <w:rPr>
          <w:sz w:val="28"/>
          <w:szCs w:val="28"/>
          <w:lang w:val="en-US"/>
        </w:rPr>
        <w:t>F</w:t>
      </w:r>
      <w:r w:rsidRPr="00206C4C">
        <w:rPr>
          <w:sz w:val="28"/>
          <w:szCs w:val="28"/>
        </w:rPr>
        <w:t>_</w:t>
      </w:r>
      <w:r w:rsidRPr="00206C4C">
        <w:rPr>
          <w:sz w:val="28"/>
          <w:szCs w:val="28"/>
          <w:lang w:val="en-US"/>
        </w:rPr>
        <w:t>SGF</w:t>
      </w:r>
      <w:r w:rsidRPr="00206C4C">
        <w:rPr>
          <w:sz w:val="28"/>
          <w:szCs w:val="28"/>
        </w:rPr>
        <w:t>_</w:t>
      </w:r>
      <w:r w:rsidRPr="00206C4C">
        <w:rPr>
          <w:sz w:val="28"/>
          <w:szCs w:val="28"/>
          <w:lang w:val="en-US"/>
        </w:rPr>
        <w:t>GDP</w:t>
      </w:r>
      <w:r w:rsidRPr="00206C4C">
        <w:rPr>
          <w:sz w:val="28"/>
          <w:szCs w:val="28"/>
        </w:rPr>
        <w:t>) * 100 % , предусматривается переход в представление «Баланс СГУ».</w:t>
      </w:r>
    </w:p>
    <w:p w:rsidR="00472B5B" w:rsidRPr="00206C4C" w:rsidRDefault="00472B5B" w:rsidP="00794B58">
      <w:pPr>
        <w:pStyle w:val="GOSTNormal"/>
        <w:numPr>
          <w:ilvl w:val="0"/>
          <w:numId w:val="67"/>
        </w:numPr>
        <w:tabs>
          <w:tab w:val="left" w:pos="993"/>
        </w:tabs>
        <w:spacing w:line="360" w:lineRule="exact"/>
        <w:rPr>
          <w:sz w:val="28"/>
          <w:szCs w:val="28"/>
        </w:rPr>
      </w:pPr>
      <w:r w:rsidRPr="00206C4C">
        <w:rPr>
          <w:sz w:val="28"/>
          <w:szCs w:val="28"/>
        </w:rPr>
        <w:t>Блок отчета «Государственные корпорации»:</w:t>
      </w:r>
    </w:p>
    <w:p w:rsidR="00472B5B" w:rsidRPr="00206C4C" w:rsidRDefault="00472B5B" w:rsidP="00DE1661">
      <w:pPr>
        <w:pStyle w:val="13"/>
        <w:rPr>
          <w:snapToGrid/>
        </w:rPr>
      </w:pPr>
      <w:r w:rsidRPr="00206C4C">
        <w:rPr>
          <w:snapToGrid/>
        </w:rPr>
        <w:t>Государственные финансовые корпорации</w:t>
      </w:r>
    </w:p>
    <w:p w:rsidR="00472B5B" w:rsidRPr="00206C4C" w:rsidRDefault="00472B5B" w:rsidP="00472B5B">
      <w:pPr>
        <w:pStyle w:val="29"/>
      </w:pPr>
      <w:r w:rsidRPr="00206C4C">
        <w:t>Доходы .Выводится поле PERCENTGDP 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Расходы. Выводится поле PERCENTGDP 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Активы.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Обязательства. Выводится поле PERCENTGDP таблицы фактов F_SGF_SVOD, предусматривается переход с синего треугольника в правом верхнем углу в представление «ГОССЕКТОР»- «Таблица»;</w:t>
      </w:r>
    </w:p>
    <w:p w:rsidR="00472B5B" w:rsidRPr="00206C4C" w:rsidRDefault="00472B5B" w:rsidP="00472B5B">
      <w:pPr>
        <w:pStyle w:val="29"/>
      </w:pPr>
      <w:r w:rsidRPr="00206C4C">
        <w:t>Чистые активы.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DE1661">
      <w:pPr>
        <w:pStyle w:val="13"/>
        <w:rPr>
          <w:snapToGrid/>
        </w:rPr>
      </w:pPr>
      <w:r w:rsidRPr="00206C4C">
        <w:rPr>
          <w:snapToGrid/>
        </w:rPr>
        <w:t>Государственные нефинансовые корпорации:</w:t>
      </w:r>
    </w:p>
    <w:p w:rsidR="00472B5B" w:rsidRPr="00206C4C" w:rsidRDefault="00472B5B" w:rsidP="00472B5B">
      <w:pPr>
        <w:pStyle w:val="29"/>
      </w:pPr>
      <w:r w:rsidRPr="00206C4C">
        <w:t>Доходы.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Расходы. Выводится поле PERCENTGDP таблицы фактов F_SGF_SVOD, предусматривается переход с синего треугольника в правом верхнем углу в представление «PERCENTGDP» - «Таблица»;</w:t>
      </w:r>
    </w:p>
    <w:p w:rsidR="00472B5B" w:rsidRPr="00206C4C" w:rsidRDefault="00472B5B" w:rsidP="00472B5B">
      <w:pPr>
        <w:pStyle w:val="29"/>
      </w:pPr>
      <w:r w:rsidRPr="00206C4C">
        <w:t>Активы.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Обязательства.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472B5B">
      <w:pPr>
        <w:pStyle w:val="29"/>
      </w:pPr>
      <w:r w:rsidRPr="00206C4C">
        <w:t>Чистые активы. Выводится поле PERCENTGDP таблицы фактов F_SGF_SVOD, предусматривается переход с синего треугольника в правом верхнем углу в представление «ГОССЕКТОР» - «Таблица».</w:t>
      </w:r>
    </w:p>
    <w:p w:rsidR="00472B5B" w:rsidRPr="00206C4C" w:rsidRDefault="00472B5B" w:rsidP="00794B58">
      <w:pPr>
        <w:pStyle w:val="GOSTNormal"/>
        <w:numPr>
          <w:ilvl w:val="0"/>
          <w:numId w:val="67"/>
        </w:numPr>
        <w:tabs>
          <w:tab w:val="left" w:pos="993"/>
        </w:tabs>
        <w:spacing w:line="360" w:lineRule="exact"/>
        <w:ind w:left="360" w:firstLine="0"/>
        <w:rPr>
          <w:sz w:val="28"/>
          <w:szCs w:val="28"/>
        </w:rPr>
      </w:pPr>
      <w:r w:rsidRPr="00206C4C">
        <w:rPr>
          <w:sz w:val="28"/>
          <w:szCs w:val="28"/>
        </w:rPr>
        <w:t>Кнопка  «Дерево связей единиц, показатели которых включены в расширенную информацию по статистике государственных финансов». Реализован переход с синего треугольника в правом верхнем углу в представление «Дерево связей»- «Схема».</w:t>
      </w:r>
    </w:p>
    <w:p w:rsidR="00472B5B" w:rsidRPr="00206C4C" w:rsidRDefault="00472B5B" w:rsidP="00794B58">
      <w:pPr>
        <w:pStyle w:val="GOSTNormal"/>
        <w:numPr>
          <w:ilvl w:val="0"/>
          <w:numId w:val="67"/>
        </w:numPr>
        <w:tabs>
          <w:tab w:val="left" w:pos="993"/>
        </w:tabs>
        <w:spacing w:line="360" w:lineRule="exact"/>
        <w:ind w:left="360" w:firstLine="0"/>
        <w:rPr>
          <w:sz w:val="28"/>
          <w:szCs w:val="28"/>
        </w:rPr>
      </w:pPr>
      <w:r w:rsidRPr="00206C4C">
        <w:rPr>
          <w:sz w:val="28"/>
          <w:szCs w:val="28"/>
        </w:rPr>
        <w:t xml:space="preserve">Кнопка «Статистика государственных финансов РФ в системе макроэкономической статистики». Реализован переход с синего треугольника в правом верхнем углу в представление «Инфографика «Связи» - «В процентах к ВВП». </w:t>
      </w:r>
    </w:p>
    <w:p w:rsidR="00472B5B" w:rsidRPr="00206C4C" w:rsidRDefault="00472B5B" w:rsidP="00862055">
      <w:pPr>
        <w:pStyle w:val="42"/>
        <w:numPr>
          <w:ilvl w:val="3"/>
          <w:numId w:val="135"/>
        </w:numPr>
        <w:rPr>
          <w:szCs w:val="24"/>
        </w:rPr>
      </w:pPr>
      <w:r w:rsidRPr="00206C4C">
        <w:t>Представление «ГОССЕКТОР» - «</w:t>
      </w:r>
      <w:r w:rsidRPr="00206C4C">
        <w:rPr>
          <w:sz w:val="30"/>
          <w:szCs w:val="30"/>
        </w:rPr>
        <w:t>Таблица</w:t>
      </w:r>
      <w:r w:rsidRPr="00206C4C">
        <w:t>»</w:t>
      </w:r>
      <w:r w:rsidRPr="00206C4C">
        <w:tab/>
        <w:t xml:space="preserve"> </w:t>
      </w:r>
    </w:p>
    <w:p w:rsidR="00472B5B" w:rsidRPr="00206C4C" w:rsidRDefault="00472B5B" w:rsidP="00472B5B">
      <w:pPr>
        <w:spacing w:line="360" w:lineRule="exact"/>
        <w:ind w:firstLine="567"/>
        <w:rPr>
          <w:sz w:val="28"/>
          <w:szCs w:val="28"/>
        </w:rPr>
      </w:pPr>
      <w:r w:rsidRPr="00206C4C">
        <w:rPr>
          <w:sz w:val="28"/>
          <w:szCs w:val="28"/>
        </w:rPr>
        <w:t xml:space="preserve">Представление «ГОССЕКТОР» - «Таблица» обеспечивает возможность подробного анализа  и/или сравнительную характеристику отдельных показателей  между отдельными институциональными единицами. Представление отображается в виде таблицы, при выборе соответствующих параметров (Рисунок </w:t>
      </w:r>
      <w:r w:rsidRPr="002D6509">
        <w:rPr>
          <w:sz w:val="28"/>
          <w:szCs w:val="28"/>
        </w:rPr>
        <w:fldChar w:fldCharType="begin"/>
      </w:r>
      <w:r w:rsidRPr="002D6509">
        <w:rPr>
          <w:sz w:val="28"/>
          <w:szCs w:val="28"/>
        </w:rPr>
        <w:instrText xml:space="preserve"> REF _Ref20052954 \h  \* MERGEFORMAT </w:instrText>
      </w:r>
      <w:r w:rsidRPr="002D6509">
        <w:rPr>
          <w:sz w:val="28"/>
          <w:szCs w:val="28"/>
        </w:rPr>
      </w:r>
      <w:r w:rsidRPr="002D6509">
        <w:rPr>
          <w:sz w:val="28"/>
          <w:szCs w:val="28"/>
        </w:rPr>
        <w:fldChar w:fldCharType="separate"/>
      </w:r>
      <w:r w:rsidR="00BF0BEE" w:rsidRPr="00BF0BEE">
        <w:rPr>
          <w:noProof/>
          <w:sz w:val="28"/>
          <w:szCs w:val="28"/>
        </w:rPr>
        <w:t>440</w:t>
      </w:r>
      <w:r w:rsidRPr="002D6509">
        <w:rPr>
          <w:sz w:val="28"/>
          <w:szCs w:val="28"/>
        </w:rPr>
        <w:fldChar w:fldCharType="end"/>
      </w:r>
      <w:r w:rsidRPr="00206C4C">
        <w:rPr>
          <w:sz w:val="28"/>
          <w:szCs w:val="28"/>
        </w:rPr>
        <w:t xml:space="preserve">). </w:t>
      </w:r>
    </w:p>
    <w:p w:rsidR="00472B5B" w:rsidRPr="00206C4C" w:rsidRDefault="00472B5B" w:rsidP="00472B5B">
      <w:pPr>
        <w:pStyle w:val="afffff7"/>
        <w:keepNext/>
      </w:pPr>
      <w:r w:rsidRPr="00206C4C">
        <w:rPr>
          <w:noProof/>
          <w:lang w:eastAsia="ru-RU"/>
        </w:rPr>
        <w:drawing>
          <wp:inline distT="0" distB="0" distL="0" distR="0" wp14:anchorId="5DD43B79" wp14:editId="31FA8B64">
            <wp:extent cx="5760085" cy="2901198"/>
            <wp:effectExtent l="0" t="0" r="0" b="0"/>
            <wp:docPr id="5975" name="Рисунок 5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8"/>
                    <a:srcRect l="3203" t="19217" r="15326" b="7829"/>
                    <a:stretch/>
                  </pic:blipFill>
                  <pic:spPr bwMode="auto">
                    <a:xfrm>
                      <a:off x="0" y="0"/>
                      <a:ext cx="5760085" cy="2901198"/>
                    </a:xfrm>
                    <a:prstGeom prst="rect">
                      <a:avLst/>
                    </a:prstGeom>
                    <a:ln>
                      <a:noFill/>
                    </a:ln>
                    <a:extLst>
                      <a:ext uri="{53640926-AAD7-44D8-BBD7-CCE9431645EC}">
                        <a14:shadowObscured xmlns:a14="http://schemas.microsoft.com/office/drawing/2010/main"/>
                      </a:ext>
                    </a:extLst>
                  </pic:spPr>
                </pic:pic>
              </a:graphicData>
            </a:graphic>
          </wp:inline>
        </w:drawing>
      </w:r>
    </w:p>
    <w:p w:rsidR="00472B5B" w:rsidRPr="00206C4C" w:rsidRDefault="00472B5B" w:rsidP="002D6509">
      <w:pPr>
        <w:pStyle w:val="-0"/>
      </w:pPr>
      <w:bookmarkStart w:id="1963" w:name="_Toc37845608"/>
      <w:bookmarkStart w:id="1964" w:name="_Toc69290575"/>
      <w:bookmarkStart w:id="1965" w:name="_Toc119584702"/>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1966" w:name="_Ref20052954"/>
      <w:r w:rsidR="001860A9">
        <w:rPr>
          <w:noProof/>
          <w:szCs w:val="28"/>
        </w:rPr>
        <w:t>515</w:t>
      </w:r>
      <w:bookmarkEnd w:id="1966"/>
      <w:r w:rsidRPr="00206C4C">
        <w:rPr>
          <w:szCs w:val="28"/>
        </w:rPr>
        <w:fldChar w:fldCharType="end"/>
      </w:r>
      <w:r w:rsidRPr="00206C4C">
        <w:rPr>
          <w:szCs w:val="28"/>
        </w:rPr>
        <w:t xml:space="preserve"> – </w:t>
      </w:r>
      <w:r w:rsidRPr="00206C4C">
        <w:rPr>
          <w:rStyle w:val="af1"/>
        </w:rPr>
        <w:t xml:space="preserve">Макет </w:t>
      </w:r>
      <w:r w:rsidRPr="002D6509">
        <w:rPr>
          <w:rStyle w:val="af1"/>
          <w:snapToGrid w:val="0"/>
        </w:rPr>
        <w:t>отчета</w:t>
      </w:r>
      <w:r w:rsidRPr="00206C4C">
        <w:rPr>
          <w:rStyle w:val="af1"/>
        </w:rPr>
        <w:t xml:space="preserve"> «Информация по статистике государственных финансов Российской Федерации», представление «ГОССЕКТОР» - «Таблица»</w:t>
      </w:r>
      <w:bookmarkEnd w:id="1963"/>
      <w:bookmarkEnd w:id="1964"/>
      <w:bookmarkEnd w:id="1965"/>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Столбцов таблицы:</w:t>
      </w:r>
    </w:p>
    <w:p w:rsidR="00472B5B" w:rsidRPr="00206C4C" w:rsidRDefault="00472B5B" w:rsidP="00DE1661">
      <w:pPr>
        <w:pStyle w:val="13"/>
      </w:pPr>
      <w:r w:rsidRPr="00206C4C">
        <w:t xml:space="preserve">Наименование показателя. Выводится поле </w:t>
      </w:r>
      <w:r w:rsidRPr="00206C4C">
        <w:rPr>
          <w:lang w:val="en-US"/>
        </w:rPr>
        <w:t>NAME</w:t>
      </w:r>
      <w:r w:rsidRPr="00206C4C">
        <w:t xml:space="preserve"> таблицы фактов </w:t>
      </w:r>
      <w:r w:rsidRPr="00206C4C">
        <w:rPr>
          <w:lang w:val="en-US"/>
        </w:rPr>
        <w:t>D</w:t>
      </w:r>
      <w:r w:rsidRPr="00206C4C">
        <w:t>_</w:t>
      </w:r>
      <w:r w:rsidRPr="00206C4C">
        <w:rPr>
          <w:lang w:val="en-US"/>
        </w:rPr>
        <w:t>SGF</w:t>
      </w:r>
      <w:r w:rsidRPr="00206C4C">
        <w:t>_</w:t>
      </w:r>
      <w:r w:rsidRPr="00206C4C">
        <w:rPr>
          <w:lang w:val="en-US"/>
        </w:rPr>
        <w:t>MRK</w:t>
      </w:r>
      <w:r w:rsidRPr="00206C4C">
        <w:t>, предусматривается переход в «Реестр участников и неучастников бюджетного процесса»;</w:t>
      </w:r>
    </w:p>
    <w:p w:rsidR="00472B5B" w:rsidRPr="00206C4C" w:rsidRDefault="00472B5B" w:rsidP="00DE1661">
      <w:pPr>
        <w:pStyle w:val="13"/>
      </w:pPr>
      <w:r w:rsidRPr="00206C4C">
        <w:t xml:space="preserve">ИТОГО государственный сектор.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Сектор государственных финансовых корпораций.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Сектор государственных нефинансовых корпораций.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Сектор государственного управления.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Центральное правительство.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Проценты от ВВП  России/Итого государственный сектор. Выводятся значения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Проценты от ВВП России/ Сектор государственных финансовых корпораций. Выводятся значения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Проценты от ВВП России/ Сектор государственных нефинансовых корпораций. Выводятся значения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Проценты от ВВП России/ Сектор государственного управления. Выводятся значения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DE1661">
      <w:pPr>
        <w:pStyle w:val="13"/>
      </w:pPr>
      <w:r w:rsidRPr="00206C4C">
        <w:t xml:space="preserve">Проценты от ВВП России/ Центральное правительство.  Выводятся значения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кодом показателя.</w:t>
      </w:r>
    </w:p>
    <w:p w:rsidR="00472B5B" w:rsidRPr="00206C4C" w:rsidRDefault="00472B5B" w:rsidP="00862055">
      <w:pPr>
        <w:pStyle w:val="42"/>
        <w:numPr>
          <w:ilvl w:val="3"/>
          <w:numId w:val="135"/>
        </w:numPr>
      </w:pPr>
      <w:r w:rsidRPr="00206C4C">
        <w:t>Представление «ГОССЕКТОР» - «Диаграмма»</w:t>
      </w:r>
      <w:r w:rsidRPr="00206C4C">
        <w:tab/>
      </w:r>
    </w:p>
    <w:p w:rsidR="00472B5B" w:rsidRPr="00206C4C" w:rsidRDefault="00472B5B" w:rsidP="00472B5B">
      <w:pPr>
        <w:pStyle w:val="af0"/>
      </w:pPr>
      <w:r w:rsidRPr="00206C4C">
        <w:t xml:space="preserve">Представление «ГОССЕКТОР» - «Диаграмма» обеспечивает возможность подробного анализа  и/или сравнительную характеристику. Представление отображается в виде диаграммы, при выборе соответствующих параметров (Рисунок </w:t>
      </w:r>
      <w:r w:rsidRPr="00206C4C">
        <w:fldChar w:fldCharType="begin"/>
      </w:r>
      <w:r w:rsidRPr="00206C4C">
        <w:instrText xml:space="preserve"> REF _Ref20053434 \h  \* MERGEFORMAT </w:instrText>
      </w:r>
      <w:r w:rsidRPr="00206C4C">
        <w:fldChar w:fldCharType="separate"/>
      </w:r>
      <w:r w:rsidR="00BF0BEE">
        <w:rPr>
          <w:noProof/>
        </w:rPr>
        <w:t>441</w:t>
      </w:r>
      <w:r w:rsidRPr="00206C4C">
        <w:fldChar w:fldCharType="end"/>
      </w:r>
      <w:r w:rsidRPr="00206C4C">
        <w:t xml:space="preserve">). </w:t>
      </w:r>
    </w:p>
    <w:p w:rsidR="00472B5B" w:rsidRPr="00206C4C" w:rsidRDefault="00472B5B" w:rsidP="00472B5B">
      <w:pPr>
        <w:pStyle w:val="afffff7"/>
        <w:keepNext/>
      </w:pPr>
      <w:r w:rsidRPr="00206C4C">
        <w:rPr>
          <w:noProof/>
          <w:lang w:eastAsia="ru-RU"/>
        </w:rPr>
        <w:drawing>
          <wp:inline distT="0" distB="0" distL="0" distR="0" wp14:anchorId="73C24D86" wp14:editId="0024F17D">
            <wp:extent cx="6155422" cy="2695575"/>
            <wp:effectExtent l="0" t="0" r="0" b="0"/>
            <wp:docPr id="5976" name="Рисунок 5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9"/>
                    <a:srcRect l="2803" t="18861" r="2114" b="7117"/>
                    <a:stretch/>
                  </pic:blipFill>
                  <pic:spPr bwMode="auto">
                    <a:xfrm>
                      <a:off x="0" y="0"/>
                      <a:ext cx="6152709" cy="2694387"/>
                    </a:xfrm>
                    <a:prstGeom prst="rect">
                      <a:avLst/>
                    </a:prstGeom>
                    <a:ln>
                      <a:noFill/>
                    </a:ln>
                    <a:extLst>
                      <a:ext uri="{53640926-AAD7-44D8-BBD7-CCE9431645EC}">
                        <a14:shadowObscured xmlns:a14="http://schemas.microsoft.com/office/drawing/2010/main"/>
                      </a:ext>
                    </a:extLst>
                  </pic:spPr>
                </pic:pic>
              </a:graphicData>
            </a:graphic>
          </wp:inline>
        </w:drawing>
      </w:r>
    </w:p>
    <w:p w:rsidR="00472B5B" w:rsidRPr="00206C4C" w:rsidRDefault="00472B5B" w:rsidP="00472B5B">
      <w:pPr>
        <w:pStyle w:val="-0"/>
      </w:pPr>
      <w:bookmarkStart w:id="1967" w:name="_Toc37845609"/>
      <w:bookmarkStart w:id="1968" w:name="_Toc69290576"/>
      <w:bookmarkStart w:id="1969" w:name="_Toc119584703"/>
      <w:r w:rsidRPr="00206C4C">
        <w:t xml:space="preserve">Рисунок </w:t>
      </w:r>
      <w:fldSimple w:instr=" SEQ Рисунок \* ARABIC ">
        <w:bookmarkStart w:id="1970" w:name="_Ref20053434"/>
        <w:r w:rsidR="001860A9">
          <w:rPr>
            <w:noProof/>
          </w:rPr>
          <w:t>516</w:t>
        </w:r>
        <w:bookmarkEnd w:id="1970"/>
      </w:fldSimple>
      <w:r w:rsidRPr="00206C4C">
        <w:t xml:space="preserve"> – </w:t>
      </w:r>
      <w:r w:rsidRPr="00206C4C">
        <w:rPr>
          <w:rStyle w:val="af1"/>
        </w:rPr>
        <w:t>Макет отчета «Информация по статистике государственных финансов Российской Федерации», представление «ГОССЕКТОР» - «Диаграмма».</w:t>
      </w:r>
      <w:bookmarkEnd w:id="1967"/>
      <w:bookmarkEnd w:id="1968"/>
      <w:bookmarkEnd w:id="1969"/>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Диаграмма состоит из четырех частей:</w:t>
      </w:r>
    </w:p>
    <w:p w:rsidR="00472B5B" w:rsidRPr="00206C4C" w:rsidRDefault="00472B5B" w:rsidP="00DE1661">
      <w:pPr>
        <w:pStyle w:val="13"/>
      </w:pPr>
      <w:r w:rsidRPr="00206C4C">
        <w:t>1 часть (верх слева) – представляет собой логарифмическую диаграмму, позволяющую визуально анализировать информацию по основным показателям баланса в разрезе секторов.</w:t>
      </w:r>
    </w:p>
    <w:p w:rsidR="00472B5B" w:rsidRPr="00206C4C" w:rsidRDefault="00472B5B" w:rsidP="00DE1661">
      <w:pPr>
        <w:pStyle w:val="13"/>
      </w:pPr>
      <w:r w:rsidRPr="00206C4C">
        <w:t xml:space="preserve">2 часть (внизу слева) – представляет собой переходы  Нефинансовые активы -&gt; Финансовые активы - &gt; Обязательства. В каждом представлении отображаются значения по показателям баланса в разрезе секторов (значения выводятся по полю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названием сектора и элементов, входящих в него, предполагается переход синим треугольников в правом верхнем углу к представлению «ГОССЕКТОР»- «Таблица»). Рядом с каждым значением выводится прогресс в виде диаграммы, на которой выводятся % к ВВП (значения выводятся полю </w:t>
      </w:r>
      <w:r w:rsidRPr="00206C4C">
        <w:rPr>
          <w:lang w:val="en-US"/>
        </w:rPr>
        <w:t>PERCENTGDP</w:t>
      </w:r>
      <w:r w:rsidRPr="00206C4C">
        <w:t xml:space="preserve"> таблицы фактов </w:t>
      </w:r>
      <w:r w:rsidRPr="00206C4C">
        <w:rPr>
          <w:lang w:val="en-US"/>
        </w:rPr>
        <w:t>F</w:t>
      </w:r>
      <w:r w:rsidRPr="00206C4C">
        <w:t>_</w:t>
      </w:r>
      <w:r w:rsidRPr="00206C4C">
        <w:rPr>
          <w:lang w:val="en-US"/>
        </w:rPr>
        <w:t>SFG</w:t>
      </w:r>
      <w:r w:rsidRPr="00206C4C">
        <w:t>_</w:t>
      </w:r>
      <w:r w:rsidRPr="00206C4C">
        <w:rPr>
          <w:lang w:val="en-US"/>
        </w:rPr>
        <w:t>BALANCE</w:t>
      </w:r>
      <w:r w:rsidRPr="00206C4C">
        <w:t>).</w:t>
      </w:r>
    </w:p>
    <w:p w:rsidR="00472B5B" w:rsidRPr="00206C4C" w:rsidRDefault="00472B5B" w:rsidP="00DE1661">
      <w:pPr>
        <w:pStyle w:val="13"/>
      </w:pPr>
      <w:r w:rsidRPr="00206C4C">
        <w:t>3 часть (верх справа) – представляет собой диаграмму, позволяющую визуально анализировать информацию по показателям доходов и расходов в разрезе секторов.</w:t>
      </w:r>
    </w:p>
    <w:p w:rsidR="00472B5B" w:rsidRPr="00206C4C" w:rsidRDefault="00472B5B" w:rsidP="00DE1661">
      <w:pPr>
        <w:pStyle w:val="13"/>
      </w:pPr>
      <w:r w:rsidRPr="00206C4C">
        <w:t xml:space="preserve">4 часть (внизу справа) – представляет собой переходы Доходы -&gt; Расходы. В каждом представлении отображаются значения по показателям доходов и расходов в разрезе секторов  (значения выводятся по полю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SVOD</w:t>
      </w:r>
      <w:r w:rsidRPr="00206C4C">
        <w:t xml:space="preserve"> в соответствии с названием сектора и элементов, входящих в него, предполагается переход синим треугольников в правом верхнем углу к представлению «ГОССЕКТОР»- «Таблица»). Рядом с каждым значением выводится прогресс в виде диаграммы, на которой выводятся % к ВВП (значения выводятся полю </w:t>
      </w:r>
      <w:r w:rsidRPr="00206C4C">
        <w:rPr>
          <w:lang w:val="en-US"/>
        </w:rPr>
        <w:t>PERCENTGDP</w:t>
      </w:r>
      <w:r w:rsidRPr="00206C4C">
        <w:t xml:space="preserve"> таблицы фактов </w:t>
      </w:r>
      <w:r w:rsidRPr="00206C4C">
        <w:rPr>
          <w:lang w:val="en-US"/>
        </w:rPr>
        <w:t>F</w:t>
      </w:r>
      <w:r w:rsidRPr="00206C4C">
        <w:t>_</w:t>
      </w:r>
      <w:r w:rsidRPr="00206C4C">
        <w:rPr>
          <w:lang w:val="en-US"/>
        </w:rPr>
        <w:t>SFG</w:t>
      </w:r>
      <w:r w:rsidRPr="00206C4C">
        <w:t>_</w:t>
      </w:r>
      <w:r w:rsidRPr="00206C4C">
        <w:rPr>
          <w:lang w:val="en-US"/>
        </w:rPr>
        <w:t>BALANCE</w:t>
      </w:r>
      <w:r w:rsidRPr="00206C4C">
        <w:t>).</w:t>
      </w:r>
    </w:p>
    <w:p w:rsidR="00472B5B" w:rsidRPr="00206C4C" w:rsidRDefault="00472B5B" w:rsidP="00862055">
      <w:pPr>
        <w:pStyle w:val="42"/>
        <w:numPr>
          <w:ilvl w:val="3"/>
          <w:numId w:val="135"/>
        </w:numPr>
      </w:pPr>
      <w:r w:rsidRPr="00206C4C">
        <w:t>Представление «СГУ»</w:t>
      </w:r>
      <w:r w:rsidRPr="00206C4C">
        <w:tab/>
      </w:r>
    </w:p>
    <w:p w:rsidR="00472B5B" w:rsidRPr="00206C4C" w:rsidRDefault="00472B5B" w:rsidP="00472B5B">
      <w:pPr>
        <w:spacing w:line="360" w:lineRule="exact"/>
        <w:ind w:firstLine="567"/>
        <w:rPr>
          <w:sz w:val="28"/>
          <w:szCs w:val="28"/>
        </w:rPr>
      </w:pPr>
      <w:r w:rsidRPr="00206C4C">
        <w:rPr>
          <w:sz w:val="28"/>
          <w:szCs w:val="28"/>
        </w:rPr>
        <w:t>Представление «СГУ» обеспечивает возможность подробного анализа  и/или сравнительную характеристику отдельных показателей  между отдельными институциональными единицами. Представление отображается в виде диаграммы, при выборе соответствующих параметров (</w:t>
      </w:r>
      <w:r w:rsidRPr="00121C16">
        <w:rPr>
          <w:sz w:val="28"/>
          <w:szCs w:val="28"/>
        </w:rPr>
        <w:t>Рисунок</w:t>
      </w:r>
      <w:r w:rsidR="00121C16" w:rsidRPr="00121C16">
        <w:rPr>
          <w:sz w:val="28"/>
          <w:szCs w:val="28"/>
        </w:rPr>
        <w:t xml:space="preserve"> </w:t>
      </w:r>
      <w:r w:rsidR="00121C16" w:rsidRPr="00121C16">
        <w:rPr>
          <w:sz w:val="28"/>
          <w:szCs w:val="28"/>
        </w:rPr>
        <w:fldChar w:fldCharType="begin"/>
      </w:r>
      <w:r w:rsidR="00121C16" w:rsidRPr="00121C16">
        <w:rPr>
          <w:sz w:val="28"/>
          <w:szCs w:val="28"/>
        </w:rPr>
        <w:instrText xml:space="preserve"> REF _Ref70320680 \h </w:instrText>
      </w:r>
      <w:r w:rsidR="00121C16">
        <w:rPr>
          <w:sz w:val="28"/>
          <w:szCs w:val="28"/>
        </w:rPr>
        <w:instrText xml:space="preserve"> \* MERGEFORMAT </w:instrText>
      </w:r>
      <w:r w:rsidR="00121C16" w:rsidRPr="00121C16">
        <w:rPr>
          <w:sz w:val="28"/>
          <w:szCs w:val="28"/>
        </w:rPr>
      </w:r>
      <w:r w:rsidR="00121C16" w:rsidRPr="00121C16">
        <w:rPr>
          <w:sz w:val="28"/>
          <w:szCs w:val="28"/>
        </w:rPr>
        <w:fldChar w:fldCharType="separate"/>
      </w:r>
      <w:r w:rsidR="00BF0BEE" w:rsidRPr="00BF0BEE">
        <w:rPr>
          <w:noProof/>
          <w:sz w:val="28"/>
          <w:szCs w:val="28"/>
        </w:rPr>
        <w:t>442</w:t>
      </w:r>
      <w:r w:rsidR="00121C16" w:rsidRPr="00121C16">
        <w:rPr>
          <w:sz w:val="28"/>
          <w:szCs w:val="28"/>
        </w:rPr>
        <w:fldChar w:fldCharType="end"/>
      </w:r>
      <w:r w:rsidRPr="00206C4C">
        <w:rPr>
          <w:sz w:val="28"/>
          <w:szCs w:val="28"/>
        </w:rPr>
        <w:t>).</w:t>
      </w:r>
    </w:p>
    <w:p w:rsidR="00121C16" w:rsidRDefault="00121C16" w:rsidP="00121C16">
      <w:pPr>
        <w:pStyle w:val="afffff7"/>
        <w:keepNext/>
      </w:pPr>
      <w:r>
        <w:rPr>
          <w:noProof/>
          <w:lang w:eastAsia="ru-RU"/>
        </w:rPr>
        <w:drawing>
          <wp:inline distT="0" distB="0" distL="0" distR="0" wp14:anchorId="2450F9CA" wp14:editId="518B88C2">
            <wp:extent cx="5939790" cy="2892345"/>
            <wp:effectExtent l="0" t="0" r="3810" b="3810"/>
            <wp:docPr id="5953" name="Рисунок 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0"/>
                    <a:stretch>
                      <a:fillRect/>
                    </a:stretch>
                  </pic:blipFill>
                  <pic:spPr>
                    <a:xfrm>
                      <a:off x="0" y="0"/>
                      <a:ext cx="5939790" cy="2892345"/>
                    </a:xfrm>
                    <a:prstGeom prst="rect">
                      <a:avLst/>
                    </a:prstGeom>
                  </pic:spPr>
                </pic:pic>
              </a:graphicData>
            </a:graphic>
          </wp:inline>
        </w:drawing>
      </w:r>
    </w:p>
    <w:p w:rsidR="00472B5B" w:rsidRPr="00206C4C" w:rsidRDefault="00121C16" w:rsidP="00121C16">
      <w:pPr>
        <w:pStyle w:val="-0"/>
      </w:pPr>
      <w:bookmarkStart w:id="1971" w:name="_Toc119584704"/>
      <w:r w:rsidRPr="00206C4C">
        <w:t xml:space="preserve">Рисунок </w:t>
      </w:r>
      <w:fldSimple w:instr=" SEQ Рисунок \* ARABIC ">
        <w:bookmarkStart w:id="1972" w:name="_Ref70320680"/>
        <w:r w:rsidR="001860A9">
          <w:rPr>
            <w:noProof/>
          </w:rPr>
          <w:t>517</w:t>
        </w:r>
        <w:bookmarkEnd w:id="1972"/>
      </w:fldSimple>
      <w:r w:rsidRPr="00206C4C">
        <w:t xml:space="preserve"> – </w:t>
      </w:r>
      <w:r w:rsidRPr="00206C4C">
        <w:rPr>
          <w:rStyle w:val="af1"/>
        </w:rPr>
        <w:t>Макет отчета «Информация по статистике государственных финансов Российской Федерации», представление «СГУ»</w:t>
      </w:r>
      <w:bookmarkEnd w:id="1971"/>
    </w:p>
    <w:p w:rsidR="00472B5B" w:rsidRPr="00206C4C" w:rsidRDefault="00472B5B" w:rsidP="00472B5B">
      <w:pPr>
        <w:pStyle w:val="af0"/>
      </w:pPr>
      <w:r w:rsidRPr="00206C4C">
        <w:t>Параметра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rPr>
          <w:szCs w:val="28"/>
        </w:rPr>
      </w:pPr>
      <w:r w:rsidRPr="00206C4C">
        <w:t>Диаграмма состоит из четырех частей</w:t>
      </w:r>
      <w:r w:rsidRPr="00206C4C">
        <w:rPr>
          <w:szCs w:val="28"/>
        </w:rPr>
        <w:t>:</w:t>
      </w:r>
    </w:p>
    <w:p w:rsidR="00472B5B" w:rsidRPr="00206C4C" w:rsidRDefault="00472B5B" w:rsidP="00DE1661">
      <w:pPr>
        <w:pStyle w:val="13"/>
      </w:pPr>
      <w:r w:rsidRPr="00206C4C">
        <w:t>1 часть (верх слева) – представляет собой круговую диаграмму, позволяющую визуально анализировать информацию по основным показателям баланса по сектору государственного управления.</w:t>
      </w:r>
    </w:p>
    <w:p w:rsidR="00472B5B" w:rsidRPr="00206C4C" w:rsidRDefault="00472B5B" w:rsidP="00DE1661">
      <w:pPr>
        <w:pStyle w:val="13"/>
      </w:pPr>
      <w:r w:rsidRPr="00206C4C">
        <w:t xml:space="preserve">2 часть (внизу слева) – представляет собой переходы  Нефинансовые активы -&gt; Финансовые активы - &gt; Обязательства. В каждом представлении отображаются значения по основным показателям баланса по сектору государственного управления (значения выводятся по полю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 xml:space="preserve"> в соответствии с наименованием показателя  и элементов, входящих в него, предполагается переход синим треугольников в правом верхнем углу к представлению «Баланс СГУ»). Рядом со значением выводится прогресс в виде диаграммы, на которой выводятся % к ВВП (значения выводятся полю </w:t>
      </w:r>
      <w:r w:rsidRPr="00206C4C">
        <w:rPr>
          <w:lang w:val="en-US"/>
        </w:rPr>
        <w:t>PERCENTGDP</w:t>
      </w:r>
      <w:r w:rsidRPr="00206C4C">
        <w:t xml:space="preserve"> таблицы фактов </w:t>
      </w:r>
      <w:r w:rsidRPr="00206C4C">
        <w:rPr>
          <w:lang w:val="en-US"/>
        </w:rPr>
        <w:t>F</w:t>
      </w:r>
      <w:r w:rsidRPr="00206C4C">
        <w:t>_</w:t>
      </w:r>
      <w:r w:rsidRPr="00206C4C">
        <w:rPr>
          <w:lang w:val="en-US"/>
        </w:rPr>
        <w:t>SFG</w:t>
      </w:r>
      <w:r w:rsidRPr="00206C4C">
        <w:t>_</w:t>
      </w:r>
      <w:r w:rsidRPr="00206C4C">
        <w:rPr>
          <w:lang w:val="en-US"/>
        </w:rPr>
        <w:t>BALANCE</w:t>
      </w:r>
      <w:r w:rsidRPr="00206C4C">
        <w:t>).</w:t>
      </w:r>
    </w:p>
    <w:p w:rsidR="00472B5B" w:rsidRPr="00206C4C" w:rsidRDefault="00472B5B" w:rsidP="00DE1661">
      <w:pPr>
        <w:pStyle w:val="13"/>
      </w:pPr>
      <w:r w:rsidRPr="00206C4C">
        <w:t>3 часть (верх справа) – представляет собой диаграмму, позволяющую визуально анализировать информацию по показателям доходов и расходов по элементам, входящим в сектор государственного управления.</w:t>
      </w:r>
    </w:p>
    <w:p w:rsidR="00472B5B" w:rsidRPr="00206C4C" w:rsidRDefault="00472B5B" w:rsidP="00DE1661">
      <w:pPr>
        <w:pStyle w:val="13"/>
      </w:pPr>
      <w:r w:rsidRPr="00206C4C">
        <w:t xml:space="preserve">4 часть (внизу справа) – представляет собой переходы Доходы -&gt; Расходы. В каждом представлении отображаются значения по основным показателям доходов и расходов по сектору государственного управления (значения выводятся по полю </w:t>
      </w:r>
      <w:r w:rsidRPr="00206C4C">
        <w:rPr>
          <w:lang w:val="en-US"/>
        </w:rPr>
        <w:t>VALUE</w:t>
      </w:r>
      <w:r w:rsidRPr="00206C4C">
        <w:t xml:space="preserve">  таблиц фактов </w:t>
      </w:r>
      <w:r w:rsidRPr="00206C4C">
        <w:rPr>
          <w:lang w:val="en-US"/>
        </w:rPr>
        <w:t>F</w:t>
      </w:r>
      <w:r w:rsidRPr="00206C4C">
        <w:t>_</w:t>
      </w:r>
      <w:r w:rsidRPr="00206C4C">
        <w:rPr>
          <w:lang w:val="en-US"/>
        </w:rPr>
        <w:t>SGF</w:t>
      </w:r>
      <w:r w:rsidRPr="00206C4C">
        <w:t>_</w:t>
      </w:r>
      <w:r w:rsidRPr="00206C4C">
        <w:rPr>
          <w:lang w:val="en-US"/>
        </w:rPr>
        <w:t>I</w:t>
      </w:r>
      <w:r w:rsidRPr="00206C4C">
        <w:t xml:space="preserve">, </w:t>
      </w:r>
      <w:r w:rsidRPr="00206C4C">
        <w:rPr>
          <w:lang w:val="en-US"/>
        </w:rPr>
        <w:t>F</w:t>
      </w:r>
      <w:r w:rsidRPr="00206C4C">
        <w:t>_</w:t>
      </w:r>
      <w:r w:rsidRPr="00206C4C">
        <w:rPr>
          <w:lang w:val="en-US"/>
        </w:rPr>
        <w:t>SGF</w:t>
      </w:r>
      <w:r w:rsidRPr="00206C4C">
        <w:t>_</w:t>
      </w:r>
      <w:r w:rsidRPr="00206C4C">
        <w:rPr>
          <w:lang w:val="en-US"/>
        </w:rPr>
        <w:t>O</w:t>
      </w:r>
      <w:r w:rsidRPr="00206C4C">
        <w:t xml:space="preserve"> в соответствии с наименованием показателя  и элементов, входящих в него, предполагается переход синим треугольников в правом верхнем углу к представлению «Доходы СГУ», «Расходы СГУ»). Рядом со значением выводится прогресс в виде диаграммы, на которой выводятся % к ВВП (значения выводятся полю </w:t>
      </w:r>
      <w:r w:rsidRPr="00206C4C">
        <w:rPr>
          <w:lang w:val="en-US"/>
        </w:rPr>
        <w:t>PERCENTGDP</w:t>
      </w:r>
      <w:r w:rsidRPr="00206C4C">
        <w:t xml:space="preserve"> таблицы фактов </w:t>
      </w:r>
      <w:r w:rsidRPr="00206C4C">
        <w:rPr>
          <w:lang w:val="en-US"/>
        </w:rPr>
        <w:t>F</w:t>
      </w:r>
      <w:r w:rsidRPr="00206C4C">
        <w:t>_</w:t>
      </w:r>
      <w:r w:rsidRPr="00206C4C">
        <w:rPr>
          <w:lang w:val="en-US"/>
        </w:rPr>
        <w:t>SFG</w:t>
      </w:r>
      <w:r w:rsidRPr="00206C4C">
        <w:t>_</w:t>
      </w:r>
      <w:r w:rsidRPr="00206C4C">
        <w:rPr>
          <w:lang w:val="en-US"/>
        </w:rPr>
        <w:t>I, F_SGF_O</w:t>
      </w:r>
      <w:r w:rsidRPr="00206C4C">
        <w:t>).</w:t>
      </w:r>
    </w:p>
    <w:p w:rsidR="00472B5B" w:rsidRPr="00206C4C" w:rsidRDefault="00472B5B" w:rsidP="00862055">
      <w:pPr>
        <w:pStyle w:val="42"/>
        <w:numPr>
          <w:ilvl w:val="3"/>
          <w:numId w:val="135"/>
        </w:numPr>
      </w:pPr>
      <w:r w:rsidRPr="00206C4C">
        <w:t>Представление «Доходы СГУ»</w:t>
      </w:r>
      <w:r w:rsidRPr="00206C4C">
        <w:tab/>
      </w:r>
    </w:p>
    <w:p w:rsidR="00472B5B" w:rsidRPr="00206C4C" w:rsidRDefault="00472B5B" w:rsidP="00472B5B">
      <w:pPr>
        <w:spacing w:line="360" w:lineRule="exact"/>
        <w:ind w:firstLine="567"/>
        <w:rPr>
          <w:sz w:val="28"/>
          <w:szCs w:val="28"/>
        </w:rPr>
      </w:pPr>
      <w:r w:rsidRPr="00206C4C">
        <w:rPr>
          <w:sz w:val="28"/>
          <w:szCs w:val="28"/>
        </w:rPr>
        <w:t>Представление «Доходы СГУ»  обеспечивает возможность подробного анализа  и/или сравнительную характеристику отдельных показателей доходов между отдельными институциональными единицами сектора государственного управления. Представление отображается в виде таблицы, при выборе соответствующих параметров (Рисунок</w:t>
      </w:r>
      <w:r w:rsidR="0036170E">
        <w:rPr>
          <w:sz w:val="28"/>
          <w:szCs w:val="28"/>
        </w:rPr>
        <w:t xml:space="preserve"> </w:t>
      </w:r>
      <w:r w:rsidR="0036170E" w:rsidRPr="003F2D6F">
        <w:rPr>
          <w:sz w:val="28"/>
          <w:szCs w:val="28"/>
        </w:rPr>
        <w:fldChar w:fldCharType="begin"/>
      </w:r>
      <w:r w:rsidR="0036170E" w:rsidRPr="003F2D6F">
        <w:rPr>
          <w:sz w:val="28"/>
          <w:szCs w:val="28"/>
        </w:rPr>
        <w:instrText xml:space="preserve"> REF _Ref70320752 \h </w:instrText>
      </w:r>
      <w:r w:rsidR="003F2D6F">
        <w:rPr>
          <w:sz w:val="28"/>
          <w:szCs w:val="28"/>
        </w:rPr>
        <w:instrText xml:space="preserve"> \* MERGEFORMAT </w:instrText>
      </w:r>
      <w:r w:rsidR="0036170E" w:rsidRPr="003F2D6F">
        <w:rPr>
          <w:sz w:val="28"/>
          <w:szCs w:val="28"/>
        </w:rPr>
      </w:r>
      <w:r w:rsidR="0036170E" w:rsidRPr="003F2D6F">
        <w:rPr>
          <w:sz w:val="28"/>
          <w:szCs w:val="28"/>
        </w:rPr>
        <w:fldChar w:fldCharType="separate"/>
      </w:r>
      <w:r w:rsidR="00BF0BEE" w:rsidRPr="00BF0BEE">
        <w:rPr>
          <w:noProof/>
          <w:sz w:val="28"/>
          <w:szCs w:val="28"/>
        </w:rPr>
        <w:t>443</w:t>
      </w:r>
      <w:r w:rsidR="0036170E" w:rsidRPr="003F2D6F">
        <w:rPr>
          <w:sz w:val="28"/>
          <w:szCs w:val="28"/>
        </w:rPr>
        <w:fldChar w:fldCharType="end"/>
      </w:r>
      <w:r w:rsidRPr="00206C4C">
        <w:rPr>
          <w:sz w:val="28"/>
          <w:szCs w:val="28"/>
        </w:rPr>
        <w:t xml:space="preserve">). </w:t>
      </w:r>
    </w:p>
    <w:p w:rsidR="0036170E" w:rsidRDefault="0036170E" w:rsidP="0036170E">
      <w:pPr>
        <w:pStyle w:val="afffff7"/>
        <w:keepNext/>
      </w:pPr>
      <w:r>
        <w:rPr>
          <w:noProof/>
          <w:lang w:eastAsia="ru-RU"/>
        </w:rPr>
        <w:drawing>
          <wp:inline distT="0" distB="0" distL="0" distR="0" wp14:anchorId="710A628D" wp14:editId="3673A087">
            <wp:extent cx="5939790" cy="2886214"/>
            <wp:effectExtent l="0" t="0" r="3810" b="9525"/>
            <wp:docPr id="5954" name="Рисунок 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1"/>
                    <a:stretch>
                      <a:fillRect/>
                    </a:stretch>
                  </pic:blipFill>
                  <pic:spPr>
                    <a:xfrm>
                      <a:off x="0" y="0"/>
                      <a:ext cx="5939790" cy="2886214"/>
                    </a:xfrm>
                    <a:prstGeom prst="rect">
                      <a:avLst/>
                    </a:prstGeom>
                  </pic:spPr>
                </pic:pic>
              </a:graphicData>
            </a:graphic>
          </wp:inline>
        </w:drawing>
      </w:r>
    </w:p>
    <w:p w:rsidR="00472B5B" w:rsidRPr="00206C4C" w:rsidRDefault="0036170E" w:rsidP="00B60FAF">
      <w:pPr>
        <w:pStyle w:val="-0"/>
      </w:pPr>
      <w:bookmarkStart w:id="1973" w:name="_Toc119584705"/>
      <w:r w:rsidRPr="00206C4C">
        <w:rPr>
          <w:szCs w:val="28"/>
        </w:rPr>
        <w:t xml:space="preserve">Рисунок </w:t>
      </w:r>
      <w:fldSimple w:instr=" SEQ Рисунок \* ARABIC ">
        <w:bookmarkStart w:id="1974" w:name="_Ref70320752"/>
        <w:r w:rsidR="001860A9">
          <w:rPr>
            <w:noProof/>
          </w:rPr>
          <w:t>518</w:t>
        </w:r>
        <w:bookmarkEnd w:id="1974"/>
      </w:fldSimple>
      <w:r w:rsidRPr="00206C4C">
        <w:rPr>
          <w:szCs w:val="28"/>
        </w:rPr>
        <w:t xml:space="preserve"> – </w:t>
      </w:r>
      <w:r w:rsidRPr="00206C4C">
        <w:rPr>
          <w:rStyle w:val="af1"/>
        </w:rPr>
        <w:t xml:space="preserve">Макет отчета «Информация по статистике государственных финансов Российской Федерации», </w:t>
      </w:r>
      <w:r w:rsidRPr="00B60FAF">
        <w:rPr>
          <w:rStyle w:val="af1"/>
          <w:snapToGrid w:val="0"/>
        </w:rPr>
        <w:t>представление</w:t>
      </w:r>
      <w:r w:rsidRPr="00206C4C">
        <w:rPr>
          <w:rStyle w:val="af1"/>
        </w:rPr>
        <w:t xml:space="preserve">  «Доходы СГУ»</w:t>
      </w:r>
      <w:bookmarkEnd w:id="1973"/>
    </w:p>
    <w:p w:rsidR="00472B5B" w:rsidRPr="00206C4C" w:rsidRDefault="00472B5B" w:rsidP="00472B5B">
      <w:pPr>
        <w:pStyle w:val="af0"/>
      </w:pPr>
      <w:r w:rsidRPr="00206C4C">
        <w:t>Параметра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Столбцы таблицы:</w:t>
      </w:r>
    </w:p>
    <w:p w:rsidR="00472B5B" w:rsidRPr="00206C4C" w:rsidRDefault="00472B5B" w:rsidP="00DE1661">
      <w:pPr>
        <w:pStyle w:val="13"/>
      </w:pPr>
      <w:r w:rsidRPr="00206C4C">
        <w:t xml:space="preserve">Наименование показателя. Выводится поле </w:t>
      </w:r>
      <w:r w:rsidRPr="00206C4C">
        <w:rPr>
          <w:lang w:val="en-US"/>
        </w:rPr>
        <w:t>NAME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 xml:space="preserve">; </w:t>
      </w:r>
    </w:p>
    <w:p w:rsidR="00472B5B" w:rsidRPr="00206C4C" w:rsidRDefault="00472B5B" w:rsidP="00DE1661">
      <w:pPr>
        <w:pStyle w:val="13"/>
      </w:pPr>
      <w:r w:rsidRPr="00206C4C">
        <w:t xml:space="preserve">Итого Сектор государственного управления.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Федеральный бюджет.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Внебюджетные единицы.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Фонды социального обеспечения.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Региональные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 предполагается переход с синего треугольника в правом верхнем углу в представление «Доходы СГУ»;</w:t>
      </w:r>
    </w:p>
    <w:p w:rsidR="00472B5B" w:rsidRPr="00206C4C" w:rsidRDefault="00472B5B" w:rsidP="00DE1661">
      <w:pPr>
        <w:pStyle w:val="13"/>
      </w:pPr>
      <w:r w:rsidRPr="00206C4C">
        <w:t xml:space="preserve">Местные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Итого Сектор государственного управления.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Федеральный бюджет.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Внебюджетные единицы.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Фонды социального обеспечения.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Региональные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DE1661">
      <w:pPr>
        <w:pStyle w:val="13"/>
      </w:pPr>
      <w:r w:rsidRPr="00206C4C">
        <w:t xml:space="preserve">Процент от ВВП России Местные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I</w:t>
      </w:r>
      <w:r w:rsidRPr="00206C4C">
        <w:t>.</w:t>
      </w:r>
    </w:p>
    <w:p w:rsidR="00472B5B" w:rsidRPr="00206C4C" w:rsidRDefault="00472B5B" w:rsidP="00862055">
      <w:pPr>
        <w:pStyle w:val="42"/>
        <w:numPr>
          <w:ilvl w:val="3"/>
          <w:numId w:val="135"/>
        </w:numPr>
      </w:pPr>
      <w:r w:rsidRPr="00206C4C">
        <w:t>Представление «Расходы СГУ»</w:t>
      </w:r>
    </w:p>
    <w:p w:rsidR="00472B5B" w:rsidRPr="00206C4C" w:rsidRDefault="00472B5B" w:rsidP="00472B5B">
      <w:pPr>
        <w:spacing w:line="360" w:lineRule="exact"/>
        <w:ind w:firstLine="567"/>
        <w:rPr>
          <w:sz w:val="28"/>
          <w:szCs w:val="28"/>
        </w:rPr>
      </w:pPr>
      <w:r w:rsidRPr="00206C4C">
        <w:rPr>
          <w:sz w:val="28"/>
          <w:szCs w:val="28"/>
        </w:rPr>
        <w:t>в представлении «Расходы СГУ» » должен обеспечивать возможность подробного анализа  и/или сравнительную характеристику отдельных показателей расходов между отдельными институциональными единицами сектора государственного управления. Представление отображается в виде таблицы, при выборе соответствующих параметров (Рисунок</w:t>
      </w:r>
      <w:r w:rsidR="00B60FAF">
        <w:rPr>
          <w:sz w:val="28"/>
          <w:szCs w:val="28"/>
        </w:rPr>
        <w:t xml:space="preserve"> </w:t>
      </w:r>
      <w:r w:rsidR="00B60FAF" w:rsidRPr="003F2D6F">
        <w:rPr>
          <w:sz w:val="28"/>
          <w:szCs w:val="28"/>
        </w:rPr>
        <w:fldChar w:fldCharType="begin"/>
      </w:r>
      <w:r w:rsidR="00B60FAF" w:rsidRPr="003F2D6F">
        <w:rPr>
          <w:sz w:val="28"/>
          <w:szCs w:val="28"/>
        </w:rPr>
        <w:instrText xml:space="preserve"> REF _Ref70320975 \h </w:instrText>
      </w:r>
      <w:r w:rsidR="003F2D6F">
        <w:rPr>
          <w:sz w:val="28"/>
          <w:szCs w:val="28"/>
        </w:rPr>
        <w:instrText xml:space="preserve"> \* MERGEFORMAT </w:instrText>
      </w:r>
      <w:r w:rsidR="00B60FAF" w:rsidRPr="003F2D6F">
        <w:rPr>
          <w:sz w:val="28"/>
          <w:szCs w:val="28"/>
        </w:rPr>
      </w:r>
      <w:r w:rsidR="00B60FAF" w:rsidRPr="003F2D6F">
        <w:rPr>
          <w:sz w:val="28"/>
          <w:szCs w:val="28"/>
        </w:rPr>
        <w:fldChar w:fldCharType="separate"/>
      </w:r>
      <w:r w:rsidR="00BF0BEE" w:rsidRPr="00BF0BEE">
        <w:rPr>
          <w:noProof/>
          <w:sz w:val="28"/>
          <w:szCs w:val="28"/>
        </w:rPr>
        <w:t>444</w:t>
      </w:r>
      <w:r w:rsidR="00B60FAF" w:rsidRPr="003F2D6F">
        <w:rPr>
          <w:sz w:val="28"/>
          <w:szCs w:val="28"/>
        </w:rPr>
        <w:fldChar w:fldCharType="end"/>
      </w:r>
      <w:r w:rsidRPr="00206C4C">
        <w:rPr>
          <w:sz w:val="28"/>
          <w:szCs w:val="28"/>
        </w:rPr>
        <w:t xml:space="preserve">). </w:t>
      </w:r>
    </w:p>
    <w:p w:rsidR="00B60FAF" w:rsidRDefault="00B60FAF" w:rsidP="00B60FAF">
      <w:pPr>
        <w:pStyle w:val="afffff7"/>
        <w:keepNext/>
      </w:pPr>
      <w:r>
        <w:rPr>
          <w:noProof/>
          <w:lang w:eastAsia="ru-RU"/>
        </w:rPr>
        <w:drawing>
          <wp:inline distT="0" distB="0" distL="0" distR="0" wp14:anchorId="0CE224B3" wp14:editId="5AA6AFB5">
            <wp:extent cx="5939790" cy="2887440"/>
            <wp:effectExtent l="0" t="0" r="3810" b="8255"/>
            <wp:docPr id="5955" name="Рисунок 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2"/>
                    <a:stretch>
                      <a:fillRect/>
                    </a:stretch>
                  </pic:blipFill>
                  <pic:spPr>
                    <a:xfrm>
                      <a:off x="0" y="0"/>
                      <a:ext cx="5939790" cy="2887440"/>
                    </a:xfrm>
                    <a:prstGeom prst="rect">
                      <a:avLst/>
                    </a:prstGeom>
                  </pic:spPr>
                </pic:pic>
              </a:graphicData>
            </a:graphic>
          </wp:inline>
        </w:drawing>
      </w:r>
    </w:p>
    <w:p w:rsidR="00472B5B" w:rsidRPr="00206C4C" w:rsidRDefault="00B60FAF" w:rsidP="00B60FAF">
      <w:pPr>
        <w:pStyle w:val="-0"/>
      </w:pPr>
      <w:bookmarkStart w:id="1975" w:name="_Toc119584706"/>
      <w:r w:rsidRPr="00206C4C">
        <w:rPr>
          <w:szCs w:val="28"/>
        </w:rPr>
        <w:t xml:space="preserve">Рисунок </w:t>
      </w:r>
      <w:fldSimple w:instr=" SEQ Рисунок \* ARABIC ">
        <w:bookmarkStart w:id="1976" w:name="_Ref70320975"/>
        <w:r w:rsidR="001860A9">
          <w:rPr>
            <w:noProof/>
          </w:rPr>
          <w:t>519</w:t>
        </w:r>
        <w:bookmarkEnd w:id="1976"/>
      </w:fldSimple>
      <w:r w:rsidRPr="00206C4C">
        <w:rPr>
          <w:szCs w:val="28"/>
        </w:rPr>
        <w:t xml:space="preserve"> – </w:t>
      </w:r>
      <w:r w:rsidRPr="00206C4C">
        <w:rPr>
          <w:rStyle w:val="af1"/>
        </w:rPr>
        <w:t>Макет отчета «Информация по статистике государственных финансов Российской Федерации», представление  «Расходы СГУ»</w:t>
      </w:r>
      <w:bookmarkEnd w:id="1975"/>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t>Столбцы таблицы:</w:t>
      </w:r>
    </w:p>
    <w:p w:rsidR="00472B5B" w:rsidRPr="00206C4C" w:rsidRDefault="00472B5B" w:rsidP="00DE1661">
      <w:pPr>
        <w:pStyle w:val="13"/>
      </w:pPr>
      <w:r w:rsidRPr="00206C4C">
        <w:t xml:space="preserve">Наименование показателя. Выводится поле </w:t>
      </w:r>
      <w:r w:rsidRPr="00206C4C">
        <w:rPr>
          <w:lang w:val="en-US"/>
        </w:rPr>
        <w:t>NAME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 xml:space="preserve">), Итого Сектор государственного управления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Федеральный бюджет.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Внебюджетные единицы.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Фонды социального обеспечения.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Региональные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 предполагается переход с синего треугольника в правом верхнем углу в представление «Доходы СГУ»;</w:t>
      </w:r>
    </w:p>
    <w:p w:rsidR="00472B5B" w:rsidRPr="00206C4C" w:rsidRDefault="00472B5B" w:rsidP="00DE1661">
      <w:pPr>
        <w:pStyle w:val="13"/>
      </w:pPr>
      <w:r w:rsidRPr="00206C4C">
        <w:t xml:space="preserve">Местные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Итого Сектор государственного управления.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Федеральный бюджет.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Внебюджетные единицы.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Фонды социального обеспечения.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Региональные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DE1661">
      <w:pPr>
        <w:pStyle w:val="13"/>
      </w:pPr>
      <w:r w:rsidRPr="00206C4C">
        <w:t xml:space="preserve">Процент от ВВП России -  Местные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O</w:t>
      </w:r>
      <w:r w:rsidRPr="00206C4C">
        <w:t>.</w:t>
      </w:r>
    </w:p>
    <w:p w:rsidR="00472B5B" w:rsidRPr="00206C4C" w:rsidRDefault="00472B5B" w:rsidP="00862055">
      <w:pPr>
        <w:pStyle w:val="42"/>
        <w:numPr>
          <w:ilvl w:val="3"/>
          <w:numId w:val="135"/>
        </w:numPr>
      </w:pPr>
      <w:r w:rsidRPr="00206C4C">
        <w:t>Представление «Баланс СГУ»</w:t>
      </w:r>
    </w:p>
    <w:p w:rsidR="00472B5B" w:rsidRPr="00206C4C" w:rsidRDefault="00472B5B" w:rsidP="00472B5B">
      <w:pPr>
        <w:spacing w:line="360" w:lineRule="exact"/>
        <w:ind w:firstLine="567"/>
        <w:rPr>
          <w:sz w:val="28"/>
          <w:szCs w:val="28"/>
        </w:rPr>
      </w:pPr>
      <w:r w:rsidRPr="00206C4C">
        <w:rPr>
          <w:sz w:val="28"/>
          <w:szCs w:val="28"/>
        </w:rPr>
        <w:t xml:space="preserve">Представление «Баланс СГУ» обеспечивает возможность подробного анализа  и/или сравнительную характеристику отдельных показателей баланса между отдельными институциональными единицами сектора государственного управления. Представление отображается в виде таблицы, при выборе соответствующих параметров (Рисунок </w:t>
      </w:r>
      <w:r w:rsidRPr="003F2D6F">
        <w:rPr>
          <w:sz w:val="28"/>
          <w:szCs w:val="28"/>
        </w:rPr>
        <w:fldChar w:fldCharType="begin"/>
      </w:r>
      <w:r w:rsidRPr="003F2D6F">
        <w:rPr>
          <w:sz w:val="28"/>
          <w:szCs w:val="28"/>
        </w:rPr>
        <w:instrText xml:space="preserve"> REF _Ref20054556 \h  \* MERGEFORMAT </w:instrText>
      </w:r>
      <w:r w:rsidRPr="003F2D6F">
        <w:rPr>
          <w:sz w:val="28"/>
          <w:szCs w:val="28"/>
        </w:rPr>
      </w:r>
      <w:r w:rsidRPr="003F2D6F">
        <w:rPr>
          <w:sz w:val="28"/>
          <w:szCs w:val="28"/>
        </w:rPr>
        <w:fldChar w:fldCharType="separate"/>
      </w:r>
      <w:r w:rsidR="00BF0BEE" w:rsidRPr="00BF0BEE">
        <w:rPr>
          <w:noProof/>
          <w:sz w:val="28"/>
          <w:szCs w:val="28"/>
        </w:rPr>
        <w:t>445</w:t>
      </w:r>
      <w:r w:rsidRPr="003F2D6F">
        <w:rPr>
          <w:sz w:val="28"/>
          <w:szCs w:val="28"/>
        </w:rPr>
        <w:fldChar w:fldCharType="end"/>
      </w:r>
      <w:r w:rsidRPr="00206C4C">
        <w:rPr>
          <w:sz w:val="28"/>
          <w:szCs w:val="28"/>
        </w:rPr>
        <w:t xml:space="preserve">). </w:t>
      </w:r>
    </w:p>
    <w:p w:rsidR="00472B5B" w:rsidRPr="00206C4C" w:rsidRDefault="00472B5B" w:rsidP="00472B5B">
      <w:pPr>
        <w:pStyle w:val="afffff7"/>
        <w:keepNext/>
      </w:pPr>
      <w:r w:rsidRPr="00206C4C">
        <w:rPr>
          <w:noProof/>
          <w:lang w:eastAsia="ru-RU"/>
        </w:rPr>
        <w:drawing>
          <wp:inline distT="0" distB="0" distL="0" distR="0" wp14:anchorId="47AF93F0" wp14:editId="35CB2838">
            <wp:extent cx="5939790" cy="2918587"/>
            <wp:effectExtent l="0" t="0" r="3810" b="0"/>
            <wp:docPr id="5980" name="Рисунок 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3"/>
                    <a:srcRect l="2127" t="16839" r="30561" b="24360"/>
                    <a:stretch/>
                  </pic:blipFill>
                  <pic:spPr bwMode="auto">
                    <a:xfrm>
                      <a:off x="0" y="0"/>
                      <a:ext cx="5939790" cy="2918587"/>
                    </a:xfrm>
                    <a:prstGeom prst="rect">
                      <a:avLst/>
                    </a:prstGeom>
                    <a:ln>
                      <a:noFill/>
                    </a:ln>
                    <a:extLst>
                      <a:ext uri="{53640926-AAD7-44D8-BBD7-CCE9431645EC}">
                        <a14:shadowObscured xmlns:a14="http://schemas.microsoft.com/office/drawing/2010/main"/>
                      </a:ext>
                    </a:extLst>
                  </pic:spPr>
                </pic:pic>
              </a:graphicData>
            </a:graphic>
          </wp:inline>
        </w:drawing>
      </w:r>
    </w:p>
    <w:p w:rsidR="00472B5B" w:rsidRPr="00206C4C" w:rsidRDefault="00472B5B" w:rsidP="00472B5B">
      <w:pPr>
        <w:pStyle w:val="-0"/>
        <w:rPr>
          <w:szCs w:val="28"/>
        </w:rPr>
      </w:pPr>
      <w:bookmarkStart w:id="1977" w:name="_Toc37845613"/>
      <w:bookmarkStart w:id="1978" w:name="_Toc69290580"/>
      <w:bookmarkStart w:id="1979" w:name="_Toc119584707"/>
      <w:r w:rsidRPr="00206C4C">
        <w:rPr>
          <w:szCs w:val="28"/>
        </w:rPr>
        <w:t xml:space="preserve">Рисунок </w:t>
      </w:r>
      <w:r w:rsidRPr="00206C4C">
        <w:rPr>
          <w:szCs w:val="28"/>
        </w:rPr>
        <w:fldChar w:fldCharType="begin"/>
      </w:r>
      <w:r w:rsidRPr="00206C4C">
        <w:rPr>
          <w:szCs w:val="28"/>
        </w:rPr>
        <w:instrText xml:space="preserve"> SEQ Рисунок \* ARABIC </w:instrText>
      </w:r>
      <w:r w:rsidRPr="00206C4C">
        <w:rPr>
          <w:szCs w:val="28"/>
        </w:rPr>
        <w:fldChar w:fldCharType="separate"/>
      </w:r>
      <w:bookmarkStart w:id="1980" w:name="_Ref20054556"/>
      <w:r w:rsidR="001860A9">
        <w:rPr>
          <w:noProof/>
          <w:szCs w:val="28"/>
        </w:rPr>
        <w:t>520</w:t>
      </w:r>
      <w:bookmarkEnd w:id="1980"/>
      <w:r w:rsidRPr="00206C4C">
        <w:rPr>
          <w:szCs w:val="28"/>
        </w:rPr>
        <w:fldChar w:fldCharType="end"/>
      </w:r>
      <w:r w:rsidRPr="00206C4C">
        <w:rPr>
          <w:szCs w:val="28"/>
        </w:rPr>
        <w:t xml:space="preserve"> – </w:t>
      </w:r>
      <w:r w:rsidRPr="00206C4C">
        <w:t xml:space="preserve">Макет </w:t>
      </w:r>
      <w:r w:rsidRPr="00206C4C">
        <w:rPr>
          <w:rStyle w:val="af1"/>
        </w:rPr>
        <w:t>отчета «Информация по статистике государственных финансов Российской Федерации», представление  «Баланс СГУ»</w:t>
      </w:r>
      <w:bookmarkEnd w:id="1977"/>
      <w:bookmarkEnd w:id="1978"/>
      <w:bookmarkEnd w:id="1979"/>
    </w:p>
    <w:p w:rsidR="00472B5B" w:rsidRPr="00206C4C" w:rsidRDefault="00472B5B" w:rsidP="00472B5B">
      <w:pPr>
        <w:pStyle w:val="af0"/>
      </w:pPr>
      <w:r w:rsidRPr="00206C4C">
        <w:t>Параметры представления:</w:t>
      </w:r>
    </w:p>
    <w:p w:rsidR="00472B5B" w:rsidRPr="00206C4C" w:rsidRDefault="00472B5B" w:rsidP="00DE1661">
      <w:pPr>
        <w:pStyle w:val="13"/>
        <w:rPr>
          <w:snapToGrid/>
        </w:rPr>
      </w:pPr>
      <w:r w:rsidRPr="00206C4C">
        <w:rPr>
          <w:snapToGrid/>
        </w:rPr>
        <w:t>«Год» - выпадающий список, предусматривающий выбор года. По умолчанию выводится текущий год.</w:t>
      </w:r>
    </w:p>
    <w:p w:rsidR="00472B5B" w:rsidRPr="00206C4C" w:rsidRDefault="00472B5B" w:rsidP="00472B5B">
      <w:pPr>
        <w:pStyle w:val="af0"/>
      </w:pPr>
      <w:r w:rsidRPr="00206C4C">
        <w:rPr>
          <w:snapToGrid/>
          <w:color w:val="auto"/>
        </w:rPr>
        <w:t xml:space="preserve"> </w:t>
      </w:r>
      <w:r w:rsidRPr="00206C4C">
        <w:t>Столбцы отчета:</w:t>
      </w:r>
    </w:p>
    <w:p w:rsidR="00472B5B" w:rsidRPr="00206C4C" w:rsidRDefault="00472B5B" w:rsidP="00DE1661">
      <w:pPr>
        <w:pStyle w:val="13"/>
      </w:pPr>
      <w:r w:rsidRPr="00206C4C">
        <w:t xml:space="preserve">Наименование показателя. Выводится поле </w:t>
      </w:r>
      <w:r w:rsidRPr="00206C4C">
        <w:rPr>
          <w:lang w:val="en-US"/>
        </w:rPr>
        <w:t>NAME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Итого Сектор государственного управления.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Федеральный бюджет.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Внебюджетные единицы.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Фонды социального обеспечения.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Региональные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 xml:space="preserve"> , предполагается переход с синего треугольника в правом верхнем углу в представление «Доходы СГУ»;</w:t>
      </w:r>
    </w:p>
    <w:p w:rsidR="00472B5B" w:rsidRPr="00206C4C" w:rsidRDefault="00472B5B" w:rsidP="00DE1661">
      <w:pPr>
        <w:pStyle w:val="13"/>
      </w:pPr>
      <w:r w:rsidRPr="00206C4C">
        <w:t xml:space="preserve">Местные органы власти. Выводится поле </w:t>
      </w:r>
      <w:r w:rsidRPr="00206C4C">
        <w:rPr>
          <w:lang w:val="en-US"/>
        </w:rPr>
        <w:t>VALUE</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Процент от ВВП России -  Итого Сектор государственного управления.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Процент от ВВП России - Федеральный бюджет.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Процент от ВВП России - Внебюджетные единицы.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Процент от ВВП России - Фонды социального обеспечения.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DE1661">
      <w:pPr>
        <w:pStyle w:val="13"/>
      </w:pPr>
      <w:r w:rsidRPr="00206C4C">
        <w:t xml:space="preserve">Процент от ВВП России Региональные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Default="00472B5B" w:rsidP="00DE1661">
      <w:pPr>
        <w:pStyle w:val="13"/>
      </w:pPr>
      <w:r w:rsidRPr="00206C4C">
        <w:t xml:space="preserve">Процент от ВВП России - Местные органы власти. Выводится поле </w:t>
      </w:r>
      <w:r w:rsidRPr="00206C4C">
        <w:rPr>
          <w:lang w:val="en-US"/>
        </w:rPr>
        <w:t>PERCENTGDP</w:t>
      </w:r>
      <w:r w:rsidRPr="00206C4C">
        <w:t xml:space="preserve"> таблицы фактов </w:t>
      </w:r>
      <w:r w:rsidRPr="00206C4C">
        <w:rPr>
          <w:lang w:val="en-US"/>
        </w:rPr>
        <w:t>F</w:t>
      </w:r>
      <w:r w:rsidRPr="00206C4C">
        <w:t>_</w:t>
      </w:r>
      <w:r w:rsidRPr="00206C4C">
        <w:rPr>
          <w:lang w:val="en-US"/>
        </w:rPr>
        <w:t>SGF</w:t>
      </w:r>
      <w:r w:rsidRPr="00206C4C">
        <w:t>_</w:t>
      </w:r>
      <w:r w:rsidRPr="00206C4C">
        <w:rPr>
          <w:lang w:val="en-US"/>
        </w:rPr>
        <w:t>BALANCE</w:t>
      </w:r>
      <w:r w:rsidRPr="00206C4C">
        <w:t>.</w:t>
      </w:r>
    </w:p>
    <w:p w:rsidR="00472B5B" w:rsidRPr="00206C4C" w:rsidRDefault="00472B5B" w:rsidP="00862055">
      <w:pPr>
        <w:pStyle w:val="35"/>
        <w:numPr>
          <w:ilvl w:val="2"/>
          <w:numId w:val="135"/>
        </w:numPr>
      </w:pPr>
      <w:bookmarkStart w:id="1981" w:name="_Toc69290154"/>
      <w:bookmarkStart w:id="1982" w:name="_Toc119585121"/>
      <w:r w:rsidRPr="00206C4C">
        <w:t>Отчет «</w:t>
      </w:r>
      <w:r>
        <w:t>Сектор государственных нефинансовых корпораций</w:t>
      </w:r>
      <w:r w:rsidRPr="00206C4C">
        <w:t>»</w:t>
      </w:r>
      <w:bookmarkEnd w:id="1981"/>
      <w:r w:rsidR="00F531E2">
        <w:t xml:space="preserve"> (</w:t>
      </w:r>
      <w:r w:rsidR="00F531E2" w:rsidRPr="00F531E2">
        <w:t>PIAO_155_005_report</w:t>
      </w:r>
      <w:r w:rsidR="00F531E2">
        <w:t>)</w:t>
      </w:r>
      <w:bookmarkEnd w:id="1982"/>
    </w:p>
    <w:p w:rsidR="00472B5B" w:rsidRDefault="00472B5B" w:rsidP="00472B5B">
      <w:pPr>
        <w:pStyle w:val="af0"/>
        <w:rPr>
          <w:rStyle w:val="af1"/>
        </w:rPr>
      </w:pPr>
      <w:r w:rsidRPr="00206C4C">
        <w:rPr>
          <w:rStyle w:val="af1"/>
        </w:rPr>
        <w:t>Для перехода к отчету «</w:t>
      </w:r>
      <w:r>
        <w:t>Сектор государственных нефинансовых корпораций</w:t>
      </w:r>
      <w:r w:rsidRPr="00206C4C">
        <w:rPr>
          <w:rStyle w:val="af1"/>
        </w:rPr>
        <w:t>» необходимо перейти к витрине «С</w:t>
      </w:r>
      <w:r w:rsidRPr="00206C4C">
        <w:t>татистика государственных финансов</w:t>
      </w:r>
      <w:r w:rsidRPr="00206C4C">
        <w:rPr>
          <w:rStyle w:val="af1"/>
        </w:rPr>
        <w:t xml:space="preserve">» и кликнуть мышью по </w:t>
      </w:r>
      <w:r>
        <w:rPr>
          <w:rStyle w:val="af1"/>
        </w:rPr>
        <w:t xml:space="preserve">соответствующей </w:t>
      </w:r>
      <w:r w:rsidRPr="00206C4C">
        <w:rPr>
          <w:rStyle w:val="af1"/>
        </w:rPr>
        <w:t>плашке</w:t>
      </w:r>
      <w:r>
        <w:rPr>
          <w:rStyle w:val="af1"/>
        </w:rPr>
        <w:t xml:space="preserve"> (</w:t>
      </w:r>
      <w:r>
        <w:rPr>
          <w:rStyle w:val="af1"/>
        </w:rPr>
        <w:fldChar w:fldCharType="begin"/>
      </w:r>
      <w:r>
        <w:rPr>
          <w:rStyle w:val="af1"/>
        </w:rPr>
        <w:instrText xml:space="preserve"> REF _Ref69111678 \h </w:instrText>
      </w:r>
      <w:r>
        <w:rPr>
          <w:rStyle w:val="af1"/>
        </w:rPr>
      </w:r>
      <w:r>
        <w:rPr>
          <w:rStyle w:val="af1"/>
        </w:rPr>
        <w:fldChar w:fldCharType="separate"/>
      </w:r>
      <w:r w:rsidR="00BF0BEE">
        <w:rPr>
          <w:rStyle w:val="af1"/>
        </w:rPr>
        <w:t xml:space="preserve">Рисунок </w:t>
      </w:r>
      <w:r w:rsidR="00BF0BEE">
        <w:rPr>
          <w:rStyle w:val="af1"/>
          <w:noProof/>
        </w:rPr>
        <w:t>521</w:t>
      </w:r>
      <w:r>
        <w:rPr>
          <w:rStyle w:val="af1"/>
        </w:rPr>
        <w:fldChar w:fldCharType="end"/>
      </w:r>
      <w:r>
        <w:rPr>
          <w:rStyle w:val="af1"/>
        </w:rPr>
        <w:t>)</w:t>
      </w:r>
      <w:r w:rsidRPr="00206C4C">
        <w:rPr>
          <w:rStyle w:val="af1"/>
        </w:rPr>
        <w:t>.</w:t>
      </w:r>
    </w:p>
    <w:p w:rsidR="00472B5B" w:rsidRDefault="00472B5B" w:rsidP="00472B5B">
      <w:pPr>
        <w:pStyle w:val="-0"/>
      </w:pPr>
      <w:r w:rsidRPr="00256ACF">
        <w:rPr>
          <w:noProof/>
        </w:rPr>
        <w:drawing>
          <wp:inline distT="0" distB="0" distL="0" distR="0" wp14:anchorId="4DD2B181" wp14:editId="26F06E71">
            <wp:extent cx="5939790" cy="1871625"/>
            <wp:effectExtent l="0" t="0" r="381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4"/>
                    <a:stretch>
                      <a:fillRect/>
                    </a:stretch>
                  </pic:blipFill>
                  <pic:spPr>
                    <a:xfrm>
                      <a:off x="0" y="0"/>
                      <a:ext cx="5939790" cy="1871625"/>
                    </a:xfrm>
                    <a:prstGeom prst="rect">
                      <a:avLst/>
                    </a:prstGeom>
                  </pic:spPr>
                </pic:pic>
              </a:graphicData>
            </a:graphic>
          </wp:inline>
        </w:drawing>
      </w:r>
    </w:p>
    <w:p w:rsidR="00472B5B" w:rsidRPr="00256ACF" w:rsidRDefault="00472B5B" w:rsidP="003F2D6F">
      <w:pPr>
        <w:pStyle w:val="-0"/>
        <w:rPr>
          <w:snapToGrid/>
        </w:rPr>
      </w:pPr>
      <w:bookmarkStart w:id="1983" w:name="_Ref69111678"/>
      <w:bookmarkStart w:id="1984" w:name="_Toc69290581"/>
      <w:bookmarkStart w:id="1985" w:name="_Toc119584708"/>
      <w:r>
        <w:rPr>
          <w:rStyle w:val="af1"/>
        </w:rPr>
        <w:t xml:space="preserve">Рисунок </w:t>
      </w:r>
      <w:r>
        <w:rPr>
          <w:rStyle w:val="af1"/>
        </w:rPr>
        <w:fldChar w:fldCharType="begin"/>
      </w:r>
      <w:r>
        <w:rPr>
          <w:rStyle w:val="af1"/>
        </w:rPr>
        <w:instrText xml:space="preserve"> SEQ Рисунок \* ARABIC </w:instrText>
      </w:r>
      <w:r>
        <w:rPr>
          <w:rStyle w:val="af1"/>
        </w:rPr>
        <w:fldChar w:fldCharType="separate"/>
      </w:r>
      <w:r w:rsidR="001860A9">
        <w:rPr>
          <w:rStyle w:val="af1"/>
          <w:noProof/>
        </w:rPr>
        <w:t>521</w:t>
      </w:r>
      <w:r>
        <w:rPr>
          <w:rStyle w:val="af1"/>
        </w:rPr>
        <w:fldChar w:fldCharType="end"/>
      </w:r>
      <w:bookmarkEnd w:id="1983"/>
      <w:r>
        <w:rPr>
          <w:rStyle w:val="af1"/>
        </w:rPr>
        <w:t xml:space="preserve"> – Плашка для </w:t>
      </w:r>
      <w:r w:rsidRPr="00F531E2">
        <w:t>перехода</w:t>
      </w:r>
      <w:r>
        <w:rPr>
          <w:rStyle w:val="af1"/>
        </w:rPr>
        <w:t xml:space="preserve"> к отчету «Сектор государственных </w:t>
      </w:r>
      <w:r w:rsidRPr="003F2D6F">
        <w:rPr>
          <w:rStyle w:val="af1"/>
          <w:snapToGrid w:val="0"/>
        </w:rPr>
        <w:t>нефинансовых</w:t>
      </w:r>
      <w:r>
        <w:rPr>
          <w:rStyle w:val="af1"/>
        </w:rPr>
        <w:t xml:space="preserve"> </w:t>
      </w:r>
      <w:r w:rsidRPr="00F531E2">
        <w:rPr>
          <w:rStyle w:val="af1"/>
          <w:snapToGrid w:val="0"/>
        </w:rPr>
        <w:t>корпораций</w:t>
      </w:r>
      <w:r>
        <w:rPr>
          <w:rStyle w:val="af1"/>
        </w:rPr>
        <w:t>»</w:t>
      </w:r>
      <w:bookmarkEnd w:id="1984"/>
      <w:bookmarkEnd w:id="1985"/>
    </w:p>
    <w:p w:rsidR="00472B5B" w:rsidRPr="00206C4C" w:rsidRDefault="00472B5B" w:rsidP="00472B5B">
      <w:pPr>
        <w:pStyle w:val="af0"/>
        <w:rPr>
          <w:szCs w:val="28"/>
        </w:rPr>
      </w:pPr>
      <w:r>
        <w:t>Отчет обеспечивает визуальный анализ свода</w:t>
      </w:r>
      <w:r w:rsidRPr="00195869">
        <w:t xml:space="preserve"> </w:t>
      </w:r>
      <w:r>
        <w:t>показателей бухгалтерской (финансовой) отчетности корпоративных и унитарных юридических лиц.</w:t>
      </w:r>
    </w:p>
    <w:p w:rsidR="00472B5B" w:rsidRDefault="00472B5B" w:rsidP="00862055">
      <w:pPr>
        <w:pStyle w:val="42"/>
        <w:numPr>
          <w:ilvl w:val="3"/>
          <w:numId w:val="135"/>
        </w:numPr>
      </w:pPr>
      <w:bookmarkStart w:id="1986" w:name="_Ref69112552"/>
      <w:r w:rsidRPr="00206C4C">
        <w:t xml:space="preserve">Представление </w:t>
      </w:r>
      <w:r>
        <w:t>Сектор государственных нефинансовых корпораций» - «Переходная таблица»</w:t>
      </w:r>
      <w:bookmarkEnd w:id="1986"/>
    </w:p>
    <w:p w:rsidR="00472B5B" w:rsidRDefault="00472B5B" w:rsidP="00472B5B">
      <w:pPr>
        <w:spacing w:before="120" w:after="120"/>
        <w:ind w:firstLine="567"/>
        <w:rPr>
          <w:sz w:val="28"/>
          <w:szCs w:val="28"/>
        </w:rPr>
      </w:pPr>
      <w:r w:rsidRPr="00257ADB">
        <w:rPr>
          <w:sz w:val="28"/>
          <w:szCs w:val="28"/>
        </w:rPr>
        <w:t>Представление «</w:t>
      </w:r>
      <w:r>
        <w:rPr>
          <w:sz w:val="28"/>
          <w:szCs w:val="28"/>
        </w:rPr>
        <w:t>Сектор государственных нефинансовых корпораций</w:t>
      </w:r>
      <w:r w:rsidRPr="00257ADB">
        <w:rPr>
          <w:sz w:val="28"/>
          <w:szCs w:val="28"/>
        </w:rPr>
        <w:t>»</w:t>
      </w:r>
      <w:r>
        <w:rPr>
          <w:sz w:val="28"/>
          <w:szCs w:val="28"/>
        </w:rPr>
        <w:t xml:space="preserve"> - «Переходная таблица» представлено на </w:t>
      </w:r>
      <w:r w:rsidRPr="00E55CF7">
        <w:rPr>
          <w:sz w:val="28"/>
          <w:szCs w:val="28"/>
        </w:rPr>
        <w:t xml:space="preserve">рисунке </w:t>
      </w:r>
      <w:r w:rsidRPr="00E55CF7">
        <w:rPr>
          <w:sz w:val="28"/>
          <w:szCs w:val="28"/>
        </w:rPr>
        <w:fldChar w:fldCharType="begin"/>
      </w:r>
      <w:r w:rsidRPr="00E55CF7">
        <w:rPr>
          <w:sz w:val="28"/>
          <w:szCs w:val="28"/>
        </w:rPr>
        <w:instrText xml:space="preserve"> REF _Ref69112316 \h </w:instrText>
      </w:r>
      <w:r>
        <w:rPr>
          <w:sz w:val="28"/>
          <w:szCs w:val="28"/>
        </w:rPr>
        <w:instrText xml:space="preserve"> \* MERGEFORMAT </w:instrText>
      </w:r>
      <w:r w:rsidRPr="00E55CF7">
        <w:rPr>
          <w:sz w:val="28"/>
          <w:szCs w:val="28"/>
        </w:rPr>
      </w:r>
      <w:r w:rsidRPr="00E55CF7">
        <w:rPr>
          <w:sz w:val="28"/>
          <w:szCs w:val="28"/>
        </w:rPr>
        <w:fldChar w:fldCharType="separate"/>
      </w:r>
      <w:r w:rsidR="00BF0BEE" w:rsidRPr="00BF0BEE">
        <w:rPr>
          <w:noProof/>
          <w:sz w:val="28"/>
          <w:szCs w:val="28"/>
        </w:rPr>
        <w:t>447</w:t>
      </w:r>
      <w:r w:rsidRPr="00E55CF7">
        <w:rPr>
          <w:sz w:val="28"/>
          <w:szCs w:val="28"/>
        </w:rPr>
        <w:fldChar w:fldCharType="end"/>
      </w:r>
      <w:r w:rsidRPr="00E55CF7">
        <w:rPr>
          <w:sz w:val="28"/>
          <w:szCs w:val="28"/>
        </w:rPr>
        <w:t xml:space="preserve"> и</w:t>
      </w:r>
      <w:r>
        <w:rPr>
          <w:sz w:val="28"/>
          <w:szCs w:val="28"/>
        </w:rPr>
        <w:t xml:space="preserve"> </w:t>
      </w:r>
      <w:r w:rsidRPr="00257ADB">
        <w:rPr>
          <w:sz w:val="28"/>
          <w:szCs w:val="28"/>
        </w:rPr>
        <w:t xml:space="preserve">отображает </w:t>
      </w:r>
      <w:r>
        <w:rPr>
          <w:sz w:val="28"/>
          <w:szCs w:val="28"/>
        </w:rPr>
        <w:t xml:space="preserve">сводную </w:t>
      </w:r>
      <w:r w:rsidRPr="00257ADB">
        <w:rPr>
          <w:sz w:val="28"/>
          <w:szCs w:val="28"/>
        </w:rPr>
        <w:t xml:space="preserve">информацию </w:t>
      </w:r>
      <w:r>
        <w:rPr>
          <w:sz w:val="28"/>
          <w:szCs w:val="28"/>
        </w:rPr>
        <w:t xml:space="preserve">показателей </w:t>
      </w:r>
      <w:r w:rsidRPr="00195869">
        <w:rPr>
          <w:sz w:val="28"/>
          <w:szCs w:val="28"/>
        </w:rPr>
        <w:t>бухгалтерской (финансовой) отчетности</w:t>
      </w:r>
      <w:r>
        <w:rPr>
          <w:sz w:val="28"/>
          <w:szCs w:val="28"/>
        </w:rPr>
        <w:t xml:space="preserve"> с отнесением к строкам отчета СГФ в соответствии с Переходной </w:t>
      </w:r>
      <w:r w:rsidRPr="003F2D6F">
        <w:rPr>
          <w:sz w:val="28"/>
          <w:szCs w:val="28"/>
        </w:rPr>
        <w:t xml:space="preserve">таблицей </w:t>
      </w:r>
      <w:r w:rsidRPr="003F2D6F">
        <w:rPr>
          <w:sz w:val="28"/>
          <w:szCs w:val="28"/>
        </w:rPr>
        <w:fldChar w:fldCharType="begin"/>
      </w:r>
      <w:r w:rsidRPr="003F2D6F">
        <w:rPr>
          <w:sz w:val="28"/>
          <w:szCs w:val="28"/>
        </w:rPr>
        <w:instrText xml:space="preserve"> REF _Ref69112072 \h </w:instrText>
      </w:r>
      <w:r w:rsidR="003F2D6F">
        <w:rPr>
          <w:sz w:val="28"/>
          <w:szCs w:val="28"/>
        </w:rPr>
        <w:instrText xml:space="preserve"> \* MERGEFORMAT </w:instrText>
      </w:r>
      <w:r w:rsidRPr="003F2D6F">
        <w:rPr>
          <w:sz w:val="28"/>
          <w:szCs w:val="28"/>
        </w:rPr>
      </w:r>
      <w:r w:rsidRPr="003F2D6F">
        <w:rPr>
          <w:sz w:val="28"/>
          <w:szCs w:val="28"/>
        </w:rPr>
        <w:fldChar w:fldCharType="separate"/>
      </w:r>
      <w:r w:rsidR="00BF0BEE" w:rsidRPr="00BF0BEE">
        <w:rPr>
          <w:noProof/>
          <w:sz w:val="28"/>
          <w:szCs w:val="28"/>
        </w:rPr>
        <w:t>55</w:t>
      </w:r>
      <w:r w:rsidRPr="003F2D6F">
        <w:rPr>
          <w:sz w:val="28"/>
          <w:szCs w:val="28"/>
        </w:rPr>
        <w:fldChar w:fldCharType="end"/>
      </w:r>
      <w:r>
        <w:rPr>
          <w:sz w:val="28"/>
          <w:szCs w:val="28"/>
        </w:rPr>
        <w:t>.</w:t>
      </w:r>
    </w:p>
    <w:p w:rsidR="00472B5B" w:rsidRDefault="00472B5B" w:rsidP="00472B5B">
      <w:pPr>
        <w:keepNext/>
        <w:tabs>
          <w:tab w:val="left" w:pos="709"/>
        </w:tabs>
      </w:pPr>
      <w:r>
        <w:rPr>
          <w:noProof/>
          <w:snapToGrid/>
        </w:rPr>
        <w:drawing>
          <wp:inline distT="0" distB="0" distL="0" distR="0" wp14:anchorId="70C9B0F3" wp14:editId="04965A8F">
            <wp:extent cx="5939790" cy="2644062"/>
            <wp:effectExtent l="0" t="0" r="3810" b="444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5"/>
                    <a:stretch>
                      <a:fillRect/>
                    </a:stretch>
                  </pic:blipFill>
                  <pic:spPr>
                    <a:xfrm>
                      <a:off x="0" y="0"/>
                      <a:ext cx="5939790" cy="2644062"/>
                    </a:xfrm>
                    <a:prstGeom prst="rect">
                      <a:avLst/>
                    </a:prstGeom>
                  </pic:spPr>
                </pic:pic>
              </a:graphicData>
            </a:graphic>
          </wp:inline>
        </w:drawing>
      </w:r>
    </w:p>
    <w:p w:rsidR="00472B5B" w:rsidRDefault="00472B5B" w:rsidP="00472B5B">
      <w:pPr>
        <w:pStyle w:val="-0"/>
      </w:pPr>
      <w:bookmarkStart w:id="1987" w:name="_Toc69290582"/>
      <w:bookmarkStart w:id="1988" w:name="_Toc119584709"/>
      <w:r>
        <w:t xml:space="preserve">Рисунок </w:t>
      </w:r>
      <w:fldSimple w:instr=" SEQ Рисунок \* ARABIC ">
        <w:bookmarkStart w:id="1989" w:name="_Ref69112316"/>
        <w:r w:rsidR="001860A9">
          <w:rPr>
            <w:noProof/>
          </w:rPr>
          <w:t>522</w:t>
        </w:r>
        <w:bookmarkEnd w:id="1989"/>
      </w:fldSimple>
      <w:r>
        <w:t xml:space="preserve"> – Представление</w:t>
      </w:r>
      <w:r w:rsidRPr="00091631">
        <w:t xml:space="preserve"> «</w:t>
      </w:r>
      <w:r>
        <w:t>Сектор государственных нефинансовых корпораций</w:t>
      </w:r>
      <w:r w:rsidRPr="00D8413B">
        <w:t>»</w:t>
      </w:r>
      <w:r>
        <w:t xml:space="preserve"> - «Переходная таблица»</w:t>
      </w:r>
      <w:bookmarkEnd w:id="1987"/>
      <w:bookmarkEnd w:id="1988"/>
    </w:p>
    <w:p w:rsidR="00472B5B" w:rsidRDefault="00472B5B" w:rsidP="00F531E2">
      <w:pPr>
        <w:pStyle w:val="-"/>
      </w:pPr>
      <w:bookmarkStart w:id="1990" w:name="_Toc69290219"/>
      <w:bookmarkStart w:id="1991" w:name="_Toc119585196"/>
      <w:r>
        <w:t xml:space="preserve">Таблица </w:t>
      </w:r>
      <w:fldSimple w:instr=" SEQ Таблица \* ARABIC ">
        <w:bookmarkStart w:id="1992" w:name="_Ref69112072"/>
        <w:r w:rsidR="00BF0BEE">
          <w:rPr>
            <w:noProof/>
          </w:rPr>
          <w:t>55</w:t>
        </w:r>
        <w:bookmarkEnd w:id="1992"/>
      </w:fldSimple>
      <w:r>
        <w:t xml:space="preserve"> – </w:t>
      </w:r>
      <w:r w:rsidRPr="00E55CF7">
        <w:t>Переходная таблица по расширенному сектору государственного управления и сектору государственных нефинансовых корпораций</w:t>
      </w:r>
      <w:bookmarkEnd w:id="1990"/>
      <w:bookmarkEnd w:id="1991"/>
    </w:p>
    <w:tbl>
      <w:tblPr>
        <w:tblW w:w="9747" w:type="dxa"/>
        <w:tblLayout w:type="fixed"/>
        <w:tblLook w:val="04A0" w:firstRow="1" w:lastRow="0" w:firstColumn="1" w:lastColumn="0" w:noHBand="0" w:noVBand="1"/>
      </w:tblPr>
      <w:tblGrid>
        <w:gridCol w:w="2660"/>
        <w:gridCol w:w="283"/>
        <w:gridCol w:w="1134"/>
        <w:gridCol w:w="1134"/>
        <w:gridCol w:w="329"/>
        <w:gridCol w:w="4207"/>
      </w:tblGrid>
      <w:tr w:rsidR="00472B5B" w:rsidRPr="00B91063" w:rsidTr="00E9324B">
        <w:trPr>
          <w:trHeight w:val="85"/>
          <w:tblHeader/>
        </w:trPr>
        <w:tc>
          <w:tcPr>
            <w:tcW w:w="4077" w:type="dxa"/>
            <w:gridSpan w:val="3"/>
            <w:tcBorders>
              <w:top w:val="single" w:sz="4" w:space="0" w:color="auto"/>
              <w:left w:val="single" w:sz="4" w:space="0" w:color="auto"/>
              <w:bottom w:val="single" w:sz="4" w:space="0" w:color="auto"/>
              <w:right w:val="single" w:sz="4" w:space="0" w:color="000000"/>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Показатели</w:t>
            </w:r>
          </w:p>
        </w:tc>
        <w:tc>
          <w:tcPr>
            <w:tcW w:w="5670" w:type="dxa"/>
            <w:gridSpan w:val="3"/>
            <w:tcBorders>
              <w:top w:val="single" w:sz="4" w:space="0" w:color="auto"/>
              <w:left w:val="nil"/>
              <w:bottom w:val="single" w:sz="4" w:space="0" w:color="auto"/>
              <w:right w:val="single" w:sz="4" w:space="0" w:color="000000"/>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Млрд**. рублей, на конец периода</w:t>
            </w:r>
          </w:p>
        </w:tc>
      </w:tr>
      <w:tr w:rsidR="00472B5B" w:rsidRPr="00B91063" w:rsidTr="00E9324B">
        <w:trPr>
          <w:trHeight w:val="99"/>
        </w:trPr>
        <w:tc>
          <w:tcPr>
            <w:tcW w:w="9747" w:type="dxa"/>
            <w:gridSpan w:val="6"/>
            <w:tcBorders>
              <w:top w:val="single" w:sz="4" w:space="0" w:color="auto"/>
              <w:left w:val="single" w:sz="4" w:space="0" w:color="auto"/>
              <w:bottom w:val="single" w:sz="4" w:space="0" w:color="auto"/>
              <w:right w:val="single" w:sz="4" w:space="0" w:color="000000"/>
            </w:tcBorders>
            <w:shd w:val="clear" w:color="000000" w:fill="FDE9D9"/>
            <w:vAlign w:val="center"/>
            <w:hideMark/>
          </w:tcPr>
          <w:p w:rsidR="00472B5B" w:rsidRPr="00B91063" w:rsidRDefault="00472B5B" w:rsidP="00E9324B">
            <w:pPr>
              <w:jc w:val="center"/>
              <w:rPr>
                <w:b/>
                <w:bCs/>
                <w:snapToGrid/>
                <w:szCs w:val="24"/>
              </w:rPr>
            </w:pPr>
            <w:r w:rsidRPr="00B91063">
              <w:rPr>
                <w:b/>
                <w:bCs/>
                <w:snapToGrid/>
                <w:szCs w:val="24"/>
              </w:rPr>
              <w:t>БАЛАНС АКТИВОВ И ПАССИВОВ</w:t>
            </w:r>
          </w:p>
        </w:tc>
      </w:tr>
      <w:tr w:rsidR="00472B5B" w:rsidRPr="00B91063" w:rsidTr="00E9324B">
        <w:trPr>
          <w:trHeight w:val="85"/>
        </w:trPr>
        <w:tc>
          <w:tcPr>
            <w:tcW w:w="2660" w:type="dxa"/>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Нефинансовые активы</w:t>
            </w:r>
          </w:p>
        </w:tc>
        <w:tc>
          <w:tcPr>
            <w:tcW w:w="1417" w:type="dxa"/>
            <w:gridSpan w:val="2"/>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61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611</w:t>
            </w:r>
          </w:p>
        </w:tc>
      </w:tr>
      <w:tr w:rsidR="00472B5B" w:rsidRPr="00B91063" w:rsidTr="00E9324B">
        <w:trPr>
          <w:trHeight w:val="143"/>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612</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615</w:t>
            </w:r>
          </w:p>
        </w:tc>
      </w:tr>
      <w:tr w:rsidR="00472B5B" w:rsidRPr="00B91063" w:rsidTr="00E9324B">
        <w:trPr>
          <w:trHeight w:val="85"/>
        </w:trPr>
        <w:tc>
          <w:tcPr>
            <w:tcW w:w="2660" w:type="dxa"/>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Основные фонды</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611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1150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1160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1110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1120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1130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1140 (форма 0710001)*</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Запасы материальных оборотных средств</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612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Прочие</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615</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1100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1120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1130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1150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1160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1170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1180 (форма 0710001)*</w:t>
            </w:r>
          </w:p>
        </w:tc>
      </w:tr>
      <w:tr w:rsidR="00472B5B" w:rsidRPr="00B91063" w:rsidTr="00E9324B">
        <w:trPr>
          <w:trHeight w:val="110"/>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1190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Финансовые активы</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62</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6201</w:t>
            </w:r>
            <w:r w:rsidRPr="00B91063">
              <w:rPr>
                <w:snapToGrid/>
                <w:szCs w:val="24"/>
              </w:rPr>
              <w:t xml:space="preserve"> </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6203</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6204</w:t>
            </w:r>
          </w:p>
        </w:tc>
      </w:tr>
      <w:tr w:rsidR="00472B5B" w:rsidRPr="00B91063" w:rsidTr="00E9324B">
        <w:trPr>
          <w:trHeight w:val="198"/>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6205</w:t>
            </w:r>
          </w:p>
        </w:tc>
      </w:tr>
      <w:tr w:rsidR="00472B5B" w:rsidRPr="00B91063" w:rsidTr="00E9324B">
        <w:trPr>
          <w:trHeight w:val="88"/>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6206</w:t>
            </w:r>
          </w:p>
        </w:tc>
      </w:tr>
      <w:tr w:rsidR="00472B5B" w:rsidRPr="00B91063" w:rsidTr="00E9324B">
        <w:trPr>
          <w:trHeight w:val="147"/>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6207</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6208</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Moнетарное золото и СДР</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6201</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Валюта и депозиты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1250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Долговые ценные бумаги</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6203</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1170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1240 (форма 0710001)*</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Кредиты и займы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6204</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171"/>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Акционерный капитал и доли в инвестиционных фондах</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6205</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122"/>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Программы страхования, пенсионного обеспечения и стандартных гарантий</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6206</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Производные финансовые инструменты и опционы на акции для работников</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6207</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Прочая дебиторская задолженность</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6208</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1200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1180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1190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1250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Обязательства</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63</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6302</w:t>
            </w:r>
          </w:p>
        </w:tc>
      </w:tr>
      <w:tr w:rsidR="00472B5B" w:rsidRPr="00B91063" w:rsidTr="00E9324B">
        <w:trPr>
          <w:trHeight w:val="118"/>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6303</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6304</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6305</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6306</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6307</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6308</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Moнетарное золото и СДР</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6301</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Валюта и депозиты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6302</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Долговые ценные бумаги</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6303</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220"/>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Кредиты и займы</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6304</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xml:space="preserve"> графа 3 строка 1410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1510 (форма 0710001)*</w:t>
            </w:r>
          </w:p>
        </w:tc>
      </w:tr>
      <w:tr w:rsidR="00472B5B" w:rsidRPr="00B91063" w:rsidTr="00E9324B">
        <w:trPr>
          <w:trHeight w:val="156"/>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Акционерный капитал и доли в инвестиционных фондах</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6305</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1310 (форма 0710001)*</w:t>
            </w:r>
          </w:p>
        </w:tc>
      </w:tr>
      <w:tr w:rsidR="00472B5B" w:rsidRPr="00B91063" w:rsidTr="00E9324B">
        <w:trPr>
          <w:trHeight w:val="106"/>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Программы страхования, пенсионного обеспечения и стандартных гарантий</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6306</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272"/>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Производные финансовые инструменты и опционы на акции для работников</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6307</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126"/>
        </w:trPr>
        <w:tc>
          <w:tcPr>
            <w:tcW w:w="2660" w:type="dxa"/>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Прочая кредиторская задолженность</w:t>
            </w:r>
          </w:p>
        </w:tc>
        <w:tc>
          <w:tcPr>
            <w:tcW w:w="1417" w:type="dxa"/>
            <w:gridSpan w:val="2"/>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6308</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1400 (форма 0710001)*</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1500 (форма 0710001)*</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1410 (форма 0710001)*</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1510 (форма 0710001)*</w:t>
            </w:r>
          </w:p>
        </w:tc>
      </w:tr>
      <w:tr w:rsidR="00472B5B" w:rsidRPr="00B91063" w:rsidTr="00E9324B">
        <w:trPr>
          <w:trHeight w:val="85"/>
        </w:trPr>
        <w:tc>
          <w:tcPr>
            <w:tcW w:w="2660" w:type="dxa"/>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ЧИСТАЯ СТОИМОСТЬ ФИНАНСОВЫХ АКТИВОВ</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62</w:t>
            </w:r>
            <w:r w:rsidRPr="00B91063">
              <w:rPr>
                <w:snapToGrid/>
                <w:szCs w:val="24"/>
              </w:rPr>
              <w:t>-</w:t>
            </w:r>
            <w:r w:rsidRPr="00B91063">
              <w:rPr>
                <w:b/>
                <w:bCs/>
                <w:snapToGrid/>
                <w:szCs w:val="24"/>
              </w:rPr>
              <w:t>63</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ЧИСТАЯ СТОИМОСТЬ АКТИВОВ</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6=61+62-63</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xml:space="preserve">строка 61 </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w:t>
            </w:r>
          </w:p>
        </w:tc>
      </w:tr>
      <w:tr w:rsidR="00472B5B" w:rsidRPr="00B91063" w:rsidTr="00E9324B">
        <w:trPr>
          <w:trHeight w:val="100"/>
        </w:trPr>
        <w:tc>
          <w:tcPr>
            <w:tcW w:w="9747" w:type="dxa"/>
            <w:gridSpan w:val="6"/>
            <w:tcBorders>
              <w:top w:val="single" w:sz="4" w:space="0" w:color="auto"/>
              <w:left w:val="single" w:sz="4" w:space="0" w:color="auto"/>
              <w:bottom w:val="single" w:sz="4" w:space="0" w:color="auto"/>
              <w:right w:val="single" w:sz="4" w:space="0" w:color="000000"/>
            </w:tcBorders>
            <w:shd w:val="clear" w:color="000000" w:fill="FDE9D9"/>
            <w:vAlign w:val="center"/>
            <w:hideMark/>
          </w:tcPr>
          <w:p w:rsidR="00472B5B" w:rsidRPr="00B91063" w:rsidRDefault="00472B5B" w:rsidP="00E9324B">
            <w:pPr>
              <w:jc w:val="center"/>
              <w:rPr>
                <w:b/>
                <w:bCs/>
                <w:snapToGrid/>
                <w:szCs w:val="24"/>
              </w:rPr>
            </w:pPr>
            <w:r w:rsidRPr="00B91063">
              <w:rPr>
                <w:b/>
                <w:bCs/>
                <w:snapToGrid/>
                <w:szCs w:val="24"/>
              </w:rPr>
              <w:t>ОТЧЕТ ОБ ОПЕРАЦИЯХ</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Доходы</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2110 (форма 0710002)*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2310 (форма 0710002)*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2320 (форма 0710002)*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2340 (форма 0710002)*</w:t>
            </w:r>
          </w:p>
        </w:tc>
      </w:tr>
      <w:tr w:rsidR="00472B5B" w:rsidRPr="00B91063" w:rsidTr="00E9324B">
        <w:trPr>
          <w:trHeight w:val="174"/>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Проценты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1411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2320 (форма 0710002)*</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Дивиденды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1412</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2310 (форма 0710002)*</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Рента</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1415</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15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 xml:space="preserve">в т.ч. Продажи, осуществляемые рыночными заведениями </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1421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85"/>
        </w:trPr>
        <w:tc>
          <w:tcPr>
            <w:tcW w:w="2660" w:type="dxa"/>
            <w:tcBorders>
              <w:top w:val="nil"/>
              <w:left w:val="single" w:sz="4" w:space="0" w:color="auto"/>
              <w:bottom w:val="nil"/>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Текущие трансферты</w:t>
            </w:r>
          </w:p>
        </w:tc>
        <w:tc>
          <w:tcPr>
            <w:tcW w:w="1417" w:type="dxa"/>
            <w:gridSpan w:val="2"/>
            <w:tcBorders>
              <w:top w:val="nil"/>
              <w:left w:val="single" w:sz="4" w:space="0" w:color="auto"/>
              <w:bottom w:val="nil"/>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1441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129"/>
        </w:trPr>
        <w:tc>
          <w:tcPr>
            <w:tcW w:w="2660" w:type="dxa"/>
            <w:vMerge w:val="restart"/>
            <w:tcBorders>
              <w:top w:val="single" w:sz="4" w:space="0" w:color="auto"/>
              <w:left w:val="single" w:sz="4" w:space="0" w:color="auto"/>
              <w:bottom w:val="nil"/>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Расходы</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2</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2110 (форма 0710002)*</w:t>
            </w:r>
          </w:p>
        </w:tc>
      </w:tr>
      <w:tr w:rsidR="00472B5B" w:rsidRPr="00B91063" w:rsidTr="00E9324B">
        <w:trPr>
          <w:trHeight w:val="85"/>
        </w:trPr>
        <w:tc>
          <w:tcPr>
            <w:tcW w:w="2660" w:type="dxa"/>
            <w:vMerge/>
            <w:tcBorders>
              <w:top w:val="single" w:sz="4" w:space="0" w:color="auto"/>
              <w:left w:val="single" w:sz="4" w:space="0" w:color="auto"/>
              <w:bottom w:val="nil"/>
              <w:right w:val="single" w:sz="4" w:space="0" w:color="auto"/>
            </w:tcBorders>
            <w:vAlign w:val="center"/>
            <w:hideMark/>
          </w:tcPr>
          <w:p w:rsidR="00472B5B" w:rsidRPr="00B91063" w:rsidRDefault="00472B5B" w:rsidP="00E9324B">
            <w:pPr>
              <w:jc w:val="left"/>
              <w:rPr>
                <w:bCs/>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2310 (форма 0710002)*</w:t>
            </w:r>
          </w:p>
        </w:tc>
      </w:tr>
      <w:tr w:rsidR="00472B5B" w:rsidRPr="00B91063" w:rsidTr="00E9324B">
        <w:trPr>
          <w:trHeight w:val="85"/>
        </w:trPr>
        <w:tc>
          <w:tcPr>
            <w:tcW w:w="2660" w:type="dxa"/>
            <w:vMerge/>
            <w:tcBorders>
              <w:top w:val="single" w:sz="4" w:space="0" w:color="auto"/>
              <w:left w:val="single" w:sz="4" w:space="0" w:color="auto"/>
              <w:bottom w:val="nil"/>
              <w:right w:val="single" w:sz="4" w:space="0" w:color="auto"/>
            </w:tcBorders>
            <w:vAlign w:val="center"/>
            <w:hideMark/>
          </w:tcPr>
          <w:p w:rsidR="00472B5B" w:rsidRPr="00B91063" w:rsidRDefault="00472B5B" w:rsidP="00E9324B">
            <w:pPr>
              <w:jc w:val="left"/>
              <w:rPr>
                <w:bCs/>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2320 (форма 0710002)*</w:t>
            </w:r>
          </w:p>
        </w:tc>
      </w:tr>
      <w:tr w:rsidR="00472B5B" w:rsidRPr="00B91063" w:rsidTr="00E9324B">
        <w:trPr>
          <w:trHeight w:val="85"/>
        </w:trPr>
        <w:tc>
          <w:tcPr>
            <w:tcW w:w="2660" w:type="dxa"/>
            <w:vMerge/>
            <w:tcBorders>
              <w:top w:val="single" w:sz="4" w:space="0" w:color="auto"/>
              <w:left w:val="single" w:sz="4" w:space="0" w:color="auto"/>
              <w:bottom w:val="nil"/>
              <w:right w:val="single" w:sz="4" w:space="0" w:color="auto"/>
            </w:tcBorders>
            <w:vAlign w:val="center"/>
            <w:hideMark/>
          </w:tcPr>
          <w:p w:rsidR="00472B5B" w:rsidRPr="00B91063" w:rsidRDefault="00472B5B" w:rsidP="00E9324B">
            <w:pPr>
              <w:jc w:val="left"/>
              <w:rPr>
                <w:bCs/>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2340 (форма 0710002)*</w:t>
            </w:r>
          </w:p>
        </w:tc>
      </w:tr>
      <w:tr w:rsidR="00472B5B" w:rsidRPr="00B91063" w:rsidTr="00E9324B">
        <w:trPr>
          <w:trHeight w:val="108"/>
        </w:trPr>
        <w:tc>
          <w:tcPr>
            <w:tcW w:w="2660" w:type="dxa"/>
            <w:vMerge/>
            <w:tcBorders>
              <w:top w:val="single" w:sz="4" w:space="0" w:color="auto"/>
              <w:left w:val="single" w:sz="4" w:space="0" w:color="auto"/>
              <w:bottom w:val="nil"/>
              <w:right w:val="single" w:sz="4" w:space="0" w:color="auto"/>
            </w:tcBorders>
            <w:vAlign w:val="center"/>
            <w:hideMark/>
          </w:tcPr>
          <w:p w:rsidR="00472B5B" w:rsidRPr="00B91063" w:rsidRDefault="00472B5B" w:rsidP="00E9324B">
            <w:pPr>
              <w:jc w:val="left"/>
              <w:rPr>
                <w:bCs/>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2400 (форма 0710002)*</w:t>
            </w:r>
          </w:p>
        </w:tc>
      </w:tr>
      <w:tr w:rsidR="00472B5B" w:rsidRPr="00B91063" w:rsidTr="00E9324B">
        <w:trPr>
          <w:trHeight w:val="236"/>
        </w:trPr>
        <w:tc>
          <w:tcPr>
            <w:tcW w:w="2660" w:type="dxa"/>
            <w:tcBorders>
              <w:top w:val="single" w:sz="4" w:space="0" w:color="auto"/>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Использование товаров и услуг</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22</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xml:space="preserve">плюс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2120 (форма 0710002)*</w:t>
            </w:r>
          </w:p>
        </w:tc>
      </w:tr>
      <w:tr w:rsidR="00472B5B" w:rsidRPr="00B91063" w:rsidTr="00E9324B">
        <w:trPr>
          <w:trHeight w:val="186"/>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Потребление основного капитала</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23</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Проценты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24</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2330 (форма 0710002)*</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Субсидии</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25</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Дивиденды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2811</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7 строка 3327 (форма 0710004)*</w:t>
            </w:r>
          </w:p>
        </w:tc>
      </w:tr>
      <w:tr w:rsidR="00472B5B" w:rsidRPr="00B91063" w:rsidTr="00E9324B">
        <w:trPr>
          <w:trHeight w:val="85"/>
        </w:trPr>
        <w:tc>
          <w:tcPr>
            <w:tcW w:w="2660" w:type="dxa"/>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Текущие трансферты</w:t>
            </w:r>
          </w:p>
        </w:tc>
        <w:tc>
          <w:tcPr>
            <w:tcW w:w="1417" w:type="dxa"/>
            <w:gridSpan w:val="2"/>
            <w:tcBorders>
              <w:top w:val="nil"/>
              <w:left w:val="nil"/>
              <w:bottom w:val="nil"/>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2821</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 </w:t>
            </w:r>
          </w:p>
        </w:tc>
      </w:tr>
      <w:tr w:rsidR="00472B5B" w:rsidRPr="00B91063" w:rsidTr="00E9324B">
        <w:trPr>
          <w:trHeight w:val="85"/>
        </w:trPr>
        <w:tc>
          <w:tcPr>
            <w:tcW w:w="2660" w:type="dxa"/>
            <w:tcBorders>
              <w:top w:val="single" w:sz="4" w:space="0" w:color="auto"/>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bCs/>
                <w:snapToGrid/>
                <w:szCs w:val="24"/>
              </w:rPr>
            </w:pPr>
            <w:r w:rsidRPr="00B91063">
              <w:rPr>
                <w:bCs/>
                <w:snapToGrid/>
                <w:szCs w:val="24"/>
              </w:rPr>
              <w:t>в т.ч. Капитальные трансферты</w:t>
            </w:r>
          </w:p>
        </w:tc>
        <w:tc>
          <w:tcPr>
            <w:tcW w:w="1417" w:type="dxa"/>
            <w:gridSpan w:val="2"/>
            <w:tcBorders>
              <w:top w:val="single" w:sz="4" w:space="0" w:color="auto"/>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2822</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ЧИСТОЕ ОПЕРАЦИОННОЕ САЛЬДО</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NOB</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noWrap/>
            <w:vAlign w:val="center"/>
            <w:hideMark/>
          </w:tcPr>
          <w:p w:rsidR="00472B5B" w:rsidRPr="00B91063" w:rsidRDefault="00472B5B" w:rsidP="00E9324B">
            <w:pPr>
              <w:jc w:val="center"/>
              <w:rPr>
                <w:b/>
                <w:bCs/>
                <w:snapToGrid/>
                <w:szCs w:val="24"/>
              </w:rPr>
            </w:pPr>
            <w:r w:rsidRPr="00B91063">
              <w:rPr>
                <w:b/>
                <w:bCs/>
                <w:snapToGrid/>
                <w:szCs w:val="24"/>
              </w:rPr>
              <w:t>строка 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noWrap/>
            <w:vAlign w:val="center"/>
            <w:hideMark/>
          </w:tcPr>
          <w:p w:rsidR="00472B5B" w:rsidRPr="00B91063" w:rsidRDefault="00472B5B" w:rsidP="00E9324B">
            <w:pPr>
              <w:jc w:val="center"/>
              <w:rPr>
                <w:b/>
                <w:bCs/>
                <w:snapToGrid/>
                <w:szCs w:val="24"/>
              </w:rPr>
            </w:pPr>
            <w:r w:rsidRPr="00B91063">
              <w:rPr>
                <w:b/>
                <w:bCs/>
                <w:snapToGrid/>
                <w:szCs w:val="24"/>
              </w:rPr>
              <w:t>строка 2</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ВАЛОВОЕ ОПЕРАЦИОННОЕ САЛЬДР</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GOB</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noWrap/>
            <w:vAlign w:val="center"/>
            <w:hideMark/>
          </w:tcPr>
          <w:p w:rsidR="00472B5B" w:rsidRPr="00B91063" w:rsidRDefault="00472B5B" w:rsidP="00E9324B">
            <w:pPr>
              <w:jc w:val="center"/>
              <w:rPr>
                <w:b/>
                <w:bCs/>
                <w:snapToGrid/>
                <w:szCs w:val="24"/>
              </w:rPr>
            </w:pPr>
            <w:r w:rsidRPr="00B91063">
              <w:rPr>
                <w:b/>
                <w:bCs/>
                <w:snapToGrid/>
                <w:szCs w:val="24"/>
              </w:rPr>
              <w:t>строка 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noWrap/>
            <w:vAlign w:val="center"/>
            <w:hideMark/>
          </w:tcPr>
          <w:p w:rsidR="00472B5B" w:rsidRPr="00B91063" w:rsidRDefault="00472B5B" w:rsidP="00E9324B">
            <w:pPr>
              <w:jc w:val="center"/>
              <w:rPr>
                <w:b/>
                <w:bCs/>
                <w:snapToGrid/>
                <w:szCs w:val="24"/>
              </w:rPr>
            </w:pPr>
            <w:r w:rsidRPr="00B91063">
              <w:rPr>
                <w:b/>
                <w:bCs/>
                <w:snapToGrid/>
                <w:szCs w:val="24"/>
              </w:rPr>
              <w:t>строка 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noWrap/>
            <w:vAlign w:val="center"/>
            <w:hideMark/>
          </w:tcPr>
          <w:p w:rsidR="00472B5B" w:rsidRPr="00B91063" w:rsidRDefault="00472B5B" w:rsidP="00E9324B">
            <w:pPr>
              <w:jc w:val="center"/>
              <w:rPr>
                <w:b/>
                <w:bCs/>
                <w:snapToGrid/>
                <w:szCs w:val="24"/>
              </w:rPr>
            </w:pPr>
            <w:r w:rsidRPr="00B91063">
              <w:rPr>
                <w:b/>
                <w:bCs/>
                <w:snapToGrid/>
                <w:szCs w:val="24"/>
              </w:rPr>
              <w:t>строка 23</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ЧИСТЫЕ / ВАЛОВЫЕ ИНВЕСТИЦИИ В НЕФИНАНСОВЫЕ АКТИВЫ</w:t>
            </w:r>
          </w:p>
        </w:tc>
        <w:tc>
          <w:tcPr>
            <w:tcW w:w="1417" w:type="dxa"/>
            <w:gridSpan w:val="2"/>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31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311</w:t>
            </w:r>
          </w:p>
        </w:tc>
      </w:tr>
      <w:tr w:rsidR="00472B5B" w:rsidRPr="00B91063" w:rsidTr="00E9324B">
        <w:trPr>
          <w:trHeight w:val="177"/>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315</w:t>
            </w:r>
          </w:p>
        </w:tc>
      </w:tr>
      <w:tr w:rsidR="00472B5B" w:rsidRPr="00B91063" w:rsidTr="00E9324B">
        <w:trPr>
          <w:trHeight w:val="188"/>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Основные фонды</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311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1150 (форма 0710001)*</w:t>
            </w:r>
          </w:p>
        </w:tc>
      </w:tr>
      <w:tr w:rsidR="00472B5B" w:rsidRPr="00B91063" w:rsidTr="00E9324B">
        <w:trPr>
          <w:trHeight w:val="106"/>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1160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1120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1130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1120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1130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1160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1110 (форма 0710001)*</w:t>
            </w:r>
          </w:p>
        </w:tc>
      </w:tr>
      <w:tr w:rsidR="00472B5B" w:rsidRPr="00B91063" w:rsidTr="00E9324B">
        <w:trPr>
          <w:trHeight w:val="112"/>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1150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Запасы материальных оборотных активов</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312</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Прочие</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315</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1100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1110 (форма 0710001)*</w:t>
            </w:r>
          </w:p>
        </w:tc>
      </w:tr>
      <w:tr w:rsidR="00472B5B" w:rsidRPr="00B91063" w:rsidTr="00E9324B">
        <w:trPr>
          <w:trHeight w:val="171"/>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1120 (форма 0710001)*</w:t>
            </w:r>
          </w:p>
        </w:tc>
      </w:tr>
      <w:tr w:rsidR="00472B5B" w:rsidRPr="00B91063" w:rsidTr="00E9324B">
        <w:trPr>
          <w:trHeight w:val="90"/>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1130 (форма 0710001)*</w:t>
            </w:r>
          </w:p>
        </w:tc>
      </w:tr>
      <w:tr w:rsidR="00472B5B" w:rsidRPr="00B91063" w:rsidTr="00E9324B">
        <w:trPr>
          <w:trHeight w:val="263"/>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1160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1150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1170 (форма 0710001)*</w:t>
            </w:r>
          </w:p>
        </w:tc>
      </w:tr>
      <w:tr w:rsidR="00472B5B" w:rsidRPr="00B91063" w:rsidTr="00E9324B">
        <w:trPr>
          <w:trHeight w:val="122"/>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1180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1190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1100 (форма 0710001)*</w:t>
            </w:r>
          </w:p>
        </w:tc>
      </w:tr>
      <w:tr w:rsidR="00472B5B" w:rsidRPr="00B91063" w:rsidTr="00E9324B">
        <w:trPr>
          <w:trHeight w:val="104"/>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1150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1120 (форма 0710001)*</w:t>
            </w:r>
          </w:p>
        </w:tc>
      </w:tr>
      <w:tr w:rsidR="00472B5B" w:rsidRPr="00B91063" w:rsidTr="00E9324B">
        <w:trPr>
          <w:trHeight w:val="100"/>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1130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1160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1170 (форма 0710001)*</w:t>
            </w:r>
          </w:p>
        </w:tc>
      </w:tr>
      <w:tr w:rsidR="00472B5B" w:rsidRPr="00B91063" w:rsidTr="00E9324B">
        <w:trPr>
          <w:trHeight w:val="269"/>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1180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1190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ЧИСТОЕ КРЕДИТОВАНИЕ (+) / ЧИСТОЕ ЗАИМСТВОВАНИЕ (-)</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NLB</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2</w:t>
            </w:r>
          </w:p>
        </w:tc>
      </w:tr>
      <w:tr w:rsidR="00472B5B" w:rsidRPr="00B91063" w:rsidTr="00E9324B">
        <w:trPr>
          <w:trHeight w:val="128"/>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w:t>
            </w:r>
          </w:p>
        </w:tc>
      </w:tr>
      <w:tr w:rsidR="00472B5B" w:rsidRPr="00B91063" w:rsidTr="00E9324B">
        <w:trPr>
          <w:trHeight w:val="85"/>
        </w:trPr>
        <w:tc>
          <w:tcPr>
            <w:tcW w:w="2660" w:type="dxa"/>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left"/>
              <w:rPr>
                <w:b/>
                <w:bCs/>
                <w:snapToGrid/>
                <w:szCs w:val="24"/>
              </w:rPr>
            </w:pPr>
            <w:r w:rsidRPr="00B91063">
              <w:rPr>
                <w:b/>
                <w:bCs/>
                <w:snapToGrid/>
                <w:szCs w:val="24"/>
              </w:rPr>
              <w:t>Чистое приобретение финансовых активов</w:t>
            </w:r>
          </w:p>
        </w:tc>
        <w:tc>
          <w:tcPr>
            <w:tcW w:w="1417" w:type="dxa"/>
            <w:gridSpan w:val="2"/>
            <w:vMerge w:val="restart"/>
            <w:tcBorders>
              <w:top w:val="nil"/>
              <w:left w:val="single" w:sz="4" w:space="0" w:color="auto"/>
              <w:bottom w:val="nil"/>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32</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3202</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3203</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3204</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3205</w:t>
            </w:r>
          </w:p>
        </w:tc>
      </w:tr>
      <w:tr w:rsidR="00472B5B" w:rsidRPr="00B91063" w:rsidTr="00E9324B">
        <w:trPr>
          <w:trHeight w:val="85"/>
        </w:trPr>
        <w:tc>
          <w:tcPr>
            <w:tcW w:w="2660" w:type="dxa"/>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nil"/>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3208</w:t>
            </w:r>
          </w:p>
        </w:tc>
      </w:tr>
      <w:tr w:rsidR="00472B5B" w:rsidRPr="00B91063" w:rsidTr="00E9324B">
        <w:trPr>
          <w:trHeight w:val="204"/>
        </w:trPr>
        <w:tc>
          <w:tcPr>
            <w:tcW w:w="2660" w:type="dxa"/>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Валюта и депозиты</w:t>
            </w:r>
          </w:p>
        </w:tc>
        <w:tc>
          <w:tcPr>
            <w:tcW w:w="1417" w:type="dxa"/>
            <w:gridSpan w:val="2"/>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3202</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1250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1250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Долговые ценные бумаги</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3203</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1170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1170 (форма 0710001)*</w:t>
            </w:r>
          </w:p>
        </w:tc>
      </w:tr>
      <w:tr w:rsidR="00472B5B" w:rsidRPr="00B91063" w:rsidTr="00E9324B">
        <w:trPr>
          <w:trHeight w:val="161"/>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1240 (форма 0710001)*</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Кредиты и займы</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3204</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213"/>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Акционерный капитал и доли в инвестиционных фондах</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3205</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Прочая дебиторская задолженность</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3208</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1200 (форма 0710001)*</w:t>
            </w:r>
          </w:p>
        </w:tc>
      </w:tr>
      <w:tr w:rsidR="00472B5B" w:rsidRPr="00B91063" w:rsidTr="00E9324B">
        <w:trPr>
          <w:trHeight w:val="192"/>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1180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1190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1250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1200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1180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1190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1240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1250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noWrap/>
            <w:vAlign w:val="center"/>
            <w:hideMark/>
          </w:tcPr>
          <w:p w:rsidR="00472B5B" w:rsidRPr="00B91063" w:rsidRDefault="00472B5B" w:rsidP="00E9324B">
            <w:pPr>
              <w:jc w:val="left"/>
              <w:rPr>
                <w:b/>
                <w:bCs/>
                <w:snapToGrid/>
                <w:szCs w:val="24"/>
              </w:rPr>
            </w:pPr>
            <w:r w:rsidRPr="00B91063">
              <w:rPr>
                <w:b/>
                <w:bCs/>
                <w:snapToGrid/>
                <w:szCs w:val="24"/>
              </w:rPr>
              <w:t>Чистое принятие обязательств</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b/>
                <w:bCs/>
                <w:snapToGrid/>
                <w:szCs w:val="24"/>
              </w:rPr>
            </w:pPr>
            <w:r w:rsidRPr="00B91063">
              <w:rPr>
                <w:b/>
                <w:bCs/>
                <w:snapToGrid/>
                <w:szCs w:val="24"/>
              </w:rPr>
              <w:t>33</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3303</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3304</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3305</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3306</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b/>
                <w:bCs/>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3308</w:t>
            </w:r>
          </w:p>
        </w:tc>
      </w:tr>
      <w:tr w:rsidR="00472B5B" w:rsidRPr="00B91063" w:rsidTr="00E9324B">
        <w:trPr>
          <w:trHeight w:val="85"/>
        </w:trPr>
        <w:tc>
          <w:tcPr>
            <w:tcW w:w="2660" w:type="dxa"/>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Долговые ценные бумаги</w:t>
            </w:r>
          </w:p>
        </w:tc>
        <w:tc>
          <w:tcPr>
            <w:tcW w:w="1417" w:type="dxa"/>
            <w:gridSpan w:val="2"/>
            <w:tcBorders>
              <w:top w:val="nil"/>
              <w:left w:val="single" w:sz="4" w:space="0" w:color="auto"/>
              <w:bottom w:val="single" w:sz="4" w:space="0" w:color="auto"/>
              <w:right w:val="nil"/>
            </w:tcBorders>
            <w:shd w:val="clear" w:color="000000" w:fill="DAEEF3"/>
            <w:vAlign w:val="center"/>
            <w:hideMark/>
          </w:tcPr>
          <w:p w:rsidR="00472B5B" w:rsidRPr="00B91063" w:rsidRDefault="00472B5B" w:rsidP="00E9324B">
            <w:pPr>
              <w:jc w:val="center"/>
              <w:rPr>
                <w:snapToGrid/>
                <w:szCs w:val="24"/>
              </w:rPr>
            </w:pPr>
            <w:r w:rsidRPr="00B91063">
              <w:rPr>
                <w:snapToGrid/>
                <w:szCs w:val="24"/>
              </w:rPr>
              <w:t>3303</w:t>
            </w:r>
          </w:p>
        </w:tc>
        <w:tc>
          <w:tcPr>
            <w:tcW w:w="1134" w:type="dxa"/>
            <w:tcBorders>
              <w:top w:val="nil"/>
              <w:left w:val="single" w:sz="4" w:space="0" w:color="auto"/>
              <w:bottom w:val="single" w:sz="4" w:space="0" w:color="auto"/>
              <w:right w:val="nil"/>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144"/>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Кредиты и займы</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3304</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1410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1510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1410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Акционерный капитал и доли в инвестиционных фондах</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3305</w:t>
            </w:r>
          </w:p>
        </w:tc>
        <w:tc>
          <w:tcPr>
            <w:tcW w:w="1134" w:type="dxa"/>
            <w:tcBorders>
              <w:top w:val="nil"/>
              <w:left w:val="nil"/>
              <w:bottom w:val="single" w:sz="4" w:space="0" w:color="auto"/>
              <w:right w:val="nil"/>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single" w:sz="4" w:space="0" w:color="auto"/>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1310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1310 (форма 0710001)*</w:t>
            </w:r>
          </w:p>
        </w:tc>
      </w:tr>
      <w:tr w:rsidR="00472B5B" w:rsidRPr="00B91063" w:rsidTr="00E9324B">
        <w:trPr>
          <w:trHeight w:val="547"/>
        </w:trPr>
        <w:tc>
          <w:tcPr>
            <w:tcW w:w="2660" w:type="dxa"/>
            <w:tcBorders>
              <w:top w:val="single" w:sz="4" w:space="0" w:color="000000"/>
              <w:left w:val="single" w:sz="4" w:space="0" w:color="auto"/>
              <w:bottom w:val="nil"/>
              <w:right w:val="nil"/>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Программы страхования, пенсионного обеспечения и стандартных гарантий</w:t>
            </w:r>
          </w:p>
        </w:tc>
        <w:tc>
          <w:tcPr>
            <w:tcW w:w="1417" w:type="dxa"/>
            <w:gridSpan w:val="2"/>
            <w:tcBorders>
              <w:top w:val="nil"/>
              <w:left w:val="single" w:sz="4" w:space="0" w:color="auto"/>
              <w:bottom w:val="single" w:sz="4" w:space="0" w:color="auto"/>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3306</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snapToGrid/>
                <w:szCs w:val="24"/>
              </w:rPr>
            </w:pPr>
            <w:r w:rsidRPr="00B91063">
              <w:rPr>
                <w:snapToGrid/>
                <w:szCs w:val="24"/>
              </w:rPr>
              <w:t> </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right"/>
              <w:rPr>
                <w:snapToGrid/>
                <w:szCs w:val="24"/>
              </w:rPr>
            </w:pPr>
            <w:r w:rsidRPr="00B91063">
              <w:rPr>
                <w:snapToGrid/>
                <w:szCs w:val="24"/>
              </w:rPr>
              <w:t> </w:t>
            </w:r>
          </w:p>
        </w:tc>
      </w:tr>
      <w:tr w:rsidR="00472B5B" w:rsidRPr="00B91063" w:rsidTr="00E9324B">
        <w:trPr>
          <w:trHeight w:val="85"/>
        </w:trPr>
        <w:tc>
          <w:tcPr>
            <w:tcW w:w="2660" w:type="dxa"/>
            <w:vMerge w:val="restart"/>
            <w:tcBorders>
              <w:top w:val="single" w:sz="4" w:space="0" w:color="auto"/>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в т.ч. Прочая кредиторская задолжнность</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3308</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1400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1500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1410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1510 (форма 0710001)*</w:t>
            </w:r>
          </w:p>
        </w:tc>
      </w:tr>
      <w:tr w:rsidR="00472B5B" w:rsidRPr="00B91063" w:rsidTr="00E9324B">
        <w:trPr>
          <w:trHeight w:val="160"/>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1400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1500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1410 (форма 0710001)*</w:t>
            </w:r>
          </w:p>
        </w:tc>
      </w:tr>
      <w:tr w:rsidR="00472B5B" w:rsidRPr="00B91063" w:rsidTr="00E9324B">
        <w:trPr>
          <w:trHeight w:val="85"/>
        </w:trPr>
        <w:tc>
          <w:tcPr>
            <w:tcW w:w="2660" w:type="dxa"/>
            <w:vMerge/>
            <w:tcBorders>
              <w:top w:val="single" w:sz="4" w:space="0" w:color="auto"/>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1510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ПРОВЕРКА на правильность заполнения</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1</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63</w:t>
            </w:r>
          </w:p>
        </w:tc>
      </w:tr>
      <w:tr w:rsidR="00472B5B" w:rsidRPr="00B91063" w:rsidTr="00E9324B">
        <w:trPr>
          <w:trHeight w:val="184"/>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1300 (форма 0710001)*</w:t>
            </w:r>
          </w:p>
        </w:tc>
      </w:tr>
      <w:tr w:rsidR="00472B5B" w:rsidRPr="00B91063" w:rsidTr="00E9324B">
        <w:trPr>
          <w:trHeight w:val="216"/>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ПРОВЕРКА на правильность заполнения</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2</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w:t>
            </w:r>
          </w:p>
        </w:tc>
      </w:tr>
      <w:tr w:rsidR="00472B5B" w:rsidRPr="00B91063" w:rsidTr="00E9324B">
        <w:trPr>
          <w:trHeight w:val="151"/>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1300 (форма 0710001)*</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1300 (форма 0710001)*</w:t>
            </w:r>
          </w:p>
        </w:tc>
      </w:tr>
      <w:tr w:rsidR="00472B5B" w:rsidRPr="00B91063" w:rsidTr="00E9324B">
        <w:trPr>
          <w:trHeight w:val="193"/>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3 строка 1310 (форма 0710001)*</w:t>
            </w:r>
          </w:p>
        </w:tc>
      </w:tr>
      <w:tr w:rsidR="00472B5B" w:rsidRPr="00B91063" w:rsidTr="00E9324B">
        <w:trPr>
          <w:trHeight w:val="240"/>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графа 4 строка 1310 (форма 0710001)*</w:t>
            </w:r>
          </w:p>
        </w:tc>
      </w:tr>
      <w:tr w:rsidR="00472B5B" w:rsidRPr="00B91063" w:rsidTr="00E9324B">
        <w:trPr>
          <w:trHeight w:val="85"/>
        </w:trPr>
        <w:tc>
          <w:tcPr>
            <w:tcW w:w="2660" w:type="dxa"/>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left"/>
              <w:rPr>
                <w:snapToGrid/>
                <w:szCs w:val="24"/>
              </w:rPr>
            </w:pPr>
            <w:r w:rsidRPr="00B91063">
              <w:rPr>
                <w:snapToGrid/>
                <w:szCs w:val="24"/>
              </w:rPr>
              <w:t>ПРОВЕРКА по СГФ</w:t>
            </w:r>
          </w:p>
        </w:tc>
        <w:tc>
          <w:tcPr>
            <w:tcW w:w="1417" w:type="dxa"/>
            <w:gridSpan w:val="2"/>
            <w:vMerge w:val="restart"/>
            <w:tcBorders>
              <w:top w:val="nil"/>
              <w:left w:val="single" w:sz="4" w:space="0" w:color="auto"/>
              <w:bottom w:val="single" w:sz="4" w:space="0" w:color="000000"/>
              <w:right w:val="single" w:sz="4" w:space="0" w:color="auto"/>
            </w:tcBorders>
            <w:shd w:val="clear" w:color="000000" w:fill="DAEEF3"/>
            <w:vAlign w:val="center"/>
            <w:hideMark/>
          </w:tcPr>
          <w:p w:rsidR="00472B5B" w:rsidRPr="00B91063" w:rsidRDefault="00472B5B" w:rsidP="00E9324B">
            <w:pPr>
              <w:jc w:val="center"/>
              <w:rPr>
                <w:snapToGrid/>
                <w:szCs w:val="24"/>
              </w:rPr>
            </w:pPr>
            <w:r w:rsidRPr="00B91063">
              <w:rPr>
                <w:snapToGrid/>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32</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33</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минус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NOB</w:t>
            </w:r>
          </w:p>
        </w:tc>
      </w:tr>
      <w:tr w:rsidR="00472B5B" w:rsidRPr="00B91063" w:rsidTr="00E9324B">
        <w:trPr>
          <w:trHeight w:val="85"/>
        </w:trPr>
        <w:tc>
          <w:tcPr>
            <w:tcW w:w="2660" w:type="dxa"/>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472B5B" w:rsidRPr="00B91063" w:rsidRDefault="00472B5B" w:rsidP="00E9324B">
            <w:pPr>
              <w:jc w:val="left"/>
              <w:rPr>
                <w:snapToGrid/>
                <w:szCs w:val="24"/>
              </w:rPr>
            </w:pPr>
          </w:p>
        </w:tc>
        <w:tc>
          <w:tcPr>
            <w:tcW w:w="1134" w:type="dxa"/>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плюс</w:t>
            </w:r>
          </w:p>
        </w:tc>
        <w:tc>
          <w:tcPr>
            <w:tcW w:w="4536" w:type="dxa"/>
            <w:gridSpan w:val="2"/>
            <w:tcBorders>
              <w:top w:val="nil"/>
              <w:left w:val="nil"/>
              <w:bottom w:val="single" w:sz="4" w:space="0" w:color="auto"/>
              <w:right w:val="single" w:sz="4" w:space="0" w:color="auto"/>
            </w:tcBorders>
            <w:shd w:val="clear" w:color="auto" w:fill="auto"/>
            <w:vAlign w:val="center"/>
            <w:hideMark/>
          </w:tcPr>
          <w:p w:rsidR="00472B5B" w:rsidRPr="00B91063" w:rsidRDefault="00472B5B" w:rsidP="00E9324B">
            <w:pPr>
              <w:jc w:val="center"/>
              <w:rPr>
                <w:b/>
                <w:bCs/>
                <w:snapToGrid/>
                <w:szCs w:val="24"/>
              </w:rPr>
            </w:pPr>
            <w:r w:rsidRPr="00B91063">
              <w:rPr>
                <w:b/>
                <w:bCs/>
                <w:snapToGrid/>
                <w:szCs w:val="24"/>
              </w:rPr>
              <w:t>строка 31</w:t>
            </w:r>
          </w:p>
        </w:tc>
      </w:tr>
      <w:tr w:rsidR="00472B5B" w:rsidRPr="00B91063" w:rsidTr="00E9324B">
        <w:trPr>
          <w:trHeight w:val="346"/>
        </w:trPr>
        <w:tc>
          <w:tcPr>
            <w:tcW w:w="9747" w:type="dxa"/>
            <w:gridSpan w:val="6"/>
            <w:tcBorders>
              <w:top w:val="nil"/>
              <w:left w:val="nil"/>
              <w:bottom w:val="nil"/>
              <w:right w:val="nil"/>
            </w:tcBorders>
            <w:shd w:val="clear" w:color="auto" w:fill="auto"/>
            <w:vAlign w:val="bottom"/>
            <w:hideMark/>
          </w:tcPr>
          <w:p w:rsidR="00472B5B" w:rsidRPr="00B91063" w:rsidRDefault="00472B5B" w:rsidP="00E9324B">
            <w:pPr>
              <w:jc w:val="left"/>
              <w:rPr>
                <w:snapToGrid/>
                <w:szCs w:val="24"/>
              </w:rPr>
            </w:pPr>
            <w:r w:rsidRPr="00B91063">
              <w:rPr>
                <w:b/>
                <w:snapToGrid/>
                <w:szCs w:val="24"/>
              </w:rPr>
              <w:t>*</w:t>
            </w:r>
            <w:r w:rsidRPr="00B91063">
              <w:rPr>
                <w:snapToGrid/>
                <w:szCs w:val="24"/>
              </w:rPr>
              <w:t xml:space="preserve"> утверждена Приказом Министерства Финансов Российской Федерации от 2 июля 2010 года №66н "О формах бухгалтерской отчетности организаций"</w:t>
            </w:r>
          </w:p>
        </w:tc>
      </w:tr>
      <w:tr w:rsidR="00472B5B" w:rsidRPr="00B91063" w:rsidTr="00E9324B">
        <w:trPr>
          <w:trHeight w:val="149"/>
        </w:trPr>
        <w:tc>
          <w:tcPr>
            <w:tcW w:w="2943" w:type="dxa"/>
            <w:gridSpan w:val="2"/>
            <w:tcBorders>
              <w:top w:val="nil"/>
              <w:left w:val="nil"/>
              <w:bottom w:val="nil"/>
              <w:right w:val="nil"/>
            </w:tcBorders>
            <w:shd w:val="clear" w:color="auto" w:fill="auto"/>
            <w:vAlign w:val="bottom"/>
            <w:hideMark/>
          </w:tcPr>
          <w:p w:rsidR="00472B5B" w:rsidRPr="00B91063" w:rsidRDefault="00472B5B" w:rsidP="00E9324B">
            <w:pPr>
              <w:jc w:val="left"/>
              <w:rPr>
                <w:snapToGrid/>
                <w:szCs w:val="24"/>
              </w:rPr>
            </w:pPr>
            <w:r w:rsidRPr="00B91063">
              <w:rPr>
                <w:b/>
                <w:snapToGrid/>
                <w:szCs w:val="24"/>
              </w:rPr>
              <w:t xml:space="preserve">** </w:t>
            </w:r>
            <w:r w:rsidRPr="00B91063">
              <w:rPr>
                <w:snapToGrid/>
                <w:szCs w:val="24"/>
              </w:rPr>
              <w:t>три знака после запятой</w:t>
            </w:r>
          </w:p>
        </w:tc>
        <w:tc>
          <w:tcPr>
            <w:tcW w:w="1134" w:type="dxa"/>
            <w:tcBorders>
              <w:top w:val="nil"/>
              <w:left w:val="nil"/>
              <w:bottom w:val="nil"/>
              <w:right w:val="nil"/>
            </w:tcBorders>
            <w:shd w:val="clear" w:color="auto" w:fill="auto"/>
            <w:vAlign w:val="center"/>
            <w:hideMark/>
          </w:tcPr>
          <w:p w:rsidR="00472B5B" w:rsidRPr="00B91063" w:rsidRDefault="00472B5B" w:rsidP="00E9324B">
            <w:pPr>
              <w:jc w:val="center"/>
              <w:rPr>
                <w:snapToGrid/>
                <w:szCs w:val="24"/>
              </w:rPr>
            </w:pPr>
          </w:p>
        </w:tc>
        <w:tc>
          <w:tcPr>
            <w:tcW w:w="1463" w:type="dxa"/>
            <w:gridSpan w:val="2"/>
            <w:tcBorders>
              <w:top w:val="nil"/>
              <w:left w:val="nil"/>
              <w:bottom w:val="nil"/>
              <w:right w:val="nil"/>
            </w:tcBorders>
            <w:shd w:val="clear" w:color="auto" w:fill="auto"/>
            <w:vAlign w:val="center"/>
            <w:hideMark/>
          </w:tcPr>
          <w:p w:rsidR="00472B5B" w:rsidRPr="00B91063" w:rsidRDefault="00472B5B" w:rsidP="00E9324B">
            <w:pPr>
              <w:jc w:val="center"/>
              <w:rPr>
                <w:snapToGrid/>
                <w:szCs w:val="24"/>
              </w:rPr>
            </w:pPr>
          </w:p>
        </w:tc>
        <w:tc>
          <w:tcPr>
            <w:tcW w:w="4207" w:type="dxa"/>
            <w:tcBorders>
              <w:top w:val="nil"/>
              <w:left w:val="nil"/>
              <w:bottom w:val="nil"/>
              <w:right w:val="nil"/>
            </w:tcBorders>
            <w:shd w:val="clear" w:color="auto" w:fill="auto"/>
            <w:vAlign w:val="center"/>
            <w:hideMark/>
          </w:tcPr>
          <w:p w:rsidR="00472B5B" w:rsidRPr="00B91063" w:rsidRDefault="00472B5B" w:rsidP="00E9324B">
            <w:pPr>
              <w:jc w:val="center"/>
              <w:rPr>
                <w:snapToGrid/>
                <w:szCs w:val="24"/>
              </w:rPr>
            </w:pPr>
          </w:p>
        </w:tc>
      </w:tr>
      <w:tr w:rsidR="00472B5B" w:rsidRPr="00B91063" w:rsidTr="00E9324B">
        <w:trPr>
          <w:trHeight w:val="529"/>
        </w:trPr>
        <w:tc>
          <w:tcPr>
            <w:tcW w:w="9747" w:type="dxa"/>
            <w:gridSpan w:val="6"/>
            <w:tcBorders>
              <w:top w:val="nil"/>
              <w:left w:val="nil"/>
              <w:bottom w:val="nil"/>
              <w:right w:val="nil"/>
            </w:tcBorders>
            <w:shd w:val="clear" w:color="auto" w:fill="auto"/>
            <w:vAlign w:val="bottom"/>
            <w:hideMark/>
          </w:tcPr>
          <w:p w:rsidR="00472B5B" w:rsidRPr="00B91063" w:rsidRDefault="00472B5B" w:rsidP="00E9324B">
            <w:pPr>
              <w:jc w:val="left"/>
              <w:rPr>
                <w:snapToGrid/>
                <w:szCs w:val="24"/>
              </w:rPr>
            </w:pPr>
            <w:r w:rsidRPr="00B91063">
              <w:rPr>
                <w:b/>
                <w:snapToGrid/>
                <w:szCs w:val="24"/>
              </w:rPr>
              <w:t xml:space="preserve">*** </w:t>
            </w:r>
            <w:r w:rsidRPr="00B91063">
              <w:rPr>
                <w:snapToGrid/>
                <w:szCs w:val="24"/>
              </w:rPr>
              <w:t>здесь и далее имеется в виду код отчетной формы с сокращенным наименованием СумОтч в соответствии с Приказом ФНС России от 13.11.2019 N ММВ-7-1/570@ "Об утверждении форматов представления экземпляра составленной годовой бухгалтерской (финансовой) отчетности и аудиторского заключения о ней в виде электронных документов в целях формирования государственного информационного ресурса бухгалтерской (финансовой) отчетности"</w:t>
            </w:r>
          </w:p>
        </w:tc>
      </w:tr>
      <w:tr w:rsidR="00472B5B" w:rsidRPr="00B91063" w:rsidTr="00E9324B">
        <w:trPr>
          <w:trHeight w:val="353"/>
        </w:trPr>
        <w:tc>
          <w:tcPr>
            <w:tcW w:w="9747" w:type="dxa"/>
            <w:gridSpan w:val="6"/>
            <w:tcBorders>
              <w:top w:val="nil"/>
              <w:left w:val="nil"/>
              <w:bottom w:val="nil"/>
              <w:right w:val="nil"/>
            </w:tcBorders>
            <w:shd w:val="clear" w:color="auto" w:fill="auto"/>
            <w:vAlign w:val="bottom"/>
            <w:hideMark/>
          </w:tcPr>
          <w:p w:rsidR="00472B5B" w:rsidRPr="00B91063" w:rsidRDefault="00472B5B" w:rsidP="00E9324B">
            <w:pPr>
              <w:jc w:val="left"/>
              <w:rPr>
                <w:snapToGrid/>
                <w:szCs w:val="24"/>
              </w:rPr>
            </w:pPr>
            <w:r w:rsidRPr="00B91063">
              <w:rPr>
                <w:b/>
                <w:snapToGrid/>
                <w:szCs w:val="24"/>
              </w:rPr>
              <w:t>****</w:t>
            </w:r>
            <w:r w:rsidRPr="00B91063">
              <w:rPr>
                <w:snapToGrid/>
                <w:szCs w:val="24"/>
              </w:rPr>
              <w:t xml:space="preserve"> здесь и далее имеется в виду код отчетной формы с сокращенным наименованием СумПрдщ в соответствии с Приказом ФНС России от 13.11.2019 N ММВ-7-1/570@ "Об утверждении форматов представления экземпляра составленной годовой бухгалтерской (финансовой) отчетности и аудиторского заключения о ней в виде электронных документов в целях формирования государственного информационного ресурса бухгалтерской (финансовой) отчетности"</w:t>
            </w:r>
          </w:p>
        </w:tc>
      </w:tr>
    </w:tbl>
    <w:p w:rsidR="00472B5B" w:rsidRDefault="00472B5B" w:rsidP="00472B5B">
      <w:pPr>
        <w:spacing w:before="120" w:after="120"/>
        <w:ind w:firstLine="567"/>
        <w:rPr>
          <w:sz w:val="28"/>
          <w:szCs w:val="28"/>
        </w:rPr>
      </w:pPr>
      <w:r>
        <w:rPr>
          <w:sz w:val="28"/>
          <w:szCs w:val="28"/>
        </w:rPr>
        <w:t>При формировании представления используются все данные, получаемые из ГИР БО, за исключением:</w:t>
      </w:r>
    </w:p>
    <w:p w:rsidR="00472B5B" w:rsidRDefault="00472B5B" w:rsidP="005C6E50">
      <w:pPr>
        <w:pStyle w:val="afff6"/>
        <w:numPr>
          <w:ilvl w:val="0"/>
          <w:numId w:val="85"/>
        </w:numPr>
        <w:spacing w:before="120" w:after="120"/>
        <w:contextualSpacing/>
        <w:rPr>
          <w:szCs w:val="28"/>
        </w:rPr>
      </w:pPr>
      <w:r>
        <w:rPr>
          <w:szCs w:val="28"/>
        </w:rPr>
        <w:t>данных единиц, сдающих в соответствующем отчетном году отчетность по упрощенной форме (сокращенная форма 0710001, сокращенная форма 0710002), если в следующем отчетном году данные будут представлены в обычном порядке, данные единицы будут включены в представление «Переходная таблица»;</w:t>
      </w:r>
    </w:p>
    <w:p w:rsidR="00472B5B" w:rsidRPr="00A963EA" w:rsidRDefault="00472B5B" w:rsidP="005C6E50">
      <w:pPr>
        <w:pStyle w:val="afff6"/>
        <w:numPr>
          <w:ilvl w:val="0"/>
          <w:numId w:val="85"/>
        </w:numPr>
        <w:spacing w:before="120" w:after="120"/>
        <w:contextualSpacing/>
        <w:rPr>
          <w:szCs w:val="28"/>
        </w:rPr>
      </w:pPr>
      <w:r>
        <w:rPr>
          <w:szCs w:val="28"/>
        </w:rPr>
        <w:t>данных единиц, сдавших неполный комплект отчетности. Под неполным комплектом отчетности для целей настоящего пункта понимается представление формы 0710001 без формы 0710002 или формы 0710002 без формы 0710001.</w:t>
      </w:r>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Выпадающий список</w:t>
      </w:r>
      <w:r>
        <w:rPr>
          <w:rFonts w:eastAsia="Calibri"/>
          <w:snapToGrid/>
        </w:rPr>
        <w:t>, предусматривающий выбор года.</w:t>
      </w:r>
    </w:p>
    <w:p w:rsidR="00472B5B" w:rsidRPr="00CB650A" w:rsidRDefault="00472B5B" w:rsidP="00DE1661">
      <w:pPr>
        <w:pStyle w:val="13"/>
        <w:rPr>
          <w:rFonts w:eastAsia="Calibri"/>
          <w:snapToGrid/>
        </w:rPr>
      </w:pPr>
      <w:r w:rsidRPr="00CB650A">
        <w:rPr>
          <w:rFonts w:eastAsia="Calibri"/>
          <w:snapToGrid/>
        </w:rPr>
        <w:t>По умолчанию выводится п</w:t>
      </w:r>
      <w:r>
        <w:rPr>
          <w:rFonts w:eastAsia="Calibri"/>
          <w:snapToGrid/>
        </w:rPr>
        <w:t>оследний</w:t>
      </w:r>
      <w:r w:rsidRPr="00CB650A">
        <w:rPr>
          <w:rFonts w:eastAsia="Calibri"/>
          <w:snapToGrid/>
        </w:rPr>
        <w:t xml:space="preserve"> год</w:t>
      </w:r>
      <w:r>
        <w:rPr>
          <w:rFonts w:eastAsia="Calibri"/>
          <w:snapToGrid/>
        </w:rPr>
        <w:t>, за который представлена отчетность</w:t>
      </w:r>
      <w:r w:rsidRPr="00CB650A">
        <w:rPr>
          <w:rFonts w:eastAsia="Calibri"/>
          <w:snapToGrid/>
        </w:rPr>
        <w:t>;</w:t>
      </w:r>
    </w:p>
    <w:p w:rsidR="00472B5B" w:rsidRPr="00195869" w:rsidRDefault="00472B5B" w:rsidP="00DE1661">
      <w:pPr>
        <w:pStyle w:val="13"/>
      </w:pPr>
      <w:r w:rsidRPr="00195869">
        <w:t>«Единицы измерения»: Выпадающий список с выбором единиц измерения</w:t>
      </w:r>
      <w:r>
        <w:t xml:space="preserve"> (с учетом того, что в ГИРБО информация представлена в тысячах рублей)</w:t>
      </w:r>
      <w:r w:rsidRPr="00195869">
        <w:t xml:space="preserve">. Состоит из элементов: </w:t>
      </w:r>
      <w:r>
        <w:t>тыс. руб., млн руб., млрд руб. По умолчанию информация отражается в млрд руб.;</w:t>
      </w:r>
    </w:p>
    <w:p w:rsidR="00472B5B" w:rsidRDefault="00472B5B" w:rsidP="00DE1661">
      <w:pPr>
        <w:pStyle w:val="13"/>
      </w:pPr>
      <w:r>
        <w:t>«ИНН»: поисковая строка;</w:t>
      </w:r>
    </w:p>
    <w:p w:rsidR="00472B5B" w:rsidRDefault="00472B5B" w:rsidP="00DE1661">
      <w:pPr>
        <w:pStyle w:val="13"/>
      </w:pPr>
      <w:r>
        <w:t>«Кроме ИНН»: поисковая строка;</w:t>
      </w:r>
    </w:p>
    <w:p w:rsidR="00472B5B" w:rsidRPr="00D92C28" w:rsidRDefault="00472B5B" w:rsidP="00DE1661">
      <w:pPr>
        <w:pStyle w:val="13"/>
      </w:pPr>
      <w:r>
        <w:t>«ОКОПФ»;</w:t>
      </w:r>
    </w:p>
    <w:p w:rsidR="00472B5B" w:rsidRPr="00D92C28"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 (по умолчанию «Все»);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«Настройка параметров». Выбор значений:</w:t>
      </w:r>
    </w:p>
    <w:p w:rsidR="00472B5B" w:rsidRDefault="00472B5B" w:rsidP="00472B5B">
      <w:pPr>
        <w:pStyle w:val="29"/>
      </w:pPr>
      <w:r>
        <w:t>И</w:t>
      </w:r>
    </w:p>
    <w:p w:rsidR="00472B5B" w:rsidRDefault="00472B5B" w:rsidP="00472B5B">
      <w:pPr>
        <w:pStyle w:val="29"/>
      </w:pPr>
      <w:r>
        <w:t>ИЛИ.</w:t>
      </w:r>
    </w:p>
    <w:p w:rsidR="00472B5B" w:rsidRDefault="00472B5B" w:rsidP="00472B5B">
      <w:pPr>
        <w:spacing w:before="120" w:after="120"/>
        <w:ind w:firstLine="567"/>
        <w:rPr>
          <w:sz w:val="28"/>
          <w:szCs w:val="28"/>
        </w:rPr>
      </w:pPr>
      <w:r>
        <w:rPr>
          <w:sz w:val="28"/>
          <w:szCs w:val="28"/>
        </w:rPr>
        <w:t>Функционал предусматривает возможность выбора одновременно Условия 1 и Условия 2, Условия 1 или Условия 2, а также одновременно Условия 1, Условия 2, Условия 3, ИНН и Группы организаций.</w:t>
      </w:r>
    </w:p>
    <w:p w:rsidR="00472B5B" w:rsidRPr="00255E6A" w:rsidRDefault="00472B5B" w:rsidP="00472B5B">
      <w:pPr>
        <w:spacing w:before="120" w:after="120"/>
        <w:ind w:firstLine="567"/>
        <w:rPr>
          <w:sz w:val="28"/>
          <w:szCs w:val="28"/>
        </w:rPr>
      </w:pPr>
      <w:r>
        <w:rPr>
          <w:sz w:val="28"/>
          <w:szCs w:val="28"/>
        </w:rPr>
        <w:t>Функционал предусматривает</w:t>
      </w:r>
      <w:r w:rsidRPr="00255E6A">
        <w:rPr>
          <w:sz w:val="28"/>
          <w:szCs w:val="28"/>
        </w:rPr>
        <w:t xml:space="preserve"> возможность </w:t>
      </w:r>
      <w:r>
        <w:rPr>
          <w:sz w:val="28"/>
          <w:szCs w:val="28"/>
        </w:rPr>
        <w:t>выбора отдельных</w:t>
      </w:r>
      <w:r w:rsidRPr="00255E6A">
        <w:rPr>
          <w:sz w:val="28"/>
          <w:szCs w:val="28"/>
        </w:rPr>
        <w:t xml:space="preserve"> элемент</w:t>
      </w:r>
      <w:r>
        <w:rPr>
          <w:sz w:val="28"/>
          <w:szCs w:val="28"/>
        </w:rPr>
        <w:t>ов</w:t>
      </w:r>
      <w:r w:rsidRPr="00255E6A">
        <w:rPr>
          <w:sz w:val="28"/>
          <w:szCs w:val="28"/>
        </w:rPr>
        <w:t xml:space="preserve"> атрибутов (например: код ОКФС, начинающийся с цифры + код ОКОПФ, начинающийся с цифры + полное наименование, со</w:t>
      </w:r>
      <w:r>
        <w:rPr>
          <w:sz w:val="28"/>
          <w:szCs w:val="28"/>
        </w:rPr>
        <w:t>держащее часть слова «унитарн»)</w:t>
      </w:r>
      <w:r w:rsidRPr="00255E6A">
        <w:rPr>
          <w:sz w:val="28"/>
          <w:szCs w:val="28"/>
        </w:rPr>
        <w:t xml:space="preserve">. </w:t>
      </w:r>
    </w:p>
    <w:p w:rsidR="00472B5B" w:rsidRDefault="00472B5B" w:rsidP="00472B5B">
      <w:pPr>
        <w:spacing w:before="120" w:after="120"/>
        <w:ind w:firstLine="567"/>
        <w:rPr>
          <w:sz w:val="28"/>
          <w:szCs w:val="28"/>
        </w:rPr>
      </w:pPr>
      <w:r w:rsidRPr="00255E6A">
        <w:rPr>
          <w:sz w:val="28"/>
          <w:szCs w:val="28"/>
        </w:rPr>
        <w:t>При указании нескольких атрибутов, которым соответствует одно и то</w:t>
      </w:r>
      <w:r>
        <w:rPr>
          <w:sz w:val="28"/>
          <w:szCs w:val="28"/>
        </w:rPr>
        <w:t xml:space="preserve"> </w:t>
      </w:r>
      <w:r w:rsidRPr="00255E6A">
        <w:rPr>
          <w:sz w:val="28"/>
          <w:szCs w:val="28"/>
        </w:rPr>
        <w:t>же юридическое лицо, данное юридическое лицо не должно попадать в список дважды. Проверка на дублирование осуществляется по ИНН.</w:t>
      </w:r>
    </w:p>
    <w:p w:rsidR="00472B5B" w:rsidRDefault="00472B5B" w:rsidP="00472B5B">
      <w:pPr>
        <w:spacing w:before="120" w:after="120"/>
        <w:ind w:firstLine="567"/>
        <w:rPr>
          <w:sz w:val="28"/>
          <w:szCs w:val="28"/>
        </w:rPr>
      </w:pPr>
      <w:r>
        <w:rPr>
          <w:sz w:val="28"/>
          <w:szCs w:val="28"/>
        </w:rPr>
        <w:t>По параметру «ИНН» и «ОКОПФ» доступна функция «КРОМЕ». Например: Условие 1, КРОМЕ соответствующего ИНН.</w:t>
      </w:r>
    </w:p>
    <w:p w:rsidR="00472B5B" w:rsidRDefault="00472B5B" w:rsidP="00472B5B">
      <w:pPr>
        <w:spacing w:before="120" w:after="120"/>
        <w:ind w:firstLine="567"/>
        <w:rPr>
          <w:sz w:val="28"/>
          <w:szCs w:val="28"/>
        </w:rPr>
      </w:pPr>
      <w:r>
        <w:rPr>
          <w:sz w:val="28"/>
          <w:szCs w:val="28"/>
        </w:rPr>
        <w:t>По параметру «Группа организаций» доступна функция множественного выбора (выбор одновременно нескольких групп организаций).</w:t>
      </w:r>
    </w:p>
    <w:p w:rsidR="00472B5B" w:rsidRDefault="00472B5B" w:rsidP="00472B5B">
      <w:pPr>
        <w:spacing w:before="120" w:after="120"/>
        <w:ind w:firstLine="567"/>
        <w:rPr>
          <w:sz w:val="28"/>
          <w:szCs w:val="28"/>
        </w:rPr>
      </w:pPr>
      <w:r w:rsidRPr="0041323A">
        <w:rPr>
          <w:b/>
          <w:sz w:val="28"/>
          <w:szCs w:val="28"/>
        </w:rPr>
        <w:t>Условие 1 (госсектор)</w:t>
      </w:r>
      <w:r w:rsidRPr="0041323A">
        <w:rPr>
          <w:sz w:val="28"/>
          <w:szCs w:val="28"/>
        </w:rPr>
        <w:t>:</w:t>
      </w:r>
    </w:p>
    <w:p w:rsidR="00472B5B" w:rsidRDefault="00472B5B" w:rsidP="00472B5B">
      <w:pPr>
        <w:spacing w:before="120" w:after="120"/>
        <w:ind w:firstLine="567"/>
        <w:rPr>
          <w:sz w:val="28"/>
          <w:szCs w:val="28"/>
        </w:rPr>
      </w:pPr>
      <w:r>
        <w:rPr>
          <w:sz w:val="28"/>
          <w:szCs w:val="28"/>
        </w:rPr>
        <w:t xml:space="preserve">код ОКФС = 10 или 11 или 12 или 13 или 14 ЛИБО </w:t>
      </w:r>
      <w:r w:rsidRPr="00255E6A">
        <w:rPr>
          <w:sz w:val="28"/>
          <w:szCs w:val="28"/>
        </w:rPr>
        <w:t>полное наименование, со</w:t>
      </w:r>
      <w:r>
        <w:rPr>
          <w:sz w:val="28"/>
          <w:szCs w:val="28"/>
        </w:rPr>
        <w:t>держащее часть слова «унитарн».</w:t>
      </w:r>
    </w:p>
    <w:p w:rsidR="00472B5B" w:rsidRDefault="00472B5B" w:rsidP="00472B5B">
      <w:pPr>
        <w:spacing w:before="120" w:after="120"/>
        <w:ind w:firstLine="567"/>
        <w:rPr>
          <w:sz w:val="28"/>
          <w:szCs w:val="28"/>
        </w:rPr>
      </w:pPr>
      <w:r w:rsidRPr="002D062B">
        <w:rPr>
          <w:b/>
          <w:sz w:val="28"/>
          <w:szCs w:val="28"/>
        </w:rPr>
        <w:t>Условие 2 (сектор гос.управления)</w:t>
      </w:r>
      <w:r>
        <w:rPr>
          <w:sz w:val="28"/>
          <w:szCs w:val="28"/>
        </w:rPr>
        <w:t>:</w:t>
      </w:r>
    </w:p>
    <w:p w:rsidR="00472B5B" w:rsidRDefault="00472B5B" w:rsidP="00472B5B">
      <w:pPr>
        <w:spacing w:before="120" w:after="120"/>
        <w:ind w:firstLine="567"/>
        <w:rPr>
          <w:sz w:val="28"/>
          <w:szCs w:val="28"/>
        </w:rPr>
      </w:pPr>
      <w:r w:rsidRPr="00386D76">
        <w:rPr>
          <w:sz w:val="28"/>
          <w:szCs w:val="28"/>
        </w:rPr>
        <w:t>код ОКФС = 10 или 11 или 12 или 13 или 14 ЛИБО полное наименование, содержащее часть слова «унитарн»</w:t>
      </w:r>
      <w:r>
        <w:rPr>
          <w:sz w:val="28"/>
          <w:szCs w:val="28"/>
        </w:rPr>
        <w:t xml:space="preserve"> и соблюдение одного из нижеуказанных условий</w:t>
      </w:r>
    </w:p>
    <w:p w:rsidR="00472B5B" w:rsidRDefault="00472B5B" w:rsidP="00472B5B">
      <w:pPr>
        <w:spacing w:before="120" w:after="120"/>
        <w:ind w:firstLine="567"/>
        <w:rPr>
          <w:sz w:val="28"/>
          <w:szCs w:val="28"/>
        </w:rPr>
      </w:pPr>
      <w:r>
        <w:rPr>
          <w:sz w:val="28"/>
          <w:szCs w:val="28"/>
        </w:rPr>
        <w:t>ИЛИ</w:t>
      </w:r>
    </w:p>
    <w:p w:rsidR="00472B5B" w:rsidRDefault="00472B5B" w:rsidP="00472B5B">
      <w:pPr>
        <w:spacing w:before="120" w:after="120"/>
        <w:ind w:firstLine="567"/>
        <w:rPr>
          <w:sz w:val="28"/>
          <w:szCs w:val="28"/>
        </w:rPr>
      </w:pPr>
      <w:r>
        <w:rPr>
          <w:sz w:val="28"/>
          <w:szCs w:val="28"/>
        </w:rPr>
        <w:t xml:space="preserve">строка 2400 ф. </w:t>
      </w:r>
      <w:r w:rsidRPr="00CE2DC4">
        <w:rPr>
          <w:sz w:val="28"/>
          <w:szCs w:val="28"/>
        </w:rPr>
        <w:t>0710002</w:t>
      </w:r>
      <w:r>
        <w:rPr>
          <w:sz w:val="28"/>
          <w:szCs w:val="28"/>
        </w:rPr>
        <w:t xml:space="preserve"> за отчетный год</w:t>
      </w:r>
      <w:r w:rsidRPr="002D062B">
        <w:footnoteReference w:id="2"/>
      </w:r>
      <w:r>
        <w:rPr>
          <w:sz w:val="28"/>
          <w:szCs w:val="28"/>
        </w:rPr>
        <w:t xml:space="preserve"> меньше строки 6220</w:t>
      </w:r>
      <w:r w:rsidRPr="002D062B">
        <w:rPr>
          <w:sz w:val="28"/>
          <w:szCs w:val="28"/>
        </w:rPr>
        <w:t xml:space="preserve"> </w:t>
      </w:r>
      <w:r>
        <w:rPr>
          <w:sz w:val="28"/>
          <w:szCs w:val="28"/>
        </w:rPr>
        <w:t xml:space="preserve">ф. 0710003 за отчетный год И </w:t>
      </w:r>
      <w:r w:rsidRPr="001A5C16">
        <w:rPr>
          <w:sz w:val="28"/>
          <w:szCs w:val="28"/>
        </w:rPr>
        <w:t xml:space="preserve">строка 2400 ф. 0710002 за </w:t>
      </w:r>
      <w:r>
        <w:rPr>
          <w:sz w:val="28"/>
          <w:szCs w:val="28"/>
        </w:rPr>
        <w:t>предыдущий</w:t>
      </w:r>
      <w:r w:rsidRPr="001A5C16">
        <w:rPr>
          <w:sz w:val="28"/>
          <w:szCs w:val="28"/>
        </w:rPr>
        <w:t xml:space="preserve"> год</w:t>
      </w:r>
      <w:r w:rsidRPr="002D062B">
        <w:footnoteReference w:id="3"/>
      </w:r>
      <w:r w:rsidRPr="001A5C16">
        <w:rPr>
          <w:sz w:val="28"/>
          <w:szCs w:val="28"/>
        </w:rPr>
        <w:t xml:space="preserve"> меньше строки 6220 ф. 0710003</w:t>
      </w:r>
      <w:r>
        <w:rPr>
          <w:sz w:val="28"/>
          <w:szCs w:val="28"/>
        </w:rPr>
        <w:t xml:space="preserve"> за предыдущий год И строка 2400 ф. </w:t>
      </w:r>
      <w:r w:rsidRPr="00CE2DC4">
        <w:rPr>
          <w:sz w:val="28"/>
          <w:szCs w:val="28"/>
        </w:rPr>
        <w:t>0710002</w:t>
      </w:r>
      <w:r>
        <w:rPr>
          <w:sz w:val="28"/>
          <w:szCs w:val="28"/>
        </w:rPr>
        <w:t xml:space="preserve"> за год, предшествующий предыдущему</w:t>
      </w:r>
      <w:r>
        <w:rPr>
          <w:rStyle w:val="aff0"/>
          <w:sz w:val="28"/>
          <w:szCs w:val="28"/>
        </w:rPr>
        <w:footnoteReference w:id="4"/>
      </w:r>
      <w:r>
        <w:rPr>
          <w:sz w:val="28"/>
          <w:szCs w:val="28"/>
        </w:rPr>
        <w:t>, меньше строки 6220</w:t>
      </w:r>
      <w:r w:rsidRPr="00CE2DC4">
        <w:t xml:space="preserve"> </w:t>
      </w:r>
      <w:r>
        <w:rPr>
          <w:sz w:val="28"/>
          <w:szCs w:val="28"/>
        </w:rPr>
        <w:t xml:space="preserve">ф. 0710003 за год, предшествующий предыдущему </w:t>
      </w:r>
    </w:p>
    <w:p w:rsidR="00472B5B" w:rsidRDefault="00472B5B" w:rsidP="00472B5B">
      <w:pPr>
        <w:ind w:firstLine="709"/>
        <w:rPr>
          <w:sz w:val="28"/>
          <w:szCs w:val="28"/>
        </w:rPr>
      </w:pPr>
      <w:r>
        <w:rPr>
          <w:sz w:val="28"/>
          <w:szCs w:val="28"/>
        </w:rPr>
        <w:t xml:space="preserve">ИЛИ </w:t>
      </w:r>
    </w:p>
    <w:p w:rsidR="00472B5B" w:rsidRDefault="00472B5B" w:rsidP="00472B5B">
      <w:pPr>
        <w:ind w:firstLine="709"/>
        <w:rPr>
          <w:sz w:val="28"/>
          <w:szCs w:val="28"/>
        </w:rPr>
      </w:pPr>
      <w:r>
        <w:rPr>
          <w:sz w:val="28"/>
          <w:szCs w:val="28"/>
        </w:rPr>
        <w:t xml:space="preserve">строка 2400 </w:t>
      </w:r>
      <w:r w:rsidRPr="0040110E">
        <w:rPr>
          <w:sz w:val="28"/>
          <w:szCs w:val="28"/>
        </w:rPr>
        <w:t>ф. 0710002 за отчетный год</w:t>
      </w:r>
      <w:r>
        <w:rPr>
          <w:sz w:val="28"/>
          <w:szCs w:val="28"/>
        </w:rPr>
        <w:t xml:space="preserve"> = 0 И </w:t>
      </w:r>
      <w:r w:rsidRPr="0040110E">
        <w:rPr>
          <w:sz w:val="28"/>
          <w:szCs w:val="28"/>
        </w:rPr>
        <w:t xml:space="preserve">строка 2400 ф. 0710002 за </w:t>
      </w:r>
      <w:r>
        <w:rPr>
          <w:sz w:val="28"/>
          <w:szCs w:val="28"/>
        </w:rPr>
        <w:t>предыдущий</w:t>
      </w:r>
      <w:r w:rsidRPr="0040110E">
        <w:rPr>
          <w:sz w:val="28"/>
          <w:szCs w:val="28"/>
        </w:rPr>
        <w:t xml:space="preserve"> год = 0</w:t>
      </w:r>
      <w:r>
        <w:rPr>
          <w:sz w:val="28"/>
          <w:szCs w:val="28"/>
        </w:rPr>
        <w:t xml:space="preserve"> И </w:t>
      </w:r>
      <w:r w:rsidRPr="0040110E">
        <w:rPr>
          <w:sz w:val="28"/>
          <w:szCs w:val="28"/>
        </w:rPr>
        <w:t>строка 2400 ф. 0710002 за год</w:t>
      </w:r>
      <w:r>
        <w:rPr>
          <w:sz w:val="28"/>
          <w:szCs w:val="28"/>
        </w:rPr>
        <w:t>, предшествующий предыдущему</w:t>
      </w:r>
      <w:r w:rsidRPr="0040110E">
        <w:rPr>
          <w:sz w:val="28"/>
          <w:szCs w:val="28"/>
        </w:rPr>
        <w:t xml:space="preserve"> = 0</w:t>
      </w:r>
      <w:r>
        <w:rPr>
          <w:sz w:val="28"/>
          <w:szCs w:val="28"/>
        </w:rPr>
        <w:t>.</w:t>
      </w:r>
    </w:p>
    <w:p w:rsidR="00472B5B" w:rsidRDefault="00472B5B" w:rsidP="00472B5B">
      <w:pPr>
        <w:ind w:firstLine="709"/>
        <w:rPr>
          <w:sz w:val="28"/>
          <w:szCs w:val="28"/>
        </w:rPr>
      </w:pPr>
      <w:r>
        <w:rPr>
          <w:sz w:val="28"/>
          <w:szCs w:val="28"/>
        </w:rPr>
        <w:t>Если ф. 0710003 отсутствует, показатель строки 6220 считается равным нулю.</w:t>
      </w:r>
    </w:p>
    <w:p w:rsidR="00472B5B" w:rsidRDefault="00472B5B" w:rsidP="00472B5B">
      <w:pPr>
        <w:ind w:firstLine="709"/>
        <w:rPr>
          <w:sz w:val="28"/>
          <w:szCs w:val="28"/>
        </w:rPr>
      </w:pPr>
      <w:r>
        <w:rPr>
          <w:sz w:val="28"/>
          <w:szCs w:val="28"/>
        </w:rPr>
        <w:t>Если показатели за год, предшествующий предыдущему, отсутствуют, условие принимает вид, как если бы оно было сформулировано без данных за год, предшествующий предыдущему. Такая ситуация возможна только при построении данных за 2019 год.</w:t>
      </w:r>
    </w:p>
    <w:p w:rsidR="00472B5B" w:rsidRDefault="00472B5B" w:rsidP="00472B5B">
      <w:pPr>
        <w:ind w:firstLine="709"/>
        <w:rPr>
          <w:sz w:val="28"/>
          <w:szCs w:val="28"/>
        </w:rPr>
      </w:pPr>
    </w:p>
    <w:p w:rsidR="00472B5B" w:rsidRDefault="00472B5B" w:rsidP="00472B5B">
      <w:pPr>
        <w:ind w:firstLine="709"/>
        <w:rPr>
          <w:sz w:val="28"/>
          <w:szCs w:val="28"/>
        </w:rPr>
      </w:pPr>
      <w:r w:rsidRPr="0041323A">
        <w:rPr>
          <w:b/>
          <w:sz w:val="28"/>
          <w:szCs w:val="28"/>
          <w:u w:val="single"/>
        </w:rPr>
        <w:t>Условие 3 (смешанная форма собственности)</w:t>
      </w:r>
      <w:r>
        <w:rPr>
          <w:sz w:val="28"/>
          <w:szCs w:val="28"/>
        </w:rPr>
        <w:t xml:space="preserve">: </w:t>
      </w:r>
    </w:p>
    <w:p w:rsidR="00472B5B" w:rsidRDefault="00472B5B" w:rsidP="00472B5B">
      <w:pPr>
        <w:ind w:firstLine="709"/>
        <w:rPr>
          <w:sz w:val="28"/>
          <w:szCs w:val="28"/>
        </w:rPr>
      </w:pPr>
      <w:r>
        <w:rPr>
          <w:sz w:val="28"/>
          <w:szCs w:val="28"/>
        </w:rPr>
        <w:t>код ОКФС = 40 или 41 или 42 или 43 или 49.</w:t>
      </w:r>
    </w:p>
    <w:p w:rsidR="00472B5B" w:rsidRDefault="00472B5B" w:rsidP="00472B5B">
      <w:pPr>
        <w:ind w:firstLine="709"/>
        <w:rPr>
          <w:sz w:val="28"/>
          <w:szCs w:val="28"/>
        </w:rPr>
      </w:pPr>
    </w:p>
    <w:p w:rsidR="00472B5B" w:rsidRPr="0041323A" w:rsidRDefault="00472B5B" w:rsidP="00472B5B">
      <w:pPr>
        <w:ind w:firstLine="709"/>
        <w:rPr>
          <w:b/>
          <w:sz w:val="28"/>
          <w:szCs w:val="28"/>
        </w:rPr>
      </w:pPr>
      <w:r w:rsidRPr="0041323A">
        <w:rPr>
          <w:b/>
          <w:sz w:val="28"/>
          <w:szCs w:val="28"/>
        </w:rPr>
        <w:t xml:space="preserve">Основные группы организаций: </w:t>
      </w:r>
    </w:p>
    <w:p w:rsidR="00472B5B" w:rsidRPr="0041323A" w:rsidRDefault="00472B5B" w:rsidP="00472B5B">
      <w:pPr>
        <w:pStyle w:val="29"/>
      </w:pPr>
      <w:r w:rsidRPr="00780E8E">
        <w:rPr>
          <w:b/>
        </w:rPr>
        <w:t xml:space="preserve">«Поставщики государства» </w:t>
      </w:r>
      <w:r w:rsidRPr="0041323A">
        <w:t xml:space="preserve">- группа </w:t>
      </w:r>
      <w:r>
        <w:t>может заполняться в будущем по отдельному решению</w:t>
      </w:r>
      <w:r w:rsidRPr="0041323A">
        <w:t>;</w:t>
      </w:r>
    </w:p>
    <w:p w:rsidR="00472B5B" w:rsidRPr="0041323A" w:rsidRDefault="00472B5B" w:rsidP="00472B5B">
      <w:pPr>
        <w:pStyle w:val="29"/>
      </w:pPr>
      <w:r w:rsidRPr="00780E8E">
        <w:rPr>
          <w:b/>
        </w:rPr>
        <w:t>«Госсектор до отчета за 2019 год»</w:t>
      </w:r>
      <w:r w:rsidRPr="0041323A">
        <w:t xml:space="preserve"> - группа включает ИНН 7706664260; 7744001497; 7825392577; 7701350084; 7731084175; 6501278262; 7701984274; 7709919968; 6623029538; 0274116335; 7705630445; 7725114488; 7709221179; 7708514824; 7706413348; 7702388027; 7750004150; 5099000013; 7708503727; 7712040126; 7702070139; 7736050003; 7720261827; 7708619320; 7744000912; 7728662669; 7707049388; 7707083893; 2460066195; 1433000147; 7705035012; 7704446429; 7702352454; 7717127211; 7702235133; 2540252341; 2540252359; 7703474222; 7701105460; 7704730084; 6671199917; 7838395215; 7720522853; 7703591134; 1435178224; 7704221591; 7724570128; 7702038150; 7719272800; 2309102040; 7204002873; 7714276906; 2452000401; 7730052050;</w:t>
      </w:r>
    </w:p>
    <w:p w:rsidR="00472B5B" w:rsidRPr="0041323A" w:rsidRDefault="00472B5B" w:rsidP="00472B5B">
      <w:pPr>
        <w:pStyle w:val="29"/>
      </w:pPr>
      <w:r w:rsidRPr="00780E8E">
        <w:rPr>
          <w:b/>
        </w:rPr>
        <w:t xml:space="preserve">«СГУ по отдельному решению» </w:t>
      </w:r>
      <w:r w:rsidRPr="0041323A">
        <w:t xml:space="preserve">- группа </w:t>
      </w:r>
      <w:r>
        <w:t>может заполняться в будущем по отдельному решению</w:t>
      </w:r>
      <w:r w:rsidRPr="0041323A">
        <w:t>;</w:t>
      </w:r>
    </w:p>
    <w:p w:rsidR="00472B5B" w:rsidRPr="0041323A" w:rsidRDefault="00472B5B" w:rsidP="00472B5B">
      <w:pPr>
        <w:pStyle w:val="29"/>
      </w:pPr>
      <w:r w:rsidRPr="00780E8E">
        <w:rPr>
          <w:b/>
        </w:rPr>
        <w:t xml:space="preserve">«Госсектор по отдельному решению» </w:t>
      </w:r>
      <w:r w:rsidRPr="0041323A">
        <w:t xml:space="preserve">- группа </w:t>
      </w:r>
      <w:r>
        <w:t>может заполняться в будущем по отдельному решению</w:t>
      </w:r>
      <w:r w:rsidRPr="0041323A">
        <w:t>;</w:t>
      </w:r>
    </w:p>
    <w:p w:rsidR="00472B5B" w:rsidRPr="0041323A" w:rsidRDefault="00472B5B" w:rsidP="00472B5B">
      <w:pPr>
        <w:pStyle w:val="29"/>
      </w:pPr>
      <w:r>
        <w:rPr>
          <w:b/>
        </w:rPr>
        <w:t>«СГУ с 2009 года и банки»</w:t>
      </w:r>
      <w:r w:rsidRPr="0041323A">
        <w:t xml:space="preserve"> - группа </w:t>
      </w:r>
      <w:r>
        <w:t xml:space="preserve">включает ИНН </w:t>
      </w:r>
      <w:r w:rsidRPr="00E53631">
        <w:t>7717151380</w:t>
      </w:r>
      <w:r>
        <w:t xml:space="preserve">, </w:t>
      </w:r>
      <w:r w:rsidRPr="00E53631">
        <w:t>7736243140</w:t>
      </w:r>
      <w:r>
        <w:t xml:space="preserve">, </w:t>
      </w:r>
      <w:r w:rsidRPr="00E53631">
        <w:t>7728131587</w:t>
      </w:r>
      <w:r>
        <w:t>, 7744001497, 7725114488, 7708514824, 7750004150, 7702070139, 7744000912, 7707083893, 7702235133, 7701105460</w:t>
      </w:r>
      <w:r w:rsidRPr="0041323A">
        <w:t>.</w:t>
      </w:r>
    </w:p>
    <w:p w:rsidR="00472B5B" w:rsidRDefault="00472B5B" w:rsidP="00472B5B">
      <w:pPr>
        <w:ind w:firstLine="709"/>
        <w:rPr>
          <w:sz w:val="28"/>
          <w:szCs w:val="28"/>
        </w:rPr>
      </w:pPr>
      <w:r>
        <w:rPr>
          <w:sz w:val="28"/>
          <w:szCs w:val="28"/>
        </w:rPr>
        <w:t>По параметру «ИНН» доступна детализация, когда помимо ИНН выводится еще и наименование юридического лица.</w:t>
      </w:r>
    </w:p>
    <w:p w:rsidR="00472B5B" w:rsidRDefault="00472B5B" w:rsidP="00472B5B">
      <w:pPr>
        <w:ind w:firstLine="709"/>
        <w:rPr>
          <w:sz w:val="28"/>
          <w:szCs w:val="28"/>
        </w:rPr>
      </w:pPr>
      <w:r>
        <w:rPr>
          <w:sz w:val="28"/>
          <w:szCs w:val="28"/>
        </w:rPr>
        <w:t>Параметр «Группа организаций» является единым для всей базы данных – всех аналитических отчетов и представлений.</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Показатели (наименование показателей</w:t>
      </w:r>
      <w:r w:rsidRPr="003058BC">
        <w:t xml:space="preserve"> </w:t>
      </w:r>
      <w:r>
        <w:t>СГФ)</w:t>
      </w:r>
      <w:r w:rsidRPr="00257ADB">
        <w:t>;</w:t>
      </w:r>
    </w:p>
    <w:p w:rsidR="00472B5B" w:rsidRDefault="00472B5B" w:rsidP="00DE1661">
      <w:pPr>
        <w:pStyle w:val="13"/>
      </w:pPr>
      <w:r>
        <w:t>Код строки (код показателей</w:t>
      </w:r>
      <w:r w:rsidRPr="00216558">
        <w:t xml:space="preserve"> </w:t>
      </w:r>
      <w:r>
        <w:t>СГФ)</w:t>
      </w:r>
      <w:r w:rsidRPr="00257ADB">
        <w:t>;</w:t>
      </w:r>
    </w:p>
    <w:p w:rsidR="00472B5B" w:rsidRDefault="00472B5B" w:rsidP="00DE1661">
      <w:pPr>
        <w:pStyle w:val="13"/>
      </w:pPr>
      <w:r>
        <w:t xml:space="preserve">Значение «Расширенный СГУ» - значения показателей СГФ по юридическим лицам с секторальной принадлежностью СГУ </w:t>
      </w:r>
      <w:r w:rsidRPr="008C2397">
        <w:t>(если результат применения условия 2 = 1 или пока</w:t>
      </w:r>
      <w:r>
        <w:t>затель «Группа организаций» принимает значение</w:t>
      </w:r>
      <w:r w:rsidRPr="008C2397">
        <w:t xml:space="preserve"> «Поставщики государства» или пока</w:t>
      </w:r>
      <w:r>
        <w:t>затель «Группа организаций» принимает значение</w:t>
      </w:r>
      <w:r w:rsidRPr="008C2397">
        <w:t xml:space="preserve"> «СГУ по отдельному ре</w:t>
      </w:r>
      <w:r>
        <w:t>шению», но не принимает значение</w:t>
      </w:r>
      <w:r w:rsidRPr="008C2397">
        <w:t xml:space="preserve"> «Госсектор по отдельному решению»</w:t>
      </w:r>
      <w:r>
        <w:t>)</w:t>
      </w:r>
      <w:r w:rsidRPr="008C2397">
        <w:t xml:space="preserve">; </w:t>
      </w:r>
    </w:p>
    <w:p w:rsidR="00472B5B" w:rsidRDefault="00472B5B" w:rsidP="00DE1661">
      <w:pPr>
        <w:pStyle w:val="13"/>
      </w:pPr>
      <w:r>
        <w:t>Значение «Госсектор» - значения показателей СГФ по юридическим лицам с секторальной принадлежностью Госсектор (если результат применения</w:t>
      </w:r>
      <w:r w:rsidRPr="008C2397">
        <w:t xml:space="preserve"> Условия 1=1, а результат применения Условия 2=0 и показатель </w:t>
      </w:r>
      <w:r>
        <w:t>«</w:t>
      </w:r>
      <w:r w:rsidRPr="008C2397">
        <w:t>Группа</w:t>
      </w:r>
      <w:r>
        <w:t xml:space="preserve"> организаций» </w:t>
      </w:r>
      <w:r w:rsidRPr="008C2397">
        <w:t xml:space="preserve">не принимает значение «Поставщики государства» или показатель </w:t>
      </w:r>
      <w:r>
        <w:t>«</w:t>
      </w:r>
      <w:r w:rsidRPr="008C2397">
        <w:t>Группа</w:t>
      </w:r>
      <w:r>
        <w:t xml:space="preserve"> организаций»</w:t>
      </w:r>
      <w:r w:rsidRPr="008C2397">
        <w:t xml:space="preserve"> принимает значение «Г</w:t>
      </w:r>
      <w:r>
        <w:t>оссектор по отдельному решению»;</w:t>
      </w:r>
    </w:p>
    <w:p w:rsidR="00472B5B" w:rsidRDefault="00472B5B" w:rsidP="00DE1661">
      <w:pPr>
        <w:pStyle w:val="13"/>
      </w:pPr>
      <w:r>
        <w:t xml:space="preserve">Значения «Сектор не определен» - </w:t>
      </w:r>
      <w:r w:rsidRPr="008C2397">
        <w:t>значения показателей СГФ по юридическим лицам</w:t>
      </w:r>
      <w:r>
        <w:t>, секторальной принадлежностью которых не является СГУ или Госсектор</w:t>
      </w:r>
    </w:p>
    <w:p w:rsidR="00472B5B" w:rsidRDefault="00472B5B" w:rsidP="00DE1661">
      <w:pPr>
        <w:pStyle w:val="13"/>
      </w:pPr>
      <w:r>
        <w:t>Легенда (скрытая колонка с формулами расчета показателей). Отображается в отчете по требованию пользователя.</w:t>
      </w:r>
    </w:p>
    <w:p w:rsidR="00472B5B" w:rsidRDefault="00472B5B" w:rsidP="00472B5B">
      <w:pPr>
        <w:tabs>
          <w:tab w:val="left" w:pos="709"/>
        </w:tabs>
        <w:ind w:firstLine="709"/>
        <w:rPr>
          <w:sz w:val="28"/>
          <w:szCs w:val="28"/>
        </w:rPr>
      </w:pPr>
      <w:r>
        <w:rPr>
          <w:sz w:val="28"/>
          <w:szCs w:val="28"/>
        </w:rPr>
        <w:t>Одно и то же юридическое лицо в одном и том же периоде не может одновременно иметь секторальную принадлежность СГУ и Госсектор. В случае конфликта, секторальная принадлежность определяется как Госсектор. Одно и то же юридическое лицо в разные отчетные периоды может иметь разную секторальную принадлежность.</w:t>
      </w:r>
    </w:p>
    <w:p w:rsidR="00472B5B" w:rsidRDefault="00472B5B" w:rsidP="00472B5B">
      <w:pPr>
        <w:tabs>
          <w:tab w:val="left" w:pos="709"/>
        </w:tabs>
        <w:ind w:firstLine="709"/>
        <w:rPr>
          <w:sz w:val="28"/>
          <w:szCs w:val="28"/>
        </w:rPr>
      </w:pPr>
      <w:r>
        <w:rPr>
          <w:sz w:val="28"/>
          <w:szCs w:val="28"/>
        </w:rPr>
        <w:t>С</w:t>
      </w:r>
      <w:r w:rsidRPr="00195869">
        <w:rPr>
          <w:sz w:val="28"/>
          <w:szCs w:val="28"/>
        </w:rPr>
        <w:t xml:space="preserve">о строк </w:t>
      </w:r>
      <w:r>
        <w:rPr>
          <w:sz w:val="28"/>
          <w:szCs w:val="28"/>
        </w:rPr>
        <w:t>представления «Сектор государственных нефинансовых корпораций» - «Показатели» граф «Расширенный СГУ», «Госсектор», «Сектор не определен» предусмотрен переход в представление «Сектор государственных нефинансовых корпораций» - «Список организаций».</w:t>
      </w:r>
    </w:p>
    <w:p w:rsidR="00472B5B" w:rsidRDefault="00472B5B" w:rsidP="00862055">
      <w:pPr>
        <w:pStyle w:val="42"/>
        <w:numPr>
          <w:ilvl w:val="3"/>
          <w:numId w:val="135"/>
        </w:numPr>
        <w:ind w:left="284"/>
      </w:pPr>
      <w:r>
        <w:t>Представление «Сектор государственных нефинансовых корпораций» - «Список организаций»</w:t>
      </w:r>
    </w:p>
    <w:p w:rsidR="00472B5B" w:rsidRDefault="00472B5B" w:rsidP="00472B5B">
      <w:pPr>
        <w:spacing w:before="120" w:after="120"/>
        <w:ind w:firstLine="567"/>
        <w:rPr>
          <w:sz w:val="28"/>
          <w:szCs w:val="28"/>
        </w:rPr>
      </w:pPr>
      <w:r w:rsidRPr="00257ADB">
        <w:rPr>
          <w:sz w:val="28"/>
          <w:szCs w:val="28"/>
        </w:rPr>
        <w:t>Представление «</w:t>
      </w:r>
      <w:r>
        <w:rPr>
          <w:sz w:val="28"/>
          <w:szCs w:val="28"/>
        </w:rPr>
        <w:t>Сектор государственных нефинансовых корпораций</w:t>
      </w:r>
      <w:r w:rsidRPr="00257ADB">
        <w:rPr>
          <w:sz w:val="28"/>
          <w:szCs w:val="28"/>
        </w:rPr>
        <w:t>»</w:t>
      </w:r>
      <w:r>
        <w:rPr>
          <w:sz w:val="28"/>
          <w:szCs w:val="28"/>
        </w:rPr>
        <w:t xml:space="preserve"> - «Список организаций» </w:t>
      </w:r>
      <w:r w:rsidRPr="00257ADB">
        <w:rPr>
          <w:sz w:val="28"/>
          <w:szCs w:val="28"/>
        </w:rPr>
        <w:t>отображает</w:t>
      </w:r>
      <w:r>
        <w:rPr>
          <w:sz w:val="28"/>
          <w:szCs w:val="28"/>
        </w:rPr>
        <w:t xml:space="preserve"> детализированную</w:t>
      </w:r>
      <w:r w:rsidRPr="00257ADB">
        <w:rPr>
          <w:sz w:val="28"/>
          <w:szCs w:val="28"/>
        </w:rPr>
        <w:t xml:space="preserve"> информацию </w:t>
      </w:r>
      <w:r>
        <w:rPr>
          <w:sz w:val="28"/>
          <w:szCs w:val="28"/>
        </w:rPr>
        <w:t xml:space="preserve">по организациям в соответствии с выбранными параметрами и представлено на рисунке </w:t>
      </w:r>
      <w:r w:rsidRPr="003F2D6F">
        <w:rPr>
          <w:sz w:val="28"/>
          <w:szCs w:val="28"/>
        </w:rPr>
        <w:fldChar w:fldCharType="begin"/>
      </w:r>
      <w:r w:rsidRPr="003F2D6F">
        <w:rPr>
          <w:sz w:val="28"/>
          <w:szCs w:val="28"/>
        </w:rPr>
        <w:instrText xml:space="preserve"> REF _Ref69112428 \h </w:instrText>
      </w:r>
      <w:r w:rsidR="003F2D6F">
        <w:rPr>
          <w:sz w:val="28"/>
          <w:szCs w:val="28"/>
        </w:rPr>
        <w:instrText xml:space="preserve"> \* MERGEFORMAT </w:instrText>
      </w:r>
      <w:r w:rsidRPr="003F2D6F">
        <w:rPr>
          <w:sz w:val="28"/>
          <w:szCs w:val="28"/>
        </w:rPr>
      </w:r>
      <w:r w:rsidRPr="003F2D6F">
        <w:rPr>
          <w:sz w:val="28"/>
          <w:szCs w:val="28"/>
        </w:rPr>
        <w:fldChar w:fldCharType="separate"/>
      </w:r>
      <w:r w:rsidR="00BF0BEE" w:rsidRPr="00BF0BEE">
        <w:rPr>
          <w:noProof/>
          <w:sz w:val="28"/>
          <w:szCs w:val="28"/>
        </w:rPr>
        <w:t>448</w:t>
      </w:r>
      <w:r w:rsidRPr="003F2D6F">
        <w:rPr>
          <w:sz w:val="28"/>
          <w:szCs w:val="28"/>
        </w:rPr>
        <w:fldChar w:fldCharType="end"/>
      </w:r>
      <w:r>
        <w:rPr>
          <w:sz w:val="28"/>
          <w:szCs w:val="28"/>
        </w:rPr>
        <w:t>.</w:t>
      </w:r>
    </w:p>
    <w:p w:rsidR="00472B5B" w:rsidRDefault="00472B5B" w:rsidP="00472B5B">
      <w:pPr>
        <w:keepNext/>
        <w:spacing w:before="120" w:after="60"/>
        <w:contextualSpacing/>
      </w:pPr>
      <w:r>
        <w:rPr>
          <w:noProof/>
          <w:snapToGrid/>
        </w:rPr>
        <w:drawing>
          <wp:inline distT="0" distB="0" distL="0" distR="0" wp14:anchorId="171CD23B" wp14:editId="47B9D057">
            <wp:extent cx="5939790" cy="2514096"/>
            <wp:effectExtent l="0" t="0" r="3810" b="63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6"/>
                    <a:stretch>
                      <a:fillRect/>
                    </a:stretch>
                  </pic:blipFill>
                  <pic:spPr>
                    <a:xfrm>
                      <a:off x="0" y="0"/>
                      <a:ext cx="5939790" cy="2514096"/>
                    </a:xfrm>
                    <a:prstGeom prst="rect">
                      <a:avLst/>
                    </a:prstGeom>
                  </pic:spPr>
                </pic:pic>
              </a:graphicData>
            </a:graphic>
          </wp:inline>
        </w:drawing>
      </w:r>
    </w:p>
    <w:p w:rsidR="00472B5B" w:rsidRDefault="00472B5B" w:rsidP="00472B5B">
      <w:pPr>
        <w:pStyle w:val="-0"/>
      </w:pPr>
      <w:bookmarkStart w:id="1993" w:name="_Toc69290583"/>
      <w:bookmarkStart w:id="1994" w:name="_Toc119584710"/>
      <w:r>
        <w:t xml:space="preserve">Рисунок </w:t>
      </w:r>
      <w:fldSimple w:instr=" SEQ Рисунок \* ARABIC ">
        <w:bookmarkStart w:id="1995" w:name="_Ref69112428"/>
        <w:r w:rsidR="001860A9">
          <w:rPr>
            <w:noProof/>
          </w:rPr>
          <w:t>523</w:t>
        </w:r>
        <w:bookmarkEnd w:id="1995"/>
      </w:fldSimple>
      <w:r>
        <w:t xml:space="preserve"> – Представление</w:t>
      </w:r>
      <w:r w:rsidRPr="00091631">
        <w:t xml:space="preserve"> «</w:t>
      </w:r>
      <w:r>
        <w:t>Сектор государственных нефинансовых корпораций</w:t>
      </w:r>
      <w:r w:rsidRPr="00D8413B">
        <w:t>»</w:t>
      </w:r>
      <w:r>
        <w:t xml:space="preserve"> - «Список организаций»</w:t>
      </w:r>
      <w:bookmarkEnd w:id="1993"/>
      <w:bookmarkEnd w:id="1994"/>
    </w:p>
    <w:p w:rsidR="00472B5B" w:rsidRDefault="00472B5B" w:rsidP="00472B5B">
      <w:pPr>
        <w:spacing w:before="120" w:after="120"/>
        <w:ind w:firstLine="567"/>
        <w:rPr>
          <w:sz w:val="28"/>
          <w:szCs w:val="28"/>
        </w:rPr>
      </w:pPr>
      <w:r>
        <w:rPr>
          <w:sz w:val="28"/>
          <w:szCs w:val="28"/>
        </w:rPr>
        <w:t xml:space="preserve">Реализована функция перехода в представление не только по ссылкам в верхней части </w:t>
      </w:r>
      <w:r w:rsidRPr="00722DEA">
        <w:rPr>
          <w:sz w:val="28"/>
          <w:szCs w:val="28"/>
        </w:rPr>
        <w:t>аналитического отчет</w:t>
      </w:r>
      <w:r>
        <w:rPr>
          <w:sz w:val="28"/>
          <w:szCs w:val="28"/>
        </w:rPr>
        <w:t xml:space="preserve">а «Сектор государственных </w:t>
      </w:r>
      <w:r w:rsidRPr="00722DEA">
        <w:rPr>
          <w:sz w:val="28"/>
          <w:szCs w:val="28"/>
        </w:rPr>
        <w:t>нефинансовых корпораций» - «Переходная таблица»</w:t>
      </w:r>
      <w:r>
        <w:rPr>
          <w:sz w:val="28"/>
          <w:szCs w:val="28"/>
        </w:rPr>
        <w:t xml:space="preserve">, но </w:t>
      </w:r>
      <w:r w:rsidRPr="00722DEA">
        <w:rPr>
          <w:sz w:val="28"/>
          <w:szCs w:val="28"/>
        </w:rPr>
        <w:t>и с помощью нажатия на ячейку с данными</w:t>
      </w:r>
      <w:r>
        <w:rPr>
          <w:sz w:val="28"/>
          <w:szCs w:val="28"/>
        </w:rPr>
        <w:t>. Например: если нужна расшифровка только строки 6205</w:t>
      </w:r>
      <w:r w:rsidRPr="00722DEA">
        <w:t xml:space="preserve"> </w:t>
      </w:r>
      <w:r>
        <w:rPr>
          <w:sz w:val="28"/>
          <w:szCs w:val="28"/>
        </w:rPr>
        <w:t>представления</w:t>
      </w:r>
      <w:r w:rsidRPr="00722DEA">
        <w:rPr>
          <w:sz w:val="28"/>
          <w:szCs w:val="28"/>
        </w:rPr>
        <w:t xml:space="preserve"> «Сектор государственных нефинансовых корпораций» - «Переходная таблица»</w:t>
      </w:r>
      <w:r>
        <w:rPr>
          <w:sz w:val="28"/>
          <w:szCs w:val="28"/>
        </w:rPr>
        <w:t>, представление</w:t>
      </w:r>
      <w:r w:rsidRPr="00722DEA">
        <w:rPr>
          <w:sz w:val="28"/>
          <w:szCs w:val="28"/>
        </w:rPr>
        <w:t xml:space="preserve"> «Секто</w:t>
      </w:r>
      <w:r>
        <w:rPr>
          <w:sz w:val="28"/>
          <w:szCs w:val="28"/>
        </w:rPr>
        <w:t xml:space="preserve">р государственных </w:t>
      </w:r>
      <w:r w:rsidRPr="00722DEA">
        <w:rPr>
          <w:sz w:val="28"/>
          <w:szCs w:val="28"/>
        </w:rPr>
        <w:t>нефинансовых корпораций» - «Список организаций»</w:t>
      </w:r>
      <w:r>
        <w:rPr>
          <w:sz w:val="28"/>
          <w:szCs w:val="28"/>
        </w:rPr>
        <w:t xml:space="preserve"> предоставляет расшифровку в разрезе юридических лиц только по суммам, из которых сложилась строка 6205. Данные по юридическим лицам в </w:t>
      </w:r>
      <w:r w:rsidRPr="00722DEA">
        <w:rPr>
          <w:sz w:val="28"/>
          <w:szCs w:val="28"/>
        </w:rPr>
        <w:t>отчет</w:t>
      </w:r>
      <w:r>
        <w:rPr>
          <w:sz w:val="28"/>
          <w:szCs w:val="28"/>
        </w:rPr>
        <w:t>е</w:t>
      </w:r>
      <w:r w:rsidRPr="00722DEA">
        <w:rPr>
          <w:sz w:val="28"/>
          <w:szCs w:val="28"/>
        </w:rPr>
        <w:t xml:space="preserve"> «Сектор государственных нефинансовых корпораций» - «Список организаций» </w:t>
      </w:r>
      <w:r>
        <w:rPr>
          <w:sz w:val="28"/>
          <w:szCs w:val="28"/>
        </w:rPr>
        <w:t>автоматически сортируются по убыванию сумм. Возможна иная сортировка: графы с текстом можно сортировать по алфавиту.</w:t>
      </w:r>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Pr>
          <w:rFonts w:eastAsia="Calibri"/>
          <w:snapToGrid/>
        </w:rPr>
        <w:t>Указан год из представления «Сектор государственных нефинансовых корпораций» - «Переходная таблица», из которого был осуществлен переход на представление «Сектор государственных нефинансовых корпораций» - «Список организаций».</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стоит млрд руб.;</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 xml:space="preserve">«Сектор» (Наименование графы представления </w:t>
      </w:r>
      <w:r w:rsidRPr="00017BE2">
        <w:t>«Сектор государственных нефинансовых корпо</w:t>
      </w:r>
      <w:r>
        <w:t xml:space="preserve">раций» - «Переходная таблица», с которой осуществлялся переход в представление </w:t>
      </w:r>
      <w:r w:rsidRPr="00017BE2">
        <w:t>«Сектор государственных нефинансовых корпо</w:t>
      </w:r>
      <w:r>
        <w:t>раций» - «Список организаций»);</w:t>
      </w:r>
    </w:p>
    <w:p w:rsidR="00472B5B" w:rsidRDefault="00472B5B" w:rsidP="00DE1661">
      <w:pPr>
        <w:pStyle w:val="13"/>
      </w:pPr>
      <w:r>
        <w:t xml:space="preserve"> «</w:t>
      </w:r>
      <w:r w:rsidRPr="00017BE2">
        <w:t>Показатель</w:t>
      </w:r>
      <w:r>
        <w:t>»</w:t>
      </w:r>
      <w:r w:rsidRPr="00017BE2">
        <w:t xml:space="preserve"> </w:t>
      </w:r>
      <w:r>
        <w:t>(выбранный показатель представления</w:t>
      </w:r>
      <w:r w:rsidRPr="00017BE2">
        <w:t xml:space="preserve"> «Сектор государственных нефинансовых корпо</w:t>
      </w:r>
      <w:r>
        <w:t>раций» - «Переходная таблица» с указанием кода и наименования строки, а также наименования графы);</w:t>
      </w:r>
    </w:p>
    <w:p w:rsidR="00472B5B" w:rsidRPr="00017BE2" w:rsidRDefault="00472B5B" w:rsidP="00DE1661">
      <w:pPr>
        <w:pStyle w:val="13"/>
      </w:pPr>
      <w:r>
        <w:t xml:space="preserve"> «Настройка параметров».</w:t>
      </w:r>
    </w:p>
    <w:p w:rsidR="00472B5B" w:rsidRDefault="00472B5B" w:rsidP="00472B5B">
      <w:pPr>
        <w:spacing w:before="120" w:after="120"/>
        <w:ind w:firstLine="567"/>
        <w:rPr>
          <w:sz w:val="28"/>
          <w:szCs w:val="28"/>
        </w:rPr>
      </w:pPr>
      <w:r w:rsidRPr="009856AB">
        <w:rPr>
          <w:sz w:val="28"/>
          <w:szCs w:val="28"/>
        </w:rPr>
        <w:t>Работа параметров представления описана в пункте</w:t>
      </w:r>
      <w:r>
        <w:rPr>
          <w:sz w:val="28"/>
          <w:szCs w:val="28"/>
        </w:rPr>
        <w:t xml:space="preserve">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Pr>
          <w:sz w:val="28"/>
          <w:szCs w:val="28"/>
        </w:rPr>
        <w:t xml:space="preserve">. </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Pr="00E015DC" w:rsidRDefault="00472B5B" w:rsidP="00DE1661">
      <w:pPr>
        <w:pStyle w:val="13"/>
      </w:pPr>
      <w:r w:rsidRPr="00E015DC">
        <w:t xml:space="preserve">Сумма </w:t>
      </w:r>
      <w:r>
        <w:t xml:space="preserve">(значение </w:t>
      </w:r>
      <w:r w:rsidRPr="00E015DC">
        <w:t>в соответствии с данными бухгалтерской отчетности и выбранными единицами измерения).</w:t>
      </w:r>
    </w:p>
    <w:p w:rsidR="00472B5B" w:rsidRDefault="00472B5B" w:rsidP="00DE1661">
      <w:pPr>
        <w:pStyle w:val="13"/>
      </w:pPr>
      <w:r>
        <w:t>ИНН;</w:t>
      </w:r>
    </w:p>
    <w:p w:rsidR="00472B5B" w:rsidRDefault="00472B5B" w:rsidP="00DE1661">
      <w:pPr>
        <w:pStyle w:val="13"/>
      </w:pPr>
      <w:r>
        <w:t>КПП;</w:t>
      </w:r>
    </w:p>
    <w:p w:rsidR="00472B5B" w:rsidRDefault="00472B5B" w:rsidP="00DE1661">
      <w:pPr>
        <w:pStyle w:val="13"/>
      </w:pPr>
      <w:r>
        <w:t>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Результат применения условия 1 (значения 1 / 0);</w:t>
      </w:r>
    </w:p>
    <w:p w:rsidR="00472B5B" w:rsidRDefault="00472B5B" w:rsidP="00DE1661">
      <w:pPr>
        <w:pStyle w:val="13"/>
      </w:pPr>
      <w:r>
        <w:t>Результат применения условия 2 (значения 1 / 0);</w:t>
      </w:r>
    </w:p>
    <w:p w:rsidR="00472B5B" w:rsidRDefault="00472B5B" w:rsidP="00DE1661">
      <w:pPr>
        <w:pStyle w:val="13"/>
      </w:pPr>
      <w:r>
        <w:t>Результат применения условия 3 (значения 1 / 0);</w:t>
      </w:r>
    </w:p>
    <w:p w:rsidR="00472B5B" w:rsidRPr="00BD2A54" w:rsidRDefault="00472B5B" w:rsidP="00DE1661">
      <w:pPr>
        <w:pStyle w:val="13"/>
      </w:pPr>
      <w:r w:rsidRPr="00BD2A54">
        <w:t>Группа организаций (</w:t>
      </w:r>
      <w:r>
        <w:t xml:space="preserve">значения: </w:t>
      </w:r>
      <w:r w:rsidRPr="00BD2A54">
        <w:t>Поставщики государства, Госсектор до отчета за 2019 год, СГУ по отдельному решению</w:t>
      </w:r>
      <w:r>
        <w:t xml:space="preserve">, </w:t>
      </w:r>
      <w:r w:rsidRPr="00754463">
        <w:t>Госсектор по отдельному решению, СГУ с 2009 года и банки</w:t>
      </w:r>
      <w:r>
        <w:t>)</w:t>
      </w:r>
      <w:r w:rsidRPr="00BD2A54">
        <w:t>;</w:t>
      </w:r>
    </w:p>
    <w:p w:rsidR="00472B5B" w:rsidRDefault="00472B5B" w:rsidP="00DE1661">
      <w:pPr>
        <w:pStyle w:val="13"/>
      </w:pPr>
      <w:r w:rsidRPr="00017BE2">
        <w:t>Секторальная принадлежность</w:t>
      </w:r>
      <w:r>
        <w:t xml:space="preserve"> (</w:t>
      </w:r>
      <w:r w:rsidRPr="00017BE2">
        <w:t xml:space="preserve">если результат применения условия 2 = 1 или показатель </w:t>
      </w:r>
      <w:r>
        <w:t>«</w:t>
      </w:r>
      <w:r w:rsidRPr="00017BE2">
        <w:t xml:space="preserve">Группа </w:t>
      </w:r>
      <w:r>
        <w:t xml:space="preserve">организаций» </w:t>
      </w:r>
      <w:r w:rsidRPr="00017BE2">
        <w:t>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w:t>
      </w:r>
      <w:r w:rsidRPr="00BD2A54">
        <w:rPr>
          <w:i/>
        </w:rPr>
        <w:t>Расширенный сектор государственного управления</w:t>
      </w:r>
      <w:r w:rsidRPr="00017BE2">
        <w:t xml:space="preserve">»; Если результат применение Условия 1=1, а результат применения Условия 2=0 и показатель </w:t>
      </w:r>
      <w:r>
        <w:t>«</w:t>
      </w:r>
      <w:r w:rsidRPr="00017BE2">
        <w:t xml:space="preserve">Группа </w:t>
      </w:r>
      <w:r>
        <w:t xml:space="preserve">организаций» </w:t>
      </w:r>
      <w:r w:rsidRPr="00017BE2">
        <w:t xml:space="preserve">не принимает значение «Поставщики государства» или показатель </w:t>
      </w:r>
      <w:r>
        <w:t>«</w:t>
      </w:r>
      <w:r w:rsidRPr="00017BE2">
        <w:t>Группа</w:t>
      </w:r>
      <w:r>
        <w:t xml:space="preserve"> организаций»</w:t>
      </w:r>
      <w:r w:rsidRPr="00017BE2">
        <w:t xml:space="preserve"> принимает значение «Госсектор по отдельному решению», в данной графе указывается </w:t>
      </w:r>
      <w:r>
        <w:t>«</w:t>
      </w:r>
      <w:r w:rsidRPr="00BD2A54">
        <w:rPr>
          <w:i/>
        </w:rPr>
        <w:t>Государственный сектор</w:t>
      </w:r>
      <w:r>
        <w:t>»</w:t>
      </w:r>
      <w:r w:rsidRPr="00017BE2">
        <w:t>. Во всех остальных случаях – в данной графе указывает</w:t>
      </w:r>
      <w:r>
        <w:t>ся «</w:t>
      </w:r>
      <w:r w:rsidRPr="00CB650A">
        <w:rPr>
          <w:i/>
        </w:rPr>
        <w:t>Не</w:t>
      </w:r>
      <w:r w:rsidRPr="00BD2A54">
        <w:rPr>
          <w:i/>
        </w:rPr>
        <w:t xml:space="preserve"> определено</w:t>
      </w:r>
      <w:r>
        <w:t>»);</w:t>
      </w:r>
    </w:p>
    <w:p w:rsidR="00472B5B" w:rsidRPr="00017BE2" w:rsidRDefault="00472B5B" w:rsidP="00DE1661">
      <w:pPr>
        <w:pStyle w:val="13"/>
      </w:pPr>
      <w:r>
        <w:t>Пояснения (в графе содержится ссылка  для перехода на карточку организации в Государственный информационный ресурс бухгалтерской (финансовой) отчетности юридических лиц).</w:t>
      </w:r>
    </w:p>
    <w:p w:rsidR="00472B5B" w:rsidRDefault="00472B5B" w:rsidP="00472B5B">
      <w:pPr>
        <w:pStyle w:val="ac"/>
        <w:ind w:firstLine="709"/>
      </w:pPr>
      <w:r>
        <w:t>Из графы «Сумма» доступен переход в представления «Бухгалтерский баланс» - «Показатели», «Отчет о финансовых результатах» - «Показатели», «Отчет о целевом использовании средств» - «Показатели», «Отчет об изменениях капитала» - «Показатели», «Отчет о движении денежных средств» - «Показатели», сформированные только по данной организации. Арифметический знак при этом значения не имеет. Если использованы показатели нескольких отчетов, доступен переход к нескольким указанным отчетным формам. Например: строка 6208</w:t>
      </w:r>
      <w:r w:rsidRPr="00356E4C">
        <w:t xml:space="preserve"> </w:t>
      </w:r>
      <w:r>
        <w:t xml:space="preserve">аналитического отчета «Сектор государственных нефинансовых корпораций» - «Переходная таблица» складывается из суммы строк 1180 «Отложенные налоговые активы», 1190 «Прочие внеоборотные активы», 1220 «Налог на добавленную стоимость по приобретенным ценностям», 1230 «Дебиторская задолженность», 1260 «Прочие оборотные активы» графы «За период отчетного года» ф. 0710001. При нажатии на показатель из графы «Сумма» доступен переход к аналитическому отчету «Бухгалтерский баланс» по соответствующему юридическому лицу с выделением цветом ячеек </w:t>
      </w:r>
      <w:r w:rsidRPr="009E002D">
        <w:t>1190 «Прочие внеоборотные активы», 1220</w:t>
      </w:r>
      <w:r>
        <w:t xml:space="preserve"> </w:t>
      </w:r>
      <w:r w:rsidRPr="009E002D">
        <w:t>«Налог на добавленную стоимость по приобретенным ценностям», 1230</w:t>
      </w:r>
      <w:r>
        <w:t xml:space="preserve"> </w:t>
      </w:r>
      <w:r w:rsidRPr="009E002D">
        <w:t>«Дебиторская задолженность», 1260 «Прочие оборотные активы» графы «За период отчетного года»</w:t>
      </w:r>
      <w:r>
        <w:t>.</w:t>
      </w:r>
    </w:p>
    <w:p w:rsidR="00472B5B" w:rsidRDefault="00472B5B" w:rsidP="00472B5B">
      <w:pPr>
        <w:pStyle w:val="ac"/>
        <w:ind w:firstLine="709"/>
      </w:pPr>
      <w:r>
        <w:t>Например: строка 3208</w:t>
      </w:r>
      <w:r w:rsidRPr="009E002D">
        <w:t xml:space="preserve"> аналитического отчета «Сектор государственных нефинансовых корпораций» - «Переходная таблица» складывается из суммы строк 1180</w:t>
      </w:r>
      <w:r>
        <w:t xml:space="preserve"> </w:t>
      </w:r>
      <w:r w:rsidRPr="009E002D">
        <w:t>«Отложенные налоговые активы», 1190 «Прочие внеоборотные активы», 1220</w:t>
      </w:r>
      <w:r>
        <w:t xml:space="preserve"> </w:t>
      </w:r>
      <w:r w:rsidRPr="009E002D">
        <w:t>«Налог на добавленную стоимость по приобретенным ценностям», 1230</w:t>
      </w:r>
      <w:r>
        <w:t xml:space="preserve"> </w:t>
      </w:r>
      <w:r w:rsidRPr="009E002D">
        <w:t>«Дебиторская задолженность», 1260 «Прочие оборотные активы» графы «За период отчетного года» ф. 0710001</w:t>
      </w:r>
      <w:r>
        <w:t xml:space="preserve"> за вычетом </w:t>
      </w:r>
      <w:r w:rsidRPr="009E002D">
        <w:t>суммы строк 1180</w:t>
      </w:r>
      <w:r>
        <w:t xml:space="preserve"> </w:t>
      </w:r>
      <w:r w:rsidRPr="009E002D">
        <w:t>«Отложенные налоговые активы», 1190 «Прочие внеоборотные активы», 1220</w:t>
      </w:r>
      <w:r w:rsidRPr="009E002D">
        <w:tab/>
        <w:t>«Налог на добавленную стоимость по приобретенным ценностям», 1230</w:t>
      </w:r>
      <w:r>
        <w:t xml:space="preserve"> </w:t>
      </w:r>
      <w:r w:rsidRPr="009E002D">
        <w:t xml:space="preserve">«Дебиторская задолженность», 1260 «Прочие оборотные активы» графы «За период </w:t>
      </w:r>
      <w:r>
        <w:t>предыдущего</w:t>
      </w:r>
      <w:r w:rsidRPr="009E002D">
        <w:t xml:space="preserve"> года» ф. 0710001. При нажатии на показатель из графы «Сумма» доступен переход к аналитическому отчету «Бухгалтерский баланс» по соответствующему юридическому лицу с выделением цветом ячеек 1190 «Прочие внеоборотные активы», 1220</w:t>
      </w:r>
      <w:r>
        <w:t xml:space="preserve"> </w:t>
      </w:r>
      <w:r w:rsidRPr="009E002D">
        <w:t>«Налог на добавленную стоимость по приобретенным ценностям», 1230</w:t>
      </w:r>
      <w:r w:rsidRPr="009E002D">
        <w:tab/>
        <w:t>«Дебиторская задолженность», 1260</w:t>
      </w:r>
      <w:r>
        <w:t xml:space="preserve"> «Прочие оборотные активы» граф</w:t>
      </w:r>
      <w:r w:rsidRPr="009E002D">
        <w:t xml:space="preserve"> «За период отчетного года»</w:t>
      </w:r>
      <w:r>
        <w:t xml:space="preserve"> и «За период предыдущего года»</w:t>
      </w:r>
      <w:r w:rsidRPr="009E002D">
        <w:t>.</w:t>
      </w:r>
    </w:p>
    <w:p w:rsidR="00472B5B" w:rsidRDefault="00472B5B" w:rsidP="00472B5B">
      <w:pPr>
        <w:pStyle w:val="af0"/>
      </w:pPr>
      <w:r>
        <w:t xml:space="preserve">При помощи кнопки «Назад» из представления </w:t>
      </w:r>
      <w:r w:rsidRPr="0008443C">
        <w:t>«Сектор государственных нефинансовых корпораций» - «Список организаций»</w:t>
      </w:r>
      <w:r>
        <w:t xml:space="preserve"> можно перейти в представление «Сектор государственных нефинансовых корпораций» - «Переходная таблица».</w:t>
      </w:r>
    </w:p>
    <w:p w:rsidR="00472B5B" w:rsidRDefault="00472B5B" w:rsidP="00862055">
      <w:pPr>
        <w:pStyle w:val="35"/>
        <w:numPr>
          <w:ilvl w:val="2"/>
          <w:numId w:val="135"/>
        </w:numPr>
      </w:pPr>
      <w:bookmarkStart w:id="1996" w:name="_Toc47710186"/>
      <w:bookmarkStart w:id="1997" w:name="_Toc68679611"/>
      <w:bookmarkStart w:id="1998" w:name="_Toc69290155"/>
      <w:bookmarkStart w:id="1999" w:name="_Toc119585122"/>
      <w:r>
        <w:t>Отчет «Бухгалтерский баланс»</w:t>
      </w:r>
      <w:bookmarkEnd w:id="1996"/>
      <w:bookmarkEnd w:id="1997"/>
      <w:bookmarkEnd w:id="1998"/>
      <w:r w:rsidR="00F531E2">
        <w:t xml:space="preserve"> (</w:t>
      </w:r>
      <w:r w:rsidR="00F531E2" w:rsidRPr="00F531E2">
        <w:t>PIAO_155_00</w:t>
      </w:r>
      <w:r w:rsidR="00F531E2">
        <w:t>2</w:t>
      </w:r>
      <w:r w:rsidR="00F531E2" w:rsidRPr="00F531E2">
        <w:t>_report</w:t>
      </w:r>
      <w:r w:rsidR="00F531E2">
        <w:t>)</w:t>
      </w:r>
      <w:bookmarkEnd w:id="1999"/>
    </w:p>
    <w:p w:rsidR="00472B5B" w:rsidRDefault="00472B5B" w:rsidP="00472B5B">
      <w:pPr>
        <w:pStyle w:val="af0"/>
        <w:rPr>
          <w:rStyle w:val="af1"/>
        </w:rPr>
      </w:pPr>
      <w:r w:rsidRPr="00206C4C">
        <w:rPr>
          <w:rStyle w:val="af1"/>
        </w:rPr>
        <w:t>Для перехода к отчету «</w:t>
      </w:r>
      <w:r>
        <w:t>Бухгалтерский баланс</w:t>
      </w:r>
      <w:r w:rsidRPr="00206C4C">
        <w:rPr>
          <w:rStyle w:val="af1"/>
        </w:rPr>
        <w:t>» необходимо перейти к витрине «С</w:t>
      </w:r>
      <w:r w:rsidRPr="00206C4C">
        <w:t>татистика государственных финансов</w:t>
      </w:r>
      <w:r w:rsidRPr="00206C4C">
        <w:rPr>
          <w:rStyle w:val="af1"/>
        </w:rPr>
        <w:t xml:space="preserve">» и кликнуть мышью по </w:t>
      </w:r>
      <w:r>
        <w:rPr>
          <w:rStyle w:val="af1"/>
        </w:rPr>
        <w:t xml:space="preserve">соответствующей </w:t>
      </w:r>
      <w:r w:rsidRPr="00206C4C">
        <w:rPr>
          <w:rStyle w:val="af1"/>
        </w:rPr>
        <w:t>плашке</w:t>
      </w:r>
      <w:r>
        <w:rPr>
          <w:rStyle w:val="af1"/>
        </w:rPr>
        <w:t xml:space="preserve"> (</w:t>
      </w:r>
      <w:r>
        <w:rPr>
          <w:rStyle w:val="af1"/>
        </w:rPr>
        <w:fldChar w:fldCharType="begin"/>
      </w:r>
      <w:r>
        <w:rPr>
          <w:rStyle w:val="af1"/>
        </w:rPr>
        <w:instrText xml:space="preserve"> REF _Ref69121991 \h </w:instrText>
      </w:r>
      <w:r>
        <w:rPr>
          <w:rStyle w:val="af1"/>
        </w:rPr>
      </w:r>
      <w:r>
        <w:rPr>
          <w:rStyle w:val="af1"/>
        </w:rPr>
        <w:fldChar w:fldCharType="separate"/>
      </w:r>
      <w:r w:rsidR="00BF0BEE">
        <w:t xml:space="preserve">Рисунок </w:t>
      </w:r>
      <w:r w:rsidR="00BF0BEE">
        <w:rPr>
          <w:noProof/>
        </w:rPr>
        <w:t>524</w:t>
      </w:r>
      <w:r>
        <w:rPr>
          <w:rStyle w:val="af1"/>
        </w:rPr>
        <w:fldChar w:fldCharType="end"/>
      </w:r>
      <w:r>
        <w:rPr>
          <w:rStyle w:val="af1"/>
        </w:rPr>
        <w:t>)</w:t>
      </w:r>
      <w:r w:rsidRPr="00206C4C">
        <w:rPr>
          <w:rStyle w:val="af1"/>
        </w:rPr>
        <w:t>.</w:t>
      </w:r>
    </w:p>
    <w:p w:rsidR="00472B5B" w:rsidRDefault="00472B5B" w:rsidP="00472B5B">
      <w:pPr>
        <w:pStyle w:val="-0"/>
      </w:pPr>
      <w:r w:rsidRPr="00D722BB">
        <w:rPr>
          <w:noProof/>
        </w:rPr>
        <w:drawing>
          <wp:inline distT="0" distB="0" distL="0" distR="0" wp14:anchorId="3E7A6835" wp14:editId="78FC817B">
            <wp:extent cx="5939790" cy="2374322"/>
            <wp:effectExtent l="0" t="0" r="3810" b="698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7"/>
                    <a:stretch>
                      <a:fillRect/>
                    </a:stretch>
                  </pic:blipFill>
                  <pic:spPr>
                    <a:xfrm>
                      <a:off x="0" y="0"/>
                      <a:ext cx="5939790" cy="2374322"/>
                    </a:xfrm>
                    <a:prstGeom prst="rect">
                      <a:avLst/>
                    </a:prstGeom>
                  </pic:spPr>
                </pic:pic>
              </a:graphicData>
            </a:graphic>
          </wp:inline>
        </w:drawing>
      </w:r>
    </w:p>
    <w:p w:rsidR="00472B5B" w:rsidRDefault="00472B5B" w:rsidP="00472B5B">
      <w:pPr>
        <w:pStyle w:val="-0"/>
      </w:pPr>
      <w:bookmarkStart w:id="2000" w:name="_Ref69121991"/>
      <w:bookmarkStart w:id="2001" w:name="_Toc69290584"/>
      <w:bookmarkStart w:id="2002" w:name="_Toc119584711"/>
      <w:r>
        <w:t xml:space="preserve">Рисунок </w:t>
      </w:r>
      <w:fldSimple w:instr=" SEQ Рисунок \* ARABIC ">
        <w:r w:rsidR="001860A9">
          <w:rPr>
            <w:noProof/>
          </w:rPr>
          <w:t>524</w:t>
        </w:r>
      </w:fldSimple>
      <w:bookmarkEnd w:id="2000"/>
      <w:r>
        <w:t xml:space="preserve"> – Плашка для перехода к отчету «Бухгалтерский баланс»</w:t>
      </w:r>
      <w:bookmarkEnd w:id="2001"/>
      <w:bookmarkEnd w:id="2002"/>
    </w:p>
    <w:p w:rsidR="00472B5B" w:rsidRDefault="00472B5B" w:rsidP="00472B5B">
      <w:pPr>
        <w:pStyle w:val="af0"/>
      </w:pPr>
      <w:r>
        <w:t xml:space="preserve">Аналитический отчет </w:t>
      </w:r>
      <w:r w:rsidRPr="000A0BF8">
        <w:t>«</w:t>
      </w:r>
      <w:r>
        <w:t>Бухгалтерский баланс</w:t>
      </w:r>
      <w:r w:rsidRPr="000A0BF8">
        <w:t>»</w:t>
      </w:r>
      <w:r>
        <w:t xml:space="preserve"> обеспечивает визуальный анализ сводных показателей бухгалтерской (финансовой) отчетности корпоративных и унитарных юридических лиц, применяемых для формирования Информации по СГФ по сектору государственного управления и государственному сектору (простое суммирование показателей отдельных отчетных форм) и списка организаций по показателям отчетных форм.</w:t>
      </w:r>
    </w:p>
    <w:p w:rsidR="00472B5B" w:rsidRDefault="00472B5B" w:rsidP="00862055">
      <w:pPr>
        <w:pStyle w:val="42"/>
        <w:numPr>
          <w:ilvl w:val="3"/>
          <w:numId w:val="135"/>
        </w:numPr>
        <w:ind w:left="284"/>
      </w:pPr>
      <w:r>
        <w:t>Представление «Бухгалтерский баланс» - «Показатели»</w:t>
      </w:r>
    </w:p>
    <w:p w:rsidR="00472B5B" w:rsidRDefault="00472B5B" w:rsidP="00472B5B">
      <w:pPr>
        <w:spacing w:before="120" w:after="120"/>
        <w:ind w:firstLine="567"/>
        <w:rPr>
          <w:sz w:val="28"/>
          <w:szCs w:val="28"/>
        </w:rPr>
      </w:pPr>
      <w:r w:rsidRPr="00257ADB">
        <w:rPr>
          <w:sz w:val="28"/>
          <w:szCs w:val="28"/>
        </w:rPr>
        <w:t>Представление отчета «</w:t>
      </w:r>
      <w:r>
        <w:rPr>
          <w:sz w:val="28"/>
          <w:szCs w:val="28"/>
        </w:rPr>
        <w:t>Бухгалтерский баланс</w:t>
      </w:r>
      <w:r w:rsidRPr="00257ADB">
        <w:rPr>
          <w:sz w:val="28"/>
          <w:szCs w:val="28"/>
        </w:rPr>
        <w:t>»</w:t>
      </w:r>
      <w:r>
        <w:rPr>
          <w:sz w:val="28"/>
          <w:szCs w:val="28"/>
        </w:rPr>
        <w:t xml:space="preserve"> - «Показатели» </w:t>
      </w:r>
      <w:r w:rsidRPr="00257ADB">
        <w:rPr>
          <w:sz w:val="28"/>
          <w:szCs w:val="28"/>
        </w:rPr>
        <w:t xml:space="preserve">отображает информацию </w:t>
      </w:r>
      <w:r>
        <w:rPr>
          <w:sz w:val="28"/>
          <w:szCs w:val="28"/>
        </w:rPr>
        <w:t>показателей бухгалтерского баланса (форма 0710001).</w:t>
      </w:r>
    </w:p>
    <w:p w:rsidR="00472B5B" w:rsidRDefault="00472B5B" w:rsidP="00472B5B">
      <w:pPr>
        <w:keepNext/>
        <w:spacing w:before="120" w:after="60"/>
        <w:contextualSpacing/>
      </w:pPr>
      <w:r>
        <w:rPr>
          <w:noProof/>
          <w:snapToGrid/>
        </w:rPr>
        <w:drawing>
          <wp:inline distT="0" distB="0" distL="0" distR="0" wp14:anchorId="0A004FC9" wp14:editId="49018E7D">
            <wp:extent cx="5939790" cy="2605440"/>
            <wp:effectExtent l="0" t="0" r="3810" b="444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8"/>
                    <a:stretch>
                      <a:fillRect/>
                    </a:stretch>
                  </pic:blipFill>
                  <pic:spPr>
                    <a:xfrm>
                      <a:off x="0" y="0"/>
                      <a:ext cx="5939790" cy="2605440"/>
                    </a:xfrm>
                    <a:prstGeom prst="rect">
                      <a:avLst/>
                    </a:prstGeom>
                  </pic:spPr>
                </pic:pic>
              </a:graphicData>
            </a:graphic>
          </wp:inline>
        </w:drawing>
      </w:r>
    </w:p>
    <w:p w:rsidR="00472B5B" w:rsidRPr="00722488" w:rsidRDefault="00472B5B" w:rsidP="00472B5B">
      <w:pPr>
        <w:pStyle w:val="-0"/>
      </w:pPr>
      <w:bookmarkStart w:id="2003" w:name="_Toc68681212"/>
      <w:bookmarkStart w:id="2004" w:name="_Toc69290585"/>
      <w:bookmarkStart w:id="2005" w:name="_Toc119584712"/>
      <w:r>
        <w:t xml:space="preserve">Рисунок </w:t>
      </w:r>
      <w:fldSimple w:instr=" SEQ Рисунок \* ARABIC ">
        <w:r w:rsidR="001860A9">
          <w:rPr>
            <w:noProof/>
          </w:rPr>
          <w:t>525</w:t>
        </w:r>
      </w:fldSimple>
      <w:r>
        <w:t xml:space="preserve"> – </w:t>
      </w:r>
      <w:r w:rsidRPr="00AC41C8">
        <w:t>Представление «Бухгалтерский баланс» - «Показатели»</w:t>
      </w:r>
      <w:bookmarkEnd w:id="2003"/>
      <w:bookmarkEnd w:id="2004"/>
      <w:bookmarkEnd w:id="2005"/>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 xml:space="preserve">Выпадающий список, предусматривающий выбор года. </w:t>
      </w:r>
    </w:p>
    <w:p w:rsidR="00472B5B" w:rsidRPr="00CB650A" w:rsidRDefault="00472B5B" w:rsidP="00DE1661">
      <w:pPr>
        <w:pStyle w:val="13"/>
        <w:rPr>
          <w:rFonts w:eastAsia="Calibri"/>
          <w:snapToGrid/>
        </w:rPr>
      </w:pPr>
      <w:r w:rsidRPr="00CB650A">
        <w:rPr>
          <w:rFonts w:eastAsia="Calibri"/>
          <w:snapToGrid/>
        </w:rPr>
        <w:t>По умолчанию выводится п</w:t>
      </w:r>
      <w:r>
        <w:rPr>
          <w:rFonts w:eastAsia="Calibri"/>
          <w:snapToGrid/>
        </w:rPr>
        <w:t>оследний</w:t>
      </w:r>
      <w:r w:rsidRPr="00CB650A">
        <w:rPr>
          <w:rFonts w:eastAsia="Calibri"/>
          <w:snapToGrid/>
        </w:rPr>
        <w:t xml:space="preserve"> год</w:t>
      </w:r>
      <w:r>
        <w:rPr>
          <w:rFonts w:eastAsia="Calibri"/>
          <w:snapToGrid/>
        </w:rPr>
        <w:t>, за который представлена отчетность</w:t>
      </w:r>
      <w:r w:rsidRPr="00CB650A">
        <w:rPr>
          <w:rFonts w:eastAsia="Calibri"/>
          <w:snapToGrid/>
        </w:rPr>
        <w:t>;</w:t>
      </w:r>
    </w:p>
    <w:p w:rsidR="00472B5B" w:rsidRPr="00195869" w:rsidRDefault="00472B5B" w:rsidP="00DE1661">
      <w:pPr>
        <w:pStyle w:val="13"/>
      </w:pPr>
      <w:r w:rsidRPr="00195869">
        <w:t>«Единицы измерения»: Выпадающий список с выбором единиц измерения</w:t>
      </w:r>
      <w:r>
        <w:t xml:space="preserve"> (с учетом того, что в ГИРБО информация представлена в тысячах рублей)</w:t>
      </w:r>
      <w:r w:rsidRPr="00195869">
        <w:t xml:space="preserve">. Состоит из элементов: </w:t>
      </w:r>
      <w:r>
        <w:t>тыс. руб., млн руб., млрд руб. По умолчанию указывается тыс. руб., однако если переход осуществлен из представления «Сектор государственных нефинансовых корпораций» - «Список организаций», по умолчанию указывается млрд руб.;</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 (по умолчанию 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 xml:space="preserve"> «Настройка параметров».</w:t>
      </w:r>
    </w:p>
    <w:p w:rsidR="00472B5B" w:rsidRDefault="00472B5B" w:rsidP="00472B5B">
      <w:pPr>
        <w:spacing w:before="120" w:after="120"/>
        <w:ind w:firstLine="567"/>
        <w:rPr>
          <w:sz w:val="28"/>
          <w:szCs w:val="28"/>
        </w:rPr>
      </w:pPr>
      <w:r w:rsidRPr="009856AB">
        <w:rPr>
          <w:sz w:val="28"/>
          <w:szCs w:val="28"/>
        </w:rPr>
        <w:t>Работа параметров представления описана в пункте</w:t>
      </w:r>
      <w:r>
        <w:rPr>
          <w:sz w:val="28"/>
          <w:szCs w:val="28"/>
        </w:rPr>
        <w:t xml:space="preserve">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9856AB">
        <w:rPr>
          <w:sz w:val="28"/>
          <w:szCs w:val="28"/>
        </w:rPr>
        <w:t>.</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в представление включено более 1 организации)</w:t>
      </w:r>
      <w:r w:rsidRPr="00257ADB">
        <w:t>;</w:t>
      </w:r>
    </w:p>
    <w:p w:rsidR="00472B5B" w:rsidRDefault="00472B5B" w:rsidP="00DE1661">
      <w:pPr>
        <w:pStyle w:val="13"/>
      </w:pPr>
      <w:r>
        <w:t>Код показателя (код показателей бухгалтерского баланса)</w:t>
      </w:r>
      <w:r w:rsidRPr="00257ADB">
        <w:t>;</w:t>
      </w:r>
    </w:p>
    <w:p w:rsidR="00472B5B" w:rsidRDefault="00472B5B" w:rsidP="00DE1661">
      <w:pPr>
        <w:pStyle w:val="13"/>
      </w:pPr>
      <w:r>
        <w:t>Наименование показателя (Наименования показателя бухгалтерского баланса);</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DE1661">
      <w:pPr>
        <w:pStyle w:val="13"/>
      </w:pPr>
      <w:r>
        <w:t>За период года, предшествующего предыдущему (Значение за период года, предшествующего предыдущему).</w:t>
      </w:r>
    </w:p>
    <w:p w:rsidR="00472B5B" w:rsidRDefault="00472B5B" w:rsidP="00472B5B">
      <w:pPr>
        <w:ind w:firstLine="709"/>
        <w:rPr>
          <w:sz w:val="28"/>
          <w:szCs w:val="28"/>
        </w:rPr>
      </w:pPr>
      <w:r>
        <w:rPr>
          <w:sz w:val="28"/>
          <w:szCs w:val="28"/>
        </w:rPr>
        <w:t>Из графы «Наименование показателя»  при нажатии на строку доступен переход в представление «Бухгалтерский баланс» - «Дополнительные показатели».</w:t>
      </w:r>
    </w:p>
    <w:p w:rsidR="00472B5B" w:rsidRDefault="00472B5B" w:rsidP="00862055">
      <w:pPr>
        <w:pStyle w:val="42"/>
        <w:numPr>
          <w:ilvl w:val="3"/>
          <w:numId w:val="135"/>
        </w:numPr>
      </w:pPr>
      <w:r>
        <w:t xml:space="preserve">Представление </w:t>
      </w:r>
      <w:r w:rsidRPr="003A1743">
        <w:t>«Бухгалтерский баланс» - «</w:t>
      </w:r>
      <w:r>
        <w:t>Дополнительные показатели</w:t>
      </w:r>
      <w:r w:rsidRPr="003A1743">
        <w:t>»</w:t>
      </w:r>
    </w:p>
    <w:p w:rsidR="00472B5B" w:rsidRDefault="00472B5B" w:rsidP="00472B5B">
      <w:pPr>
        <w:spacing w:before="120" w:after="120"/>
        <w:ind w:firstLine="567"/>
        <w:rPr>
          <w:sz w:val="28"/>
          <w:szCs w:val="28"/>
        </w:rPr>
      </w:pPr>
      <w:r w:rsidRPr="00257ADB">
        <w:rPr>
          <w:sz w:val="28"/>
          <w:szCs w:val="28"/>
        </w:rPr>
        <w:t>Представление отчета «</w:t>
      </w:r>
      <w:r>
        <w:rPr>
          <w:sz w:val="28"/>
          <w:szCs w:val="28"/>
        </w:rPr>
        <w:t>Бухгалтерский баланс</w:t>
      </w:r>
      <w:r w:rsidRPr="00257ADB">
        <w:rPr>
          <w:sz w:val="28"/>
          <w:szCs w:val="28"/>
        </w:rPr>
        <w:t>»</w:t>
      </w:r>
      <w:r>
        <w:rPr>
          <w:sz w:val="28"/>
          <w:szCs w:val="28"/>
        </w:rPr>
        <w:t xml:space="preserve"> - «Дополнительные показатели»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по основным показателям бухгалтерского баланса.</w:t>
      </w:r>
    </w:p>
    <w:p w:rsidR="00472B5B" w:rsidRDefault="00472B5B" w:rsidP="00472B5B">
      <w:pPr>
        <w:keepNext/>
      </w:pPr>
      <w:r>
        <w:rPr>
          <w:noProof/>
          <w:snapToGrid/>
        </w:rPr>
        <w:drawing>
          <wp:inline distT="0" distB="0" distL="0" distR="0" wp14:anchorId="5BC41B4A" wp14:editId="0D57C379">
            <wp:extent cx="5939790" cy="2454631"/>
            <wp:effectExtent l="0" t="0" r="3810" b="317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9"/>
                    <a:stretch>
                      <a:fillRect/>
                    </a:stretch>
                  </pic:blipFill>
                  <pic:spPr>
                    <a:xfrm>
                      <a:off x="0" y="0"/>
                      <a:ext cx="5939790" cy="2454631"/>
                    </a:xfrm>
                    <a:prstGeom prst="rect">
                      <a:avLst/>
                    </a:prstGeom>
                  </pic:spPr>
                </pic:pic>
              </a:graphicData>
            </a:graphic>
          </wp:inline>
        </w:drawing>
      </w:r>
    </w:p>
    <w:p w:rsidR="00472B5B" w:rsidRPr="00AC41C8" w:rsidRDefault="00472B5B" w:rsidP="00472B5B">
      <w:pPr>
        <w:pStyle w:val="-0"/>
        <w:rPr>
          <w:szCs w:val="28"/>
        </w:rPr>
      </w:pPr>
      <w:bookmarkStart w:id="2006" w:name="_Toc68681213"/>
      <w:bookmarkStart w:id="2007" w:name="_Toc69290586"/>
      <w:bookmarkStart w:id="2008" w:name="_Toc119584713"/>
      <w:r>
        <w:rPr>
          <w:szCs w:val="28"/>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526</w:t>
      </w:r>
      <w:r>
        <w:rPr>
          <w:szCs w:val="28"/>
        </w:rPr>
        <w:fldChar w:fldCharType="end"/>
      </w:r>
      <w:r>
        <w:rPr>
          <w:szCs w:val="28"/>
        </w:rPr>
        <w:t xml:space="preserve"> – </w:t>
      </w:r>
      <w:r>
        <w:t>Представление</w:t>
      </w:r>
      <w:r w:rsidRPr="00091631">
        <w:t xml:space="preserve"> «</w:t>
      </w:r>
      <w:r>
        <w:t>Бухгалтерский баланс</w:t>
      </w:r>
      <w:r w:rsidRPr="00D8413B">
        <w:t>»</w:t>
      </w:r>
      <w:r>
        <w:t xml:space="preserve"> - «Дополнительные показатели»</w:t>
      </w:r>
      <w:bookmarkEnd w:id="2006"/>
      <w:bookmarkEnd w:id="2007"/>
      <w:bookmarkEnd w:id="2008"/>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CB650A" w:rsidRDefault="00472B5B" w:rsidP="00DE1661">
      <w:pPr>
        <w:pStyle w:val="13"/>
        <w:rPr>
          <w:rFonts w:eastAsia="Calibri"/>
          <w:snapToGrid/>
        </w:rPr>
      </w:pPr>
      <w:r w:rsidRPr="00195869">
        <w:rPr>
          <w:rFonts w:eastAsia="Calibri"/>
          <w:snapToGrid/>
        </w:rPr>
        <w:t>«Год</w:t>
      </w:r>
      <w:r w:rsidRPr="00195869">
        <w:t xml:space="preserve">»: </w:t>
      </w:r>
      <w:r w:rsidRPr="00BD2A54">
        <w:t xml:space="preserve">Указан год из </w:t>
      </w:r>
      <w:r>
        <w:t>представления</w:t>
      </w:r>
      <w:r w:rsidRPr="00BD2A54">
        <w:t xml:space="preserve"> «Бухгалтерский баланс» - «П</w:t>
      </w:r>
      <w:r>
        <w:t>оказатели»</w:t>
      </w:r>
      <w:r w:rsidRPr="00CB650A">
        <w:rPr>
          <w:rFonts w:eastAsia="Calibri"/>
          <w:snapToGrid/>
        </w:rPr>
        <w:t>;</w:t>
      </w:r>
    </w:p>
    <w:p w:rsidR="00472B5B" w:rsidRPr="00195869" w:rsidRDefault="00472B5B" w:rsidP="00DE1661">
      <w:pPr>
        <w:pStyle w:val="13"/>
      </w:pPr>
      <w:r w:rsidRPr="00195869">
        <w:t>«</w:t>
      </w:r>
      <w:r>
        <w:t>Единицы измерения»;</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w:t>
      </w:r>
    </w:p>
    <w:p w:rsidR="00472B5B" w:rsidRDefault="00472B5B" w:rsidP="00DE1661">
      <w:pPr>
        <w:pStyle w:val="13"/>
      </w:pPr>
      <w:r>
        <w:t>«Настройка параметров»;</w:t>
      </w:r>
    </w:p>
    <w:p w:rsidR="00472B5B" w:rsidRDefault="00472B5B" w:rsidP="00DE1661">
      <w:pPr>
        <w:pStyle w:val="13"/>
      </w:pPr>
      <w:r>
        <w:t>«Показатель» - показатель</w:t>
      </w:r>
      <w:r w:rsidRPr="00017BE2">
        <w:t xml:space="preserve"> </w:t>
      </w:r>
      <w:r w:rsidRPr="007E2C9F">
        <w:t>представления «Бухгалтерский баланс» - «Показатели»</w:t>
      </w:r>
      <w:r>
        <w:t>, по которому представлена расшифровка в разрезе юридических лиц (с указанием кода и наименования строки ф. 0710001).</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в представление включено более 1 организации)</w:t>
      </w:r>
      <w:r w:rsidRPr="00257ADB">
        <w:t>;</w:t>
      </w:r>
    </w:p>
    <w:p w:rsidR="00472B5B" w:rsidRDefault="00472B5B" w:rsidP="00DE1661">
      <w:pPr>
        <w:pStyle w:val="13"/>
      </w:pPr>
      <w:r>
        <w:t>Код показателя (код показателей бухгалтерского баланса)</w:t>
      </w:r>
      <w:r w:rsidRPr="00257ADB">
        <w:t>;</w:t>
      </w:r>
    </w:p>
    <w:p w:rsidR="00472B5B" w:rsidRDefault="00472B5B" w:rsidP="00DE1661">
      <w:pPr>
        <w:pStyle w:val="13"/>
      </w:pPr>
      <w:r>
        <w:t>Наименование показателя (Наименование показателя бухгалтерского баланса);</w:t>
      </w:r>
    </w:p>
    <w:p w:rsidR="00472B5B" w:rsidRDefault="00472B5B" w:rsidP="00DE1661">
      <w:pPr>
        <w:pStyle w:val="13"/>
      </w:pPr>
      <w:r>
        <w:t xml:space="preserve">Наименование дополнительного показателя (Наименование дополнительного показателя бухгалтерского баланса); </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DE1661">
      <w:pPr>
        <w:pStyle w:val="13"/>
      </w:pPr>
      <w:r>
        <w:t>За период года, предшествующего предыдущему (Значение за период года, предшествующего предыдущему).</w:t>
      </w:r>
    </w:p>
    <w:p w:rsidR="00472B5B" w:rsidRDefault="00472B5B" w:rsidP="00472B5B">
      <w:pPr>
        <w:pStyle w:val="af0"/>
      </w:pPr>
      <w:r>
        <w:t>Из граф «За период отчетного года», «За период предыдущего года» и «За период года, предшествующего предыдущему»  при нажатии на сумму в соответствующей строке доступен переход на представление «Бухгалтерский баланс» - «Список организаций».</w:t>
      </w:r>
    </w:p>
    <w:p w:rsidR="00472B5B" w:rsidRPr="005515D2" w:rsidRDefault="00472B5B" w:rsidP="00472B5B">
      <w:pPr>
        <w:pStyle w:val="af0"/>
      </w:pPr>
      <w:r w:rsidRPr="00BD2A54">
        <w:t>При</w:t>
      </w:r>
      <w:r>
        <w:t xml:space="preserve"> помощи кнопки «Назад» из представления «Бухгалтерский баланс» - «Дополнительные показатели» доступен переход к представлению «Бухгалтерский баланс» - «Показатели».</w:t>
      </w:r>
    </w:p>
    <w:p w:rsidR="00472B5B" w:rsidRDefault="00472B5B" w:rsidP="00862055">
      <w:pPr>
        <w:pStyle w:val="42"/>
        <w:numPr>
          <w:ilvl w:val="3"/>
          <w:numId w:val="135"/>
        </w:numPr>
        <w:ind w:left="284"/>
      </w:pPr>
      <w:r>
        <w:t>Представление «Бухгалтерский баланс» - «Список организаций»</w:t>
      </w:r>
    </w:p>
    <w:p w:rsidR="00472B5B" w:rsidRDefault="00472B5B" w:rsidP="00472B5B">
      <w:pPr>
        <w:spacing w:before="120" w:after="120"/>
        <w:ind w:firstLine="567"/>
        <w:rPr>
          <w:sz w:val="28"/>
          <w:szCs w:val="28"/>
        </w:rPr>
      </w:pPr>
      <w:r w:rsidRPr="00257ADB">
        <w:rPr>
          <w:sz w:val="28"/>
          <w:szCs w:val="28"/>
        </w:rPr>
        <w:t>Представление отчета «</w:t>
      </w:r>
      <w:r>
        <w:rPr>
          <w:sz w:val="28"/>
          <w:szCs w:val="28"/>
        </w:rPr>
        <w:t>Бухгалтерский баланс</w:t>
      </w:r>
      <w:r w:rsidRPr="00257ADB">
        <w:rPr>
          <w:sz w:val="28"/>
          <w:szCs w:val="28"/>
        </w:rPr>
        <w:t>»</w:t>
      </w:r>
      <w:r>
        <w:rPr>
          <w:sz w:val="28"/>
          <w:szCs w:val="28"/>
        </w:rPr>
        <w:t xml:space="preserve"> - «Список организаций»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по организациям в соответствии с выбранными параметрами.</w:t>
      </w:r>
    </w:p>
    <w:p w:rsidR="00472B5B" w:rsidRDefault="00472B5B" w:rsidP="00472B5B">
      <w:pPr>
        <w:keepNext/>
        <w:spacing w:before="120" w:after="60"/>
        <w:contextualSpacing/>
      </w:pPr>
      <w:r>
        <w:rPr>
          <w:noProof/>
          <w:snapToGrid/>
        </w:rPr>
        <w:drawing>
          <wp:inline distT="0" distB="0" distL="0" distR="0" wp14:anchorId="7AF2A769" wp14:editId="4A0D58A9">
            <wp:extent cx="5939790" cy="2447887"/>
            <wp:effectExtent l="0" t="0" r="381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0"/>
                    <a:stretch>
                      <a:fillRect/>
                    </a:stretch>
                  </pic:blipFill>
                  <pic:spPr>
                    <a:xfrm>
                      <a:off x="0" y="0"/>
                      <a:ext cx="5939790" cy="2447887"/>
                    </a:xfrm>
                    <a:prstGeom prst="rect">
                      <a:avLst/>
                    </a:prstGeom>
                  </pic:spPr>
                </pic:pic>
              </a:graphicData>
            </a:graphic>
          </wp:inline>
        </w:drawing>
      </w:r>
    </w:p>
    <w:p w:rsidR="00472B5B" w:rsidRPr="00AC41C8" w:rsidRDefault="00472B5B" w:rsidP="00472B5B">
      <w:pPr>
        <w:pStyle w:val="-0"/>
        <w:rPr>
          <w:szCs w:val="28"/>
        </w:rPr>
      </w:pPr>
      <w:bookmarkStart w:id="2009" w:name="_Toc68681214"/>
      <w:bookmarkStart w:id="2010" w:name="_Toc69290587"/>
      <w:bookmarkStart w:id="2011" w:name="_Toc119584714"/>
      <w:r>
        <w:rPr>
          <w:szCs w:val="28"/>
        </w:rPr>
        <w:t xml:space="preserve">Рисунок </w:t>
      </w:r>
      <w:r>
        <w:rPr>
          <w:szCs w:val="28"/>
        </w:rPr>
        <w:fldChar w:fldCharType="begin"/>
      </w:r>
      <w:r>
        <w:rPr>
          <w:szCs w:val="28"/>
        </w:rPr>
        <w:instrText xml:space="preserve"> SEQ Рисунок \* ARABIC </w:instrText>
      </w:r>
      <w:r>
        <w:rPr>
          <w:szCs w:val="28"/>
        </w:rPr>
        <w:fldChar w:fldCharType="separate"/>
      </w:r>
      <w:r w:rsidR="001860A9">
        <w:rPr>
          <w:noProof/>
          <w:szCs w:val="28"/>
        </w:rPr>
        <w:t>527</w:t>
      </w:r>
      <w:r>
        <w:rPr>
          <w:szCs w:val="28"/>
        </w:rPr>
        <w:fldChar w:fldCharType="end"/>
      </w:r>
      <w:r>
        <w:rPr>
          <w:szCs w:val="28"/>
        </w:rPr>
        <w:t xml:space="preserve"> – </w:t>
      </w:r>
      <w:r w:rsidRPr="00FC65DF">
        <w:t>Представление</w:t>
      </w:r>
      <w:r w:rsidRPr="00091631">
        <w:t xml:space="preserve"> «</w:t>
      </w:r>
      <w:r>
        <w:t>Бухгалтерский баланс</w:t>
      </w:r>
      <w:r w:rsidRPr="00D8413B">
        <w:t>»</w:t>
      </w:r>
      <w:r>
        <w:t xml:space="preserve"> - «Список организаций»</w:t>
      </w:r>
      <w:bookmarkEnd w:id="2009"/>
      <w:bookmarkEnd w:id="2010"/>
      <w:bookmarkEnd w:id="2011"/>
    </w:p>
    <w:p w:rsidR="00472B5B" w:rsidRDefault="00472B5B" w:rsidP="00472B5B">
      <w:pPr>
        <w:spacing w:before="120" w:after="120"/>
        <w:ind w:firstLine="567"/>
        <w:rPr>
          <w:sz w:val="28"/>
          <w:szCs w:val="28"/>
        </w:rPr>
      </w:pPr>
      <w:r w:rsidRPr="00E015DC">
        <w:rPr>
          <w:sz w:val="28"/>
          <w:szCs w:val="28"/>
        </w:rPr>
        <w:t xml:space="preserve">Реализована функция перехода в отчет не только по ссылкам в верхней части </w:t>
      </w:r>
      <w:r>
        <w:rPr>
          <w:sz w:val="28"/>
          <w:szCs w:val="28"/>
        </w:rPr>
        <w:t>представления</w:t>
      </w:r>
      <w:r w:rsidRPr="00E015DC">
        <w:rPr>
          <w:sz w:val="28"/>
          <w:szCs w:val="28"/>
        </w:rPr>
        <w:t xml:space="preserve"> «</w:t>
      </w:r>
      <w:r>
        <w:rPr>
          <w:sz w:val="28"/>
          <w:szCs w:val="28"/>
        </w:rPr>
        <w:t>Бухгалтерский баланс</w:t>
      </w:r>
      <w:r w:rsidRPr="00E015DC">
        <w:rPr>
          <w:sz w:val="28"/>
          <w:szCs w:val="28"/>
        </w:rPr>
        <w:t>»</w:t>
      </w:r>
      <w:r>
        <w:rPr>
          <w:sz w:val="28"/>
          <w:szCs w:val="28"/>
        </w:rPr>
        <w:t xml:space="preserve"> - «Показатели»</w:t>
      </w:r>
      <w:r w:rsidRPr="00E015DC">
        <w:rPr>
          <w:sz w:val="28"/>
          <w:szCs w:val="28"/>
        </w:rPr>
        <w:t xml:space="preserve">, но и с помощью нажатия на ячейку с данными. Например: если нужна расшифровка только строки </w:t>
      </w:r>
      <w:r>
        <w:rPr>
          <w:sz w:val="28"/>
          <w:szCs w:val="28"/>
        </w:rPr>
        <w:t>1140</w:t>
      </w:r>
      <w:r w:rsidRPr="00E015DC">
        <w:rPr>
          <w:sz w:val="28"/>
          <w:szCs w:val="28"/>
        </w:rPr>
        <w:t xml:space="preserve"> </w:t>
      </w:r>
      <w:r>
        <w:rPr>
          <w:sz w:val="28"/>
          <w:szCs w:val="28"/>
        </w:rPr>
        <w:t xml:space="preserve">представления </w:t>
      </w:r>
      <w:r w:rsidRPr="00E015DC">
        <w:rPr>
          <w:sz w:val="28"/>
          <w:szCs w:val="28"/>
        </w:rPr>
        <w:t>«</w:t>
      </w:r>
      <w:r>
        <w:rPr>
          <w:sz w:val="28"/>
          <w:szCs w:val="28"/>
        </w:rPr>
        <w:t>Бухгалтерский баланс</w:t>
      </w:r>
      <w:r w:rsidRPr="00E015DC">
        <w:rPr>
          <w:sz w:val="28"/>
          <w:szCs w:val="28"/>
        </w:rPr>
        <w:t>»</w:t>
      </w:r>
      <w:r>
        <w:rPr>
          <w:sz w:val="28"/>
          <w:szCs w:val="28"/>
        </w:rPr>
        <w:t xml:space="preserve"> - «Показатели»</w:t>
      </w:r>
      <w:r w:rsidRPr="00E015DC">
        <w:rPr>
          <w:sz w:val="28"/>
          <w:szCs w:val="28"/>
        </w:rPr>
        <w:t xml:space="preserve">, </w:t>
      </w:r>
      <w:r>
        <w:rPr>
          <w:sz w:val="28"/>
          <w:szCs w:val="28"/>
        </w:rPr>
        <w:t>представление</w:t>
      </w:r>
      <w:r w:rsidRPr="00E015DC">
        <w:rPr>
          <w:sz w:val="28"/>
          <w:szCs w:val="28"/>
        </w:rPr>
        <w:t xml:space="preserve"> «</w:t>
      </w:r>
      <w:r>
        <w:rPr>
          <w:sz w:val="28"/>
          <w:szCs w:val="28"/>
        </w:rPr>
        <w:t>Бухгалтерский баланс</w:t>
      </w:r>
      <w:r w:rsidRPr="00E015DC">
        <w:rPr>
          <w:sz w:val="28"/>
          <w:szCs w:val="28"/>
        </w:rPr>
        <w:t xml:space="preserve">» - «Список организаций» предоставляет расшифровку в разрезе юридических лиц только по суммам, из которых сложилась строка </w:t>
      </w:r>
      <w:r>
        <w:rPr>
          <w:sz w:val="28"/>
          <w:szCs w:val="28"/>
        </w:rPr>
        <w:t>1140</w:t>
      </w:r>
      <w:r w:rsidRPr="00E015DC">
        <w:rPr>
          <w:sz w:val="28"/>
          <w:szCs w:val="28"/>
        </w:rPr>
        <w:t>. Данные по юридическим лицам в отчете «</w:t>
      </w:r>
      <w:r>
        <w:rPr>
          <w:sz w:val="28"/>
          <w:szCs w:val="28"/>
        </w:rPr>
        <w:t>Бухгалтерский баланс</w:t>
      </w:r>
      <w:r w:rsidRPr="00E015DC">
        <w:rPr>
          <w:sz w:val="28"/>
          <w:szCs w:val="28"/>
        </w:rPr>
        <w:t>» - «Список организаций» автоматически сортируются по убыванию сумм.</w:t>
      </w:r>
      <w:r>
        <w:rPr>
          <w:sz w:val="28"/>
          <w:szCs w:val="28"/>
        </w:rPr>
        <w:t xml:space="preserve"> Пользователь может применить иную сортировку по текстовым графам: по алфавиту.</w:t>
      </w:r>
    </w:p>
    <w:p w:rsidR="00472B5B"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BD2A54">
        <w:t xml:space="preserve">Указан год из </w:t>
      </w:r>
      <w:r>
        <w:t>представления</w:t>
      </w:r>
      <w:r w:rsidRPr="00BD2A54">
        <w:t xml:space="preserve"> «Бухгалтерский баланс» - «П</w:t>
      </w:r>
      <w:r>
        <w:t>оказатели</w:t>
      </w:r>
      <w:r w:rsidRPr="00BD2A54">
        <w:t xml:space="preserve">», из которого был осуществлен переход на </w:t>
      </w:r>
      <w:r>
        <w:t xml:space="preserve"> представление </w:t>
      </w:r>
      <w:r w:rsidRPr="00BD2A54">
        <w:t>«</w:t>
      </w:r>
      <w:r>
        <w:t>Бухгалтерский баланс</w:t>
      </w:r>
      <w:r w:rsidRPr="00BD2A54">
        <w:t>» - «Список организаций»</w:t>
      </w:r>
      <w:r>
        <w:rPr>
          <w:rFonts w:eastAsia="Calibri"/>
          <w:snapToGrid/>
        </w:rPr>
        <w:t>.</w:t>
      </w:r>
    </w:p>
    <w:p w:rsidR="00472B5B" w:rsidRPr="00195869" w:rsidRDefault="00472B5B" w:rsidP="00DE1661">
      <w:pPr>
        <w:pStyle w:val="13"/>
      </w:pPr>
      <w:r w:rsidRPr="00195869">
        <w:t xml:space="preserve">«Единицы измерения»: </w:t>
      </w:r>
      <w:r w:rsidRPr="00E015DC">
        <w:t xml:space="preserve">Выпадающий список с выбором единиц измерения. Состоит из элементов: тыс. руб., млн руб., млрд руб. По умолчанию стоит </w:t>
      </w:r>
      <w:r>
        <w:t>тот же показатель единиц изменения, что и был указан в представлении «Бухгалтерский баланс» - «Показатели», из которого был осуществлен переход;</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 xml:space="preserve"> «</w:t>
      </w:r>
      <w:r w:rsidRPr="00017BE2">
        <w:t>Показатель</w:t>
      </w:r>
      <w:r>
        <w:t>» - показатель</w:t>
      </w:r>
      <w:r w:rsidRPr="00017BE2">
        <w:t xml:space="preserve"> </w:t>
      </w:r>
      <w:r w:rsidRPr="007E2C9F">
        <w:t>представления «Бухгалтерский баланс» - «Показатели»</w:t>
      </w:r>
      <w:r>
        <w:t>, по которому представлена расшифровка в разрезе юридических лиц (с указанием кода и наименования строки ф. 0710001)</w:t>
      </w:r>
      <w:r w:rsidRPr="00017BE2">
        <w:t>.</w:t>
      </w:r>
    </w:p>
    <w:p w:rsidR="00472B5B" w:rsidRDefault="00472B5B" w:rsidP="00DE1661">
      <w:pPr>
        <w:pStyle w:val="13"/>
      </w:pPr>
      <w:r>
        <w:t xml:space="preserve">«Период показателя». Выбор значений из списка: </w:t>
      </w:r>
    </w:p>
    <w:p w:rsidR="00472B5B" w:rsidRPr="00BD2A54" w:rsidRDefault="00472B5B" w:rsidP="00DE1661">
      <w:pPr>
        <w:pStyle w:val="13"/>
      </w:pPr>
      <w:r w:rsidRPr="00BD2A54">
        <w:t>За период отчетного года</w:t>
      </w:r>
      <w:r>
        <w:t xml:space="preserve"> (значение по умолчанию)</w:t>
      </w:r>
      <w:r w:rsidRPr="00BD2A54">
        <w:t>;</w:t>
      </w:r>
    </w:p>
    <w:p w:rsidR="00472B5B" w:rsidRPr="00BD2A54" w:rsidRDefault="00472B5B" w:rsidP="00DE1661">
      <w:pPr>
        <w:pStyle w:val="13"/>
      </w:pPr>
      <w:r w:rsidRPr="00BD2A54">
        <w:t>За период предыдущего года;</w:t>
      </w:r>
    </w:p>
    <w:p w:rsidR="00472B5B" w:rsidRDefault="00472B5B" w:rsidP="00DE1661">
      <w:pPr>
        <w:pStyle w:val="13"/>
      </w:pPr>
      <w:r w:rsidRPr="00BD2A54">
        <w:t>За период го</w:t>
      </w:r>
      <w:r>
        <w:t>да, предшествующего предыдущему;</w:t>
      </w:r>
    </w:p>
    <w:p w:rsidR="00472B5B" w:rsidRPr="00923212" w:rsidRDefault="00472B5B" w:rsidP="00DE1661">
      <w:pPr>
        <w:pStyle w:val="13"/>
      </w:pPr>
      <w:r>
        <w:t>«Настройка параметров».</w:t>
      </w:r>
    </w:p>
    <w:p w:rsidR="00472B5B" w:rsidRDefault="00472B5B" w:rsidP="00472B5B">
      <w:pPr>
        <w:spacing w:before="120" w:after="120"/>
        <w:ind w:firstLine="567"/>
        <w:rPr>
          <w:sz w:val="28"/>
          <w:szCs w:val="28"/>
        </w:rPr>
      </w:pPr>
      <w:r w:rsidRPr="00C20E49">
        <w:rPr>
          <w:sz w:val="28"/>
          <w:szCs w:val="28"/>
        </w:rPr>
        <w:t>Работа параметров представления описана в пункте</w:t>
      </w:r>
      <w:r>
        <w:rPr>
          <w:sz w:val="28"/>
          <w:szCs w:val="28"/>
        </w:rPr>
        <w:t xml:space="preserve">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rsidRPr="00E015DC">
        <w:t>Сумма</w:t>
      </w:r>
      <w:r>
        <w:t>: (</w:t>
      </w:r>
      <w:r w:rsidRPr="00E015DC">
        <w:t>в соответствии с данными бухгалтерской отчетности и выбранными единицами измерения).</w:t>
      </w:r>
    </w:p>
    <w:p w:rsidR="00472B5B" w:rsidRDefault="00472B5B" w:rsidP="00DE1661">
      <w:pPr>
        <w:pStyle w:val="13"/>
      </w:pPr>
      <w:r>
        <w:t>ИНН</w:t>
      </w:r>
      <w:r w:rsidRPr="00257ADB">
        <w:t>;</w:t>
      </w:r>
    </w:p>
    <w:p w:rsidR="00472B5B" w:rsidRDefault="00472B5B" w:rsidP="00DE1661">
      <w:pPr>
        <w:pStyle w:val="13"/>
      </w:pPr>
      <w:r>
        <w:t>КПП;</w:t>
      </w:r>
    </w:p>
    <w:p w:rsidR="00472B5B" w:rsidRDefault="00472B5B" w:rsidP="00DE1661">
      <w:pPr>
        <w:pStyle w:val="13"/>
      </w:pPr>
      <w:r>
        <w:t>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Pr="00257ADB" w:rsidRDefault="00472B5B" w:rsidP="00DE1661">
      <w:pPr>
        <w:pStyle w:val="13"/>
      </w:pPr>
      <w:r>
        <w:t>ОКВЭД;</w:t>
      </w:r>
    </w:p>
    <w:p w:rsidR="00472B5B" w:rsidRPr="00E410B5" w:rsidRDefault="00472B5B" w:rsidP="00DE1661">
      <w:pPr>
        <w:pStyle w:val="13"/>
      </w:pPr>
      <w:r w:rsidRPr="00E410B5">
        <w:t>Результат применения условия 1;</w:t>
      </w:r>
    </w:p>
    <w:p w:rsidR="00472B5B" w:rsidRDefault="00472B5B" w:rsidP="00DE1661">
      <w:pPr>
        <w:pStyle w:val="13"/>
      </w:pPr>
      <w:r w:rsidRPr="00E410B5">
        <w:t>Результат применения условия 2;</w:t>
      </w:r>
    </w:p>
    <w:p w:rsidR="00472B5B" w:rsidRDefault="00472B5B" w:rsidP="00DE1661">
      <w:pPr>
        <w:pStyle w:val="13"/>
      </w:pPr>
      <w:r w:rsidRPr="00E410B5">
        <w:t xml:space="preserve">Результат применения условия </w:t>
      </w:r>
      <w:r>
        <w:t>3</w:t>
      </w:r>
      <w:r w:rsidRPr="00E410B5">
        <w:t>;</w:t>
      </w:r>
    </w:p>
    <w:p w:rsidR="00472B5B" w:rsidRPr="00E410B5" w:rsidRDefault="00472B5B" w:rsidP="00DE1661">
      <w:pPr>
        <w:pStyle w:val="13"/>
      </w:pPr>
      <w:r w:rsidRPr="00E410B5">
        <w:t>Группа организаций;</w:t>
      </w:r>
    </w:p>
    <w:p w:rsidR="00472B5B" w:rsidRPr="00E410B5" w:rsidRDefault="00472B5B" w:rsidP="00DE1661">
      <w:pPr>
        <w:pStyle w:val="13"/>
      </w:pPr>
      <w:r w:rsidRPr="00E410B5">
        <w:t>Секторальная принадлежность: если результат применения условия 2 = 1 или показатель Группа 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w:t>
      </w:r>
      <w:r w:rsidRPr="00BD2A54">
        <w:rPr>
          <w:i/>
        </w:rPr>
        <w:t>Расширенный сектор государственного управления</w:t>
      </w:r>
      <w:r w:rsidRPr="00E410B5">
        <w:t xml:space="preserve">»; </w:t>
      </w:r>
      <w:r>
        <w:t>Если результат применения Условия 1=1, а результат применения Условия 2=0 и показатель «Группа организаций» не принимает значение «Поставщики государства»</w:t>
      </w:r>
      <w:r w:rsidRPr="00E410B5">
        <w:t xml:space="preserve"> </w:t>
      </w:r>
      <w:r>
        <w:t xml:space="preserve">или показатель «Группа организаций» принимает значение «Госсектор по отдельному решению», </w:t>
      </w:r>
      <w:r w:rsidRPr="00E410B5">
        <w:t xml:space="preserve">в данной графе указывается </w:t>
      </w:r>
      <w:r>
        <w:t>«Г</w:t>
      </w:r>
      <w:r w:rsidRPr="00E410B5">
        <w:t>осударственный сектор</w:t>
      </w:r>
      <w:r>
        <w:t>»</w:t>
      </w:r>
      <w:r w:rsidRPr="00E410B5">
        <w:t>.</w:t>
      </w:r>
      <w:r>
        <w:t xml:space="preserve"> Во всех остальных случаях – в данной графе указывается «не определено»;</w:t>
      </w:r>
    </w:p>
    <w:p w:rsidR="00472B5B" w:rsidRPr="00195869" w:rsidRDefault="00472B5B" w:rsidP="00DE1661">
      <w:pPr>
        <w:pStyle w:val="13"/>
      </w:pPr>
      <w:r>
        <w:t>Пояснения (переход на карточку организации в Государственный информационный ресурс бухгалтерской (финансовой) отчетности юридических лиц).</w:t>
      </w:r>
    </w:p>
    <w:p w:rsidR="00472B5B" w:rsidRPr="00297594" w:rsidRDefault="00472B5B" w:rsidP="00472B5B">
      <w:pPr>
        <w:pStyle w:val="af0"/>
        <w:rPr>
          <w:rFonts w:ascii="Arial" w:hAnsi="Arial"/>
          <w:b/>
          <w:bCs/>
        </w:rPr>
      </w:pPr>
      <w:r w:rsidRPr="00BD2A54">
        <w:t>При</w:t>
      </w:r>
      <w:r>
        <w:t xml:space="preserve"> помощи кнопки «Назад» из представления «Бухгалтерский баланс» - «Список организаций» доступен переход к представлению «Бухгалтерский баланс» - «Показатели».</w:t>
      </w:r>
    </w:p>
    <w:p w:rsidR="00472B5B" w:rsidRDefault="00472B5B" w:rsidP="00862055">
      <w:pPr>
        <w:pStyle w:val="35"/>
        <w:numPr>
          <w:ilvl w:val="2"/>
          <w:numId w:val="135"/>
        </w:numPr>
      </w:pPr>
      <w:bookmarkStart w:id="2012" w:name="_Toc47710187"/>
      <w:bookmarkStart w:id="2013" w:name="_Toc68679612"/>
      <w:bookmarkStart w:id="2014" w:name="_Toc69290156"/>
      <w:bookmarkStart w:id="2015" w:name="_Toc119585123"/>
      <w:r>
        <w:t>Отчет «Отчет о финансовых результатах»</w:t>
      </w:r>
      <w:bookmarkEnd w:id="2012"/>
      <w:bookmarkEnd w:id="2013"/>
      <w:bookmarkEnd w:id="2014"/>
      <w:r w:rsidR="004754B0">
        <w:t xml:space="preserve"> (PIAO_155_003</w:t>
      </w:r>
      <w:r w:rsidR="004754B0" w:rsidRPr="004754B0">
        <w:t>_report</w:t>
      </w:r>
      <w:r w:rsidR="004754B0">
        <w:t>)</w:t>
      </w:r>
      <w:bookmarkEnd w:id="2015"/>
    </w:p>
    <w:p w:rsidR="00472B5B" w:rsidRDefault="00472B5B" w:rsidP="00472B5B">
      <w:pPr>
        <w:pStyle w:val="af0"/>
        <w:rPr>
          <w:rStyle w:val="af1"/>
        </w:rPr>
      </w:pPr>
      <w:r w:rsidRPr="00206C4C">
        <w:rPr>
          <w:rStyle w:val="af1"/>
        </w:rPr>
        <w:t>Для перехода к отчету «</w:t>
      </w:r>
      <w:r>
        <w:t>Отчет о финансовых результатах</w:t>
      </w:r>
      <w:r w:rsidRPr="00206C4C">
        <w:rPr>
          <w:rStyle w:val="af1"/>
        </w:rPr>
        <w:t>» необходимо перейти к витрине «С</w:t>
      </w:r>
      <w:r w:rsidRPr="00206C4C">
        <w:t>татистика государственных финансов</w:t>
      </w:r>
      <w:r w:rsidRPr="00206C4C">
        <w:rPr>
          <w:rStyle w:val="af1"/>
        </w:rPr>
        <w:t xml:space="preserve">» и кликнуть мышью по </w:t>
      </w:r>
      <w:r>
        <w:rPr>
          <w:rStyle w:val="af1"/>
        </w:rPr>
        <w:t xml:space="preserve">соответствующей </w:t>
      </w:r>
      <w:r w:rsidRPr="00206C4C">
        <w:rPr>
          <w:rStyle w:val="af1"/>
        </w:rPr>
        <w:t>плашке</w:t>
      </w:r>
      <w:r>
        <w:rPr>
          <w:rStyle w:val="af1"/>
        </w:rPr>
        <w:t xml:space="preserve"> (Рисунок </w:t>
      </w:r>
      <w:r>
        <w:rPr>
          <w:rStyle w:val="af1"/>
        </w:rPr>
        <w:fldChar w:fldCharType="begin"/>
      </w:r>
      <w:r>
        <w:rPr>
          <w:rStyle w:val="af1"/>
        </w:rPr>
        <w:instrText xml:space="preserve"> REF _Ref69122133 \h </w:instrText>
      </w:r>
      <w:r>
        <w:rPr>
          <w:rStyle w:val="af1"/>
        </w:rPr>
      </w:r>
      <w:r>
        <w:rPr>
          <w:rStyle w:val="af1"/>
        </w:rPr>
        <w:fldChar w:fldCharType="separate"/>
      </w:r>
      <w:r w:rsidR="00BF0BEE">
        <w:rPr>
          <w:noProof/>
        </w:rPr>
        <w:t>453</w:t>
      </w:r>
      <w:r>
        <w:rPr>
          <w:rStyle w:val="af1"/>
        </w:rPr>
        <w:fldChar w:fldCharType="end"/>
      </w:r>
      <w:r>
        <w:rPr>
          <w:rStyle w:val="af1"/>
        </w:rPr>
        <w:t>)</w:t>
      </w:r>
      <w:r w:rsidRPr="00206C4C">
        <w:rPr>
          <w:rStyle w:val="af1"/>
        </w:rPr>
        <w:t>.</w:t>
      </w:r>
    </w:p>
    <w:p w:rsidR="00472B5B" w:rsidRDefault="00472B5B" w:rsidP="00472B5B">
      <w:pPr>
        <w:pStyle w:val="-0"/>
      </w:pPr>
      <w:r>
        <w:rPr>
          <w:noProof/>
          <w:snapToGrid/>
        </w:rPr>
        <w:drawing>
          <wp:inline distT="0" distB="0" distL="0" distR="0" wp14:anchorId="7D0F2C6C" wp14:editId="4A28340E">
            <wp:extent cx="5939790" cy="2363900"/>
            <wp:effectExtent l="0" t="0" r="381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1"/>
                    <a:stretch>
                      <a:fillRect/>
                    </a:stretch>
                  </pic:blipFill>
                  <pic:spPr>
                    <a:xfrm>
                      <a:off x="0" y="0"/>
                      <a:ext cx="5939790" cy="2363900"/>
                    </a:xfrm>
                    <a:prstGeom prst="rect">
                      <a:avLst/>
                    </a:prstGeom>
                  </pic:spPr>
                </pic:pic>
              </a:graphicData>
            </a:graphic>
          </wp:inline>
        </w:drawing>
      </w:r>
    </w:p>
    <w:p w:rsidR="00472B5B" w:rsidRPr="00D722BB" w:rsidRDefault="00472B5B" w:rsidP="004754B0">
      <w:pPr>
        <w:pStyle w:val="-0"/>
      </w:pPr>
      <w:bookmarkStart w:id="2016" w:name="_Toc69290588"/>
      <w:bookmarkStart w:id="2017" w:name="_Toc119584715"/>
      <w:r>
        <w:t xml:space="preserve">Рисунок </w:t>
      </w:r>
      <w:fldSimple w:instr=" SEQ Рисунок \* ARABIC ">
        <w:bookmarkStart w:id="2018" w:name="_Ref69122133"/>
        <w:r w:rsidR="001860A9">
          <w:rPr>
            <w:noProof/>
          </w:rPr>
          <w:t>528</w:t>
        </w:r>
        <w:bookmarkEnd w:id="2018"/>
      </w:fldSimple>
      <w:r>
        <w:t xml:space="preserve"> – Плашка для перехода к отчету «Отчет о финансовых результатах»</w:t>
      </w:r>
      <w:bookmarkEnd w:id="2016"/>
      <w:bookmarkEnd w:id="2017"/>
    </w:p>
    <w:p w:rsidR="00472B5B" w:rsidRDefault="00472B5B" w:rsidP="00472B5B">
      <w:pPr>
        <w:pStyle w:val="af0"/>
      </w:pPr>
      <w:r>
        <w:t>Отчет обеспечивает визуальный анализ показателей бухгалтерской (финансовой) отчетности корпоративных и унитарных юридических лиц, применяемых для формирования Информации по СГФ по сектору государственного управления и списка организаций по показателям отчетных форм.</w:t>
      </w:r>
    </w:p>
    <w:p w:rsidR="00472B5B" w:rsidRDefault="00472B5B" w:rsidP="00862055">
      <w:pPr>
        <w:pStyle w:val="42"/>
        <w:numPr>
          <w:ilvl w:val="3"/>
          <w:numId w:val="135"/>
        </w:numPr>
        <w:ind w:left="284"/>
      </w:pPr>
      <w:r>
        <w:t>Представление «Отчет о финансовых результатах» - «Показатели»</w:t>
      </w:r>
    </w:p>
    <w:p w:rsidR="00472B5B" w:rsidRDefault="00472B5B" w:rsidP="00472B5B">
      <w:pPr>
        <w:spacing w:before="120" w:after="120"/>
        <w:ind w:firstLine="567"/>
        <w:rPr>
          <w:sz w:val="28"/>
          <w:szCs w:val="28"/>
        </w:rPr>
      </w:pPr>
      <w:r>
        <w:rPr>
          <w:sz w:val="28"/>
          <w:szCs w:val="28"/>
        </w:rPr>
        <w:t>Представление</w:t>
      </w:r>
      <w:r w:rsidRPr="00257ADB">
        <w:rPr>
          <w:sz w:val="28"/>
          <w:szCs w:val="28"/>
        </w:rPr>
        <w:t xml:space="preserve"> «</w:t>
      </w:r>
      <w:r w:rsidRPr="00195869">
        <w:rPr>
          <w:sz w:val="28"/>
          <w:szCs w:val="28"/>
        </w:rPr>
        <w:t>Отчет о финансовых результатах</w:t>
      </w:r>
      <w:r w:rsidRPr="00257ADB">
        <w:rPr>
          <w:sz w:val="28"/>
          <w:szCs w:val="28"/>
        </w:rPr>
        <w:t>»</w:t>
      </w:r>
      <w:r>
        <w:rPr>
          <w:sz w:val="28"/>
          <w:szCs w:val="28"/>
        </w:rPr>
        <w:t xml:space="preserve"> - «Показатели» </w:t>
      </w:r>
      <w:r w:rsidRPr="00257ADB">
        <w:rPr>
          <w:sz w:val="28"/>
          <w:szCs w:val="28"/>
        </w:rPr>
        <w:t xml:space="preserve">отображает информацию </w:t>
      </w:r>
      <w:r>
        <w:rPr>
          <w:sz w:val="28"/>
          <w:szCs w:val="28"/>
        </w:rPr>
        <w:t>показателей о финансовых результатах (форма 0710002).</w:t>
      </w:r>
    </w:p>
    <w:p w:rsidR="00472B5B" w:rsidRDefault="00472B5B" w:rsidP="00472B5B">
      <w:pPr>
        <w:keepNext/>
        <w:spacing w:before="120" w:after="60"/>
        <w:contextualSpacing/>
        <w:jc w:val="center"/>
      </w:pPr>
      <w:r>
        <w:rPr>
          <w:noProof/>
          <w:snapToGrid/>
        </w:rPr>
        <w:drawing>
          <wp:inline distT="0" distB="0" distL="0" distR="0" wp14:anchorId="0361CAA4" wp14:editId="59A7A8FA">
            <wp:extent cx="5939790" cy="2633027"/>
            <wp:effectExtent l="0" t="0" r="381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2"/>
                    <a:stretch>
                      <a:fillRect/>
                    </a:stretch>
                  </pic:blipFill>
                  <pic:spPr>
                    <a:xfrm>
                      <a:off x="0" y="0"/>
                      <a:ext cx="5939790" cy="2633027"/>
                    </a:xfrm>
                    <a:prstGeom prst="rect">
                      <a:avLst/>
                    </a:prstGeom>
                  </pic:spPr>
                </pic:pic>
              </a:graphicData>
            </a:graphic>
          </wp:inline>
        </w:drawing>
      </w:r>
    </w:p>
    <w:p w:rsidR="00472B5B" w:rsidRPr="00AC41C8" w:rsidRDefault="00472B5B" w:rsidP="00472B5B">
      <w:pPr>
        <w:pStyle w:val="-0"/>
      </w:pPr>
      <w:bookmarkStart w:id="2019" w:name="_Toc68681215"/>
      <w:bookmarkStart w:id="2020" w:name="_Toc69290589"/>
      <w:bookmarkStart w:id="2021" w:name="_Toc119584716"/>
      <w:r>
        <w:t xml:space="preserve">Рисунок </w:t>
      </w:r>
      <w:fldSimple w:instr=" SEQ Рисунок \* ARABIC ">
        <w:r w:rsidR="001860A9">
          <w:rPr>
            <w:noProof/>
          </w:rPr>
          <w:t>529</w:t>
        </w:r>
      </w:fldSimple>
      <w:r>
        <w:t xml:space="preserve"> – Представление</w:t>
      </w:r>
      <w:r w:rsidRPr="00091631">
        <w:t xml:space="preserve"> «</w:t>
      </w:r>
      <w:r>
        <w:t>Отчет о финансовых результатах</w:t>
      </w:r>
      <w:r w:rsidRPr="00D8413B">
        <w:t>»</w:t>
      </w:r>
      <w:r>
        <w:t xml:space="preserve"> - «Показатели»</w:t>
      </w:r>
      <w:bookmarkEnd w:id="2019"/>
      <w:bookmarkEnd w:id="2020"/>
      <w:bookmarkEnd w:id="2021"/>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Выпадающий список</w:t>
      </w:r>
      <w:r>
        <w:rPr>
          <w:rFonts w:eastAsia="Calibri"/>
          <w:snapToGrid/>
        </w:rPr>
        <w:t>, предусматривающий выбор года.</w:t>
      </w:r>
    </w:p>
    <w:p w:rsidR="00472B5B" w:rsidRPr="009856AB" w:rsidRDefault="00472B5B" w:rsidP="00DE1661">
      <w:pPr>
        <w:pStyle w:val="13"/>
        <w:rPr>
          <w:rFonts w:eastAsia="Calibri"/>
          <w:snapToGrid/>
        </w:rPr>
      </w:pPr>
      <w:r w:rsidRPr="009856AB">
        <w:rPr>
          <w:rFonts w:eastAsia="Calibri"/>
          <w:snapToGrid/>
        </w:rPr>
        <w:t>По умолчанию выводится п</w:t>
      </w:r>
      <w:r>
        <w:rPr>
          <w:rFonts w:eastAsia="Calibri"/>
          <w:snapToGrid/>
        </w:rPr>
        <w:t>оследний</w:t>
      </w:r>
      <w:r w:rsidRPr="009856AB">
        <w:rPr>
          <w:rFonts w:eastAsia="Calibri"/>
          <w:snapToGrid/>
        </w:rPr>
        <w:t xml:space="preserve"> год</w:t>
      </w:r>
      <w:r>
        <w:rPr>
          <w:rFonts w:eastAsia="Calibri"/>
          <w:snapToGrid/>
        </w:rPr>
        <w:t>, за который представлена отчетность</w:t>
      </w:r>
      <w:r w:rsidRPr="009856AB">
        <w:rPr>
          <w:rFonts w:eastAsia="Calibri"/>
          <w:snapToGrid/>
        </w:rPr>
        <w:t>;</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указывается тыс. руб. (в ГИРБО представлена информация в тыс. руб.), однако в случае перехода на представления «Отчет о финансовых результатах» - «Показатели» из представления «Сектор государственных нефинансовых корпораций» - «Список организаций», по умолчанию указывается млрд руб.;</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 (по умолчанию 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«Настройка параметров».</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 xml:space="preserve">. </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в представление включено более 1 организации)</w:t>
      </w:r>
      <w:r w:rsidRPr="00257ADB">
        <w:t>;</w:t>
      </w:r>
    </w:p>
    <w:p w:rsidR="00472B5B" w:rsidRDefault="00472B5B" w:rsidP="00DE1661">
      <w:pPr>
        <w:pStyle w:val="13"/>
      </w:pPr>
      <w:r>
        <w:t>Код показателя</w:t>
      </w:r>
      <w:r w:rsidRPr="00257ADB">
        <w:t>;</w:t>
      </w:r>
    </w:p>
    <w:p w:rsidR="00472B5B" w:rsidRDefault="00472B5B" w:rsidP="00DE1661">
      <w:pPr>
        <w:pStyle w:val="13"/>
      </w:pPr>
      <w:r>
        <w:t>Наименование показателя (Наименования показателя);</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472B5B">
      <w:pPr>
        <w:ind w:firstLine="709"/>
        <w:rPr>
          <w:sz w:val="28"/>
          <w:szCs w:val="28"/>
        </w:rPr>
      </w:pPr>
      <w:r>
        <w:rPr>
          <w:sz w:val="28"/>
          <w:szCs w:val="28"/>
        </w:rPr>
        <w:t>Из граф «За период отчетного года» и «За период предыдущего года» при нажатии на сумму в соответствующей строке доступен переход на представление «Отчет о финансовых результатах» - «Список организаций».</w:t>
      </w:r>
    </w:p>
    <w:p w:rsidR="00472B5B" w:rsidRDefault="00472B5B" w:rsidP="00472B5B">
      <w:pPr>
        <w:ind w:firstLine="709"/>
        <w:rPr>
          <w:sz w:val="28"/>
          <w:szCs w:val="28"/>
        </w:rPr>
      </w:pPr>
      <w:r>
        <w:rPr>
          <w:sz w:val="28"/>
          <w:szCs w:val="28"/>
        </w:rPr>
        <w:t>Из графы «Наименование показателя» при нажатии на строку  доступен переход в представление «Отчет о финансовых результатах» - «Дополнительные показатели».</w:t>
      </w:r>
    </w:p>
    <w:p w:rsidR="00472B5B" w:rsidRDefault="00472B5B" w:rsidP="00862055">
      <w:pPr>
        <w:pStyle w:val="42"/>
        <w:numPr>
          <w:ilvl w:val="3"/>
          <w:numId w:val="135"/>
        </w:numPr>
        <w:ind w:left="284"/>
      </w:pPr>
      <w:r>
        <w:t>Представление «Отчет о финансовых результатах» - «Дополнительные показатели»</w:t>
      </w:r>
    </w:p>
    <w:p w:rsidR="00472B5B" w:rsidRDefault="00472B5B" w:rsidP="00472B5B">
      <w:pPr>
        <w:ind w:firstLine="709"/>
        <w:rPr>
          <w:sz w:val="28"/>
          <w:szCs w:val="28"/>
        </w:rPr>
      </w:pPr>
      <w:r>
        <w:rPr>
          <w:sz w:val="28"/>
          <w:szCs w:val="28"/>
        </w:rPr>
        <w:t>Представление</w:t>
      </w:r>
      <w:r w:rsidRPr="00257ADB">
        <w:rPr>
          <w:sz w:val="28"/>
          <w:szCs w:val="28"/>
        </w:rPr>
        <w:t xml:space="preserve"> «</w:t>
      </w:r>
      <w:r w:rsidRPr="00195869">
        <w:rPr>
          <w:sz w:val="28"/>
          <w:szCs w:val="28"/>
        </w:rPr>
        <w:t>Отчет о финансовых результатах</w:t>
      </w:r>
      <w:r w:rsidRPr="00257ADB">
        <w:rPr>
          <w:sz w:val="28"/>
          <w:szCs w:val="28"/>
        </w:rPr>
        <w:t>»</w:t>
      </w:r>
      <w:r>
        <w:rPr>
          <w:sz w:val="28"/>
          <w:szCs w:val="28"/>
        </w:rPr>
        <w:t xml:space="preserve"> - «Дополнительные показатели» отображает детализированную информацию по основным показателям финансового результата.</w:t>
      </w:r>
    </w:p>
    <w:p w:rsidR="00472B5B" w:rsidRDefault="00472B5B" w:rsidP="00472B5B">
      <w:pPr>
        <w:keepNext/>
      </w:pPr>
      <w:r>
        <w:rPr>
          <w:noProof/>
          <w:snapToGrid/>
        </w:rPr>
        <w:drawing>
          <wp:inline distT="0" distB="0" distL="0" distR="0" wp14:anchorId="100A6FE4" wp14:editId="7B7334F9">
            <wp:extent cx="5939790" cy="2477927"/>
            <wp:effectExtent l="0" t="0" r="381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3"/>
                    <a:stretch>
                      <a:fillRect/>
                    </a:stretch>
                  </pic:blipFill>
                  <pic:spPr>
                    <a:xfrm>
                      <a:off x="0" y="0"/>
                      <a:ext cx="5939790" cy="2477927"/>
                    </a:xfrm>
                    <a:prstGeom prst="rect">
                      <a:avLst/>
                    </a:prstGeom>
                  </pic:spPr>
                </pic:pic>
              </a:graphicData>
            </a:graphic>
          </wp:inline>
        </w:drawing>
      </w:r>
    </w:p>
    <w:p w:rsidR="00472B5B" w:rsidRPr="00AC41C8" w:rsidRDefault="00472B5B" w:rsidP="00472B5B">
      <w:pPr>
        <w:pStyle w:val="-0"/>
      </w:pPr>
      <w:bookmarkStart w:id="2022" w:name="_Toc68681216"/>
      <w:bookmarkStart w:id="2023" w:name="_Toc69290590"/>
      <w:bookmarkStart w:id="2024" w:name="_Toc119584717"/>
      <w:r>
        <w:t xml:space="preserve">Рисунок </w:t>
      </w:r>
      <w:fldSimple w:instr=" SEQ Рисунок \* ARABIC ">
        <w:r w:rsidR="001860A9">
          <w:rPr>
            <w:noProof/>
          </w:rPr>
          <w:t>530</w:t>
        </w:r>
      </w:fldSimple>
      <w:r>
        <w:t xml:space="preserve"> – Представление</w:t>
      </w:r>
      <w:r w:rsidRPr="00091631">
        <w:t xml:space="preserve"> «</w:t>
      </w:r>
      <w:r>
        <w:t>Отчет о финансовых результатах</w:t>
      </w:r>
      <w:r w:rsidRPr="00D8413B">
        <w:t>»</w:t>
      </w:r>
      <w:r>
        <w:t xml:space="preserve"> - «Дополнительные показатели»</w:t>
      </w:r>
      <w:bookmarkEnd w:id="2022"/>
      <w:bookmarkEnd w:id="2023"/>
      <w:bookmarkEnd w:id="2024"/>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Pr="009856AB" w:rsidRDefault="00472B5B" w:rsidP="00DE1661">
      <w:pPr>
        <w:pStyle w:val="13"/>
        <w:rPr>
          <w:rFonts w:eastAsia="Calibri"/>
          <w:snapToGrid/>
        </w:rPr>
      </w:pPr>
      <w:r w:rsidRPr="00195869">
        <w:rPr>
          <w:rFonts w:eastAsia="Calibri"/>
          <w:snapToGrid/>
        </w:rPr>
        <w:t>«Год</w:t>
      </w:r>
      <w:r w:rsidRPr="00195869">
        <w:t xml:space="preserve">»: </w:t>
      </w:r>
      <w:r>
        <w:t xml:space="preserve">Указан год из представления </w:t>
      </w:r>
      <w:r w:rsidRPr="00257ADB">
        <w:t>«</w:t>
      </w:r>
      <w:r w:rsidRPr="00195869">
        <w:t>Отчет о финансовых результатах</w:t>
      </w:r>
      <w:r w:rsidRPr="00257ADB">
        <w:t>»</w:t>
      </w:r>
      <w:r>
        <w:t xml:space="preserve"> - «Показатели»;</w:t>
      </w:r>
    </w:p>
    <w:p w:rsidR="00472B5B" w:rsidRPr="00195869" w:rsidRDefault="00472B5B" w:rsidP="00DE1661">
      <w:pPr>
        <w:pStyle w:val="13"/>
      </w:pPr>
      <w:r>
        <w:t>«Единицы измерения»;</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w:t>
      </w:r>
    </w:p>
    <w:p w:rsidR="00472B5B" w:rsidRDefault="00472B5B" w:rsidP="00DE1661">
      <w:pPr>
        <w:pStyle w:val="13"/>
      </w:pPr>
      <w:r>
        <w:t>«Настройка параметров»;</w:t>
      </w:r>
    </w:p>
    <w:p w:rsidR="00472B5B" w:rsidRDefault="00472B5B" w:rsidP="00DE1661">
      <w:pPr>
        <w:pStyle w:val="13"/>
      </w:pPr>
      <w:r>
        <w:t xml:space="preserve">«Показатель»: показатель представления </w:t>
      </w:r>
      <w:r w:rsidRPr="007D7DBC">
        <w:t>«Отчет о финансовых результатах» - «Показатели»</w:t>
      </w:r>
      <w:r>
        <w:t>, по которому осуществляется детализация (с указанием кода и наименования строки ф. 071000</w:t>
      </w:r>
      <w:r w:rsidRPr="00376565">
        <w:t>2</w:t>
      </w:r>
      <w:r>
        <w:t>)</w:t>
      </w:r>
      <w:r w:rsidRPr="00017BE2">
        <w:t>.</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 xml:space="preserve">. </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в представление включено более 1 организации)</w:t>
      </w:r>
      <w:r w:rsidRPr="00257ADB">
        <w:t>;</w:t>
      </w:r>
    </w:p>
    <w:p w:rsidR="00472B5B" w:rsidRDefault="00472B5B" w:rsidP="00DE1661">
      <w:pPr>
        <w:pStyle w:val="13"/>
      </w:pPr>
      <w:r>
        <w:t>Код показателя</w:t>
      </w:r>
      <w:r w:rsidRPr="00257ADB">
        <w:t>;</w:t>
      </w:r>
    </w:p>
    <w:p w:rsidR="00472B5B" w:rsidRDefault="00472B5B" w:rsidP="00DE1661">
      <w:pPr>
        <w:pStyle w:val="13"/>
      </w:pPr>
      <w:r>
        <w:t>Наименование показателя (Наименование показателя);</w:t>
      </w:r>
    </w:p>
    <w:p w:rsidR="00472B5B" w:rsidRPr="00F93EE4" w:rsidRDefault="00472B5B" w:rsidP="00DE1661">
      <w:pPr>
        <w:pStyle w:val="13"/>
      </w:pPr>
      <w:r>
        <w:t>Наименование дополнительного показателя (Наименование показателя финансового результата);</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472B5B">
      <w:pPr>
        <w:ind w:firstLine="709"/>
        <w:rPr>
          <w:sz w:val="28"/>
          <w:szCs w:val="28"/>
        </w:rPr>
      </w:pPr>
      <w:r>
        <w:rPr>
          <w:sz w:val="28"/>
          <w:szCs w:val="28"/>
        </w:rPr>
        <w:t>Из граф «За период отчетного года», «За период предыдущего года» при нажатии на сумму в соответствующей строке доступен переход на представление «Отчет о финансовых результатах» - «Список организаций».</w:t>
      </w:r>
    </w:p>
    <w:p w:rsidR="00472B5B" w:rsidRPr="005515D2" w:rsidRDefault="00472B5B" w:rsidP="00472B5B">
      <w:pPr>
        <w:spacing w:after="200" w:line="276" w:lineRule="auto"/>
        <w:ind w:firstLine="709"/>
        <w:rPr>
          <w:sz w:val="28"/>
          <w:szCs w:val="28"/>
        </w:rPr>
      </w:pPr>
      <w:r w:rsidRPr="00BD2A54">
        <w:rPr>
          <w:sz w:val="28"/>
          <w:szCs w:val="28"/>
        </w:rPr>
        <w:t>При</w:t>
      </w:r>
      <w:r>
        <w:rPr>
          <w:sz w:val="28"/>
          <w:szCs w:val="28"/>
        </w:rPr>
        <w:t xml:space="preserve"> помощи кнопки «Назад» из представления «Отчет о финансовых результатах» - «Дополнительные показатели» доступен переход на представление «Отчет о финансовых результатах» - «Показатели».</w:t>
      </w:r>
    </w:p>
    <w:p w:rsidR="00472B5B" w:rsidRDefault="00472B5B" w:rsidP="00862055">
      <w:pPr>
        <w:pStyle w:val="42"/>
        <w:numPr>
          <w:ilvl w:val="3"/>
          <w:numId w:val="135"/>
        </w:numPr>
        <w:ind w:left="284"/>
      </w:pPr>
      <w:r>
        <w:t>Представление «Отчет о финансовых результатах» - «Список организаций»</w:t>
      </w:r>
    </w:p>
    <w:p w:rsidR="00472B5B" w:rsidRDefault="00472B5B" w:rsidP="00472B5B">
      <w:pPr>
        <w:spacing w:before="120" w:after="120"/>
        <w:ind w:firstLine="709"/>
        <w:rPr>
          <w:sz w:val="28"/>
          <w:szCs w:val="28"/>
        </w:rPr>
      </w:pPr>
      <w:r w:rsidRPr="00257ADB">
        <w:rPr>
          <w:sz w:val="28"/>
          <w:szCs w:val="28"/>
        </w:rPr>
        <w:t>Представление отчета «</w:t>
      </w:r>
      <w:r>
        <w:rPr>
          <w:sz w:val="28"/>
          <w:szCs w:val="28"/>
        </w:rPr>
        <w:t>Отчет о финансовых результатах</w:t>
      </w:r>
      <w:r w:rsidRPr="00257ADB">
        <w:rPr>
          <w:sz w:val="28"/>
          <w:szCs w:val="28"/>
        </w:rPr>
        <w:t>»</w:t>
      </w:r>
      <w:r>
        <w:rPr>
          <w:sz w:val="28"/>
          <w:szCs w:val="28"/>
        </w:rPr>
        <w:t xml:space="preserve"> - «Список организаций»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по организациям в соответствии с выбранными параметрами.</w:t>
      </w:r>
    </w:p>
    <w:p w:rsidR="00472B5B" w:rsidRDefault="00472B5B" w:rsidP="00472B5B">
      <w:pPr>
        <w:keepNext/>
        <w:ind w:left="142"/>
        <w:jc w:val="center"/>
      </w:pPr>
      <w:r>
        <w:rPr>
          <w:noProof/>
          <w:snapToGrid/>
        </w:rPr>
        <w:drawing>
          <wp:inline distT="0" distB="0" distL="0" distR="0" wp14:anchorId="0DC428AD" wp14:editId="39591DD6">
            <wp:extent cx="5939790" cy="2463214"/>
            <wp:effectExtent l="0" t="0" r="381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4"/>
                    <a:stretch>
                      <a:fillRect/>
                    </a:stretch>
                  </pic:blipFill>
                  <pic:spPr>
                    <a:xfrm>
                      <a:off x="0" y="0"/>
                      <a:ext cx="5939790" cy="2463214"/>
                    </a:xfrm>
                    <a:prstGeom prst="rect">
                      <a:avLst/>
                    </a:prstGeom>
                  </pic:spPr>
                </pic:pic>
              </a:graphicData>
            </a:graphic>
          </wp:inline>
        </w:drawing>
      </w:r>
    </w:p>
    <w:p w:rsidR="00472B5B" w:rsidRPr="00195869" w:rsidRDefault="00472B5B" w:rsidP="00472B5B">
      <w:pPr>
        <w:pStyle w:val="-0"/>
      </w:pPr>
      <w:bookmarkStart w:id="2025" w:name="_Toc68681217"/>
      <w:bookmarkStart w:id="2026" w:name="_Toc69290591"/>
      <w:bookmarkStart w:id="2027" w:name="_Toc119584718"/>
      <w:r>
        <w:t xml:space="preserve">Рисунок </w:t>
      </w:r>
      <w:fldSimple w:instr=" SEQ Рисунок \* ARABIC ">
        <w:r w:rsidR="001860A9">
          <w:rPr>
            <w:noProof/>
          </w:rPr>
          <w:t>531</w:t>
        </w:r>
      </w:fldSimple>
      <w:r>
        <w:t xml:space="preserve"> –</w:t>
      </w:r>
      <w:r w:rsidRPr="00AC41C8">
        <w:t xml:space="preserve"> </w:t>
      </w:r>
      <w:r>
        <w:t>Представление</w:t>
      </w:r>
      <w:r w:rsidRPr="00091631">
        <w:t xml:space="preserve"> «</w:t>
      </w:r>
      <w:r>
        <w:t>Отчет о финансовых результатах</w:t>
      </w:r>
      <w:r w:rsidRPr="00D8413B">
        <w:t>»</w:t>
      </w:r>
      <w:r>
        <w:t xml:space="preserve"> - «Список организаций»</w:t>
      </w:r>
      <w:bookmarkEnd w:id="2025"/>
      <w:bookmarkEnd w:id="2026"/>
      <w:bookmarkEnd w:id="2027"/>
    </w:p>
    <w:p w:rsidR="00472B5B" w:rsidRPr="00034DD9" w:rsidRDefault="00472B5B" w:rsidP="00472B5B">
      <w:pPr>
        <w:spacing w:before="120" w:after="120"/>
        <w:ind w:firstLine="709"/>
        <w:rPr>
          <w:sz w:val="28"/>
          <w:szCs w:val="28"/>
        </w:rPr>
      </w:pPr>
      <w:r w:rsidRPr="00034DD9">
        <w:rPr>
          <w:sz w:val="28"/>
          <w:szCs w:val="28"/>
        </w:rPr>
        <w:t xml:space="preserve">Реализована функция перехода в </w:t>
      </w:r>
      <w:r>
        <w:rPr>
          <w:sz w:val="28"/>
          <w:szCs w:val="28"/>
        </w:rPr>
        <w:t>представление</w:t>
      </w:r>
      <w:r w:rsidRPr="00034DD9">
        <w:rPr>
          <w:sz w:val="28"/>
          <w:szCs w:val="28"/>
        </w:rPr>
        <w:t xml:space="preserve"> с помощью нажатия на ячейку с данными</w:t>
      </w:r>
      <w:r>
        <w:rPr>
          <w:sz w:val="28"/>
          <w:szCs w:val="28"/>
        </w:rPr>
        <w:t xml:space="preserve"> представления «Отчет о финансовых результатах» - «Показатели»</w:t>
      </w:r>
      <w:r w:rsidRPr="00034DD9">
        <w:rPr>
          <w:sz w:val="28"/>
          <w:szCs w:val="28"/>
        </w:rPr>
        <w:t xml:space="preserve">. Данные по юридическим лицам в </w:t>
      </w:r>
      <w:r>
        <w:rPr>
          <w:sz w:val="28"/>
          <w:szCs w:val="28"/>
        </w:rPr>
        <w:t>представлении</w:t>
      </w:r>
      <w:r w:rsidRPr="00034DD9">
        <w:rPr>
          <w:sz w:val="28"/>
          <w:szCs w:val="28"/>
        </w:rPr>
        <w:t xml:space="preserve"> «</w:t>
      </w:r>
      <w:r>
        <w:rPr>
          <w:sz w:val="28"/>
          <w:szCs w:val="28"/>
        </w:rPr>
        <w:t>Отчет о финансовых результатах</w:t>
      </w:r>
      <w:r w:rsidRPr="00034DD9">
        <w:rPr>
          <w:sz w:val="28"/>
          <w:szCs w:val="28"/>
        </w:rPr>
        <w:t>» - «Список организаций» автоматически сортируются по убыванию сумм. Пользователь может применить иную сортировку по текстовым графам: по алфавиту.</w:t>
      </w:r>
    </w:p>
    <w:p w:rsidR="00472B5B" w:rsidRPr="00034DD9" w:rsidRDefault="00472B5B" w:rsidP="00472B5B">
      <w:pPr>
        <w:spacing w:before="120" w:after="120"/>
        <w:ind w:firstLine="567"/>
        <w:rPr>
          <w:sz w:val="28"/>
          <w:szCs w:val="28"/>
        </w:rPr>
      </w:pPr>
      <w:r w:rsidRPr="00034DD9">
        <w:rPr>
          <w:sz w:val="28"/>
          <w:szCs w:val="28"/>
        </w:rPr>
        <w:t xml:space="preserve">Параметры </w:t>
      </w:r>
      <w:r>
        <w:rPr>
          <w:sz w:val="28"/>
          <w:szCs w:val="28"/>
        </w:rPr>
        <w:t>представления</w:t>
      </w:r>
      <w:r w:rsidRPr="00034DD9">
        <w:rPr>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034DD9">
        <w:t xml:space="preserve">Указан год из </w:t>
      </w:r>
      <w:r>
        <w:t>представления</w:t>
      </w:r>
      <w:r w:rsidRPr="00034DD9">
        <w:t xml:space="preserve"> «</w:t>
      </w:r>
      <w:r>
        <w:t>Отчет о финансовых результатах</w:t>
      </w:r>
      <w:r w:rsidRPr="00034DD9">
        <w:t>» - «Показатели», из которого был осуществлен переход на  представление «</w:t>
      </w:r>
      <w:r>
        <w:t>Отчет о финансовых результатах</w:t>
      </w:r>
      <w:r w:rsidRPr="00034DD9">
        <w:t>» - «Список организаций»</w:t>
      </w:r>
      <w:r>
        <w:rPr>
          <w:rFonts w:eastAsia="Calibri"/>
          <w:snapToGrid/>
        </w:rPr>
        <w:t>.</w:t>
      </w:r>
    </w:p>
    <w:p w:rsidR="00472B5B" w:rsidRPr="00195869" w:rsidRDefault="00472B5B" w:rsidP="00DE1661">
      <w:pPr>
        <w:pStyle w:val="13"/>
      </w:pPr>
      <w:r w:rsidRPr="00195869">
        <w:t xml:space="preserve">«Единицы измерения»: </w:t>
      </w:r>
      <w:r w:rsidRPr="00034DD9">
        <w:t xml:space="preserve">Выпадающий список с выбором единиц измерения. Состоит из элементов: тыс. руб., млн руб., млрд руб. По умолчанию </w:t>
      </w:r>
      <w:r>
        <w:t>указан тот же показатель, что и в представлении «Отчет о финансовых результатах» - «Показатели», из которого был осуществлен переход на представление «Отчет о финансовых результатах» - «Список организаций»;</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 xml:space="preserve"> «Показатель»: показатель представления </w:t>
      </w:r>
      <w:r w:rsidRPr="007D7DBC">
        <w:t>«Отчет о финансовых результатах» - «Показатели»</w:t>
      </w:r>
      <w:r>
        <w:t>, по которому осуществляется детализация (с указанием кода и наименования строки ф. 071000</w:t>
      </w:r>
      <w:r w:rsidRPr="00376565">
        <w:t>2</w:t>
      </w:r>
      <w:r>
        <w:t>)</w:t>
      </w:r>
      <w:r w:rsidRPr="00017BE2">
        <w:t>.</w:t>
      </w:r>
    </w:p>
    <w:p w:rsidR="00472B5B" w:rsidRDefault="00472B5B" w:rsidP="00DE1661">
      <w:pPr>
        <w:pStyle w:val="13"/>
      </w:pPr>
      <w:r>
        <w:t>«Период показателя». Выбор значений ф. 071000</w:t>
      </w:r>
      <w:r w:rsidRPr="00376565">
        <w:t>2</w:t>
      </w:r>
      <w:r>
        <w:t xml:space="preserve"> из списка: </w:t>
      </w:r>
    </w:p>
    <w:p w:rsidR="00472B5B" w:rsidRPr="00BD2A54" w:rsidRDefault="00472B5B" w:rsidP="00472B5B">
      <w:pPr>
        <w:pStyle w:val="29"/>
      </w:pPr>
      <w:r w:rsidRPr="00BD2A54">
        <w:t>За период отчетного года</w:t>
      </w:r>
      <w:r>
        <w:t xml:space="preserve"> (значение по умолчанию)</w:t>
      </w:r>
      <w:r w:rsidRPr="00BD2A54">
        <w:t>;</w:t>
      </w:r>
    </w:p>
    <w:p w:rsidR="00472B5B" w:rsidRDefault="00472B5B" w:rsidP="00472B5B">
      <w:pPr>
        <w:pStyle w:val="29"/>
      </w:pPr>
      <w:r>
        <w:t>За период предыдущего года;</w:t>
      </w:r>
    </w:p>
    <w:p w:rsidR="00472B5B" w:rsidRPr="00BD2A54" w:rsidRDefault="00472B5B" w:rsidP="005C6E50">
      <w:pPr>
        <w:numPr>
          <w:ilvl w:val="0"/>
          <w:numId w:val="87"/>
        </w:numPr>
        <w:ind w:left="924" w:hanging="357"/>
        <w:rPr>
          <w:sz w:val="28"/>
          <w:szCs w:val="28"/>
        </w:rPr>
      </w:pPr>
      <w:r>
        <w:rPr>
          <w:sz w:val="28"/>
          <w:szCs w:val="28"/>
        </w:rPr>
        <w:t>«Настройка параметров».</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Сумма;</w:t>
      </w:r>
    </w:p>
    <w:p w:rsidR="00472B5B" w:rsidRDefault="00472B5B" w:rsidP="00DE1661">
      <w:pPr>
        <w:pStyle w:val="13"/>
      </w:pPr>
      <w:r>
        <w:t>ИНН</w:t>
      </w:r>
      <w:r w:rsidRPr="00257ADB">
        <w:t>;</w:t>
      </w:r>
    </w:p>
    <w:p w:rsidR="00472B5B" w:rsidRDefault="00472B5B" w:rsidP="00DE1661">
      <w:pPr>
        <w:pStyle w:val="13"/>
      </w:pPr>
      <w:r>
        <w:t>КПП;</w:t>
      </w:r>
    </w:p>
    <w:p w:rsidR="00472B5B" w:rsidRDefault="00472B5B" w:rsidP="00DE1661">
      <w:pPr>
        <w:pStyle w:val="13"/>
      </w:pPr>
      <w:r>
        <w:t>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Pr="00257ADB" w:rsidRDefault="00472B5B" w:rsidP="00DE1661">
      <w:pPr>
        <w:pStyle w:val="13"/>
      </w:pPr>
      <w:r>
        <w:t>ОКВЭД;</w:t>
      </w:r>
    </w:p>
    <w:p w:rsidR="00472B5B" w:rsidRPr="00E410B5" w:rsidRDefault="00472B5B" w:rsidP="00DE1661">
      <w:pPr>
        <w:pStyle w:val="13"/>
      </w:pPr>
      <w:r w:rsidRPr="00E410B5">
        <w:t>Результат применения условия 1;</w:t>
      </w:r>
    </w:p>
    <w:p w:rsidR="00472B5B" w:rsidRDefault="00472B5B" w:rsidP="00DE1661">
      <w:pPr>
        <w:pStyle w:val="13"/>
      </w:pPr>
      <w:r w:rsidRPr="00E410B5">
        <w:t>Результат применения условия 2;</w:t>
      </w:r>
    </w:p>
    <w:p w:rsidR="00472B5B" w:rsidRDefault="00472B5B" w:rsidP="00DE1661">
      <w:pPr>
        <w:pStyle w:val="13"/>
      </w:pPr>
      <w:r w:rsidRPr="00E410B5">
        <w:t xml:space="preserve">Результат применения условия </w:t>
      </w:r>
      <w:r>
        <w:t>3</w:t>
      </w:r>
      <w:r w:rsidRPr="00E410B5">
        <w:t>;</w:t>
      </w:r>
    </w:p>
    <w:p w:rsidR="00472B5B" w:rsidRPr="00E410B5" w:rsidRDefault="00472B5B" w:rsidP="00DE1661">
      <w:pPr>
        <w:pStyle w:val="13"/>
      </w:pPr>
      <w:r w:rsidRPr="00E410B5">
        <w:t>Группа организаций;</w:t>
      </w:r>
    </w:p>
    <w:p w:rsidR="00472B5B" w:rsidRDefault="00472B5B" w:rsidP="00DE1661">
      <w:pPr>
        <w:pStyle w:val="13"/>
      </w:pPr>
      <w:r w:rsidRPr="00E410B5">
        <w:t xml:space="preserve">Секторальная принадлежность: если результат применения условия 2 = 1 или показатель </w:t>
      </w:r>
      <w:r>
        <w:t>«</w:t>
      </w:r>
      <w:r w:rsidRPr="00E410B5">
        <w:t>Группа</w:t>
      </w:r>
      <w:r>
        <w:t xml:space="preserve"> организаций»</w:t>
      </w:r>
      <w:r w:rsidRPr="00E410B5">
        <w:t xml:space="preserve"> 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«Расширенный сектор государственного управления»; </w:t>
      </w:r>
      <w:r>
        <w:t>Если результат применения Условия 1=1, а результат применения Условия 2=0 и показатель «Группа организаций» не принимает значение «Поставщики государства»</w:t>
      </w:r>
      <w:r w:rsidRPr="00E410B5">
        <w:t xml:space="preserve"> </w:t>
      </w:r>
      <w:r>
        <w:t xml:space="preserve">или показатель «Группа организаций» принимает значение «Госсектор по отдельному решению», </w:t>
      </w:r>
      <w:r w:rsidRPr="00E410B5">
        <w:t xml:space="preserve">в данной графе указывается </w:t>
      </w:r>
      <w:r>
        <w:t>«Г</w:t>
      </w:r>
      <w:r w:rsidRPr="00E410B5">
        <w:t>осударственный сектор</w:t>
      </w:r>
      <w:r>
        <w:t>»</w:t>
      </w:r>
      <w:r w:rsidRPr="00E410B5">
        <w:t>.</w:t>
      </w:r>
      <w:r>
        <w:t xml:space="preserve"> Во всех остальных случаях – в данной графе указывается «Не определено».</w:t>
      </w:r>
    </w:p>
    <w:p w:rsidR="00472B5B" w:rsidRDefault="00472B5B" w:rsidP="00DE1661">
      <w:pPr>
        <w:pStyle w:val="13"/>
      </w:pPr>
      <w:r>
        <w:t>Пояснения (</w:t>
      </w:r>
      <w:r w:rsidRPr="005515D2">
        <w:t xml:space="preserve"> </w:t>
      </w:r>
      <w:r>
        <w:t>переход на карточку организации в Государственный информационный ресурс бухгалтерской (финансовой) отчетности юридических лиц).</w:t>
      </w:r>
    </w:p>
    <w:p w:rsidR="00472B5B" w:rsidRPr="00EF7D93" w:rsidRDefault="00472B5B" w:rsidP="00472B5B">
      <w:pPr>
        <w:pStyle w:val="af0"/>
        <w:rPr>
          <w:szCs w:val="28"/>
        </w:rPr>
      </w:pPr>
      <w:r>
        <w:t xml:space="preserve">При нажатии на кнопку «Назад» доступен переход из представления «Отчет о </w:t>
      </w:r>
      <w:r w:rsidRPr="00EF7D93">
        <w:rPr>
          <w:szCs w:val="28"/>
        </w:rPr>
        <w:t>финансовых результатах» - «Список организаций» обратно в представление «Отчет о финансовых результатах» - «Показатели».</w:t>
      </w:r>
    </w:p>
    <w:p w:rsidR="00472B5B" w:rsidRPr="00EF7D93" w:rsidRDefault="00472B5B" w:rsidP="00EF7D93">
      <w:pPr>
        <w:spacing w:after="200" w:line="276" w:lineRule="auto"/>
        <w:rPr>
          <w:sz w:val="28"/>
          <w:szCs w:val="28"/>
        </w:rPr>
      </w:pPr>
      <w:bookmarkStart w:id="2028" w:name="_Toc47710188"/>
      <w:bookmarkStart w:id="2029" w:name="_Toc68679613"/>
      <w:bookmarkStart w:id="2030" w:name="_Toc69290157"/>
      <w:r w:rsidRPr="00EF7D93">
        <w:rPr>
          <w:sz w:val="28"/>
          <w:szCs w:val="28"/>
        </w:rPr>
        <w:t>Отчет «Отчет о целевом использовании средств»</w:t>
      </w:r>
      <w:bookmarkEnd w:id="2028"/>
      <w:bookmarkEnd w:id="2029"/>
      <w:bookmarkEnd w:id="2030"/>
      <w:r w:rsidR="004754B0" w:rsidRPr="00EF7D93">
        <w:rPr>
          <w:sz w:val="28"/>
          <w:szCs w:val="28"/>
        </w:rPr>
        <w:t xml:space="preserve"> (PIAO_155_004_report)</w:t>
      </w:r>
    </w:p>
    <w:p w:rsidR="00472B5B" w:rsidRDefault="00472B5B" w:rsidP="00472B5B">
      <w:pPr>
        <w:pStyle w:val="af0"/>
      </w:pPr>
      <w:r w:rsidRPr="00EF7D93">
        <w:rPr>
          <w:szCs w:val="28"/>
        </w:rPr>
        <w:t>Аналитический отчет «Отчет</w:t>
      </w:r>
      <w:r>
        <w:t xml:space="preserve"> о целевом использовании средств</w:t>
      </w:r>
      <w:r w:rsidRPr="000A0BF8">
        <w:t>»</w:t>
      </w:r>
      <w:r>
        <w:t xml:space="preserve"> обеспечивает визуальный анализ показателей бухгалтерской (финансовой) отчетности корпоративных и унитарных юридических лиц, применяемых для формирования Информации по СГФ по сектору государственного управления и списка организаций по показателям отчетных форм.</w:t>
      </w:r>
    </w:p>
    <w:p w:rsidR="00472B5B" w:rsidRDefault="00472B5B" w:rsidP="00862055">
      <w:pPr>
        <w:pStyle w:val="42"/>
        <w:numPr>
          <w:ilvl w:val="3"/>
          <w:numId w:val="135"/>
        </w:numPr>
        <w:ind w:left="284"/>
      </w:pPr>
      <w:r>
        <w:t>Представление «Отчет о целевом использовании средств»-«Показатели»</w:t>
      </w:r>
    </w:p>
    <w:p w:rsidR="00472B5B" w:rsidRDefault="00472B5B" w:rsidP="00472B5B">
      <w:pPr>
        <w:spacing w:before="120" w:after="120"/>
        <w:ind w:firstLine="567"/>
        <w:rPr>
          <w:sz w:val="28"/>
          <w:szCs w:val="28"/>
        </w:rPr>
      </w:pPr>
      <w:r w:rsidRPr="00257ADB">
        <w:rPr>
          <w:sz w:val="28"/>
          <w:szCs w:val="28"/>
        </w:rPr>
        <w:t>Представление «</w:t>
      </w:r>
      <w:r w:rsidRPr="00195869">
        <w:rPr>
          <w:sz w:val="28"/>
          <w:szCs w:val="28"/>
        </w:rPr>
        <w:t>Отчет о целевом использовании средств</w:t>
      </w:r>
      <w:r w:rsidRPr="00257ADB">
        <w:rPr>
          <w:sz w:val="28"/>
          <w:szCs w:val="28"/>
        </w:rPr>
        <w:t>»</w:t>
      </w:r>
      <w:r>
        <w:rPr>
          <w:sz w:val="28"/>
          <w:szCs w:val="28"/>
        </w:rPr>
        <w:t xml:space="preserve"> - «Показатели» </w:t>
      </w:r>
      <w:r w:rsidRPr="00257ADB">
        <w:rPr>
          <w:sz w:val="28"/>
          <w:szCs w:val="28"/>
        </w:rPr>
        <w:t xml:space="preserve">отображает информацию </w:t>
      </w:r>
      <w:r>
        <w:rPr>
          <w:sz w:val="28"/>
          <w:szCs w:val="28"/>
        </w:rPr>
        <w:t>показателей о целевом использовании средств (форма 0710003).</w:t>
      </w:r>
    </w:p>
    <w:p w:rsidR="00472B5B" w:rsidRDefault="00472B5B" w:rsidP="00472B5B">
      <w:pPr>
        <w:keepNext/>
        <w:spacing w:before="120" w:after="60"/>
        <w:contextualSpacing/>
        <w:jc w:val="center"/>
      </w:pPr>
      <w:r>
        <w:rPr>
          <w:noProof/>
          <w:snapToGrid/>
        </w:rPr>
        <w:drawing>
          <wp:inline distT="0" distB="0" distL="0" distR="0" wp14:anchorId="2ADA5BEE" wp14:editId="1605945A">
            <wp:extent cx="5939790" cy="2629349"/>
            <wp:effectExtent l="0" t="0" r="381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5"/>
                    <a:stretch>
                      <a:fillRect/>
                    </a:stretch>
                  </pic:blipFill>
                  <pic:spPr>
                    <a:xfrm>
                      <a:off x="0" y="0"/>
                      <a:ext cx="5939790" cy="2629349"/>
                    </a:xfrm>
                    <a:prstGeom prst="rect">
                      <a:avLst/>
                    </a:prstGeom>
                  </pic:spPr>
                </pic:pic>
              </a:graphicData>
            </a:graphic>
          </wp:inline>
        </w:drawing>
      </w:r>
    </w:p>
    <w:p w:rsidR="00472B5B" w:rsidRPr="00722488" w:rsidRDefault="00472B5B" w:rsidP="00472B5B">
      <w:pPr>
        <w:pStyle w:val="-0"/>
      </w:pPr>
      <w:bookmarkStart w:id="2031" w:name="_Toc68681218"/>
      <w:bookmarkStart w:id="2032" w:name="_Toc69290592"/>
      <w:bookmarkStart w:id="2033" w:name="_Toc119584719"/>
      <w:r>
        <w:t xml:space="preserve">Рисунок </w:t>
      </w:r>
      <w:fldSimple w:instr=" SEQ Рисунок \* ARABIC ">
        <w:r w:rsidR="001860A9">
          <w:rPr>
            <w:noProof/>
          </w:rPr>
          <w:t>532</w:t>
        </w:r>
      </w:fldSimple>
      <w:r w:rsidRPr="00AC41C8">
        <w:t xml:space="preserve"> </w:t>
      </w:r>
      <w:r>
        <w:t>– Представление</w:t>
      </w:r>
      <w:r w:rsidRPr="00091631">
        <w:t xml:space="preserve"> «</w:t>
      </w:r>
      <w:r>
        <w:t xml:space="preserve">Отчет о целевом использовании средств </w:t>
      </w:r>
      <w:r w:rsidRPr="00D8413B">
        <w:t>»</w:t>
      </w:r>
      <w:r>
        <w:t xml:space="preserve"> - «Показатели»</w:t>
      </w:r>
      <w:bookmarkEnd w:id="2031"/>
      <w:bookmarkEnd w:id="2032"/>
      <w:bookmarkEnd w:id="2033"/>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 xml:space="preserve">Выпадающий список, предусматривающий выбор года. </w:t>
      </w:r>
    </w:p>
    <w:p w:rsidR="00472B5B" w:rsidRPr="00195869" w:rsidRDefault="00472B5B" w:rsidP="00DE1661">
      <w:pPr>
        <w:pStyle w:val="13"/>
        <w:rPr>
          <w:rFonts w:eastAsia="Calibri"/>
          <w:snapToGrid/>
        </w:rPr>
      </w:pPr>
      <w:r w:rsidRPr="00195869">
        <w:rPr>
          <w:rFonts w:eastAsia="Calibri"/>
          <w:snapToGrid/>
        </w:rPr>
        <w:t xml:space="preserve">По </w:t>
      </w:r>
      <w:r>
        <w:rPr>
          <w:rFonts w:eastAsia="Calibri"/>
          <w:snapToGrid/>
        </w:rPr>
        <w:t>умолчанию выводится последний год, за который представлена отчетность;</w:t>
      </w:r>
    </w:p>
    <w:p w:rsidR="00472B5B" w:rsidRPr="00195869" w:rsidRDefault="00472B5B" w:rsidP="00DE1661">
      <w:pPr>
        <w:pStyle w:val="13"/>
      </w:pPr>
      <w:r w:rsidRPr="00195869">
        <w:t xml:space="preserve"> «Единицы измерения»: Выпадающий список с выбором единиц измерения. Состоит из элементов: </w:t>
      </w:r>
      <w:r>
        <w:t>тыс. руб., млн руб., млрд руб. (по умолчанию тыс. руб., однако если переход на представление «Отчет о целевом использовании средств» - «Показатели» осуществлен из представления «Сектор государственных нефинансовых корпораций» - «Список организаций», по умолчанию указывается млрд руб.);</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 (по умолчанию «Все»);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«Настройка параметров».</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представляются данные по более чем 1 организации)</w:t>
      </w:r>
      <w:r w:rsidRPr="00257ADB">
        <w:t>;</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(Наименования показателя);</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472B5B">
      <w:pPr>
        <w:ind w:firstLine="709"/>
        <w:rPr>
          <w:sz w:val="28"/>
          <w:szCs w:val="28"/>
        </w:rPr>
      </w:pPr>
      <w:r>
        <w:rPr>
          <w:sz w:val="28"/>
          <w:szCs w:val="28"/>
        </w:rPr>
        <w:t>Из граф «За период отчетного года» и «За период предыдущего года» при нажатии на сумму по соответствующей строке доступен переход на представление «Отчет о целевом использовании средств» - «Список организаций».</w:t>
      </w:r>
    </w:p>
    <w:p w:rsidR="00472B5B" w:rsidRDefault="00472B5B" w:rsidP="00472B5B">
      <w:pPr>
        <w:ind w:firstLine="709"/>
        <w:rPr>
          <w:sz w:val="28"/>
          <w:szCs w:val="28"/>
        </w:rPr>
      </w:pPr>
      <w:r>
        <w:rPr>
          <w:sz w:val="28"/>
          <w:szCs w:val="28"/>
        </w:rPr>
        <w:t>Из графы «Наименование показателя» при нажатии на строку доступен переход на представление «Отчет о целевом использовании средств» - «Дополнительные показатели».</w:t>
      </w:r>
    </w:p>
    <w:p w:rsidR="00472B5B" w:rsidRDefault="00472B5B" w:rsidP="00862055">
      <w:pPr>
        <w:pStyle w:val="42"/>
        <w:numPr>
          <w:ilvl w:val="3"/>
          <w:numId w:val="135"/>
        </w:numPr>
        <w:ind w:left="284"/>
      </w:pPr>
      <w:r>
        <w:t>Представление «Отчет о целевом использовании средств» - «Дополнительные показатели»</w:t>
      </w:r>
    </w:p>
    <w:p w:rsidR="00472B5B" w:rsidRDefault="00472B5B" w:rsidP="00472B5B">
      <w:pPr>
        <w:spacing w:before="120" w:after="120"/>
        <w:ind w:firstLine="567"/>
        <w:rPr>
          <w:sz w:val="28"/>
          <w:szCs w:val="28"/>
        </w:rPr>
      </w:pPr>
      <w:r w:rsidRPr="00257ADB">
        <w:rPr>
          <w:sz w:val="28"/>
          <w:szCs w:val="28"/>
        </w:rPr>
        <w:t>Представление «</w:t>
      </w:r>
      <w:r w:rsidRPr="00195869">
        <w:rPr>
          <w:sz w:val="28"/>
          <w:szCs w:val="28"/>
        </w:rPr>
        <w:t>Отчет о целевом использовании средств</w:t>
      </w:r>
      <w:r w:rsidRPr="00257ADB">
        <w:rPr>
          <w:sz w:val="28"/>
          <w:szCs w:val="28"/>
        </w:rPr>
        <w:t>»</w:t>
      </w:r>
      <w:r>
        <w:rPr>
          <w:sz w:val="28"/>
          <w:szCs w:val="28"/>
        </w:rPr>
        <w:t xml:space="preserve"> - «Дополнительные показатели» </w:t>
      </w:r>
      <w:r w:rsidRPr="00257ADB">
        <w:rPr>
          <w:sz w:val="28"/>
          <w:szCs w:val="28"/>
        </w:rPr>
        <w:t xml:space="preserve">отображает </w:t>
      </w:r>
      <w:r>
        <w:rPr>
          <w:sz w:val="28"/>
          <w:szCs w:val="28"/>
        </w:rPr>
        <w:t>детализированную информацию по основным показателям Отчета о целевом использовании средств (форма 0710003).</w:t>
      </w:r>
    </w:p>
    <w:p w:rsidR="00472B5B" w:rsidRDefault="00472B5B" w:rsidP="00472B5B">
      <w:pPr>
        <w:keepNext/>
      </w:pPr>
      <w:r>
        <w:rPr>
          <w:noProof/>
          <w:snapToGrid/>
        </w:rPr>
        <w:drawing>
          <wp:inline distT="0" distB="0" distL="0" distR="0" wp14:anchorId="6F1900D5" wp14:editId="2D41D7CD">
            <wp:extent cx="5939790" cy="2454018"/>
            <wp:effectExtent l="0" t="0" r="3810" b="381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6"/>
                    <a:stretch>
                      <a:fillRect/>
                    </a:stretch>
                  </pic:blipFill>
                  <pic:spPr>
                    <a:xfrm>
                      <a:off x="0" y="0"/>
                      <a:ext cx="5939790" cy="2454018"/>
                    </a:xfrm>
                    <a:prstGeom prst="rect">
                      <a:avLst/>
                    </a:prstGeom>
                  </pic:spPr>
                </pic:pic>
              </a:graphicData>
            </a:graphic>
          </wp:inline>
        </w:drawing>
      </w:r>
    </w:p>
    <w:p w:rsidR="00472B5B" w:rsidRDefault="00472B5B" w:rsidP="00472B5B">
      <w:pPr>
        <w:pStyle w:val="-0"/>
      </w:pPr>
      <w:bookmarkStart w:id="2034" w:name="_Toc68681219"/>
      <w:bookmarkStart w:id="2035" w:name="_Toc69290593"/>
      <w:bookmarkStart w:id="2036" w:name="_Toc119584720"/>
      <w:r>
        <w:t xml:space="preserve">Рисунок </w:t>
      </w:r>
      <w:fldSimple w:instr=" SEQ Рисунок \* ARABIC ">
        <w:r w:rsidR="001860A9">
          <w:rPr>
            <w:noProof/>
          </w:rPr>
          <w:t>533</w:t>
        </w:r>
      </w:fldSimple>
      <w:r w:rsidRPr="00820E37">
        <w:t xml:space="preserve"> </w:t>
      </w:r>
      <w:r>
        <w:t>– Представление</w:t>
      </w:r>
      <w:r w:rsidRPr="00091631">
        <w:t xml:space="preserve"> «</w:t>
      </w:r>
      <w:r>
        <w:t>Отчет о целевом использовании средств</w:t>
      </w:r>
      <w:r w:rsidRPr="00D8413B">
        <w:t>»</w:t>
      </w:r>
      <w:r>
        <w:t xml:space="preserve"> - «Дополнительные показатели»</w:t>
      </w:r>
      <w:bookmarkEnd w:id="2034"/>
      <w:bookmarkEnd w:id="2035"/>
      <w:bookmarkEnd w:id="2036"/>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t>у</w:t>
      </w:r>
      <w:r w:rsidRPr="00034DD9">
        <w:t>казан год</w:t>
      </w:r>
      <w:r>
        <w:t xml:space="preserve">, </w:t>
      </w:r>
      <w:r>
        <w:rPr>
          <w:rFonts w:eastAsia="Calibri"/>
          <w:snapToGrid/>
        </w:rPr>
        <w:t>выбранный в представлении «Отчет о целевом использовании средств» - «Показатели»;</w:t>
      </w:r>
    </w:p>
    <w:p w:rsidR="00472B5B" w:rsidRPr="00195869" w:rsidRDefault="00472B5B" w:rsidP="00DE1661">
      <w:pPr>
        <w:pStyle w:val="13"/>
      </w:pPr>
      <w:r>
        <w:t xml:space="preserve"> «Единицы измерения»;</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w:t>
      </w:r>
    </w:p>
    <w:p w:rsidR="00472B5B" w:rsidRDefault="00472B5B" w:rsidP="00DE1661">
      <w:pPr>
        <w:pStyle w:val="13"/>
      </w:pPr>
      <w:r>
        <w:t>«Настройка параметров»;</w:t>
      </w:r>
    </w:p>
    <w:p w:rsidR="00472B5B" w:rsidRDefault="00472B5B" w:rsidP="00DE1661">
      <w:pPr>
        <w:pStyle w:val="13"/>
      </w:pPr>
      <w:r>
        <w:t xml:space="preserve"> «Показатель»: указан показатель (код и наименование строки ф. 0710003), детализация по которому приведена в представлении.</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Pr="00257ADB" w:rsidRDefault="00472B5B" w:rsidP="00DE1661">
      <w:pPr>
        <w:pStyle w:val="13"/>
      </w:pPr>
      <w:r>
        <w:t>Пояснения (не заполняется, если представляются данные по более чем 1 организации)</w:t>
      </w:r>
      <w:r w:rsidRPr="00257ADB">
        <w:t>;</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(Наименование показателя);</w:t>
      </w:r>
    </w:p>
    <w:p w:rsidR="00472B5B" w:rsidRPr="00291116" w:rsidRDefault="00472B5B" w:rsidP="00DE1661">
      <w:pPr>
        <w:pStyle w:val="13"/>
      </w:pPr>
      <w:r>
        <w:t>Наименование дополнительного показателя (Наименование дополнительного показателя отчета о целевом использовании средств);</w:t>
      </w:r>
    </w:p>
    <w:p w:rsidR="00472B5B" w:rsidRDefault="00472B5B" w:rsidP="00DE1661">
      <w:pPr>
        <w:pStyle w:val="13"/>
      </w:pPr>
      <w:r>
        <w:t>За период отчетного года (Значение за период отчетного года);</w:t>
      </w:r>
    </w:p>
    <w:p w:rsidR="00472B5B" w:rsidRDefault="00472B5B" w:rsidP="00DE1661">
      <w:pPr>
        <w:pStyle w:val="13"/>
      </w:pPr>
      <w:r>
        <w:t>За период предыдущего года (Значение за период предыдущего года).</w:t>
      </w:r>
    </w:p>
    <w:p w:rsidR="00472B5B" w:rsidRDefault="00472B5B" w:rsidP="00472B5B">
      <w:pPr>
        <w:pStyle w:val="af0"/>
      </w:pPr>
      <w:r>
        <w:t>Из граф «За период отчетного года», «За период предыдущего года» при нажатии на сумму в соответствующей строке доступен переход на представление «Отчет о целевом использовании средств» - «Список организаций».</w:t>
      </w:r>
    </w:p>
    <w:p w:rsidR="00472B5B" w:rsidRPr="005515D2" w:rsidRDefault="00472B5B" w:rsidP="00472B5B">
      <w:pPr>
        <w:pStyle w:val="af0"/>
      </w:pPr>
      <w:r w:rsidRPr="00BD2A54">
        <w:t>При</w:t>
      </w:r>
      <w:r>
        <w:t xml:space="preserve"> помощи кнопки «Назад» из представления «Отчет о целевом использовании средств» - «Дополнительные показатели» доступен переход к представлению «Отчет о целевом использовании средств» - «Показатели».</w:t>
      </w:r>
    </w:p>
    <w:p w:rsidR="00472B5B" w:rsidRDefault="00472B5B" w:rsidP="00862055">
      <w:pPr>
        <w:pStyle w:val="42"/>
        <w:numPr>
          <w:ilvl w:val="3"/>
          <w:numId w:val="135"/>
        </w:numPr>
        <w:ind w:left="284"/>
      </w:pPr>
      <w:r>
        <w:t>Представление «</w:t>
      </w:r>
      <w:r>
        <w:rPr>
          <w:szCs w:val="28"/>
        </w:rPr>
        <w:t>Отчет о целевом использовании средств</w:t>
      </w:r>
      <w:r>
        <w:t>» - «Список организаций»</w:t>
      </w:r>
    </w:p>
    <w:p w:rsidR="00472B5B" w:rsidRDefault="00472B5B" w:rsidP="00472B5B">
      <w:pPr>
        <w:spacing w:before="120" w:after="120"/>
        <w:ind w:firstLine="567"/>
        <w:rPr>
          <w:sz w:val="28"/>
          <w:szCs w:val="28"/>
        </w:rPr>
      </w:pPr>
      <w:r w:rsidRPr="00257ADB">
        <w:rPr>
          <w:sz w:val="28"/>
          <w:szCs w:val="28"/>
        </w:rPr>
        <w:t>Представление «</w:t>
      </w:r>
      <w:r>
        <w:rPr>
          <w:sz w:val="28"/>
          <w:szCs w:val="28"/>
        </w:rPr>
        <w:t>Отчет о целевом использовании средств</w:t>
      </w:r>
      <w:r w:rsidRPr="00257ADB">
        <w:rPr>
          <w:sz w:val="28"/>
          <w:szCs w:val="28"/>
        </w:rPr>
        <w:t>»</w:t>
      </w:r>
      <w:r>
        <w:rPr>
          <w:sz w:val="28"/>
          <w:szCs w:val="28"/>
        </w:rPr>
        <w:t xml:space="preserve"> - «Список организаций»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организациям в соответствии с выбранными параметрами в отчете «Отчет о целевом использовании средств» - «Показатели».</w:t>
      </w:r>
    </w:p>
    <w:p w:rsidR="00472B5B" w:rsidRDefault="00472B5B" w:rsidP="00472B5B">
      <w:pPr>
        <w:keepNext/>
      </w:pPr>
      <w:r>
        <w:rPr>
          <w:noProof/>
          <w:snapToGrid/>
        </w:rPr>
        <w:drawing>
          <wp:inline distT="0" distB="0" distL="0" distR="0" wp14:anchorId="5200A704" wp14:editId="7E143298">
            <wp:extent cx="5939790" cy="2457083"/>
            <wp:effectExtent l="0" t="0" r="3810" b="63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7"/>
                    <a:stretch>
                      <a:fillRect/>
                    </a:stretch>
                  </pic:blipFill>
                  <pic:spPr>
                    <a:xfrm>
                      <a:off x="0" y="0"/>
                      <a:ext cx="5939790" cy="2457083"/>
                    </a:xfrm>
                    <a:prstGeom prst="rect">
                      <a:avLst/>
                    </a:prstGeom>
                  </pic:spPr>
                </pic:pic>
              </a:graphicData>
            </a:graphic>
          </wp:inline>
        </w:drawing>
      </w:r>
    </w:p>
    <w:p w:rsidR="00472B5B" w:rsidRPr="00195869" w:rsidRDefault="00472B5B" w:rsidP="00472B5B">
      <w:pPr>
        <w:pStyle w:val="-0"/>
      </w:pPr>
      <w:bookmarkStart w:id="2037" w:name="_Toc68681220"/>
      <w:bookmarkStart w:id="2038" w:name="_Toc69290594"/>
      <w:bookmarkStart w:id="2039" w:name="_Toc119584721"/>
      <w:r>
        <w:t xml:space="preserve">Рисунок </w:t>
      </w:r>
      <w:fldSimple w:instr=" SEQ Рисунок \* ARABIC ">
        <w:r w:rsidR="001860A9">
          <w:rPr>
            <w:noProof/>
          </w:rPr>
          <w:t>534</w:t>
        </w:r>
      </w:fldSimple>
      <w:r>
        <w:t xml:space="preserve"> –</w:t>
      </w:r>
      <w:r w:rsidRPr="00820E37">
        <w:t xml:space="preserve"> </w:t>
      </w:r>
      <w:r>
        <w:t>Представление</w:t>
      </w:r>
      <w:r w:rsidRPr="00091631">
        <w:t xml:space="preserve"> «</w:t>
      </w:r>
      <w:r>
        <w:t>Отчет о целевом использовании средств</w:t>
      </w:r>
      <w:r w:rsidRPr="00D8413B">
        <w:t>»</w:t>
      </w:r>
      <w:r>
        <w:t xml:space="preserve"> - «Список организаций»</w:t>
      </w:r>
      <w:bookmarkEnd w:id="2037"/>
      <w:bookmarkEnd w:id="2038"/>
      <w:bookmarkEnd w:id="2039"/>
    </w:p>
    <w:p w:rsidR="00472B5B" w:rsidRPr="00034DD9" w:rsidRDefault="00472B5B" w:rsidP="00472B5B">
      <w:pPr>
        <w:spacing w:before="120" w:after="120"/>
        <w:ind w:firstLine="567"/>
        <w:rPr>
          <w:sz w:val="28"/>
          <w:szCs w:val="28"/>
        </w:rPr>
      </w:pPr>
      <w:r w:rsidRPr="00034DD9">
        <w:rPr>
          <w:sz w:val="28"/>
          <w:szCs w:val="28"/>
        </w:rPr>
        <w:t xml:space="preserve">Параметры </w:t>
      </w:r>
      <w:r>
        <w:rPr>
          <w:sz w:val="28"/>
          <w:szCs w:val="28"/>
        </w:rPr>
        <w:t>представления</w:t>
      </w:r>
      <w:r w:rsidRPr="00034DD9">
        <w:rPr>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034DD9">
        <w:t>Указан год</w:t>
      </w:r>
      <w:r>
        <w:t xml:space="preserve">, </w:t>
      </w:r>
      <w:r>
        <w:rPr>
          <w:rFonts w:eastAsia="Calibri"/>
          <w:snapToGrid/>
        </w:rPr>
        <w:t>выбранный в представлении «Отчет о целевом использовании средств» - «Показатели»;</w:t>
      </w:r>
    </w:p>
    <w:p w:rsidR="00472B5B" w:rsidRPr="00195869" w:rsidRDefault="00472B5B" w:rsidP="00DE1661">
      <w:pPr>
        <w:pStyle w:val="13"/>
      </w:pPr>
      <w:r w:rsidRPr="00195869">
        <w:t xml:space="preserve">«Единицы измерения»: </w:t>
      </w:r>
      <w:r w:rsidRPr="00034DD9">
        <w:t xml:space="preserve">Выпадающий список с выбором единиц измерения. Состоит из элементов: тыс. руб., млн руб., млрд руб. </w:t>
      </w:r>
      <w:r>
        <w:t>По умолчанию указывается выбор из представления «Отчет о целевом использовании средств» - «Показатели», из которого был осуществлен переход;</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 xml:space="preserve"> «Показатель»: указан показатель (код и наименование строки ф. 0710003), детализация по которому приведена в представлении</w:t>
      </w:r>
      <w:r w:rsidRPr="00017BE2">
        <w:t>.</w:t>
      </w:r>
    </w:p>
    <w:p w:rsidR="00472B5B" w:rsidRDefault="00472B5B" w:rsidP="00DE1661">
      <w:pPr>
        <w:pStyle w:val="13"/>
      </w:pPr>
      <w:r>
        <w:t xml:space="preserve">«Период показателя». Выбор значений из списка: </w:t>
      </w:r>
    </w:p>
    <w:p w:rsidR="00472B5B" w:rsidRPr="00BD2A54" w:rsidRDefault="00472B5B" w:rsidP="00DE1661">
      <w:pPr>
        <w:pStyle w:val="13"/>
      </w:pPr>
      <w:r w:rsidRPr="00BD2A54">
        <w:t>За период отчетного года</w:t>
      </w:r>
      <w:r>
        <w:t xml:space="preserve"> (значение по умолчанию)</w:t>
      </w:r>
      <w:r w:rsidRPr="00BD2A54">
        <w:t>;</w:t>
      </w:r>
    </w:p>
    <w:p w:rsidR="00472B5B" w:rsidRDefault="00472B5B" w:rsidP="00DE1661">
      <w:pPr>
        <w:pStyle w:val="13"/>
      </w:pPr>
      <w:r>
        <w:t>За период предыдущего года;</w:t>
      </w:r>
    </w:p>
    <w:p w:rsidR="00472B5B" w:rsidRPr="00BD2A54" w:rsidRDefault="00472B5B" w:rsidP="00DE1661">
      <w:pPr>
        <w:pStyle w:val="13"/>
      </w:pPr>
      <w:r>
        <w:t>«Настройка параметров».</w:t>
      </w:r>
    </w:p>
    <w:p w:rsidR="00472B5B" w:rsidRPr="00C20E49"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Сумма;</w:t>
      </w:r>
    </w:p>
    <w:p w:rsidR="00472B5B" w:rsidRDefault="00472B5B" w:rsidP="00DE1661">
      <w:pPr>
        <w:pStyle w:val="13"/>
      </w:pPr>
      <w:r>
        <w:t>ИНН</w:t>
      </w:r>
      <w:r w:rsidRPr="00257ADB">
        <w:t>;</w:t>
      </w:r>
    </w:p>
    <w:p w:rsidR="00472B5B" w:rsidRDefault="00472B5B" w:rsidP="00DE1661">
      <w:pPr>
        <w:pStyle w:val="13"/>
      </w:pPr>
      <w:r>
        <w:t>КПП;</w:t>
      </w:r>
    </w:p>
    <w:p w:rsidR="00472B5B" w:rsidRDefault="00472B5B" w:rsidP="00DE1661">
      <w:pPr>
        <w:pStyle w:val="13"/>
      </w:pPr>
      <w:r>
        <w:t>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Pr="00257ADB" w:rsidRDefault="00472B5B" w:rsidP="00DE1661">
      <w:pPr>
        <w:pStyle w:val="13"/>
      </w:pPr>
      <w:r>
        <w:t>ОКВЭД;</w:t>
      </w:r>
    </w:p>
    <w:p w:rsidR="00472B5B" w:rsidRPr="00E410B5" w:rsidRDefault="00472B5B" w:rsidP="00DE1661">
      <w:pPr>
        <w:pStyle w:val="13"/>
      </w:pPr>
      <w:r w:rsidRPr="00E410B5">
        <w:t>Результат применения условия 1;</w:t>
      </w:r>
    </w:p>
    <w:p w:rsidR="00472B5B" w:rsidRDefault="00472B5B" w:rsidP="00DE1661">
      <w:pPr>
        <w:pStyle w:val="13"/>
      </w:pPr>
      <w:r w:rsidRPr="00E410B5">
        <w:t>Результат применения условия 2;</w:t>
      </w:r>
    </w:p>
    <w:p w:rsidR="00472B5B" w:rsidRPr="00E410B5" w:rsidRDefault="00472B5B" w:rsidP="00DE1661">
      <w:pPr>
        <w:pStyle w:val="13"/>
      </w:pPr>
      <w:r w:rsidRPr="00E410B5">
        <w:t xml:space="preserve">Результат применения условия </w:t>
      </w:r>
      <w:r>
        <w:t>3</w:t>
      </w:r>
      <w:r w:rsidRPr="00E410B5">
        <w:t>;</w:t>
      </w:r>
    </w:p>
    <w:p w:rsidR="00472B5B" w:rsidRPr="00E410B5" w:rsidRDefault="00472B5B" w:rsidP="00DE1661">
      <w:pPr>
        <w:pStyle w:val="13"/>
      </w:pPr>
      <w:r w:rsidRPr="00E410B5">
        <w:t>Группа организаций;</w:t>
      </w:r>
    </w:p>
    <w:p w:rsidR="00472B5B" w:rsidRDefault="00472B5B" w:rsidP="00DE1661">
      <w:pPr>
        <w:pStyle w:val="13"/>
      </w:pPr>
      <w:r w:rsidRPr="00E410B5">
        <w:t xml:space="preserve">Секторальная принадлежность: если результат применения условия 2 = 1 или показатель </w:t>
      </w:r>
      <w:r>
        <w:t>«</w:t>
      </w:r>
      <w:r w:rsidRPr="00E410B5">
        <w:t>Группа</w:t>
      </w:r>
      <w:r>
        <w:t xml:space="preserve"> организаций» </w:t>
      </w:r>
      <w:r w:rsidRPr="00E410B5">
        <w:t xml:space="preserve"> 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«Расширенный сектор государственного управления»; </w:t>
      </w:r>
      <w:r>
        <w:t>Если результат применение Условия 1=1, а результат применения Условия 2=0 и показатель «Группа организаций» не принимает значение «Поставщики государства»</w:t>
      </w:r>
      <w:r w:rsidRPr="00E410B5">
        <w:t xml:space="preserve"> </w:t>
      </w:r>
      <w:r>
        <w:t xml:space="preserve">или показатель Группа принимает значение «Госсектор по отдельному решению», </w:t>
      </w:r>
      <w:r w:rsidRPr="00E410B5">
        <w:t xml:space="preserve">в данной графе указывается </w:t>
      </w:r>
      <w:r>
        <w:t>«Г</w:t>
      </w:r>
      <w:r w:rsidRPr="00E410B5">
        <w:t>осударственный сектор</w:t>
      </w:r>
      <w:r>
        <w:t>»</w:t>
      </w:r>
      <w:r w:rsidRPr="00E410B5">
        <w:t>.</w:t>
      </w:r>
      <w:r>
        <w:t xml:space="preserve"> Во всех остальных случаях – в данной графе указывается «Не определено».</w:t>
      </w:r>
    </w:p>
    <w:p w:rsidR="00472B5B" w:rsidRPr="00195869" w:rsidRDefault="00472B5B" w:rsidP="00DE1661">
      <w:pPr>
        <w:pStyle w:val="13"/>
      </w:pPr>
      <w:r>
        <w:t>Пояснения (переход на карточку организации в Государственный информационный ресурс бухгалтерской (финансовой) отчетности юридических лиц).</w:t>
      </w:r>
    </w:p>
    <w:p w:rsidR="00472B5B" w:rsidRDefault="00472B5B" w:rsidP="00472B5B">
      <w:pPr>
        <w:pStyle w:val="af0"/>
      </w:pPr>
      <w:r>
        <w:t>При нажатии на кнопку «Назад» доступен переход из представления «Отчет о целевом использовании средств» - «Список организаций» обратно в представление «Отчет о целевом использовании средств» - «Показатели».</w:t>
      </w:r>
    </w:p>
    <w:p w:rsidR="00472B5B" w:rsidRDefault="00472B5B" w:rsidP="00862055">
      <w:pPr>
        <w:pStyle w:val="35"/>
        <w:numPr>
          <w:ilvl w:val="2"/>
          <w:numId w:val="135"/>
        </w:numPr>
      </w:pPr>
      <w:bookmarkStart w:id="2040" w:name="_Toc47710189"/>
      <w:bookmarkStart w:id="2041" w:name="_Toc68679614"/>
      <w:bookmarkStart w:id="2042" w:name="_Toc69290158"/>
      <w:bookmarkStart w:id="2043" w:name="_Toc119585124"/>
      <w:r>
        <w:t>Отчет «Отчет об изменениях капитала»</w:t>
      </w:r>
      <w:bookmarkEnd w:id="2040"/>
      <w:bookmarkEnd w:id="2041"/>
      <w:bookmarkEnd w:id="2042"/>
      <w:r w:rsidR="004754B0">
        <w:t xml:space="preserve"> (</w:t>
      </w:r>
      <w:r w:rsidR="004754B0" w:rsidRPr="004754B0">
        <w:t>PIAO_155_00</w:t>
      </w:r>
      <w:r w:rsidR="004754B0">
        <w:t>6</w:t>
      </w:r>
      <w:r w:rsidR="004754B0" w:rsidRPr="004754B0">
        <w:t>_report</w:t>
      </w:r>
      <w:r w:rsidR="004754B0">
        <w:t>)</w:t>
      </w:r>
      <w:bookmarkEnd w:id="2043"/>
    </w:p>
    <w:p w:rsidR="00472B5B" w:rsidRDefault="00472B5B" w:rsidP="00472B5B">
      <w:pPr>
        <w:pStyle w:val="af0"/>
      </w:pPr>
      <w:r>
        <w:t xml:space="preserve">Аналитический отчет </w:t>
      </w:r>
      <w:r w:rsidRPr="000A0BF8">
        <w:t>«</w:t>
      </w:r>
      <w:r>
        <w:t>Отчет об изменениях капитала</w:t>
      </w:r>
      <w:r w:rsidRPr="000A0BF8">
        <w:t>»</w:t>
      </w:r>
      <w:r>
        <w:t xml:space="preserve"> обеспечивает визуальный анализ показателей бухгалтерской (финансовой) отчетности корпоративных и унитарных юридических лиц, применяемых для формирования Информации по СГФ по сектору государственного управления и списка организаций по показателям отчетных форм.</w:t>
      </w:r>
    </w:p>
    <w:p w:rsidR="00472B5B" w:rsidRDefault="00472B5B" w:rsidP="00862055">
      <w:pPr>
        <w:pStyle w:val="42"/>
        <w:numPr>
          <w:ilvl w:val="3"/>
          <w:numId w:val="135"/>
        </w:numPr>
        <w:ind w:left="284"/>
      </w:pPr>
      <w:r>
        <w:t>Представление «Отчет об изменениях капитала» - «Показатели»</w:t>
      </w:r>
    </w:p>
    <w:p w:rsidR="00472B5B" w:rsidRDefault="00472B5B" w:rsidP="00472B5B">
      <w:pPr>
        <w:spacing w:before="120" w:after="120"/>
        <w:ind w:firstLine="567"/>
        <w:rPr>
          <w:sz w:val="28"/>
          <w:szCs w:val="28"/>
        </w:rPr>
      </w:pPr>
      <w:r w:rsidRPr="00257ADB">
        <w:rPr>
          <w:sz w:val="28"/>
          <w:szCs w:val="28"/>
        </w:rPr>
        <w:t>Представление «</w:t>
      </w:r>
      <w:r w:rsidRPr="00195869">
        <w:rPr>
          <w:sz w:val="28"/>
          <w:szCs w:val="28"/>
        </w:rPr>
        <w:t>Отчет о</w:t>
      </w:r>
      <w:r>
        <w:rPr>
          <w:sz w:val="28"/>
          <w:szCs w:val="28"/>
        </w:rPr>
        <w:t>б изменениях капитала</w:t>
      </w:r>
      <w:r w:rsidRPr="00257ADB">
        <w:rPr>
          <w:sz w:val="28"/>
          <w:szCs w:val="28"/>
        </w:rPr>
        <w:t>»</w:t>
      </w:r>
      <w:r>
        <w:rPr>
          <w:sz w:val="28"/>
          <w:szCs w:val="28"/>
        </w:rPr>
        <w:t xml:space="preserve"> - «Показатели» </w:t>
      </w:r>
      <w:r w:rsidRPr="00257ADB">
        <w:rPr>
          <w:sz w:val="28"/>
          <w:szCs w:val="28"/>
        </w:rPr>
        <w:t xml:space="preserve">отображает </w:t>
      </w:r>
      <w:r>
        <w:rPr>
          <w:sz w:val="28"/>
          <w:szCs w:val="28"/>
        </w:rPr>
        <w:t xml:space="preserve">сводную </w:t>
      </w:r>
      <w:r w:rsidRPr="00257ADB">
        <w:rPr>
          <w:sz w:val="28"/>
          <w:szCs w:val="28"/>
        </w:rPr>
        <w:t xml:space="preserve">информацию </w:t>
      </w:r>
      <w:r>
        <w:rPr>
          <w:sz w:val="28"/>
          <w:szCs w:val="28"/>
        </w:rPr>
        <w:t>показателей раздела 1 «Движение капитала» формы 0710004 по юридическим лицам, отобранным в соответствии с параметрами отчета.</w:t>
      </w:r>
    </w:p>
    <w:p w:rsidR="00472B5B" w:rsidRDefault="00472B5B" w:rsidP="00472B5B">
      <w:pPr>
        <w:keepNext/>
        <w:spacing w:before="120" w:after="60"/>
        <w:contextualSpacing/>
        <w:jc w:val="center"/>
      </w:pPr>
      <w:r>
        <w:rPr>
          <w:noProof/>
          <w:snapToGrid/>
        </w:rPr>
        <w:drawing>
          <wp:inline distT="0" distB="0" distL="0" distR="0" wp14:anchorId="67E5F1DE" wp14:editId="7B7CCD34">
            <wp:extent cx="5939790" cy="2362674"/>
            <wp:effectExtent l="0" t="0" r="381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8"/>
                    <a:stretch>
                      <a:fillRect/>
                    </a:stretch>
                  </pic:blipFill>
                  <pic:spPr>
                    <a:xfrm>
                      <a:off x="0" y="0"/>
                      <a:ext cx="5939790" cy="2362674"/>
                    </a:xfrm>
                    <a:prstGeom prst="rect">
                      <a:avLst/>
                    </a:prstGeom>
                  </pic:spPr>
                </pic:pic>
              </a:graphicData>
            </a:graphic>
          </wp:inline>
        </w:drawing>
      </w:r>
    </w:p>
    <w:p w:rsidR="00472B5B" w:rsidRPr="00722488" w:rsidRDefault="00472B5B" w:rsidP="00472B5B">
      <w:pPr>
        <w:pStyle w:val="-0"/>
      </w:pPr>
      <w:bookmarkStart w:id="2044" w:name="_Toc68681221"/>
      <w:bookmarkStart w:id="2045" w:name="_Toc69290595"/>
      <w:bookmarkStart w:id="2046" w:name="_Toc119584722"/>
      <w:r>
        <w:t xml:space="preserve">Рисунок </w:t>
      </w:r>
      <w:fldSimple w:instr=" SEQ Рисунок \* ARABIC ">
        <w:r w:rsidR="001860A9">
          <w:rPr>
            <w:noProof/>
          </w:rPr>
          <w:t>535</w:t>
        </w:r>
      </w:fldSimple>
      <w:r w:rsidRPr="00820E37">
        <w:t xml:space="preserve"> </w:t>
      </w:r>
      <w:r>
        <w:t>– Представление</w:t>
      </w:r>
      <w:r w:rsidRPr="00091631">
        <w:t xml:space="preserve"> «</w:t>
      </w:r>
      <w:r>
        <w:t>Отчет об изменениях капитала</w:t>
      </w:r>
      <w:r w:rsidRPr="00D8413B">
        <w:t>»</w:t>
      </w:r>
      <w:r>
        <w:t xml:space="preserve"> - «Показатели»</w:t>
      </w:r>
      <w:bookmarkEnd w:id="2044"/>
      <w:bookmarkEnd w:id="2045"/>
      <w:bookmarkEnd w:id="2046"/>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 xml:space="preserve">Выпадающий список, предусматривающий выбор года. </w:t>
      </w:r>
    </w:p>
    <w:p w:rsidR="00472B5B" w:rsidRPr="00195869" w:rsidRDefault="00472B5B" w:rsidP="00DE1661">
      <w:pPr>
        <w:pStyle w:val="13"/>
        <w:rPr>
          <w:rFonts w:eastAsia="Calibri"/>
          <w:snapToGrid/>
        </w:rPr>
      </w:pPr>
      <w:r w:rsidRPr="00195869">
        <w:rPr>
          <w:rFonts w:eastAsia="Calibri"/>
          <w:snapToGrid/>
        </w:rPr>
        <w:t xml:space="preserve">По </w:t>
      </w:r>
      <w:r>
        <w:rPr>
          <w:rFonts w:eastAsia="Calibri"/>
          <w:snapToGrid/>
        </w:rPr>
        <w:t>умолчанию выводится последний год, за который представлена отчетность;</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выводится тыс. руб., исходя из того, что в ГИРБО содержится информация в тыс. руб., однако если переход осуществлен из представления «Сектор государственных нефинансовых корпораций» - «Список организаций», по умолчанию указывается млрд. руб.;</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 (по умолчанию «Все»;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«Настройка параметров».</w:t>
      </w:r>
    </w:p>
    <w:p w:rsidR="00472B5B"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(Наименования показателя);</w:t>
      </w:r>
    </w:p>
    <w:p w:rsidR="00472B5B" w:rsidRDefault="00472B5B" w:rsidP="00DE1661">
      <w:pPr>
        <w:pStyle w:val="13"/>
      </w:pPr>
      <w:r>
        <w:t>Уставной капитал;</w:t>
      </w:r>
    </w:p>
    <w:p w:rsidR="00472B5B" w:rsidRDefault="00472B5B" w:rsidP="00DE1661">
      <w:pPr>
        <w:pStyle w:val="13"/>
      </w:pPr>
      <w:r>
        <w:t>Собственные акции, выкупленные у акционеров;</w:t>
      </w:r>
    </w:p>
    <w:p w:rsidR="00472B5B" w:rsidRDefault="00472B5B" w:rsidP="00DE1661">
      <w:pPr>
        <w:pStyle w:val="13"/>
      </w:pPr>
      <w:r>
        <w:t>Добавочный капитал;</w:t>
      </w:r>
    </w:p>
    <w:p w:rsidR="00472B5B" w:rsidRDefault="00472B5B" w:rsidP="00DE1661">
      <w:pPr>
        <w:pStyle w:val="13"/>
      </w:pPr>
      <w:r>
        <w:t>Резервный капитал;</w:t>
      </w:r>
    </w:p>
    <w:p w:rsidR="00472B5B" w:rsidRDefault="00472B5B" w:rsidP="00DE1661">
      <w:pPr>
        <w:pStyle w:val="13"/>
      </w:pPr>
      <w:r>
        <w:t>Нераспределенная прибыль;</w:t>
      </w:r>
    </w:p>
    <w:p w:rsidR="00472B5B" w:rsidRDefault="00472B5B" w:rsidP="00DE1661">
      <w:pPr>
        <w:pStyle w:val="13"/>
      </w:pPr>
      <w:r>
        <w:t>ИТОГО.</w:t>
      </w:r>
    </w:p>
    <w:p w:rsidR="00472B5B" w:rsidRDefault="00472B5B" w:rsidP="00472B5B">
      <w:pPr>
        <w:pStyle w:val="af0"/>
      </w:pPr>
      <w:r>
        <w:t>Из граф «</w:t>
      </w:r>
      <w:r w:rsidRPr="008F236A">
        <w:t>Уставной капитал</w:t>
      </w:r>
      <w:r>
        <w:t>»</w:t>
      </w:r>
      <w:r w:rsidRPr="008F236A">
        <w:t>;</w:t>
      </w:r>
      <w:r>
        <w:t xml:space="preserve"> «</w:t>
      </w:r>
      <w:r w:rsidRPr="008F236A">
        <w:t>Собственные акции, выкупленные у акционеров</w:t>
      </w:r>
      <w:r>
        <w:t>»</w:t>
      </w:r>
      <w:r w:rsidRPr="008F236A">
        <w:t>;</w:t>
      </w:r>
      <w:r>
        <w:t xml:space="preserve"> «</w:t>
      </w:r>
      <w:r w:rsidRPr="008F236A">
        <w:t>Добавочный капитал</w:t>
      </w:r>
      <w:r>
        <w:t>»</w:t>
      </w:r>
      <w:r w:rsidRPr="008F236A">
        <w:t>;</w:t>
      </w:r>
      <w:r>
        <w:t xml:space="preserve"> «</w:t>
      </w:r>
      <w:r w:rsidRPr="008F236A">
        <w:t>Резервный капитал</w:t>
      </w:r>
      <w:r>
        <w:t>»</w:t>
      </w:r>
      <w:r w:rsidRPr="008F236A">
        <w:t>;</w:t>
      </w:r>
      <w:r>
        <w:t xml:space="preserve"> «</w:t>
      </w:r>
      <w:r w:rsidRPr="008F236A">
        <w:t>Нераспределенная прибыль</w:t>
      </w:r>
      <w:r>
        <w:t>»</w:t>
      </w:r>
      <w:r w:rsidRPr="008F236A">
        <w:t>;</w:t>
      </w:r>
      <w:r>
        <w:t xml:space="preserve"> «</w:t>
      </w:r>
      <w:r w:rsidRPr="008F236A">
        <w:t>ИТОГО</w:t>
      </w:r>
      <w:r>
        <w:t>»</w:t>
      </w:r>
      <w:r w:rsidRPr="008F236A">
        <w:t xml:space="preserve"> </w:t>
      </w:r>
      <w:r>
        <w:t>при нажатии на сумму в той или иной строке доступен переход на представление «Отчет об изменениях капитала» - «Список организаций».</w:t>
      </w:r>
    </w:p>
    <w:p w:rsidR="00472B5B" w:rsidRDefault="00472B5B" w:rsidP="00472B5B">
      <w:pPr>
        <w:pStyle w:val="af0"/>
      </w:pPr>
      <w:r>
        <w:t>Из графы «Наименование показателя»</w:t>
      </w:r>
      <w:r w:rsidRPr="008F236A">
        <w:t xml:space="preserve"> </w:t>
      </w:r>
      <w:r>
        <w:t>при нажатии на строку доступен переход на представление «Отчет об изменениях капитала» - «Дополнительные показатели».</w:t>
      </w:r>
    </w:p>
    <w:p w:rsidR="00472B5B" w:rsidRDefault="00472B5B" w:rsidP="00862055">
      <w:pPr>
        <w:pStyle w:val="42"/>
        <w:numPr>
          <w:ilvl w:val="3"/>
          <w:numId w:val="135"/>
        </w:numPr>
        <w:ind w:left="284"/>
      </w:pPr>
      <w:r>
        <w:t xml:space="preserve">Представление </w:t>
      </w:r>
      <w:r w:rsidRPr="00091631">
        <w:rPr>
          <w:szCs w:val="28"/>
        </w:rPr>
        <w:t>«</w:t>
      </w:r>
      <w:r>
        <w:rPr>
          <w:szCs w:val="28"/>
        </w:rPr>
        <w:t>Отчет об изменениях капитала</w:t>
      </w:r>
      <w:r w:rsidRPr="00D8413B">
        <w:rPr>
          <w:szCs w:val="28"/>
        </w:rPr>
        <w:t>»</w:t>
      </w:r>
      <w:r>
        <w:rPr>
          <w:szCs w:val="28"/>
        </w:rPr>
        <w:t xml:space="preserve"> </w:t>
      </w:r>
      <w:r>
        <w:t>- «Дополнительные показатели»</w:t>
      </w:r>
    </w:p>
    <w:p w:rsidR="00472B5B" w:rsidRDefault="00472B5B" w:rsidP="00472B5B">
      <w:pPr>
        <w:spacing w:before="120" w:after="120"/>
        <w:ind w:firstLine="567"/>
        <w:rPr>
          <w:sz w:val="28"/>
          <w:szCs w:val="28"/>
        </w:rPr>
      </w:pPr>
      <w:r w:rsidRPr="00257ADB">
        <w:rPr>
          <w:sz w:val="28"/>
          <w:szCs w:val="28"/>
        </w:rPr>
        <w:t>Представление «</w:t>
      </w:r>
      <w:r w:rsidRPr="00195869">
        <w:rPr>
          <w:sz w:val="28"/>
          <w:szCs w:val="28"/>
        </w:rPr>
        <w:t>Отчет о</w:t>
      </w:r>
      <w:r>
        <w:rPr>
          <w:sz w:val="28"/>
          <w:szCs w:val="28"/>
        </w:rPr>
        <w:t>б изменениях капитала</w:t>
      </w:r>
      <w:r w:rsidRPr="00257ADB">
        <w:rPr>
          <w:sz w:val="28"/>
          <w:szCs w:val="28"/>
        </w:rPr>
        <w:t>»</w:t>
      </w:r>
      <w:r>
        <w:rPr>
          <w:sz w:val="28"/>
          <w:szCs w:val="28"/>
        </w:rPr>
        <w:t xml:space="preserve"> - «Дополнительные показатели»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по основным показателям Отчета об изменениях капитала (форма 0710004).</w:t>
      </w:r>
    </w:p>
    <w:p w:rsidR="00472B5B" w:rsidRDefault="00472B5B" w:rsidP="00472B5B">
      <w:pPr>
        <w:keepNext/>
      </w:pPr>
      <w:r>
        <w:rPr>
          <w:noProof/>
          <w:snapToGrid/>
        </w:rPr>
        <w:drawing>
          <wp:inline distT="0" distB="0" distL="0" distR="0" wp14:anchorId="7DD931E2" wp14:editId="105B9DD2">
            <wp:extent cx="5939790" cy="2503061"/>
            <wp:effectExtent l="0" t="0" r="381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9"/>
                    <a:stretch>
                      <a:fillRect/>
                    </a:stretch>
                  </pic:blipFill>
                  <pic:spPr>
                    <a:xfrm>
                      <a:off x="0" y="0"/>
                      <a:ext cx="5939790" cy="2503061"/>
                    </a:xfrm>
                    <a:prstGeom prst="rect">
                      <a:avLst/>
                    </a:prstGeom>
                  </pic:spPr>
                </pic:pic>
              </a:graphicData>
            </a:graphic>
          </wp:inline>
        </w:drawing>
      </w:r>
    </w:p>
    <w:p w:rsidR="00472B5B" w:rsidRPr="00034DD9" w:rsidRDefault="00472B5B" w:rsidP="00472B5B">
      <w:pPr>
        <w:pStyle w:val="-0"/>
      </w:pPr>
      <w:bookmarkStart w:id="2047" w:name="_Toc68681222"/>
      <w:bookmarkStart w:id="2048" w:name="_Toc69290596"/>
      <w:bookmarkStart w:id="2049" w:name="_Toc119584723"/>
      <w:r>
        <w:t xml:space="preserve">Рисунок </w:t>
      </w:r>
      <w:fldSimple w:instr=" SEQ Рисунок \* ARABIC ">
        <w:r w:rsidR="001860A9">
          <w:rPr>
            <w:noProof/>
          </w:rPr>
          <w:t>536</w:t>
        </w:r>
      </w:fldSimple>
      <w:r w:rsidRPr="00820E37">
        <w:t xml:space="preserve"> </w:t>
      </w:r>
      <w:r>
        <w:t>– Представление</w:t>
      </w:r>
      <w:r w:rsidRPr="00091631">
        <w:t xml:space="preserve"> «</w:t>
      </w:r>
      <w:r>
        <w:t>Отчет об изменениях капитала</w:t>
      </w:r>
      <w:r w:rsidRPr="00D8413B">
        <w:t>»</w:t>
      </w:r>
      <w:r>
        <w:t xml:space="preserve"> - «Дополнительные показатели»</w:t>
      </w:r>
      <w:bookmarkEnd w:id="2047"/>
      <w:bookmarkEnd w:id="2048"/>
      <w:bookmarkEnd w:id="2049"/>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Default="00472B5B" w:rsidP="00DE1661">
      <w:pPr>
        <w:pStyle w:val="13"/>
      </w:pPr>
      <w:r w:rsidRPr="00195869">
        <w:rPr>
          <w:rFonts w:eastAsia="Calibri"/>
          <w:snapToGrid/>
        </w:rPr>
        <w:t>«Год</w:t>
      </w:r>
      <w:r w:rsidRPr="00195869">
        <w:t xml:space="preserve">»: </w:t>
      </w:r>
      <w:r>
        <w:rPr>
          <w:rFonts w:eastAsia="Calibri"/>
          <w:snapToGrid/>
        </w:rPr>
        <w:t>указан год из представления «Отчет об изменениях капитала» - «Показатели»;</w:t>
      </w:r>
      <w:r w:rsidRPr="00195869">
        <w:t xml:space="preserve"> </w:t>
      </w:r>
    </w:p>
    <w:p w:rsidR="00472B5B" w:rsidRPr="00195869" w:rsidRDefault="00472B5B" w:rsidP="00DE1661">
      <w:pPr>
        <w:pStyle w:val="13"/>
      </w:pPr>
      <w:r>
        <w:t>«Единицы измерения»;</w:t>
      </w:r>
    </w:p>
    <w:p w:rsidR="00472B5B" w:rsidRDefault="00472B5B" w:rsidP="00DE1661">
      <w:pPr>
        <w:pStyle w:val="13"/>
      </w:pP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w:t>
      </w:r>
    </w:p>
    <w:p w:rsidR="00472B5B" w:rsidRDefault="00472B5B" w:rsidP="00DE1661">
      <w:pPr>
        <w:pStyle w:val="13"/>
      </w:pPr>
      <w:r>
        <w:t>«Настройка параметров»;</w:t>
      </w:r>
    </w:p>
    <w:p w:rsidR="00472B5B" w:rsidRDefault="00472B5B" w:rsidP="00DE1661">
      <w:pPr>
        <w:pStyle w:val="13"/>
      </w:pPr>
      <w:r>
        <w:t>«Показатель»: указан показатель (код и наименование строки ф. 0710004), детализация по которому приведена в представлении.</w:t>
      </w:r>
    </w:p>
    <w:p w:rsidR="00472B5B" w:rsidRDefault="00472B5B" w:rsidP="00472B5B">
      <w:pPr>
        <w:spacing w:before="120" w:after="120"/>
        <w:ind w:firstLine="567"/>
        <w:rPr>
          <w:sz w:val="28"/>
          <w:szCs w:val="28"/>
        </w:rPr>
      </w:pPr>
      <w:r w:rsidRPr="00C20E49">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C20E49">
        <w:rPr>
          <w:sz w:val="28"/>
          <w:szCs w:val="28"/>
        </w:rPr>
        <w:t>.</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(Наименование показателя);</w:t>
      </w:r>
    </w:p>
    <w:p w:rsidR="00472B5B" w:rsidRPr="0018435A" w:rsidRDefault="00472B5B" w:rsidP="00DE1661">
      <w:pPr>
        <w:pStyle w:val="13"/>
      </w:pPr>
      <w:r>
        <w:t>Наименование дополнительного показателя (Наименование показателя);</w:t>
      </w:r>
    </w:p>
    <w:p w:rsidR="00472B5B" w:rsidRDefault="00472B5B" w:rsidP="00DE1661">
      <w:pPr>
        <w:pStyle w:val="13"/>
      </w:pPr>
      <w:r>
        <w:t>Уставный капитал;</w:t>
      </w:r>
    </w:p>
    <w:p w:rsidR="00472B5B" w:rsidRDefault="00472B5B" w:rsidP="00DE1661">
      <w:pPr>
        <w:pStyle w:val="13"/>
      </w:pPr>
      <w:r>
        <w:t>Собственные акции, выкупленные у акционеров;</w:t>
      </w:r>
    </w:p>
    <w:p w:rsidR="00472B5B" w:rsidRDefault="00472B5B" w:rsidP="00DE1661">
      <w:pPr>
        <w:pStyle w:val="13"/>
      </w:pPr>
      <w:r>
        <w:t>Добавочный капитал;</w:t>
      </w:r>
    </w:p>
    <w:p w:rsidR="00472B5B" w:rsidRDefault="00472B5B" w:rsidP="00DE1661">
      <w:pPr>
        <w:pStyle w:val="13"/>
      </w:pPr>
      <w:r>
        <w:t>Резервный капитал;</w:t>
      </w:r>
    </w:p>
    <w:p w:rsidR="00472B5B" w:rsidRDefault="00472B5B" w:rsidP="00DE1661">
      <w:pPr>
        <w:pStyle w:val="13"/>
      </w:pPr>
      <w:r>
        <w:t>Нераспределенная прибыль (непокрытый убыток);</w:t>
      </w:r>
    </w:p>
    <w:p w:rsidR="00472B5B" w:rsidRDefault="00472B5B" w:rsidP="00DE1661">
      <w:pPr>
        <w:pStyle w:val="13"/>
      </w:pPr>
      <w:r>
        <w:t>ИТОГО.</w:t>
      </w:r>
    </w:p>
    <w:p w:rsidR="00472B5B" w:rsidRDefault="00472B5B" w:rsidP="00472B5B">
      <w:pPr>
        <w:pStyle w:val="af0"/>
      </w:pPr>
      <w:r>
        <w:t>Из граф «</w:t>
      </w:r>
      <w:r w:rsidRPr="008F236A">
        <w:t>Уставн</w:t>
      </w:r>
      <w:r>
        <w:t>ы</w:t>
      </w:r>
      <w:r w:rsidRPr="008F236A">
        <w:t>й капитал</w:t>
      </w:r>
      <w:r>
        <w:t>»</w:t>
      </w:r>
      <w:r w:rsidRPr="008F236A">
        <w:t>;</w:t>
      </w:r>
      <w:r>
        <w:t xml:space="preserve"> «</w:t>
      </w:r>
      <w:r w:rsidRPr="008F236A">
        <w:t>Собственные акции, выкупленные у акционеров</w:t>
      </w:r>
      <w:r>
        <w:t>»</w:t>
      </w:r>
      <w:r w:rsidRPr="008F236A">
        <w:t>;</w:t>
      </w:r>
      <w:r>
        <w:t xml:space="preserve"> «</w:t>
      </w:r>
      <w:r w:rsidRPr="008F236A">
        <w:t>Добавочный капитал</w:t>
      </w:r>
      <w:r>
        <w:t>»</w:t>
      </w:r>
      <w:r w:rsidRPr="008F236A">
        <w:t>;</w:t>
      </w:r>
      <w:r>
        <w:t xml:space="preserve"> «</w:t>
      </w:r>
      <w:r w:rsidRPr="008F236A">
        <w:t>Резервный капитал</w:t>
      </w:r>
      <w:r>
        <w:t>»</w:t>
      </w:r>
      <w:r w:rsidRPr="008F236A">
        <w:t>;</w:t>
      </w:r>
      <w:r>
        <w:t xml:space="preserve"> «</w:t>
      </w:r>
      <w:r w:rsidRPr="008F236A">
        <w:t>Нераспределенная прибыль</w:t>
      </w:r>
      <w:r>
        <w:t>»</w:t>
      </w:r>
      <w:r w:rsidRPr="008F236A">
        <w:t>;</w:t>
      </w:r>
      <w:r>
        <w:t xml:space="preserve"> «</w:t>
      </w:r>
      <w:r w:rsidRPr="008F236A">
        <w:t>ИТОГО</w:t>
      </w:r>
      <w:r>
        <w:t>»</w:t>
      </w:r>
      <w:r w:rsidRPr="008F236A">
        <w:t xml:space="preserve"> </w:t>
      </w:r>
      <w:r>
        <w:t>при нажатии на сумму в соответствующей строке доступен переход на представление «Отчет об изменениях капитала» - «Список организаций».</w:t>
      </w:r>
    </w:p>
    <w:p w:rsidR="00472B5B" w:rsidRPr="005515D2" w:rsidRDefault="00472B5B" w:rsidP="00472B5B">
      <w:pPr>
        <w:pStyle w:val="af0"/>
      </w:pPr>
      <w:r w:rsidRPr="00BD2A54">
        <w:t>При</w:t>
      </w:r>
      <w:r>
        <w:t xml:space="preserve"> помощи кнопки «Назад» из представления «Отчет об изменениях капитала» - «Дополнительные показатели» доступен переход к представлению «Отчет об изменениях капитала» - «Показатели».</w:t>
      </w:r>
    </w:p>
    <w:p w:rsidR="00472B5B" w:rsidRDefault="00472B5B" w:rsidP="00862055">
      <w:pPr>
        <w:pStyle w:val="42"/>
        <w:numPr>
          <w:ilvl w:val="3"/>
          <w:numId w:val="135"/>
        </w:numPr>
        <w:ind w:left="284"/>
      </w:pPr>
      <w:r>
        <w:t xml:space="preserve">Представление </w:t>
      </w:r>
      <w:r w:rsidRPr="00091631">
        <w:rPr>
          <w:szCs w:val="28"/>
        </w:rPr>
        <w:t>«</w:t>
      </w:r>
      <w:r>
        <w:rPr>
          <w:szCs w:val="28"/>
        </w:rPr>
        <w:t>Отчет об изменениях капитала</w:t>
      </w:r>
      <w:r w:rsidRPr="00D8413B">
        <w:rPr>
          <w:szCs w:val="28"/>
        </w:rPr>
        <w:t>»</w:t>
      </w:r>
      <w:r>
        <w:rPr>
          <w:szCs w:val="28"/>
        </w:rPr>
        <w:t xml:space="preserve"> </w:t>
      </w:r>
      <w:r>
        <w:t>- «Список организаций»</w:t>
      </w:r>
    </w:p>
    <w:p w:rsidR="00472B5B" w:rsidRDefault="00472B5B" w:rsidP="00472B5B">
      <w:pPr>
        <w:spacing w:before="120" w:after="120"/>
        <w:ind w:firstLine="567"/>
        <w:rPr>
          <w:sz w:val="28"/>
          <w:szCs w:val="28"/>
        </w:rPr>
      </w:pPr>
      <w:r w:rsidRPr="00257ADB">
        <w:rPr>
          <w:sz w:val="28"/>
          <w:szCs w:val="28"/>
        </w:rPr>
        <w:t xml:space="preserve">Представление </w:t>
      </w:r>
      <w:r w:rsidRPr="00091631">
        <w:rPr>
          <w:sz w:val="28"/>
          <w:szCs w:val="28"/>
        </w:rPr>
        <w:t>«</w:t>
      </w:r>
      <w:r>
        <w:rPr>
          <w:sz w:val="28"/>
          <w:szCs w:val="28"/>
        </w:rPr>
        <w:t>Отчет об изменениях капитала</w:t>
      </w:r>
      <w:r w:rsidRPr="00D8413B">
        <w:rPr>
          <w:sz w:val="28"/>
          <w:szCs w:val="28"/>
        </w:rPr>
        <w:t>»</w:t>
      </w:r>
      <w:r>
        <w:rPr>
          <w:sz w:val="28"/>
          <w:szCs w:val="28"/>
        </w:rPr>
        <w:t xml:space="preserve"> - «Список организаций»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по организациям в соответствии с выбранными параметрами представления «Отчет об изменениях капитала» - «Показатели».</w:t>
      </w:r>
    </w:p>
    <w:p w:rsidR="00472B5B" w:rsidRDefault="00472B5B" w:rsidP="00472B5B">
      <w:pPr>
        <w:keepNext/>
        <w:ind w:left="142"/>
        <w:jc w:val="center"/>
      </w:pPr>
      <w:r>
        <w:rPr>
          <w:noProof/>
          <w:snapToGrid/>
        </w:rPr>
        <w:drawing>
          <wp:inline distT="0" distB="0" distL="0" distR="0" wp14:anchorId="25C2385D" wp14:editId="26F90EAB">
            <wp:extent cx="5939790" cy="2454631"/>
            <wp:effectExtent l="0" t="0" r="3810" b="317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0"/>
                    <a:stretch>
                      <a:fillRect/>
                    </a:stretch>
                  </pic:blipFill>
                  <pic:spPr>
                    <a:xfrm>
                      <a:off x="0" y="0"/>
                      <a:ext cx="5939790" cy="2454631"/>
                    </a:xfrm>
                    <a:prstGeom prst="rect">
                      <a:avLst/>
                    </a:prstGeom>
                  </pic:spPr>
                </pic:pic>
              </a:graphicData>
            </a:graphic>
          </wp:inline>
        </w:drawing>
      </w:r>
    </w:p>
    <w:p w:rsidR="00472B5B" w:rsidRPr="00B91063" w:rsidRDefault="00472B5B" w:rsidP="00472B5B">
      <w:pPr>
        <w:pStyle w:val="-0"/>
      </w:pPr>
      <w:bookmarkStart w:id="2050" w:name="_Toc68681223"/>
      <w:bookmarkStart w:id="2051" w:name="_Toc69290597"/>
      <w:bookmarkStart w:id="2052" w:name="_Toc119584724"/>
      <w:r>
        <w:t xml:space="preserve">Рисунок </w:t>
      </w:r>
      <w:fldSimple w:instr=" SEQ Рисунок \* ARABIC ">
        <w:r w:rsidR="001860A9">
          <w:rPr>
            <w:noProof/>
          </w:rPr>
          <w:t>537</w:t>
        </w:r>
      </w:fldSimple>
      <w:r>
        <w:t xml:space="preserve"> – Представление</w:t>
      </w:r>
      <w:r w:rsidRPr="00091631">
        <w:t xml:space="preserve"> «</w:t>
      </w:r>
      <w:r>
        <w:t xml:space="preserve">Отчет об изменениях капитала </w:t>
      </w:r>
      <w:r w:rsidRPr="00D8413B">
        <w:t>»</w:t>
      </w:r>
      <w:r>
        <w:t xml:space="preserve"> - «Список организаций»</w:t>
      </w:r>
      <w:bookmarkEnd w:id="2050"/>
      <w:bookmarkEnd w:id="2051"/>
      <w:bookmarkEnd w:id="2052"/>
    </w:p>
    <w:p w:rsidR="00472B5B" w:rsidRPr="00F15236" w:rsidRDefault="00472B5B" w:rsidP="00472B5B">
      <w:pPr>
        <w:spacing w:before="120" w:after="120"/>
        <w:ind w:firstLine="567"/>
        <w:rPr>
          <w:b/>
          <w:sz w:val="28"/>
          <w:szCs w:val="28"/>
        </w:rPr>
      </w:pPr>
      <w:r w:rsidRPr="00F15236">
        <w:rPr>
          <w:b/>
          <w:sz w:val="28"/>
          <w:szCs w:val="28"/>
        </w:rPr>
        <w:t xml:space="preserve">Параметры </w:t>
      </w:r>
      <w:r>
        <w:rPr>
          <w:b/>
          <w:sz w:val="28"/>
          <w:szCs w:val="28"/>
        </w:rPr>
        <w:t>представления</w:t>
      </w:r>
      <w:r w:rsidRPr="00F15236">
        <w:rPr>
          <w:b/>
          <w:sz w:val="28"/>
          <w:szCs w:val="28"/>
        </w:rPr>
        <w:t>:</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Pr>
          <w:rFonts w:eastAsia="Calibri"/>
          <w:snapToGrid/>
        </w:rPr>
        <w:t>указывается год, выбранный при формировании представления «Отчет об изменениях капитала» - «Показатели»;</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указывается тот же показатель, что и в представлении «Отчет об изменении капитала» - «Показатели», из которого осуществлен переход;</w:t>
      </w:r>
    </w:p>
    <w:p w:rsidR="00472B5B" w:rsidRDefault="00472B5B" w:rsidP="00DE1661">
      <w:pPr>
        <w:pStyle w:val="13"/>
      </w:pPr>
      <w:r w:rsidDel="008F236A">
        <w:t xml:space="preserve"> </w:t>
      </w:r>
      <w:r>
        <w:t>«ИНН»;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выбором группы списка организаций. По умолчанию выводится «Все»;</w:t>
      </w:r>
    </w:p>
    <w:p w:rsidR="00472B5B" w:rsidRDefault="00472B5B" w:rsidP="00DE1661">
      <w:pPr>
        <w:pStyle w:val="13"/>
      </w:pPr>
      <w:r>
        <w:t>«Показатели»: Выпадающий список с выбором показателей раздела 1 в строках формы 0710004. Выводится код строки и наименование показателя;</w:t>
      </w:r>
    </w:p>
    <w:p w:rsidR="00472B5B" w:rsidRDefault="00472B5B" w:rsidP="00DE1661">
      <w:pPr>
        <w:pStyle w:val="13"/>
      </w:pPr>
      <w:r>
        <w:t xml:space="preserve">«Показатели»: Выпадающий список с выбором показателей раздела 1 в столбцах формы 0710004. Доступные значения: </w:t>
      </w:r>
    </w:p>
    <w:p w:rsidR="00472B5B" w:rsidRDefault="00472B5B" w:rsidP="00472B5B">
      <w:pPr>
        <w:pStyle w:val="29"/>
      </w:pPr>
      <w:r>
        <w:t>«</w:t>
      </w:r>
      <w:r w:rsidRPr="008F236A">
        <w:t>Уставной капитал</w:t>
      </w:r>
      <w:r>
        <w:t>»</w:t>
      </w:r>
      <w:r w:rsidRPr="008F236A">
        <w:t>;</w:t>
      </w:r>
      <w:r>
        <w:t xml:space="preserve"> </w:t>
      </w:r>
    </w:p>
    <w:p w:rsidR="00472B5B" w:rsidRDefault="00472B5B" w:rsidP="00472B5B">
      <w:pPr>
        <w:pStyle w:val="29"/>
      </w:pPr>
      <w:r>
        <w:t>«</w:t>
      </w:r>
      <w:r w:rsidRPr="008F236A">
        <w:t>Собственные акции, выкупленные у акционеров</w:t>
      </w:r>
      <w:r>
        <w:t>»</w:t>
      </w:r>
      <w:r w:rsidRPr="008F236A">
        <w:t>;</w:t>
      </w:r>
      <w:r>
        <w:t xml:space="preserve"> </w:t>
      </w:r>
    </w:p>
    <w:p w:rsidR="00472B5B" w:rsidRDefault="00472B5B" w:rsidP="00472B5B">
      <w:pPr>
        <w:pStyle w:val="29"/>
      </w:pPr>
      <w:r>
        <w:t>«</w:t>
      </w:r>
      <w:r w:rsidRPr="008F236A">
        <w:t>Добавочный капитал</w:t>
      </w:r>
      <w:r>
        <w:t>»</w:t>
      </w:r>
      <w:r w:rsidRPr="008F236A">
        <w:t>;</w:t>
      </w:r>
      <w:r>
        <w:t xml:space="preserve"> </w:t>
      </w:r>
    </w:p>
    <w:p w:rsidR="00472B5B" w:rsidRDefault="00472B5B" w:rsidP="00472B5B">
      <w:pPr>
        <w:pStyle w:val="29"/>
      </w:pPr>
      <w:r>
        <w:t>«</w:t>
      </w:r>
      <w:r w:rsidRPr="008F236A">
        <w:t>Резервный капитал</w:t>
      </w:r>
      <w:r>
        <w:t>»</w:t>
      </w:r>
      <w:r w:rsidRPr="008F236A">
        <w:t>;</w:t>
      </w:r>
      <w:r>
        <w:t xml:space="preserve"> </w:t>
      </w:r>
    </w:p>
    <w:p w:rsidR="00472B5B" w:rsidRDefault="00472B5B" w:rsidP="00472B5B">
      <w:pPr>
        <w:pStyle w:val="29"/>
      </w:pPr>
      <w:r>
        <w:t>«</w:t>
      </w:r>
      <w:r w:rsidRPr="008F236A">
        <w:t>Нераспределенная прибыль</w:t>
      </w:r>
      <w:r>
        <w:t>»</w:t>
      </w:r>
      <w:r w:rsidRPr="008F236A">
        <w:t>;</w:t>
      </w:r>
      <w:r>
        <w:t xml:space="preserve"> </w:t>
      </w:r>
    </w:p>
    <w:p w:rsidR="00472B5B" w:rsidRDefault="00472B5B" w:rsidP="00472B5B">
      <w:pPr>
        <w:pStyle w:val="29"/>
      </w:pPr>
      <w:r>
        <w:t>«</w:t>
      </w:r>
      <w:r w:rsidRPr="008F236A">
        <w:t>ИТОГО</w:t>
      </w:r>
      <w:r>
        <w:t>»;</w:t>
      </w:r>
    </w:p>
    <w:p w:rsidR="00472B5B" w:rsidRDefault="00472B5B" w:rsidP="00472B5B">
      <w:pPr>
        <w:pStyle w:val="29"/>
      </w:pPr>
      <w:r>
        <w:t>«Настройка параметров».</w:t>
      </w:r>
    </w:p>
    <w:p w:rsidR="00472B5B" w:rsidRPr="00F15236" w:rsidRDefault="00472B5B" w:rsidP="00472B5B">
      <w:pPr>
        <w:spacing w:before="120" w:after="120"/>
        <w:ind w:firstLine="567"/>
        <w:rPr>
          <w:b/>
          <w:sz w:val="28"/>
          <w:szCs w:val="28"/>
        </w:rPr>
      </w:pPr>
      <w:r w:rsidRPr="009856AB">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Pr>
          <w:sz w:val="28"/>
          <w:szCs w:val="28"/>
        </w:rPr>
        <w:t xml:space="preserve">. </w:t>
      </w:r>
      <w:r w:rsidRPr="00F15236">
        <w:rPr>
          <w:b/>
          <w:sz w:val="28"/>
          <w:szCs w:val="28"/>
        </w:rPr>
        <w:t>Наименования колонок:</w:t>
      </w:r>
    </w:p>
    <w:p w:rsidR="00472B5B" w:rsidRDefault="00472B5B" w:rsidP="00DE1661">
      <w:pPr>
        <w:pStyle w:val="13"/>
      </w:pPr>
      <w:r>
        <w:t>Сумма;</w:t>
      </w:r>
    </w:p>
    <w:p w:rsidR="00472B5B" w:rsidRDefault="00472B5B" w:rsidP="00DE1661">
      <w:pPr>
        <w:pStyle w:val="13"/>
      </w:pPr>
      <w:r>
        <w:t>ИНН</w:t>
      </w:r>
      <w:r w:rsidRPr="00257ADB">
        <w:t>;</w:t>
      </w:r>
    </w:p>
    <w:p w:rsidR="00472B5B" w:rsidRDefault="00472B5B" w:rsidP="00DE1661">
      <w:pPr>
        <w:pStyle w:val="13"/>
      </w:pPr>
      <w:r>
        <w:t>КПП;</w:t>
      </w:r>
    </w:p>
    <w:p w:rsidR="00472B5B" w:rsidRDefault="00472B5B" w:rsidP="00DE1661">
      <w:pPr>
        <w:pStyle w:val="13"/>
      </w:pPr>
      <w:r>
        <w:t>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Pr="00257ADB" w:rsidRDefault="00472B5B" w:rsidP="00DE1661">
      <w:pPr>
        <w:pStyle w:val="13"/>
      </w:pPr>
      <w:r>
        <w:t>ОКВЭД;</w:t>
      </w:r>
    </w:p>
    <w:p w:rsidR="00472B5B" w:rsidRPr="00E410B5" w:rsidRDefault="00472B5B" w:rsidP="00DE1661">
      <w:pPr>
        <w:pStyle w:val="13"/>
      </w:pPr>
      <w:r w:rsidRPr="00E410B5">
        <w:t>Результат применения условия 1;</w:t>
      </w:r>
    </w:p>
    <w:p w:rsidR="00472B5B" w:rsidRDefault="00472B5B" w:rsidP="00DE1661">
      <w:pPr>
        <w:pStyle w:val="13"/>
      </w:pPr>
      <w:r w:rsidRPr="00E410B5">
        <w:t>Результат применения условия 2;</w:t>
      </w:r>
    </w:p>
    <w:p w:rsidR="00472B5B" w:rsidRDefault="00472B5B" w:rsidP="00DE1661">
      <w:pPr>
        <w:pStyle w:val="13"/>
      </w:pPr>
      <w:r w:rsidRPr="00E410B5">
        <w:t xml:space="preserve">Результат применения условия </w:t>
      </w:r>
      <w:r>
        <w:t>3</w:t>
      </w:r>
      <w:r w:rsidRPr="00E410B5">
        <w:t>;</w:t>
      </w:r>
    </w:p>
    <w:p w:rsidR="00472B5B" w:rsidRPr="00E410B5" w:rsidRDefault="00472B5B" w:rsidP="00DE1661">
      <w:pPr>
        <w:pStyle w:val="13"/>
      </w:pPr>
      <w:r w:rsidRPr="00E410B5">
        <w:t>Группа организаций;</w:t>
      </w:r>
    </w:p>
    <w:p w:rsidR="00472B5B" w:rsidRDefault="00472B5B" w:rsidP="00DE1661">
      <w:pPr>
        <w:pStyle w:val="13"/>
      </w:pPr>
      <w:r w:rsidRPr="00E410B5">
        <w:t>Секторальная принадлежность: если результат применения условия 2 = 1 или показатель Группа 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w:t>
      </w:r>
      <w:r w:rsidRPr="00BF5686">
        <w:rPr>
          <w:i/>
        </w:rPr>
        <w:t>Расширенный сектор государственного управления</w:t>
      </w:r>
      <w:r w:rsidRPr="00E410B5">
        <w:t xml:space="preserve">»; </w:t>
      </w:r>
      <w:r>
        <w:t>Если результат применение Условия 1=1, а результат применения Условия 2=0 и показатель Группа не принимает значение «Поставщики государства»</w:t>
      </w:r>
      <w:r w:rsidRPr="00E410B5">
        <w:t xml:space="preserve"> </w:t>
      </w:r>
      <w:r>
        <w:t xml:space="preserve">или показатель Группа принимает значение «Госсектор по отдельному решению», </w:t>
      </w:r>
      <w:r w:rsidRPr="00E410B5">
        <w:t xml:space="preserve">в данной графе указывается </w:t>
      </w:r>
      <w:r>
        <w:t>«</w:t>
      </w:r>
      <w:r w:rsidRPr="00BF5686">
        <w:rPr>
          <w:i/>
        </w:rPr>
        <w:t>Государственный сектор</w:t>
      </w:r>
      <w:r>
        <w:t>»</w:t>
      </w:r>
      <w:r w:rsidRPr="00E410B5">
        <w:t>.</w:t>
      </w:r>
      <w:r>
        <w:t xml:space="preserve"> Во всех остальных случаях – в данной графе указывается «</w:t>
      </w:r>
      <w:r w:rsidRPr="00BF5686">
        <w:rPr>
          <w:i/>
        </w:rPr>
        <w:t>Не определено</w:t>
      </w:r>
      <w:r>
        <w:t>».</w:t>
      </w:r>
    </w:p>
    <w:p w:rsidR="00472B5B" w:rsidRPr="00195869" w:rsidRDefault="00472B5B" w:rsidP="00DE1661">
      <w:pPr>
        <w:pStyle w:val="13"/>
      </w:pPr>
      <w:r>
        <w:t>Пояснения (переход на карточку организации в Государственный информационный ресурс бухгалтерской (финансовой) отчетности юридических лиц).</w:t>
      </w:r>
    </w:p>
    <w:p w:rsidR="00472B5B" w:rsidRDefault="00472B5B" w:rsidP="00862055">
      <w:pPr>
        <w:pStyle w:val="35"/>
        <w:numPr>
          <w:ilvl w:val="2"/>
          <w:numId w:val="135"/>
        </w:numPr>
        <w:ind w:left="426"/>
      </w:pPr>
      <w:bookmarkStart w:id="2053" w:name="_Toc47710190"/>
      <w:bookmarkStart w:id="2054" w:name="_Toc68679615"/>
      <w:bookmarkStart w:id="2055" w:name="_Toc69290159"/>
      <w:bookmarkStart w:id="2056" w:name="_Toc119585125"/>
      <w:r>
        <w:t>Отчет «Отчет о движении денежных средств»</w:t>
      </w:r>
      <w:bookmarkEnd w:id="2053"/>
      <w:bookmarkEnd w:id="2054"/>
      <w:bookmarkEnd w:id="2055"/>
      <w:bookmarkEnd w:id="2056"/>
    </w:p>
    <w:p w:rsidR="00472B5B" w:rsidRDefault="00472B5B" w:rsidP="00472B5B">
      <w:pPr>
        <w:pStyle w:val="af0"/>
      </w:pPr>
      <w:r>
        <w:t xml:space="preserve">Аналитический отчет </w:t>
      </w:r>
      <w:r w:rsidRPr="000A0BF8">
        <w:t>«</w:t>
      </w:r>
      <w:r>
        <w:t>Отчет о движении денежных средств обеспечивает визуальный анализ показателей бухгалтерской (финансовой) отчетности корпоративных и унитарных юридических лиц, применяемых для формирования Информации по СГФ по сектору государственного управления и списка организаций по показателям отчетных форм.</w:t>
      </w:r>
    </w:p>
    <w:p w:rsidR="00472B5B" w:rsidRDefault="00472B5B" w:rsidP="00862055">
      <w:pPr>
        <w:pStyle w:val="42"/>
        <w:numPr>
          <w:ilvl w:val="3"/>
          <w:numId w:val="135"/>
        </w:numPr>
        <w:ind w:left="284"/>
      </w:pPr>
      <w:r>
        <w:t>Представление «Отчет о движении денежных средств» - «Показатели»</w:t>
      </w:r>
    </w:p>
    <w:p w:rsidR="00472B5B" w:rsidRDefault="00472B5B" w:rsidP="00472B5B">
      <w:pPr>
        <w:spacing w:before="120" w:after="120"/>
        <w:ind w:firstLine="567"/>
        <w:rPr>
          <w:sz w:val="28"/>
          <w:szCs w:val="28"/>
        </w:rPr>
      </w:pPr>
      <w:r w:rsidRPr="00257ADB">
        <w:rPr>
          <w:sz w:val="28"/>
          <w:szCs w:val="28"/>
        </w:rPr>
        <w:t>Представление отчета «</w:t>
      </w:r>
      <w:r w:rsidRPr="00195869">
        <w:rPr>
          <w:sz w:val="28"/>
          <w:szCs w:val="28"/>
        </w:rPr>
        <w:t xml:space="preserve">Отчет </w:t>
      </w:r>
      <w:r>
        <w:rPr>
          <w:sz w:val="28"/>
          <w:szCs w:val="28"/>
        </w:rPr>
        <w:t xml:space="preserve">о движении капитала «Показатели» </w:t>
      </w:r>
      <w:r w:rsidRPr="00257ADB">
        <w:rPr>
          <w:sz w:val="28"/>
          <w:szCs w:val="28"/>
        </w:rPr>
        <w:t xml:space="preserve">отображает </w:t>
      </w:r>
      <w:r>
        <w:rPr>
          <w:sz w:val="28"/>
          <w:szCs w:val="28"/>
        </w:rPr>
        <w:t xml:space="preserve">сводную </w:t>
      </w:r>
      <w:r w:rsidRPr="00257ADB">
        <w:rPr>
          <w:sz w:val="28"/>
          <w:szCs w:val="28"/>
        </w:rPr>
        <w:t xml:space="preserve">информацию </w:t>
      </w:r>
      <w:r>
        <w:rPr>
          <w:sz w:val="28"/>
          <w:szCs w:val="28"/>
        </w:rPr>
        <w:t>показателей о движении денежных средств (форма 0710005).</w:t>
      </w:r>
    </w:p>
    <w:p w:rsidR="00472B5B" w:rsidRDefault="00472B5B" w:rsidP="00472B5B">
      <w:pPr>
        <w:keepNext/>
        <w:spacing w:before="120" w:after="60"/>
        <w:contextualSpacing/>
        <w:jc w:val="center"/>
      </w:pPr>
      <w:r>
        <w:rPr>
          <w:noProof/>
          <w:snapToGrid/>
        </w:rPr>
        <w:drawing>
          <wp:inline distT="0" distB="0" distL="0" distR="0" wp14:anchorId="3BB48984" wp14:editId="180C6D2A">
            <wp:extent cx="5939790" cy="2638544"/>
            <wp:effectExtent l="0" t="0" r="3810" b="952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1"/>
                    <a:stretch>
                      <a:fillRect/>
                    </a:stretch>
                  </pic:blipFill>
                  <pic:spPr>
                    <a:xfrm>
                      <a:off x="0" y="0"/>
                      <a:ext cx="5939790" cy="2638544"/>
                    </a:xfrm>
                    <a:prstGeom prst="rect">
                      <a:avLst/>
                    </a:prstGeom>
                  </pic:spPr>
                </pic:pic>
              </a:graphicData>
            </a:graphic>
          </wp:inline>
        </w:drawing>
      </w:r>
    </w:p>
    <w:p w:rsidR="00472B5B" w:rsidRPr="00722488" w:rsidRDefault="00472B5B" w:rsidP="00472B5B">
      <w:pPr>
        <w:pStyle w:val="-0"/>
      </w:pPr>
      <w:bookmarkStart w:id="2057" w:name="_Toc68681224"/>
      <w:bookmarkStart w:id="2058" w:name="_Toc69290598"/>
      <w:bookmarkStart w:id="2059" w:name="_Toc119584725"/>
      <w:r>
        <w:t xml:space="preserve">Рисунок </w:t>
      </w:r>
      <w:fldSimple w:instr=" SEQ Рисунок \* ARABIC ">
        <w:r w:rsidR="001860A9">
          <w:rPr>
            <w:noProof/>
          </w:rPr>
          <w:t>538</w:t>
        </w:r>
      </w:fldSimple>
      <w:r w:rsidRPr="00B91063">
        <w:t xml:space="preserve"> </w:t>
      </w:r>
      <w:r>
        <w:t>– Представление</w:t>
      </w:r>
      <w:r w:rsidRPr="00091631">
        <w:t xml:space="preserve"> «</w:t>
      </w:r>
      <w:r>
        <w:t>Отчет о движении денежных средств» - «Показатели»</w:t>
      </w:r>
      <w:bookmarkEnd w:id="2057"/>
      <w:bookmarkEnd w:id="2058"/>
      <w:bookmarkEnd w:id="2059"/>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sidRPr="00195869">
        <w:rPr>
          <w:rFonts w:eastAsia="Calibri"/>
          <w:snapToGrid/>
        </w:rPr>
        <w:t xml:space="preserve">Выпадающий список, предусматривающий выбор года. </w:t>
      </w:r>
    </w:p>
    <w:p w:rsidR="00472B5B" w:rsidRPr="00195869" w:rsidRDefault="00472B5B" w:rsidP="00DE1661">
      <w:pPr>
        <w:pStyle w:val="13"/>
        <w:rPr>
          <w:rFonts w:eastAsia="Calibri"/>
          <w:snapToGrid/>
        </w:rPr>
      </w:pPr>
      <w:r w:rsidRPr="00195869">
        <w:rPr>
          <w:rFonts w:eastAsia="Calibri"/>
          <w:snapToGrid/>
        </w:rPr>
        <w:t xml:space="preserve">По </w:t>
      </w:r>
      <w:r>
        <w:rPr>
          <w:rFonts w:eastAsia="Calibri"/>
          <w:snapToGrid/>
        </w:rPr>
        <w:t>умолчанию выводится последний год, за который представлена отчетность;</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указывается тыс. руб., исходя из того, что информация в ГИРБО указывается в тыс.руб., однако если переход осуществлен из представления «Сектор государственных нефинансовых корпораций» - «Список организаций», по умолчанию указывается млрд руб.;</w:t>
      </w:r>
    </w:p>
    <w:p w:rsidR="00472B5B" w:rsidRDefault="00472B5B" w:rsidP="00DE1661">
      <w:pPr>
        <w:pStyle w:val="13"/>
      </w:pPr>
      <w:r>
        <w:t>«ИНН»;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rsidRPr="00CE7404">
        <w:t>«ОКФС»</w:t>
      </w:r>
      <w:r>
        <w:t>;</w:t>
      </w:r>
    </w:p>
    <w:p w:rsidR="00472B5B" w:rsidRPr="00CE7404" w:rsidRDefault="00472B5B" w:rsidP="00DE1661">
      <w:pPr>
        <w:pStyle w:val="13"/>
      </w:pPr>
      <w:r>
        <w:t>«ОКВЭД»: П</w:t>
      </w:r>
      <w:r w:rsidRPr="00CE7404">
        <w:t xml:space="preserve">о умолчанию указывается </w:t>
      </w:r>
      <w:r>
        <w:t xml:space="preserve">значение </w:t>
      </w:r>
      <w:r w:rsidRPr="00CE7404">
        <w:t>«Все»;</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Выпадающий список с множественным выбором группы списка организаций. По умолчанию выводится «Все»;</w:t>
      </w:r>
    </w:p>
    <w:p w:rsidR="00472B5B" w:rsidRDefault="00472B5B" w:rsidP="00DE1661">
      <w:pPr>
        <w:pStyle w:val="13"/>
      </w:pPr>
      <w:r>
        <w:t>«Настройка параметров».</w:t>
      </w:r>
    </w:p>
    <w:p w:rsidR="00472B5B" w:rsidRDefault="00472B5B" w:rsidP="00472B5B">
      <w:pPr>
        <w:spacing w:before="120" w:after="120"/>
        <w:ind w:firstLine="567"/>
        <w:rPr>
          <w:sz w:val="28"/>
          <w:szCs w:val="28"/>
        </w:rPr>
      </w:pPr>
      <w:r w:rsidRPr="009856AB">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Pr>
          <w:sz w:val="28"/>
          <w:szCs w:val="28"/>
        </w:rPr>
        <w:t xml:space="preserve">. </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(Наименования показателя);</w:t>
      </w:r>
    </w:p>
    <w:p w:rsidR="00472B5B" w:rsidRDefault="00472B5B" w:rsidP="00DE1661">
      <w:pPr>
        <w:pStyle w:val="13"/>
      </w:pPr>
      <w:r w:rsidRPr="00CE7404">
        <w:t>За период отчетного года;</w:t>
      </w:r>
    </w:p>
    <w:p w:rsidR="00472B5B" w:rsidRPr="00CE7404" w:rsidRDefault="00472B5B" w:rsidP="00DE1661">
      <w:pPr>
        <w:pStyle w:val="13"/>
      </w:pPr>
      <w:r w:rsidRPr="00CE7404">
        <w:t>За период предыдущего года;</w:t>
      </w:r>
    </w:p>
    <w:p w:rsidR="00472B5B" w:rsidRDefault="00472B5B" w:rsidP="00472B5B">
      <w:pPr>
        <w:ind w:firstLine="709"/>
        <w:rPr>
          <w:sz w:val="28"/>
          <w:szCs w:val="28"/>
        </w:rPr>
      </w:pPr>
      <w:r>
        <w:rPr>
          <w:sz w:val="28"/>
          <w:szCs w:val="28"/>
        </w:rPr>
        <w:t>Из граф «За период отчетного года» и «За период предыдущего года» при нажатии на сумму в той или иной строке доступен переход на представление «Отчет о движении денежных средств» - «Список организаций».</w:t>
      </w:r>
    </w:p>
    <w:p w:rsidR="00472B5B" w:rsidRDefault="00472B5B" w:rsidP="00472B5B">
      <w:pPr>
        <w:ind w:firstLine="709"/>
        <w:rPr>
          <w:sz w:val="28"/>
          <w:szCs w:val="28"/>
        </w:rPr>
      </w:pPr>
      <w:r>
        <w:rPr>
          <w:sz w:val="28"/>
          <w:szCs w:val="28"/>
        </w:rPr>
        <w:t>Из графы «Наименование показателя» при нажатии на строку доступен переход на представление «Отчет о движении денежных средств» - «Дополнительные показатели».</w:t>
      </w:r>
    </w:p>
    <w:p w:rsidR="00472B5B" w:rsidRDefault="00472B5B" w:rsidP="00862055">
      <w:pPr>
        <w:pStyle w:val="42"/>
        <w:numPr>
          <w:ilvl w:val="3"/>
          <w:numId w:val="135"/>
        </w:numPr>
        <w:ind w:left="284"/>
      </w:pPr>
      <w:r>
        <w:t xml:space="preserve">Представление </w:t>
      </w:r>
      <w:r w:rsidRPr="00091631">
        <w:rPr>
          <w:szCs w:val="28"/>
        </w:rPr>
        <w:t>«</w:t>
      </w:r>
      <w:r>
        <w:rPr>
          <w:szCs w:val="28"/>
        </w:rPr>
        <w:t>Отчет о движении денежных средств</w:t>
      </w:r>
      <w:r w:rsidRPr="00D8413B">
        <w:rPr>
          <w:szCs w:val="28"/>
        </w:rPr>
        <w:t>»</w:t>
      </w:r>
      <w:r>
        <w:rPr>
          <w:szCs w:val="28"/>
        </w:rPr>
        <w:t xml:space="preserve"> </w:t>
      </w:r>
      <w:r>
        <w:t>- «Дополнительные показатели»</w:t>
      </w:r>
    </w:p>
    <w:p w:rsidR="00472B5B" w:rsidRDefault="00472B5B" w:rsidP="00472B5B">
      <w:pPr>
        <w:pStyle w:val="af0"/>
      </w:pPr>
      <w:r w:rsidRPr="00257ADB">
        <w:t>Представление отчета «</w:t>
      </w:r>
      <w:r w:rsidRPr="00195869">
        <w:t xml:space="preserve">Отчет </w:t>
      </w:r>
      <w:r>
        <w:t xml:space="preserve">о движении денежных средств» -  «Дополнительные показатели» </w:t>
      </w:r>
      <w:r w:rsidRPr="00257ADB">
        <w:t xml:space="preserve">отображает </w:t>
      </w:r>
      <w:r>
        <w:t xml:space="preserve">детализированную </w:t>
      </w:r>
      <w:r w:rsidRPr="00257ADB">
        <w:t>информацию</w:t>
      </w:r>
      <w:r>
        <w:t xml:space="preserve"> по основным </w:t>
      </w:r>
      <w:r w:rsidRPr="00257ADB">
        <w:t xml:space="preserve"> </w:t>
      </w:r>
      <w:r>
        <w:t>показателям Отчета о движении денежных средств (форма 0710005).</w:t>
      </w:r>
    </w:p>
    <w:p w:rsidR="00472B5B" w:rsidRDefault="00472B5B" w:rsidP="00472B5B">
      <w:pPr>
        <w:keepNext/>
        <w:spacing w:before="120" w:after="120"/>
      </w:pPr>
      <w:r>
        <w:rPr>
          <w:noProof/>
          <w:snapToGrid/>
        </w:rPr>
        <w:drawing>
          <wp:inline distT="0" distB="0" distL="0" distR="0" wp14:anchorId="2FC4A06D" wp14:editId="254B49F8">
            <wp:extent cx="5939790" cy="2439918"/>
            <wp:effectExtent l="0" t="0" r="381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2"/>
                    <a:stretch>
                      <a:fillRect/>
                    </a:stretch>
                  </pic:blipFill>
                  <pic:spPr>
                    <a:xfrm>
                      <a:off x="0" y="0"/>
                      <a:ext cx="5939790" cy="2439918"/>
                    </a:xfrm>
                    <a:prstGeom prst="rect">
                      <a:avLst/>
                    </a:prstGeom>
                  </pic:spPr>
                </pic:pic>
              </a:graphicData>
            </a:graphic>
          </wp:inline>
        </w:drawing>
      </w:r>
    </w:p>
    <w:p w:rsidR="00472B5B" w:rsidRDefault="00472B5B" w:rsidP="00472B5B">
      <w:pPr>
        <w:pStyle w:val="-0"/>
      </w:pPr>
      <w:bookmarkStart w:id="2060" w:name="_Toc68681225"/>
      <w:bookmarkStart w:id="2061" w:name="_Toc69290599"/>
      <w:bookmarkStart w:id="2062" w:name="_Toc119584726"/>
      <w:r>
        <w:t xml:space="preserve">Рисунок </w:t>
      </w:r>
      <w:fldSimple w:instr=" SEQ Рисунок \* ARABIC ">
        <w:r w:rsidR="001860A9">
          <w:rPr>
            <w:noProof/>
          </w:rPr>
          <w:t>539</w:t>
        </w:r>
      </w:fldSimple>
      <w:r>
        <w:t xml:space="preserve"> – Представление</w:t>
      </w:r>
      <w:r w:rsidRPr="00091631">
        <w:t xml:space="preserve"> «</w:t>
      </w:r>
      <w:r>
        <w:t>Отчет о движении денежных средств» - «Дополнительные показатели»</w:t>
      </w:r>
      <w:bookmarkEnd w:id="2060"/>
      <w:bookmarkEnd w:id="2061"/>
      <w:bookmarkEnd w:id="2062"/>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Pr>
          <w:rFonts w:eastAsia="Calibri"/>
          <w:snapToGrid/>
        </w:rPr>
        <w:t xml:space="preserve">указан год из представления </w:t>
      </w:r>
      <w:r w:rsidRPr="00257ADB">
        <w:t>«</w:t>
      </w:r>
      <w:r w:rsidRPr="00195869">
        <w:t xml:space="preserve">Отчет </w:t>
      </w:r>
      <w:r>
        <w:t>о движении денежных средств» -  «Показатели»</w:t>
      </w:r>
      <w:r>
        <w:rPr>
          <w:rFonts w:eastAsia="Calibri"/>
          <w:snapToGrid/>
        </w:rPr>
        <w:t>;</w:t>
      </w:r>
    </w:p>
    <w:p w:rsidR="00472B5B" w:rsidRPr="00195869" w:rsidRDefault="00472B5B" w:rsidP="00DE1661">
      <w:pPr>
        <w:pStyle w:val="13"/>
      </w:pPr>
      <w:r>
        <w:t>«Единицы измерения»;</w:t>
      </w:r>
    </w:p>
    <w:p w:rsidR="00472B5B" w:rsidRDefault="00472B5B" w:rsidP="00DE1661">
      <w:pPr>
        <w:pStyle w:val="13"/>
      </w:pPr>
      <w:r>
        <w:t>«ИНН»;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rsidRPr="00CE7404">
        <w:t>«ОКФС»</w:t>
      </w:r>
      <w:r>
        <w:t>;</w:t>
      </w:r>
    </w:p>
    <w:p w:rsidR="00472B5B" w:rsidRPr="00CE7404" w:rsidRDefault="00472B5B" w:rsidP="00DE1661">
      <w:pPr>
        <w:pStyle w:val="13"/>
      </w:pPr>
      <w:r>
        <w:t>«ОКВЭД»</w:t>
      </w:r>
      <w:r w:rsidRPr="00CE7404">
        <w:t>;</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w:t>
      </w:r>
    </w:p>
    <w:p w:rsidR="00472B5B" w:rsidRDefault="00472B5B" w:rsidP="00DE1661">
      <w:pPr>
        <w:pStyle w:val="13"/>
      </w:pPr>
      <w:r>
        <w:t>«Настройка параметров»;</w:t>
      </w:r>
    </w:p>
    <w:p w:rsidR="00472B5B" w:rsidRDefault="00472B5B" w:rsidP="00DE1661">
      <w:pPr>
        <w:pStyle w:val="13"/>
      </w:pPr>
      <w:r>
        <w:t>«Показатель»: указан показатель (код и наименование строки ф. 0710005), детализация по которому приведена в представлении.</w:t>
      </w:r>
    </w:p>
    <w:p w:rsidR="00472B5B" w:rsidRDefault="00472B5B" w:rsidP="00472B5B">
      <w:pPr>
        <w:spacing w:before="120" w:after="120"/>
        <w:ind w:firstLine="567"/>
        <w:rPr>
          <w:sz w:val="28"/>
          <w:szCs w:val="28"/>
        </w:rPr>
      </w:pPr>
      <w:r w:rsidRPr="009856AB">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Pr>
          <w:sz w:val="28"/>
          <w:szCs w:val="28"/>
        </w:rPr>
        <w:t xml:space="preserve">. </w:t>
      </w:r>
    </w:p>
    <w:p w:rsidR="00472B5B" w:rsidRPr="00F15236" w:rsidRDefault="00472B5B" w:rsidP="00472B5B">
      <w:pPr>
        <w:keepNext/>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Код показателя (код показателей)</w:t>
      </w:r>
      <w:r w:rsidRPr="00257ADB">
        <w:t>;</w:t>
      </w:r>
    </w:p>
    <w:p w:rsidR="00472B5B" w:rsidRDefault="00472B5B" w:rsidP="00DE1661">
      <w:pPr>
        <w:pStyle w:val="13"/>
      </w:pPr>
      <w:r>
        <w:t>Наименование показателя (Наименование показателя);</w:t>
      </w:r>
    </w:p>
    <w:p w:rsidR="00472B5B" w:rsidRDefault="00472B5B" w:rsidP="00DE1661">
      <w:pPr>
        <w:pStyle w:val="13"/>
      </w:pPr>
      <w:r>
        <w:t xml:space="preserve">Наименование дополнительного показателя (Наименование дополнительного показателя); </w:t>
      </w:r>
    </w:p>
    <w:p w:rsidR="00472B5B" w:rsidRDefault="00472B5B" w:rsidP="00DE1661">
      <w:pPr>
        <w:pStyle w:val="13"/>
      </w:pPr>
      <w:r w:rsidRPr="00CE7404">
        <w:t>За период отчетного года;</w:t>
      </w:r>
    </w:p>
    <w:p w:rsidR="00472B5B" w:rsidRPr="00CE7404" w:rsidRDefault="00472B5B" w:rsidP="00DE1661">
      <w:pPr>
        <w:pStyle w:val="13"/>
      </w:pPr>
      <w:r>
        <w:t>За период предыдущего года.</w:t>
      </w:r>
    </w:p>
    <w:p w:rsidR="00472B5B" w:rsidRDefault="00472B5B" w:rsidP="00472B5B">
      <w:pPr>
        <w:pStyle w:val="af0"/>
      </w:pPr>
      <w:r>
        <w:t>Из граф «За период отчетного года», «За период предыдущего года» при нажатии на сумму в соответствующей строке доступен переход на представление «Отчет о движении денежных средств» - «Список организаций».</w:t>
      </w:r>
    </w:p>
    <w:p w:rsidR="00472B5B" w:rsidRPr="005515D2" w:rsidRDefault="00472B5B" w:rsidP="00472B5B">
      <w:pPr>
        <w:pStyle w:val="af0"/>
      </w:pPr>
      <w:r w:rsidRPr="00BD2A54">
        <w:t>При</w:t>
      </w:r>
      <w:r>
        <w:t xml:space="preserve"> помощи кнопки «Назад» из представления «Отчет о движении денежных средств» - «Дополнительные показатели» доступен переход к представлению «Отчет о движении денежных средств» - «Показатели».</w:t>
      </w:r>
    </w:p>
    <w:p w:rsidR="00472B5B" w:rsidRDefault="00472B5B" w:rsidP="00862055">
      <w:pPr>
        <w:pStyle w:val="42"/>
        <w:numPr>
          <w:ilvl w:val="3"/>
          <w:numId w:val="135"/>
        </w:numPr>
        <w:ind w:left="284"/>
      </w:pPr>
      <w:r>
        <w:t xml:space="preserve">Представление </w:t>
      </w:r>
      <w:r w:rsidRPr="00091631">
        <w:rPr>
          <w:szCs w:val="28"/>
        </w:rPr>
        <w:t>«</w:t>
      </w:r>
      <w:r>
        <w:rPr>
          <w:szCs w:val="28"/>
        </w:rPr>
        <w:t>Отчет о движении денежных средств</w:t>
      </w:r>
      <w:r w:rsidRPr="00D8413B">
        <w:rPr>
          <w:szCs w:val="28"/>
        </w:rPr>
        <w:t>»</w:t>
      </w:r>
      <w:r>
        <w:rPr>
          <w:szCs w:val="28"/>
        </w:rPr>
        <w:t xml:space="preserve"> </w:t>
      </w:r>
      <w:r>
        <w:t>- «Список организаций»</w:t>
      </w:r>
    </w:p>
    <w:p w:rsidR="00472B5B" w:rsidRDefault="00472B5B" w:rsidP="00472B5B">
      <w:pPr>
        <w:spacing w:before="120" w:after="120"/>
        <w:ind w:firstLine="567"/>
        <w:rPr>
          <w:sz w:val="28"/>
          <w:szCs w:val="28"/>
        </w:rPr>
      </w:pPr>
      <w:r w:rsidRPr="00257ADB">
        <w:rPr>
          <w:sz w:val="28"/>
          <w:szCs w:val="28"/>
        </w:rPr>
        <w:t xml:space="preserve">Представление </w:t>
      </w:r>
      <w:r w:rsidRPr="00091631">
        <w:rPr>
          <w:sz w:val="28"/>
          <w:szCs w:val="28"/>
        </w:rPr>
        <w:t>«</w:t>
      </w:r>
      <w:r>
        <w:rPr>
          <w:sz w:val="28"/>
          <w:szCs w:val="28"/>
        </w:rPr>
        <w:t xml:space="preserve">Отчет движении денежных средств» -«Список организаций» </w:t>
      </w:r>
      <w:r w:rsidRPr="00257ADB">
        <w:rPr>
          <w:sz w:val="28"/>
          <w:szCs w:val="28"/>
        </w:rPr>
        <w:t xml:space="preserve">отображает </w:t>
      </w:r>
      <w:r>
        <w:rPr>
          <w:sz w:val="28"/>
          <w:szCs w:val="28"/>
        </w:rPr>
        <w:t xml:space="preserve">детализированную </w:t>
      </w:r>
      <w:r w:rsidRPr="00257ADB">
        <w:rPr>
          <w:sz w:val="28"/>
          <w:szCs w:val="28"/>
        </w:rPr>
        <w:t xml:space="preserve">информацию </w:t>
      </w:r>
      <w:r>
        <w:rPr>
          <w:sz w:val="28"/>
          <w:szCs w:val="28"/>
        </w:rPr>
        <w:t>организациям в соответствии с выбранными параметрами.</w:t>
      </w:r>
    </w:p>
    <w:p w:rsidR="00472B5B" w:rsidRDefault="00472B5B" w:rsidP="00472B5B">
      <w:pPr>
        <w:keepNext/>
        <w:spacing w:before="120" w:after="60"/>
        <w:contextualSpacing/>
      </w:pPr>
      <w:r>
        <w:rPr>
          <w:noProof/>
          <w:snapToGrid/>
        </w:rPr>
        <w:drawing>
          <wp:inline distT="0" distB="0" distL="0" distR="0" wp14:anchorId="546176CD" wp14:editId="3A1769CB">
            <wp:extent cx="5939790" cy="2457083"/>
            <wp:effectExtent l="0" t="0" r="3810" b="63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3"/>
                    <a:stretch>
                      <a:fillRect/>
                    </a:stretch>
                  </pic:blipFill>
                  <pic:spPr>
                    <a:xfrm>
                      <a:off x="0" y="0"/>
                      <a:ext cx="5939790" cy="2457083"/>
                    </a:xfrm>
                    <a:prstGeom prst="rect">
                      <a:avLst/>
                    </a:prstGeom>
                  </pic:spPr>
                </pic:pic>
              </a:graphicData>
            </a:graphic>
          </wp:inline>
        </w:drawing>
      </w:r>
    </w:p>
    <w:p w:rsidR="00472B5B" w:rsidRPr="00722488" w:rsidRDefault="00472B5B" w:rsidP="00472B5B">
      <w:pPr>
        <w:pStyle w:val="-0"/>
      </w:pPr>
      <w:bookmarkStart w:id="2063" w:name="_Toc68681226"/>
      <w:bookmarkStart w:id="2064" w:name="_Toc69290600"/>
      <w:bookmarkStart w:id="2065" w:name="_Toc119584727"/>
      <w:r>
        <w:t xml:space="preserve">Рисунок </w:t>
      </w:r>
      <w:fldSimple w:instr=" SEQ Рисунок \* ARABIC ">
        <w:r w:rsidR="001860A9">
          <w:rPr>
            <w:noProof/>
          </w:rPr>
          <w:t>540</w:t>
        </w:r>
      </w:fldSimple>
      <w:r w:rsidRPr="00B91063">
        <w:t xml:space="preserve"> </w:t>
      </w:r>
      <w:r>
        <w:t>– Представление</w:t>
      </w:r>
      <w:r w:rsidRPr="00091631">
        <w:t xml:space="preserve"> «</w:t>
      </w:r>
      <w:r>
        <w:t>Отчет о движении денежных средств» - «Список организаций»</w:t>
      </w:r>
      <w:bookmarkEnd w:id="2063"/>
      <w:bookmarkEnd w:id="2064"/>
      <w:bookmarkEnd w:id="2065"/>
    </w:p>
    <w:p w:rsidR="00472B5B" w:rsidRPr="00F15236" w:rsidRDefault="00472B5B" w:rsidP="00472B5B">
      <w:pPr>
        <w:spacing w:before="120" w:after="120"/>
        <w:ind w:firstLine="567"/>
        <w:rPr>
          <w:b/>
          <w:sz w:val="28"/>
          <w:szCs w:val="28"/>
        </w:rPr>
      </w:pPr>
      <w:r w:rsidRPr="00F15236">
        <w:rPr>
          <w:b/>
          <w:sz w:val="28"/>
          <w:szCs w:val="28"/>
        </w:rPr>
        <w:t>Параметры отчета:</w:t>
      </w:r>
    </w:p>
    <w:p w:rsidR="00472B5B" w:rsidRPr="00195869" w:rsidRDefault="00472B5B" w:rsidP="00DE1661">
      <w:pPr>
        <w:pStyle w:val="13"/>
        <w:rPr>
          <w:rFonts w:eastAsia="Calibri"/>
          <w:snapToGrid/>
        </w:rPr>
      </w:pPr>
      <w:r w:rsidRPr="00195869">
        <w:rPr>
          <w:rFonts w:eastAsia="Calibri"/>
          <w:snapToGrid/>
        </w:rPr>
        <w:t>«Год</w:t>
      </w:r>
      <w:r w:rsidRPr="00195869">
        <w:t xml:space="preserve">»: </w:t>
      </w:r>
      <w:r>
        <w:rPr>
          <w:rFonts w:eastAsia="Calibri"/>
          <w:snapToGrid/>
        </w:rPr>
        <w:t>год, выбранный из представления «Отчет о движении денежных средств» - «Показатели»;</w:t>
      </w:r>
    </w:p>
    <w:p w:rsidR="00472B5B" w:rsidRPr="00195869" w:rsidRDefault="00472B5B" w:rsidP="00DE1661">
      <w:pPr>
        <w:pStyle w:val="13"/>
      </w:pPr>
      <w:r w:rsidRPr="00195869">
        <w:t xml:space="preserve">«Единицы измерения»: Выпадающий список с выбором единиц измерения. Состоит из элементов: </w:t>
      </w:r>
      <w:r>
        <w:t>тыс. руб., млн руб., млрд руб. По умолчанию указывается выбор единиц из представления «Отчет о движении денежных средств» - «Показатели», из которого был осуществлен переход;</w:t>
      </w:r>
    </w:p>
    <w:p w:rsidR="00472B5B" w:rsidRDefault="00472B5B" w:rsidP="00DE1661">
      <w:pPr>
        <w:pStyle w:val="13"/>
      </w:pPr>
      <w:r w:rsidDel="002C7E85">
        <w:t xml:space="preserve"> </w:t>
      </w:r>
      <w:r>
        <w:t>«ИНН»;</w:t>
      </w:r>
    </w:p>
    <w:p w:rsidR="00472B5B" w:rsidRDefault="00472B5B" w:rsidP="00DE1661">
      <w:pPr>
        <w:pStyle w:val="13"/>
      </w:pPr>
      <w:r>
        <w:t>«Кроме ИНН»;</w:t>
      </w:r>
    </w:p>
    <w:p w:rsidR="00472B5B" w:rsidRDefault="00472B5B" w:rsidP="00DE1661">
      <w:pPr>
        <w:pStyle w:val="13"/>
      </w:pPr>
      <w:r>
        <w:t>«ОКОПФ»;</w:t>
      </w:r>
    </w:p>
    <w:p w:rsidR="00472B5B" w:rsidRDefault="00472B5B" w:rsidP="00DE1661">
      <w:pPr>
        <w:pStyle w:val="13"/>
      </w:pPr>
      <w:r>
        <w:t>«Кроме ОКОПФ»;</w:t>
      </w:r>
    </w:p>
    <w:p w:rsidR="00472B5B" w:rsidRDefault="00472B5B" w:rsidP="00DE1661">
      <w:pPr>
        <w:pStyle w:val="13"/>
      </w:pPr>
      <w:r>
        <w:t>«ОКФС»;</w:t>
      </w:r>
    </w:p>
    <w:p w:rsidR="00472B5B" w:rsidRDefault="00472B5B" w:rsidP="00DE1661">
      <w:pPr>
        <w:pStyle w:val="13"/>
      </w:pPr>
      <w:r>
        <w:t>«ОКВЭД»;</w:t>
      </w:r>
    </w:p>
    <w:p w:rsidR="00472B5B" w:rsidRDefault="00472B5B" w:rsidP="00DE1661">
      <w:pPr>
        <w:pStyle w:val="13"/>
      </w:pPr>
      <w:r>
        <w:t>«Условие 1»;</w:t>
      </w:r>
    </w:p>
    <w:p w:rsidR="00472B5B" w:rsidRDefault="00472B5B" w:rsidP="00DE1661">
      <w:pPr>
        <w:pStyle w:val="13"/>
      </w:pPr>
      <w:r>
        <w:t>«Условие 2»;</w:t>
      </w:r>
    </w:p>
    <w:p w:rsidR="00472B5B" w:rsidRDefault="00472B5B" w:rsidP="00DE1661">
      <w:pPr>
        <w:pStyle w:val="13"/>
      </w:pPr>
      <w:r>
        <w:t>«Условие 3»;</w:t>
      </w:r>
    </w:p>
    <w:p w:rsidR="00472B5B" w:rsidRDefault="00472B5B" w:rsidP="00DE1661">
      <w:pPr>
        <w:pStyle w:val="13"/>
      </w:pPr>
      <w:r>
        <w:t>«Группа организаций»: По умолчанию выводится «Все»;</w:t>
      </w:r>
    </w:p>
    <w:p w:rsidR="00472B5B" w:rsidRDefault="00472B5B" w:rsidP="00DE1661">
      <w:pPr>
        <w:pStyle w:val="13"/>
      </w:pPr>
      <w:r>
        <w:t>«Показатели»: Указывается код и наименования показателя ф. 0710005, по которому представлена детализация;</w:t>
      </w:r>
    </w:p>
    <w:p w:rsidR="00472B5B" w:rsidRDefault="00472B5B" w:rsidP="00DE1661">
      <w:pPr>
        <w:pStyle w:val="13"/>
      </w:pPr>
      <w:r>
        <w:t>«Период»:</w:t>
      </w:r>
      <w:r w:rsidRPr="00DA6F14">
        <w:t xml:space="preserve"> </w:t>
      </w:r>
      <w:r>
        <w:t>Выпадающий список с выбором периода:</w:t>
      </w:r>
    </w:p>
    <w:p w:rsidR="00472B5B" w:rsidRDefault="00472B5B" w:rsidP="005C6E50">
      <w:pPr>
        <w:numPr>
          <w:ilvl w:val="1"/>
          <w:numId w:val="86"/>
        </w:numPr>
        <w:ind w:left="1276" w:hanging="283"/>
        <w:rPr>
          <w:sz w:val="28"/>
          <w:szCs w:val="28"/>
        </w:rPr>
      </w:pPr>
      <w:r w:rsidRPr="003E6DE0">
        <w:rPr>
          <w:sz w:val="28"/>
          <w:szCs w:val="28"/>
        </w:rPr>
        <w:t>За период отчетного года</w:t>
      </w:r>
      <w:r>
        <w:rPr>
          <w:sz w:val="28"/>
          <w:szCs w:val="28"/>
        </w:rPr>
        <w:t>;</w:t>
      </w:r>
    </w:p>
    <w:p w:rsidR="00472B5B" w:rsidRDefault="00472B5B" w:rsidP="005C6E50">
      <w:pPr>
        <w:numPr>
          <w:ilvl w:val="1"/>
          <w:numId w:val="86"/>
        </w:numPr>
        <w:ind w:left="1276" w:hanging="283"/>
        <w:rPr>
          <w:sz w:val="28"/>
          <w:szCs w:val="28"/>
        </w:rPr>
      </w:pPr>
      <w:r w:rsidRPr="003E6DE0">
        <w:rPr>
          <w:sz w:val="28"/>
          <w:szCs w:val="28"/>
        </w:rPr>
        <w:t>За период предыдущего года</w:t>
      </w:r>
      <w:r>
        <w:rPr>
          <w:sz w:val="28"/>
          <w:szCs w:val="28"/>
        </w:rPr>
        <w:t>;</w:t>
      </w:r>
    </w:p>
    <w:p w:rsidR="00472B5B" w:rsidRPr="00DA6F14" w:rsidRDefault="00472B5B" w:rsidP="00DE1661">
      <w:pPr>
        <w:pStyle w:val="13"/>
      </w:pPr>
      <w:r>
        <w:t>«Настройка параметров».</w:t>
      </w:r>
    </w:p>
    <w:p w:rsidR="00472B5B" w:rsidRDefault="00472B5B" w:rsidP="00472B5B">
      <w:pPr>
        <w:spacing w:before="120" w:after="120"/>
        <w:ind w:firstLine="567"/>
        <w:rPr>
          <w:sz w:val="28"/>
          <w:szCs w:val="28"/>
        </w:rPr>
      </w:pPr>
      <w:r w:rsidRPr="002D07DC">
        <w:rPr>
          <w:sz w:val="28"/>
          <w:szCs w:val="28"/>
        </w:rPr>
        <w:t xml:space="preserve">Работа параметров представления описана в пункте </w:t>
      </w:r>
      <w:r>
        <w:rPr>
          <w:sz w:val="28"/>
          <w:szCs w:val="28"/>
        </w:rPr>
        <w:fldChar w:fldCharType="begin"/>
      </w:r>
      <w:r>
        <w:rPr>
          <w:sz w:val="28"/>
          <w:szCs w:val="28"/>
        </w:rPr>
        <w:instrText xml:space="preserve"> REF _Ref69112552 \n \h </w:instrText>
      </w:r>
      <w:r>
        <w:rPr>
          <w:sz w:val="28"/>
          <w:szCs w:val="28"/>
        </w:rPr>
      </w:r>
      <w:r>
        <w:rPr>
          <w:sz w:val="28"/>
          <w:szCs w:val="28"/>
        </w:rPr>
        <w:fldChar w:fldCharType="separate"/>
      </w:r>
      <w:r w:rsidR="00BF0BEE">
        <w:rPr>
          <w:sz w:val="28"/>
          <w:szCs w:val="28"/>
        </w:rPr>
        <w:t>7.9.5.2</w:t>
      </w:r>
      <w:r>
        <w:rPr>
          <w:sz w:val="28"/>
          <w:szCs w:val="28"/>
        </w:rPr>
        <w:fldChar w:fldCharType="end"/>
      </w:r>
      <w:r w:rsidRPr="002D07DC">
        <w:rPr>
          <w:sz w:val="28"/>
          <w:szCs w:val="28"/>
        </w:rPr>
        <w:t>.</w:t>
      </w:r>
    </w:p>
    <w:p w:rsidR="00472B5B" w:rsidRPr="00F15236" w:rsidRDefault="00472B5B" w:rsidP="00472B5B">
      <w:pPr>
        <w:spacing w:before="120" w:after="120"/>
        <w:ind w:firstLine="567"/>
        <w:rPr>
          <w:b/>
          <w:sz w:val="28"/>
          <w:szCs w:val="28"/>
        </w:rPr>
      </w:pPr>
      <w:r w:rsidRPr="00F15236">
        <w:rPr>
          <w:b/>
          <w:sz w:val="28"/>
          <w:szCs w:val="28"/>
        </w:rPr>
        <w:t>Наименования колонок:</w:t>
      </w:r>
    </w:p>
    <w:p w:rsidR="00472B5B" w:rsidRDefault="00472B5B" w:rsidP="00DE1661">
      <w:pPr>
        <w:pStyle w:val="13"/>
      </w:pPr>
      <w:r>
        <w:t>Сумма;</w:t>
      </w:r>
    </w:p>
    <w:p w:rsidR="00472B5B" w:rsidRDefault="00472B5B" w:rsidP="00DE1661">
      <w:pPr>
        <w:pStyle w:val="13"/>
      </w:pPr>
      <w:r>
        <w:t>ИНН</w:t>
      </w:r>
      <w:r w:rsidRPr="00257ADB">
        <w:t>;</w:t>
      </w:r>
    </w:p>
    <w:p w:rsidR="00472B5B" w:rsidRDefault="00472B5B" w:rsidP="00DE1661">
      <w:pPr>
        <w:pStyle w:val="13"/>
      </w:pPr>
      <w:r>
        <w:t>КПП;</w:t>
      </w:r>
    </w:p>
    <w:p w:rsidR="00472B5B" w:rsidRDefault="00472B5B" w:rsidP="00DE1661">
      <w:pPr>
        <w:pStyle w:val="13"/>
      </w:pPr>
      <w:r>
        <w:t>Полное наименование организации;</w:t>
      </w:r>
    </w:p>
    <w:p w:rsidR="00472B5B" w:rsidRDefault="00472B5B" w:rsidP="00DE1661">
      <w:pPr>
        <w:pStyle w:val="13"/>
      </w:pPr>
      <w:r>
        <w:t>Краткое наименование организации;</w:t>
      </w:r>
    </w:p>
    <w:p w:rsidR="00472B5B" w:rsidRDefault="00472B5B" w:rsidP="00DE1661">
      <w:pPr>
        <w:pStyle w:val="13"/>
      </w:pPr>
      <w:r>
        <w:t>ОКОПФ;</w:t>
      </w:r>
    </w:p>
    <w:p w:rsidR="00472B5B" w:rsidRDefault="00472B5B" w:rsidP="00DE1661">
      <w:pPr>
        <w:pStyle w:val="13"/>
      </w:pPr>
      <w:r>
        <w:t>ОКФС;</w:t>
      </w:r>
    </w:p>
    <w:p w:rsidR="00472B5B" w:rsidRPr="00257ADB" w:rsidRDefault="00472B5B" w:rsidP="00DE1661">
      <w:pPr>
        <w:pStyle w:val="13"/>
      </w:pPr>
      <w:r>
        <w:t>ОКВЭД;</w:t>
      </w:r>
    </w:p>
    <w:p w:rsidR="00472B5B" w:rsidRPr="00E410B5" w:rsidRDefault="00472B5B" w:rsidP="00DE1661">
      <w:pPr>
        <w:pStyle w:val="13"/>
      </w:pPr>
      <w:r w:rsidRPr="00E410B5">
        <w:t>Результат применения условия 1;</w:t>
      </w:r>
    </w:p>
    <w:p w:rsidR="00472B5B" w:rsidRDefault="00472B5B" w:rsidP="00DE1661">
      <w:pPr>
        <w:pStyle w:val="13"/>
      </w:pPr>
      <w:r w:rsidRPr="00E410B5">
        <w:t>Результат применения условия 2;</w:t>
      </w:r>
    </w:p>
    <w:p w:rsidR="00472B5B" w:rsidRDefault="00472B5B" w:rsidP="00DE1661">
      <w:pPr>
        <w:pStyle w:val="13"/>
      </w:pPr>
      <w:r w:rsidRPr="00E410B5">
        <w:t xml:space="preserve">Результат применения условия </w:t>
      </w:r>
      <w:r>
        <w:t>3</w:t>
      </w:r>
      <w:r w:rsidRPr="00E410B5">
        <w:t>;</w:t>
      </w:r>
    </w:p>
    <w:p w:rsidR="00472B5B" w:rsidRPr="00E410B5" w:rsidRDefault="00472B5B" w:rsidP="00DE1661">
      <w:pPr>
        <w:pStyle w:val="13"/>
      </w:pPr>
      <w:r w:rsidRPr="00E410B5">
        <w:t>Группа организаций;</w:t>
      </w:r>
    </w:p>
    <w:p w:rsidR="00472B5B" w:rsidRDefault="00472B5B" w:rsidP="00DE1661">
      <w:pPr>
        <w:pStyle w:val="13"/>
      </w:pPr>
      <w:r w:rsidRPr="00E410B5">
        <w:t xml:space="preserve">Секторальная принадлежность: если результат применения условия 2 = 1 или показатель Группа принимает значения «Поставщики государства» или «СГУ по отдельному решению», но не принимает значения «Госсектор по отдельному решению» в графе «Секторальная принадлежность» указывается «Расширенный сектор государственного управления»; </w:t>
      </w:r>
      <w:r>
        <w:t>Если результат применение Условия 1=1, а результат применения Условия 2=0 и показатель Группа не принимает значение «Поставщики государства»</w:t>
      </w:r>
      <w:r w:rsidRPr="00E410B5">
        <w:t xml:space="preserve"> </w:t>
      </w:r>
      <w:r>
        <w:t xml:space="preserve">или показатель Группа принимает значение «Госсектор по отдельному решению», </w:t>
      </w:r>
      <w:r w:rsidRPr="00E410B5">
        <w:t>в данной графе указывается государственный сектор.</w:t>
      </w:r>
      <w:r>
        <w:t xml:space="preserve"> Во всех остальных случаях – в данной графе указывается «не определено».</w:t>
      </w:r>
    </w:p>
    <w:p w:rsidR="00472B5B" w:rsidRPr="00195869" w:rsidRDefault="00472B5B" w:rsidP="00DE1661">
      <w:pPr>
        <w:pStyle w:val="13"/>
      </w:pPr>
      <w:r>
        <w:t>Пояснения (переход на карточку организации в Государственный информационный ресурс бухгалтерской (финансовой) отчетности юридических лиц).</w:t>
      </w:r>
    </w:p>
    <w:p w:rsidR="00472B5B" w:rsidRPr="001652E4" w:rsidRDefault="00472B5B" w:rsidP="00472B5B">
      <w:pPr>
        <w:pStyle w:val="af0"/>
      </w:pPr>
      <w:r w:rsidRPr="001652E4">
        <w:t>При нажатии на кнопку «Назад» доступен переход из представления «Отчет о движении денежных средств» - «Список организаций» обратно в представление «Отчет о движении денежных средств» - «Показатели».</w:t>
      </w:r>
    </w:p>
    <w:p w:rsidR="00472B5B" w:rsidRDefault="00472B5B" w:rsidP="00862055">
      <w:pPr>
        <w:pStyle w:val="26"/>
        <w:numPr>
          <w:ilvl w:val="1"/>
          <w:numId w:val="135"/>
        </w:numPr>
      </w:pPr>
      <w:bookmarkStart w:id="2066" w:name="_Toc69290160"/>
      <w:bookmarkStart w:id="2067" w:name="_Toc119585126"/>
      <w:r>
        <w:t>Аналитические отчеты, включенные в Архив</w:t>
      </w:r>
      <w:bookmarkEnd w:id="2066"/>
      <w:bookmarkEnd w:id="2067"/>
    </w:p>
    <w:p w:rsidR="00472B5B" w:rsidRDefault="00472B5B" w:rsidP="00472B5B">
      <w:pPr>
        <w:pStyle w:val="af0"/>
      </w:pPr>
      <w:r>
        <w:t>Аналитические отчеты, утратившие свою актуальность, перемещаются в Архив. Архив отчетов доступен в Личном кабинете Федерального казначейства (Рубрикатор ПИАО. Архив).</w:t>
      </w:r>
    </w:p>
    <w:p w:rsidR="00472B5B" w:rsidRDefault="00472B5B" w:rsidP="00472B5B">
      <w:pPr>
        <w:pStyle w:val="af0"/>
      </w:pPr>
      <w:r>
        <w:t xml:space="preserve">Перечень аналитических отчетов, перемещенных в Архив, представлен в Таблице </w:t>
      </w:r>
      <w:r>
        <w:fldChar w:fldCharType="begin"/>
      </w:r>
      <w:r>
        <w:instrText xml:space="preserve"> REF _Ref43665282 \h </w:instrText>
      </w:r>
      <w:r>
        <w:fldChar w:fldCharType="separate"/>
      </w:r>
      <w:r w:rsidR="00BF0BEE">
        <w:rPr>
          <w:noProof/>
        </w:rPr>
        <w:t>56</w:t>
      </w:r>
      <w:r>
        <w:fldChar w:fldCharType="end"/>
      </w:r>
      <w:r>
        <w:t>.</w:t>
      </w:r>
    </w:p>
    <w:p w:rsidR="00472B5B" w:rsidRPr="006B3369" w:rsidRDefault="00472B5B" w:rsidP="008D465C">
      <w:pPr>
        <w:pStyle w:val="-"/>
      </w:pPr>
      <w:bookmarkStart w:id="2068" w:name="_Toc69290220"/>
      <w:bookmarkStart w:id="2069" w:name="_Toc119585197"/>
      <w:r>
        <w:t xml:space="preserve">Таблица </w:t>
      </w:r>
      <w:fldSimple w:instr=" SEQ Таблица \* ARABIC ">
        <w:bookmarkStart w:id="2070" w:name="_Ref43665282"/>
        <w:r w:rsidR="00BF0BEE">
          <w:rPr>
            <w:noProof/>
          </w:rPr>
          <w:t>56</w:t>
        </w:r>
        <w:bookmarkEnd w:id="2070"/>
      </w:fldSimple>
      <w:r>
        <w:t xml:space="preserve"> – Перечень аналитических отчетов, перемещенных в Архив</w:t>
      </w:r>
      <w:bookmarkEnd w:id="2068"/>
      <w:bookmarkEnd w:id="2069"/>
    </w:p>
    <w:tbl>
      <w:tblPr>
        <w:tblStyle w:val="affe"/>
        <w:tblW w:w="9853" w:type="dxa"/>
        <w:tblLayout w:type="fixed"/>
        <w:tblLook w:val="04A0" w:firstRow="1" w:lastRow="0" w:firstColumn="1" w:lastColumn="0" w:noHBand="0" w:noVBand="1"/>
      </w:tblPr>
      <w:tblGrid>
        <w:gridCol w:w="4361"/>
        <w:gridCol w:w="2551"/>
        <w:gridCol w:w="2941"/>
      </w:tblGrid>
      <w:tr w:rsidR="00472B5B" w:rsidRPr="00206C4C" w:rsidTr="008D465C">
        <w:trPr>
          <w:cantSplit/>
          <w:tblHeader/>
        </w:trPr>
        <w:tc>
          <w:tcPr>
            <w:tcW w:w="4361" w:type="dxa"/>
            <w:shd w:val="clear" w:color="auto" w:fill="D9D9D9" w:themeFill="background1" w:themeFillShade="D9"/>
            <w:vAlign w:val="center"/>
          </w:tcPr>
          <w:p w:rsidR="00472B5B" w:rsidRPr="00206C4C" w:rsidRDefault="00472B5B" w:rsidP="00E9324B">
            <w:pPr>
              <w:ind w:firstLine="0"/>
              <w:jc w:val="center"/>
              <w:rPr>
                <w:b/>
              </w:rPr>
            </w:pPr>
            <w:r w:rsidRPr="00206C4C">
              <w:rPr>
                <w:b/>
              </w:rPr>
              <w:t>Наименование аналитического отчета</w:t>
            </w:r>
          </w:p>
        </w:tc>
        <w:tc>
          <w:tcPr>
            <w:tcW w:w="2551" w:type="dxa"/>
            <w:shd w:val="clear" w:color="auto" w:fill="D9D9D9" w:themeFill="background1" w:themeFillShade="D9"/>
            <w:vAlign w:val="center"/>
          </w:tcPr>
          <w:p w:rsidR="00472B5B" w:rsidRPr="00206C4C" w:rsidRDefault="00472B5B" w:rsidP="00E9324B">
            <w:pPr>
              <w:ind w:firstLine="0"/>
              <w:jc w:val="center"/>
              <w:rPr>
                <w:b/>
              </w:rPr>
            </w:pPr>
            <w:r w:rsidRPr="00206C4C">
              <w:rPr>
                <w:b/>
              </w:rPr>
              <w:t>Код отчета</w:t>
            </w:r>
          </w:p>
        </w:tc>
        <w:tc>
          <w:tcPr>
            <w:tcW w:w="2941" w:type="dxa"/>
            <w:shd w:val="clear" w:color="auto" w:fill="D9D9D9" w:themeFill="background1" w:themeFillShade="D9"/>
            <w:vAlign w:val="center"/>
          </w:tcPr>
          <w:p w:rsidR="00472B5B" w:rsidRPr="00206C4C" w:rsidRDefault="00472B5B" w:rsidP="00E9324B">
            <w:pPr>
              <w:ind w:firstLine="0"/>
              <w:jc w:val="center"/>
              <w:rPr>
                <w:b/>
              </w:rPr>
            </w:pPr>
            <w:r w:rsidRPr="00206C4C">
              <w:rPr>
                <w:b/>
              </w:rPr>
              <w:t>Название таблицы БД</w:t>
            </w:r>
          </w:p>
        </w:tc>
      </w:tr>
      <w:tr w:rsidR="00472B5B" w:rsidRPr="002E3333" w:rsidTr="00E9324B">
        <w:tc>
          <w:tcPr>
            <w:tcW w:w="9853" w:type="dxa"/>
            <w:gridSpan w:val="3"/>
            <w:vAlign w:val="center"/>
          </w:tcPr>
          <w:p w:rsidR="00472B5B" w:rsidRPr="002E3333" w:rsidRDefault="00472B5B" w:rsidP="00E9324B">
            <w:pPr>
              <w:ind w:firstLine="0"/>
              <w:jc w:val="left"/>
              <w:rPr>
                <w:b/>
              </w:rPr>
            </w:pPr>
            <w:r>
              <w:rPr>
                <w:b/>
              </w:rPr>
              <w:t>Сводный реестр</w:t>
            </w:r>
          </w:p>
        </w:tc>
      </w:tr>
      <w:tr w:rsidR="00472B5B" w:rsidRPr="00206C4C" w:rsidTr="00E9324B">
        <w:tc>
          <w:tcPr>
            <w:tcW w:w="4361" w:type="dxa"/>
            <w:vAlign w:val="center"/>
          </w:tcPr>
          <w:p w:rsidR="00472B5B" w:rsidRPr="00D3000C" w:rsidRDefault="00472B5B" w:rsidP="00E9324B">
            <w:pPr>
              <w:ind w:firstLine="0"/>
              <w:rPr>
                <w:color w:val="000000" w:themeColor="text1"/>
              </w:rPr>
            </w:pPr>
            <w:r w:rsidRPr="00D3000C">
              <w:rPr>
                <w:color w:val="000000" w:themeColor="text1"/>
              </w:rPr>
              <w:t>Оценка численности постоянного населения</w:t>
            </w:r>
          </w:p>
        </w:tc>
        <w:tc>
          <w:tcPr>
            <w:tcW w:w="2551" w:type="dxa"/>
            <w:vAlign w:val="center"/>
          </w:tcPr>
          <w:p w:rsidR="00472B5B" w:rsidRPr="00206C4C" w:rsidRDefault="00472B5B" w:rsidP="00E9324B">
            <w:pPr>
              <w:ind w:firstLine="0"/>
              <w:jc w:val="left"/>
              <w:rPr>
                <w:snapToGrid/>
                <w:color w:val="auto"/>
                <w:szCs w:val="24"/>
              </w:rPr>
            </w:pPr>
            <w:r w:rsidRPr="00206C4C">
              <w:rPr>
                <w:snapToGrid/>
                <w:color w:val="auto"/>
                <w:szCs w:val="24"/>
              </w:rPr>
              <w:t>PIAO_101_022_populationReport</w:t>
            </w:r>
          </w:p>
        </w:tc>
        <w:tc>
          <w:tcPr>
            <w:tcW w:w="2941" w:type="dxa"/>
            <w:vAlign w:val="center"/>
          </w:tcPr>
          <w:p w:rsidR="00472B5B" w:rsidRPr="00206C4C" w:rsidRDefault="00472B5B" w:rsidP="00E9324B">
            <w:pPr>
              <w:ind w:firstLine="0"/>
            </w:pPr>
            <w:r w:rsidRPr="00206C4C">
              <w:t>D_EB_BUDSISTRF</w:t>
            </w:r>
          </w:p>
        </w:tc>
      </w:tr>
      <w:tr w:rsidR="00472B5B" w:rsidRPr="00206C4C" w:rsidTr="00E9324B">
        <w:tc>
          <w:tcPr>
            <w:tcW w:w="9853" w:type="dxa"/>
            <w:gridSpan w:val="3"/>
            <w:vAlign w:val="center"/>
          </w:tcPr>
          <w:p w:rsidR="00472B5B" w:rsidRPr="00206C4C" w:rsidRDefault="00472B5B" w:rsidP="00E9324B">
            <w:pPr>
              <w:ind w:firstLine="0"/>
            </w:pPr>
            <w:r w:rsidRPr="002E3333">
              <w:rPr>
                <w:rStyle w:val="wrf-favorite-tree-cell-text-content"/>
                <w:b/>
              </w:rPr>
              <w:t>Перечни (классификаторы) государственных и муниципальных работ и услуг</w:t>
            </w:r>
          </w:p>
        </w:tc>
      </w:tr>
      <w:tr w:rsidR="00472B5B" w:rsidRPr="00206C4C" w:rsidTr="00E9324B">
        <w:tc>
          <w:tcPr>
            <w:tcW w:w="4361" w:type="dxa"/>
            <w:vAlign w:val="center"/>
          </w:tcPr>
          <w:p w:rsidR="00472B5B" w:rsidRPr="00E11BB2" w:rsidRDefault="00472B5B" w:rsidP="00E9324B">
            <w:pPr>
              <w:ind w:firstLine="0"/>
              <w:rPr>
                <w:color w:val="000000" w:themeColor="text1"/>
              </w:rPr>
            </w:pPr>
            <w:r w:rsidRPr="00E11BB2">
              <w:rPr>
                <w:color w:val="000000" w:themeColor="text1"/>
              </w:rPr>
              <w:t>Базовые (отраслевые) и ведомственные перечни государственных и муниципальных услуг и работ</w:t>
            </w:r>
          </w:p>
        </w:tc>
        <w:tc>
          <w:tcPr>
            <w:tcW w:w="2551" w:type="dxa"/>
            <w:vAlign w:val="center"/>
          </w:tcPr>
          <w:p w:rsidR="00472B5B" w:rsidRPr="00E11BB2" w:rsidRDefault="00472B5B" w:rsidP="00E9324B">
            <w:pPr>
              <w:ind w:firstLine="0"/>
              <w:jc w:val="left"/>
              <w:rPr>
                <w:snapToGrid/>
                <w:color w:val="000000" w:themeColor="text1"/>
                <w:szCs w:val="24"/>
              </w:rPr>
            </w:pPr>
            <w:r w:rsidRPr="00E11BB2">
              <w:rPr>
                <w:snapToGrid/>
                <w:color w:val="000000" w:themeColor="text1"/>
                <w:szCs w:val="24"/>
              </w:rPr>
              <w:t>PIAO_111_004_report</w:t>
            </w:r>
          </w:p>
        </w:tc>
        <w:tc>
          <w:tcPr>
            <w:tcW w:w="2941" w:type="dxa"/>
            <w:vAlign w:val="center"/>
          </w:tcPr>
          <w:p w:rsidR="00472B5B" w:rsidRPr="00E11BB2" w:rsidRDefault="00472B5B" w:rsidP="00E9324B">
            <w:pPr>
              <w:ind w:firstLine="0"/>
              <w:rPr>
                <w:color w:val="000000" w:themeColor="text1"/>
              </w:rPr>
            </w:pPr>
          </w:p>
        </w:tc>
      </w:tr>
      <w:tr w:rsidR="00472B5B" w:rsidRPr="00206C4C" w:rsidTr="00E9324B">
        <w:tc>
          <w:tcPr>
            <w:tcW w:w="9853" w:type="dxa"/>
            <w:gridSpan w:val="3"/>
            <w:vAlign w:val="center"/>
          </w:tcPr>
          <w:p w:rsidR="00472B5B" w:rsidRPr="00E11BB2" w:rsidRDefault="00472B5B" w:rsidP="00E9324B">
            <w:pPr>
              <w:ind w:firstLine="0"/>
              <w:rPr>
                <w:color w:val="000000" w:themeColor="text1"/>
              </w:rPr>
            </w:pPr>
            <w:r>
              <w:rPr>
                <w:rStyle w:val="wrf-favorite-tree-cell-text-content"/>
                <w:b/>
              </w:rPr>
              <w:t>Отчеты по плательщикам и получателям</w:t>
            </w:r>
          </w:p>
        </w:tc>
      </w:tr>
      <w:tr w:rsidR="00472B5B" w:rsidRPr="00206C4C" w:rsidTr="00E9324B">
        <w:tc>
          <w:tcPr>
            <w:tcW w:w="4361" w:type="dxa"/>
            <w:shd w:val="clear" w:color="auto" w:fill="auto"/>
            <w:vAlign w:val="center"/>
          </w:tcPr>
          <w:p w:rsidR="00472B5B" w:rsidRPr="00D81B7E" w:rsidRDefault="00472B5B" w:rsidP="00E9324B">
            <w:pPr>
              <w:ind w:firstLine="0"/>
            </w:pPr>
            <w:r w:rsidRPr="00D81B7E">
              <w:t>Отчеты по плательщикам и получателям</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PIAO_129_000_repor</w:t>
            </w:r>
          </w:p>
        </w:tc>
        <w:tc>
          <w:tcPr>
            <w:tcW w:w="2941" w:type="dxa"/>
            <w:shd w:val="clear" w:color="auto" w:fill="auto"/>
            <w:vAlign w:val="center"/>
          </w:tcPr>
          <w:p w:rsidR="00472B5B" w:rsidRPr="00D81B7E" w:rsidRDefault="00472B5B" w:rsidP="00E9324B">
            <w:pPr>
              <w:ind w:firstLine="34"/>
              <w:rPr>
                <w:color w:val="1F497D"/>
              </w:rPr>
            </w:pPr>
            <w:r w:rsidRPr="00D81B7E">
              <w:rPr>
                <w:szCs w:val="24"/>
              </w:rPr>
              <w:t>F_ASFK_PAYERS – исходная таблица, в которую загружаются данные. Далее для каждого отчета группы преднастроенные партиционированные таблицы.</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об уплате налога на добычу полезных ископаемых в разрезе налогоплательщиков</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PIAO_129_001_report</w:t>
            </w:r>
          </w:p>
        </w:tc>
        <w:tc>
          <w:tcPr>
            <w:tcW w:w="2941" w:type="dxa"/>
            <w:shd w:val="clear" w:color="auto" w:fill="auto"/>
            <w:vAlign w:val="center"/>
          </w:tcPr>
          <w:p w:rsidR="00472B5B" w:rsidRPr="00D81B7E" w:rsidRDefault="00472B5B" w:rsidP="00E9324B">
            <w:pPr>
              <w:ind w:firstLine="34"/>
              <w:rPr>
                <w:color w:val="1F497D"/>
                <w:lang w:val="en-US"/>
              </w:rPr>
            </w:pPr>
            <w:r w:rsidRPr="00D81B7E">
              <w:rPr>
                <w:szCs w:val="24"/>
                <w:lang w:val="en-US"/>
              </w:rPr>
              <w:t>T_ASFK_NDPI_PAYERS_TEMP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 возмещении НДС в разрезе налогоплательщиков</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PIAO_129_002_report</w:t>
            </w:r>
          </w:p>
        </w:tc>
        <w:tc>
          <w:tcPr>
            <w:tcW w:w="2941" w:type="dxa"/>
            <w:shd w:val="clear" w:color="auto" w:fill="auto"/>
            <w:vAlign w:val="center"/>
          </w:tcPr>
          <w:p w:rsidR="00472B5B" w:rsidRPr="00D81B7E" w:rsidRDefault="00472B5B" w:rsidP="00E9324B">
            <w:pPr>
              <w:snapToGrid w:val="0"/>
              <w:spacing w:line="276" w:lineRule="auto"/>
              <w:ind w:firstLine="34"/>
              <w:rPr>
                <w:color w:val="1F497D"/>
                <w:lang w:val="en-US"/>
              </w:rPr>
            </w:pPr>
            <w:r w:rsidRPr="00D81B7E">
              <w:rPr>
                <w:szCs w:val="24"/>
                <w:lang w:val="en-US"/>
              </w:rPr>
              <w:t>T_ASFK_NDS_PAYERS_TEMP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 предоставлении субсидий в разрезе сельхозтоваропроизводителей</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PIAO_129_003_report</w:t>
            </w:r>
          </w:p>
        </w:tc>
        <w:tc>
          <w:tcPr>
            <w:tcW w:w="2941" w:type="dxa"/>
            <w:shd w:val="clear" w:color="auto" w:fill="auto"/>
            <w:vAlign w:val="center"/>
          </w:tcPr>
          <w:p w:rsidR="00472B5B" w:rsidRPr="00D81B7E" w:rsidRDefault="00472B5B" w:rsidP="00E9324B">
            <w:pPr>
              <w:snapToGrid w:val="0"/>
              <w:spacing w:line="276" w:lineRule="auto"/>
              <w:ind w:firstLine="34"/>
              <w:rPr>
                <w:color w:val="1F497D"/>
                <w:lang w:val="en-US"/>
              </w:rPr>
            </w:pPr>
            <w:r w:rsidRPr="00D81B7E">
              <w:rPr>
                <w:szCs w:val="24"/>
                <w:lang w:val="en-US"/>
              </w:rPr>
              <w:t>T_ASFK_FARM_PAYERS_TEMP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 расходах федерального бюджета в разрезе кодов объектов ФАИП</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PIAO_129_004_report</w:t>
            </w:r>
          </w:p>
        </w:tc>
        <w:tc>
          <w:tcPr>
            <w:tcW w:w="2941" w:type="dxa"/>
            <w:shd w:val="clear" w:color="auto" w:fill="auto"/>
            <w:vAlign w:val="center"/>
          </w:tcPr>
          <w:p w:rsidR="00472B5B" w:rsidRPr="00D81B7E" w:rsidRDefault="00472B5B" w:rsidP="00E9324B">
            <w:pPr>
              <w:ind w:firstLine="34"/>
              <w:rPr>
                <w:color w:val="1F497D"/>
                <w:lang w:val="en-US"/>
              </w:rPr>
            </w:pPr>
            <w:r w:rsidRPr="00D81B7E">
              <w:rPr>
                <w:szCs w:val="24"/>
                <w:lang w:val="en-US"/>
              </w:rPr>
              <w:t>T_ASFK_FAIP_PAYERS_TEMP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 доходах ФБ от возврата бюджетами бюджетной системы РФ МБТ, имеющих целевое назначение, прошлых лет</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PIAO_129_005_report</w:t>
            </w:r>
          </w:p>
        </w:tc>
        <w:tc>
          <w:tcPr>
            <w:tcW w:w="2941" w:type="dxa"/>
            <w:shd w:val="clear" w:color="auto" w:fill="auto"/>
            <w:vAlign w:val="center"/>
          </w:tcPr>
          <w:p w:rsidR="00472B5B" w:rsidRPr="00D81B7E" w:rsidRDefault="00472B5B" w:rsidP="00E9324B">
            <w:pPr>
              <w:ind w:firstLine="34"/>
              <w:rPr>
                <w:color w:val="1F497D"/>
                <w:lang w:val="en-US"/>
              </w:rPr>
            </w:pPr>
            <w:r w:rsidRPr="00D81B7E">
              <w:rPr>
                <w:szCs w:val="24"/>
                <w:lang w:val="en-US"/>
              </w:rPr>
              <w:t>T_ASFK_MBT_PAYERS_TEMP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rStyle w:val="tooltip"/>
              </w:rPr>
              <w:t>Информация о возврате доходов ФБ от возврата бюджетами бюджетной системы РФ МБТ, имеющих целевое назначение, прошлых лет</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PIAO_129_006_report</w:t>
            </w:r>
          </w:p>
        </w:tc>
        <w:tc>
          <w:tcPr>
            <w:tcW w:w="2941" w:type="dxa"/>
            <w:shd w:val="clear" w:color="auto" w:fill="auto"/>
            <w:vAlign w:val="center"/>
          </w:tcPr>
          <w:p w:rsidR="00472B5B" w:rsidRPr="00D81B7E" w:rsidRDefault="00472B5B" w:rsidP="00E9324B">
            <w:pPr>
              <w:ind w:firstLine="34"/>
              <w:rPr>
                <w:color w:val="1F497D"/>
                <w:lang w:val="en-US"/>
              </w:rPr>
            </w:pPr>
            <w:r w:rsidRPr="00D81B7E">
              <w:rPr>
                <w:szCs w:val="24"/>
                <w:lang w:val="en-US"/>
              </w:rPr>
              <w:t>T_ASFK_MBT2_PAYERS_TEMP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t>Информация о движении МБТ представленных из ФБ бюджетам субъектов РФ на модернизацию дошкольного образования</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PIAO_129_007_report</w:t>
            </w:r>
          </w:p>
        </w:tc>
        <w:tc>
          <w:tcPr>
            <w:tcW w:w="2941" w:type="dxa"/>
            <w:shd w:val="clear" w:color="auto" w:fill="auto"/>
            <w:vAlign w:val="center"/>
          </w:tcPr>
          <w:p w:rsidR="00472B5B" w:rsidRPr="00D81B7E" w:rsidRDefault="00472B5B" w:rsidP="00E9324B">
            <w:pPr>
              <w:snapToGrid w:val="0"/>
              <w:spacing w:line="276" w:lineRule="auto"/>
              <w:ind w:firstLine="34"/>
              <w:rPr>
                <w:color w:val="1F497D"/>
                <w:lang w:val="en-US"/>
              </w:rPr>
            </w:pPr>
            <w:r w:rsidRPr="00D81B7E">
              <w:rPr>
                <w:szCs w:val="24"/>
                <w:lang w:val="en-US"/>
              </w:rPr>
              <w:t>T_ASFK_MBT3_PAYERS_TEMP</w:t>
            </w:r>
          </w:p>
        </w:tc>
      </w:tr>
      <w:tr w:rsidR="00472B5B" w:rsidRPr="00991B9F" w:rsidTr="00E9324B">
        <w:tc>
          <w:tcPr>
            <w:tcW w:w="4361" w:type="dxa"/>
            <w:shd w:val="clear" w:color="auto" w:fill="auto"/>
            <w:vAlign w:val="center"/>
          </w:tcPr>
          <w:p w:rsidR="00472B5B" w:rsidRPr="00D81B7E" w:rsidRDefault="00472B5B" w:rsidP="00E9324B">
            <w:pPr>
              <w:ind w:firstLine="0"/>
            </w:pPr>
            <w:r w:rsidRPr="00D81B7E">
              <w:rPr>
                <w:snapToGrid/>
                <w:color w:val="auto"/>
                <w:szCs w:val="24"/>
              </w:rPr>
              <w:t>Суммы выбытия свыше 1 млрд. руб.</w:t>
            </w:r>
          </w:p>
        </w:tc>
        <w:tc>
          <w:tcPr>
            <w:tcW w:w="2551" w:type="dxa"/>
            <w:shd w:val="clear" w:color="auto" w:fill="auto"/>
            <w:vAlign w:val="center"/>
          </w:tcPr>
          <w:p w:rsidR="00472B5B" w:rsidRPr="00D81B7E" w:rsidRDefault="00472B5B" w:rsidP="00E9324B">
            <w:pPr>
              <w:ind w:firstLine="34"/>
              <w:rPr>
                <w:color w:val="1F497D"/>
              </w:rPr>
            </w:pPr>
            <w:r w:rsidRPr="00D81B7E">
              <w:rPr>
                <w:snapToGrid/>
                <w:color w:val="auto"/>
                <w:szCs w:val="24"/>
              </w:rPr>
              <w:t>PIAO_129_008_report</w:t>
            </w:r>
          </w:p>
        </w:tc>
        <w:tc>
          <w:tcPr>
            <w:tcW w:w="2941" w:type="dxa"/>
            <w:shd w:val="clear" w:color="auto" w:fill="auto"/>
            <w:vAlign w:val="center"/>
          </w:tcPr>
          <w:p w:rsidR="00472B5B" w:rsidRPr="00D81B7E" w:rsidRDefault="00472B5B" w:rsidP="00E9324B">
            <w:pPr>
              <w:snapToGrid w:val="0"/>
              <w:spacing w:line="276" w:lineRule="auto"/>
              <w:ind w:firstLine="34"/>
              <w:rPr>
                <w:color w:val="1F497D"/>
                <w:lang w:val="en-US"/>
              </w:rPr>
            </w:pPr>
            <w:r w:rsidRPr="00D81B7E">
              <w:rPr>
                <w:szCs w:val="24"/>
                <w:lang w:val="en-US"/>
              </w:rPr>
              <w:t>T_ASFK_BILLION_PAYERS_TEMP</w:t>
            </w:r>
          </w:p>
        </w:tc>
      </w:tr>
      <w:tr w:rsidR="00472B5B" w:rsidRPr="00D81B7E" w:rsidTr="00E9324B">
        <w:tc>
          <w:tcPr>
            <w:tcW w:w="4361" w:type="dxa"/>
            <w:shd w:val="clear" w:color="auto" w:fill="auto"/>
            <w:vAlign w:val="center"/>
          </w:tcPr>
          <w:p w:rsidR="00472B5B" w:rsidRPr="00047306" w:rsidRDefault="00472B5B" w:rsidP="00E9324B">
            <w:pPr>
              <w:ind w:firstLine="0"/>
              <w:rPr>
                <w:snapToGrid/>
                <w:color w:val="auto"/>
                <w:szCs w:val="24"/>
              </w:rPr>
            </w:pPr>
            <w:r w:rsidRPr="00047306">
              <w:rPr>
                <w:snapToGrid/>
                <w:color w:val="auto"/>
                <w:szCs w:val="24"/>
              </w:rPr>
              <w:t>Информация о поступлении основных налогов на территории Российской Федерации в разрезе крупнейших налогоплательщиков</w:t>
            </w:r>
          </w:p>
        </w:tc>
        <w:tc>
          <w:tcPr>
            <w:tcW w:w="2551" w:type="dxa"/>
            <w:shd w:val="clear" w:color="auto" w:fill="auto"/>
            <w:vAlign w:val="center"/>
          </w:tcPr>
          <w:p w:rsidR="00472B5B" w:rsidRPr="00047306" w:rsidRDefault="00472B5B" w:rsidP="00E9324B">
            <w:pPr>
              <w:ind w:firstLine="34"/>
              <w:rPr>
                <w:color w:val="1F497D"/>
              </w:rPr>
            </w:pPr>
            <w:r w:rsidRPr="00047306">
              <w:rPr>
                <w:snapToGrid/>
                <w:color w:val="auto"/>
                <w:szCs w:val="24"/>
              </w:rPr>
              <w:t>PIAO_129_010_report</w:t>
            </w:r>
          </w:p>
        </w:tc>
        <w:tc>
          <w:tcPr>
            <w:tcW w:w="2941" w:type="dxa"/>
            <w:shd w:val="clear" w:color="auto" w:fill="auto"/>
            <w:vAlign w:val="center"/>
          </w:tcPr>
          <w:p w:rsidR="00472B5B" w:rsidRPr="00047306" w:rsidRDefault="00472B5B" w:rsidP="00E9324B">
            <w:pPr>
              <w:ind w:firstLine="34"/>
              <w:rPr>
                <w:color w:val="1F497D"/>
              </w:rPr>
            </w:pPr>
            <w:r w:rsidRPr="00047306">
              <w:rPr>
                <w:szCs w:val="24"/>
              </w:rPr>
              <w:t>F_ASFK_PAYERS</w:t>
            </w:r>
          </w:p>
        </w:tc>
      </w:tr>
    </w:tbl>
    <w:p w:rsidR="00472B5B" w:rsidRPr="00206C4C" w:rsidRDefault="00472B5B" w:rsidP="00862055">
      <w:pPr>
        <w:pStyle w:val="35"/>
        <w:numPr>
          <w:ilvl w:val="2"/>
          <w:numId w:val="135"/>
        </w:numPr>
      </w:pPr>
      <w:bookmarkStart w:id="2071" w:name="_Toc69290161"/>
      <w:bookmarkStart w:id="2072" w:name="_Toc119585127"/>
      <w:r w:rsidRPr="00206C4C">
        <w:t>Отчет «Базовые (отраслевые) и ведомственные перечни государственных и муниципальных услуг и работ»</w:t>
      </w:r>
      <w:bookmarkEnd w:id="2071"/>
      <w:bookmarkEnd w:id="2072"/>
    </w:p>
    <w:p w:rsidR="00472B5B" w:rsidRPr="00206C4C" w:rsidRDefault="00472B5B" w:rsidP="00472B5B">
      <w:pPr>
        <w:pStyle w:val="af0"/>
      </w:pPr>
      <w:r w:rsidRPr="00206C4C">
        <w:t>Отчет «Базовые (отраслевые) и ведомственные перечни государственных и муниципальных услуг и работ» содержит два представления «БПГУ» и «ВПГУ».</w:t>
      </w:r>
    </w:p>
    <w:p w:rsidR="00472B5B" w:rsidRPr="00206C4C" w:rsidRDefault="00472B5B" w:rsidP="00862055">
      <w:pPr>
        <w:pStyle w:val="42"/>
        <w:numPr>
          <w:ilvl w:val="3"/>
          <w:numId w:val="135"/>
        </w:numPr>
      </w:pPr>
      <w:r w:rsidRPr="00206C4C">
        <w:t>Представление «БПГУ»</w:t>
      </w:r>
    </w:p>
    <w:p w:rsidR="00472B5B" w:rsidRPr="00206C4C" w:rsidRDefault="00472B5B" w:rsidP="00472B5B">
      <w:pPr>
        <w:pStyle w:val="af0"/>
        <w:rPr>
          <w:color w:val="auto"/>
          <w:szCs w:val="28"/>
        </w:rPr>
      </w:pPr>
      <w:r w:rsidRPr="00206C4C">
        <w:t>Представление «БПГУ» аналитического отчета «</w:t>
      </w:r>
      <w:r w:rsidRPr="00206C4C">
        <w:rPr>
          <w:color w:val="auto"/>
          <w:szCs w:val="36"/>
        </w:rPr>
        <w:t>Базовые (отраслевые) и ведомственные перечни государственных и муниципальных услуг и работ</w:t>
      </w:r>
      <w:r w:rsidRPr="00206C4C">
        <w:t xml:space="preserve">» обеспечивает сравнительный анализ </w:t>
      </w:r>
      <w:r w:rsidRPr="00206C4C">
        <w:rPr>
          <w:color w:val="auto"/>
          <w:szCs w:val="28"/>
        </w:rPr>
        <w:t xml:space="preserve">базовых (отраслевых) перечней государственных и муниципальных услуг и работ, сформированных в модуле формирования базовых (отраслевых) и ведомственных перечней государственных и муниципальных работ и услуг подсистемы ведения нормативной справочной информации (далее НСИ ЭБ) и размещенных на едином портале бюджетной системы (ЕПБС) (Рисунок </w:t>
      </w:r>
      <w:r w:rsidRPr="00206C4C">
        <w:rPr>
          <w:color w:val="auto"/>
          <w:szCs w:val="28"/>
        </w:rPr>
        <w:fldChar w:fldCharType="begin"/>
      </w:r>
      <w:r w:rsidRPr="00206C4C">
        <w:rPr>
          <w:color w:val="auto"/>
          <w:szCs w:val="28"/>
        </w:rPr>
        <w:instrText xml:space="preserve"> REF _Ref17035389 \h  \* MERGEFORMAT </w:instrText>
      </w:r>
      <w:r w:rsidRPr="00206C4C">
        <w:rPr>
          <w:color w:val="auto"/>
          <w:szCs w:val="28"/>
        </w:rPr>
      </w:r>
      <w:r w:rsidRPr="00206C4C">
        <w:rPr>
          <w:color w:val="auto"/>
          <w:szCs w:val="28"/>
        </w:rPr>
        <w:fldChar w:fldCharType="separate"/>
      </w:r>
      <w:r w:rsidR="00BF0BEE">
        <w:rPr>
          <w:noProof/>
        </w:rPr>
        <w:t>466</w:t>
      </w:r>
      <w:r w:rsidRPr="00206C4C">
        <w:rPr>
          <w:color w:val="auto"/>
          <w:szCs w:val="28"/>
        </w:rPr>
        <w:fldChar w:fldCharType="end"/>
      </w:r>
      <w:r w:rsidRPr="00206C4C">
        <w:rPr>
          <w:color w:val="auto"/>
          <w:szCs w:val="28"/>
        </w:rPr>
        <w:t>).</w:t>
      </w:r>
    </w:p>
    <w:p w:rsidR="00472B5B" w:rsidRPr="00206C4C" w:rsidRDefault="00472B5B" w:rsidP="00472B5B">
      <w:pPr>
        <w:pStyle w:val="afffff7"/>
        <w:keepNext/>
      </w:pPr>
      <w:r w:rsidRPr="00206C4C">
        <w:rPr>
          <w:noProof/>
          <w:lang w:eastAsia="ru-RU"/>
        </w:rPr>
        <w:drawing>
          <wp:inline distT="0" distB="0" distL="0" distR="0" wp14:anchorId="2F4269FD" wp14:editId="21E8CF33">
            <wp:extent cx="5939790" cy="2643349"/>
            <wp:effectExtent l="0" t="0" r="3810" b="5080"/>
            <wp:docPr id="5789" name="Рисунок 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БПГУ.PNG"/>
                    <pic:cNvPicPr/>
                  </pic:nvPicPr>
                  <pic:blipFill>
                    <a:blip r:embed="rId634" cstate="print">
                      <a:extLst>
                        <a:ext uri="{28A0092B-C50C-407E-A947-70E740481C1C}">
                          <a14:useLocalDpi xmlns:a14="http://schemas.microsoft.com/office/drawing/2010/main" val="0"/>
                        </a:ext>
                      </a:extLst>
                    </a:blip>
                    <a:stretch>
                      <a:fillRect/>
                    </a:stretch>
                  </pic:blipFill>
                  <pic:spPr>
                    <a:xfrm>
                      <a:off x="0" y="0"/>
                      <a:ext cx="5939790" cy="2643349"/>
                    </a:xfrm>
                    <a:prstGeom prst="rect">
                      <a:avLst/>
                    </a:prstGeom>
                  </pic:spPr>
                </pic:pic>
              </a:graphicData>
            </a:graphic>
          </wp:inline>
        </w:drawing>
      </w:r>
    </w:p>
    <w:p w:rsidR="00472B5B" w:rsidRPr="00206C4C" w:rsidRDefault="00472B5B" w:rsidP="00472B5B">
      <w:pPr>
        <w:pStyle w:val="-0"/>
      </w:pPr>
      <w:bookmarkStart w:id="2073" w:name="_Toc37845545"/>
      <w:bookmarkStart w:id="2074" w:name="_Toc69290601"/>
      <w:bookmarkStart w:id="2075" w:name="_Toc119584728"/>
      <w:r w:rsidRPr="00206C4C">
        <w:t xml:space="preserve">Рисунок </w:t>
      </w:r>
      <w:fldSimple w:instr=" SEQ Рисунок \* ARABIC ">
        <w:bookmarkStart w:id="2076" w:name="_Ref17035389"/>
        <w:r w:rsidR="001860A9">
          <w:rPr>
            <w:noProof/>
          </w:rPr>
          <w:t>541</w:t>
        </w:r>
        <w:bookmarkEnd w:id="2076"/>
      </w:fldSimple>
      <w:r w:rsidRPr="00206C4C">
        <w:t xml:space="preserve"> – Макет отчета «Базовые (отраслевые) и ведомственные перечни государственных и муниципальных услуг и работ». Представление «БПГУ»</w:t>
      </w:r>
      <w:bookmarkEnd w:id="2073"/>
      <w:bookmarkEnd w:id="2074"/>
      <w:bookmarkEnd w:id="2075"/>
    </w:p>
    <w:p w:rsidR="00472B5B" w:rsidRPr="00206C4C" w:rsidRDefault="00472B5B" w:rsidP="00472B5B">
      <w:pPr>
        <w:pStyle w:val="af0"/>
      </w:pPr>
      <w:r w:rsidRPr="00206C4C">
        <w:t>Отчет строится по следующим таблицам:</w:t>
      </w:r>
    </w:p>
    <w:p w:rsidR="00472B5B" w:rsidRPr="00206C4C" w:rsidRDefault="00472B5B" w:rsidP="00DE1661">
      <w:pPr>
        <w:pStyle w:val="13"/>
      </w:pPr>
      <w:r w:rsidRPr="00206C4C">
        <w:t>D_EB_BASICLISTFOIV;</w:t>
      </w:r>
    </w:p>
    <w:p w:rsidR="00472B5B" w:rsidRPr="003058BC" w:rsidRDefault="00472B5B" w:rsidP="00DE1661">
      <w:pPr>
        <w:pStyle w:val="13"/>
        <w:rPr>
          <w:lang w:val="en-US"/>
        </w:rPr>
      </w:pPr>
      <w:r w:rsidRPr="003058BC">
        <w:rPr>
          <w:lang w:val="en-US"/>
        </w:rPr>
        <w:t>D_EB_BASICLISTSRVC;</w:t>
      </w:r>
    </w:p>
    <w:p w:rsidR="00472B5B" w:rsidRPr="003058BC" w:rsidRDefault="00472B5B" w:rsidP="00DE1661">
      <w:pPr>
        <w:pStyle w:val="13"/>
        <w:rPr>
          <w:lang w:val="en-US"/>
        </w:rPr>
      </w:pPr>
      <w:r w:rsidRPr="003058BC">
        <w:rPr>
          <w:lang w:val="en-US"/>
        </w:rPr>
        <w:t>D_EB_BASICLISTSRVCCONT;</w:t>
      </w:r>
    </w:p>
    <w:p w:rsidR="00472B5B" w:rsidRPr="003058BC" w:rsidRDefault="00472B5B" w:rsidP="00DE1661">
      <w:pPr>
        <w:pStyle w:val="13"/>
        <w:rPr>
          <w:lang w:val="en-US"/>
        </w:rPr>
      </w:pPr>
      <w:r w:rsidRPr="003058BC">
        <w:rPr>
          <w:lang w:val="en-US"/>
        </w:rPr>
        <w:t>D_EB_BASICLISTSRVCTERMS;</w:t>
      </w:r>
    </w:p>
    <w:p w:rsidR="00472B5B" w:rsidRPr="003058BC" w:rsidRDefault="00472B5B" w:rsidP="00DE1661">
      <w:pPr>
        <w:pStyle w:val="13"/>
        <w:rPr>
          <w:lang w:val="en-US" w:eastAsia="x-none"/>
        </w:rPr>
      </w:pPr>
      <w:r w:rsidRPr="003058BC">
        <w:rPr>
          <w:lang w:val="en-US"/>
        </w:rPr>
        <w:t>D_EB_BASICLISTOKPD;</w:t>
      </w:r>
    </w:p>
    <w:p w:rsidR="00472B5B" w:rsidRPr="003058BC" w:rsidRDefault="00472B5B" w:rsidP="00DE1661">
      <w:pPr>
        <w:pStyle w:val="13"/>
        <w:rPr>
          <w:lang w:val="en-US"/>
        </w:rPr>
      </w:pPr>
      <w:r w:rsidRPr="003058BC">
        <w:rPr>
          <w:lang w:val="en-US"/>
        </w:rPr>
        <w:t>D_EB_BASICLISTQUALITY;</w:t>
      </w:r>
    </w:p>
    <w:p w:rsidR="00472B5B" w:rsidRPr="003058BC" w:rsidRDefault="00472B5B" w:rsidP="00DE1661">
      <w:pPr>
        <w:pStyle w:val="13"/>
        <w:rPr>
          <w:lang w:val="en-US" w:eastAsia="x-none"/>
        </w:rPr>
      </w:pPr>
      <w:r w:rsidRPr="003058BC">
        <w:rPr>
          <w:lang w:val="en-US"/>
        </w:rPr>
        <w:t>D_EB_ BASICLISTVOLUME;</w:t>
      </w:r>
    </w:p>
    <w:p w:rsidR="00472B5B" w:rsidRPr="003058BC" w:rsidRDefault="00472B5B" w:rsidP="00DE1661">
      <w:pPr>
        <w:pStyle w:val="13"/>
        <w:rPr>
          <w:lang w:val="en-US"/>
        </w:rPr>
      </w:pPr>
      <w:r w:rsidRPr="003058BC">
        <w:rPr>
          <w:lang w:val="en-US"/>
        </w:rPr>
        <w:t>D_EB_BASICLISTNPA;</w:t>
      </w:r>
    </w:p>
    <w:p w:rsidR="00472B5B" w:rsidRPr="003058BC" w:rsidRDefault="00472B5B" w:rsidP="00DE1661">
      <w:pPr>
        <w:pStyle w:val="13"/>
        <w:rPr>
          <w:lang w:val="en-US"/>
        </w:rPr>
      </w:pPr>
      <w:r w:rsidRPr="003058BC">
        <w:rPr>
          <w:lang w:val="en-US"/>
        </w:rPr>
        <w:t>D_EB_BASICLISTOKVED;</w:t>
      </w:r>
    </w:p>
    <w:p w:rsidR="00472B5B" w:rsidRPr="003058BC" w:rsidRDefault="00472B5B" w:rsidP="00DE1661">
      <w:pPr>
        <w:pStyle w:val="13"/>
        <w:rPr>
          <w:lang w:val="en-US"/>
        </w:rPr>
      </w:pPr>
      <w:r w:rsidRPr="003058BC">
        <w:rPr>
          <w:lang w:val="en-US"/>
        </w:rPr>
        <w:t>D_EB_BASICLISTPPO;</w:t>
      </w:r>
    </w:p>
    <w:p w:rsidR="00472B5B" w:rsidRPr="003058BC" w:rsidRDefault="00472B5B" w:rsidP="00DE1661">
      <w:pPr>
        <w:pStyle w:val="13"/>
        <w:rPr>
          <w:lang w:val="en-US"/>
        </w:rPr>
      </w:pPr>
      <w:r w:rsidRPr="003058BC">
        <w:rPr>
          <w:lang w:val="en-US"/>
        </w:rPr>
        <w:t>D_EB_BASICLISTPAID;</w:t>
      </w:r>
    </w:p>
    <w:p w:rsidR="00472B5B" w:rsidRPr="003058BC" w:rsidRDefault="00472B5B" w:rsidP="00DE1661">
      <w:pPr>
        <w:pStyle w:val="13"/>
        <w:rPr>
          <w:lang w:val="en-US"/>
        </w:rPr>
      </w:pPr>
      <w:r w:rsidRPr="003058BC">
        <w:rPr>
          <w:lang w:val="en-US"/>
        </w:rPr>
        <w:t>D_EB_BASICLISTCONS;</w:t>
      </w:r>
    </w:p>
    <w:p w:rsidR="00472B5B" w:rsidRPr="003058BC" w:rsidRDefault="00472B5B" w:rsidP="00DE1661">
      <w:pPr>
        <w:pStyle w:val="13"/>
        <w:rPr>
          <w:lang w:val="en-US"/>
        </w:rPr>
      </w:pPr>
      <w:r w:rsidRPr="003058BC">
        <w:rPr>
          <w:lang w:val="en-US"/>
        </w:rPr>
        <w:t>D_EB_BASICLISTINST;</w:t>
      </w:r>
    </w:p>
    <w:p w:rsidR="00472B5B" w:rsidRPr="003058BC" w:rsidRDefault="00472B5B" w:rsidP="00DE1661">
      <w:pPr>
        <w:pStyle w:val="13"/>
        <w:rPr>
          <w:lang w:val="en-US"/>
        </w:rPr>
      </w:pPr>
      <w:r w:rsidRPr="003058BC">
        <w:rPr>
          <w:lang w:val="en-US"/>
        </w:rPr>
        <w:t>D_EB_BASICLISTS;</w:t>
      </w:r>
    </w:p>
    <w:p w:rsidR="00472B5B" w:rsidRPr="003058BC" w:rsidRDefault="00472B5B" w:rsidP="00DE1661">
      <w:pPr>
        <w:pStyle w:val="13"/>
        <w:rPr>
          <w:lang w:val="en-US"/>
        </w:rPr>
      </w:pPr>
      <w:r w:rsidRPr="003058BC">
        <w:rPr>
          <w:lang w:val="en-US"/>
        </w:rPr>
        <w:t>D_BL_ATTACHMENT.</w:t>
      </w:r>
    </w:p>
    <w:p w:rsidR="00472B5B" w:rsidRPr="00206C4C" w:rsidRDefault="00472B5B" w:rsidP="00472B5B">
      <w:pPr>
        <w:rPr>
          <w:sz w:val="28"/>
          <w:szCs w:val="28"/>
        </w:rPr>
      </w:pPr>
      <w:r w:rsidRPr="00206C4C">
        <w:rPr>
          <w:sz w:val="28"/>
          <w:szCs w:val="28"/>
        </w:rPr>
        <w:t>Параметры представления:</w:t>
      </w:r>
    </w:p>
    <w:p w:rsidR="00472B5B" w:rsidRPr="00206C4C" w:rsidRDefault="00472B5B" w:rsidP="00DE1661">
      <w:pPr>
        <w:pStyle w:val="13"/>
      </w:pPr>
      <w:r w:rsidRPr="00206C4C">
        <w:t>Поиск по наименование или код по сводному реестру ФОИВ.</w:t>
      </w:r>
    </w:p>
    <w:p w:rsidR="00472B5B" w:rsidRPr="00206C4C" w:rsidRDefault="00472B5B" w:rsidP="00472B5B">
      <w:pPr>
        <w:rPr>
          <w:sz w:val="28"/>
          <w:szCs w:val="28"/>
        </w:rPr>
      </w:pPr>
      <w:r w:rsidRPr="00206C4C">
        <w:rPr>
          <w:sz w:val="28"/>
          <w:szCs w:val="28"/>
        </w:rPr>
        <w:t>Состав и принципы формирования показателей представления:</w:t>
      </w:r>
    </w:p>
    <w:p w:rsidR="00472B5B" w:rsidRPr="00206C4C" w:rsidRDefault="00472B5B" w:rsidP="00DE1661">
      <w:pPr>
        <w:pStyle w:val="13"/>
      </w:pPr>
      <w:r w:rsidRPr="00206C4C">
        <w:t>«Количество реестровых записей в НСИ ЭБ» рассчитывается как число актуальных реестровых записей, сформированных в НСИ ЭБ на текущую дату;</w:t>
      </w:r>
    </w:p>
    <w:p w:rsidR="00472B5B" w:rsidRPr="00206C4C" w:rsidRDefault="00472B5B" w:rsidP="00DE1661">
      <w:pPr>
        <w:pStyle w:val="13"/>
      </w:pPr>
      <w:r w:rsidRPr="00206C4C">
        <w:rPr>
          <w:bCs/>
        </w:rPr>
        <w:t xml:space="preserve"> «Количество реестровых записей на ЕПБС» </w:t>
      </w:r>
      <w:r w:rsidRPr="00206C4C">
        <w:t>рассчитывается как число актуальных реестровых записей, размещенных на ЕПБС на текущую дату;</w:t>
      </w:r>
    </w:p>
    <w:p w:rsidR="00472B5B" w:rsidRPr="00206C4C" w:rsidRDefault="00472B5B" w:rsidP="00DE1661">
      <w:pPr>
        <w:pStyle w:val="13"/>
      </w:pPr>
      <w:r w:rsidRPr="00206C4C">
        <w:rPr>
          <w:bCs/>
        </w:rPr>
        <w:t>Процент</w:t>
      </w:r>
      <w:r w:rsidRPr="00206C4C">
        <w:t xml:space="preserve"> рассчитывается как соотношение количества реестровых записей, размещенных на ЕПБС к общему количеству реестровых записей, сформированных в НСИ ЭБ.</w:t>
      </w:r>
    </w:p>
    <w:p w:rsidR="00472B5B" w:rsidRPr="00206C4C" w:rsidRDefault="00472B5B" w:rsidP="00862055">
      <w:pPr>
        <w:pStyle w:val="42"/>
        <w:numPr>
          <w:ilvl w:val="3"/>
          <w:numId w:val="135"/>
        </w:numPr>
      </w:pPr>
      <w:bookmarkStart w:id="2077" w:name="_Toc16755296"/>
      <w:r w:rsidRPr="00206C4C">
        <w:t>Представление «ВПГУ»</w:t>
      </w:r>
      <w:bookmarkEnd w:id="2077"/>
    </w:p>
    <w:p w:rsidR="00472B5B" w:rsidRPr="00206C4C" w:rsidRDefault="00472B5B" w:rsidP="00472B5B">
      <w:pPr>
        <w:pStyle w:val="af0"/>
      </w:pPr>
      <w:r w:rsidRPr="00206C4C">
        <w:t>Представление «ВПГУ» аналитического отчета «</w:t>
      </w:r>
      <w:r w:rsidRPr="00206C4C">
        <w:rPr>
          <w:color w:val="auto"/>
          <w:szCs w:val="36"/>
        </w:rPr>
        <w:t>Базовые (отраслевые) и ведомственные перечни государственных и муниципальных услуг и работ</w:t>
      </w:r>
      <w:r w:rsidRPr="00206C4C">
        <w:t xml:space="preserve">» обеспечивает сравнительный анализ </w:t>
      </w:r>
      <w:r w:rsidRPr="00206C4C">
        <w:rPr>
          <w:color w:val="auto"/>
          <w:szCs w:val="28"/>
        </w:rPr>
        <w:t xml:space="preserve">ведомственных перечней государственных и муниципальных услуг и работ, сформированных в модуле формирования базовых (отраслевых) и ведомственных перечней государственных и муниципальных работ и услуг подсистемы ведения нормативной справочной информации (далее НСИ ЭБ) и размещенных на едином портале бюджетной системы (ЕПБС) (Рисунок </w:t>
      </w:r>
      <w:r w:rsidRPr="00206C4C">
        <w:rPr>
          <w:color w:val="auto"/>
          <w:szCs w:val="28"/>
        </w:rPr>
        <w:fldChar w:fldCharType="begin"/>
      </w:r>
      <w:r w:rsidRPr="00206C4C">
        <w:rPr>
          <w:color w:val="auto"/>
          <w:szCs w:val="28"/>
        </w:rPr>
        <w:instrText xml:space="preserve"> REF _Ref17035390 \h  \* MERGEFORMAT </w:instrText>
      </w:r>
      <w:r w:rsidRPr="00206C4C">
        <w:rPr>
          <w:color w:val="auto"/>
          <w:szCs w:val="28"/>
        </w:rPr>
      </w:r>
      <w:r w:rsidRPr="00206C4C">
        <w:rPr>
          <w:color w:val="auto"/>
          <w:szCs w:val="28"/>
        </w:rPr>
        <w:fldChar w:fldCharType="separate"/>
      </w:r>
      <w:r w:rsidR="00BF0BEE">
        <w:rPr>
          <w:noProof/>
        </w:rPr>
        <w:t>467</w:t>
      </w:r>
      <w:r w:rsidRPr="00206C4C">
        <w:rPr>
          <w:color w:val="auto"/>
          <w:szCs w:val="28"/>
        </w:rPr>
        <w:fldChar w:fldCharType="end"/>
      </w:r>
      <w:r w:rsidRPr="00206C4C">
        <w:rPr>
          <w:color w:val="auto"/>
          <w:szCs w:val="28"/>
        </w:rPr>
        <w:t>)</w:t>
      </w:r>
      <w:r w:rsidRPr="00206C4C">
        <w:t>.</w:t>
      </w:r>
    </w:p>
    <w:p w:rsidR="00472B5B" w:rsidRPr="00206C4C" w:rsidRDefault="00472B5B" w:rsidP="00472B5B">
      <w:pPr>
        <w:pStyle w:val="afffff7"/>
        <w:keepNext/>
      </w:pPr>
      <w:r w:rsidRPr="00206C4C">
        <w:rPr>
          <w:noProof/>
          <w:lang w:eastAsia="ru-RU"/>
        </w:rPr>
        <w:drawing>
          <wp:inline distT="0" distB="0" distL="0" distR="0" wp14:anchorId="7B61AB85" wp14:editId="6CFDFEE8">
            <wp:extent cx="5939790" cy="2649872"/>
            <wp:effectExtent l="0" t="0" r="3810" b="0"/>
            <wp:docPr id="5790" name="Рисунок 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ВПГУ.PNG"/>
                    <pic:cNvPicPr/>
                  </pic:nvPicPr>
                  <pic:blipFill>
                    <a:blip r:embed="rId635" cstate="print">
                      <a:extLst>
                        <a:ext uri="{28A0092B-C50C-407E-A947-70E740481C1C}">
                          <a14:useLocalDpi xmlns:a14="http://schemas.microsoft.com/office/drawing/2010/main" val="0"/>
                        </a:ext>
                      </a:extLst>
                    </a:blip>
                    <a:stretch>
                      <a:fillRect/>
                    </a:stretch>
                  </pic:blipFill>
                  <pic:spPr>
                    <a:xfrm>
                      <a:off x="0" y="0"/>
                      <a:ext cx="5939790" cy="2649872"/>
                    </a:xfrm>
                    <a:prstGeom prst="rect">
                      <a:avLst/>
                    </a:prstGeom>
                  </pic:spPr>
                </pic:pic>
              </a:graphicData>
            </a:graphic>
          </wp:inline>
        </w:drawing>
      </w:r>
    </w:p>
    <w:p w:rsidR="00472B5B" w:rsidRPr="00206C4C" w:rsidRDefault="00472B5B" w:rsidP="00472B5B">
      <w:pPr>
        <w:pStyle w:val="-0"/>
      </w:pPr>
      <w:bookmarkStart w:id="2078" w:name="_Toc37845546"/>
      <w:bookmarkStart w:id="2079" w:name="_Toc69290602"/>
      <w:bookmarkStart w:id="2080" w:name="_Toc119584729"/>
      <w:r w:rsidRPr="00206C4C">
        <w:t xml:space="preserve">Рисунок </w:t>
      </w:r>
      <w:fldSimple w:instr=" SEQ Рисунок \* ARABIC ">
        <w:bookmarkStart w:id="2081" w:name="_Ref17035390"/>
        <w:r w:rsidR="001860A9">
          <w:rPr>
            <w:noProof/>
          </w:rPr>
          <w:t>542</w:t>
        </w:r>
        <w:bookmarkEnd w:id="2081"/>
      </w:fldSimple>
      <w:r w:rsidRPr="00206C4C">
        <w:t xml:space="preserve"> – Макет отчета «Базовые (отраслевые) и ведомственные перечни государственных и муниципальных услуг и работ». Представление «ВПГУ»</w:t>
      </w:r>
      <w:bookmarkEnd w:id="2078"/>
      <w:bookmarkEnd w:id="2079"/>
      <w:bookmarkEnd w:id="2080"/>
    </w:p>
    <w:p w:rsidR="00472B5B" w:rsidRPr="00206C4C" w:rsidRDefault="00472B5B" w:rsidP="00472B5B">
      <w:pPr>
        <w:pStyle w:val="af0"/>
      </w:pPr>
      <w:r w:rsidRPr="00206C4C">
        <w:t>Отчет строится по таблицам:</w:t>
      </w:r>
    </w:p>
    <w:p w:rsidR="00472B5B" w:rsidRPr="00206C4C" w:rsidRDefault="00472B5B" w:rsidP="00DE1661">
      <w:pPr>
        <w:pStyle w:val="13"/>
      </w:pPr>
      <w:r w:rsidRPr="00206C4C">
        <w:t>D_DL_DEPLISTSRV;</w:t>
      </w:r>
    </w:p>
    <w:p w:rsidR="00472B5B" w:rsidRPr="00206C4C" w:rsidRDefault="00472B5B" w:rsidP="00DE1661">
      <w:pPr>
        <w:pStyle w:val="13"/>
      </w:pPr>
      <w:r w:rsidRPr="00206C4C">
        <w:t>D_DL_STATEINFO;</w:t>
      </w:r>
    </w:p>
    <w:p w:rsidR="00472B5B" w:rsidRPr="003058BC" w:rsidRDefault="00472B5B" w:rsidP="00DE1661">
      <w:pPr>
        <w:pStyle w:val="13"/>
        <w:rPr>
          <w:lang w:val="en-US"/>
        </w:rPr>
      </w:pPr>
      <w:r w:rsidRPr="003058BC">
        <w:rPr>
          <w:lang w:val="en-US"/>
        </w:rPr>
        <w:t>D_EB_BASICLISTSRVCCONT;</w:t>
      </w:r>
    </w:p>
    <w:p w:rsidR="00472B5B" w:rsidRPr="003058BC" w:rsidRDefault="00472B5B" w:rsidP="00DE1661">
      <w:pPr>
        <w:pStyle w:val="13"/>
        <w:rPr>
          <w:lang w:val="en-US"/>
        </w:rPr>
      </w:pPr>
      <w:r w:rsidRPr="003058BC">
        <w:rPr>
          <w:lang w:val="en-US"/>
        </w:rPr>
        <w:t>D_EB_BASICLISTSRVCTERMS;</w:t>
      </w:r>
    </w:p>
    <w:p w:rsidR="00472B5B" w:rsidRPr="003058BC" w:rsidRDefault="00472B5B" w:rsidP="00DE1661">
      <w:pPr>
        <w:pStyle w:val="13"/>
        <w:rPr>
          <w:lang w:val="en-US"/>
        </w:rPr>
      </w:pPr>
      <w:r w:rsidRPr="003058BC">
        <w:rPr>
          <w:lang w:val="en-US"/>
        </w:rPr>
        <w:t>D_EB_BASICLISTOKPD;</w:t>
      </w:r>
    </w:p>
    <w:p w:rsidR="00472B5B" w:rsidRPr="003058BC" w:rsidRDefault="00472B5B" w:rsidP="00DE1661">
      <w:pPr>
        <w:pStyle w:val="13"/>
        <w:rPr>
          <w:lang w:val="en-US"/>
        </w:rPr>
      </w:pPr>
      <w:r w:rsidRPr="003058BC">
        <w:rPr>
          <w:lang w:val="en-US"/>
        </w:rPr>
        <w:t>D_EB_BASICLISTQUALITY;</w:t>
      </w:r>
    </w:p>
    <w:p w:rsidR="00472B5B" w:rsidRPr="003058BC" w:rsidRDefault="00472B5B" w:rsidP="00DE1661">
      <w:pPr>
        <w:pStyle w:val="13"/>
        <w:rPr>
          <w:lang w:val="en-US"/>
        </w:rPr>
      </w:pPr>
      <w:r w:rsidRPr="003058BC">
        <w:rPr>
          <w:lang w:val="en-US"/>
        </w:rPr>
        <w:t>D_EB_ BASICLISTVOLUME;</w:t>
      </w:r>
    </w:p>
    <w:p w:rsidR="00472B5B" w:rsidRPr="003058BC" w:rsidRDefault="00472B5B" w:rsidP="00DE1661">
      <w:pPr>
        <w:pStyle w:val="13"/>
        <w:rPr>
          <w:lang w:val="en-US"/>
        </w:rPr>
      </w:pPr>
      <w:r w:rsidRPr="003058BC">
        <w:rPr>
          <w:lang w:val="en-US"/>
        </w:rPr>
        <w:t>D_EB_BASICLISTNPA;</w:t>
      </w:r>
    </w:p>
    <w:p w:rsidR="00472B5B" w:rsidRPr="003058BC" w:rsidRDefault="00472B5B" w:rsidP="00DE1661">
      <w:pPr>
        <w:pStyle w:val="13"/>
        <w:rPr>
          <w:lang w:val="en-US"/>
        </w:rPr>
      </w:pPr>
      <w:r w:rsidRPr="003058BC">
        <w:rPr>
          <w:lang w:val="en-US"/>
        </w:rPr>
        <w:t>D_EB_BASICLISTOKVED;</w:t>
      </w:r>
    </w:p>
    <w:p w:rsidR="00472B5B" w:rsidRPr="003058BC" w:rsidRDefault="00472B5B" w:rsidP="00DE1661">
      <w:pPr>
        <w:pStyle w:val="13"/>
        <w:rPr>
          <w:lang w:val="en-US"/>
        </w:rPr>
      </w:pPr>
      <w:r w:rsidRPr="003058BC">
        <w:rPr>
          <w:lang w:val="en-US"/>
        </w:rPr>
        <w:t>D_EB_BASICLISTPAID;</w:t>
      </w:r>
    </w:p>
    <w:p w:rsidR="00472B5B" w:rsidRPr="003058BC" w:rsidRDefault="00472B5B" w:rsidP="00DE1661">
      <w:pPr>
        <w:pStyle w:val="13"/>
        <w:rPr>
          <w:lang w:val="en-US"/>
        </w:rPr>
      </w:pPr>
      <w:r w:rsidRPr="003058BC">
        <w:rPr>
          <w:lang w:val="en-US"/>
        </w:rPr>
        <w:t>D_EB_BASICLISTCONS;</w:t>
      </w:r>
    </w:p>
    <w:p w:rsidR="00472B5B" w:rsidRPr="003058BC" w:rsidRDefault="00472B5B" w:rsidP="00DE1661">
      <w:pPr>
        <w:pStyle w:val="13"/>
        <w:rPr>
          <w:lang w:val="en-US"/>
        </w:rPr>
      </w:pPr>
      <w:r w:rsidRPr="003058BC">
        <w:rPr>
          <w:lang w:val="en-US"/>
        </w:rPr>
        <w:t>D_EB_BASICLISTINST;</w:t>
      </w:r>
    </w:p>
    <w:p w:rsidR="00472B5B" w:rsidRPr="003058BC" w:rsidRDefault="00472B5B" w:rsidP="00DE1661">
      <w:pPr>
        <w:pStyle w:val="13"/>
        <w:rPr>
          <w:lang w:val="en-US"/>
        </w:rPr>
      </w:pPr>
      <w:r w:rsidRPr="003058BC">
        <w:rPr>
          <w:lang w:val="en-US"/>
        </w:rPr>
        <w:t>D_DL_PPOTERR;</w:t>
      </w:r>
    </w:p>
    <w:p w:rsidR="00472B5B" w:rsidRPr="003058BC" w:rsidRDefault="00472B5B" w:rsidP="00DE1661">
      <w:pPr>
        <w:pStyle w:val="13"/>
        <w:rPr>
          <w:lang w:val="en-US"/>
        </w:rPr>
      </w:pPr>
      <w:r w:rsidRPr="003058BC">
        <w:rPr>
          <w:lang w:val="en-US"/>
        </w:rPr>
        <w:t>D_DL_DEPLISTS.</w:t>
      </w:r>
    </w:p>
    <w:p w:rsidR="00472B5B" w:rsidRPr="00206C4C" w:rsidRDefault="00472B5B" w:rsidP="00472B5B">
      <w:pPr>
        <w:rPr>
          <w:sz w:val="28"/>
          <w:szCs w:val="28"/>
        </w:rPr>
      </w:pPr>
      <w:r w:rsidRPr="00206C4C">
        <w:rPr>
          <w:sz w:val="28"/>
          <w:szCs w:val="28"/>
        </w:rPr>
        <w:t>Параметры представления:</w:t>
      </w:r>
    </w:p>
    <w:p w:rsidR="00472B5B" w:rsidRPr="00206C4C" w:rsidRDefault="00472B5B" w:rsidP="00DE1661">
      <w:pPr>
        <w:pStyle w:val="13"/>
      </w:pPr>
      <w:r w:rsidRPr="00206C4C">
        <w:t>Поиск по наименованию учредителя (наименованием организации по сводному реестру в Реестре участников и неучастников бюджетного процесса).</w:t>
      </w:r>
    </w:p>
    <w:p w:rsidR="00472B5B" w:rsidRPr="00206C4C" w:rsidRDefault="00472B5B" w:rsidP="00472B5B">
      <w:pPr>
        <w:rPr>
          <w:sz w:val="28"/>
          <w:szCs w:val="28"/>
        </w:rPr>
      </w:pPr>
      <w:r w:rsidRPr="00206C4C">
        <w:rPr>
          <w:sz w:val="28"/>
          <w:szCs w:val="28"/>
        </w:rPr>
        <w:t>Состав и принципы формирования показателей представления:</w:t>
      </w:r>
    </w:p>
    <w:p w:rsidR="00472B5B" w:rsidRPr="00206C4C" w:rsidRDefault="00472B5B" w:rsidP="00DE1661">
      <w:pPr>
        <w:pStyle w:val="13"/>
      </w:pPr>
      <w:r w:rsidRPr="00206C4C">
        <w:t>«Количество реестровых записей в НСИ ЭБ» рассчитывается как число актуальных реестровых записей, сформированных в НСИ ЭБ на текущую дату;</w:t>
      </w:r>
    </w:p>
    <w:p w:rsidR="00472B5B" w:rsidRPr="00206C4C" w:rsidRDefault="00472B5B" w:rsidP="00DE1661">
      <w:pPr>
        <w:pStyle w:val="13"/>
      </w:pPr>
      <w:r w:rsidRPr="00206C4C">
        <w:rPr>
          <w:bCs/>
        </w:rPr>
        <w:t xml:space="preserve"> «Количество реестровых записей на ЕПБС» </w:t>
      </w:r>
      <w:r w:rsidRPr="00206C4C">
        <w:t>рассчитывается как число актуальных реестровых записей, размещенных на ЕПБС на текущую дату;</w:t>
      </w:r>
    </w:p>
    <w:p w:rsidR="00472B5B" w:rsidRDefault="00472B5B" w:rsidP="00DE1661">
      <w:pPr>
        <w:pStyle w:val="13"/>
        <w:rPr>
          <w:lang w:eastAsia="en-US"/>
        </w:rPr>
      </w:pPr>
      <w:r w:rsidRPr="00206C4C">
        <w:rPr>
          <w:bCs/>
        </w:rPr>
        <w:t>Процент</w:t>
      </w:r>
      <w:r w:rsidRPr="00206C4C">
        <w:t xml:space="preserve"> рассчитывается как соотношение количества реестровых записей, размещенных на ЕПБС к общему количеству реестровых записей, сформированных в НСИ ЭБ.</w:t>
      </w:r>
    </w:p>
    <w:p w:rsidR="00472B5B" w:rsidRPr="00206C4C" w:rsidRDefault="00472B5B" w:rsidP="00862055">
      <w:pPr>
        <w:pStyle w:val="35"/>
        <w:numPr>
          <w:ilvl w:val="2"/>
          <w:numId w:val="135"/>
        </w:numPr>
      </w:pPr>
      <w:bookmarkStart w:id="2082" w:name="_Toc37845316"/>
      <w:bookmarkStart w:id="2083" w:name="_Toc69290162"/>
      <w:bookmarkStart w:id="2084" w:name="_Toc119585128"/>
      <w:r w:rsidRPr="00206C4C">
        <w:t>Отчет «Информация об уплате налога на добычу полезных ископаемых в разрезе налогоплательщиков»</w:t>
      </w:r>
      <w:bookmarkEnd w:id="2082"/>
      <w:bookmarkEnd w:id="2083"/>
      <w:bookmarkEnd w:id="2084"/>
    </w:p>
    <w:p w:rsidR="00472B5B" w:rsidRPr="00206C4C" w:rsidRDefault="00472B5B" w:rsidP="00472B5B">
      <w:pPr>
        <w:pStyle w:val="af0"/>
      </w:pPr>
      <w:r w:rsidRPr="00206C4C">
        <w:rPr>
          <w:szCs w:val="28"/>
        </w:rPr>
        <w:t xml:space="preserve">Аналитический отчет об уплате налога на добычу полезных ископаемых в разрезе налогоплательщиков обеспечивает возможность мониторинга информации о суммах платежей по НДПИ в разрезе плательщиков (Рисунок </w:t>
      </w:r>
      <w:r w:rsidRPr="00206C4C">
        <w:rPr>
          <w:szCs w:val="28"/>
        </w:rPr>
        <w:fldChar w:fldCharType="begin"/>
      </w:r>
      <w:r w:rsidRPr="00206C4C">
        <w:rPr>
          <w:szCs w:val="28"/>
        </w:rPr>
        <w:instrText xml:space="preserve"> REF _Ref16180565 \h  \* MERGEFORMAT </w:instrText>
      </w:r>
      <w:r w:rsidRPr="00206C4C">
        <w:rPr>
          <w:szCs w:val="28"/>
        </w:rPr>
      </w:r>
      <w:r w:rsidRPr="00206C4C">
        <w:rPr>
          <w:szCs w:val="28"/>
        </w:rPr>
        <w:fldChar w:fldCharType="separate"/>
      </w:r>
      <w:r w:rsidR="00BF0BEE">
        <w:rPr>
          <w:noProof/>
        </w:rPr>
        <w:t>468</w:t>
      </w:r>
      <w:r w:rsidRPr="00206C4C">
        <w:rPr>
          <w:szCs w:val="28"/>
        </w:rPr>
        <w:fldChar w:fldCharType="end"/>
      </w:r>
      <w:r w:rsidRPr="00206C4C">
        <w:rPr>
          <w:szCs w:val="28"/>
        </w:rPr>
        <w:t>).</w:t>
      </w:r>
    </w:p>
    <w:p w:rsidR="00472B5B" w:rsidRPr="00206C4C" w:rsidRDefault="00472B5B" w:rsidP="00472B5B">
      <w:pPr>
        <w:pStyle w:val="afffff7"/>
        <w:keepNext/>
      </w:pPr>
      <w:r w:rsidRPr="00206C4C">
        <w:rPr>
          <w:noProof/>
          <w:lang w:eastAsia="ru-RU"/>
        </w:rPr>
        <w:drawing>
          <wp:inline distT="0" distB="0" distL="0" distR="0" wp14:anchorId="6728F234" wp14:editId="28E0B2B2">
            <wp:extent cx="5939790" cy="2858014"/>
            <wp:effectExtent l="0" t="0" r="381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6"/>
                    <a:stretch>
                      <a:fillRect/>
                    </a:stretch>
                  </pic:blipFill>
                  <pic:spPr>
                    <a:xfrm>
                      <a:off x="0" y="0"/>
                      <a:ext cx="5939790" cy="2858014"/>
                    </a:xfrm>
                    <a:prstGeom prst="rect">
                      <a:avLst/>
                    </a:prstGeom>
                  </pic:spPr>
                </pic:pic>
              </a:graphicData>
            </a:graphic>
          </wp:inline>
        </w:drawing>
      </w:r>
    </w:p>
    <w:p w:rsidR="00472B5B" w:rsidRPr="00206C4C" w:rsidRDefault="00472B5B" w:rsidP="00472B5B">
      <w:pPr>
        <w:pStyle w:val="-0"/>
      </w:pPr>
      <w:bookmarkStart w:id="2085" w:name="_Toc37845525"/>
      <w:bookmarkStart w:id="2086" w:name="_Toc69290603"/>
      <w:bookmarkStart w:id="2087" w:name="_Toc119584730"/>
      <w:r w:rsidRPr="00206C4C">
        <w:t xml:space="preserve">Рисунок </w:t>
      </w:r>
      <w:fldSimple w:instr=" SEQ Рисунок \* ARABIC ">
        <w:bookmarkStart w:id="2088" w:name="_Ref16180565"/>
        <w:r w:rsidR="001860A9">
          <w:rPr>
            <w:noProof/>
          </w:rPr>
          <w:t>543</w:t>
        </w:r>
        <w:bookmarkEnd w:id="2088"/>
      </w:fldSimple>
      <w:r w:rsidRPr="00206C4C">
        <w:t xml:space="preserve"> – Макет отчета «Информации об уплате налога на добычу полезных ископаемых в разрезе налогоплательщиков»</w:t>
      </w:r>
      <w:bookmarkEnd w:id="2085"/>
      <w:bookmarkEnd w:id="2086"/>
      <w:bookmarkEnd w:id="2087"/>
    </w:p>
    <w:p w:rsidR="00472B5B" w:rsidRPr="00206C4C" w:rsidRDefault="00472B5B" w:rsidP="00472B5B">
      <w:pPr>
        <w:pStyle w:val="af0"/>
      </w:pPr>
      <w:r w:rsidRPr="00206C4C">
        <w:t>Отчет формируется на основе преднастроенной таблицы T_ASFK_NDPI_PAYERS_TEMP.</w:t>
      </w:r>
    </w:p>
    <w:p w:rsidR="00472B5B" w:rsidRPr="00206C4C" w:rsidRDefault="00472B5B" w:rsidP="00472B5B">
      <w:pPr>
        <w:pStyle w:val="af0"/>
      </w:pPr>
      <w:r w:rsidRPr="00206C4C">
        <w:t>Параметры:</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плательщика. При поиске предлагать пользователю варианты из существующих записей;</w:t>
      </w:r>
    </w:p>
    <w:p w:rsidR="00472B5B" w:rsidRPr="00206C4C" w:rsidRDefault="00472B5B" w:rsidP="00DE1661">
      <w:pPr>
        <w:pStyle w:val="13"/>
      </w:pPr>
      <w:r w:rsidRPr="00206C4C">
        <w:t>Поиск по коду дохода: пользователь вводит код или часть кода и таблица фильтруется по этим записям;</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номеру лицевого счета;</w:t>
      </w:r>
    </w:p>
    <w:p w:rsidR="00472B5B" w:rsidRPr="00206C4C" w:rsidRDefault="00472B5B" w:rsidP="00DE1661">
      <w:pPr>
        <w:pStyle w:val="13"/>
      </w:pPr>
      <w:r w:rsidRPr="00206C4C">
        <w:t>Поиск по дате платежа и сумме платежа.</w:t>
      </w:r>
    </w:p>
    <w:p w:rsidR="00472B5B" w:rsidRPr="00206C4C" w:rsidRDefault="00472B5B" w:rsidP="00DE1661">
      <w:pPr>
        <w:pStyle w:val="13"/>
      </w:pPr>
      <w:r w:rsidRPr="00206C4C">
        <w:t>ГАДБ: выпадающий список с перечнем наименований ГАДБ и их кодов.</w:t>
      </w:r>
    </w:p>
    <w:p w:rsidR="00472B5B" w:rsidRPr="00206C4C" w:rsidRDefault="00472B5B" w:rsidP="00DE1661">
      <w:pPr>
        <w:pStyle w:val="13"/>
      </w:pPr>
      <w:r w:rsidRPr="00206C4C">
        <w:t>ТОФК: выпадающий иерархический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 (аналогично во всех остальных отчетах).</w:t>
      </w:r>
    </w:p>
    <w:p w:rsidR="00472B5B" w:rsidRPr="00206C4C" w:rsidRDefault="00472B5B" w:rsidP="00862055">
      <w:pPr>
        <w:pStyle w:val="35"/>
        <w:numPr>
          <w:ilvl w:val="2"/>
          <w:numId w:val="135"/>
        </w:numPr>
      </w:pPr>
      <w:bookmarkStart w:id="2089" w:name="_Toc15389974"/>
      <w:bookmarkStart w:id="2090" w:name="_Toc37845317"/>
      <w:bookmarkStart w:id="2091" w:name="_Toc69290163"/>
      <w:bookmarkStart w:id="2092" w:name="_Toc119585129"/>
      <w:r w:rsidRPr="00206C4C">
        <w:t>Отчет «Информация о поступлении и возмещении НДС в разрезе налогоплательщиков</w:t>
      </w:r>
      <w:bookmarkEnd w:id="2089"/>
      <w:r w:rsidRPr="00206C4C">
        <w:t>»</w:t>
      </w:r>
      <w:bookmarkEnd w:id="2090"/>
      <w:bookmarkEnd w:id="2091"/>
      <w:bookmarkEnd w:id="2092"/>
    </w:p>
    <w:p w:rsidR="00472B5B" w:rsidRPr="00206C4C" w:rsidRDefault="00472B5B" w:rsidP="00472B5B">
      <w:pPr>
        <w:pStyle w:val="af0"/>
      </w:pPr>
      <w:r w:rsidRPr="00206C4C">
        <w:t xml:space="preserve">Аналитический отчет о поступлении и возмещении НДС в разрезе налогоплательщиков обеспечивает возможность мониторинга информации о суммах возмещения платежей по НДС в разрезе плательщиков (Рисунок </w:t>
      </w:r>
      <w:r w:rsidRPr="00206C4C">
        <w:fldChar w:fldCharType="begin"/>
      </w:r>
      <w:r w:rsidRPr="00206C4C">
        <w:instrText xml:space="preserve"> REF _Ref16181539 \h  \* MERGEFORMAT </w:instrText>
      </w:r>
      <w:r w:rsidRPr="00206C4C">
        <w:fldChar w:fldCharType="separate"/>
      </w:r>
      <w:r w:rsidR="00BF0BEE">
        <w:rPr>
          <w:noProof/>
        </w:rPr>
        <w:t>469</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4F342F87" wp14:editId="20103838">
            <wp:extent cx="5939790" cy="2850658"/>
            <wp:effectExtent l="0" t="0" r="3810" b="6985"/>
            <wp:docPr id="5752" name="Рисунок 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7"/>
                    <a:stretch>
                      <a:fillRect/>
                    </a:stretch>
                  </pic:blipFill>
                  <pic:spPr>
                    <a:xfrm>
                      <a:off x="0" y="0"/>
                      <a:ext cx="5939790" cy="2850658"/>
                    </a:xfrm>
                    <a:prstGeom prst="rect">
                      <a:avLst/>
                    </a:prstGeom>
                  </pic:spPr>
                </pic:pic>
              </a:graphicData>
            </a:graphic>
          </wp:inline>
        </w:drawing>
      </w:r>
    </w:p>
    <w:p w:rsidR="00472B5B" w:rsidRPr="00206C4C" w:rsidRDefault="00472B5B" w:rsidP="00472B5B">
      <w:pPr>
        <w:pStyle w:val="-0"/>
      </w:pPr>
      <w:bookmarkStart w:id="2093" w:name="_Toc37845527"/>
      <w:bookmarkStart w:id="2094" w:name="_Toc69290604"/>
      <w:bookmarkStart w:id="2095" w:name="_Toc119584731"/>
      <w:r w:rsidRPr="00206C4C">
        <w:t xml:space="preserve">Рисунок </w:t>
      </w:r>
      <w:fldSimple w:instr=" SEQ Рисунок \* ARABIC ">
        <w:bookmarkStart w:id="2096" w:name="_Ref16181539"/>
        <w:r w:rsidR="001860A9">
          <w:rPr>
            <w:noProof/>
          </w:rPr>
          <w:t>544</w:t>
        </w:r>
        <w:bookmarkEnd w:id="2096"/>
      </w:fldSimple>
      <w:r w:rsidRPr="00206C4C">
        <w:t xml:space="preserve"> – Макет отчета «Информация о возмещении НДС в разрезе налогоплательщиков»</w:t>
      </w:r>
      <w:bookmarkEnd w:id="2093"/>
      <w:bookmarkEnd w:id="2094"/>
      <w:bookmarkEnd w:id="2095"/>
    </w:p>
    <w:p w:rsidR="00472B5B" w:rsidRPr="00206C4C" w:rsidRDefault="00472B5B" w:rsidP="00472B5B">
      <w:pPr>
        <w:pStyle w:val="af0"/>
      </w:pPr>
      <w:r w:rsidRPr="00206C4C">
        <w:t>Отчет формируется на основе преднастроенной таблицы T_ASFK_NDS_PAYERS_TEMP.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дате платежа и сумме платежа (диапазон).</w:t>
      </w:r>
    </w:p>
    <w:p w:rsidR="00472B5B" w:rsidRPr="00206C4C" w:rsidRDefault="00472B5B" w:rsidP="00DE1661">
      <w:pPr>
        <w:pStyle w:val="13"/>
      </w:pPr>
      <w:r w:rsidRPr="00206C4C">
        <w:t>Поиск по коду дохода: пользователь вводит код или часть кода и таблица фильтруется по этим записям.</w:t>
      </w:r>
    </w:p>
    <w:p w:rsidR="00472B5B" w:rsidRPr="00206C4C" w:rsidRDefault="00472B5B" w:rsidP="00DE1661">
      <w:pPr>
        <w:pStyle w:val="13"/>
      </w:pPr>
      <w:r w:rsidRPr="00206C4C">
        <w:t>Поиск по номеру лицевого счета.</w:t>
      </w:r>
    </w:p>
    <w:p w:rsidR="00472B5B" w:rsidRPr="00206C4C" w:rsidRDefault="00472B5B" w:rsidP="00DE1661">
      <w:pPr>
        <w:pStyle w:val="13"/>
      </w:pPr>
      <w:r w:rsidRPr="00206C4C">
        <w:t>ГАДБ: выпадающий иерархический список с перечнем наименований ГАДБ и их кодов.</w:t>
      </w:r>
    </w:p>
    <w:p w:rsidR="00472B5B" w:rsidRPr="00206C4C" w:rsidRDefault="00472B5B" w:rsidP="00DE1661">
      <w:pPr>
        <w:pStyle w:val="13"/>
      </w:pPr>
      <w:r w:rsidRPr="00206C4C">
        <w:t>ТОФК: выпадающий иерархический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 (аналогично во всех остальных отчетах).</w:t>
      </w:r>
    </w:p>
    <w:p w:rsidR="00472B5B" w:rsidRPr="00206C4C" w:rsidRDefault="00472B5B" w:rsidP="00862055">
      <w:pPr>
        <w:pStyle w:val="35"/>
        <w:numPr>
          <w:ilvl w:val="2"/>
          <w:numId w:val="135"/>
        </w:numPr>
      </w:pPr>
      <w:bookmarkStart w:id="2097" w:name="_Toc37845318"/>
      <w:bookmarkStart w:id="2098" w:name="_Toc69290164"/>
      <w:bookmarkStart w:id="2099" w:name="_Toc15389975"/>
      <w:bookmarkStart w:id="2100" w:name="_Toc119585130"/>
      <w:r w:rsidRPr="00206C4C">
        <w:t>Отчет «Информация о предоставлении субсидий в разрезе сельхозтоваропроизводителей»</w:t>
      </w:r>
      <w:bookmarkEnd w:id="2097"/>
      <w:bookmarkEnd w:id="2098"/>
      <w:bookmarkEnd w:id="2100"/>
    </w:p>
    <w:p w:rsidR="00472B5B" w:rsidRPr="00206C4C" w:rsidRDefault="00472B5B" w:rsidP="00472B5B">
      <w:pPr>
        <w:pStyle w:val="af0"/>
      </w:pPr>
      <w:r w:rsidRPr="00206C4C">
        <w:t xml:space="preserve">Аналитический отчет о расходах федерального бюджета в части предоставления субсидий в разрезе сельхозтоваропроизводителей обеспечивает возможность мониторинга  информации о суммах субсидий разрезе сельхозтоваропроизводителей, КБК (Рисунок </w:t>
      </w:r>
      <w:r w:rsidRPr="00206C4C">
        <w:fldChar w:fldCharType="begin"/>
      </w:r>
      <w:r w:rsidRPr="00206C4C">
        <w:instrText xml:space="preserve"> REF _Ref16182789 \h  \* MERGEFORMAT </w:instrText>
      </w:r>
      <w:r w:rsidRPr="00206C4C">
        <w:fldChar w:fldCharType="separate"/>
      </w:r>
      <w:r w:rsidR="00BF0BEE">
        <w:rPr>
          <w:noProof/>
        </w:rPr>
        <w:t>470</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29497E95" wp14:editId="0389E37D">
            <wp:extent cx="5939790" cy="2841462"/>
            <wp:effectExtent l="0" t="0" r="381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8"/>
                    <a:stretch>
                      <a:fillRect/>
                    </a:stretch>
                  </pic:blipFill>
                  <pic:spPr>
                    <a:xfrm>
                      <a:off x="0" y="0"/>
                      <a:ext cx="5939790" cy="2841462"/>
                    </a:xfrm>
                    <a:prstGeom prst="rect">
                      <a:avLst/>
                    </a:prstGeom>
                  </pic:spPr>
                </pic:pic>
              </a:graphicData>
            </a:graphic>
          </wp:inline>
        </w:drawing>
      </w:r>
    </w:p>
    <w:p w:rsidR="00472B5B" w:rsidRPr="00206C4C" w:rsidRDefault="00472B5B" w:rsidP="00472B5B">
      <w:pPr>
        <w:pStyle w:val="-0"/>
      </w:pPr>
      <w:bookmarkStart w:id="2101" w:name="_Toc37845529"/>
      <w:bookmarkStart w:id="2102" w:name="_Toc69290605"/>
      <w:bookmarkStart w:id="2103" w:name="_Toc119584732"/>
      <w:r w:rsidRPr="00206C4C">
        <w:t xml:space="preserve">Рисунок </w:t>
      </w:r>
      <w:fldSimple w:instr=" SEQ Рисунок \* ARABIC ">
        <w:bookmarkStart w:id="2104" w:name="_Ref16182789"/>
        <w:r w:rsidR="001860A9">
          <w:rPr>
            <w:noProof/>
          </w:rPr>
          <w:t>545</w:t>
        </w:r>
        <w:bookmarkEnd w:id="2104"/>
      </w:fldSimple>
      <w:r w:rsidRPr="00206C4C">
        <w:t xml:space="preserve"> – Макет отчета «Информации о предоставлении субсидий в разрезе сельхозтоваропроизводителей»</w:t>
      </w:r>
      <w:bookmarkEnd w:id="2101"/>
      <w:bookmarkEnd w:id="2102"/>
      <w:bookmarkEnd w:id="2103"/>
    </w:p>
    <w:p w:rsidR="00472B5B" w:rsidRPr="00206C4C" w:rsidRDefault="00472B5B" w:rsidP="00472B5B">
      <w:pPr>
        <w:pStyle w:val="af0"/>
      </w:pPr>
      <w:r w:rsidRPr="00206C4C">
        <w:t>Отчет формируется на основе преднастроенной таблицы T_ASFK_FARM_PAYERS_TEMP.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Регион: выпадающий список;</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ИНН, КПП и/или наименованию получателя;</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Наименование субсидии: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Дата и сумма платежа;</w:t>
      </w:r>
    </w:p>
    <w:p w:rsidR="00472B5B" w:rsidRPr="00206C4C"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05" w:name="_Toc37845319"/>
      <w:bookmarkStart w:id="2106" w:name="_Toc69290165"/>
      <w:bookmarkStart w:id="2107" w:name="_Toc119585131"/>
      <w:r w:rsidRPr="00206C4C">
        <w:t>Отчет «Информация о расходах федерального бюджета в разрезе объектов ФАИП</w:t>
      </w:r>
      <w:bookmarkEnd w:id="2099"/>
      <w:r w:rsidRPr="00206C4C">
        <w:t>»</w:t>
      </w:r>
      <w:bookmarkEnd w:id="2105"/>
      <w:bookmarkEnd w:id="2106"/>
      <w:bookmarkEnd w:id="2107"/>
    </w:p>
    <w:p w:rsidR="00472B5B" w:rsidRPr="00206C4C" w:rsidRDefault="00472B5B" w:rsidP="00472B5B">
      <w:pPr>
        <w:pStyle w:val="af0"/>
      </w:pPr>
      <w:r w:rsidRPr="00206C4C">
        <w:t xml:space="preserve">Аналитический отчет о расходах федерального бюджета в разрезе объектов ФАИП должен обеспечивать возможность мониторинга информации об анализе расходов федерального бюджета в рамках федеральной адресной инвестиционной программы  в разрезе ГРБС, КБК, получателей, объектов ФАИП (Рисунок </w:t>
      </w:r>
      <w:r w:rsidRPr="00206C4C">
        <w:fldChar w:fldCharType="begin"/>
      </w:r>
      <w:r w:rsidRPr="00206C4C">
        <w:instrText xml:space="preserve"> REF _Ref16182188 \h  \* MERGEFORMAT </w:instrText>
      </w:r>
      <w:r w:rsidRPr="00206C4C">
        <w:fldChar w:fldCharType="separate"/>
      </w:r>
      <w:r w:rsidR="00BF0BEE">
        <w:rPr>
          <w:noProof/>
        </w:rPr>
        <w:t>471</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5BE8DF37" wp14:editId="0FC832A6">
            <wp:extent cx="5939790" cy="2842688"/>
            <wp:effectExtent l="0" t="0" r="381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9"/>
                    <a:stretch>
                      <a:fillRect/>
                    </a:stretch>
                  </pic:blipFill>
                  <pic:spPr>
                    <a:xfrm>
                      <a:off x="0" y="0"/>
                      <a:ext cx="5939790" cy="2842688"/>
                    </a:xfrm>
                    <a:prstGeom prst="rect">
                      <a:avLst/>
                    </a:prstGeom>
                  </pic:spPr>
                </pic:pic>
              </a:graphicData>
            </a:graphic>
          </wp:inline>
        </w:drawing>
      </w:r>
    </w:p>
    <w:p w:rsidR="00472B5B" w:rsidRPr="00206C4C" w:rsidRDefault="00472B5B" w:rsidP="00472B5B">
      <w:pPr>
        <w:pStyle w:val="-0"/>
      </w:pPr>
      <w:bookmarkStart w:id="2108" w:name="_Toc37845531"/>
      <w:bookmarkStart w:id="2109" w:name="_Toc69290606"/>
      <w:bookmarkStart w:id="2110" w:name="_Toc119584733"/>
      <w:r w:rsidRPr="00206C4C">
        <w:t xml:space="preserve">Рисунок </w:t>
      </w:r>
      <w:fldSimple w:instr=" SEQ Рисунок \* ARABIC ">
        <w:bookmarkStart w:id="2111" w:name="_Ref16182188"/>
        <w:r w:rsidR="001860A9">
          <w:rPr>
            <w:noProof/>
          </w:rPr>
          <w:t>546</w:t>
        </w:r>
        <w:bookmarkEnd w:id="2111"/>
      </w:fldSimple>
      <w:r w:rsidRPr="00206C4C">
        <w:t xml:space="preserve"> – Макет отчета «Информация о расходах федерального бюджета в разрезе объектов ФАИП»</w:t>
      </w:r>
      <w:bookmarkEnd w:id="2108"/>
      <w:bookmarkEnd w:id="2109"/>
      <w:bookmarkEnd w:id="2110"/>
    </w:p>
    <w:p w:rsidR="00472B5B" w:rsidRPr="00206C4C" w:rsidRDefault="00472B5B" w:rsidP="00472B5B">
      <w:pPr>
        <w:pStyle w:val="af0"/>
      </w:pPr>
      <w:r w:rsidRPr="00206C4C">
        <w:t xml:space="preserve">Отчет формируется на основе преднастроенной таблицы T_ASFK_FAIP_PAYERS_TEMP. </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ИНН, КПП и/или наименованию получателя;</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коду объекта ФАИП;</w:t>
      </w:r>
    </w:p>
    <w:p w:rsidR="00472B5B" w:rsidRPr="00206C4C" w:rsidRDefault="00472B5B" w:rsidP="00DE1661">
      <w:pPr>
        <w:pStyle w:val="13"/>
      </w:pPr>
      <w:r w:rsidRPr="00206C4C">
        <w:t>Поиск по наименованию объекта ФАИП;</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Дата и сумма платежа;</w:t>
      </w:r>
    </w:p>
    <w:p w:rsidR="00472B5B" w:rsidRPr="00206C4C"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12" w:name="_Toc37845320"/>
      <w:bookmarkStart w:id="2113" w:name="_Toc69290166"/>
      <w:bookmarkStart w:id="2114" w:name="_Toc119585132"/>
      <w:r w:rsidRPr="00206C4C">
        <w:t>Отчет «Информация о доходах ФБ от возврата бюджетами бюджетной системы РФ МБТ, имеющих целевое назначение, прошлых лет»</w:t>
      </w:r>
      <w:bookmarkEnd w:id="2112"/>
      <w:bookmarkEnd w:id="2113"/>
      <w:bookmarkEnd w:id="2114"/>
    </w:p>
    <w:p w:rsidR="00472B5B" w:rsidRPr="00206C4C" w:rsidRDefault="00472B5B" w:rsidP="00472B5B">
      <w:pPr>
        <w:pStyle w:val="af0"/>
        <w:rPr>
          <w:rStyle w:val="af1"/>
        </w:rPr>
      </w:pPr>
      <w:r w:rsidRPr="00206C4C">
        <w:rPr>
          <w:rStyle w:val="af1"/>
        </w:rPr>
        <w:t>Для перехода к отчету «</w:t>
      </w:r>
      <w:r w:rsidRPr="00206C4C">
        <w:t>Информация о доходах ФБ от возврата бюджетами бюджетной системы РФ МБТ, имеющих целевое назначение, прошлых лет</w:t>
      </w:r>
      <w:r w:rsidRPr="00206C4C">
        <w:rPr>
          <w:rStyle w:val="af1"/>
        </w:rPr>
        <w:t>» необходимо перейти к витрине «Исполнение федерального бюджета» и кликнуть мышью по плашке «</w:t>
      </w:r>
      <w:r w:rsidRPr="00206C4C">
        <w:rPr>
          <w:szCs w:val="28"/>
        </w:rPr>
        <w:t>Отчеты по плательщикам и получателям</w:t>
      </w:r>
      <w:r w:rsidRPr="00206C4C">
        <w:rPr>
          <w:rStyle w:val="af1"/>
        </w:rPr>
        <w:t>», как показано на рисунке</w:t>
      </w:r>
      <w:r w:rsidR="004D1BEE">
        <w:rPr>
          <w:rStyle w:val="af1"/>
        </w:rPr>
        <w:t xml:space="preserve"> </w:t>
      </w:r>
      <w:r w:rsidR="004D1BEE">
        <w:rPr>
          <w:rStyle w:val="af1"/>
        </w:rPr>
        <w:fldChar w:fldCharType="begin"/>
      </w:r>
      <w:r w:rsidR="004D1BEE">
        <w:rPr>
          <w:rStyle w:val="af1"/>
        </w:rPr>
        <w:instrText xml:space="preserve"> REF _Ref70326914 \h </w:instrText>
      </w:r>
      <w:r w:rsidR="004D1BEE">
        <w:rPr>
          <w:rStyle w:val="af1"/>
        </w:rPr>
      </w:r>
      <w:r w:rsidR="004D1BEE">
        <w:rPr>
          <w:rStyle w:val="af1"/>
        </w:rPr>
        <w:fldChar w:fldCharType="separate"/>
      </w:r>
      <w:r w:rsidR="00BF0BEE">
        <w:rPr>
          <w:noProof/>
        </w:rPr>
        <w:t>121</w:t>
      </w:r>
      <w:r w:rsidR="004D1BEE">
        <w:rPr>
          <w:rStyle w:val="af1"/>
        </w:rPr>
        <w:fldChar w:fldCharType="end"/>
      </w:r>
      <w:r w:rsidRPr="00206C4C">
        <w:rPr>
          <w:rStyle w:val="af1"/>
        </w:rPr>
        <w:t>.</w:t>
      </w:r>
    </w:p>
    <w:p w:rsidR="00472B5B" w:rsidRPr="00206C4C" w:rsidRDefault="00472B5B" w:rsidP="00472B5B">
      <w:pPr>
        <w:pStyle w:val="af0"/>
      </w:pPr>
      <w:r w:rsidRPr="00206C4C">
        <w:t xml:space="preserve">В списке отчетов по плательщикам и получателям перейти к отчету «Информация о доходах ФБ от возврата бюджетами бюджетной системы РФ МБТ, имеющих целевое назначение, прошлых лет» как показано на рисунке </w:t>
      </w:r>
      <w:r w:rsidRPr="00206C4C">
        <w:fldChar w:fldCharType="begin"/>
      </w:r>
      <w:r w:rsidRPr="00206C4C">
        <w:instrText xml:space="preserve"> REF _Ref16183284 \h  \* MERGEFORMAT </w:instrText>
      </w:r>
      <w:r w:rsidRPr="00206C4C">
        <w:fldChar w:fldCharType="separate"/>
      </w:r>
      <w:r w:rsidR="00BF0BEE">
        <w:rPr>
          <w:noProof/>
        </w:rPr>
        <w:t>472</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0E4BD2D7" wp14:editId="0DE42EFE">
            <wp:extent cx="5939790" cy="2638544"/>
            <wp:effectExtent l="0" t="0" r="3810" b="9525"/>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0"/>
                    <a:stretch>
                      <a:fillRect/>
                    </a:stretch>
                  </pic:blipFill>
                  <pic:spPr>
                    <a:xfrm>
                      <a:off x="0" y="0"/>
                      <a:ext cx="5939790" cy="2638544"/>
                    </a:xfrm>
                    <a:prstGeom prst="rect">
                      <a:avLst/>
                    </a:prstGeom>
                  </pic:spPr>
                </pic:pic>
              </a:graphicData>
            </a:graphic>
          </wp:inline>
        </w:drawing>
      </w:r>
    </w:p>
    <w:p w:rsidR="00472B5B" w:rsidRPr="00206C4C" w:rsidRDefault="00472B5B" w:rsidP="00472B5B">
      <w:pPr>
        <w:pStyle w:val="-0"/>
      </w:pPr>
      <w:bookmarkStart w:id="2115" w:name="_Toc37845532"/>
      <w:bookmarkStart w:id="2116" w:name="_Toc69290607"/>
      <w:bookmarkStart w:id="2117" w:name="_Toc119584734"/>
      <w:r w:rsidRPr="00206C4C">
        <w:t xml:space="preserve">Рисунок </w:t>
      </w:r>
      <w:fldSimple w:instr=" SEQ Рисунок \* ARABIC ">
        <w:bookmarkStart w:id="2118" w:name="_Ref16183284"/>
        <w:r w:rsidR="001860A9">
          <w:rPr>
            <w:noProof/>
          </w:rPr>
          <w:t>547</w:t>
        </w:r>
        <w:bookmarkEnd w:id="2118"/>
      </w:fldSimple>
      <w:r w:rsidRPr="00206C4C">
        <w:t xml:space="preserve"> – Переход к отчету «Информация о доходах ФБ от возврата бюджетами бюджетной системы РФ МБТ, имеющих целевое назначение, прошлых лет»</w:t>
      </w:r>
      <w:bookmarkEnd w:id="2115"/>
      <w:bookmarkEnd w:id="2116"/>
      <w:bookmarkEnd w:id="2117"/>
    </w:p>
    <w:p w:rsidR="00472B5B" w:rsidRPr="00206C4C" w:rsidRDefault="00472B5B" w:rsidP="00472B5B">
      <w:pPr>
        <w:pStyle w:val="af0"/>
      </w:pPr>
      <w:r w:rsidRPr="00206C4C">
        <w:t xml:space="preserve">Аналитический отчет о доходах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обеспечивает возможность мониторинга информации о суммах платежей в разрезе ТОФК, плательщиков, получателей и КБК (Рисунок </w:t>
      </w:r>
      <w:r w:rsidRPr="00206C4C">
        <w:fldChar w:fldCharType="begin"/>
      </w:r>
      <w:r w:rsidRPr="00206C4C">
        <w:instrText xml:space="preserve"> REF _Ref16412649 \h  \* MERGEFORMAT </w:instrText>
      </w:r>
      <w:r w:rsidRPr="00206C4C">
        <w:fldChar w:fldCharType="separate"/>
      </w:r>
      <w:r w:rsidR="00BF0BEE" w:rsidRPr="004805CA">
        <w:rPr>
          <w:noProof/>
        </w:rPr>
        <w:t>473</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05EB722F" wp14:editId="3488397C">
            <wp:extent cx="5939790" cy="2835332"/>
            <wp:effectExtent l="0" t="0" r="3810" b="317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1"/>
                    <a:stretch>
                      <a:fillRect/>
                    </a:stretch>
                  </pic:blipFill>
                  <pic:spPr>
                    <a:xfrm>
                      <a:off x="0" y="0"/>
                      <a:ext cx="5939790" cy="2835332"/>
                    </a:xfrm>
                    <a:prstGeom prst="rect">
                      <a:avLst/>
                    </a:prstGeom>
                  </pic:spPr>
                </pic:pic>
              </a:graphicData>
            </a:graphic>
          </wp:inline>
        </w:drawing>
      </w:r>
    </w:p>
    <w:p w:rsidR="00472B5B" w:rsidRPr="00206C4C" w:rsidRDefault="00472B5B" w:rsidP="00472B5B">
      <w:pPr>
        <w:pStyle w:val="-0"/>
      </w:pPr>
      <w:bookmarkStart w:id="2119" w:name="_Toc37845533"/>
      <w:bookmarkStart w:id="2120" w:name="_Toc69290608"/>
      <w:bookmarkStart w:id="2121" w:name="_Toc119584735"/>
      <w:r w:rsidRPr="00206C4C">
        <w:t xml:space="preserve">Рисунок </w:t>
      </w:r>
      <w:r w:rsidRPr="00206C4C">
        <w:rPr>
          <w:lang w:val="en-US"/>
        </w:rPr>
        <w:fldChar w:fldCharType="begin"/>
      </w:r>
      <w:r w:rsidRPr="00206C4C">
        <w:instrText xml:space="preserve"> </w:instrText>
      </w:r>
      <w:r w:rsidRPr="00206C4C">
        <w:rPr>
          <w:lang w:val="en-US"/>
        </w:rPr>
        <w:instrText>SEQ</w:instrText>
      </w:r>
      <w:r w:rsidRPr="00206C4C">
        <w:instrText xml:space="preserve"> Рисунок \* </w:instrText>
      </w:r>
      <w:r w:rsidRPr="00206C4C">
        <w:rPr>
          <w:lang w:val="en-US"/>
        </w:rPr>
        <w:instrText>ARABIC</w:instrText>
      </w:r>
      <w:r w:rsidRPr="00206C4C">
        <w:instrText xml:space="preserve"> </w:instrText>
      </w:r>
      <w:r w:rsidRPr="00206C4C">
        <w:rPr>
          <w:lang w:val="en-US"/>
        </w:rPr>
        <w:fldChar w:fldCharType="separate"/>
      </w:r>
      <w:bookmarkStart w:id="2122" w:name="_Ref16412649"/>
      <w:r w:rsidR="001860A9" w:rsidRPr="001860A9">
        <w:rPr>
          <w:noProof/>
        </w:rPr>
        <w:t>548</w:t>
      </w:r>
      <w:bookmarkEnd w:id="2122"/>
      <w:r w:rsidRPr="00206C4C">
        <w:rPr>
          <w:lang w:val="en-US"/>
        </w:rPr>
        <w:fldChar w:fldCharType="end"/>
      </w:r>
      <w:r w:rsidRPr="00206C4C">
        <w:t xml:space="preserve"> – Макет отчета «Информация о доходах ФБ от возврата бюджетами бюджетной системы РФ МБТ, имеющих целевое назначение, прошлых лет»</w:t>
      </w:r>
      <w:bookmarkEnd w:id="2119"/>
      <w:bookmarkEnd w:id="2120"/>
      <w:bookmarkEnd w:id="2121"/>
    </w:p>
    <w:p w:rsidR="00472B5B" w:rsidRPr="00206C4C" w:rsidRDefault="00472B5B" w:rsidP="00472B5B">
      <w:pPr>
        <w:pStyle w:val="af0"/>
      </w:pPr>
      <w:r w:rsidRPr="00206C4C">
        <w:rPr>
          <w:szCs w:val="28"/>
        </w:rPr>
        <w:t>Отчет формируется на основе преднастроенной таблицы T_ASFK_MBT_PAYERS_TEMP.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ИНН, КПП и/или наименованию получателя;</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дате платежа и сумме платежа (диапазон);</w:t>
      </w:r>
    </w:p>
    <w:p w:rsidR="00472B5B" w:rsidRPr="00206C4C" w:rsidRDefault="00472B5B" w:rsidP="00DE1661">
      <w:pPr>
        <w:pStyle w:val="13"/>
      </w:pPr>
      <w:r w:rsidRPr="00206C4C">
        <w:t>ГАДБ: выпадающий список с перечнем наименований ГАДБ и их кодов;</w:t>
      </w:r>
    </w:p>
    <w:p w:rsidR="00472B5B" w:rsidRPr="00206C4C" w:rsidRDefault="00472B5B" w:rsidP="00DE1661">
      <w:pPr>
        <w:pStyle w:val="13"/>
      </w:pPr>
      <w:r w:rsidRPr="00206C4C">
        <w:t>Код дохода: выпадающий список;</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Дата и сумма платежа;</w:t>
      </w:r>
    </w:p>
    <w:p w:rsidR="00472B5B" w:rsidRPr="00206C4C"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23" w:name="_Toc37845321"/>
      <w:bookmarkStart w:id="2124" w:name="_Toc69290167"/>
      <w:bookmarkStart w:id="2125" w:name="_Toc119585133"/>
      <w:r w:rsidRPr="00206C4C">
        <w:t>Отчет «Информация о возврате доходов ФБ от возврата бюджетами бюджетной системы РФ МБТ, имеющих целевое назначение, прошлых лет»</w:t>
      </w:r>
      <w:bookmarkEnd w:id="2123"/>
      <w:bookmarkEnd w:id="2124"/>
      <w:bookmarkEnd w:id="2125"/>
    </w:p>
    <w:p w:rsidR="00472B5B" w:rsidRPr="00206C4C" w:rsidRDefault="00472B5B" w:rsidP="00472B5B">
      <w:pPr>
        <w:pStyle w:val="af0"/>
      </w:pPr>
      <w:r w:rsidRPr="00206C4C">
        <w:t xml:space="preserve">Аналитический отчет о возврате доходов федерального бюджета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обеспечивает возможность мониторинга информации о суммах платежей в разрезе ТОФК, плательщиков, получателей и КБК (Рисунок </w:t>
      </w:r>
      <w:r w:rsidRPr="00206C4C">
        <w:fldChar w:fldCharType="begin"/>
      </w:r>
      <w:r w:rsidRPr="00206C4C">
        <w:instrText xml:space="preserve"> REF _Ref16414314 \h  \* MERGEFORMAT </w:instrText>
      </w:r>
      <w:r w:rsidRPr="00206C4C">
        <w:fldChar w:fldCharType="separate"/>
      </w:r>
      <w:r w:rsidR="00BF0BEE">
        <w:rPr>
          <w:noProof/>
        </w:rPr>
        <w:t>474</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69121DAA" wp14:editId="7708F7DE">
            <wp:extent cx="5939790" cy="2844527"/>
            <wp:effectExtent l="0" t="0" r="381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2"/>
                    <a:stretch>
                      <a:fillRect/>
                    </a:stretch>
                  </pic:blipFill>
                  <pic:spPr>
                    <a:xfrm>
                      <a:off x="0" y="0"/>
                      <a:ext cx="5939790" cy="2844527"/>
                    </a:xfrm>
                    <a:prstGeom prst="rect">
                      <a:avLst/>
                    </a:prstGeom>
                  </pic:spPr>
                </pic:pic>
              </a:graphicData>
            </a:graphic>
          </wp:inline>
        </w:drawing>
      </w:r>
    </w:p>
    <w:p w:rsidR="00472B5B" w:rsidRPr="00206C4C" w:rsidRDefault="00472B5B" w:rsidP="00472B5B">
      <w:pPr>
        <w:pStyle w:val="-0"/>
      </w:pPr>
      <w:bookmarkStart w:id="2126" w:name="_Toc37845535"/>
      <w:bookmarkStart w:id="2127" w:name="_Toc69290609"/>
      <w:bookmarkStart w:id="2128" w:name="_Toc119584736"/>
      <w:r w:rsidRPr="00206C4C">
        <w:t xml:space="preserve">Рисунок </w:t>
      </w:r>
      <w:fldSimple w:instr=" SEQ Рисунок \* ARABIC ">
        <w:bookmarkStart w:id="2129" w:name="_Ref16414314"/>
        <w:r w:rsidR="001860A9">
          <w:rPr>
            <w:noProof/>
          </w:rPr>
          <w:t>549</w:t>
        </w:r>
        <w:bookmarkEnd w:id="2129"/>
      </w:fldSimple>
      <w:r w:rsidRPr="00206C4C">
        <w:t xml:space="preserve"> – Макет отчета «Информация о возврате доходов ФБ от возврата бюджетами бюджетной системы РФ МБТ, имеющих целевое назначение, прошлых лет»</w:t>
      </w:r>
      <w:bookmarkEnd w:id="2126"/>
      <w:bookmarkEnd w:id="2127"/>
      <w:bookmarkEnd w:id="2128"/>
    </w:p>
    <w:p w:rsidR="00472B5B" w:rsidRPr="00206C4C" w:rsidRDefault="00472B5B" w:rsidP="00472B5B">
      <w:pPr>
        <w:pStyle w:val="af0"/>
      </w:pPr>
      <w:r w:rsidRPr="00206C4C">
        <w:t>Отчет формируется на основе преднастроенной таблицы T_ASFK_MBT2_PAYERS_TEMP.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Регион: выпадающий список с перечнем регионов;</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ИНН, КПП и/или наименованию получателя;</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дате платежа и сумме платежа (диапазон);</w:t>
      </w:r>
    </w:p>
    <w:p w:rsidR="00472B5B" w:rsidRPr="00206C4C" w:rsidRDefault="00472B5B" w:rsidP="00DE1661">
      <w:pPr>
        <w:pStyle w:val="13"/>
      </w:pPr>
      <w:r w:rsidRPr="00206C4C">
        <w:t>ГАДБ: выпадающий список с перечнем наименований ГАДБ и их кодов;</w:t>
      </w:r>
    </w:p>
    <w:p w:rsidR="00472B5B" w:rsidRPr="00206C4C" w:rsidRDefault="00472B5B" w:rsidP="00DE1661">
      <w:pPr>
        <w:pStyle w:val="13"/>
      </w:pPr>
      <w:r w:rsidRPr="00206C4C">
        <w:t>Код дохода: выпадающий список;</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30" w:name="_Toc37845322"/>
      <w:bookmarkStart w:id="2131" w:name="_Toc69290168"/>
      <w:bookmarkStart w:id="2132" w:name="_Toc119585134"/>
      <w:r w:rsidRPr="00206C4C">
        <w:t>Отчет «Информация о движении МБТ представленных из ФБ бюджетам субъектов РФ на модернизацию дошкольного образования»</w:t>
      </w:r>
      <w:bookmarkEnd w:id="2130"/>
      <w:bookmarkEnd w:id="2131"/>
      <w:bookmarkEnd w:id="2132"/>
    </w:p>
    <w:p w:rsidR="00472B5B" w:rsidRPr="00206C4C" w:rsidRDefault="00472B5B" w:rsidP="00472B5B">
      <w:pPr>
        <w:pStyle w:val="af0"/>
      </w:pPr>
      <w:r w:rsidRPr="00206C4C">
        <w:t xml:space="preserve">Аналитический отчет о движении остатков средств межбюджетных трансфертов представленных из федерального бюджета бюджетам субъектов Российской Федерации в рамках субсидии на модернизацию региональных систем дошкольного образования обеспечивает возможность мониторинга информации о суммах платежей в разрезе ТОФК, получателей и КБК (Рисунок </w:t>
      </w:r>
      <w:r w:rsidRPr="00206C4C">
        <w:fldChar w:fldCharType="begin"/>
      </w:r>
      <w:r w:rsidRPr="00206C4C">
        <w:instrText xml:space="preserve"> REF _Ref16414936 \h  \* MERGEFORMAT </w:instrText>
      </w:r>
      <w:r w:rsidRPr="00206C4C">
        <w:fldChar w:fldCharType="separate"/>
      </w:r>
      <w:r w:rsidR="00BF0BEE">
        <w:rPr>
          <w:noProof/>
        </w:rPr>
        <w:t>475</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2E19FC2E" wp14:editId="35EC465B">
            <wp:extent cx="5939790" cy="2835332"/>
            <wp:effectExtent l="0" t="0" r="3810" b="3175"/>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3"/>
                    <a:stretch>
                      <a:fillRect/>
                    </a:stretch>
                  </pic:blipFill>
                  <pic:spPr>
                    <a:xfrm>
                      <a:off x="0" y="0"/>
                      <a:ext cx="5939790" cy="2835332"/>
                    </a:xfrm>
                    <a:prstGeom prst="rect">
                      <a:avLst/>
                    </a:prstGeom>
                  </pic:spPr>
                </pic:pic>
              </a:graphicData>
            </a:graphic>
          </wp:inline>
        </w:drawing>
      </w:r>
    </w:p>
    <w:p w:rsidR="00472B5B" w:rsidRPr="00206C4C" w:rsidRDefault="00472B5B" w:rsidP="00472B5B">
      <w:pPr>
        <w:pStyle w:val="-0"/>
      </w:pPr>
      <w:bookmarkStart w:id="2133" w:name="_Toc37845537"/>
      <w:bookmarkStart w:id="2134" w:name="_Toc69290610"/>
      <w:bookmarkStart w:id="2135" w:name="_Toc119584737"/>
      <w:r w:rsidRPr="00206C4C">
        <w:t xml:space="preserve">Рисунок </w:t>
      </w:r>
      <w:fldSimple w:instr=" SEQ Рисунок \* ARABIC ">
        <w:bookmarkStart w:id="2136" w:name="_Ref16414936"/>
        <w:r w:rsidR="001860A9">
          <w:rPr>
            <w:noProof/>
          </w:rPr>
          <w:t>550</w:t>
        </w:r>
        <w:bookmarkEnd w:id="2136"/>
      </w:fldSimple>
      <w:r w:rsidRPr="00206C4C">
        <w:t xml:space="preserve"> – Макет отчета «Информация о движении МБТ представленных из ФБ бюджетам субъектов РФ на модернизацию дошкольного образования»</w:t>
      </w:r>
      <w:bookmarkEnd w:id="2133"/>
      <w:bookmarkEnd w:id="2134"/>
      <w:bookmarkEnd w:id="2135"/>
    </w:p>
    <w:p w:rsidR="00472B5B" w:rsidRPr="00206C4C" w:rsidRDefault="00472B5B" w:rsidP="00472B5B">
      <w:pPr>
        <w:pStyle w:val="af0"/>
      </w:pPr>
      <w:r w:rsidRPr="00206C4C">
        <w:t>Отчет формируется на основе преднастроенной таблицы T_ASFK_MBT3_PAYERS_TEMP.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организации;</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дате платежа и сумме платежа (диапазон);</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37" w:name="_Toc16241090"/>
      <w:bookmarkStart w:id="2138" w:name="_Toc37845323"/>
      <w:bookmarkStart w:id="2139" w:name="_Toc69290169"/>
      <w:bookmarkStart w:id="2140" w:name="_Toc119585135"/>
      <w:r w:rsidRPr="00206C4C">
        <w:t>Отчет «Суммы выбытия свыше 1 млрд. руб</w:t>
      </w:r>
      <w:bookmarkEnd w:id="2137"/>
      <w:r w:rsidRPr="00206C4C">
        <w:t>.»</w:t>
      </w:r>
      <w:bookmarkEnd w:id="2138"/>
      <w:bookmarkEnd w:id="2139"/>
      <w:bookmarkEnd w:id="2140"/>
    </w:p>
    <w:p w:rsidR="00472B5B" w:rsidRPr="00206C4C" w:rsidRDefault="00472B5B" w:rsidP="00472B5B">
      <w:pPr>
        <w:pStyle w:val="af0"/>
      </w:pPr>
      <w:r w:rsidRPr="00206C4C">
        <w:t xml:space="preserve">Аналитический отчет о крупных платежах обеспечивает возможность мониторинга информации о суммах выбытия средств </w:t>
      </w:r>
      <w:r>
        <w:t xml:space="preserve">свыше 1 млрд </w:t>
      </w:r>
      <w:r w:rsidRPr="00206C4C">
        <w:t xml:space="preserve">руб. со счетов в разрезе кодов видов расходов (аналитической группы источников финансирования дефицитов бюджетов) в разрезе периода, плательщиков, получателей и (или) банков получателей, назначении расходов (Рисунок </w:t>
      </w:r>
      <w:r w:rsidRPr="00206C4C">
        <w:fldChar w:fldCharType="begin"/>
      </w:r>
      <w:r w:rsidRPr="00206C4C">
        <w:instrText xml:space="preserve"> REF _Ref16415842 \h  \* MERGEFORMAT </w:instrText>
      </w:r>
      <w:r w:rsidRPr="00206C4C">
        <w:fldChar w:fldCharType="separate"/>
      </w:r>
      <w:r w:rsidR="00BF0BEE">
        <w:rPr>
          <w:noProof/>
        </w:rPr>
        <w:t>476</w:t>
      </w:r>
      <w:r w:rsidRPr="00206C4C">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4453DC23" wp14:editId="603104B4">
            <wp:extent cx="5939790" cy="2839623"/>
            <wp:effectExtent l="0" t="0" r="381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4"/>
                    <a:stretch>
                      <a:fillRect/>
                    </a:stretch>
                  </pic:blipFill>
                  <pic:spPr>
                    <a:xfrm>
                      <a:off x="0" y="0"/>
                      <a:ext cx="5939790" cy="2839623"/>
                    </a:xfrm>
                    <a:prstGeom prst="rect">
                      <a:avLst/>
                    </a:prstGeom>
                  </pic:spPr>
                </pic:pic>
              </a:graphicData>
            </a:graphic>
          </wp:inline>
        </w:drawing>
      </w:r>
    </w:p>
    <w:p w:rsidR="00472B5B" w:rsidRPr="00206C4C" w:rsidRDefault="00472B5B" w:rsidP="00472B5B">
      <w:pPr>
        <w:pStyle w:val="-0"/>
      </w:pPr>
      <w:bookmarkStart w:id="2141" w:name="_Toc37845539"/>
      <w:bookmarkStart w:id="2142" w:name="_Toc69290611"/>
      <w:bookmarkStart w:id="2143" w:name="_Toc119584738"/>
      <w:r w:rsidRPr="00206C4C">
        <w:t xml:space="preserve">Рисунок </w:t>
      </w:r>
      <w:fldSimple w:instr=" SEQ Рисунок \* ARABIC ">
        <w:bookmarkStart w:id="2144" w:name="_Ref16415842"/>
        <w:r w:rsidR="001860A9">
          <w:rPr>
            <w:noProof/>
          </w:rPr>
          <w:t>551</w:t>
        </w:r>
        <w:bookmarkEnd w:id="2144"/>
      </w:fldSimple>
      <w:r w:rsidRPr="00206C4C">
        <w:t xml:space="preserve"> – Макет отчета «Суммы выбытия свыше 1 млрд. руб.»</w:t>
      </w:r>
      <w:bookmarkEnd w:id="2141"/>
      <w:bookmarkEnd w:id="2142"/>
      <w:bookmarkEnd w:id="2143"/>
    </w:p>
    <w:p w:rsidR="00472B5B" w:rsidRPr="00206C4C" w:rsidRDefault="00472B5B" w:rsidP="00472B5B">
      <w:pPr>
        <w:pStyle w:val="af0"/>
      </w:pPr>
      <w:r w:rsidRPr="00206C4C">
        <w:t>Отчет формируется на основе преднастроенной таблицы T_ASFK_BILLION_PAYERS_TEMP.</w:t>
      </w:r>
    </w:p>
    <w:p w:rsidR="00472B5B" w:rsidRPr="00206C4C" w:rsidRDefault="00472B5B" w:rsidP="00472B5B">
      <w:pPr>
        <w:pStyle w:val="af0"/>
      </w:pPr>
      <w:r w:rsidRPr="00206C4C">
        <w:t xml:space="preserve">Параметры: </w:t>
      </w:r>
    </w:p>
    <w:p w:rsidR="00472B5B" w:rsidRPr="00206C4C" w:rsidRDefault="00472B5B" w:rsidP="00DE1661">
      <w:pPr>
        <w:pStyle w:val="13"/>
      </w:pPr>
      <w:r w:rsidRPr="00206C4C">
        <w:t xml:space="preserve">Единицы измерения: выпадающий список с выбором единиц измерения. Состоит из элементов: руб., тыс. руб., млн руб., млрд руб. </w:t>
      </w:r>
      <w:r w:rsidRPr="00206C4C">
        <w:rPr>
          <w:szCs w:val="28"/>
        </w:rPr>
        <w:t>По умолчанию значение параметра «руб.»;</w:t>
      </w:r>
    </w:p>
    <w:p w:rsidR="00472B5B" w:rsidRPr="00206C4C" w:rsidRDefault="00472B5B" w:rsidP="00DE1661">
      <w:pPr>
        <w:pStyle w:val="13"/>
      </w:pPr>
      <w:r w:rsidRPr="00206C4C">
        <w:t>Поиск по ИНН, КПП и/или наименованию плательщика;</w:t>
      </w:r>
    </w:p>
    <w:p w:rsidR="00472B5B" w:rsidRPr="00206C4C" w:rsidRDefault="00472B5B" w:rsidP="00DE1661">
      <w:pPr>
        <w:pStyle w:val="13"/>
      </w:pPr>
      <w:r w:rsidRPr="00206C4C">
        <w:t>Поиск по ИНН, КПП и/или наименованию получателя;</w:t>
      </w:r>
    </w:p>
    <w:p w:rsidR="00472B5B" w:rsidRPr="00206C4C" w:rsidRDefault="00472B5B" w:rsidP="00DE1661">
      <w:pPr>
        <w:pStyle w:val="13"/>
      </w:pPr>
      <w:r w:rsidRPr="00206C4C">
        <w:t>Поиск по назначению платежа;</w:t>
      </w:r>
    </w:p>
    <w:p w:rsidR="00472B5B" w:rsidRPr="00206C4C" w:rsidRDefault="00472B5B" w:rsidP="00DE1661">
      <w:pPr>
        <w:pStyle w:val="13"/>
      </w:pPr>
      <w:r w:rsidRPr="00206C4C">
        <w:t>Поиск по номеру платежного поручения;</w:t>
      </w:r>
    </w:p>
    <w:p w:rsidR="00472B5B" w:rsidRPr="00206C4C" w:rsidRDefault="00472B5B" w:rsidP="00DE1661">
      <w:pPr>
        <w:pStyle w:val="13"/>
      </w:pPr>
      <w:r w:rsidRPr="00206C4C">
        <w:t>Поиск по дате платежа и сумме платежа (диапазон);</w:t>
      </w:r>
    </w:p>
    <w:p w:rsidR="00472B5B" w:rsidRPr="00206C4C" w:rsidRDefault="00472B5B" w:rsidP="00DE1661">
      <w:pPr>
        <w:pStyle w:val="13"/>
      </w:pPr>
      <w:r w:rsidRPr="00206C4C">
        <w:t>Лицевой счет: выпадающий список;</w:t>
      </w:r>
    </w:p>
    <w:p w:rsidR="00472B5B" w:rsidRPr="00206C4C" w:rsidRDefault="00472B5B" w:rsidP="00DE1661">
      <w:pPr>
        <w:pStyle w:val="13"/>
      </w:pPr>
      <w:r w:rsidRPr="00206C4C">
        <w:t>КБК: выпадающий список (с разбивкой параметров для отдельного поиска по ГРБС, РзПр, статье, направлению расходов, КВР);</w:t>
      </w:r>
    </w:p>
    <w:p w:rsidR="00472B5B" w:rsidRPr="00206C4C" w:rsidRDefault="00472B5B" w:rsidP="00DE1661">
      <w:pPr>
        <w:pStyle w:val="13"/>
      </w:pPr>
      <w:r w:rsidRPr="00206C4C">
        <w:t>ГАИФДБ: выпадающий список с перечнем наименований и кодов ГАИФДБ;</w:t>
      </w:r>
    </w:p>
    <w:p w:rsidR="00472B5B" w:rsidRPr="00206C4C" w:rsidRDefault="00472B5B" w:rsidP="00DE1661">
      <w:pPr>
        <w:pStyle w:val="13"/>
      </w:pPr>
      <w:r w:rsidRPr="00206C4C">
        <w:t>Код ИФДБ: выпадающий список с кодов классификации ИФДБ и их наименований.</w:t>
      </w:r>
    </w:p>
    <w:p w:rsidR="00472B5B" w:rsidRDefault="00472B5B" w:rsidP="00DE1661">
      <w:pPr>
        <w:pStyle w:val="13"/>
      </w:pPr>
      <w:r w:rsidRPr="00206C4C">
        <w:t>ТОФК: выпадающий список с перечнем наименований ТОФК. Формируется выпадающий список из записей справочника D_ASFK_TOFK (CODE и NAME через тире) + параметр «Все». В параметре реализована возможность множественного выбора. В отчет, соответственно, выводятся только записи по выбранному ТОФК или ТОФКам (смотрим таблицу фактов F_ASFK_PAYERS, поле ASFKTOFK_ID). Если ссылка на справочник в таблице фактов не заполнена, то смотрим значение в поле CODE в справочнике D_ASFK_TOFK, находим в таблице фактов записи с таким же значением в поле TOFKCODE и выводим их в отчет.</w:t>
      </w:r>
    </w:p>
    <w:p w:rsidR="00472B5B" w:rsidRPr="00206C4C" w:rsidRDefault="00472B5B" w:rsidP="00862055">
      <w:pPr>
        <w:pStyle w:val="35"/>
        <w:numPr>
          <w:ilvl w:val="2"/>
          <w:numId w:val="135"/>
        </w:numPr>
      </w:pPr>
      <w:bookmarkStart w:id="2145" w:name="_Toc37845334"/>
      <w:bookmarkStart w:id="2146" w:name="_Toc69290170"/>
      <w:bookmarkStart w:id="2147" w:name="_Toc119585136"/>
      <w:r w:rsidRPr="00206C4C">
        <w:t>Отчет «Формирование и представление консолидированной отчетности в ПУиО»</w:t>
      </w:r>
      <w:bookmarkEnd w:id="2145"/>
      <w:bookmarkEnd w:id="2146"/>
      <w:bookmarkEnd w:id="2147"/>
    </w:p>
    <w:p w:rsidR="00472B5B" w:rsidRPr="00206C4C" w:rsidRDefault="00472B5B" w:rsidP="00472B5B">
      <w:pPr>
        <w:pStyle w:val="af0"/>
        <w:rPr>
          <w:rStyle w:val="af1"/>
        </w:rPr>
      </w:pPr>
      <w:r w:rsidRPr="00206C4C">
        <w:rPr>
          <w:rStyle w:val="af1"/>
        </w:rPr>
        <w:t>Для перехода к отчету «</w:t>
      </w:r>
      <w:r w:rsidRPr="00206C4C">
        <w:t>Формирование и представление консолидированной отчетности в ПУиО</w:t>
      </w:r>
      <w:r w:rsidRPr="00206C4C">
        <w:rPr>
          <w:rStyle w:val="af1"/>
        </w:rPr>
        <w:t>» необходимо перейти к витрине  «Ведение бухгалтерского учета и отчетности» и кликнуть мышью по плашке с наименование отчета «</w:t>
      </w:r>
      <w:r w:rsidRPr="00206C4C">
        <w:t>Формирование и представление консолидированной отчетности в ПУиО</w:t>
      </w:r>
      <w:r w:rsidRPr="00206C4C">
        <w:rPr>
          <w:rStyle w:val="af1"/>
        </w:rPr>
        <w:t>».</w:t>
      </w:r>
    </w:p>
    <w:p w:rsidR="00472B5B" w:rsidRPr="00206C4C" w:rsidRDefault="00472B5B" w:rsidP="00862055">
      <w:pPr>
        <w:pStyle w:val="42"/>
        <w:numPr>
          <w:ilvl w:val="3"/>
          <w:numId w:val="135"/>
        </w:numPr>
      </w:pPr>
      <w:r w:rsidRPr="00206C4C">
        <w:t>Представление «ГРБС»</w:t>
      </w:r>
    </w:p>
    <w:p w:rsidR="00472B5B" w:rsidRPr="00206C4C" w:rsidRDefault="00472B5B" w:rsidP="00472B5B">
      <w:pPr>
        <w:pStyle w:val="ac"/>
        <w:ind w:firstLine="567"/>
      </w:pPr>
      <w:r w:rsidRPr="00206C4C">
        <w:rPr>
          <w:rStyle w:val="af1"/>
        </w:rPr>
        <w:t>Макет отчета «Формирование и представление консолидированной отчетности в ПУиО» представление «ГРБС» представлен на рисунке</w:t>
      </w:r>
      <w:r w:rsidRPr="00206C4C">
        <w:t xml:space="preserve"> </w:t>
      </w:r>
      <w:r w:rsidR="00A9768E">
        <w:fldChar w:fldCharType="begin"/>
      </w:r>
      <w:r w:rsidR="00A9768E">
        <w:instrText xml:space="preserve"> REF _Ref70333037 \h </w:instrText>
      </w:r>
      <w:r w:rsidR="00A9768E">
        <w:fldChar w:fldCharType="separate"/>
      </w:r>
      <w:r w:rsidR="00BF0BEE">
        <w:rPr>
          <w:noProof/>
        </w:rPr>
        <w:t>477</w:t>
      </w:r>
      <w:r w:rsidR="00A9768E">
        <w:fldChar w:fldCharType="end"/>
      </w:r>
      <w:r w:rsidRPr="00206C4C">
        <w:t>.</w:t>
      </w:r>
    </w:p>
    <w:p w:rsidR="00472B5B" w:rsidRPr="00206C4C" w:rsidRDefault="00472B5B" w:rsidP="00472B5B">
      <w:pPr>
        <w:pStyle w:val="afffff7"/>
        <w:keepNext/>
      </w:pPr>
      <w:r w:rsidRPr="00206C4C">
        <w:rPr>
          <w:noProof/>
          <w:lang w:eastAsia="ru-RU"/>
        </w:rPr>
        <w:drawing>
          <wp:inline distT="0" distB="0" distL="0" distR="0" wp14:anchorId="538E4D00" wp14:editId="152CCA26">
            <wp:extent cx="5939790" cy="2994025"/>
            <wp:effectExtent l="0" t="0" r="3810" b="0"/>
            <wp:docPr id="5824" name="Рисунок 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5939790" cy="2994025"/>
                    </a:xfrm>
                    <a:prstGeom prst="rect">
                      <a:avLst/>
                    </a:prstGeom>
                    <a:noFill/>
                    <a:ln>
                      <a:noFill/>
                    </a:ln>
                  </pic:spPr>
                </pic:pic>
              </a:graphicData>
            </a:graphic>
          </wp:inline>
        </w:drawing>
      </w:r>
    </w:p>
    <w:p w:rsidR="00472B5B" w:rsidRPr="00206C4C" w:rsidRDefault="00472B5B" w:rsidP="00472B5B">
      <w:pPr>
        <w:pStyle w:val="-0"/>
      </w:pPr>
      <w:bookmarkStart w:id="2148" w:name="_Toc37845569"/>
      <w:bookmarkStart w:id="2149" w:name="_Toc69290612"/>
      <w:bookmarkStart w:id="2150" w:name="_Toc119584739"/>
      <w:r w:rsidRPr="00206C4C">
        <w:t xml:space="preserve">Рисунок </w:t>
      </w:r>
      <w:fldSimple w:instr=" SEQ Рисунок \* ARABIC ">
        <w:bookmarkStart w:id="2151" w:name="_Ref70333037"/>
        <w:r w:rsidR="001860A9">
          <w:rPr>
            <w:noProof/>
          </w:rPr>
          <w:t>552</w:t>
        </w:r>
        <w:bookmarkEnd w:id="2151"/>
      </w:fldSimple>
      <w:r w:rsidRPr="00206C4C">
        <w:t xml:space="preserve"> – Макет отчета «Формирование и представление консолидированной отчетности в ПУиО». Представление «ГРБС»</w:t>
      </w:r>
      <w:bookmarkEnd w:id="2148"/>
      <w:bookmarkEnd w:id="2149"/>
      <w:bookmarkEnd w:id="2150"/>
    </w:p>
    <w:p w:rsidR="00472B5B" w:rsidRPr="00206C4C" w:rsidRDefault="00472B5B" w:rsidP="00472B5B">
      <w:pPr>
        <w:pStyle w:val="af0"/>
      </w:pPr>
      <w:r w:rsidRPr="00206C4C">
        <w:t>Представление «ГРБС» формируется на основе таблицы T_PIAO_FORMMONITORING.</w:t>
      </w:r>
    </w:p>
    <w:p w:rsidR="00472B5B" w:rsidRPr="00206C4C" w:rsidRDefault="00472B5B" w:rsidP="00472B5B">
      <w:pPr>
        <w:pStyle w:val="af0"/>
        <w:rPr>
          <w:szCs w:val="28"/>
        </w:rPr>
      </w:pPr>
      <w:r w:rsidRPr="00206C4C">
        <w:rPr>
          <w:rStyle w:val="af1"/>
        </w:rPr>
        <w:t>Параметры отчета</w:t>
      </w:r>
      <w:r w:rsidRPr="00206C4C">
        <w:rPr>
          <w:szCs w:val="28"/>
        </w:rPr>
        <w:t xml:space="preserve">: </w:t>
      </w:r>
    </w:p>
    <w:p w:rsidR="00472B5B" w:rsidRPr="00206C4C" w:rsidRDefault="00472B5B" w:rsidP="00DE1661">
      <w:pPr>
        <w:pStyle w:val="13"/>
      </w:pPr>
      <w:r w:rsidRPr="00206C4C">
        <w:t>Тип отчетности: выпадающий список с типами субъектов отчетности. Формируется в соответствии с полем «Тип субъекта отчетности» (REPENTITYTYPE) таблицы T_PIAO_FORMMONITORING;</w:t>
      </w:r>
    </w:p>
    <w:p w:rsidR="00472B5B" w:rsidRPr="00206C4C" w:rsidRDefault="00472B5B" w:rsidP="00DE1661">
      <w:pPr>
        <w:pStyle w:val="13"/>
      </w:pPr>
      <w:r w:rsidRPr="00206C4C">
        <w:t>Периодичность: выпадающий список с наименованием периодичностей. Формируется в соответствии с полем «Периодичность» (PERIODICITY) таблицы T_PIAO_FORMMONITORING;</w:t>
      </w:r>
    </w:p>
    <w:p w:rsidR="00472B5B" w:rsidRPr="00206C4C" w:rsidRDefault="00472B5B" w:rsidP="00DE1661">
      <w:pPr>
        <w:pStyle w:val="13"/>
      </w:pPr>
      <w:r w:rsidRPr="00206C4C">
        <w:t>Дата отчетности по состоянию на: выпадающий список с датами. Формируется в соответствии с полем «Дата документа» (DOCUMENTDATE) таблицы T_PIAO_FORMMONITORING;</w:t>
      </w:r>
    </w:p>
    <w:p w:rsidR="00472B5B" w:rsidRPr="00206C4C" w:rsidRDefault="00472B5B" w:rsidP="00DE1661">
      <w:pPr>
        <w:pStyle w:val="13"/>
      </w:pPr>
      <w:r w:rsidRPr="00206C4C">
        <w:t>Форма по ОКУД: выпадающий список с наименованием форм по ОКУД. Формируется в соответствии с полем «Наименование формы» (FORMNAME) классификатора D_PIAO_MONFORMS, по умолчанию выбран параметр все («Не указано»);</w:t>
      </w:r>
    </w:p>
    <w:p w:rsidR="00472B5B" w:rsidRPr="00206C4C" w:rsidRDefault="00472B5B" w:rsidP="00DE1661">
      <w:pPr>
        <w:pStyle w:val="13"/>
      </w:pPr>
      <w:r w:rsidRPr="00206C4C">
        <w:t>Код формы по ОКУД: выпадающий список с кодами форм по ОКУД. Формируется в соответствии с полем «Системный код формы по ОКУД» (SYSCODEFORMOKUD) классификатора D_PIAO_MONFORMS, по умолчанию выбран параметр все («Не указано»);</w:t>
      </w:r>
    </w:p>
    <w:p w:rsidR="00472B5B" w:rsidRPr="00206C4C" w:rsidRDefault="00472B5B" w:rsidP="00DE1661">
      <w:pPr>
        <w:pStyle w:val="13"/>
      </w:pPr>
      <w:r w:rsidRPr="00206C4C">
        <w:t>Вид отчета: выпадающий список с классификацией по видам отчета. Формируется в соответствии с полем RF_NMCD классификатора D_PIAO_MONFORMS, по умолчанию выбран параметр все («Не указано»);</w:t>
      </w:r>
    </w:p>
    <w:p w:rsidR="00472B5B" w:rsidRPr="00206C4C" w:rsidRDefault="00472B5B" w:rsidP="00DE1661">
      <w:pPr>
        <w:pStyle w:val="13"/>
      </w:pPr>
      <w:r w:rsidRPr="00206C4C">
        <w:t>Код счета БУ: выпадающий список с кодами счетов БУ. Формируется в соответствии с полем RF_CD классификатора D_PIAO_MONFORMS, по умолчанию выбран параметр все («Не указано»).</w:t>
      </w:r>
    </w:p>
    <w:p w:rsidR="00472B5B" w:rsidRPr="00206C4C" w:rsidRDefault="00472B5B" w:rsidP="00472B5B">
      <w:pPr>
        <w:pStyle w:val="af0"/>
      </w:pPr>
      <w:r w:rsidRPr="00206C4C">
        <w:t>Состав и принципы формирования показателей отчета:</w:t>
      </w:r>
    </w:p>
    <w:p w:rsidR="00472B5B" w:rsidRPr="00206C4C" w:rsidRDefault="00472B5B" w:rsidP="00DE1661">
      <w:pPr>
        <w:pStyle w:val="13"/>
      </w:pPr>
      <w:r w:rsidRPr="00206C4C">
        <w:rPr>
          <w:bCs/>
        </w:rPr>
        <w:t>«Количество подведомственных организаций»</w:t>
      </w:r>
      <w:r w:rsidRPr="00206C4C">
        <w:t xml:space="preserve"> рассчитывается как число организаций в Реестре участников и неучастников бюджетного процесса (СВР) подведомственных для выбранного субъекта бюджетной отчетности (ГРБС/Субъект РФ/ГВБФ), по которым была составлена отчетность;</w:t>
      </w:r>
    </w:p>
    <w:p w:rsidR="00472B5B" w:rsidRPr="00206C4C" w:rsidRDefault="00472B5B" w:rsidP="00DE1661">
      <w:pPr>
        <w:pStyle w:val="13"/>
      </w:pPr>
      <w:r w:rsidRPr="00206C4C">
        <w:t>«Общее количество комплектов» рассчитывается как число записей с уникальным содержанием поля DOCTYPE таблицы T_PIAO_FORMMONITORING для выбранного субъекта бюджетной отчетности и подведомственных ему организаций;</w:t>
      </w:r>
    </w:p>
    <w:p w:rsidR="00472B5B" w:rsidRPr="00206C4C" w:rsidRDefault="00472B5B" w:rsidP="00DE1661">
      <w:pPr>
        <w:pStyle w:val="13"/>
      </w:pPr>
      <w:r w:rsidRPr="00206C4C">
        <w:t>«Общее количество отчетных форм» рассчитывается как число записей в таблице фактов T_PIAO_FORMMONITORING для выбранного субъекта бюджетной отчетности и подведомственных ему организаций;</w:t>
      </w:r>
    </w:p>
    <w:p w:rsidR="00472B5B" w:rsidRPr="00206C4C" w:rsidRDefault="00472B5B" w:rsidP="00DE1661">
      <w:pPr>
        <w:pStyle w:val="13"/>
      </w:pPr>
      <w:r w:rsidRPr="00206C4C">
        <w:t>«Количество документов по статусам» рассчитывается как число записей для выбранного субъекта бюджетной отчетности и подведомственных ему организаций по каждому значению статуса документа (поле DOCSTATUS таблицы T_PIAO_FORMMONITORING):</w:t>
      </w:r>
    </w:p>
    <w:p w:rsidR="00472B5B" w:rsidRPr="00206C4C" w:rsidRDefault="00472B5B" w:rsidP="00472B5B">
      <w:pPr>
        <w:pStyle w:val="29"/>
      </w:pPr>
      <w:r w:rsidRPr="00206C4C">
        <w:t>Новый (CREATED)</w:t>
      </w:r>
    </w:p>
    <w:p w:rsidR="00472B5B" w:rsidRPr="00206C4C" w:rsidRDefault="00472B5B" w:rsidP="00472B5B">
      <w:pPr>
        <w:pStyle w:val="29"/>
      </w:pPr>
      <w:r w:rsidRPr="00206C4C">
        <w:t>Показатели отсутствуют (EMPTY)</w:t>
      </w:r>
    </w:p>
    <w:p w:rsidR="00472B5B" w:rsidRPr="00206C4C" w:rsidRDefault="00472B5B" w:rsidP="00472B5B">
      <w:pPr>
        <w:pStyle w:val="29"/>
      </w:pPr>
      <w:r w:rsidRPr="00206C4C">
        <w:t>Создан (CREATED_NEW)</w:t>
      </w:r>
    </w:p>
    <w:p w:rsidR="00472B5B" w:rsidRPr="00206C4C" w:rsidRDefault="00472B5B" w:rsidP="00472B5B">
      <w:pPr>
        <w:pStyle w:val="29"/>
        <w:rPr>
          <w:lang w:val="en-US"/>
        </w:rPr>
      </w:pPr>
      <w:r w:rsidRPr="00206C4C">
        <w:t>Создан</w:t>
      </w:r>
      <w:r w:rsidRPr="00206C4C">
        <w:rPr>
          <w:lang w:val="en-US"/>
        </w:rPr>
        <w:t xml:space="preserve"> </w:t>
      </w:r>
      <w:r w:rsidRPr="00206C4C">
        <w:t>без</w:t>
      </w:r>
      <w:r w:rsidRPr="00206C4C">
        <w:rPr>
          <w:lang w:val="en-US"/>
        </w:rPr>
        <w:t xml:space="preserve"> </w:t>
      </w:r>
      <w:r w:rsidRPr="00206C4C">
        <w:t>ошибок</w:t>
      </w:r>
      <w:r w:rsidRPr="00206C4C">
        <w:rPr>
          <w:lang w:val="en-US"/>
        </w:rPr>
        <w:t xml:space="preserve"> (CORRECT_CREATED)</w:t>
      </w:r>
    </w:p>
    <w:p w:rsidR="00472B5B" w:rsidRPr="00206C4C" w:rsidRDefault="00472B5B" w:rsidP="00472B5B">
      <w:pPr>
        <w:pStyle w:val="29"/>
        <w:rPr>
          <w:lang w:val="en-US"/>
        </w:rPr>
      </w:pPr>
      <w:r w:rsidRPr="00206C4C">
        <w:t>Создан</w:t>
      </w:r>
      <w:r w:rsidRPr="00206C4C">
        <w:rPr>
          <w:lang w:val="en-US"/>
        </w:rPr>
        <w:t xml:space="preserve"> </w:t>
      </w:r>
      <w:r w:rsidRPr="00206C4C">
        <w:t>с</w:t>
      </w:r>
      <w:r w:rsidRPr="00206C4C">
        <w:rPr>
          <w:lang w:val="en-US"/>
        </w:rPr>
        <w:t xml:space="preserve"> </w:t>
      </w:r>
      <w:r w:rsidRPr="00206C4C">
        <w:t>ошибками</w:t>
      </w:r>
      <w:r w:rsidRPr="00206C4C">
        <w:rPr>
          <w:lang w:val="en-US"/>
        </w:rPr>
        <w:t xml:space="preserve"> (NOT_CORRECT_CREATED)</w:t>
      </w:r>
    </w:p>
    <w:p w:rsidR="00472B5B" w:rsidRPr="00206C4C" w:rsidRDefault="00472B5B" w:rsidP="00472B5B">
      <w:pPr>
        <w:pStyle w:val="29"/>
      </w:pPr>
      <w:r w:rsidRPr="00206C4C">
        <w:t>Удален (DELETED)</w:t>
      </w:r>
    </w:p>
    <w:p w:rsidR="00472B5B" w:rsidRPr="00206C4C" w:rsidRDefault="00472B5B" w:rsidP="00472B5B">
      <w:pPr>
        <w:pStyle w:val="29"/>
      </w:pPr>
      <w:r w:rsidRPr="00206C4C">
        <w:t>Согласование (APPROVAL)</w:t>
      </w:r>
    </w:p>
    <w:p w:rsidR="00472B5B" w:rsidRPr="00206C4C" w:rsidRDefault="00472B5B" w:rsidP="00472B5B">
      <w:pPr>
        <w:pStyle w:val="29"/>
      </w:pPr>
      <w:r w:rsidRPr="00206C4C">
        <w:t>Согласован (APPROVED)</w:t>
      </w:r>
    </w:p>
    <w:p w:rsidR="00472B5B" w:rsidRPr="00206C4C" w:rsidRDefault="00472B5B" w:rsidP="00472B5B">
      <w:pPr>
        <w:pStyle w:val="29"/>
      </w:pPr>
      <w:r w:rsidRPr="00206C4C">
        <w:t>Представлен (SUBMITED)</w:t>
      </w:r>
    </w:p>
    <w:p w:rsidR="00472B5B" w:rsidRPr="00206C4C" w:rsidRDefault="00472B5B" w:rsidP="00472B5B">
      <w:pPr>
        <w:pStyle w:val="29"/>
      </w:pPr>
      <w:r w:rsidRPr="00206C4C">
        <w:t>Контроль пройден (VALIDATED)</w:t>
      </w:r>
    </w:p>
    <w:p w:rsidR="00472B5B" w:rsidRPr="00206C4C" w:rsidRDefault="00472B5B" w:rsidP="00472B5B">
      <w:pPr>
        <w:pStyle w:val="29"/>
      </w:pPr>
      <w:r w:rsidRPr="00206C4C">
        <w:t>Контроль не пройден (NOT_VALIDATED)</w:t>
      </w:r>
    </w:p>
    <w:p w:rsidR="00472B5B" w:rsidRPr="00206C4C" w:rsidRDefault="00472B5B" w:rsidP="00472B5B">
      <w:pPr>
        <w:pStyle w:val="29"/>
      </w:pPr>
      <w:r w:rsidRPr="00206C4C">
        <w:t>Принят условно (RECEIVED)</w:t>
      </w:r>
    </w:p>
    <w:p w:rsidR="00472B5B" w:rsidRPr="00206C4C" w:rsidRDefault="00472B5B" w:rsidP="00472B5B">
      <w:pPr>
        <w:pStyle w:val="29"/>
      </w:pPr>
      <w:r w:rsidRPr="00206C4C">
        <w:t>Принят (FULL_RECEIVED)</w:t>
      </w:r>
    </w:p>
    <w:p w:rsidR="00472B5B" w:rsidRPr="00206C4C" w:rsidRDefault="00472B5B" w:rsidP="00472B5B">
      <w:pPr>
        <w:pStyle w:val="29"/>
      </w:pPr>
      <w:r w:rsidRPr="00206C4C">
        <w:t>Отменен (CANCELED)</w:t>
      </w:r>
    </w:p>
    <w:p w:rsidR="00BF22ED" w:rsidRDefault="00BF22ED" w:rsidP="00862055">
      <w:pPr>
        <w:pStyle w:val="14"/>
        <w:numPr>
          <w:ilvl w:val="0"/>
          <w:numId w:val="135"/>
        </w:numPr>
      </w:pPr>
      <w:bookmarkStart w:id="2152" w:name="_Toc119585137"/>
      <w:r>
        <w:t>Действия в случае аварийных ситуаций</w:t>
      </w:r>
      <w:bookmarkEnd w:id="145"/>
      <w:bookmarkEnd w:id="146"/>
      <w:bookmarkEnd w:id="2152"/>
    </w:p>
    <w:p w:rsidR="00BF22ED" w:rsidRDefault="00BF22ED" w:rsidP="00BF22ED">
      <w:pPr>
        <w:pStyle w:val="af0"/>
      </w:pPr>
      <w:r w:rsidRPr="00C501ED">
        <w:t>Нарушение условий выполнения технологического процесса проявляется в виде невозможности выполнения и/или завершения технологической операции. Причиной нарушения условий выполнения технологического процесса, как правило, являются сбои в аппаратном и программном обеспечении.</w:t>
      </w:r>
    </w:p>
    <w:p w:rsidR="00BF22ED" w:rsidRPr="001B2331" w:rsidRDefault="00BF22ED" w:rsidP="00BF22ED">
      <w:pPr>
        <w:pStyle w:val="af0"/>
      </w:pPr>
      <w:r w:rsidRPr="001B2331">
        <w:t xml:space="preserve">В случае возникновения ошибок в процессе запуска или работы процессов необходимо зарегистрировать заявку на Портале самообслуживания в </w:t>
      </w:r>
      <w:r w:rsidR="00F0229E">
        <w:t xml:space="preserve">СУЭ ФК </w:t>
      </w:r>
      <w:r w:rsidRPr="001B2331">
        <w:t>с описанием возникшей проблемы.</w:t>
      </w:r>
    </w:p>
    <w:p w:rsidR="00BF22ED" w:rsidRPr="001B2331" w:rsidRDefault="00BF22ED" w:rsidP="00BF22ED">
      <w:pPr>
        <w:pStyle w:val="af0"/>
      </w:pPr>
      <w:r w:rsidRPr="001B2331">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BF22ED" w:rsidRPr="001B2331" w:rsidRDefault="00BF22ED" w:rsidP="00DE1661">
      <w:pPr>
        <w:pStyle w:val="13"/>
      </w:pPr>
      <w:r w:rsidRPr="001B2331">
        <w:t>позвонить оператору ЕКЦ ФК по многоканальным телефонам:</w:t>
      </w:r>
    </w:p>
    <w:p w:rsidR="00BF22ED" w:rsidRPr="001B2331" w:rsidRDefault="00656006" w:rsidP="00DE1661">
      <w:pPr>
        <w:pStyle w:val="13"/>
      </w:pPr>
      <w:r w:rsidRPr="00656006">
        <w:t>8</w:t>
      </w:r>
      <w:r>
        <w:t xml:space="preserve"> </w:t>
      </w:r>
      <w:r w:rsidRPr="00656006">
        <w:t>(800)</w:t>
      </w:r>
      <w:r>
        <w:t xml:space="preserve"> </w:t>
      </w:r>
      <w:r w:rsidRPr="00656006">
        <w:t>30-10-777</w:t>
      </w:r>
      <w:r w:rsidR="00BF22ED" w:rsidRPr="001B2331">
        <w:t>;</w:t>
      </w:r>
    </w:p>
    <w:p w:rsidR="00BF22ED" w:rsidRPr="001B2331" w:rsidRDefault="00BF22ED" w:rsidP="00DE1661">
      <w:pPr>
        <w:pStyle w:val="13"/>
      </w:pPr>
      <w:r w:rsidRPr="001B2331">
        <w:t xml:space="preserve">отправить электронное письмо на адрес </w:t>
      </w:r>
      <w:hyperlink r:id="rId646" w:history="1">
        <w:r w:rsidRPr="00E257BF">
          <w:rPr>
            <w:rStyle w:val="af5"/>
          </w:rPr>
          <w:t>support_EB@roskazna.ru</w:t>
        </w:r>
      </w:hyperlink>
      <w:r>
        <w:t xml:space="preserve"> </w:t>
      </w:r>
      <w:r w:rsidRPr="001B2331">
        <w:t>;</w:t>
      </w:r>
    </w:p>
    <w:p w:rsidR="00BF22ED" w:rsidRPr="001B2331" w:rsidRDefault="00BF22ED" w:rsidP="00DE1661">
      <w:pPr>
        <w:pStyle w:val="13"/>
      </w:pPr>
      <w:r w:rsidRPr="001B2331">
        <w:t>сообщить о проблеме из Личного кабинета пользователя ГИИС ЭБ.</w:t>
      </w:r>
    </w:p>
    <w:p w:rsidR="00BF22ED" w:rsidRDefault="00BF22ED" w:rsidP="00BF22ED">
      <w:pPr>
        <w:pStyle w:val="af0"/>
      </w:pPr>
      <w:r w:rsidRPr="00AC261C">
        <w:t xml:space="preserve">После обращения любым из перечисленных способов </w:t>
      </w:r>
      <w:r>
        <w:t>З</w:t>
      </w:r>
      <w:r w:rsidRPr="00AC261C">
        <w:t>аявка будет зарегистрирова</w:t>
      </w:r>
      <w:r>
        <w:t xml:space="preserve">на в </w:t>
      </w:r>
      <w:r w:rsidR="00F0229E">
        <w:t>СУЭ ФК</w:t>
      </w:r>
      <w:r>
        <w:t>. Н</w:t>
      </w:r>
      <w:r w:rsidRPr="00AC261C">
        <w:t>а указан</w:t>
      </w:r>
      <w:r>
        <w:t xml:space="preserve">ный в Заявке электронный адрес </w:t>
      </w:r>
      <w:r w:rsidRPr="00AC261C">
        <w:t>будет направлено почто</w:t>
      </w:r>
      <w:r>
        <w:t>вое уведомление о начале работ, с</w:t>
      </w:r>
      <w:r w:rsidRPr="00AC261C">
        <w:t>од</w:t>
      </w:r>
      <w:r>
        <w:t>ержащее</w:t>
      </w:r>
      <w:r w:rsidRPr="00AC261C">
        <w:t xml:space="preserve"> информацию о номере зарегистрированного обращения в </w:t>
      </w:r>
      <w:r w:rsidR="00F0229E">
        <w:t>СУЭ ФК</w:t>
      </w:r>
      <w:r w:rsidRPr="00AC261C">
        <w:t>. В случае неполучения подобного уведомления, Пользователь должен обратиться в ЕКЦ ФК</w:t>
      </w:r>
      <w:r w:rsidR="00731AF9">
        <w:t>.</w:t>
      </w:r>
    </w:p>
    <w:p w:rsidR="00731AF9" w:rsidRPr="00C501ED" w:rsidRDefault="00731AF9" w:rsidP="00862055">
      <w:pPr>
        <w:pStyle w:val="14"/>
        <w:numPr>
          <w:ilvl w:val="0"/>
          <w:numId w:val="135"/>
        </w:numPr>
      </w:pPr>
      <w:bookmarkStart w:id="2153" w:name="_Toc32928164"/>
      <w:bookmarkStart w:id="2154" w:name="_Toc119585138"/>
      <w:r w:rsidRPr="00C501ED">
        <w:t>Рекомендации по освоению</w:t>
      </w:r>
      <w:bookmarkEnd w:id="2153"/>
      <w:bookmarkEnd w:id="2154"/>
    </w:p>
    <w:p w:rsidR="00731AF9" w:rsidRPr="00C501ED" w:rsidRDefault="00731AF9" w:rsidP="00731AF9">
      <w:pPr>
        <w:pStyle w:val="af0"/>
      </w:pPr>
      <w:r w:rsidRPr="00C501ED">
        <w:t>Перед началом работы с Подсистемой рекомендуется</w:t>
      </w:r>
      <w:r w:rsidR="003048EF">
        <w:t xml:space="preserve"> ознакомиться с документами</w:t>
      </w:r>
      <w:r w:rsidRPr="00C501ED">
        <w:t>:</w:t>
      </w:r>
    </w:p>
    <w:p w:rsidR="00B564F3" w:rsidRDefault="003048EF" w:rsidP="00B564F3">
      <w:pPr>
        <w:pStyle w:val="13"/>
      </w:pPr>
      <w:r w:rsidRPr="009B34B8">
        <w:t>«</w:t>
      </w:r>
      <w:r w:rsidR="00B564F3">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Мобильное приложение;</w:t>
      </w:r>
    </w:p>
    <w:p w:rsidR="00B564F3" w:rsidRDefault="00B564F3" w:rsidP="00B564F3">
      <w:pPr>
        <w:pStyle w:val="13"/>
      </w:pPr>
      <w: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Загрузка данных;</w:t>
      </w:r>
    </w:p>
    <w:p w:rsidR="00B564F3" w:rsidRDefault="00B564F3" w:rsidP="00B564F3">
      <w:pPr>
        <w:pStyle w:val="13"/>
      </w:pPr>
      <w: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Конструктор данных;</w:t>
      </w:r>
    </w:p>
    <w:p w:rsidR="00B564F3" w:rsidRDefault="00B564F3" w:rsidP="00B564F3">
      <w:pPr>
        <w:pStyle w:val="13"/>
      </w:pPr>
      <w:r>
        <w:t>Руководство работников (представителей) участников системы «Электронный бюджет» по работе с подсистемой (компонентом, модулем) Самообслуживание;</w:t>
      </w:r>
    </w:p>
    <w:p w:rsidR="00B564F3" w:rsidRDefault="00B564F3" w:rsidP="00B564F3">
      <w:pPr>
        <w:pStyle w:val="13"/>
      </w:pPr>
      <w:r>
        <w:t>Руководство работников (представителей) участников системы «Электронный бюджет» по работе с подсистемой (компонентом, модулем) в части сервиса предоставления данных из Подсистемы в подсистемы системы «Электронный бюджет» и внешние информационные системы.</w:t>
      </w:r>
    </w:p>
    <w:p w:rsidR="00FF409A" w:rsidRPr="00E06755" w:rsidRDefault="00FF409A">
      <w:pPr>
        <w:spacing w:after="200" w:line="276" w:lineRule="auto"/>
        <w:jc w:val="left"/>
        <w:rPr>
          <w:sz w:val="28"/>
        </w:rPr>
      </w:pPr>
      <w:r w:rsidRPr="00E06755">
        <w:br w:type="page"/>
      </w:r>
    </w:p>
    <w:p w:rsidR="00D55811" w:rsidRPr="00E06755" w:rsidRDefault="00D55811" w:rsidP="00684385">
      <w:pPr>
        <w:pStyle w:val="14"/>
        <w:numPr>
          <w:ilvl w:val="0"/>
          <w:numId w:val="0"/>
        </w:numPr>
        <w:rPr>
          <w:lang w:val="en-US"/>
        </w:rPr>
      </w:pPr>
      <w:bookmarkStart w:id="2155" w:name="_Toc119585139"/>
      <w:bookmarkEnd w:id="59"/>
      <w:r w:rsidRPr="00E06755">
        <w:t>Составили</w:t>
      </w:r>
      <w:bookmarkEnd w:id="21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58"/>
        <w:gridCol w:w="2110"/>
        <w:gridCol w:w="2122"/>
        <w:gridCol w:w="1989"/>
        <w:gridCol w:w="1417"/>
      </w:tblGrid>
      <w:tr w:rsidR="00D55811" w:rsidRPr="00E06755" w:rsidTr="009A12B9">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Должность</w:t>
            </w:r>
            <w:r w:rsidRPr="00E06755">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Дата</w:t>
            </w:r>
          </w:p>
        </w:tc>
      </w:tr>
      <w:tr w:rsidR="00D55811" w:rsidRPr="00E06755" w:rsidTr="009A12B9">
        <w:tc>
          <w:tcPr>
            <w:tcW w:w="2058" w:type="dxa"/>
            <w:shd w:val="clear" w:color="auto" w:fill="auto"/>
            <w:vAlign w:val="center"/>
          </w:tcPr>
          <w:p w:rsidR="005A3068" w:rsidRPr="00E06755" w:rsidRDefault="005A3068" w:rsidP="005A3068">
            <w:r w:rsidRPr="00E06755">
              <w:t>ООО «НПО </w:t>
            </w:r>
          </w:p>
          <w:p w:rsidR="00D55811" w:rsidRPr="00E06755" w:rsidRDefault="005A3068" w:rsidP="005A3068">
            <w:r w:rsidRPr="00E06755">
              <w:t>«Криста»</w:t>
            </w:r>
          </w:p>
        </w:tc>
        <w:tc>
          <w:tcPr>
            <w:tcW w:w="2110" w:type="dxa"/>
            <w:shd w:val="clear" w:color="auto" w:fill="auto"/>
            <w:vAlign w:val="center"/>
          </w:tcPr>
          <w:p w:rsidR="00D55811" w:rsidRPr="00E06755" w:rsidRDefault="005A3068" w:rsidP="009A12B9">
            <w:r w:rsidRPr="00E06755">
              <w:t>Специалист по настройке и обучению ПО 2 категории</w:t>
            </w:r>
          </w:p>
        </w:tc>
        <w:tc>
          <w:tcPr>
            <w:tcW w:w="2122" w:type="dxa"/>
            <w:shd w:val="clear" w:color="auto" w:fill="auto"/>
            <w:vAlign w:val="center"/>
          </w:tcPr>
          <w:p w:rsidR="00D55811" w:rsidRPr="00E06755" w:rsidRDefault="00CA1F11" w:rsidP="009A12B9">
            <w:r w:rsidRPr="00E06755">
              <w:t>Ражева.</w:t>
            </w:r>
            <w:r>
              <w:t xml:space="preserve"> </w:t>
            </w:r>
            <w:r w:rsidRPr="00E06755">
              <w:t>Е.В</w:t>
            </w:r>
            <w:r>
              <w:t>.</w:t>
            </w:r>
          </w:p>
        </w:tc>
        <w:tc>
          <w:tcPr>
            <w:tcW w:w="1989"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93787F" w:rsidP="009A12B9">
            <w:r w:rsidRPr="00E06755">
              <w:t>30.10.2017</w:t>
            </w:r>
          </w:p>
        </w:tc>
      </w:tr>
      <w:tr w:rsidR="00042CF6" w:rsidRPr="00E06755" w:rsidTr="009A12B9">
        <w:tc>
          <w:tcPr>
            <w:tcW w:w="2058" w:type="dxa"/>
            <w:shd w:val="clear" w:color="auto" w:fill="auto"/>
            <w:vAlign w:val="center"/>
          </w:tcPr>
          <w:p w:rsidR="00042CF6" w:rsidRPr="00E06755" w:rsidRDefault="00042CF6" w:rsidP="003E5BA4"/>
        </w:tc>
        <w:tc>
          <w:tcPr>
            <w:tcW w:w="2110" w:type="dxa"/>
            <w:shd w:val="clear" w:color="auto" w:fill="auto"/>
            <w:vAlign w:val="center"/>
          </w:tcPr>
          <w:p w:rsidR="00042CF6" w:rsidRPr="00E06755" w:rsidRDefault="00042CF6" w:rsidP="003E5BA4"/>
        </w:tc>
        <w:tc>
          <w:tcPr>
            <w:tcW w:w="2122" w:type="dxa"/>
            <w:shd w:val="clear" w:color="auto" w:fill="auto"/>
            <w:vAlign w:val="center"/>
          </w:tcPr>
          <w:p w:rsidR="00042CF6" w:rsidRPr="00E06755" w:rsidRDefault="00042CF6" w:rsidP="003E5BA4"/>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r w:rsidR="00042CF6" w:rsidRPr="00E06755" w:rsidTr="009A12B9">
        <w:tc>
          <w:tcPr>
            <w:tcW w:w="2058" w:type="dxa"/>
            <w:shd w:val="clear" w:color="auto" w:fill="auto"/>
            <w:vAlign w:val="center"/>
          </w:tcPr>
          <w:p w:rsidR="00042CF6" w:rsidRPr="00E06755" w:rsidRDefault="00042CF6" w:rsidP="009A12B9"/>
        </w:tc>
        <w:tc>
          <w:tcPr>
            <w:tcW w:w="2110" w:type="dxa"/>
            <w:shd w:val="clear" w:color="auto" w:fill="auto"/>
            <w:vAlign w:val="center"/>
          </w:tcPr>
          <w:p w:rsidR="00042CF6" w:rsidRPr="00E06755" w:rsidRDefault="00042CF6" w:rsidP="009A12B9"/>
        </w:tc>
        <w:tc>
          <w:tcPr>
            <w:tcW w:w="2122" w:type="dxa"/>
            <w:shd w:val="clear" w:color="auto" w:fill="auto"/>
            <w:vAlign w:val="center"/>
          </w:tcPr>
          <w:p w:rsidR="00042CF6" w:rsidRPr="00E06755" w:rsidRDefault="00042CF6" w:rsidP="009A12B9"/>
        </w:tc>
        <w:tc>
          <w:tcPr>
            <w:tcW w:w="1989" w:type="dxa"/>
            <w:shd w:val="clear" w:color="auto" w:fill="auto"/>
            <w:vAlign w:val="center"/>
          </w:tcPr>
          <w:p w:rsidR="00042CF6" w:rsidRPr="00E06755" w:rsidRDefault="00042CF6" w:rsidP="009A12B9"/>
        </w:tc>
        <w:tc>
          <w:tcPr>
            <w:tcW w:w="1417" w:type="dxa"/>
            <w:shd w:val="clear" w:color="auto" w:fill="auto"/>
            <w:vAlign w:val="center"/>
          </w:tcPr>
          <w:p w:rsidR="00042CF6" w:rsidRPr="00E06755" w:rsidRDefault="00042CF6" w:rsidP="009A12B9"/>
        </w:tc>
      </w:tr>
    </w:tbl>
    <w:p w:rsidR="0053041A" w:rsidRPr="00E06755" w:rsidRDefault="0053041A" w:rsidP="0053041A">
      <w:pPr>
        <w:pStyle w:val="af0"/>
        <w:rPr>
          <w:sz w:val="36"/>
        </w:rPr>
      </w:pPr>
      <w:r w:rsidRPr="00E06755">
        <w:br w:type="page"/>
      </w:r>
    </w:p>
    <w:p w:rsidR="00D55811" w:rsidRPr="00E06755" w:rsidRDefault="00D55811" w:rsidP="00684385">
      <w:pPr>
        <w:pStyle w:val="14"/>
        <w:numPr>
          <w:ilvl w:val="0"/>
          <w:numId w:val="0"/>
        </w:numPr>
      </w:pPr>
      <w:bookmarkStart w:id="2156" w:name="_Toc119585140"/>
      <w:r w:rsidRPr="00E06755">
        <w:t>Согласовано</w:t>
      </w:r>
      <w:bookmarkEnd w:id="2156"/>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D55811" w:rsidRPr="00E06755" w:rsidTr="009A12B9">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Должность</w:t>
            </w:r>
            <w:r w:rsidRPr="00E06755">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Дата</w:t>
            </w:r>
          </w:p>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53041A" w:rsidRPr="00E06755" w:rsidTr="009A12B9">
        <w:tc>
          <w:tcPr>
            <w:tcW w:w="2042"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2126" w:type="dxa"/>
            <w:shd w:val="clear" w:color="auto" w:fill="auto"/>
            <w:vAlign w:val="center"/>
          </w:tcPr>
          <w:p w:rsidR="0053041A" w:rsidRPr="00E06755" w:rsidRDefault="0053041A" w:rsidP="009A12B9"/>
        </w:tc>
        <w:tc>
          <w:tcPr>
            <w:tcW w:w="1985" w:type="dxa"/>
            <w:shd w:val="clear" w:color="auto" w:fill="auto"/>
            <w:vAlign w:val="center"/>
          </w:tcPr>
          <w:p w:rsidR="0053041A" w:rsidRPr="00E06755" w:rsidRDefault="0053041A" w:rsidP="009A12B9"/>
        </w:tc>
        <w:tc>
          <w:tcPr>
            <w:tcW w:w="1417" w:type="dxa"/>
            <w:shd w:val="clear" w:color="auto" w:fill="auto"/>
            <w:vAlign w:val="center"/>
          </w:tcPr>
          <w:p w:rsidR="0053041A" w:rsidRPr="00E06755" w:rsidRDefault="0053041A"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r w:rsidR="00D55811" w:rsidRPr="00E06755" w:rsidTr="009A12B9">
        <w:tc>
          <w:tcPr>
            <w:tcW w:w="2042"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2126" w:type="dxa"/>
            <w:shd w:val="clear" w:color="auto" w:fill="auto"/>
            <w:vAlign w:val="center"/>
          </w:tcPr>
          <w:p w:rsidR="00D55811" w:rsidRPr="00E06755" w:rsidRDefault="00D55811" w:rsidP="009A12B9"/>
        </w:tc>
        <w:tc>
          <w:tcPr>
            <w:tcW w:w="1985" w:type="dxa"/>
            <w:shd w:val="clear" w:color="auto" w:fill="auto"/>
            <w:vAlign w:val="center"/>
          </w:tcPr>
          <w:p w:rsidR="00D55811" w:rsidRPr="00E06755" w:rsidRDefault="00D55811" w:rsidP="009A12B9"/>
        </w:tc>
        <w:tc>
          <w:tcPr>
            <w:tcW w:w="1417" w:type="dxa"/>
            <w:shd w:val="clear" w:color="auto" w:fill="auto"/>
            <w:vAlign w:val="center"/>
          </w:tcPr>
          <w:p w:rsidR="00D55811" w:rsidRPr="00E06755" w:rsidRDefault="00D55811" w:rsidP="009A12B9"/>
        </w:tc>
      </w:tr>
    </w:tbl>
    <w:p w:rsidR="00D55811" w:rsidRPr="00E06755" w:rsidRDefault="00D55811" w:rsidP="00D55811"/>
    <w:p w:rsidR="00D55811" w:rsidRPr="00E06755" w:rsidRDefault="00D55811" w:rsidP="00D55811"/>
    <w:p w:rsidR="00D55811" w:rsidRPr="00E06755" w:rsidRDefault="00D55811" w:rsidP="00684385">
      <w:pPr>
        <w:pStyle w:val="14"/>
        <w:numPr>
          <w:ilvl w:val="0"/>
          <w:numId w:val="0"/>
        </w:numPr>
      </w:pPr>
      <w:bookmarkStart w:id="2157" w:name="_Toc358118979"/>
      <w:bookmarkStart w:id="2158" w:name="_Toc403720970"/>
      <w:r w:rsidRPr="00E06755">
        <w:br w:type="page"/>
      </w:r>
      <w:bookmarkStart w:id="2159" w:name="_Toc119585141"/>
      <w:r w:rsidRPr="00E06755">
        <w:t>Лист регистрации изменений</w:t>
      </w:r>
      <w:bookmarkEnd w:id="2157"/>
      <w:bookmarkEnd w:id="2158"/>
      <w:bookmarkEnd w:id="2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18"/>
        <w:gridCol w:w="1414"/>
        <w:gridCol w:w="1974"/>
        <w:gridCol w:w="4645"/>
      </w:tblGrid>
      <w:tr w:rsidR="00D55811" w:rsidRPr="00E06755" w:rsidTr="00763AED">
        <w:trPr>
          <w:trHeight w:val="544"/>
          <w:tblHeader/>
        </w:trPr>
        <w:tc>
          <w:tcPr>
            <w:tcW w:w="88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w:t>
            </w:r>
            <w:r w:rsidRPr="00E06755">
              <w:rPr>
                <w:b/>
              </w:rPr>
              <w:br/>
              <w:t>версии док-та</w:t>
            </w:r>
          </w:p>
        </w:tc>
        <w:tc>
          <w:tcPr>
            <w:tcW w:w="72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Дата</w:t>
            </w:r>
            <w:r w:rsidRPr="00E06755">
              <w:rPr>
                <w:b/>
              </w:rPr>
              <w:br/>
              <w:t>изменения</w:t>
            </w:r>
          </w:p>
        </w:tc>
        <w:tc>
          <w:tcPr>
            <w:tcW w:w="101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Автор</w:t>
            </w:r>
            <w:r w:rsidRPr="00E06755">
              <w:rPr>
                <w:b/>
              </w:rPr>
              <w:br/>
              <w:t>изменений</w:t>
            </w:r>
          </w:p>
        </w:tc>
        <w:tc>
          <w:tcPr>
            <w:tcW w:w="23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D55811" w:rsidRPr="00E06755" w:rsidRDefault="00D55811" w:rsidP="0093787F">
            <w:pPr>
              <w:jc w:val="center"/>
              <w:rPr>
                <w:b/>
              </w:rPr>
            </w:pPr>
            <w:r w:rsidRPr="00E06755">
              <w:rPr>
                <w:b/>
              </w:rPr>
              <w:t>Изменения</w:t>
            </w:r>
          </w:p>
        </w:tc>
      </w:tr>
      <w:tr w:rsidR="00D55811" w:rsidRPr="00E06755" w:rsidTr="00763AED">
        <w:tc>
          <w:tcPr>
            <w:tcW w:w="881" w:type="pct"/>
            <w:shd w:val="clear" w:color="auto" w:fill="auto"/>
            <w:vAlign w:val="center"/>
          </w:tcPr>
          <w:p w:rsidR="00D55811" w:rsidRPr="00E06755" w:rsidRDefault="005A3068" w:rsidP="009A12B9">
            <w:r w:rsidRPr="00E06755">
              <w:t>1.0</w:t>
            </w:r>
          </w:p>
        </w:tc>
        <w:tc>
          <w:tcPr>
            <w:tcW w:w="725" w:type="pct"/>
            <w:shd w:val="clear" w:color="auto" w:fill="auto"/>
            <w:vAlign w:val="center"/>
          </w:tcPr>
          <w:p w:rsidR="00D55811" w:rsidRPr="00E06755" w:rsidRDefault="005A3068" w:rsidP="009A12B9">
            <w:r w:rsidRPr="00E06755">
              <w:t>30.10.2017</w:t>
            </w:r>
          </w:p>
        </w:tc>
        <w:tc>
          <w:tcPr>
            <w:tcW w:w="1012" w:type="pct"/>
            <w:shd w:val="clear" w:color="auto" w:fill="auto"/>
            <w:vAlign w:val="center"/>
          </w:tcPr>
          <w:p w:rsidR="00D55811" w:rsidRPr="00E06755" w:rsidRDefault="005A3068" w:rsidP="009A12B9">
            <w:r w:rsidRPr="00E06755">
              <w:t>Ражева.</w:t>
            </w:r>
            <w:r w:rsidR="003E5BA4" w:rsidRPr="00E06755">
              <w:t xml:space="preserve"> </w:t>
            </w:r>
            <w:r w:rsidRPr="00E06755">
              <w:t>Е.В</w:t>
            </w:r>
          </w:p>
        </w:tc>
        <w:tc>
          <w:tcPr>
            <w:tcW w:w="2382" w:type="pct"/>
            <w:shd w:val="clear" w:color="auto" w:fill="auto"/>
            <w:vAlign w:val="center"/>
          </w:tcPr>
          <w:p w:rsidR="00D55811" w:rsidRPr="006158DF" w:rsidRDefault="00B965D5" w:rsidP="006158DF">
            <w:r>
              <w:t>Первоначальная версия, разработанная в рамках ГК №</w:t>
            </w:r>
            <w:r w:rsidRPr="00B549D7">
              <w:t>ФКУ0394/09/2017</w:t>
            </w:r>
            <w:r>
              <w:t xml:space="preserve"> от 25.09.2017г. (период 1) на создание Подсистемы</w:t>
            </w:r>
          </w:p>
        </w:tc>
      </w:tr>
      <w:tr w:rsidR="00D55811" w:rsidRPr="00E06755" w:rsidTr="00763AED">
        <w:tc>
          <w:tcPr>
            <w:tcW w:w="881" w:type="pct"/>
            <w:shd w:val="clear" w:color="auto" w:fill="auto"/>
            <w:vAlign w:val="center"/>
          </w:tcPr>
          <w:p w:rsidR="00D55811" w:rsidRPr="00E06755" w:rsidRDefault="00254BE7" w:rsidP="009A12B9">
            <w:r w:rsidRPr="00E06755">
              <w:rPr>
                <w:lang w:val="en-US"/>
              </w:rPr>
              <w:t>1</w:t>
            </w:r>
            <w:r w:rsidRPr="00E06755">
              <w:t>.1</w:t>
            </w:r>
          </w:p>
        </w:tc>
        <w:tc>
          <w:tcPr>
            <w:tcW w:w="725" w:type="pct"/>
            <w:shd w:val="clear" w:color="auto" w:fill="auto"/>
            <w:vAlign w:val="center"/>
          </w:tcPr>
          <w:p w:rsidR="00D55811" w:rsidRPr="00E06755" w:rsidRDefault="00254BE7" w:rsidP="009A12B9">
            <w:r w:rsidRPr="00E06755">
              <w:t>02.07.2018</w:t>
            </w:r>
          </w:p>
        </w:tc>
        <w:tc>
          <w:tcPr>
            <w:tcW w:w="1012" w:type="pct"/>
            <w:shd w:val="clear" w:color="auto" w:fill="auto"/>
            <w:vAlign w:val="center"/>
          </w:tcPr>
          <w:p w:rsidR="00D55811" w:rsidRPr="00E06755" w:rsidRDefault="00254BE7" w:rsidP="009A12B9">
            <w:r w:rsidRPr="00E06755">
              <w:t>Громова О.В.</w:t>
            </w:r>
          </w:p>
        </w:tc>
        <w:tc>
          <w:tcPr>
            <w:tcW w:w="2382" w:type="pct"/>
            <w:shd w:val="clear" w:color="auto" w:fill="auto"/>
            <w:vAlign w:val="center"/>
          </w:tcPr>
          <w:p w:rsidR="00D55811" w:rsidRPr="00E06755" w:rsidRDefault="00B965D5" w:rsidP="00B965D5">
            <w:r>
              <w:t>В рамках ГК №</w:t>
            </w:r>
            <w:r w:rsidRPr="00B549D7">
              <w:t>ФКУ0394/09/2017</w:t>
            </w:r>
            <w:r>
              <w:t xml:space="preserve"> от 25.09.2017г</w:t>
            </w:r>
            <w:r w:rsidR="007E4402">
              <w:t>.</w:t>
            </w:r>
            <w:r w:rsidRPr="00E06755">
              <w:t xml:space="preserve"> </w:t>
            </w:r>
            <w:r>
              <w:t>в</w:t>
            </w:r>
            <w:r w:rsidR="00254BE7" w:rsidRPr="00E06755">
              <w:t xml:space="preserve">несены изменения в описания всех контрольных примеров в соответствии с </w:t>
            </w:r>
            <w:r w:rsidR="006456D2" w:rsidRPr="00E06755">
              <w:t>замечаниями,</w:t>
            </w:r>
            <w:r w:rsidR="00254BE7" w:rsidRPr="00E06755">
              <w:t xml:space="preserve"> полученными на ПДИ</w:t>
            </w:r>
          </w:p>
        </w:tc>
      </w:tr>
      <w:tr w:rsidR="00D55811" w:rsidRPr="00E06755" w:rsidTr="00763AED">
        <w:tc>
          <w:tcPr>
            <w:tcW w:w="881" w:type="pct"/>
            <w:shd w:val="clear" w:color="auto" w:fill="auto"/>
            <w:vAlign w:val="center"/>
          </w:tcPr>
          <w:p w:rsidR="00D55811" w:rsidRPr="00E06755" w:rsidRDefault="003E5BA4" w:rsidP="009A12B9">
            <w:r w:rsidRPr="00E06755">
              <w:t>1.2</w:t>
            </w:r>
          </w:p>
        </w:tc>
        <w:tc>
          <w:tcPr>
            <w:tcW w:w="725" w:type="pct"/>
            <w:shd w:val="clear" w:color="auto" w:fill="auto"/>
            <w:vAlign w:val="center"/>
          </w:tcPr>
          <w:p w:rsidR="00D55811" w:rsidRPr="00E06755" w:rsidRDefault="003E5BA4" w:rsidP="009A12B9">
            <w:r w:rsidRPr="00E06755">
              <w:t>27.09.2018</w:t>
            </w:r>
          </w:p>
        </w:tc>
        <w:tc>
          <w:tcPr>
            <w:tcW w:w="1012" w:type="pct"/>
            <w:shd w:val="clear" w:color="auto" w:fill="auto"/>
            <w:vAlign w:val="center"/>
          </w:tcPr>
          <w:p w:rsidR="00D55811" w:rsidRPr="00E06755" w:rsidRDefault="003E5BA4" w:rsidP="009A12B9">
            <w:r w:rsidRPr="00E06755">
              <w:t>Громова О.В.</w:t>
            </w:r>
          </w:p>
        </w:tc>
        <w:tc>
          <w:tcPr>
            <w:tcW w:w="2382" w:type="pct"/>
            <w:shd w:val="clear" w:color="auto" w:fill="auto"/>
            <w:vAlign w:val="center"/>
          </w:tcPr>
          <w:p w:rsidR="00D55811" w:rsidRPr="00E06755" w:rsidRDefault="00B965D5" w:rsidP="00B965D5">
            <w:r>
              <w:t>В рамках ГК №</w:t>
            </w:r>
            <w:r w:rsidRPr="00B549D7">
              <w:t>ФКУ0394/09/2017</w:t>
            </w:r>
            <w:r>
              <w:t xml:space="preserve"> от 25.09.2017г. д</w:t>
            </w:r>
            <w:r w:rsidR="003E5BA4" w:rsidRPr="00E06755">
              <w:t>обавлен п.6 «Рекомендации по освоению»</w:t>
            </w:r>
          </w:p>
        </w:tc>
      </w:tr>
      <w:tr w:rsidR="00D55811" w:rsidRPr="00E06755" w:rsidTr="00763AED">
        <w:tc>
          <w:tcPr>
            <w:tcW w:w="881" w:type="pct"/>
            <w:shd w:val="clear" w:color="auto" w:fill="auto"/>
            <w:vAlign w:val="center"/>
          </w:tcPr>
          <w:p w:rsidR="00D55811" w:rsidRPr="00E06755" w:rsidRDefault="005C150B" w:rsidP="009A12B9">
            <w:r w:rsidRPr="00E06755">
              <w:t>1.3</w:t>
            </w:r>
          </w:p>
        </w:tc>
        <w:tc>
          <w:tcPr>
            <w:tcW w:w="725" w:type="pct"/>
            <w:shd w:val="clear" w:color="auto" w:fill="auto"/>
            <w:vAlign w:val="center"/>
          </w:tcPr>
          <w:p w:rsidR="00D55811" w:rsidRPr="00E06755" w:rsidRDefault="005C150B" w:rsidP="009A12B9">
            <w:r w:rsidRPr="00E06755">
              <w:t>15.10.2018</w:t>
            </w:r>
          </w:p>
        </w:tc>
        <w:tc>
          <w:tcPr>
            <w:tcW w:w="1012" w:type="pct"/>
            <w:shd w:val="clear" w:color="auto" w:fill="auto"/>
            <w:vAlign w:val="center"/>
          </w:tcPr>
          <w:p w:rsidR="00D55811" w:rsidRPr="00E06755" w:rsidRDefault="005C150B" w:rsidP="009A12B9">
            <w:r w:rsidRPr="00E06755">
              <w:t>Громова О.В.</w:t>
            </w:r>
          </w:p>
        </w:tc>
        <w:tc>
          <w:tcPr>
            <w:tcW w:w="2382" w:type="pct"/>
            <w:shd w:val="clear" w:color="auto" w:fill="auto"/>
            <w:vAlign w:val="center"/>
          </w:tcPr>
          <w:p w:rsidR="00D55811" w:rsidRPr="00E06755" w:rsidRDefault="007E4402" w:rsidP="007E4402">
            <w:r>
              <w:t>В рамках ГК №</w:t>
            </w:r>
            <w:r w:rsidRPr="00B549D7">
              <w:t>ФКУ0394/09/2017</w:t>
            </w:r>
            <w:r>
              <w:t xml:space="preserve"> от 25.09.2017г. д</w:t>
            </w:r>
            <w:r w:rsidR="005C150B" w:rsidRPr="00E06755">
              <w:rPr>
                <w:color w:val="auto"/>
              </w:rPr>
              <w:t xml:space="preserve">окумент актуализирован в соответствии с </w:t>
            </w:r>
            <w:r w:rsidR="006456D2" w:rsidRPr="00E06755">
              <w:rPr>
                <w:color w:val="auto"/>
              </w:rPr>
              <w:t>перекомпоновкой</w:t>
            </w:r>
            <w:r w:rsidR="005C150B" w:rsidRPr="00E06755">
              <w:rPr>
                <w:color w:val="auto"/>
              </w:rPr>
              <w:t xml:space="preserve"> аналитических отчетов и витрин</w:t>
            </w:r>
          </w:p>
        </w:tc>
      </w:tr>
      <w:tr w:rsidR="00D55811" w:rsidRPr="00E06755" w:rsidTr="00763AED">
        <w:tc>
          <w:tcPr>
            <w:tcW w:w="881" w:type="pct"/>
            <w:shd w:val="clear" w:color="auto" w:fill="auto"/>
            <w:vAlign w:val="center"/>
          </w:tcPr>
          <w:p w:rsidR="00D55811" w:rsidRPr="00B965D5" w:rsidRDefault="00F55713" w:rsidP="009A12B9">
            <w:r w:rsidRPr="00B965D5">
              <w:t>1.4</w:t>
            </w:r>
          </w:p>
        </w:tc>
        <w:tc>
          <w:tcPr>
            <w:tcW w:w="725" w:type="pct"/>
            <w:shd w:val="clear" w:color="auto" w:fill="auto"/>
            <w:vAlign w:val="center"/>
          </w:tcPr>
          <w:p w:rsidR="00D55811" w:rsidRPr="00E06755" w:rsidRDefault="00F55713" w:rsidP="009A12B9">
            <w:pPr>
              <w:rPr>
                <w:lang w:val="en-US"/>
              </w:rPr>
            </w:pPr>
            <w:r w:rsidRPr="00B965D5">
              <w:t>02.07</w:t>
            </w:r>
            <w:r w:rsidRPr="00E06755">
              <w:rPr>
                <w:lang w:val="en-US"/>
              </w:rPr>
              <w:t>.2019</w:t>
            </w:r>
          </w:p>
        </w:tc>
        <w:tc>
          <w:tcPr>
            <w:tcW w:w="1012" w:type="pct"/>
            <w:shd w:val="clear" w:color="auto" w:fill="auto"/>
            <w:vAlign w:val="center"/>
          </w:tcPr>
          <w:p w:rsidR="00D55811" w:rsidRPr="00E06755" w:rsidRDefault="00F55713" w:rsidP="009A12B9">
            <w:r w:rsidRPr="00E06755">
              <w:t xml:space="preserve">Рыкунова Е. В. </w:t>
            </w:r>
          </w:p>
        </w:tc>
        <w:tc>
          <w:tcPr>
            <w:tcW w:w="2382" w:type="pct"/>
            <w:shd w:val="clear" w:color="auto" w:fill="auto"/>
            <w:vAlign w:val="center"/>
          </w:tcPr>
          <w:p w:rsidR="00D55811" w:rsidRPr="00E06755" w:rsidRDefault="00613AAC" w:rsidP="00613AAC">
            <w:r>
              <w:t>В рамках ГК №</w:t>
            </w:r>
            <w:r w:rsidRPr="00B549D7">
              <w:t>ФКУ0394/09/2017</w:t>
            </w:r>
            <w:r>
              <w:t xml:space="preserve"> от 25.09.2017г. д</w:t>
            </w:r>
            <w:r w:rsidR="00F55713" w:rsidRPr="00E06755">
              <w:t>окумент актуализирован в части порядка подключения пользователей к системе.</w:t>
            </w:r>
          </w:p>
        </w:tc>
      </w:tr>
      <w:tr w:rsidR="00D55811" w:rsidRPr="00E06755" w:rsidTr="00763AED">
        <w:tc>
          <w:tcPr>
            <w:tcW w:w="881" w:type="pct"/>
            <w:shd w:val="clear" w:color="auto" w:fill="auto"/>
            <w:vAlign w:val="center"/>
          </w:tcPr>
          <w:p w:rsidR="00D55811" w:rsidRPr="00E06755" w:rsidRDefault="00787E13" w:rsidP="009A12B9">
            <w:r w:rsidRPr="00E06755">
              <w:t>2.0</w:t>
            </w:r>
          </w:p>
        </w:tc>
        <w:tc>
          <w:tcPr>
            <w:tcW w:w="725" w:type="pct"/>
            <w:shd w:val="clear" w:color="auto" w:fill="auto"/>
            <w:vAlign w:val="center"/>
          </w:tcPr>
          <w:p w:rsidR="00D55811" w:rsidRPr="00E06755" w:rsidRDefault="00787E13" w:rsidP="009A12B9">
            <w:r w:rsidRPr="00E06755">
              <w:t>24.09.2019</w:t>
            </w:r>
          </w:p>
        </w:tc>
        <w:tc>
          <w:tcPr>
            <w:tcW w:w="1012" w:type="pct"/>
            <w:shd w:val="clear" w:color="auto" w:fill="auto"/>
            <w:vAlign w:val="center"/>
          </w:tcPr>
          <w:p w:rsidR="00D55811" w:rsidRPr="00E06755" w:rsidRDefault="00787E13" w:rsidP="009A12B9">
            <w:r w:rsidRPr="00E06755">
              <w:t>Громова О.В.</w:t>
            </w:r>
          </w:p>
        </w:tc>
        <w:tc>
          <w:tcPr>
            <w:tcW w:w="2382" w:type="pct"/>
            <w:shd w:val="clear" w:color="auto" w:fill="auto"/>
            <w:vAlign w:val="center"/>
          </w:tcPr>
          <w:p w:rsidR="00D55811" w:rsidRPr="00E06755" w:rsidRDefault="00787E13" w:rsidP="00CF2713">
            <w:r w:rsidRPr="00E06755">
              <w:t>Актуализировано в соответствии с ГК №</w:t>
            </w:r>
            <w:r w:rsidR="00CF2713" w:rsidRPr="00E06755">
              <w:t> </w:t>
            </w:r>
            <w:r w:rsidRPr="00E06755">
              <w:t>ФКУ0251/09/2019/СЦ от 03.09.2019</w:t>
            </w:r>
            <w:r w:rsidR="007E4402">
              <w:t>г. (период 1).</w:t>
            </w:r>
          </w:p>
        </w:tc>
      </w:tr>
      <w:tr w:rsidR="00D55811" w:rsidRPr="00E06755" w:rsidTr="00763AED">
        <w:tc>
          <w:tcPr>
            <w:tcW w:w="881" w:type="pct"/>
            <w:shd w:val="clear" w:color="auto" w:fill="auto"/>
            <w:vAlign w:val="center"/>
          </w:tcPr>
          <w:p w:rsidR="00D55811" w:rsidRPr="00E06755" w:rsidRDefault="00CF2713" w:rsidP="009A12B9">
            <w:r w:rsidRPr="00E06755">
              <w:t>02.01</w:t>
            </w:r>
          </w:p>
        </w:tc>
        <w:tc>
          <w:tcPr>
            <w:tcW w:w="725" w:type="pct"/>
            <w:shd w:val="clear" w:color="auto" w:fill="auto"/>
            <w:vAlign w:val="center"/>
          </w:tcPr>
          <w:p w:rsidR="00D55811" w:rsidRPr="00E06755" w:rsidRDefault="00CF2713" w:rsidP="009A12B9">
            <w:r w:rsidRPr="00E06755">
              <w:t>2.12.2019</w:t>
            </w:r>
          </w:p>
        </w:tc>
        <w:tc>
          <w:tcPr>
            <w:tcW w:w="1012" w:type="pct"/>
            <w:shd w:val="clear" w:color="auto" w:fill="auto"/>
            <w:vAlign w:val="center"/>
          </w:tcPr>
          <w:p w:rsidR="00D55811" w:rsidRPr="00E06755" w:rsidRDefault="00CF2713" w:rsidP="009A12B9">
            <w:r w:rsidRPr="00E06755">
              <w:t>Лапина С.А.</w:t>
            </w:r>
          </w:p>
        </w:tc>
        <w:tc>
          <w:tcPr>
            <w:tcW w:w="2382" w:type="pct"/>
            <w:shd w:val="clear" w:color="auto" w:fill="auto"/>
            <w:vAlign w:val="center"/>
          </w:tcPr>
          <w:p w:rsidR="00D55811" w:rsidRPr="00E06755" w:rsidRDefault="00CF2713" w:rsidP="009A12B9">
            <w:r w:rsidRPr="00E06755">
              <w:t>В рамках ГК № ФКУ0251/09/2019/СЦ от 03.09.2019 (период 1) доработано:</w:t>
            </w:r>
          </w:p>
          <w:p w:rsidR="00CF2713" w:rsidRPr="00E06755" w:rsidRDefault="00CF2713" w:rsidP="005C6E50">
            <w:pPr>
              <w:pStyle w:val="afff6"/>
              <w:numPr>
                <w:ilvl w:val="0"/>
                <w:numId w:val="74"/>
              </w:numPr>
              <w:rPr>
                <w:sz w:val="24"/>
                <w:szCs w:val="24"/>
              </w:rPr>
            </w:pPr>
            <w:r w:rsidRPr="00E06755">
              <w:rPr>
                <w:sz w:val="24"/>
                <w:szCs w:val="24"/>
              </w:rPr>
              <w:t>Приведено в соответствии с актуальными требованиями ФАП 5.2</w:t>
            </w:r>
          </w:p>
          <w:p w:rsidR="00CF2713" w:rsidRPr="00E06755" w:rsidRDefault="00CF2713" w:rsidP="005C6E50">
            <w:pPr>
              <w:pStyle w:val="afff6"/>
              <w:numPr>
                <w:ilvl w:val="0"/>
                <w:numId w:val="74"/>
              </w:numPr>
            </w:pPr>
            <w:r w:rsidRPr="00E06755">
              <w:rPr>
                <w:sz w:val="24"/>
                <w:szCs w:val="24"/>
              </w:rPr>
              <w:t>Уточнено описание п.7.4 «Настройка персонифицированных интерфейсов»</w:t>
            </w:r>
          </w:p>
        </w:tc>
      </w:tr>
      <w:tr w:rsidR="00D55811" w:rsidRPr="00E06755" w:rsidTr="00763AED">
        <w:tc>
          <w:tcPr>
            <w:tcW w:w="881" w:type="pct"/>
            <w:shd w:val="clear" w:color="auto" w:fill="auto"/>
            <w:vAlign w:val="center"/>
          </w:tcPr>
          <w:p w:rsidR="00D55811" w:rsidRPr="00E06755" w:rsidRDefault="002E448D" w:rsidP="009A12B9">
            <w:r>
              <w:t>03.00</w:t>
            </w:r>
          </w:p>
        </w:tc>
        <w:tc>
          <w:tcPr>
            <w:tcW w:w="725" w:type="pct"/>
            <w:shd w:val="clear" w:color="auto" w:fill="auto"/>
            <w:vAlign w:val="center"/>
          </w:tcPr>
          <w:p w:rsidR="00D55811" w:rsidRPr="00E06755" w:rsidRDefault="005557DC" w:rsidP="005557DC">
            <w:r>
              <w:t>19</w:t>
            </w:r>
            <w:r w:rsidR="002E448D">
              <w:t>.0</w:t>
            </w:r>
            <w:r>
              <w:t>7</w:t>
            </w:r>
            <w:r w:rsidR="002E448D">
              <w:t>.2020</w:t>
            </w:r>
          </w:p>
        </w:tc>
        <w:tc>
          <w:tcPr>
            <w:tcW w:w="1012" w:type="pct"/>
            <w:shd w:val="clear" w:color="auto" w:fill="auto"/>
            <w:vAlign w:val="center"/>
          </w:tcPr>
          <w:p w:rsidR="00D55811" w:rsidRPr="00E06755" w:rsidRDefault="002E448D" w:rsidP="009A12B9">
            <w:r>
              <w:t>Громова О.В.</w:t>
            </w:r>
          </w:p>
        </w:tc>
        <w:tc>
          <w:tcPr>
            <w:tcW w:w="2382" w:type="pct"/>
            <w:shd w:val="clear" w:color="auto" w:fill="auto"/>
            <w:vAlign w:val="center"/>
          </w:tcPr>
          <w:p w:rsidR="00D55811" w:rsidRPr="00E06755" w:rsidRDefault="002E448D" w:rsidP="009A12B9">
            <w:r>
              <w:t>Актуализирован (доработан)</w:t>
            </w:r>
            <w:r w:rsidRPr="00937EB5">
              <w:t xml:space="preserve"> в соответствии с </w:t>
            </w:r>
            <w:r>
              <w:t>ГК</w:t>
            </w:r>
            <w:r w:rsidRPr="00937EB5">
              <w:t xml:space="preserve"> № ФКУ0251/09/2019/СЦ от 03.09.2019</w:t>
            </w:r>
            <w:r>
              <w:t xml:space="preserve"> (период 2)</w:t>
            </w:r>
          </w:p>
        </w:tc>
      </w:tr>
      <w:tr w:rsidR="002E448D" w:rsidRPr="00E06755" w:rsidTr="00763AED">
        <w:tc>
          <w:tcPr>
            <w:tcW w:w="881" w:type="pct"/>
            <w:shd w:val="clear" w:color="auto" w:fill="auto"/>
            <w:vAlign w:val="center"/>
          </w:tcPr>
          <w:p w:rsidR="002E448D" w:rsidRPr="00E06755" w:rsidRDefault="00023E0C" w:rsidP="009A12B9">
            <w:r>
              <w:t>03.01</w:t>
            </w:r>
          </w:p>
        </w:tc>
        <w:tc>
          <w:tcPr>
            <w:tcW w:w="725" w:type="pct"/>
            <w:shd w:val="clear" w:color="auto" w:fill="auto"/>
            <w:vAlign w:val="center"/>
          </w:tcPr>
          <w:p w:rsidR="002E448D" w:rsidRPr="00E06755" w:rsidRDefault="00023E0C" w:rsidP="009A12B9">
            <w:r>
              <w:t>20.08.2020</w:t>
            </w:r>
          </w:p>
        </w:tc>
        <w:tc>
          <w:tcPr>
            <w:tcW w:w="1012" w:type="pct"/>
            <w:shd w:val="clear" w:color="auto" w:fill="auto"/>
            <w:vAlign w:val="center"/>
          </w:tcPr>
          <w:p w:rsidR="002E448D" w:rsidRPr="00E06755" w:rsidRDefault="00023E0C" w:rsidP="009A12B9">
            <w:r>
              <w:t>Громова О.В.</w:t>
            </w:r>
          </w:p>
        </w:tc>
        <w:tc>
          <w:tcPr>
            <w:tcW w:w="2382" w:type="pct"/>
            <w:shd w:val="clear" w:color="auto" w:fill="auto"/>
            <w:vAlign w:val="center"/>
          </w:tcPr>
          <w:p w:rsidR="00023E0C" w:rsidRPr="00002D49" w:rsidRDefault="00023E0C" w:rsidP="00023E0C">
            <w:pPr>
              <w:rPr>
                <w:szCs w:val="24"/>
              </w:rPr>
            </w:pPr>
            <w:r>
              <w:rPr>
                <w:szCs w:val="24"/>
              </w:rPr>
              <w:t>Актуализирован</w:t>
            </w:r>
            <w:r w:rsidRPr="00002D49">
              <w:rPr>
                <w:szCs w:val="24"/>
              </w:rPr>
              <w:t xml:space="preserve"> в рамках ГК№ ФКУ0251/09/2019/СЦ от 03.09.2019 (период 2) в соответств</w:t>
            </w:r>
            <w:r>
              <w:rPr>
                <w:szCs w:val="24"/>
              </w:rPr>
              <w:t>ии с замечаниями по письму №99-2</w:t>
            </w:r>
            <w:r w:rsidRPr="00002D49">
              <w:rPr>
                <w:szCs w:val="24"/>
              </w:rPr>
              <w:t>2-15/7194 от 03.08.2020:</w:t>
            </w:r>
          </w:p>
          <w:p w:rsidR="002E448D" w:rsidRPr="00023E0C" w:rsidRDefault="005409F1" w:rsidP="005C6E50">
            <w:pPr>
              <w:pStyle w:val="afff6"/>
              <w:numPr>
                <w:ilvl w:val="0"/>
                <w:numId w:val="75"/>
              </w:numPr>
              <w:rPr>
                <w:sz w:val="24"/>
                <w:szCs w:val="24"/>
              </w:rPr>
            </w:pPr>
            <w:r>
              <w:rPr>
                <w:sz w:val="24"/>
                <w:szCs w:val="24"/>
              </w:rPr>
              <w:t xml:space="preserve">В п. 1.5 перечень ОС дополнен ОС </w:t>
            </w:r>
            <w:r>
              <w:rPr>
                <w:sz w:val="24"/>
                <w:szCs w:val="24"/>
                <w:lang w:val="en-US"/>
              </w:rPr>
              <w:t>Linux</w:t>
            </w:r>
            <w:r w:rsidR="00023E0C" w:rsidRPr="00023E0C">
              <w:rPr>
                <w:sz w:val="24"/>
                <w:szCs w:val="24"/>
              </w:rPr>
              <w:t>.</w:t>
            </w:r>
          </w:p>
        </w:tc>
      </w:tr>
      <w:tr w:rsidR="002E448D" w:rsidRPr="00E06755" w:rsidTr="00763AED">
        <w:tc>
          <w:tcPr>
            <w:tcW w:w="881" w:type="pct"/>
            <w:shd w:val="clear" w:color="auto" w:fill="auto"/>
            <w:vAlign w:val="center"/>
          </w:tcPr>
          <w:p w:rsidR="002E448D" w:rsidRPr="00E06755" w:rsidRDefault="00A97EC5" w:rsidP="009A12B9">
            <w:r>
              <w:t>03.02</w:t>
            </w:r>
          </w:p>
        </w:tc>
        <w:tc>
          <w:tcPr>
            <w:tcW w:w="725" w:type="pct"/>
            <w:shd w:val="clear" w:color="auto" w:fill="auto"/>
            <w:vAlign w:val="center"/>
          </w:tcPr>
          <w:p w:rsidR="002E448D" w:rsidRPr="00E06755" w:rsidRDefault="00A97EC5" w:rsidP="009A12B9">
            <w:r>
              <w:t>19.11.2020</w:t>
            </w:r>
          </w:p>
        </w:tc>
        <w:tc>
          <w:tcPr>
            <w:tcW w:w="1012" w:type="pct"/>
            <w:shd w:val="clear" w:color="auto" w:fill="auto"/>
            <w:vAlign w:val="center"/>
          </w:tcPr>
          <w:p w:rsidR="002E448D" w:rsidRPr="00E06755" w:rsidRDefault="00A97EC5" w:rsidP="009A12B9">
            <w:r>
              <w:t>Громова О.В.</w:t>
            </w:r>
          </w:p>
        </w:tc>
        <w:tc>
          <w:tcPr>
            <w:tcW w:w="2382" w:type="pct"/>
            <w:shd w:val="clear" w:color="auto" w:fill="auto"/>
            <w:vAlign w:val="center"/>
          </w:tcPr>
          <w:p w:rsidR="00A97EC5" w:rsidRDefault="00A97EC5" w:rsidP="009A12B9">
            <w:pPr>
              <w:rPr>
                <w:szCs w:val="24"/>
              </w:rPr>
            </w:pPr>
            <w:r>
              <w:rPr>
                <w:szCs w:val="24"/>
              </w:rPr>
              <w:t xml:space="preserve">В рамках </w:t>
            </w:r>
            <w:r w:rsidRPr="00A7415E">
              <w:rPr>
                <w:szCs w:val="24"/>
              </w:rPr>
              <w:t xml:space="preserve">ГК </w:t>
            </w:r>
            <w:r w:rsidRPr="00A7415E">
              <w:rPr>
                <w:bCs/>
                <w:szCs w:val="24"/>
              </w:rPr>
              <w:t>№ ФКУ0251/09/2019/СЦ</w:t>
            </w:r>
            <w:r w:rsidRPr="00A7415E">
              <w:rPr>
                <w:szCs w:val="24"/>
              </w:rPr>
              <w:t xml:space="preserve"> от 03</w:t>
            </w:r>
            <w:r w:rsidRPr="00A7415E">
              <w:rPr>
                <w:szCs w:val="24"/>
                <w:lang w:val="en-US"/>
              </w:rPr>
              <w:t> </w:t>
            </w:r>
            <w:r w:rsidRPr="00A7415E">
              <w:rPr>
                <w:szCs w:val="24"/>
              </w:rPr>
              <w:t>сентября 2019 г. (Период 2)</w:t>
            </w:r>
            <w:r>
              <w:rPr>
                <w:szCs w:val="24"/>
              </w:rPr>
              <w:t xml:space="preserve"> по результатам проведения ПДИ:</w:t>
            </w:r>
          </w:p>
          <w:p w:rsidR="002E448D" w:rsidRDefault="00A97EC5" w:rsidP="005C6E50">
            <w:pPr>
              <w:pStyle w:val="afff6"/>
              <w:numPr>
                <w:ilvl w:val="0"/>
                <w:numId w:val="78"/>
              </w:numPr>
              <w:rPr>
                <w:sz w:val="24"/>
                <w:szCs w:val="24"/>
              </w:rPr>
            </w:pPr>
            <w:r>
              <w:rPr>
                <w:sz w:val="24"/>
                <w:szCs w:val="24"/>
              </w:rPr>
              <w:t>Добавлен п.2.4 «</w:t>
            </w:r>
            <w:r w:rsidR="00EE1398" w:rsidRPr="00EE1398">
              <w:rPr>
                <w:sz w:val="24"/>
                <w:szCs w:val="24"/>
              </w:rPr>
              <w:t xml:space="preserve">Настройка доступа к ГИИС </w:t>
            </w:r>
            <w:r w:rsidR="00D01386">
              <w:rPr>
                <w:sz w:val="24"/>
                <w:szCs w:val="24"/>
              </w:rPr>
              <w:t>«</w:t>
            </w:r>
            <w:r w:rsidR="00EE1398" w:rsidRPr="00EE1398">
              <w:rPr>
                <w:sz w:val="24"/>
                <w:szCs w:val="24"/>
              </w:rPr>
              <w:t>Электронный Бюджет</w:t>
            </w:r>
            <w:r w:rsidR="00D01386">
              <w:rPr>
                <w:sz w:val="24"/>
                <w:szCs w:val="24"/>
              </w:rPr>
              <w:t>»</w:t>
            </w:r>
            <w:r w:rsidR="00EE1398" w:rsidRPr="00EE1398">
              <w:rPr>
                <w:sz w:val="24"/>
                <w:szCs w:val="24"/>
              </w:rPr>
              <w:t xml:space="preserve"> в ОС GosLinux</w:t>
            </w:r>
            <w:r>
              <w:rPr>
                <w:sz w:val="24"/>
                <w:szCs w:val="24"/>
              </w:rPr>
              <w:t>»</w:t>
            </w:r>
            <w:r w:rsidR="00EE1398">
              <w:rPr>
                <w:sz w:val="24"/>
                <w:szCs w:val="24"/>
              </w:rPr>
              <w:t>.</w:t>
            </w:r>
          </w:p>
          <w:p w:rsidR="00EE1398" w:rsidRPr="00A97EC5" w:rsidRDefault="00EE1398" w:rsidP="005C6E50">
            <w:pPr>
              <w:pStyle w:val="afff6"/>
              <w:numPr>
                <w:ilvl w:val="0"/>
                <w:numId w:val="78"/>
              </w:numPr>
              <w:rPr>
                <w:sz w:val="24"/>
                <w:szCs w:val="24"/>
              </w:rPr>
            </w:pPr>
            <w:r>
              <w:rPr>
                <w:sz w:val="24"/>
                <w:szCs w:val="24"/>
              </w:rPr>
              <w:t xml:space="preserve">В п. 1.5 указаны конкретные версии ОС </w:t>
            </w:r>
            <w:r>
              <w:rPr>
                <w:sz w:val="24"/>
                <w:szCs w:val="24"/>
                <w:lang w:val="en-US"/>
              </w:rPr>
              <w:t>Linux</w:t>
            </w:r>
            <w:r>
              <w:rPr>
                <w:sz w:val="24"/>
                <w:szCs w:val="24"/>
              </w:rPr>
              <w:t xml:space="preserve">, </w:t>
            </w:r>
            <w:r>
              <w:rPr>
                <w:sz w:val="24"/>
                <w:szCs w:val="24"/>
                <w:lang w:val="en-US"/>
              </w:rPr>
              <w:t>GosLinux</w:t>
            </w:r>
            <w:r>
              <w:rPr>
                <w:sz w:val="24"/>
                <w:szCs w:val="24"/>
              </w:rPr>
              <w:t>.</w:t>
            </w:r>
          </w:p>
        </w:tc>
      </w:tr>
      <w:tr w:rsidR="00EA37E1" w:rsidRPr="00E06755" w:rsidTr="00763AED">
        <w:tc>
          <w:tcPr>
            <w:tcW w:w="881" w:type="pct"/>
            <w:shd w:val="clear" w:color="auto" w:fill="auto"/>
            <w:vAlign w:val="center"/>
          </w:tcPr>
          <w:p w:rsidR="00EA37E1" w:rsidRPr="00E06755" w:rsidRDefault="00EA37E1" w:rsidP="00527DC1">
            <w:r>
              <w:t>03.0</w:t>
            </w:r>
            <w:r w:rsidR="004B29F2">
              <w:t>3</w:t>
            </w:r>
          </w:p>
        </w:tc>
        <w:tc>
          <w:tcPr>
            <w:tcW w:w="725" w:type="pct"/>
            <w:shd w:val="clear" w:color="auto" w:fill="auto"/>
            <w:vAlign w:val="center"/>
          </w:tcPr>
          <w:p w:rsidR="00EA37E1" w:rsidRPr="00E06755" w:rsidRDefault="004B29F2" w:rsidP="00EA37E1">
            <w:r>
              <w:t>21.04</w:t>
            </w:r>
            <w:r w:rsidR="00EA37E1">
              <w:t>.2020</w:t>
            </w:r>
          </w:p>
        </w:tc>
        <w:tc>
          <w:tcPr>
            <w:tcW w:w="1012" w:type="pct"/>
            <w:shd w:val="clear" w:color="auto" w:fill="auto"/>
            <w:vAlign w:val="center"/>
          </w:tcPr>
          <w:p w:rsidR="00EA37E1" w:rsidRPr="00E06755" w:rsidRDefault="004B29F2" w:rsidP="004B29F2">
            <w:r>
              <w:t>Чистякова Н.С</w:t>
            </w:r>
            <w:r w:rsidR="00EA37E1">
              <w:t>.</w:t>
            </w:r>
          </w:p>
        </w:tc>
        <w:tc>
          <w:tcPr>
            <w:tcW w:w="2382" w:type="pct"/>
            <w:shd w:val="clear" w:color="auto" w:fill="auto"/>
            <w:vAlign w:val="center"/>
          </w:tcPr>
          <w:p w:rsidR="00EA37E1" w:rsidRDefault="000649A0" w:rsidP="00953169">
            <w:r>
              <w:t>Актуализирован</w:t>
            </w:r>
            <w:r w:rsidRPr="0003783E">
              <w:t xml:space="preserve"> </w:t>
            </w:r>
            <w:r>
              <w:t>в</w:t>
            </w:r>
            <w:r w:rsidRPr="0003783E">
              <w:t xml:space="preserve"> рамках </w:t>
            </w:r>
            <w:r w:rsidR="000F6ACF">
              <w:t xml:space="preserve">заключительных мероприятий по </w:t>
            </w:r>
            <w:r w:rsidRPr="0003783E">
              <w:t>ГК №ФКУ0251/09/2019/СЦ от 03.09.</w:t>
            </w:r>
            <w:r w:rsidR="000F6ACF">
              <w:t>2019г.</w:t>
            </w:r>
            <w:r w:rsidR="00953169">
              <w:t>:</w:t>
            </w:r>
          </w:p>
          <w:p w:rsidR="00953169" w:rsidRDefault="00953169" w:rsidP="005C6E50">
            <w:pPr>
              <w:pStyle w:val="afff6"/>
              <w:numPr>
                <w:ilvl w:val="0"/>
                <w:numId w:val="114"/>
              </w:numPr>
              <w:rPr>
                <w:sz w:val="24"/>
                <w:szCs w:val="24"/>
              </w:rPr>
            </w:pPr>
            <w:r>
              <w:rPr>
                <w:sz w:val="24"/>
                <w:szCs w:val="24"/>
              </w:rPr>
              <w:t>п</w:t>
            </w:r>
            <w:r w:rsidRPr="00953169">
              <w:rPr>
                <w:sz w:val="24"/>
                <w:szCs w:val="24"/>
              </w:rPr>
              <w:t>. 1.2</w:t>
            </w:r>
            <w:r>
              <w:rPr>
                <w:sz w:val="24"/>
                <w:szCs w:val="24"/>
              </w:rPr>
              <w:t xml:space="preserve"> «Функциональные роли, выполняемые пользователем»</w:t>
            </w:r>
          </w:p>
          <w:p w:rsidR="00953169" w:rsidRDefault="00953169" w:rsidP="005C6E50">
            <w:pPr>
              <w:pStyle w:val="afff6"/>
              <w:numPr>
                <w:ilvl w:val="0"/>
                <w:numId w:val="114"/>
              </w:numPr>
              <w:rPr>
                <w:sz w:val="24"/>
                <w:szCs w:val="24"/>
              </w:rPr>
            </w:pPr>
            <w:r>
              <w:rPr>
                <w:sz w:val="24"/>
                <w:szCs w:val="24"/>
              </w:rPr>
              <w:t>п. 2.1 «Порядок подключения пользователей к подсистеме»</w:t>
            </w:r>
          </w:p>
          <w:p w:rsidR="00953169" w:rsidRPr="00953169" w:rsidRDefault="00953169" w:rsidP="005C6E50">
            <w:pPr>
              <w:pStyle w:val="afff6"/>
              <w:numPr>
                <w:ilvl w:val="0"/>
                <w:numId w:val="114"/>
              </w:numPr>
              <w:rPr>
                <w:sz w:val="24"/>
                <w:szCs w:val="24"/>
              </w:rPr>
            </w:pPr>
            <w:r>
              <w:rPr>
                <w:sz w:val="24"/>
                <w:szCs w:val="24"/>
              </w:rPr>
              <w:t>п. 7 «Описание витрин данных»</w:t>
            </w:r>
          </w:p>
        </w:tc>
      </w:tr>
      <w:tr w:rsidR="0093787F" w:rsidRPr="00E06755" w:rsidTr="00763AED">
        <w:tc>
          <w:tcPr>
            <w:tcW w:w="881" w:type="pct"/>
            <w:shd w:val="clear" w:color="auto" w:fill="auto"/>
            <w:vAlign w:val="center"/>
          </w:tcPr>
          <w:p w:rsidR="0093787F" w:rsidRDefault="0093787F" w:rsidP="00527DC1">
            <w:r>
              <w:t>04.00</w:t>
            </w:r>
          </w:p>
        </w:tc>
        <w:tc>
          <w:tcPr>
            <w:tcW w:w="725" w:type="pct"/>
            <w:shd w:val="clear" w:color="auto" w:fill="auto"/>
            <w:vAlign w:val="center"/>
          </w:tcPr>
          <w:p w:rsidR="0093787F" w:rsidRDefault="0093787F" w:rsidP="00EA37E1">
            <w:r>
              <w:t>09.09.2021</w:t>
            </w:r>
          </w:p>
        </w:tc>
        <w:tc>
          <w:tcPr>
            <w:tcW w:w="1012" w:type="pct"/>
            <w:shd w:val="clear" w:color="auto" w:fill="auto"/>
            <w:vAlign w:val="center"/>
          </w:tcPr>
          <w:p w:rsidR="0093787F" w:rsidRDefault="0093787F" w:rsidP="004B29F2">
            <w:r>
              <w:t>Громова О.В.</w:t>
            </w:r>
          </w:p>
        </w:tc>
        <w:tc>
          <w:tcPr>
            <w:tcW w:w="2382" w:type="pct"/>
            <w:shd w:val="clear" w:color="auto" w:fill="auto"/>
            <w:vAlign w:val="center"/>
          </w:tcPr>
          <w:p w:rsidR="0093787F" w:rsidRDefault="0093787F" w:rsidP="00953169">
            <w:r w:rsidRPr="00130A71">
              <w:t>Актуализирован в соответствии с ГК № ФКУ0259/08/2021/РИС от 13.08.2021 (период 1)</w:t>
            </w:r>
          </w:p>
        </w:tc>
      </w:tr>
      <w:tr w:rsidR="00163313" w:rsidRPr="00E06755" w:rsidTr="00763AED">
        <w:tc>
          <w:tcPr>
            <w:tcW w:w="881" w:type="pct"/>
            <w:shd w:val="clear" w:color="auto" w:fill="auto"/>
            <w:vAlign w:val="center"/>
          </w:tcPr>
          <w:p w:rsidR="00163313" w:rsidRDefault="00163313" w:rsidP="00527DC1">
            <w:r>
              <w:t>04.01</w:t>
            </w:r>
          </w:p>
        </w:tc>
        <w:tc>
          <w:tcPr>
            <w:tcW w:w="725" w:type="pct"/>
            <w:shd w:val="clear" w:color="auto" w:fill="auto"/>
            <w:vAlign w:val="center"/>
          </w:tcPr>
          <w:p w:rsidR="00163313" w:rsidRDefault="00163313" w:rsidP="00EA37E1">
            <w:r>
              <w:t>22.11.2021</w:t>
            </w:r>
          </w:p>
        </w:tc>
        <w:tc>
          <w:tcPr>
            <w:tcW w:w="1012" w:type="pct"/>
            <w:shd w:val="clear" w:color="auto" w:fill="auto"/>
            <w:vAlign w:val="center"/>
          </w:tcPr>
          <w:p w:rsidR="00163313" w:rsidRDefault="00163313" w:rsidP="004B29F2">
            <w:r>
              <w:t>Громова О.В.</w:t>
            </w:r>
          </w:p>
        </w:tc>
        <w:tc>
          <w:tcPr>
            <w:tcW w:w="2382" w:type="pct"/>
            <w:shd w:val="clear" w:color="auto" w:fill="auto"/>
            <w:vAlign w:val="center"/>
          </w:tcPr>
          <w:p w:rsidR="00163313" w:rsidRPr="00163313" w:rsidRDefault="00163313" w:rsidP="00163313">
            <w:pPr>
              <w:rPr>
                <w:color w:val="auto"/>
                <w:szCs w:val="24"/>
              </w:rPr>
            </w:pPr>
            <w:r w:rsidRPr="00163313">
              <w:rPr>
                <w:color w:val="auto"/>
                <w:szCs w:val="24"/>
              </w:rPr>
              <w:t>Актуализировано в рамках ГК от 13.08.2021 №ФКУ0259/08/2021/РИС (Период 1) по результатам ПДИ:</w:t>
            </w:r>
          </w:p>
          <w:p w:rsidR="00163313" w:rsidRPr="00163313" w:rsidRDefault="00163313" w:rsidP="005C6E50">
            <w:pPr>
              <w:pStyle w:val="afff6"/>
              <w:numPr>
                <w:ilvl w:val="0"/>
                <w:numId w:val="114"/>
              </w:numPr>
              <w:rPr>
                <w:sz w:val="24"/>
                <w:szCs w:val="24"/>
              </w:rPr>
            </w:pPr>
            <w:r w:rsidRPr="00163313">
              <w:rPr>
                <w:sz w:val="24"/>
                <w:szCs w:val="24"/>
              </w:rPr>
              <w:t>В п.</w:t>
            </w:r>
            <w:r w:rsidRPr="00163313">
              <w:rPr>
                <w:sz w:val="24"/>
                <w:szCs w:val="24"/>
              </w:rPr>
              <w:fldChar w:fldCharType="begin"/>
            </w:r>
            <w:r w:rsidRPr="00163313">
              <w:rPr>
                <w:sz w:val="24"/>
                <w:szCs w:val="24"/>
              </w:rPr>
              <w:instrText xml:space="preserve"> REF _Ref88566015 \n \h  \* MERGEFORMAT </w:instrText>
            </w:r>
            <w:r w:rsidRPr="00163313">
              <w:rPr>
                <w:sz w:val="24"/>
                <w:szCs w:val="24"/>
              </w:rPr>
            </w:r>
            <w:r w:rsidRPr="00163313">
              <w:rPr>
                <w:sz w:val="24"/>
                <w:szCs w:val="24"/>
              </w:rPr>
              <w:fldChar w:fldCharType="separate"/>
            </w:r>
            <w:r w:rsidR="00BF0BEE">
              <w:rPr>
                <w:sz w:val="24"/>
                <w:szCs w:val="24"/>
              </w:rPr>
              <w:t>1.5</w:t>
            </w:r>
            <w:r w:rsidRPr="00163313">
              <w:rPr>
                <w:sz w:val="24"/>
                <w:szCs w:val="24"/>
              </w:rPr>
              <w:fldChar w:fldCharType="end"/>
            </w:r>
            <w:r w:rsidRPr="00163313">
              <w:rPr>
                <w:sz w:val="24"/>
                <w:szCs w:val="24"/>
              </w:rPr>
              <w:t xml:space="preserve"> дополнен перечень ОС.</w:t>
            </w:r>
          </w:p>
          <w:p w:rsidR="00163313" w:rsidRDefault="00163313" w:rsidP="005C6E50">
            <w:pPr>
              <w:pStyle w:val="afff6"/>
              <w:numPr>
                <w:ilvl w:val="0"/>
                <w:numId w:val="114"/>
              </w:numPr>
              <w:rPr>
                <w:sz w:val="24"/>
                <w:szCs w:val="24"/>
              </w:rPr>
            </w:pPr>
            <w:r w:rsidRPr="006745D3">
              <w:rPr>
                <w:sz w:val="24"/>
                <w:szCs w:val="24"/>
              </w:rPr>
              <w:t>Скорректирован</w:t>
            </w:r>
            <w:r w:rsidR="006745D3" w:rsidRPr="006745D3">
              <w:rPr>
                <w:sz w:val="24"/>
                <w:szCs w:val="24"/>
              </w:rPr>
              <w:t xml:space="preserve"> </w:t>
            </w:r>
            <w:r w:rsidR="006745D3" w:rsidRPr="006745D3">
              <w:rPr>
                <w:sz w:val="24"/>
                <w:szCs w:val="24"/>
              </w:rPr>
              <w:fldChar w:fldCharType="begin"/>
            </w:r>
            <w:r w:rsidR="006745D3" w:rsidRPr="006745D3">
              <w:rPr>
                <w:sz w:val="24"/>
                <w:szCs w:val="24"/>
              </w:rPr>
              <w:instrText xml:space="preserve"> REF _Ref88639061 \h </w:instrText>
            </w:r>
            <w:r w:rsidR="006745D3">
              <w:rPr>
                <w:sz w:val="24"/>
                <w:szCs w:val="24"/>
              </w:rPr>
              <w:instrText xml:space="preserve"> \* MERGEFORMAT </w:instrText>
            </w:r>
            <w:r w:rsidR="006745D3" w:rsidRPr="006745D3">
              <w:rPr>
                <w:sz w:val="24"/>
                <w:szCs w:val="24"/>
              </w:rPr>
            </w:r>
            <w:r w:rsidR="006745D3" w:rsidRPr="006745D3">
              <w:rPr>
                <w:sz w:val="24"/>
                <w:szCs w:val="24"/>
              </w:rPr>
              <w:fldChar w:fldCharType="separate"/>
            </w:r>
            <w:r w:rsidR="00BF0BEE" w:rsidRPr="00BF0BEE">
              <w:rPr>
                <w:sz w:val="24"/>
                <w:szCs w:val="24"/>
              </w:rPr>
              <w:t xml:space="preserve">Рисунок </w:t>
            </w:r>
            <w:r w:rsidR="00BF0BEE" w:rsidRPr="00BF0BEE">
              <w:rPr>
                <w:noProof/>
                <w:sz w:val="24"/>
                <w:szCs w:val="24"/>
              </w:rPr>
              <w:t>6</w:t>
            </w:r>
            <w:r w:rsidR="006745D3" w:rsidRPr="006745D3">
              <w:rPr>
                <w:sz w:val="24"/>
                <w:szCs w:val="24"/>
              </w:rPr>
              <w:fldChar w:fldCharType="end"/>
            </w:r>
            <w:r w:rsidRPr="00163313">
              <w:rPr>
                <w:sz w:val="24"/>
                <w:szCs w:val="24"/>
              </w:rPr>
              <w:t>, ПОИБ СОБИ ФК и ПОЮЗД СОБИ ФК  отнесены к внешним системам.</w:t>
            </w:r>
          </w:p>
          <w:p w:rsidR="006745D3" w:rsidRPr="00163313" w:rsidRDefault="006745D3" w:rsidP="005C6E50">
            <w:pPr>
              <w:pStyle w:val="afff6"/>
              <w:numPr>
                <w:ilvl w:val="0"/>
                <w:numId w:val="114"/>
              </w:numPr>
              <w:rPr>
                <w:sz w:val="24"/>
                <w:szCs w:val="24"/>
              </w:rPr>
            </w:pPr>
            <w:r>
              <w:rPr>
                <w:sz w:val="24"/>
                <w:szCs w:val="24"/>
              </w:rPr>
              <w:t>Скорректирован п.</w:t>
            </w:r>
            <w:r>
              <w:rPr>
                <w:sz w:val="24"/>
                <w:szCs w:val="24"/>
              </w:rPr>
              <w:fldChar w:fldCharType="begin"/>
            </w:r>
            <w:r>
              <w:rPr>
                <w:sz w:val="24"/>
                <w:szCs w:val="24"/>
              </w:rPr>
              <w:instrText xml:space="preserve"> REF _Ref88639063 \n \h </w:instrText>
            </w:r>
            <w:r w:rsidR="00D161AD">
              <w:rPr>
                <w:sz w:val="24"/>
                <w:szCs w:val="24"/>
              </w:rPr>
              <w:instrText xml:space="preserve"> \* MERGEFORMAT </w:instrText>
            </w:r>
            <w:r>
              <w:rPr>
                <w:sz w:val="24"/>
                <w:szCs w:val="24"/>
              </w:rPr>
            </w:r>
            <w:r>
              <w:rPr>
                <w:sz w:val="24"/>
                <w:szCs w:val="24"/>
              </w:rPr>
              <w:fldChar w:fldCharType="separate"/>
            </w:r>
            <w:r w:rsidR="00BF0BEE">
              <w:rPr>
                <w:sz w:val="24"/>
                <w:szCs w:val="24"/>
              </w:rPr>
              <w:t>4</w:t>
            </w:r>
            <w:r>
              <w:rPr>
                <w:sz w:val="24"/>
                <w:szCs w:val="24"/>
              </w:rPr>
              <w:fldChar w:fldCharType="end"/>
            </w:r>
            <w:r>
              <w:rPr>
                <w:sz w:val="24"/>
                <w:szCs w:val="24"/>
              </w:rPr>
              <w:t>, исключено упоминание файлового обмена</w:t>
            </w:r>
            <w:r w:rsidR="00C7779D">
              <w:rPr>
                <w:sz w:val="24"/>
                <w:szCs w:val="24"/>
              </w:rPr>
              <w:t>.</w:t>
            </w:r>
          </w:p>
          <w:p w:rsidR="00163313" w:rsidRPr="00163313" w:rsidRDefault="00163313" w:rsidP="005C6E50">
            <w:pPr>
              <w:pStyle w:val="afff6"/>
              <w:numPr>
                <w:ilvl w:val="0"/>
                <w:numId w:val="114"/>
              </w:numPr>
              <w:rPr>
                <w:sz w:val="24"/>
                <w:szCs w:val="24"/>
              </w:rPr>
            </w:pPr>
            <w:r w:rsidRPr="00163313">
              <w:rPr>
                <w:sz w:val="24"/>
                <w:szCs w:val="24"/>
              </w:rPr>
              <w:t>Скорректирован код документа</w:t>
            </w:r>
            <w:r>
              <w:rPr>
                <w:sz w:val="24"/>
                <w:szCs w:val="24"/>
              </w:rPr>
              <w:t xml:space="preserve"> в части области применения.</w:t>
            </w:r>
          </w:p>
        </w:tc>
      </w:tr>
      <w:tr w:rsidR="00321FCA" w:rsidRPr="00E06755" w:rsidTr="00763AED">
        <w:tc>
          <w:tcPr>
            <w:tcW w:w="881" w:type="pct"/>
            <w:shd w:val="clear" w:color="auto" w:fill="auto"/>
            <w:vAlign w:val="center"/>
          </w:tcPr>
          <w:p w:rsidR="00321FCA" w:rsidRDefault="00321FCA" w:rsidP="00527DC1">
            <w:r>
              <w:t>04.02</w:t>
            </w:r>
          </w:p>
        </w:tc>
        <w:tc>
          <w:tcPr>
            <w:tcW w:w="725" w:type="pct"/>
            <w:shd w:val="clear" w:color="auto" w:fill="auto"/>
            <w:vAlign w:val="center"/>
          </w:tcPr>
          <w:p w:rsidR="00321FCA" w:rsidRDefault="00A450EB" w:rsidP="00EA37E1">
            <w:r>
              <w:t>13</w:t>
            </w:r>
            <w:r w:rsidR="00321FCA">
              <w:t>.12.2021</w:t>
            </w:r>
          </w:p>
        </w:tc>
        <w:tc>
          <w:tcPr>
            <w:tcW w:w="1012" w:type="pct"/>
            <w:shd w:val="clear" w:color="auto" w:fill="auto"/>
            <w:vAlign w:val="center"/>
          </w:tcPr>
          <w:p w:rsidR="00321FCA" w:rsidRDefault="00321FCA" w:rsidP="004B29F2">
            <w:r>
              <w:t>Кузнецова И.А.</w:t>
            </w:r>
          </w:p>
        </w:tc>
        <w:tc>
          <w:tcPr>
            <w:tcW w:w="2382" w:type="pct"/>
            <w:shd w:val="clear" w:color="auto" w:fill="auto"/>
            <w:vAlign w:val="center"/>
          </w:tcPr>
          <w:p w:rsidR="00321FCA" w:rsidRDefault="00770B21" w:rsidP="00163313">
            <w:pPr>
              <w:rPr>
                <w:color w:val="auto"/>
                <w:szCs w:val="24"/>
              </w:rPr>
            </w:pPr>
            <w:r w:rsidRPr="00770B21">
              <w:rPr>
                <w:color w:val="auto"/>
                <w:szCs w:val="24"/>
              </w:rPr>
              <w:t>Актуализировано в рамках ГК от 13.08.2021 №ФКУ0259/08/2021/РИС (Период 1) по результатам заключительных мероприятий</w:t>
            </w:r>
            <w:r w:rsidR="00321FCA" w:rsidRPr="00321FCA">
              <w:rPr>
                <w:color w:val="auto"/>
                <w:szCs w:val="24"/>
              </w:rPr>
              <w:t>:</w:t>
            </w:r>
          </w:p>
          <w:p w:rsidR="00CE0B09" w:rsidRDefault="00770B21" w:rsidP="005C6E50">
            <w:pPr>
              <w:pStyle w:val="afff6"/>
              <w:numPr>
                <w:ilvl w:val="0"/>
                <w:numId w:val="114"/>
              </w:numPr>
              <w:rPr>
                <w:sz w:val="24"/>
                <w:szCs w:val="24"/>
              </w:rPr>
            </w:pPr>
            <w:r>
              <w:rPr>
                <w:sz w:val="24"/>
                <w:szCs w:val="24"/>
              </w:rPr>
              <w:t>По тексту актуализированы коды документов;</w:t>
            </w:r>
          </w:p>
          <w:p w:rsidR="00CE0B09" w:rsidRDefault="0084045E" w:rsidP="005C6E50">
            <w:pPr>
              <w:pStyle w:val="afff6"/>
              <w:numPr>
                <w:ilvl w:val="0"/>
                <w:numId w:val="114"/>
              </w:numPr>
              <w:rPr>
                <w:sz w:val="24"/>
                <w:szCs w:val="24"/>
              </w:rPr>
            </w:pPr>
            <w:r>
              <w:rPr>
                <w:sz w:val="24"/>
                <w:szCs w:val="24"/>
              </w:rPr>
              <w:t>Скорректировано колич</w:t>
            </w:r>
            <w:r w:rsidR="005818E9">
              <w:rPr>
                <w:sz w:val="24"/>
                <w:szCs w:val="24"/>
              </w:rPr>
              <w:t>ество листов на титульном листе;</w:t>
            </w:r>
          </w:p>
          <w:p w:rsidR="00321FCA" w:rsidRPr="00163313" w:rsidRDefault="0084045E" w:rsidP="005C6E50">
            <w:pPr>
              <w:pStyle w:val="afff6"/>
              <w:numPr>
                <w:ilvl w:val="0"/>
                <w:numId w:val="114"/>
              </w:numPr>
              <w:rPr>
                <w:color w:val="auto"/>
                <w:szCs w:val="24"/>
              </w:rPr>
            </w:pPr>
            <w:r w:rsidRPr="00770B21">
              <w:rPr>
                <w:sz w:val="24"/>
                <w:szCs w:val="24"/>
              </w:rPr>
              <w:t>Поправлены стили для рисунков.</w:t>
            </w:r>
          </w:p>
        </w:tc>
      </w:tr>
      <w:tr w:rsidR="009B5E54" w:rsidRPr="00E06755" w:rsidTr="00763AED">
        <w:tc>
          <w:tcPr>
            <w:tcW w:w="881" w:type="pct"/>
            <w:shd w:val="clear" w:color="auto" w:fill="auto"/>
            <w:vAlign w:val="center"/>
          </w:tcPr>
          <w:p w:rsidR="009B5E54" w:rsidRDefault="009B5E54" w:rsidP="00527DC1">
            <w:r>
              <w:t>04.03</w:t>
            </w:r>
          </w:p>
        </w:tc>
        <w:tc>
          <w:tcPr>
            <w:tcW w:w="725" w:type="pct"/>
            <w:shd w:val="clear" w:color="auto" w:fill="auto"/>
            <w:vAlign w:val="center"/>
          </w:tcPr>
          <w:p w:rsidR="009B5E54" w:rsidRDefault="00BA4DF0" w:rsidP="00EA37E1">
            <w:r>
              <w:t>20</w:t>
            </w:r>
            <w:r w:rsidR="009B5E54">
              <w:t>.01.2022</w:t>
            </w:r>
          </w:p>
        </w:tc>
        <w:tc>
          <w:tcPr>
            <w:tcW w:w="1012" w:type="pct"/>
            <w:shd w:val="clear" w:color="auto" w:fill="auto"/>
            <w:vAlign w:val="center"/>
          </w:tcPr>
          <w:p w:rsidR="009B5E54" w:rsidRPr="00E06755" w:rsidRDefault="009B5E54" w:rsidP="005E2CD5">
            <w:r>
              <w:t>Чистякова Н.С.</w:t>
            </w:r>
          </w:p>
        </w:tc>
        <w:tc>
          <w:tcPr>
            <w:tcW w:w="2382" w:type="pct"/>
            <w:shd w:val="clear" w:color="auto" w:fill="auto"/>
            <w:vAlign w:val="center"/>
          </w:tcPr>
          <w:p w:rsidR="009B5E54" w:rsidRPr="00770B21" w:rsidRDefault="002E1535" w:rsidP="002E1535">
            <w:pPr>
              <w:rPr>
                <w:color w:val="auto"/>
                <w:szCs w:val="24"/>
              </w:rPr>
            </w:pPr>
            <w:r w:rsidRPr="00130A71">
              <w:t xml:space="preserve">Актуализирован в соответствии с ГК № ФКУ0259/08/2021/РИС </w:t>
            </w:r>
            <w:r>
              <w:t>о</w:t>
            </w:r>
            <w:r w:rsidRPr="00130A71">
              <w:t xml:space="preserve">т 13.08.2021 (период </w:t>
            </w:r>
            <w:r>
              <w:t>2</w:t>
            </w:r>
            <w:r w:rsidRPr="00130A71">
              <w:t>)</w:t>
            </w:r>
          </w:p>
        </w:tc>
      </w:tr>
      <w:tr w:rsidR="00D7505A" w:rsidRPr="00E06755" w:rsidTr="00763AED">
        <w:tc>
          <w:tcPr>
            <w:tcW w:w="881" w:type="pct"/>
            <w:shd w:val="clear" w:color="auto" w:fill="auto"/>
            <w:vAlign w:val="center"/>
          </w:tcPr>
          <w:p w:rsidR="00D7505A" w:rsidRPr="00132BBD" w:rsidRDefault="00D7505A" w:rsidP="00527DC1">
            <w:r w:rsidRPr="00132BBD">
              <w:t>04.04</w:t>
            </w:r>
          </w:p>
        </w:tc>
        <w:tc>
          <w:tcPr>
            <w:tcW w:w="725" w:type="pct"/>
            <w:shd w:val="clear" w:color="auto" w:fill="auto"/>
            <w:vAlign w:val="center"/>
          </w:tcPr>
          <w:p w:rsidR="00D7505A" w:rsidRPr="00132BBD" w:rsidRDefault="00C92604" w:rsidP="00EA37E1">
            <w:r w:rsidRPr="00132BBD">
              <w:t>20</w:t>
            </w:r>
            <w:r w:rsidR="00D7505A" w:rsidRPr="00132BBD">
              <w:t>.02.2022</w:t>
            </w:r>
          </w:p>
        </w:tc>
        <w:tc>
          <w:tcPr>
            <w:tcW w:w="1012" w:type="pct"/>
            <w:shd w:val="clear" w:color="auto" w:fill="auto"/>
            <w:vAlign w:val="center"/>
          </w:tcPr>
          <w:p w:rsidR="00D7505A" w:rsidRPr="00132BBD" w:rsidRDefault="00D7505A" w:rsidP="005E2CD5">
            <w:r w:rsidRPr="00132BBD">
              <w:t>Чистякова Н.С.</w:t>
            </w:r>
          </w:p>
        </w:tc>
        <w:tc>
          <w:tcPr>
            <w:tcW w:w="2382" w:type="pct"/>
            <w:shd w:val="clear" w:color="auto" w:fill="auto"/>
            <w:vAlign w:val="center"/>
          </w:tcPr>
          <w:p w:rsidR="00C92604" w:rsidRPr="00132BBD" w:rsidRDefault="00C92604" w:rsidP="002E1535">
            <w:r w:rsidRPr="00132BBD">
              <w:t xml:space="preserve">Устранены замечания по письму от 15.02.2022 №99-24-16/1327 в рамках ГК от 13.08.2021 №ФКУ0259/08/2021/РИС (Период 2): </w:t>
            </w:r>
          </w:p>
          <w:p w:rsidR="00D7505A" w:rsidRPr="00132BBD" w:rsidRDefault="001766CC" w:rsidP="002E1535">
            <w:r w:rsidRPr="00132BBD">
              <w:t>- актуализирован «Перечень рисунков»;</w:t>
            </w:r>
          </w:p>
          <w:p w:rsidR="001766CC" w:rsidRPr="00132BBD" w:rsidRDefault="001766CC" w:rsidP="001766CC">
            <w:r w:rsidRPr="00132BBD">
              <w:t xml:space="preserve">- п.6.2.6 заменен </w:t>
            </w:r>
            <w:r w:rsidRPr="00132BBD">
              <w:fldChar w:fldCharType="begin"/>
            </w:r>
            <w:r w:rsidRPr="00132BBD">
              <w:instrText xml:space="preserve"> REF _Ref95208566 \h </w:instrText>
            </w:r>
            <w:r w:rsidR="00132BBD">
              <w:instrText xml:space="preserve"> \* MERGEFORMAT </w:instrText>
            </w:r>
            <w:r w:rsidRPr="00132BBD">
              <w:fldChar w:fldCharType="separate"/>
            </w:r>
            <w:r w:rsidR="00BF0BEE">
              <w:t xml:space="preserve">Рисунок </w:t>
            </w:r>
            <w:r w:rsidR="00BF0BEE">
              <w:rPr>
                <w:noProof/>
              </w:rPr>
              <w:t>55</w:t>
            </w:r>
            <w:r w:rsidRPr="00132BBD">
              <w:fldChar w:fldCharType="end"/>
            </w:r>
            <w:r w:rsidR="00C92604" w:rsidRPr="00132BBD">
              <w:t>;</w:t>
            </w:r>
          </w:p>
          <w:p w:rsidR="00C92604" w:rsidRDefault="00C92604" w:rsidP="001766CC">
            <w:r w:rsidRPr="00132BBD">
              <w:t>- добавлен п.</w:t>
            </w:r>
            <w:r w:rsidRPr="00132BBD">
              <w:fldChar w:fldCharType="begin"/>
            </w:r>
            <w:r w:rsidRPr="00132BBD">
              <w:instrText xml:space="preserve"> REF _Ref96259160 \r \h </w:instrText>
            </w:r>
            <w:r w:rsidR="00132BBD">
              <w:instrText xml:space="preserve"> \* MERGEFORMAT </w:instrText>
            </w:r>
            <w:r w:rsidRPr="00132BBD">
              <w:fldChar w:fldCharType="separate"/>
            </w:r>
            <w:r w:rsidR="00BF0BEE">
              <w:t>6.2.7</w:t>
            </w:r>
            <w:r w:rsidRPr="00132BBD">
              <w:fldChar w:fldCharType="end"/>
            </w:r>
            <w:r w:rsidRPr="00132BBD">
              <w:t xml:space="preserve"> «Панель фильтров и параметров»</w:t>
            </w:r>
            <w:r w:rsidR="004805CA">
              <w:t>;</w:t>
            </w:r>
          </w:p>
          <w:p w:rsidR="00763AED" w:rsidRPr="00130A71" w:rsidRDefault="004805CA" w:rsidP="001766CC">
            <w:r>
              <w:t>- актуализирована коды документов по тексту документа.</w:t>
            </w:r>
          </w:p>
        </w:tc>
      </w:tr>
      <w:tr w:rsidR="00763AED" w:rsidRPr="002401E6" w:rsidTr="00763AED">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rsidR="00763AED" w:rsidRPr="00132BBD" w:rsidRDefault="00763AED" w:rsidP="00EA7BB4">
            <w:bookmarkStart w:id="2160" w:name="Р68"/>
            <w:bookmarkStart w:id="2161" w:name="str"/>
            <w:bookmarkEnd w:id="2160"/>
            <w:bookmarkEnd w:id="2161"/>
            <w:r>
              <w:t>04.05</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rsidR="00763AED" w:rsidRPr="00132BBD" w:rsidRDefault="00420681" w:rsidP="00420681">
            <w:r>
              <w:t>24</w:t>
            </w:r>
            <w:r w:rsidR="00763AED">
              <w:t>.</w:t>
            </w:r>
            <w:r>
              <w:t>10</w:t>
            </w:r>
            <w:r w:rsidR="00763AED">
              <w:t>.2022</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763AED" w:rsidRPr="00132BBD" w:rsidRDefault="00763AED" w:rsidP="00EA7BB4">
            <w:r>
              <w:t>Горемыкина А.И.</w:t>
            </w:r>
          </w:p>
        </w:tc>
        <w:tc>
          <w:tcPr>
            <w:tcW w:w="2382" w:type="pct"/>
            <w:tcBorders>
              <w:top w:val="single" w:sz="4" w:space="0" w:color="auto"/>
              <w:left w:val="single" w:sz="4" w:space="0" w:color="auto"/>
              <w:bottom w:val="single" w:sz="4" w:space="0" w:color="auto"/>
              <w:right w:val="single" w:sz="4" w:space="0" w:color="auto"/>
            </w:tcBorders>
            <w:shd w:val="clear" w:color="auto" w:fill="auto"/>
            <w:vAlign w:val="center"/>
          </w:tcPr>
          <w:p w:rsidR="00420681" w:rsidRDefault="00420681" w:rsidP="00EA7BB4">
            <w:r w:rsidRPr="00130A71">
              <w:t xml:space="preserve">Актуализирован в соответствии с ГК № ФКУ0259/08/2021/РИС </w:t>
            </w:r>
            <w:r>
              <w:t>о</w:t>
            </w:r>
            <w:r w:rsidRPr="00130A71">
              <w:t xml:space="preserve">т 13.08.2021 (период </w:t>
            </w:r>
            <w:r>
              <w:t>2</w:t>
            </w:r>
            <w:r w:rsidRPr="00130A71">
              <w:t>)</w:t>
            </w:r>
            <w:r>
              <w:t xml:space="preserve"> в рамках заключительных мероприятий:</w:t>
            </w:r>
          </w:p>
          <w:p w:rsidR="00763AED" w:rsidRDefault="00763AED" w:rsidP="00420681">
            <w:pPr>
              <w:ind w:firstLine="281"/>
            </w:pPr>
            <w:r>
              <w:t xml:space="preserve">- Заменена старая точка доступа </w:t>
            </w:r>
            <w:r w:rsidRPr="00763AED">
              <w:t>lk.budget.gov.ru на eb.cert.roskazna.ru</w:t>
            </w:r>
            <w:r w:rsidR="003316CA">
              <w:t xml:space="preserve">, </w:t>
            </w:r>
            <w:r>
              <w:t xml:space="preserve"> </w:t>
            </w:r>
            <w:r w:rsidR="003316CA">
              <w:t>с</w:t>
            </w:r>
            <w:r>
              <w:t>корректированы скриншоты</w:t>
            </w:r>
          </w:p>
          <w:p w:rsidR="00763AED" w:rsidRPr="00EA7BB4" w:rsidRDefault="00763AED" w:rsidP="002401E6">
            <w:pPr>
              <w:ind w:firstLine="281"/>
            </w:pPr>
            <w:r>
              <w:t xml:space="preserve">- </w:t>
            </w:r>
            <w:r w:rsidR="002401E6">
              <w:t xml:space="preserve">добавлен п. </w:t>
            </w:r>
            <w:r w:rsidR="002401E6">
              <w:fldChar w:fldCharType="begin"/>
            </w:r>
            <w:r w:rsidR="002401E6">
              <w:instrText xml:space="preserve"> REF _Ref117502449 \w \h </w:instrText>
            </w:r>
            <w:r w:rsidR="002401E6">
              <w:fldChar w:fldCharType="separate"/>
            </w:r>
            <w:r w:rsidR="002401E6" w:rsidRPr="00EA7BB4">
              <w:t>7.6.4</w:t>
            </w:r>
            <w:r w:rsidR="002401E6">
              <w:fldChar w:fldCharType="end"/>
            </w:r>
            <w:r w:rsidR="002401E6" w:rsidRPr="00EA7BB4">
              <w:t xml:space="preserve"> «</w:t>
            </w:r>
            <w:r w:rsidR="002401E6" w:rsidRPr="002401E6">
              <w:t>Сведения</w:t>
            </w:r>
            <w:r w:rsidR="002401E6" w:rsidRPr="00EA7BB4">
              <w:t xml:space="preserve"> </w:t>
            </w:r>
            <w:r w:rsidR="002401E6" w:rsidRPr="002401E6">
              <w:t>о</w:t>
            </w:r>
            <w:r w:rsidR="002401E6" w:rsidRPr="00EA7BB4">
              <w:t xml:space="preserve"> </w:t>
            </w:r>
            <w:r w:rsidR="002401E6" w:rsidRPr="002401E6">
              <w:t>ФОТ</w:t>
            </w:r>
            <w:r w:rsidR="002401E6" w:rsidRPr="00EA7BB4">
              <w:t xml:space="preserve"> </w:t>
            </w:r>
            <w:r w:rsidR="002401E6" w:rsidRPr="002401E6">
              <w:t>ФОИВ</w:t>
            </w:r>
            <w:r w:rsidR="002401E6" w:rsidRPr="00EA7BB4">
              <w:t>» (</w:t>
            </w:r>
            <w:r w:rsidR="002401E6" w:rsidRPr="002401E6">
              <w:rPr>
                <w:lang w:val="en-US"/>
              </w:rPr>
              <w:t>PIAO</w:t>
            </w:r>
            <w:r w:rsidR="002401E6" w:rsidRPr="00EA7BB4">
              <w:t>_103_001_</w:t>
            </w:r>
            <w:r w:rsidR="002401E6" w:rsidRPr="002401E6">
              <w:rPr>
                <w:lang w:val="en-US"/>
              </w:rPr>
              <w:t>Analiz</w:t>
            </w:r>
            <w:r w:rsidR="002401E6" w:rsidRPr="00EA7BB4">
              <w:t>_</w:t>
            </w:r>
            <w:r w:rsidR="002401E6" w:rsidRPr="002401E6">
              <w:rPr>
                <w:lang w:val="en-US"/>
              </w:rPr>
              <w:t>FOTReport</w:t>
            </w:r>
            <w:r w:rsidR="002401E6" w:rsidRPr="00EA7BB4">
              <w:t>_82_</w:t>
            </w:r>
            <w:r w:rsidR="002401E6" w:rsidRPr="002401E6">
              <w:rPr>
                <w:lang w:val="en-US"/>
              </w:rPr>
              <w:t>view</w:t>
            </w:r>
            <w:r w:rsidR="002401E6" w:rsidRPr="00EA7BB4">
              <w:t>_</w:t>
            </w:r>
            <w:r w:rsidR="002401E6" w:rsidRPr="002401E6">
              <w:rPr>
                <w:lang w:val="en-US"/>
              </w:rPr>
              <w:t>CH</w:t>
            </w:r>
            <w:r w:rsidR="002401E6" w:rsidRPr="00EA7BB4">
              <w:t>)</w:t>
            </w:r>
          </w:p>
        </w:tc>
      </w:tr>
      <w:tr w:rsidR="003E6C63" w:rsidRPr="002401E6" w:rsidTr="00763AED">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rsidR="003E6C63" w:rsidRPr="00132BBD" w:rsidRDefault="003E6C63" w:rsidP="003E6C63">
            <w:r>
              <w:t>05.00</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rsidR="003E6C63" w:rsidRPr="00132BBD" w:rsidRDefault="003E6C63" w:rsidP="003E6C63">
            <w:r>
              <w:t>02.10.2022</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3E6C63" w:rsidRPr="00132BBD" w:rsidRDefault="003E6C63" w:rsidP="0056578B">
            <w:r>
              <w:t xml:space="preserve">Степанова </w:t>
            </w:r>
            <w:r w:rsidR="0056578B">
              <w:t>А</w:t>
            </w:r>
            <w:r>
              <w:t xml:space="preserve">.С. </w:t>
            </w:r>
          </w:p>
        </w:tc>
        <w:tc>
          <w:tcPr>
            <w:tcW w:w="2382" w:type="pct"/>
            <w:tcBorders>
              <w:top w:val="single" w:sz="4" w:space="0" w:color="auto"/>
              <w:left w:val="single" w:sz="4" w:space="0" w:color="auto"/>
              <w:bottom w:val="single" w:sz="4" w:space="0" w:color="auto"/>
              <w:right w:val="single" w:sz="4" w:space="0" w:color="auto"/>
            </w:tcBorders>
            <w:shd w:val="clear" w:color="auto" w:fill="auto"/>
            <w:vAlign w:val="center"/>
          </w:tcPr>
          <w:p w:rsidR="003E6C63" w:rsidRPr="00EA7BB4" w:rsidRDefault="003E6C63" w:rsidP="00255CE5">
            <w:pPr>
              <w:ind w:firstLine="281"/>
            </w:pPr>
            <w:r w:rsidRPr="003E6C63">
              <w:t>Актуализирован в соответствии с ГК от 30.05.2022 № ФКУ0212/05/2022/РИС (Период 1)</w:t>
            </w:r>
          </w:p>
        </w:tc>
      </w:tr>
      <w:tr w:rsidR="0056578B" w:rsidRPr="002401E6" w:rsidTr="00763AED">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rsidR="0056578B" w:rsidRPr="00132BBD" w:rsidRDefault="0056578B" w:rsidP="00AB088E">
            <w:r>
              <w:t>05.01</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rsidR="0056578B" w:rsidRPr="00132BBD" w:rsidRDefault="0056578B" w:rsidP="00854A76">
            <w:r>
              <w:t>1</w:t>
            </w:r>
            <w:r w:rsidR="00854A76">
              <w:t>6</w:t>
            </w:r>
            <w:r>
              <w:t>.11.2022</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rsidR="0056578B" w:rsidRPr="00132BBD" w:rsidRDefault="0056578B" w:rsidP="00AB088E">
            <w:r>
              <w:t xml:space="preserve">Степанова А.С. </w:t>
            </w:r>
          </w:p>
        </w:tc>
        <w:tc>
          <w:tcPr>
            <w:tcW w:w="2382" w:type="pct"/>
            <w:tcBorders>
              <w:top w:val="single" w:sz="4" w:space="0" w:color="auto"/>
              <w:left w:val="single" w:sz="4" w:space="0" w:color="auto"/>
              <w:bottom w:val="single" w:sz="4" w:space="0" w:color="auto"/>
              <w:right w:val="single" w:sz="4" w:space="0" w:color="auto"/>
            </w:tcBorders>
            <w:shd w:val="clear" w:color="auto" w:fill="auto"/>
            <w:vAlign w:val="center"/>
          </w:tcPr>
          <w:p w:rsidR="0056578B" w:rsidRPr="00EA7BB4" w:rsidRDefault="00854A76" w:rsidP="00AB088E">
            <w:pPr>
              <w:ind w:firstLine="281"/>
            </w:pPr>
            <w:r w:rsidRPr="00854A76">
              <w:t>Актуализировано по письму от 15.11.2022 № 99-24-16/12088 в рамках ГК от 30.05.2022 №ФКУ0212/05/2022/РИС (период 1)</w:t>
            </w:r>
          </w:p>
        </w:tc>
      </w:tr>
    </w:tbl>
    <w:p w:rsidR="00E863A1" w:rsidRPr="00EA7BB4" w:rsidRDefault="00E863A1" w:rsidP="00BA4DF0"/>
    <w:sectPr w:rsidR="00E863A1" w:rsidRPr="00EA7BB4" w:rsidSect="00651423">
      <w:headerReference w:type="first" r:id="rId647"/>
      <w:pgSz w:w="11906" w:h="16838" w:code="9"/>
      <w:pgMar w:top="851" w:right="851" w:bottom="1276" w:left="1418" w:header="1418" w:footer="14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82F" w:rsidRDefault="0022182F" w:rsidP="004A4F77">
      <w:r>
        <w:separator/>
      </w:r>
    </w:p>
  </w:endnote>
  <w:endnote w:type="continuationSeparator" w:id="0">
    <w:p w:rsidR="0022182F" w:rsidRDefault="0022182F" w:rsidP="004A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ISOCPEUR">
    <w:altName w:val="Arial"/>
    <w:charset w:val="CC"/>
    <w:family w:val="swiss"/>
    <w:pitch w:val="variable"/>
    <w:sig w:usb0="00000001"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82F" w:rsidRDefault="0022182F" w:rsidP="004A4F77">
      <w:r>
        <w:separator/>
      </w:r>
    </w:p>
  </w:footnote>
  <w:footnote w:type="continuationSeparator" w:id="0">
    <w:p w:rsidR="0022182F" w:rsidRDefault="0022182F" w:rsidP="004A4F77">
      <w:r>
        <w:continuationSeparator/>
      </w:r>
    </w:p>
  </w:footnote>
  <w:footnote w:id="1">
    <w:p w:rsidR="00255CE5" w:rsidRDefault="00255CE5" w:rsidP="00147B5C">
      <w:pPr>
        <w:pStyle w:val="afe"/>
      </w:pPr>
      <w:r>
        <w:rPr>
          <w:rStyle w:val="aff0"/>
        </w:rPr>
        <w:footnoteRef/>
      </w:r>
      <w:r>
        <w:t xml:space="preserve"> </w:t>
      </w:r>
      <w:r>
        <w:rPr>
          <w:color w:val="auto"/>
        </w:rPr>
        <w:t>В случае утверждения новой версии документации, взамен указанного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255CE5" w:rsidRDefault="00255CE5" w:rsidP="00472B5B">
      <w:pPr>
        <w:pStyle w:val="afe"/>
      </w:pPr>
      <w:r>
        <w:rPr>
          <w:rStyle w:val="aff0"/>
        </w:rPr>
        <w:footnoteRef/>
      </w:r>
      <w:r>
        <w:t xml:space="preserve"> З</w:t>
      </w:r>
      <w:r w:rsidRPr="004B71FE">
        <w:t>десь и далее имеется в виду код отчетной формы с сокращенным наименованием СумОтч в соответствии с Приказом ФНС России от 13.11.2019 N ММВ-7-1/570@ "Об утверждении форматов представления экземпляра составленной годовой бухгалтерской (финансовой) отчетности и аудиторского заключения о ней в виде электронных документов в целях формирования государственного информационного ресурса бухгалтерской (финансовой) отчетности"</w:t>
      </w:r>
    </w:p>
  </w:footnote>
  <w:footnote w:id="3">
    <w:p w:rsidR="00255CE5" w:rsidRDefault="00255CE5" w:rsidP="00472B5B">
      <w:pPr>
        <w:pStyle w:val="afe"/>
      </w:pPr>
      <w:r>
        <w:rPr>
          <w:rStyle w:val="aff0"/>
        </w:rPr>
        <w:footnoteRef/>
      </w:r>
      <w:r>
        <w:t xml:space="preserve"> З</w:t>
      </w:r>
      <w:r w:rsidRPr="004B71FE">
        <w:t>десь и далее имеется в виду код отчетной формы с сокращенным наименованием СумПред в соответствии с Приказом ФНС России от 13.11.2019 N ММВ-7-1/570@ "Об утверждении форматов представления экземпляра составленной годовой бухгалтерской (финансовой) отчетности и аудиторского заключения о ней в виде электронных документов в целях формирования государственного информационного ресурса бухгалтерской (финансовой) отчетности"</w:t>
      </w:r>
    </w:p>
  </w:footnote>
  <w:footnote w:id="4">
    <w:p w:rsidR="00255CE5" w:rsidRDefault="00255CE5" w:rsidP="00472B5B">
      <w:pPr>
        <w:pStyle w:val="afe"/>
      </w:pPr>
      <w:r>
        <w:rPr>
          <w:rStyle w:val="aff0"/>
        </w:rPr>
        <w:footnoteRef/>
      </w:r>
      <w:r>
        <w:t xml:space="preserve"> </w:t>
      </w:r>
      <w:r w:rsidRPr="004B71FE">
        <w:t>Здесь и далее имеется в виду код отчетной формы с сокращенным наименованием СумПред в соответствии с Приказом ФНС России от 13.11.2019 N ММВ-7-1/570@ "Об утверждении форматов представления экземпляра составленной годовой бухгалтерской (финансовой) отчетности и аудиторского заключения о ней в виде электронных документов в целях формирования государственного информационного ресурса бухгалтерской (финансовой) отчетности"</w:t>
      </w:r>
      <w:r>
        <w:t xml:space="preserve"> за отчетный период = «Год», установленный в параметрах представления, минус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56704" behindDoc="0" locked="0" layoutInCell="1" allowOverlap="1" wp14:anchorId="7DAD536C" wp14:editId="7D666412">
              <wp:simplePos x="0" y="0"/>
              <wp:positionH relativeFrom="page">
                <wp:posOffset>552450</wp:posOffset>
              </wp:positionH>
              <wp:positionV relativeFrom="page">
                <wp:posOffset>438150</wp:posOffset>
              </wp:positionV>
              <wp:extent cx="6893560" cy="10039985"/>
              <wp:effectExtent l="0" t="0" r="21590" b="37465"/>
              <wp:wrapNone/>
              <wp:docPr id="5843"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5844"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pPr>
                          </w:p>
                        </w:txbxContent>
                      </wps:txbx>
                      <wps:bodyPr rot="0" vert="horz" wrap="square" lIns="0" tIns="0" rIns="0" bIns="0" anchor="t" anchorCtr="0" upright="1">
                        <a:noAutofit/>
                      </wps:bodyPr>
                    </wps:wsp>
                    <wps:wsp>
                      <wps:cNvPr id="5845"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rsidRPr="003259C2">
                              <w:t>Изм</w:t>
                            </w:r>
                            <w:r>
                              <w:t>.</w:t>
                            </w:r>
                          </w:p>
                        </w:txbxContent>
                      </wps:txbx>
                      <wps:bodyPr rot="0" vert="horz" wrap="square" lIns="0" tIns="18000" rIns="0" bIns="0" anchor="t" anchorCtr="0" upright="1">
                        <a:noAutofit/>
                      </wps:bodyPr>
                    </wps:wsp>
                    <wps:wsp>
                      <wps:cNvPr id="5846"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pPr>
                          </w:p>
                        </w:txbxContent>
                      </wps:txbx>
                      <wps:bodyPr rot="0" vert="horz" wrap="square" lIns="0" tIns="0" rIns="0" bIns="0" anchor="t" anchorCtr="0" upright="1">
                        <a:noAutofit/>
                      </wps:bodyPr>
                    </wps:wsp>
                    <wps:wsp>
                      <wps:cNvPr id="5847"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rsidRPr="003259C2">
                              <w:t>Лист</w:t>
                            </w:r>
                          </w:p>
                        </w:txbxContent>
                      </wps:txbx>
                      <wps:bodyPr rot="0" vert="horz" wrap="square" lIns="0" tIns="0" rIns="0" bIns="0" anchor="t" anchorCtr="0" upright="1">
                        <a:noAutofit/>
                      </wps:bodyPr>
                    </wps:wsp>
                    <wps:wsp>
                      <wps:cNvPr id="5848"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jc w:val="both"/>
                              <w:rPr>
                                <w:szCs w:val="20"/>
                              </w:rPr>
                            </w:pPr>
                          </w:p>
                        </w:txbxContent>
                      </wps:txbx>
                      <wps:bodyPr rot="0" vert="horz" wrap="square" lIns="0" tIns="0" rIns="0" bIns="0" anchor="t" anchorCtr="0" upright="1">
                        <a:noAutofit/>
                      </wps:bodyPr>
                    </wps:wsp>
                    <wps:wsp>
                      <wps:cNvPr id="5849"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t xml:space="preserve">№ </w:t>
                            </w:r>
                            <w:r w:rsidRPr="003259C2">
                              <w:t>докум</w:t>
                            </w:r>
                            <w:r>
                              <w:t>.</w:t>
                            </w:r>
                          </w:p>
                        </w:txbxContent>
                      </wps:txbx>
                      <wps:bodyPr rot="0" vert="horz" wrap="square" lIns="0" tIns="0" rIns="0" bIns="0" anchor="t" anchorCtr="0" upright="1">
                        <a:noAutofit/>
                      </wps:bodyPr>
                    </wps:wsp>
                    <wps:wsp>
                      <wps:cNvPr id="5850"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E92B86">
                            <w:pPr>
                              <w:pStyle w:val="T"/>
                            </w:pPr>
                          </w:p>
                        </w:txbxContent>
                      </wps:txbx>
                      <wps:bodyPr rot="0" vert="horz" wrap="square" lIns="0" tIns="0" rIns="0" bIns="0" anchor="t" anchorCtr="0" upright="1">
                        <a:noAutofit/>
                      </wps:bodyPr>
                    </wps:wsp>
                    <wps:wsp>
                      <wps:cNvPr id="5851"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t>Подп.</w:t>
                            </w:r>
                          </w:p>
                        </w:txbxContent>
                      </wps:txbx>
                      <wps:bodyPr rot="0" vert="horz" wrap="square" lIns="0" tIns="0" rIns="0" bIns="0" anchor="t" anchorCtr="0" upright="1">
                        <a:noAutofit/>
                      </wps:bodyPr>
                    </wps:wsp>
                    <wps:wsp>
                      <wps:cNvPr id="5852"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E92B86">
                            <w:pPr>
                              <w:pStyle w:val="T2"/>
                              <w:rPr>
                                <w:b/>
                              </w:rPr>
                            </w:pPr>
                          </w:p>
                        </w:txbxContent>
                      </wps:txbx>
                      <wps:bodyPr rot="0" vert="horz" wrap="square" lIns="0" tIns="18000" rIns="0" bIns="0" anchor="t" anchorCtr="0" upright="1">
                        <a:noAutofit/>
                      </wps:bodyPr>
                    </wps:wsp>
                    <wps:wsp>
                      <wps:cNvPr id="5853"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E92B86">
                            <w:pPr>
                              <w:pStyle w:val="T1"/>
                              <w:spacing w:before="0"/>
                            </w:pPr>
                            <w:r w:rsidRPr="003259C2">
                              <w:t>Дата</w:t>
                            </w:r>
                          </w:p>
                        </w:txbxContent>
                      </wps:txbx>
                      <wps:bodyPr rot="0" vert="horz" wrap="square" lIns="0" tIns="0" rIns="0" bIns="0" anchor="t" anchorCtr="0" upright="1">
                        <a:noAutofit/>
                      </wps:bodyPr>
                    </wps:wsp>
                    <wps:wsp>
                      <wps:cNvPr id="5854"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B15F7" w:rsidRDefault="00255CE5" w:rsidP="00E92B86">
                            <w:pPr>
                              <w:pStyle w:val="T4"/>
                              <w:rPr>
                                <w:sz w:val="36"/>
                                <w:szCs w:val="36"/>
                              </w:rPr>
                            </w:pPr>
                            <w:r>
                              <w:t>30275697.20.11,</w:t>
                            </w:r>
                            <w:r w:rsidRPr="00FB1814">
                              <w:t>00</w:t>
                            </w:r>
                            <w:r w:rsidRPr="005B7256">
                              <w:t>.</w:t>
                            </w:r>
                            <w:r w:rsidRPr="00592993">
                              <w:rPr>
                                <w:rStyle w:val="afff3"/>
                                <w:b w:val="0"/>
                              </w:rPr>
                              <w:t>ИЗ</w:t>
                            </w:r>
                            <w:r w:rsidRPr="005B7256">
                              <w:t>.</w:t>
                            </w:r>
                            <w:r>
                              <w:t>001</w:t>
                            </w:r>
                            <w:r w:rsidRPr="005B7256">
                              <w:t>-</w:t>
                            </w:r>
                            <w:r>
                              <w:t>2</w:t>
                            </w:r>
                            <w:r w:rsidRPr="00FB1814">
                              <w:t>.</w:t>
                            </w:r>
                            <w:r>
                              <w:t>0</w:t>
                            </w:r>
                            <w:r w:rsidRPr="00FB1814">
                              <w:t xml:space="preserve"> 1(4)</w:t>
                            </w:r>
                          </w:p>
                        </w:txbxContent>
                      </wps:txbx>
                      <wps:bodyPr rot="0" vert="horz" wrap="square" lIns="91440" tIns="0" rIns="91440" bIns="0" anchor="t" anchorCtr="0" upright="1">
                        <a:noAutofit/>
                      </wps:bodyPr>
                    </wps:wsp>
                    <wps:wsp>
                      <wps:cNvPr id="5855"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E92B86">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5856"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E92B86">
                            <w:pPr>
                              <w:pStyle w:val="T5"/>
                            </w:pPr>
                            <w:r>
                              <w:rPr>
                                <w:szCs w:val="20"/>
                              </w:rPr>
                              <w:fldChar w:fldCharType="begin"/>
                            </w:r>
                            <w:r>
                              <w:rPr>
                                <w:szCs w:val="20"/>
                              </w:rPr>
                              <w:instrText xml:space="preserve"> PAGE  </w:instrText>
                            </w:r>
                            <w:r>
                              <w:rPr>
                                <w:szCs w:val="20"/>
                              </w:rPr>
                              <w:fldChar w:fldCharType="separate"/>
                            </w:r>
                            <w:r>
                              <w:rPr>
                                <w:noProof/>
                                <w:szCs w:val="20"/>
                              </w:rPr>
                              <w:t>553</w:t>
                            </w:r>
                            <w:r>
                              <w:rPr>
                                <w:szCs w:val="20"/>
                              </w:rPr>
                              <w:fldChar w:fldCharType="end"/>
                            </w:r>
                          </w:p>
                          <w:p w:rsidR="00255CE5" w:rsidRPr="00AB2209" w:rsidRDefault="00255CE5" w:rsidP="00E92B86"/>
                        </w:txbxContent>
                      </wps:txbx>
                      <wps:bodyPr rot="0" vert="horz" wrap="square" lIns="0" tIns="0" rIns="0" bIns="0" anchor="t" anchorCtr="0" upright="1">
                        <a:noAutofit/>
                      </wps:bodyPr>
                    </wps:wsp>
                    <wps:wsp>
                      <wps:cNvPr id="5857"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58"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59"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0"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1"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2"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E92B86">
                            <w:pPr>
                              <w:pStyle w:val="T6"/>
                              <w:rPr>
                                <w:lang w:val="en-US"/>
                              </w:rPr>
                            </w:pPr>
                          </w:p>
                        </w:txbxContent>
                      </wps:txbx>
                      <wps:bodyPr rot="0" vert="horz" wrap="square" lIns="0" tIns="0" rIns="0" bIns="0" anchor="t" anchorCtr="0" upright="1">
                        <a:noAutofit/>
                      </wps:bodyPr>
                    </wps:wsp>
                    <wps:wsp>
                      <wps:cNvPr id="5863"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4"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5"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pNextPage" o:spid="_x0000_s1026" style="position:absolute;left:0;text-align:left;margin-left:43.5pt;margin-top:34.5pt;width:542.8pt;height:790.55pt;z-index:251656704;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">
              <v:shapetype id="_x0000_t202" coordsize="21600,21600" o:spt="202" path="m,l,21600r21600,l21600,xe">
                <v:stroke joinstyle="miter"/>
                <v:path gradientshapeok="t" o:connecttype="rect"/>
              </v:shapetype>
              <v:shape id="tbxIzme" o:spid="_x0000_s1027"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ezMgA&#10;AADdAAAADwAAAGRycy9kb3ducmV2LnhtbESPT2vCQBTE70K/w/IEb7qxjSKpq8Si1oMX7R/o7Zl9&#10;JqHZt2l21fTbu4LgcZiZ3zDTeWsqcabGlZYVDAcRCOLM6pJzBZ8fq/4EhPPIGivLpOCfHMxnT50p&#10;JtpeeEfnvc9FgLBLUEHhfZ1I6bKCDLqBrYmDd7SNQR9kk0vd4CXATSWfo2gsDZYcFgqs6a2g7Hd/&#10;Mgp2h8Uq/cm+1u9/8TIdx8v2e/uyUKrXbdNXEJ5a/wjf2xutYDSJY7i9C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H57MyAAAAN0AAAAPAAAAAAAAAAAAAAAAAJgCAABk&#10;cnMvZG93bnJldi54bWxQSwUGAAAAAAQABAD1AAAAjQMAAAAA&#10;" filled="f" strokeweight=".5pt">
                <v:textbox inset="0,0,0,0">
                  <w:txbxContent>
                    <w:p w:rsidR="00255CE5" w:rsidRPr="0071048A" w:rsidRDefault="00255CE5" w:rsidP="00E92B86">
                      <w:pPr>
                        <w:pStyle w:val="T"/>
                      </w:pPr>
                    </w:p>
                  </w:txbxContent>
                </v:textbox>
              </v:shape>
              <v:shape id="Text Box 899" o:spid="_x0000_s1028"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6jwccA&#10;AADdAAAADwAAAGRycy9kb3ducmV2LnhtbESPT2vCQBTE74V+h+UVeqsbS5UYXaUU/IOetFrp7Zl9&#10;JqHZtzG70fjtXUHocZiZ3zCjSWtKcabaFZYVdDsRCOLU6oIzBdvv6VsMwnlkjaVlUnAlB5Px89MI&#10;E20vvKbzxmciQNglqCD3vkqkdGlOBl3HVsTBO9raoA+yzqSu8RLgppTvUdSXBgsOCzlW9JVT+rdp&#10;jALbnqL+7NBkOz3YL1f737n+GcyVen1pP4cgPLX+P/xoL7SCXvzRg/ub8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eo8HHAAAA3QAAAA8AAAAAAAAAAAAAAAAAmAIAAGRy&#10;cy9kb3ducmV2LnhtbFBLBQYAAAAABAAEAPUAAACMAwAAAAA=&#10;" filled="f" strokeweight="1.5pt">
                <v:textbox inset="0,.5mm,0,0">
                  <w:txbxContent>
                    <w:p w:rsidR="00255CE5" w:rsidRPr="00DF2469" w:rsidRDefault="00255CE5" w:rsidP="00E92B86">
                      <w:pPr>
                        <w:pStyle w:val="T1"/>
                        <w:spacing w:before="0"/>
                      </w:pPr>
                      <w:r w:rsidRPr="003259C2">
                        <w:t>Изм</w:t>
                      </w:r>
                      <w:r>
                        <w:t>.</w:t>
                      </w:r>
                    </w:p>
                  </w:txbxContent>
                </v:textbox>
              </v:shape>
              <v:shape id="tbxIzml" o:spid="_x0000_s1029"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GlIMgA&#10;AADdAAAADwAAAGRycy9kb3ducmV2LnhtbESPQWvCQBSE74L/YXlCb7rRpkGiq0TRtodetFXw9sw+&#10;k2D2bZrdavrvu4VCj8PMfMPMl52pxY1aV1lWMB5FIIhzqysuFHy8b4dTEM4ja6wtk4JvcrBc9Htz&#10;TLW9845ue1+IAGGXooLS+yaV0uUlGXQj2xAH72Jbgz7ItpC6xXuAm1pOoiiRBisOCyU2tC4pv+6/&#10;jILdebXNTvnh+eUz3mRJvOmOb48rpR4GXTYD4anz/+G/9qtW8DSNE/h9E56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gaUgyAAAAN0AAAAPAAAAAAAAAAAAAAAAAJgCAABk&#10;cnMvZG93bnJldi54bWxQSwUGAAAAAAQABAD1AAAAjQMAAAAA&#10;" filled="f" strokeweight=".5pt">
                <v:textbox inset="0,0,0,0">
                  <w:txbxContent>
                    <w:p w:rsidR="00255CE5" w:rsidRPr="0071048A" w:rsidRDefault="00255CE5" w:rsidP="00E92B86">
                      <w:pPr>
                        <w:pStyle w:val="T"/>
                      </w:pPr>
                    </w:p>
                  </w:txbxContent>
                </v:textbox>
              </v:shape>
              <v:shape id="Text Box 901" o:spid="_x0000_s1030"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joqMQA&#10;AADdAAAADwAAAGRycy9kb3ducmV2LnhtbESPzYrCQBCE74LvMLTgTSdq3HWjo4gQ8eLBnwfozfQm&#10;0UxPyIwa394RhD0WVfUVtVi1phJ3alxpWcFoGIEgzqwuOVdwPqWDGQjnkTVWlknBkxyslt3OAhNt&#10;H3yg+9HnIkDYJaig8L5OpHRZQQbd0NbEwfuzjUEfZJNL3eAjwE0lx1H0JQ2WHBYKrGlTUHY93oyC&#10;7eX3EJWTOP5Js8nU7C+x1ulOqX6vXc9BeGr9f/jT3mkF01n8De834Qn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Y6KjEAAAA3QAAAA8AAAAAAAAAAAAAAAAAmAIAAGRycy9k&#10;b3ducmV2LnhtbFBLBQYAAAAABAAEAPUAAACJAwAAAAA=&#10;" filled="f" strokeweight="1.5pt">
                <v:textbox inset="0,0,0,0">
                  <w:txbxContent>
                    <w:p w:rsidR="00255CE5" w:rsidRPr="00DF2469" w:rsidRDefault="00255CE5" w:rsidP="00E92B86">
                      <w:pPr>
                        <w:pStyle w:val="T1"/>
                        <w:spacing w:before="0"/>
                      </w:pPr>
                      <w:r w:rsidRPr="003259C2">
                        <w:t>Лист</w:t>
                      </w:r>
                    </w:p>
                  </w:txbxContent>
                </v:textbox>
              </v:shape>
              <v:shape id="tbxNdoc" o:spid="_x0000_s1031"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UycYA&#10;AADdAAAADwAAAGRycy9kb3ducmV2LnhtbERPu27CMBTdK/EP1kXqVhxoilDAoASFtgMLj1Ziu8SX&#10;JCK+TmMX0r+vh0odj857sepNI27UudqygvEoAkFcWF1zqeB42DzNQDiPrLGxTAp+yMFqOXhYYKLt&#10;nXd02/tShBB2CSqovG8TKV1RkUE3si1x4C62M+gD7EqpO7yHcNPISRRNpcGaQ0OFLa0rKq77b6Ng&#10;d8426an4eH37ivN0Guf95/Y5U+px2KdzEJ56/y/+c79rBS+zOMwNb8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KUycYAAADdAAAADwAAAAAAAAAAAAAAAACYAgAAZHJz&#10;L2Rvd25yZXYueG1sUEsFBgAAAAAEAAQA9QAAAIsDAAAAAA==&#10;" filled="f" strokeweight=".5pt">
                <v:textbox inset="0,0,0,0">
                  <w:txbxContent>
                    <w:p w:rsidR="00255CE5" w:rsidRPr="0071048A" w:rsidRDefault="00255CE5" w:rsidP="00E92B86">
                      <w:pPr>
                        <w:pStyle w:val="T"/>
                        <w:jc w:val="both"/>
                        <w:rPr>
                          <w:szCs w:val="20"/>
                        </w:rPr>
                      </w:pPr>
                    </w:p>
                  </w:txbxContent>
                </v:textbox>
              </v:shape>
              <v:shape id="Text Box 903" o:spid="_x0000_s1032"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vZQcUA&#10;AADdAAAADwAAAGRycy9kb3ducmV2LnhtbESPQWvCQBSE7wX/w/IEb3WjiUVTV5FCJJcetP0Br9nX&#10;JJp9G7LbJP57tyB4HGbmG2a7H00jeupcbVnBYh6BIC6srrlU8P2Vva5BOI+ssbFMCm7kYL+bvGwx&#10;1XbgE/VnX4oAYZeigsr7NpXSFRUZdHPbEgfv13YGfZBdKXWHQ4CbRi6j6E0arDksVNjSR0XF9fxn&#10;FBwvP6eojpNkkxXxynxeEq2zXKnZdDy8g/A0+mf40c61gtU62cD/m/AE5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S9lBxQAAAN0AAAAPAAAAAAAAAAAAAAAAAJgCAABkcnMv&#10;ZG93bnJldi54bWxQSwUGAAAAAAQABAD1AAAAigMAAAAA&#10;" filled="f" strokeweight="1.5pt">
                <v:textbox inset="0,0,0,0">
                  <w:txbxContent>
                    <w:p w:rsidR="00255CE5" w:rsidRPr="00DF2469" w:rsidRDefault="00255CE5" w:rsidP="00E92B86">
                      <w:pPr>
                        <w:pStyle w:val="T1"/>
                        <w:spacing w:before="0"/>
                      </w:pPr>
                      <w:r>
                        <w:t xml:space="preserve">№ </w:t>
                      </w:r>
                      <w:r w:rsidRPr="003259C2">
                        <w:t>докум</w:t>
                      </w:r>
                      <w:r>
                        <w:t>.</w:t>
                      </w:r>
                    </w:p>
                  </w:txbxContent>
                </v:textbox>
              </v:shape>
              <v:shape id="Text Box 904" o:spid="_x0000_s1033"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OEsYA&#10;AADdAAAADwAAAGRycy9kb3ducmV2LnhtbERPu27CMBTdkfoP1q3UDZy2gFAaBwXEowMLaYvEdhvf&#10;JlHj6xAbSP8eD0gdj847mfemERfqXG1ZwfMoAkFcWF1zqeDzYz2cgXAeWWNjmRT8kYN5+jBIMNb2&#10;ynu65L4UIYRdjAoq79tYSldUZNCNbEscuB/bGfQBdqXUHV5DuGnkSxRNpcGaQ0OFLS0rKn7zs1Gw&#10;/16ss2PxtdmexqtsOl71h93rQqmnxz57A+Gp9//iu/tdK5jMJmF/eBOegE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0OEsYAAADdAAAADwAAAAAAAAAAAAAAAACYAgAAZHJz&#10;L2Rvd25yZXYueG1sUEsFBgAAAAAEAAQA9QAAAIsDAAAAAA==&#10;" filled="f" strokeweight=".5pt">
                <v:textbox inset="0,0,0,0">
                  <w:txbxContent>
                    <w:p w:rsidR="00255CE5" w:rsidRDefault="00255CE5" w:rsidP="00E92B86">
                      <w:pPr>
                        <w:pStyle w:val="T"/>
                      </w:pPr>
                    </w:p>
                  </w:txbxContent>
                </v:textbox>
              </v:shape>
              <v:shape id="Text Box 905" o:spid="_x0000_s1034"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DmsQA&#10;AADdAAAADwAAAGRycy9kb3ducmV2LnhtbESPzYrCQBCE7wu+w9CCt3WiJqLRUWQh4sWDPw/QZtok&#10;mukJmVnNvv2OIHgsquorarnuTC0e1LrKsoLRMAJBnFtdcaHgfMq+ZyCcR9ZYWyYFf+Rgvep9LTHV&#10;9skHehx9IQKEXYoKSu+bVEqXl2TQDW1DHLyrbQ36INtC6hafAW5qOY6iqTRYcVgosaGfkvL78dco&#10;2N4uh6iaxPE8yyeJ2d9irbOdUoN+t1mA8NT5T/jd3mkFySwZwetNe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kQ5rEAAAA3QAAAA8AAAAAAAAAAAAAAAAAmAIAAGRycy9k&#10;b3ducmV2LnhtbFBLBQYAAAAABAAEAPUAAACJAwAAAAA=&#10;" filled="f" strokeweight="1.5pt">
                <v:textbox inset="0,0,0,0">
                  <w:txbxContent>
                    <w:p w:rsidR="00255CE5" w:rsidRPr="00DF2469" w:rsidRDefault="00255CE5" w:rsidP="00E92B86">
                      <w:pPr>
                        <w:pStyle w:val="T1"/>
                        <w:spacing w:before="0"/>
                      </w:pPr>
                      <w:r>
                        <w:t>Подп.</w:t>
                      </w:r>
                    </w:p>
                  </w:txbxContent>
                </v:textbox>
              </v:shape>
              <v:shape id="tbxIzmd" o:spid="_x0000_s1035"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Xd8MA&#10;AADdAAAADwAAAGRycy9kb3ducmV2LnhtbESPQWsCMRSE7wX/Q3iCt5rVapHVKNJS8Kr24u25eW5W&#10;Ny/rJmr890YQPA4z8w0zW0Rbiyu1vnKsYNDPQBAXTldcKvjf/n1OQPiArLF2TAru5GEx73zMMNfu&#10;xmu6bkIpEoR9jgpMCE0upS8MWfR91xAn7+BaiyHJtpS6xVuC21oOs+xbWqw4LRhs6MdQcdpcrIJ4&#10;vP8Ovg47CpdmdDK4Pe/j7qxUrxuXUxCBYniHX+2VVjCejIfwfJOe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jXd8MAAADdAAAADwAAAAAAAAAAAAAAAACYAgAAZHJzL2Rv&#10;d25yZXYueG1sUEsFBgAAAAAEAAQA9QAAAIgDAAAAAA==&#10;" filled="f" strokeweight=".5pt">
                <v:textbox inset="0,.5mm,0,0">
                  <w:txbxContent>
                    <w:p w:rsidR="00255CE5" w:rsidRPr="00C12C3D" w:rsidRDefault="00255CE5" w:rsidP="00E92B86">
                      <w:pPr>
                        <w:pStyle w:val="T2"/>
                        <w:rPr>
                          <w:b/>
                        </w:rPr>
                      </w:pPr>
                    </w:p>
                  </w:txbxContent>
                </v:textbox>
              </v:shape>
              <v:shape id="Text Box 907" o:spid="_x0000_s1036"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p4dsUA&#10;AADdAAAADwAAAGRycy9kb3ducmV2LnhtbESPzYrCQBCE7wu+w9CCt3WiScTNOooIES978OcBejO9&#10;STTTEzKjxrd3FgSPRVV9RS1WvWnEjTpXW1YwGUcgiAuray4VnI755xyE88gaG8uk4EEOVsvBxwIz&#10;be+8p9vBlyJA2GWooPK+zaR0RUUG3di2xMH7s51BH2RXSt3hPcBNI6dRNJMGaw4LFba0qai4HK5G&#10;wfb8u4/qOEm+8iJOzc850TrfKTUa9utvEJ56/w6/2jutIJ2nMfy/CU9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enh2xQAAAN0AAAAPAAAAAAAAAAAAAAAAAJgCAABkcnMv&#10;ZG93bnJldi54bWxQSwUGAAAAAAQABAD1AAAAigMAAAAA&#10;" filled="f" strokeweight="1.5pt">
                <v:textbox inset="0,0,0,0">
                  <w:txbxContent>
                    <w:p w:rsidR="00255CE5" w:rsidRPr="009155C0" w:rsidRDefault="00255CE5" w:rsidP="00E92B86">
                      <w:pPr>
                        <w:pStyle w:val="T1"/>
                        <w:spacing w:before="0"/>
                      </w:pPr>
                      <w:r w:rsidRPr="003259C2">
                        <w:t>Дата</w:t>
                      </w:r>
                    </w:p>
                  </w:txbxContent>
                </v:textbox>
              </v:shape>
              <v:shape id="tbxOboz" o:spid="_x0000_s1037"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2d6McA&#10;AADdAAAADwAAAGRycy9kb3ducmV2LnhtbESP3WrCQBSE7wu+w3IEb0rdVBqR1FXEYisIotZ6fcge&#10;k2D2bMiu+Xn7rlDo5TAz3zDzZWdK0VDtCssKXscRCOLU6oIzBefvzcsMhPPIGkvLpKAnB8vF4GmO&#10;ibYtH6k5+UwECLsEFeTeV4mULs3JoBvbijh4V1sb9EHWmdQ1tgFuSjmJoqk0WHBYyLGidU7p7XQ3&#10;Ctp+W/XH/e5yeP76ufTndfPxGV+VGg271TsIT53/D/+1t1pBPIvf4PEmPA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9nejHAAAA3QAAAA8AAAAAAAAAAAAAAAAAmAIAAGRy&#10;cy9kb3ducmV2LnhtbFBLBQYAAAAABAAEAPUAAACMAwAAAAA=&#10;" filled="f" strokeweight="1.5pt">
                <v:textbox inset=",0,,0">
                  <w:txbxContent>
                    <w:p w:rsidR="00255CE5" w:rsidRPr="00CB15F7" w:rsidRDefault="00255CE5" w:rsidP="00E92B86">
                      <w:pPr>
                        <w:pStyle w:val="T4"/>
                        <w:rPr>
                          <w:sz w:val="36"/>
                          <w:szCs w:val="36"/>
                        </w:rPr>
                      </w:pPr>
                      <w:r>
                        <w:t>30275697.20.11,</w:t>
                      </w:r>
                      <w:r w:rsidRPr="00FB1814">
                        <w:t>00</w:t>
                      </w:r>
                      <w:r w:rsidRPr="005B7256">
                        <w:t>.</w:t>
                      </w:r>
                      <w:r w:rsidRPr="00592993">
                        <w:rPr>
                          <w:rStyle w:val="afff3"/>
                          <w:b w:val="0"/>
                        </w:rPr>
                        <w:t>ИЗ</w:t>
                      </w:r>
                      <w:r w:rsidRPr="005B7256">
                        <w:t>.</w:t>
                      </w:r>
                      <w:r>
                        <w:t>001</w:t>
                      </w:r>
                      <w:r w:rsidRPr="005B7256">
                        <w:t>-</w:t>
                      </w:r>
                      <w:r>
                        <w:t>2</w:t>
                      </w:r>
                      <w:r w:rsidRPr="00FB1814">
                        <w:t>.</w:t>
                      </w:r>
                      <w:r>
                        <w:t>0</w:t>
                      </w:r>
                      <w:r w:rsidRPr="00FB1814">
                        <w:t xml:space="preserve"> 1(4)</w:t>
                      </w:r>
                    </w:p>
                  </w:txbxContent>
                </v:textbox>
              </v:shape>
              <v:shape id="Text Box 909" o:spid="_x0000_s1038"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9FmcYA&#10;AADdAAAADwAAAGRycy9kb3ducmV2LnhtbESPQWuDQBSE74H+h+UVekvWNlpSk1VKwOIlh5j+gFf3&#10;RU3dt+Juov333UChx2FmvmF2+Wx6caPRdZYVPK8iEMS11R03Cj5PxXIDwnlkjb1lUvBDDvLsYbHD&#10;VNuJj3SrfCMChF2KClrvh1RKV7dk0K3sQBy8sx0N+iDHRuoRpwA3vXyJoldpsOOw0OJA+5bq7+pq&#10;FHxcvo5Rt47jt6JeJ+ZwibUuSqWeHuf3LQhPs/8P/7VLrSDZJAnc34Qn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9FmcYAAADdAAAADwAAAAAAAAAAAAAAAACYAgAAZHJz&#10;L2Rvd25yZXYueG1sUEsFBgAAAAAEAAQA9QAAAIsDAAAAAA==&#10;" filled="f" strokeweight="1.5pt">
                <v:textbox inset="0,0,0,0">
                  <w:txbxContent>
                    <w:p w:rsidR="00255CE5" w:rsidRPr="00363BE3" w:rsidRDefault="00255CE5" w:rsidP="00E92B86">
                      <w:pPr>
                        <w:pStyle w:val="T20"/>
                        <w:rPr>
                          <w:sz w:val="20"/>
                          <w:szCs w:val="20"/>
                        </w:rPr>
                      </w:pPr>
                      <w:r w:rsidRPr="00363BE3">
                        <w:rPr>
                          <w:sz w:val="20"/>
                          <w:szCs w:val="20"/>
                        </w:rPr>
                        <w:t>Лист</w:t>
                      </w:r>
                    </w:p>
                  </w:txbxContent>
                </v:textbox>
              </v:shape>
              <v:shape id="tbxPage" o:spid="_x0000_s1039"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3b7sQA&#10;AADdAAAADwAAAGRycy9kb3ducmV2LnhtbESPzYrCQBCE7wu+w9CCt3WiJqLRUWQh4sWDPw/QZtok&#10;mukJmVnNvv2OIHgsquorarnuTC0e1LrKsoLRMAJBnFtdcaHgfMq+ZyCcR9ZYWyYFf+Rgvep9LTHV&#10;9skHehx9IQKEXYoKSu+bVEqXl2TQDW1DHLyrbQ36INtC6hafAW5qOY6iqTRYcVgosaGfkvL78dco&#10;2N4uh6iaxPE8yyeJ2d9irbOdUoN+t1mA8NT5T/jd3mkFySyZwutNe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N2+7EAAAA3QAAAA8AAAAAAAAAAAAAAAAAmAIAAGRycy9k&#10;b3ducmV2LnhtbFBLBQYAAAAABAAEAPUAAACJAwAAAAA=&#10;" filled="f" strokeweight="1.5pt">
                <v:textbox inset="0,0,0,0">
                  <w:txbxContent>
                    <w:p w:rsidR="00255CE5" w:rsidRPr="00DC0A04" w:rsidRDefault="00255CE5" w:rsidP="00E92B86">
                      <w:pPr>
                        <w:pStyle w:val="T5"/>
                      </w:pPr>
                      <w:r>
                        <w:rPr>
                          <w:szCs w:val="20"/>
                        </w:rPr>
                        <w:fldChar w:fldCharType="begin"/>
                      </w:r>
                      <w:r>
                        <w:rPr>
                          <w:szCs w:val="20"/>
                        </w:rPr>
                        <w:instrText xml:space="preserve"> PAGE  </w:instrText>
                      </w:r>
                      <w:r>
                        <w:rPr>
                          <w:szCs w:val="20"/>
                        </w:rPr>
                        <w:fldChar w:fldCharType="separate"/>
                      </w:r>
                      <w:r>
                        <w:rPr>
                          <w:noProof/>
                          <w:szCs w:val="20"/>
                        </w:rPr>
                        <w:t>553</w:t>
                      </w:r>
                      <w:r>
                        <w:rPr>
                          <w:szCs w:val="20"/>
                        </w:rPr>
                        <w:fldChar w:fldCharType="end"/>
                      </w:r>
                    </w:p>
                    <w:p w:rsidR="00255CE5" w:rsidRPr="00AB2209" w:rsidRDefault="00255CE5" w:rsidP="00E92B86"/>
                  </w:txbxContent>
                </v:textbox>
              </v:shape>
              <v:line id="Line 921" o:spid="_x0000_s1040"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fE1cUAAADdAAAADwAAAGRycy9kb3ducmV2LnhtbESPQWvCQBSE7wX/w/IEb3WjYpXUVURQ&#10;S2+NRejtkX0mabJv4+5G03/fLRQ8DjPzDbPa9KYRN3K+sqxgMk5AEOdWV1wo+Dztn5cgfEDW2Fgm&#10;BT/kYbMePK0w1fbOH3TLQiEihH2KCsoQ2lRKn5dk0I9tSxy9i3UGQ5SukNrhPcJNI6dJ8iINVhwX&#10;SmxpV1JeZ51RcO4y/vqu967B7nA8Xs7X2s/elRoN++0riEB9eIT/229awXw5X8Dfm/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fE1cUAAADdAAAADwAAAAAAAAAA&#10;AAAAAAChAgAAZHJzL2Rvd25yZXYueG1sUEsFBgAAAAAEAAQA+QAAAJMDAAAAAA==&#10;" strokeweight="1.5pt"/>
              <v:line id="Line 922" o:spid="_x0000_s1041"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Qp8IAAADdAAAADwAAAGRycy9kb3ducmV2LnhtbERPz2vCMBS+D/wfwhO8zdSJQ6pRRHCO&#10;3awieHs0z7a2ealJqt1/vxyEHT++38t1bxrxIOcrywom4wQEcW51xYWC03H3PgfhA7LGxjIp+CUP&#10;69XgbYmptk8+0CMLhYgh7FNUUIbQplL6vCSDfmxb4shdrTMYInSF1A6fMdw08iNJPqXBimNDiS1t&#10;S8rrrDMKzl3Gl1u9cw12X/v99Xyv/fRHqdGw3yxABOrDv/jl/tYKZvNZnBvfxCc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GhQp8IAAADdAAAADwAAAAAAAAAAAAAA&#10;AAChAgAAZHJzL2Rvd25yZXYueG1sUEsFBgAAAAAEAAQA+QAAAJADAAAAAA==&#10;" strokeweight="1.5pt"/>
              <v:line id="Line 923" o:spid="_x0000_s1042"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T1PMUAAADdAAAADwAAAGRycy9kb3ducmV2LnhtbESPQWvCQBSE7wX/w/IEb3WjYrGpq4ig&#10;lt4aRejtkX0mabJv4+5G03/fLRQ8DjPzDbNc96YRN3K+sqxgMk5AEOdWV1woOB13zwsQPiBrbCyT&#10;gh/ysF4NnpaYanvnT7ploRARwj5FBWUIbSqlz0sy6Me2JY7exTqDIUpXSO3wHuGmkdMkeZEGK44L&#10;Jba0LSmvs84oOHcZf33XO9dgtz8cLudr7WcfSo2G/eYNRKA+PML/7XetYL6Yv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T1PMUAAADdAAAADwAAAAAAAAAA&#10;AAAAAAChAgAAZHJzL2Rvd25yZXYueG1sUEsFBgAAAAAEAAQA+QAAAJMDAAAAAA==&#10;" strokeweight="1.5pt"/>
              <v:line id="Line 924" o:spid="_x0000_s1043"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KWHMIAAADdAAAADwAAAGRycy9kb3ducmV2LnhtbERPz2vCMBS+D/wfwhO8zdTJRKpRRHCO&#10;3awieHs0z7a2ealJqt1/bw6DHT++38t1bxrxIOcrywom4wQEcW51xYWC03H3PgfhA7LGxjIp+CUP&#10;69XgbYmptk8+0CMLhYgh7FNUUIbQplL6vCSDfmxb4shdrTMYInSF1A6fMdw08iNJZtJgxbGhxJa2&#10;JeV11hkF5y7jy63euQa7r/3+er7Xfvqj1GjYbxYgAvXhX/zn/tYKPuezuD++iU9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KWHMIAAADdAAAADwAAAAAAAAAAAAAA&#10;AAChAgAAZHJzL2Rvd25yZXYueG1sUEsFBgAAAAAEAAQA+QAAAJADAAAAAA==&#10;" strokeweight="1.5pt"/>
              <v:line id="Line 925" o:spid="_x0000_s1044"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4zh8YAAADdAAAADwAAAGRycy9kb3ducmV2LnhtbESPT2vCQBTE7wW/w/KE3urGFkWiGxHB&#10;WnprLEJvj+zLH5N9m+5uNP32bqHQ4zAzv2E229F04krON5YVzGcJCOLC6oYrBZ+nw9MKhA/IGjvL&#10;pOCHPGyzycMGU21v/EHXPFQiQtinqKAOoU+l9EVNBv3M9sTRK60zGKJ0ldQObxFuOvmcJEtpsOG4&#10;UGNP+5qKNh+MgvOQ89elPbgOh9fjsTx/t/7lXanH6bhbgwg0hv/wX/tNK1islnP4fROfgMz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M4fGAAAA3QAAAA8AAAAAAAAA&#10;AAAAAAAAoQIAAGRycy9kb3ducmV2LnhtbFBLBQYAAAAABAAEAPkAAACUAwAAAAA=&#10;" strokeweight="1.5pt"/>
              <v:shape id="tbxOboz180" o:spid="_x0000_s1045"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sHY8QA&#10;AADdAAAADwAAAGRycy9kb3ducmV2LnhtbESPzYoCMRCE7wu+Q2hhb2tGUZHRKLIoeNz15+CtmbST&#10;0UknO4k6vv1GEDwWVfUVNVu0thY3akLlWEG/l4EgLpyuuFSw362/JiBCRNZYOyYFDwqwmHc+Zphr&#10;d+dfum1jKRKEQ44KTIw+lzIUhiyGnvPEyTu5xmJMsimlbvCe4LaWgywbS4sVpwWDnr4NFZft1SpY&#10;+cNq7f/Ox+LR7pc/xmz07jJU6rPbLqcgIrXxHX61N1rBaDIewPNNe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LB2PEAAAA3QAAAA8AAAAAAAAAAAAAAAAAmAIAAGRycy9k&#10;b3ducmV2LnhtbFBLBQYAAAAABAAEAPUAAACJAwAAAAA=&#10;" strokeweight="1.5pt">
                <v:textbox inset="0,0,0,0">
                  <w:txbxContent>
                    <w:p w:rsidR="00255CE5" w:rsidRPr="00BB0B43" w:rsidRDefault="00255CE5" w:rsidP="00E92B86">
                      <w:pPr>
                        <w:pStyle w:val="T6"/>
                        <w:rPr>
                          <w:lang w:val="en-US"/>
                        </w:rPr>
                      </w:pPr>
                    </w:p>
                  </w:txbxContent>
                </v:textbox>
              </v:shape>
              <v:line id="Line 929" o:spid="_x0000_s1046"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AIa8UAAADdAAAADwAAAGRycy9kb3ducmV2LnhtbESPQWvCQBSE74L/YXlCb7qxUpHoKlKw&#10;lt4aRfD2yD6TmOzbdHej6b/vFgSPw8x8w6w2vWnEjZyvLCuYThIQxLnVFRcKjofdeAHCB2SNjWVS&#10;8EseNuvhYIWptnf+plsWChEh7FNUUIbQplL6vCSDfmJb4uhdrDMYonSF1A7vEW4a+Zokc2mw4rhQ&#10;YkvvJeV11hkFpy7j87XeuQa7j/3+cvqp/exLqZdRv12CCNSHZ/jR/tQK3hbzGfy/iU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AIa8UAAADdAAAADwAAAAAAAAAA&#10;AAAAAAChAgAAZHJzL2Rvd25yZXYueG1sUEsFBgAAAAAEAAQA+QAAAJMDAAAAAA==&#10;" strokeweight="1.5pt"/>
              <v:line id="Line 930" o:spid="_x0000_s1047"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mQH8UAAADdAAAADwAAAGRycy9kb3ducmV2LnhtbESPQWvCQBSE7wX/w/KE3uqm2oqkriKC&#10;Wrw1itDbI/tM0mTfxt2Npv/eLRQ8DjPzDTNf9qYRV3K+sqzgdZSAIM6trrhQcDxsXmYgfEDW2Fgm&#10;Bb/kYbkYPM0x1fbGX3TNQiEihH2KCsoQ2lRKn5dk0I9sSxy9s3UGQ5SukNrhLcJNI8dJMpUGK44L&#10;Jba0Limvs84oOHUZf//UG9dgt93tzqdL7Sd7pZ6H/eoDRKA+PML/7U+t4H02fYO/N/EJy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0mQH8UAAADdAAAADwAAAAAAAAAA&#10;AAAAAAChAgAAZHJzL2Rvd25yZXYueG1sUEsFBgAAAAAEAAQA+QAAAJMDAAAAAA==&#10;" strokeweight="1.5pt"/>
              <v:line id="Line 931" o:spid="_x0000_s1048"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U1hMUAAADdAAAADwAAAGRycy9kb3ducmV2LnhtbESPQWvCQBSE7wX/w/IEb3XTiiKpqxTB&#10;Kr0ZRfD2yD6TNNm3cXej8d93hUKPw8x8wyxWvWnEjZyvLCt4GycgiHOrKy4UHA+b1zkIH5A1NpZJ&#10;wYM8rJaDlwWm2t55T7csFCJC2KeooAyhTaX0eUkG/di2xNG7WGcwROkKqR3eI9w08j1JZtJgxXGh&#10;xJbWJeV11hkFpy7j80+9cQ12X9vt5XSt/eRbqdGw//wAEagP/+G/9k4rmM5nU3i+iU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U1hMUAAADdAAAADwAAAAAAAAAA&#10;AAAAAAChAgAAZHJzL2Rvd25yZXYueG1sUEsFBgAAAAAEAAQA+QAAAJMDAAAAAA==&#10;" strokeweight="1.5pt"/>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rPr>
      <mc:AlternateContent>
        <mc:Choice Requires="wpg">
          <w:drawing>
            <wp:anchor distT="0" distB="0" distL="114300" distR="114300" simplePos="0" relativeHeight="251655680" behindDoc="0" locked="0" layoutInCell="1" allowOverlap="1" wp14:anchorId="5C1A00E5" wp14:editId="6CA142DB">
              <wp:simplePos x="0" y="0"/>
              <wp:positionH relativeFrom="page">
                <wp:posOffset>684530</wp:posOffset>
              </wp:positionH>
              <wp:positionV relativeFrom="page">
                <wp:posOffset>353060</wp:posOffset>
              </wp:positionV>
              <wp:extent cx="6661150" cy="10079355"/>
              <wp:effectExtent l="0" t="0" r="25400" b="17145"/>
              <wp:wrapNone/>
              <wp:docPr id="5829" name="grpTitle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150" cy="10079355"/>
                        <a:chOff x="680" y="0"/>
                        <a:chExt cx="10490" cy="16273"/>
                      </a:xfrm>
                    </wpg:grpSpPr>
                    <wps:wsp>
                      <wps:cNvPr id="5830" name="Line 721"/>
                      <wps:cNvCnPr/>
                      <wps:spPr bwMode="auto">
                        <a:xfrm>
                          <a:off x="680" y="16273"/>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831" name="Group 722"/>
                      <wpg:cNvGrpSpPr>
                        <a:grpSpLocks/>
                      </wpg:cNvGrpSpPr>
                      <wpg:grpSpPr bwMode="auto">
                        <a:xfrm>
                          <a:off x="680" y="0"/>
                          <a:ext cx="10490" cy="16271"/>
                          <a:chOff x="680" y="0"/>
                          <a:chExt cx="10490" cy="16271"/>
                        </a:xfrm>
                      </wpg:grpSpPr>
                      <wps:wsp>
                        <wps:cNvPr id="5832" name="Line 734"/>
                        <wps:cNvCnPr/>
                        <wps:spPr bwMode="auto">
                          <a:xfrm>
                            <a:off x="680"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33" name="Line 737"/>
                        <wps:cNvCnPr/>
                        <wps:spPr bwMode="auto">
                          <a:xfrm>
                            <a:off x="680" y="0"/>
                            <a:ext cx="10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34" name="Line 738"/>
                        <wps:cNvCnPr/>
                        <wps:spPr bwMode="auto">
                          <a:xfrm>
                            <a:off x="11170" y="0"/>
                            <a:ext cx="0" cy="16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35" name="tbxPost1"/>
                        <wps:cNvSpPr txBox="1">
                          <a:spLocks noChangeArrowheads="1"/>
                        </wps:cNvSpPr>
                        <wps:spPr bwMode="auto">
                          <a:xfrm>
                            <a:off x="947" y="293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Pr="00EA4086" w:rsidRDefault="00255CE5" w:rsidP="00E92B86"/>
                          </w:txbxContent>
                        </wps:txbx>
                        <wps:bodyPr rot="0" vert="horz" wrap="square" lIns="91440" tIns="45720" rIns="91440" bIns="45720" anchor="t" anchorCtr="0" upright="1">
                          <a:noAutofit/>
                        </wps:bodyPr>
                      </wps:wsp>
                      <wps:wsp>
                        <wps:cNvPr id="5836" name="tbxNaim"/>
                        <wps:cNvSpPr txBox="1">
                          <a:spLocks noChangeArrowheads="1"/>
                        </wps:cNvSpPr>
                        <wps:spPr bwMode="auto">
                          <a:xfrm>
                            <a:off x="947" y="5274"/>
                            <a:ext cx="9911"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Pr="00666C4F" w:rsidRDefault="00255CE5" w:rsidP="00E92B86"/>
                          </w:txbxContent>
                        </wps:txbx>
                        <wps:bodyPr rot="0" vert="horz" wrap="square" lIns="91440" tIns="45720" rIns="91440" bIns="45720" anchor="t" anchorCtr="0" upright="1">
                          <a:noAutofit/>
                        </wps:bodyPr>
                      </wps:wsp>
                      <wps:wsp>
                        <wps:cNvPr id="5837" name="tbxOboz"/>
                        <wps:cNvSpPr txBox="1">
                          <a:spLocks noChangeArrowheads="1"/>
                        </wps:cNvSpPr>
                        <wps:spPr bwMode="auto">
                          <a:xfrm>
                            <a:off x="947" y="7614"/>
                            <a:ext cx="9911"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Default="00255CE5" w:rsidP="00E92B86"/>
                          </w:txbxContent>
                        </wps:txbx>
                        <wps:bodyPr rot="0" vert="horz" wrap="square" lIns="91440" tIns="45720" rIns="91440" bIns="45720" anchor="t" anchorCtr="0" upright="1">
                          <a:noAutofit/>
                        </wps:bodyPr>
                      </wps:wsp>
                      <wps:wsp>
                        <wps:cNvPr id="5838" name="tbxStamp3"/>
                        <wps:cNvSpPr txBox="1">
                          <a:spLocks noChangeArrowheads="1"/>
                        </wps:cNvSpPr>
                        <wps:spPr bwMode="auto">
                          <a:xfrm>
                            <a:off x="6360"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Pr="00EA4086" w:rsidRDefault="00255CE5" w:rsidP="00E92B86"/>
                          </w:txbxContent>
                        </wps:txbx>
                        <wps:bodyPr rot="0" vert="horz" wrap="square" lIns="91440" tIns="45720" rIns="91440" bIns="45720" anchor="t" anchorCtr="0" upright="1">
                          <a:noAutofit/>
                        </wps:bodyPr>
                      </wps:wsp>
                      <wps:wsp>
                        <wps:cNvPr id="5839" name="tbxPost3"/>
                        <wps:cNvSpPr txBox="1">
                          <a:spLocks noChangeArrowheads="1"/>
                        </wps:cNvSpPr>
                        <wps:spPr bwMode="auto">
                          <a:xfrm>
                            <a:off x="6355" y="11934"/>
                            <a:ext cx="4488"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Default="00255CE5" w:rsidP="00E92B86"/>
                            <w:p w:rsidR="00255CE5" w:rsidRPr="00EA4086" w:rsidRDefault="00255CE5" w:rsidP="00E92B86"/>
                          </w:txbxContent>
                        </wps:txbx>
                        <wps:bodyPr rot="0" vert="horz" wrap="square" lIns="91440" tIns="45720" rIns="91440" bIns="45720" anchor="t" anchorCtr="0" upright="1">
                          <a:noAutofit/>
                        </wps:bodyPr>
                      </wps:wsp>
                      <wps:wsp>
                        <wps:cNvPr id="5840" name="tbxStamp5"/>
                        <wps:cNvSpPr txBox="1">
                          <a:spLocks noChangeArrowheads="1"/>
                        </wps:cNvSpPr>
                        <wps:spPr bwMode="auto">
                          <a:xfrm>
                            <a:off x="947" y="11394"/>
                            <a:ext cx="448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Pr="00EA4086" w:rsidRDefault="00255CE5" w:rsidP="00E92B86"/>
                          </w:txbxContent>
                        </wps:txbx>
                        <wps:bodyPr rot="0" vert="horz" wrap="square" lIns="91440" tIns="45720" rIns="91440" bIns="45720" anchor="t" anchorCtr="0" upright="1">
                          <a:noAutofit/>
                        </wps:bodyPr>
                      </wps:wsp>
                      <wps:wsp>
                        <wps:cNvPr id="5841" name="tbxPost5"/>
                        <wps:cNvSpPr txBox="1">
                          <a:spLocks noChangeArrowheads="1"/>
                        </wps:cNvSpPr>
                        <wps:spPr bwMode="auto">
                          <a:xfrm>
                            <a:off x="947" y="11934"/>
                            <a:ext cx="4488" cy="1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Pr="00666C4F" w:rsidRDefault="00255CE5" w:rsidP="00E92B86"/>
                          </w:txbxContent>
                        </wps:txbx>
                        <wps:bodyPr rot="0" vert="horz" wrap="square" lIns="91440" tIns="45720" rIns="91440" bIns="45720" anchor="t" anchorCtr="0" upright="1">
                          <a:noAutofit/>
                        </wps:bodyPr>
                      </wps:wsp>
                      <wps:wsp>
                        <wps:cNvPr id="5842" name="tbxNote"/>
                        <wps:cNvSpPr txBox="1">
                          <a:spLocks noChangeArrowheads="1"/>
                        </wps:cNvSpPr>
                        <wps:spPr bwMode="auto">
                          <a:xfrm>
                            <a:off x="947" y="8334"/>
                            <a:ext cx="9911"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E5" w:rsidRDefault="00255CE5" w:rsidP="00E92B86">
                              <w:pPr>
                                <w:jc w:val="cente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pTitlePage" o:spid="_x0000_s1049" style="position:absolute;left:0;text-align:left;margin-left:53.9pt;margin-top:27.8pt;width:524.5pt;height:793.65pt;z-index:251655680;mso-position-horizontal-relative:page;mso-position-vertical-relative:page" coordorigin="680" coordsize="1049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">
              <v:line id="Line 721" o:spid="_x0000_s1050" style="position:absolute;visibility:visible;mso-wrap-style:square" from="680,16273" to="11168,16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G5AcIAAADdAAAADwAAAGRycy9kb3ducmV2LnhtbERPy4rCMBTdD/gP4QruxlRlBqlGEcEH&#10;s5sqgrtLc21rm5uapNr5+8liYJaH816ue9OIJzlfWVYwGScgiHOrKy4UnE+79zkIH5A1NpZJwQ95&#10;WK8Gb0tMtX3xNz2zUIgYwj5FBWUIbSqlz0sy6Me2JY7czTqDIUJXSO3wFcNNI6dJ8ikNVhwbSmxp&#10;W1JeZ51RcOkyvt7rnWuw2x8Ot8uj9rMvpUbDfrMAEagP/+I/91Er+JjP4v74Jj4B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8G5AcIAAADdAAAADwAAAAAAAAAAAAAA&#10;AAChAgAAZHJzL2Rvd25yZXYueG1sUEsFBgAAAAAEAAQA+QAAAJADAAAAAA==&#10;" strokeweight="1.5pt"/>
              <v:group id="Group 722" o:spid="_x0000_s1051" style="position:absolute;left:680;width:10490;height:16271" coordorigin="680" coordsize="10490,162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Ej/MUAAADdAAAADwAAAGRycy9kb3ducmV2LnhtbESPQYvCMBSE74L/ITzB&#10;m6ZVXKQaRURlD7KwdWHx9miebbF5KU1s67/fLAgeh5n5hllve1OJlhpXWlYQTyMQxJnVJecKfi7H&#10;yRKE88gaK8uk4EkOtpvhYI2Jth1/U5v6XAQIuwQVFN7XiZQuK8igm9qaOHg32xj0QTa51A12AW4q&#10;OYuiD2mw5LBQYE37grJ7+jAKTh12u3l8aM/32/55vSy+fs8xKTUe9bsVCE+9f4df7U+tYLGcx/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BI/zFAAAA3QAA&#10;AA8AAAAAAAAAAAAAAAAAqgIAAGRycy9kb3ducmV2LnhtbFBLBQYAAAAABAAEAPoAAACcAwAAAAA=&#10;">
                <v:line id="Line 734" o:spid="_x0000_s1052" style="position:absolute;visibility:visible;mso-wrap-style:square" from="680,0" to="680,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C7cUAAADdAAAADwAAAGRycy9kb3ducmV2LnhtbESPQWvCQBSE7wX/w/KE3uqmSoukrlIE&#10;q/RmFMHbI/tM0mTfxt2Nxn/vCkKPw8x8w8wWvWnEhZyvLCt4HyUgiHOrKy4U7HertykIH5A1NpZJ&#10;wY08LOaDlxmm2l55S5csFCJC2KeooAyhTaX0eUkG/ci2xNE7WWcwROkKqR1eI9w0cpwkn9JgxXGh&#10;xJaWJeV11hkFhy7j41+9cg12P+v16XCu/eRXqddh//0FIlAf/sPP9kYr+JhOxvB4E5+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C7cUAAADdAAAADwAAAAAAAAAA&#10;AAAAAAChAgAAZHJzL2Rvd25yZXYueG1sUEsFBgAAAAAEAAQA+QAAAJMDAAAAAA==&#10;" strokeweight="1.5pt"/>
                <v:line id="Line 737" o:spid="_x0000_s1053" style="position:absolute;visibility:visible;mso-wrap-style:square" from="680,0" to="111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MndsYAAADdAAAADwAAAGRycy9kb3ducmV2LnhtbESPT2vCQBTE7wW/w/IEb3WjoUVSVymC&#10;f+itaRF6e2SfSZrs27i70fjtu4LQ4zAzv2GW68G04kLO15YVzKYJCOLC6ppLBd9f2+cFCB+QNbaW&#10;ScGNPKxXo6clZtpe+ZMueShFhLDPUEEVQpdJ6YuKDPqp7Yijd7LOYIjSlVI7vEa4aeU8SV6lwZrj&#10;QoUdbSoqmrw3Co59zj+/zda12O/2+9Px3Pj0Q6nJeHh/AxFoCP/hR/ugFbws0hTub+IT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TJ3bGAAAA3QAAAA8AAAAAAAAA&#10;AAAAAAAAoQIAAGRycy9kb3ducmV2LnhtbFBLBQYAAAAABAAEAPkAAACUAwAAAAA=&#10;" strokeweight="1.5pt"/>
                <v:line id="Line 738" o:spid="_x0000_s1054" style="position:absolute;visibility:visible;mso-wrap-style:square" from="11170,0" to="11170,16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q/AsUAAADdAAAADwAAAGRycy9kb3ducmV2LnhtbESPQWvCQBSE7wX/w/IEb3VjbUWiq0jB&#10;Kr01iuDtkX0mMdm36e5G03/fLRQ8DjPzDbNc96YRN3K+sqxgMk5AEOdWV1woOB62z3MQPiBrbCyT&#10;gh/ysF4NnpaYanvnL7ploRARwj5FBWUIbSqlz0sy6Me2JY7exTqDIUpXSO3wHuGmkS9JMpMGK44L&#10;Jbb0XlJeZ51RcOoyPl/rrWuw+9jtLqfv2k8/lRoN+80CRKA+PML/7b1W8Dafvs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q/AsUAAADdAAAADwAAAAAAAAAA&#10;AAAAAAChAgAAZHJzL2Rvd25yZXYueG1sUEsFBgAAAAAEAAQA+QAAAJMDAAAAAA==&#10;" strokeweight="1.5pt"/>
                <v:shapetype id="_x0000_t202" coordsize="21600,21600" o:spt="202" path="m,l,21600r21600,l21600,xe">
                  <v:stroke joinstyle="miter"/>
                  <v:path gradientshapeok="t" o:connecttype="rect"/>
                </v:shapetype>
                <v:shape id="tbxPost1" o:spid="_x0000_s1055" type="#_x0000_t202" style="position:absolute;left:947;top:293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krt8UA&#10;AADdAAAADwAAAGRycy9kb3ducmV2LnhtbESPT2vCQBTE74LfYXlCb7prNWKjq0il0JPFPy309sg+&#10;k2D2bchuTfz2bkHwOMzMb5jlurOVuFLjS8caxiMFgjhzpuRcw+n4MZyD8AHZYOWYNNzIw3rV7y0x&#10;Na7lPV0PIRcRwj5FDUUIdSqlzwqy6EeuJo7e2TUWQ5RNLk2DbYTbSr4qNZMWS44LBdb0XlB2OfxZ&#10;Dd+78+/PVH3lW5vUreuUZPsmtX4ZdJsFiEBdeIYf7U+jIZlPEvh/E5+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Su3xQAAAN0AAAAPAAAAAAAAAAAAAAAAAJgCAABkcnMv&#10;ZG93bnJldi54bWxQSwUGAAAAAAQABAD1AAAAigMAAAAA&#10;" filled="f" stroked="f">
                  <v:textbox>
                    <w:txbxContent>
                      <w:p w:rsidR="00255CE5" w:rsidRPr="00EA4086" w:rsidRDefault="00255CE5" w:rsidP="00E92B86"/>
                    </w:txbxContent>
                  </v:textbox>
                </v:shape>
                <v:shape id="tbxNaim" o:spid="_x0000_s1056" type="#_x0000_t202" style="position:absolute;left:947;top:5274;width:9911;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u1wMUA&#10;AADdAAAADwAAAGRycy9kb3ducmV2LnhtbESPQWvCQBSE7wX/w/IEb3VXrWKjq4gi9NRibAveHtln&#10;Esy+DdnVxH/vFgoeh5n5hlmuO1uJGzW+dKxhNFQgiDNnSs41fB/3r3MQPiAbrByThjt5WK96L0tM&#10;jGv5QLc05CJC2CeooQihTqT0WUEW/dDVxNE7u8ZiiLLJpWmwjXBbybFSM2mx5LhQYE3bgrJLerUa&#10;fj7Pp9839ZXv7LRuXack23ep9aDfbRYgAnXhGf5vfxgN0/lkBn9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7XAxQAAAN0AAAAPAAAAAAAAAAAAAAAAAJgCAABkcnMv&#10;ZG93bnJldi54bWxQSwUGAAAAAAQABAD1AAAAigMAAAAA&#10;" filled="f" stroked="f">
                  <v:textbox>
                    <w:txbxContent>
                      <w:p w:rsidR="00255CE5" w:rsidRPr="00666C4F" w:rsidRDefault="00255CE5" w:rsidP="00E92B86"/>
                    </w:txbxContent>
                  </v:textbox>
                </v:shape>
                <v:shape id="tbxOboz" o:spid="_x0000_s1057" type="#_x0000_t202" style="position:absolute;left:947;top:7614;width:991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cQW8YA&#10;AADdAAAADwAAAGRycy9kb3ducmV2LnhtbESPT2vCQBTE7wW/w/IEb7qr1dam2YhUBE+V2j/Q2yP7&#10;TILZtyG7mvjt3YLQ4zAzv2HSVW9rcaHWV441TCcKBHHuTMWFhq/P7XgJwgdkg7Vj0nAlD6ts8JBi&#10;YlzHH3Q5hEJECPsENZQhNImUPi/Jop+4hjh6R9daDFG2hTQtdhFuazlT6klarDgulNjQW0n56XC2&#10;Gr7fj78/c7UvNnbRdK5Xku2L1Ho07NevIAL14T98b++MhsXy8Rn+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cQW8YAAADdAAAADwAAAAAAAAAAAAAAAACYAgAAZHJz&#10;L2Rvd25yZXYueG1sUEsFBgAAAAAEAAQA9QAAAIsDAAAAAA==&#10;" filled="f" stroked="f">
                  <v:textbox>
                    <w:txbxContent>
                      <w:p w:rsidR="00255CE5" w:rsidRDefault="00255CE5" w:rsidP="00E92B86"/>
                    </w:txbxContent>
                  </v:textbox>
                </v:shape>
                <v:shape id="tbxStamp3" o:spid="_x0000_s1058" type="#_x0000_t202" style="position:absolute;left:6360;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iEKcEA&#10;AADdAAAADwAAAGRycy9kb3ducmV2LnhtbERPy4rCMBTdC/5DuIK7MVFH0WoUUQZm5eAT3F2aa1ts&#10;bkqTsZ2/nywEl4fzXq5bW4on1b5wrGE4UCCIU2cKzjScT18fMxA+IBssHZOGP/KwXnU7S0yMa/hA&#10;z2PIRAxhn6CGPIQqkdKnOVn0A1cRR+7uaoshwjqTpsYmhttSjpSaSosFx4YcK9rmlD6Ov1bDZX+/&#10;XT/VT7azk6pxrZJs51Lrfq/dLEAEasNb/HJ/Gw2T2TjOjW/i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IhCnBAAAA3QAAAA8AAAAAAAAAAAAAAAAAmAIAAGRycy9kb3du&#10;cmV2LnhtbFBLBQYAAAAABAAEAPUAAACGAwAAAAA=&#10;" filled="f" stroked="f">
                  <v:textbox>
                    <w:txbxContent>
                      <w:p w:rsidR="00255CE5" w:rsidRPr="00EA4086" w:rsidRDefault="00255CE5" w:rsidP="00E92B86"/>
                    </w:txbxContent>
                  </v:textbox>
                </v:shape>
                <v:shape id="tbxPost3" o:spid="_x0000_s1059" type="#_x0000_t202" style="position:absolute;left:6355;top:11934;width:4488;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QhssUA&#10;AADdAAAADwAAAGRycy9kb3ducmV2LnhtbESPW2sCMRSE3wX/QzgF3zTpxeJujSItgk+K2wv07bA5&#10;e6Gbk2UT3e2/N4Lg4zAz3zDL9WAbcabO1441PM4UCOLcmZpLDV+f2+kChA/IBhvHpOGfPKxX49ES&#10;U+N6PtI5C6WIEPYpaqhCaFMpfV6RRT9zLXH0CtdZDFF2pTQd9hFuG/mk1Ku0WHNcqLCl94ryv+xk&#10;NXzvi9+fF3UoP+y87d2gJNtEaj15GDZvIAIN4R6+tXdGw3zxnMD1TXwCcnU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BCGyxQAAAN0AAAAPAAAAAAAAAAAAAAAAAJgCAABkcnMv&#10;ZG93bnJldi54bWxQSwUGAAAAAAQABAD1AAAAigMAAAAA&#10;" filled="f" stroked="f">
                  <v:textbox>
                    <w:txbxContent>
                      <w:p w:rsidR="00255CE5" w:rsidRDefault="00255CE5" w:rsidP="00E92B86"/>
                      <w:p w:rsidR="00255CE5" w:rsidRPr="00EA4086" w:rsidRDefault="00255CE5" w:rsidP="00E92B86"/>
                    </w:txbxContent>
                  </v:textbox>
                </v:shape>
                <v:shape id="tbxStamp5" o:spid="_x0000_s1060" type="#_x0000_t202" style="position:absolute;left:947;top:11394;width:44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j7UsEA&#10;AADdAAAADwAAAGRycy9kb3ducmV2LnhtbERPy4rCMBTdC/5DuMLsNHFQ0WoUcRBm5WB9gLtLc22L&#10;zU1poq1/P1kMzPJw3qtNZyvxosaXjjWMRwoEceZMybmG82k/nIPwAdlg5Zg0vMnDZt3vrTAxruUj&#10;vdKQixjCPkENRQh1IqXPCrLoR64mjtzdNRZDhE0uTYNtDLeV/FRqJi2WHBsKrGlXUPZIn1bD5XC/&#10;XSfqJ/+y07p1nZJsF1Lrj0G3XYII1IV/8Z/722iYzidxf3wTn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4+1LBAAAA3QAAAA8AAAAAAAAAAAAAAAAAmAIAAGRycy9kb3du&#10;cmV2LnhtbFBLBQYAAAAABAAEAPUAAACGAwAAAAA=&#10;" filled="f" stroked="f">
                  <v:textbox>
                    <w:txbxContent>
                      <w:p w:rsidR="00255CE5" w:rsidRPr="00EA4086" w:rsidRDefault="00255CE5" w:rsidP="00E92B86"/>
                    </w:txbxContent>
                  </v:textbox>
                </v:shape>
                <v:shape id="tbxPost5" o:spid="_x0000_s1061" type="#_x0000_t202" style="position:absolute;left:947;top:11934;width:4488;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eycYA&#10;AADdAAAADwAAAGRycy9kb3ducmV2LnhtbESPzWrDMBCE74G+g9hCb7GUkgTXiWxCSqGnlvw0kNti&#10;bWwTa2UsNXbfvioUchxm5htmXYy2FTfqfeNYwyxRIIhLZxquNBwPb9MUhA/IBlvHpOGHPBT5w2SN&#10;mXED7+i2D5WIEPYZaqhD6DIpfVmTRZ+4jjh6F9dbDFH2lTQ9DhFuW/ms1FJabDgu1NjRtqbyuv+2&#10;Gr4+LufTXH1Wr3bRDW5Uku2L1PrpcdysQAQawz383343GhbpfAZ/b+IT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ReycYAAADdAAAADwAAAAAAAAAAAAAAAACYAgAAZHJz&#10;L2Rvd25yZXYueG1sUEsFBgAAAAAEAAQA9QAAAIsDAAAAAA==&#10;" filled="f" stroked="f">
                  <v:textbox>
                    <w:txbxContent>
                      <w:p w:rsidR="00255CE5" w:rsidRPr="00666C4F" w:rsidRDefault="00255CE5" w:rsidP="00E92B86"/>
                    </w:txbxContent>
                  </v:textbox>
                </v:shape>
                <v:shape id="tbxNote" o:spid="_x0000_s1062" type="#_x0000_t202" style="position:absolute;left:947;top:8334;width:9911;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bAvsYA&#10;AADdAAAADwAAAGRycy9kb3ducmV2LnhtbESPzWrDMBCE74G8g9hCb4nUEIfUjWxCQqGnhvy00Nti&#10;bWxTa2Us1XbfPioUchxm5htmk4+2ET11vnas4WmuQBAXztRcaricX2drED4gG2wck4Zf8pBn08kG&#10;U+MGPlJ/CqWIEPYpaqhCaFMpfVGRRT93LXH0rq6zGKLsSmk6HCLcNnKh1EparDkuVNjSrqLi+/Rj&#10;NXy8X78+l+pQ7m3SDm5Uku2z1PrxYdy+gAg0hnv4v/1mNCTr5QL+3sQn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bAvsYAAADdAAAADwAAAAAAAAAAAAAAAACYAgAAZHJz&#10;L2Rvd25yZXYueG1sUEsFBgAAAAAEAAQA9QAAAIsDAAAAAA==&#10;" filled="f" stroked="f">
                  <v:textbox>
                    <w:txbxContent>
                      <w:p w:rsidR="00255CE5" w:rsidRDefault="00255CE5" w:rsidP="00E92B86">
                        <w:pPr>
                          <w:jc w:val="center"/>
                        </w:pPr>
                      </w:p>
                    </w:txbxContent>
                  </v:textbox>
                </v:shape>
              </v:group>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57216" behindDoc="0" locked="0" layoutInCell="1" allowOverlap="1" wp14:anchorId="263D619E" wp14:editId="1BD6A7C4">
              <wp:simplePos x="0" y="0"/>
              <wp:positionH relativeFrom="page">
                <wp:posOffset>552450</wp:posOffset>
              </wp:positionH>
              <wp:positionV relativeFrom="page">
                <wp:posOffset>438150</wp:posOffset>
              </wp:positionV>
              <wp:extent cx="6893560" cy="10039985"/>
              <wp:effectExtent l="0" t="0" r="21590" b="37465"/>
              <wp:wrapNone/>
              <wp:docPr id="5889"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5890"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pPr>
                          </w:p>
                        </w:txbxContent>
                      </wps:txbx>
                      <wps:bodyPr rot="0" vert="horz" wrap="square" lIns="0" tIns="0" rIns="0" bIns="0" anchor="t" anchorCtr="0" upright="1">
                        <a:noAutofit/>
                      </wps:bodyPr>
                    </wps:wsp>
                    <wps:wsp>
                      <wps:cNvPr id="5891"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rsidRPr="003259C2">
                              <w:t>Изм</w:t>
                            </w:r>
                            <w:r>
                              <w:t>.</w:t>
                            </w:r>
                          </w:p>
                        </w:txbxContent>
                      </wps:txbx>
                      <wps:bodyPr rot="0" vert="horz" wrap="square" lIns="0" tIns="18000" rIns="0" bIns="0" anchor="t" anchorCtr="0" upright="1">
                        <a:noAutofit/>
                      </wps:bodyPr>
                    </wps:wsp>
                    <wps:wsp>
                      <wps:cNvPr id="5892"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pPr>
                          </w:p>
                        </w:txbxContent>
                      </wps:txbx>
                      <wps:bodyPr rot="0" vert="horz" wrap="square" lIns="0" tIns="0" rIns="0" bIns="0" anchor="t" anchorCtr="0" upright="1">
                        <a:noAutofit/>
                      </wps:bodyPr>
                    </wps:wsp>
                    <wps:wsp>
                      <wps:cNvPr id="5893"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rsidRPr="003259C2">
                              <w:t>Лист</w:t>
                            </w:r>
                          </w:p>
                        </w:txbxContent>
                      </wps:txbx>
                      <wps:bodyPr rot="0" vert="horz" wrap="square" lIns="0" tIns="0" rIns="0" bIns="0" anchor="t" anchorCtr="0" upright="1">
                        <a:noAutofit/>
                      </wps:bodyPr>
                    </wps:wsp>
                    <wps:wsp>
                      <wps:cNvPr id="5894"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E92B86">
                            <w:pPr>
                              <w:pStyle w:val="T"/>
                              <w:jc w:val="both"/>
                              <w:rPr>
                                <w:szCs w:val="20"/>
                              </w:rPr>
                            </w:pPr>
                          </w:p>
                        </w:txbxContent>
                      </wps:txbx>
                      <wps:bodyPr rot="0" vert="horz" wrap="square" lIns="0" tIns="0" rIns="0" bIns="0" anchor="t" anchorCtr="0" upright="1">
                        <a:noAutofit/>
                      </wps:bodyPr>
                    </wps:wsp>
                    <wps:wsp>
                      <wps:cNvPr id="5895"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t xml:space="preserve">№ </w:t>
                            </w:r>
                            <w:r w:rsidRPr="003259C2">
                              <w:t>докум</w:t>
                            </w:r>
                            <w:r>
                              <w:t>.</w:t>
                            </w:r>
                          </w:p>
                        </w:txbxContent>
                      </wps:txbx>
                      <wps:bodyPr rot="0" vert="horz" wrap="square" lIns="0" tIns="0" rIns="0" bIns="0" anchor="t" anchorCtr="0" upright="1">
                        <a:noAutofit/>
                      </wps:bodyPr>
                    </wps:wsp>
                    <wps:wsp>
                      <wps:cNvPr id="5896"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E92B86">
                            <w:pPr>
                              <w:pStyle w:val="T"/>
                            </w:pPr>
                          </w:p>
                        </w:txbxContent>
                      </wps:txbx>
                      <wps:bodyPr rot="0" vert="horz" wrap="square" lIns="0" tIns="0" rIns="0" bIns="0" anchor="t" anchorCtr="0" upright="1">
                        <a:noAutofit/>
                      </wps:bodyPr>
                    </wps:wsp>
                    <wps:wsp>
                      <wps:cNvPr id="5897"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E92B86">
                            <w:pPr>
                              <w:pStyle w:val="T1"/>
                              <w:spacing w:before="0"/>
                            </w:pPr>
                            <w:r>
                              <w:t>Подп.</w:t>
                            </w:r>
                          </w:p>
                        </w:txbxContent>
                      </wps:txbx>
                      <wps:bodyPr rot="0" vert="horz" wrap="square" lIns="0" tIns="0" rIns="0" bIns="0" anchor="t" anchorCtr="0" upright="1">
                        <a:noAutofit/>
                      </wps:bodyPr>
                    </wps:wsp>
                    <wps:wsp>
                      <wps:cNvPr id="5898"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E92B86">
                            <w:pPr>
                              <w:pStyle w:val="T2"/>
                              <w:rPr>
                                <w:b/>
                              </w:rPr>
                            </w:pPr>
                          </w:p>
                        </w:txbxContent>
                      </wps:txbx>
                      <wps:bodyPr rot="0" vert="horz" wrap="square" lIns="0" tIns="18000" rIns="0" bIns="0" anchor="t" anchorCtr="0" upright="1">
                        <a:noAutofit/>
                      </wps:bodyPr>
                    </wps:wsp>
                    <wps:wsp>
                      <wps:cNvPr id="5899"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E92B86">
                            <w:pPr>
                              <w:pStyle w:val="T1"/>
                              <w:spacing w:before="0"/>
                            </w:pPr>
                            <w:r w:rsidRPr="003259C2">
                              <w:t>Дата</w:t>
                            </w:r>
                          </w:p>
                        </w:txbxContent>
                      </wps:txbx>
                      <wps:bodyPr rot="0" vert="horz" wrap="square" lIns="0" tIns="0" rIns="0" bIns="0" anchor="t" anchorCtr="0" upright="1">
                        <a:noAutofit/>
                      </wps:bodyPr>
                    </wps:wsp>
                    <wps:wsp>
                      <wps:cNvPr id="5900"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wps:txbx>
                      <wps:bodyPr rot="0" vert="horz" wrap="square" lIns="91440" tIns="0" rIns="91440" bIns="0" anchor="t" anchorCtr="0" upright="1">
                        <a:noAutofit/>
                      </wps:bodyPr>
                    </wps:wsp>
                    <wps:wsp>
                      <wps:cNvPr id="6033"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E92B86">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6034"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E92B86">
                            <w:pPr>
                              <w:pStyle w:val="T5"/>
                            </w:pPr>
                            <w:r>
                              <w:rPr>
                                <w:szCs w:val="20"/>
                              </w:rPr>
                              <w:fldChar w:fldCharType="begin"/>
                            </w:r>
                            <w:r>
                              <w:rPr>
                                <w:szCs w:val="20"/>
                              </w:rPr>
                              <w:instrText xml:space="preserve"> PAGE  </w:instrText>
                            </w:r>
                            <w:r>
                              <w:rPr>
                                <w:szCs w:val="20"/>
                              </w:rPr>
                              <w:fldChar w:fldCharType="separate"/>
                            </w:r>
                            <w:r>
                              <w:rPr>
                                <w:noProof/>
                                <w:szCs w:val="20"/>
                              </w:rPr>
                              <w:t>53</w:t>
                            </w:r>
                            <w:r>
                              <w:rPr>
                                <w:szCs w:val="20"/>
                              </w:rPr>
                              <w:fldChar w:fldCharType="end"/>
                            </w:r>
                          </w:p>
                          <w:p w:rsidR="00255CE5" w:rsidRPr="00AB2209" w:rsidRDefault="00255CE5" w:rsidP="00E92B86"/>
                        </w:txbxContent>
                      </wps:txbx>
                      <wps:bodyPr rot="0" vert="horz" wrap="square" lIns="0" tIns="0" rIns="0" bIns="0" anchor="t" anchorCtr="0" upright="1">
                        <a:noAutofit/>
                      </wps:bodyPr>
                    </wps:wsp>
                    <wps:wsp>
                      <wps:cNvPr id="6035"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36"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37"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38"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39"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40"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E92B86">
                            <w:pPr>
                              <w:pStyle w:val="T6"/>
                              <w:rPr>
                                <w:lang w:val="en-US"/>
                              </w:rPr>
                            </w:pPr>
                          </w:p>
                        </w:txbxContent>
                      </wps:txbx>
                      <wps:bodyPr rot="0" vert="horz" wrap="square" lIns="0" tIns="0" rIns="0" bIns="0" anchor="t" anchorCtr="0" upright="1">
                        <a:noAutofit/>
                      </wps:bodyPr>
                    </wps:wsp>
                    <wps:wsp>
                      <wps:cNvPr id="6041"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42"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43"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63" style="position:absolute;left:0;text-align:left;margin-left:43.5pt;margin-top:34.5pt;width:542.8pt;height:790.55pt;z-index:251657216;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">
              <v:shapetype id="_x0000_t202" coordsize="21600,21600" o:spt="202" path="m,l,21600r21600,l21600,xe">
                <v:stroke joinstyle="miter"/>
                <v:path gradientshapeok="t" o:connecttype="rect"/>
              </v:shapetype>
              <v:shape id="tbxIzme" o:spid="_x0000_s1064"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S0iMYA&#10;AADdAAAADwAAAGRycy9kb3ducmV2LnhtbERPu27CMBTdK/EP1kXqVhxaQDTEQaGCwtCFR5HYLvEl&#10;iRpfp7EL6d/XA1LHo/NO5p2pxZVaV1lWMBxEIIhzqysuFBz2q6cpCOeRNdaWScEvOZinvYcEY21v&#10;vKXrzhcihLCLUUHpfRNL6fKSDLqBbYgDd7GtQR9gW0jd4i2Em1o+R9FEGqw4NJTY0FtJ+dfuxyjY&#10;nher7JR/vq+/R8tsMlp2x4+XhVKP/S6bgfDU+X/x3b3RCsbT17A/vAlP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S0iMYAAADdAAAADwAAAAAAAAAAAAAAAACYAgAAZHJz&#10;L2Rvd25yZXYueG1sUEsFBgAAAAAEAAQA9QAAAIsDAAAAAA==&#10;" filled="f" strokeweight=".5pt">
                <v:textbox inset="0,0,0,0">
                  <w:txbxContent>
                    <w:p w:rsidR="00255CE5" w:rsidRPr="0071048A" w:rsidRDefault="00255CE5" w:rsidP="00E92B86">
                      <w:pPr>
                        <w:pStyle w:val="T"/>
                      </w:pPr>
                    </w:p>
                  </w:txbxContent>
                </v:textbox>
              </v:shape>
              <v:shape id="Text Box 899" o:spid="_x0000_s1065"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JhccA&#10;AADdAAAADwAAAGRycy9kb3ducmV2LnhtbESPS4vCQBCE78L+h6EFb2aisGKyjiKCD/Sk+5C99WZ6&#10;k7CZnmxm1PjvHUHwWFTVV9Rk1ppKnKlxpWUFgygGQZxZXXKu4ON92R+DcB5ZY2WZFFzJwWz60plg&#10;qu2F93Q++FwECLsUFRTe16mULivIoItsTRy8X9sY9EE2udQNXgLcVHIYxyNpsOSwUGBNi4Kyv8PJ&#10;KLDtfzxa/ZzyT50ct7vj91p/JWulet12/gbCU+uf4Ud7oxW8jpMB3N+EJyC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FiYXHAAAA3QAAAA8AAAAAAAAAAAAAAAAAmAIAAGRy&#10;cy9kb3ducmV2LnhtbFBLBQYAAAAABAAEAPUAAACMAwAAAAA=&#10;" filled="f" strokeweight="1.5pt">
                <v:textbox inset="0,.5mm,0,0">
                  <w:txbxContent>
                    <w:p w:rsidR="00255CE5" w:rsidRPr="00DF2469" w:rsidRDefault="00255CE5" w:rsidP="00E92B86">
                      <w:pPr>
                        <w:pStyle w:val="T1"/>
                        <w:spacing w:before="0"/>
                      </w:pPr>
                      <w:r w:rsidRPr="003259C2">
                        <w:t>Изм</w:t>
                      </w:r>
                      <w:r>
                        <w:t>.</w:t>
                      </w:r>
                    </w:p>
                  </w:txbxContent>
                </v:textbox>
              </v:shape>
              <v:shape id="tbxIzml" o:spid="_x0000_s1066"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PZMgA&#10;AADdAAAADwAAAGRycy9kb3ducmV2LnhtbESPQWvCQBSE74L/YXlCb2ajtWKjq0TRtgcv2ip4e82+&#10;JsHs2zS71fjvuwWhx2FmvmFmi9ZU4kKNKy0rGEQxCOLM6pJzBR/vm/4EhPPIGivLpOBGDhbzbmeG&#10;ibZX3tFl73MRIOwSVFB4XydSuqwggy6yNXHwvmxj0AfZ5FI3eA1wU8lhHI+lwZLDQoE1rQrKzvsf&#10;o2D3udykp+zw8vo9Wqfj0bo9bh+XSj302nQKwlPr/8P39ptW8DR5HsLfm/AE5P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2o9kyAAAAN0AAAAPAAAAAAAAAAAAAAAAAJgCAABk&#10;cnMvZG93bnJldi54bWxQSwUGAAAAAAQABAD1AAAAjQMAAAAA&#10;" filled="f" strokeweight=".5pt">
                <v:textbox inset="0,0,0,0">
                  <w:txbxContent>
                    <w:p w:rsidR="00255CE5" w:rsidRPr="0071048A" w:rsidRDefault="00255CE5" w:rsidP="00E92B86">
                      <w:pPr>
                        <w:pStyle w:val="T"/>
                      </w:pPr>
                    </w:p>
                  </w:txbxContent>
                </v:textbox>
              </v:shape>
              <v:shape id="Text Box 901" o:spid="_x0000_s1067"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C7MQA&#10;AADdAAAADwAAAGRycy9kb3ducmV2LnhtbESPQYvCMBSE78L+h/AWvGm62ypajbIIFS8erPsD3jbP&#10;tm7zUpqo9d8bQfA4zMw3zHLdm0ZcqXO1ZQVf4wgEcWF1zaWC32M2moFwHlljY5kU3MnBevUxWGKq&#10;7Y0PdM19KQKEXYoKKu/bVEpXVGTQjW1LHLyT7Qz6ILtS6g5vAW4a+R1FU2mw5rBQYUubior//GIU&#10;bM9/h6iOk2SeFfHE7M+J1tlOqeFn/7MA4an37/CrvdMKJrN5DM8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DwuzEAAAA3QAAAA8AAAAAAAAAAAAAAAAAmAIAAGRycy9k&#10;b3ducmV2LnhtbFBLBQYAAAAABAAEAPUAAACJAwAAAAA=&#10;" filled="f" strokeweight="1.5pt">
                <v:textbox inset="0,0,0,0">
                  <w:txbxContent>
                    <w:p w:rsidR="00255CE5" w:rsidRPr="00DF2469" w:rsidRDefault="00255CE5" w:rsidP="00E92B86">
                      <w:pPr>
                        <w:pStyle w:val="T1"/>
                        <w:spacing w:before="0"/>
                      </w:pPr>
                      <w:r w:rsidRPr="003259C2">
                        <w:t>Лист</w:t>
                      </w:r>
                    </w:p>
                  </w:txbxContent>
                </v:textbox>
              </v:shape>
              <v:shape id="tbxNdoc" o:spid="_x0000_s1068"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yi8gA&#10;AADdAAAADwAAAGRycy9kb3ducmV2LnhtbESPzW7CMBCE75X6DtZW6q040BRBwKBQQcuhF34lbku8&#10;JBHxOo1dSN++roTEcTQz32jG09ZU4kKNKy0r6HYiEMSZ1SXnCrabxcsAhPPIGivLpOCXHEwnjw9j&#10;TLS98ooua5+LAGGXoILC+zqR0mUFGXQdWxMH72Qbgz7IJpe6wWuAm0r2oqgvDZYcFgqs6b2g7Lz+&#10;MQpWx9kiPWS7j8/veJ7243m7/3qdKfX81KYjEJ5afw/f2kut4G0wjOH/TXgCcv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f7KLyAAAAN0AAAAPAAAAAAAAAAAAAAAAAJgCAABk&#10;cnMvZG93bnJldi54bWxQSwUGAAAAAAQABAD1AAAAjQMAAAAA&#10;" filled="f" strokeweight=".5pt">
                <v:textbox inset="0,0,0,0">
                  <w:txbxContent>
                    <w:p w:rsidR="00255CE5" w:rsidRPr="0071048A" w:rsidRDefault="00255CE5" w:rsidP="00E92B86">
                      <w:pPr>
                        <w:pStyle w:val="T"/>
                        <w:jc w:val="both"/>
                        <w:rPr>
                          <w:szCs w:val="20"/>
                        </w:rPr>
                      </w:pPr>
                    </w:p>
                  </w:txbxContent>
                </v:textbox>
              </v:shape>
              <v:shape id="Text Box 903" o:spid="_x0000_s1069"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b/A8YA&#10;AADdAAAADwAAAGRycy9kb3ducmV2LnhtbESPQWuDQBSE74H+h+UVeotrGy3GZCMlYMmlh9j+gFf3&#10;RU3dt+JujPn32UKhx2FmvmG2xWx6MdHoOssKnqMYBHFtdceNgq/PcpmBcB5ZY2+ZFNzIQbF7WGwx&#10;1/bKR5oq34gAYZejgtb7IZfS1S0ZdJEdiIN3sqNBH+TYSD3iNcBNL1/i+FUa7DgstDjQvqX6p7oY&#10;Be/n72PcrZJkXdar1HycE63Lg1JPj/PbBoSn2f+H/9oHrSDN1in8vglPQO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Wb/A8YAAADdAAAADwAAAAAAAAAAAAAAAACYAgAAZHJz&#10;L2Rvd25yZXYueG1sUEsFBgAAAAAEAAQA9QAAAIsDAAAAAA==&#10;" filled="f" strokeweight="1.5pt">
                <v:textbox inset="0,0,0,0">
                  <w:txbxContent>
                    <w:p w:rsidR="00255CE5" w:rsidRPr="00DF2469" w:rsidRDefault="00255CE5" w:rsidP="00E92B86">
                      <w:pPr>
                        <w:pStyle w:val="T1"/>
                        <w:spacing w:before="0"/>
                      </w:pPr>
                      <w:r>
                        <w:t xml:space="preserve">№ </w:t>
                      </w:r>
                      <w:r w:rsidRPr="003259C2">
                        <w:t>докум</w:t>
                      </w:r>
                      <w:r>
                        <w:t>.</w:t>
                      </w:r>
                    </w:p>
                  </w:txbxContent>
                </v:textbox>
              </v:shape>
              <v:shape id="Text Box 904" o:spid="_x0000_s1070"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JZ8kA&#10;AADdAAAADwAAAGRycy9kb3ducmV2LnhtbESPzW7CMBCE70i8g7VIvYFDSyNIMShU0HLgwl+l3rbx&#10;kkSN12nsQvr2NRISx9HMfKOZzltTiTM1rrSsYDiIQBBnVpecKzjsV/0xCOeRNVaWScEfOZjPup0p&#10;JtpeeEvnnc9FgLBLUEHhfZ1I6bKCDLqBrYmDd7KNQR9kk0vd4CXATSUfoyiWBksOCwXW9FpQ9r37&#10;NQq2X4tV+pkd395/Rss0Hi3bj83TQqmHXpu+gPDU+nv41l5rBc/jSQzXN+EJyNk/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uGJZ8kAAADdAAAADwAAAAAAAAAAAAAAAACYAgAA&#10;ZHJzL2Rvd25yZXYueG1sUEsFBgAAAAAEAAQA9QAAAI4DAAAAAA==&#10;" filled="f" strokeweight=".5pt">
                <v:textbox inset="0,0,0,0">
                  <w:txbxContent>
                    <w:p w:rsidR="00255CE5" w:rsidRDefault="00255CE5" w:rsidP="00E92B86">
                      <w:pPr>
                        <w:pStyle w:val="T"/>
                      </w:pPr>
                    </w:p>
                  </w:txbxContent>
                </v:textbox>
              </v:shape>
              <v:shape id="Text Box 905" o:spid="_x0000_s1071"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jE78YA&#10;AADdAAAADwAAAGRycy9kb3ducmV2LnhtbESPzW7CMBCE70h9B2sr9QZOS2hJGgdVlYK49EDaB1ji&#10;JT+N11HsQnh7jFSJ42hmvtFkm8n04kSjay0reF5EIIgrq1uuFfx8F/M1COeRNfaWScGFHGzyh1mG&#10;qbZn3tOp9LUIEHYpKmi8H1IpXdWQQbewA3HwjnY06IMca6lHPAe46eVLFL1Kgy2HhQYH+myo+i3/&#10;jIJtd9hH7TKOk6JarsxXF2td7JR6epw+3kF4mvw9/N/eaQWrdfIGtzfhCc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jE78YAAADdAAAADwAAAAAAAAAAAAAAAACYAgAAZHJz&#10;L2Rvd25yZXYueG1sUEsFBgAAAAAEAAQA9QAAAIsDAAAAAA==&#10;" filled="f" strokeweight="1.5pt">
                <v:textbox inset="0,0,0,0">
                  <w:txbxContent>
                    <w:p w:rsidR="00255CE5" w:rsidRPr="00DF2469" w:rsidRDefault="00255CE5" w:rsidP="00E92B86">
                      <w:pPr>
                        <w:pStyle w:val="T1"/>
                        <w:spacing w:before="0"/>
                      </w:pPr>
                      <w:r>
                        <w:t>Подп.</w:t>
                      </w:r>
                    </w:p>
                  </w:txbxContent>
                </v:textbox>
              </v:shape>
              <v:shape id="tbxIzmd" o:spid="_x0000_s1072"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aB8EA&#10;AADdAAAADwAAAGRycy9kb3ducmV2LnhtbERPu27CMBTdK/EP1kXqVhxoiyBgEAIhsfJY2C7xJQ7E&#10;1yE2YP6+HpA6Hp33dB5tLR7U+sqxgn4vA0FcOF1xqeCwX3+NQPiArLF2TApe5GE+63xMMdfuyVt6&#10;7EIpUgj7HBWYEJpcSl8Ysuh7riFO3Nm1FkOCbSl1i88Ubms5yLKhtFhxajDY0NJQcd3drYJ4ea36&#10;3+cjhXvzczW4v53i8abUZzcuJiACxfAvfrs3WsHvaJzmpjfpCcj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5WgfBAAAA3QAAAA8AAAAAAAAAAAAAAAAAmAIAAGRycy9kb3du&#10;cmV2LnhtbFBLBQYAAAAABAAEAPUAAACGAwAAAAA=&#10;" filled="f" strokeweight=".5pt">
                <v:textbox inset="0,.5mm,0,0">
                  <w:txbxContent>
                    <w:p w:rsidR="00255CE5" w:rsidRPr="00C12C3D" w:rsidRDefault="00255CE5" w:rsidP="00E92B86">
                      <w:pPr>
                        <w:pStyle w:val="T2"/>
                        <w:rPr>
                          <w:b/>
                        </w:rPr>
                      </w:pPr>
                    </w:p>
                  </w:txbxContent>
                </v:textbox>
              </v:shape>
              <v:shape id="Text Box 907" o:spid="_x0000_s1073"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v1BsQA&#10;AADdAAAADwAAAGRycy9kb3ducmV2LnhtbESPzYrCQBCE7wu+w9CCt3WiRjHRUWQh4sWDPw/QZtok&#10;mukJmVnNvv2OIHgsquorarnuTC0e1LrKsoLRMAJBnFtdcaHgfMq+5yCcR9ZYWyYFf+Rgvep9LTHV&#10;9skHehx9IQKEXYoKSu+bVEqXl2TQDW1DHLyrbQ36INtC6hafAW5qOY6imTRYcVgosaGfkvL78dco&#10;2N4uh6iaxHGS5ZOp2d9irbOdUoN+t1mA8NT5T/jd3mkF03mSwOtNe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r9QbEAAAA3QAAAA8AAAAAAAAAAAAAAAAAmAIAAGRycy9k&#10;b3ducmV2LnhtbFBLBQYAAAAABAAEAPUAAACJAwAAAAA=&#10;" filled="f" strokeweight="1.5pt">
                <v:textbox inset="0,0,0,0">
                  <w:txbxContent>
                    <w:p w:rsidR="00255CE5" w:rsidRPr="009155C0" w:rsidRDefault="00255CE5" w:rsidP="00E92B86">
                      <w:pPr>
                        <w:pStyle w:val="T1"/>
                        <w:spacing w:before="0"/>
                      </w:pPr>
                      <w:r w:rsidRPr="003259C2">
                        <w:t>Дата</w:t>
                      </w:r>
                    </w:p>
                  </w:txbxContent>
                </v:textbox>
              </v:shape>
              <v:shape id="tbxOboz" o:spid="_x0000_s1074"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S7a8QA&#10;AADdAAAADwAAAGRycy9kb3ducmV2LnhtbERPy2rCQBTdF/yH4QpuSjOpYLHRUYqiFQqi1mZ9yVyT&#10;YOZOyIx5/H1nUejycN7LdW8q0VLjSssKXqMYBHFmdcm5guv37mUOwnlkjZVlUjCQg/Vq9LTERNuO&#10;z9RefC5CCLsEFRTe14mULivIoItsTRy4m20M+gCbXOoGuxBuKjmN4zdpsOTQUGBNm4Ky++VhFHTD&#10;oR7Ox6/09Pz5kw7XTbvdz25KTcb9xwKEp97/i//cB61g9h6H/eFNe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Uu2vEAAAA3QAAAA8AAAAAAAAAAAAAAAAAmAIAAGRycy9k&#10;b3ducmV2LnhtbFBLBQYAAAAABAAEAPUAAACJAw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v:textbox>
              </v:shape>
              <v:shape id="Text Box 909" o:spid="_x0000_s1075"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G59MUA&#10;AADdAAAADwAAAGRycy9kb3ducmV2LnhtbESPzW7CMBCE70i8g7VIvYFNE1AbYhCqlIoLB2gfYBtv&#10;80O8jmIX0revKyFxHM3MN5p8N9pOXGnwjWMNy4UCQVw603Cl4fOjmL+A8AHZYOeYNPySh912Oskx&#10;M+7GJ7qeQyUihH2GGuoQ+kxKX9Zk0S9cTxy9bzdYDFEOlTQD3iLcdvJZqbW02HBcqLGnt5rKy/nH&#10;anhvv06qSdL0tSiTlT22qTHFQeun2bjfgAg0hkf43j4YDWuVJPD/Jj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0bn0xQAAAN0AAAAPAAAAAAAAAAAAAAAAAJgCAABkcnMv&#10;ZG93bnJldi54bWxQSwUGAAAAAAQABAD1AAAAigMAAAAA&#10;" filled="f" strokeweight="1.5pt">
                <v:textbox inset="0,0,0,0">
                  <w:txbxContent>
                    <w:p w:rsidR="00255CE5" w:rsidRPr="00363BE3" w:rsidRDefault="00255CE5" w:rsidP="00E92B86">
                      <w:pPr>
                        <w:pStyle w:val="T20"/>
                        <w:rPr>
                          <w:sz w:val="20"/>
                          <w:szCs w:val="20"/>
                        </w:rPr>
                      </w:pPr>
                      <w:r w:rsidRPr="00363BE3">
                        <w:rPr>
                          <w:sz w:val="20"/>
                          <w:szCs w:val="20"/>
                        </w:rPr>
                        <w:t>Лист</w:t>
                      </w:r>
                    </w:p>
                  </w:txbxContent>
                </v:textbox>
              </v:shape>
              <v:shape id="tbxPage" o:spid="_x0000_s1076"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hgMUA&#10;AADdAAAADwAAAGRycy9kb3ducmV2LnhtbESPzW7CMBCE70i8g7VIvYFNE1AbYhCqlIoLB2gfYBtv&#10;80O8jmIX0revKyFxHM3MN5p8N9pOXGnwjWMNy4UCQVw603Cl4fOjmL+A8AHZYOeYNPySh912Oskx&#10;M+7GJ7qeQyUihH2GGuoQ+kxKX9Zk0S9cTxy9bzdYDFEOlTQD3iLcdvJZqbW02HBcqLGnt5rKy/nH&#10;anhvv06qSdL0tSiTlT22qTHFQeun2bjfgAg0hkf43j4YDWuVpPD/Jj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CGAxQAAAN0AAAAPAAAAAAAAAAAAAAAAAJgCAABkcnMv&#10;ZG93bnJldi54bWxQSwUGAAAAAAQABAD1AAAAigMAAAAA&#10;" filled="f" strokeweight="1.5pt">
                <v:textbox inset="0,0,0,0">
                  <w:txbxContent>
                    <w:p w:rsidR="00255CE5" w:rsidRPr="00DC0A04" w:rsidRDefault="00255CE5" w:rsidP="00E92B86">
                      <w:pPr>
                        <w:pStyle w:val="T5"/>
                      </w:pPr>
                      <w:r>
                        <w:rPr>
                          <w:szCs w:val="20"/>
                        </w:rPr>
                        <w:fldChar w:fldCharType="begin"/>
                      </w:r>
                      <w:r>
                        <w:rPr>
                          <w:szCs w:val="20"/>
                        </w:rPr>
                        <w:instrText xml:space="preserve"> PAGE  </w:instrText>
                      </w:r>
                      <w:r>
                        <w:rPr>
                          <w:szCs w:val="20"/>
                        </w:rPr>
                        <w:fldChar w:fldCharType="separate"/>
                      </w:r>
                      <w:r>
                        <w:rPr>
                          <w:noProof/>
                          <w:szCs w:val="20"/>
                        </w:rPr>
                        <w:t>53</w:t>
                      </w:r>
                      <w:r>
                        <w:rPr>
                          <w:szCs w:val="20"/>
                        </w:rPr>
                        <w:fldChar w:fldCharType="end"/>
                      </w:r>
                    </w:p>
                    <w:p w:rsidR="00255CE5" w:rsidRPr="00AB2209" w:rsidRDefault="00255CE5" w:rsidP="00E92B86"/>
                  </w:txbxContent>
                </v:textbox>
              </v:shape>
              <v:line id="Line 921" o:spid="_x0000_s1077"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I+u8UAAADdAAAADwAAAGRycy9kb3ducmV2LnhtbESPT2vCQBTE7wW/w/IEb3WjUpHoKiL4&#10;h96aFsHbI/tMYrJv4+5G02/fLRR6HGbmN8xq05tGPMj5yrKCyTgBQZxbXXGh4Otz/7oA4QOyxsYy&#10;KfgmD5v14GWFqbZP/qBHFgoRIexTVFCG0KZS+rwkg35sW+LoXa0zGKJ0hdQOnxFuGjlNkrk0WHFc&#10;KLGlXUl5nXVGwbnL+HKr967B7nA8Xs/32s/elRoN++0SRKA+/If/2ietYJ7M3uD3TX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I+u8UAAADdAAAADwAAAAAAAAAA&#10;AAAAAAChAgAAZHJzL2Rvd25yZXYueG1sUEsFBgAAAAAEAAQA+QAAAJMDAAAAAA==&#10;" strokeweight="1.5pt"/>
              <v:line id="Line 922" o:spid="_x0000_s1078"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CgzMUAAADdAAAADwAAAGRycy9kb3ducmV2LnhtbESPT2vCQBTE7wW/w/IEb3VThVCiq5SC&#10;f/DWVARvj+wzSZN9G3c3Gr+9Wyj0OMzMb5jlejCtuJHztWUFb9MEBHFhdc2lguP35vUdhA/IGlvL&#10;pOBBHtar0csSM23v/EW3PJQiQthnqKAKocuk9EVFBv3UdsTRu1hnMETpSqkd3iPctHKWJKk0WHNc&#10;qLCjz4qKJu+NglOf8/mn2bgW++1udzldGz8/KDUZDx8LEIGG8B/+a++1gjSZp/D7Jj4BuX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BCgzMUAAADdAAAADwAAAAAAAAAA&#10;AAAAAAChAgAAZHJzL2Rvd25yZXYueG1sUEsFBgAAAAAEAAQA+QAAAJMDAAAAAA==&#10;" strokeweight="1.5pt"/>
              <v:line id="Line 923" o:spid="_x0000_s1079"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wFV8UAAADdAAAADwAAAGRycy9kb3ducmV2LnhtbESPQWvCQBSE7wX/w/IEb3VjBSvRVUSw&#10;Sm9Ni+DtkX0mMdm3cXej6b/vCkKPw8x8wyzXvWnEjZyvLCuYjBMQxLnVFRcKfr53r3MQPiBrbCyT&#10;gl/ysF4NXpaYanvnL7ploRARwj5FBWUIbSqlz0sy6Me2JY7e2TqDIUpXSO3wHuGmkW9JMpMGK44L&#10;Jba0LSmvs84oOHYZny71zjXYfez35+O19tNPpUbDfrMAEagP/+Fn+6AVzJLpOzze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1wFV8UAAADdAAAADwAAAAAAAAAA&#10;AAAAAAChAgAAZHJzL2Rvd25yZXYueG1sUEsFBgAAAAAEAAQA+QAAAJMDAAAAAA==&#10;" strokeweight="1.5pt"/>
              <v:line id="Line 924" o:spid="_x0000_s1080"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ORJcMAAADdAAAADwAAAGRycy9kb3ducmV2LnhtbERPyWrDMBC9B/oPYgq9JXJrMMWNEkoh&#10;TektbgjkNlgT27U1ciV56d9Hh0COj7evt7PpxEjON5YVPK8SEMSl1Q1XCo4/u+UrCB+QNXaWScE/&#10;edhuHhZrzLWd+EBjESoRQ9jnqKAOoc+l9GVNBv3K9sSRu1hnMEToKqkdTjHcdPIlSTJpsOHYUGNP&#10;HzWVbTEYBaeh4PNvu3MdDp/7/eX01/r0W6mnx/n9DUSgOdzFN/eXVpAlaZwb38QnID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DkSXDAAAA3QAAAA8AAAAAAAAAAAAA&#10;AAAAoQIAAGRycy9kb3ducmV2LnhtbFBLBQYAAAAABAAEAPkAAACRAwAAAAA=&#10;" strokeweight="1.5pt"/>
              <v:line id="Line 925" o:spid="_x0000_s1081"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80vsUAAADdAAAADwAAAGRycy9kb3ducmV2LnhtbESPQWvCQBSE7wX/w/IEb3VjBanRVUSw&#10;Sm9Ni+DtkX0mMdm3cXej6b/vCkKPw8x8wyzXvWnEjZyvLCuYjBMQxLnVFRcKfr53r+8gfEDW2Fgm&#10;Bb/kYb0avCwx1fbOX3TLQiEihH2KCsoQ2lRKn5dk0I9tSxy9s3UGQ5SukNrhPcJNI9+SZCYNVhwX&#10;SmxpW1JeZ51RcOwyPl3qnWuw+9jvz8dr7aefSo2G/WYBIlAf/sPP9kErmCXTOTze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80vsUAAADdAAAADwAAAAAAAAAA&#10;AAAAAAChAgAAZHJzL2Rvd25yZXYueG1sUEsFBgAAAAAEAAQA+QAAAJMDAAAAAA==&#10;" strokeweight="1.5pt"/>
              <v:shape id="tbxOboz180" o:spid="_x0000_s1082"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REzcIA&#10;AADdAAAADwAAAGRycy9kb3ducmV2LnhtbERPTWvCMBi+D/wP4RV2W9NJkdE1igwFj86Pw24vzWtT&#10;bd7EJtr675fDYMeH57tajrYTD+pD61jBe5aDIK6dbrlRcDxs3j5AhIissXNMCp4UYLmYvFRYajfw&#10;Nz32sREphEOJCkyMvpQy1IYshsx54sSdXW8xJtg3Uvc4pHDbyVmez6XFllODQU9fhurr/m4VrP1p&#10;vfG3y0/9HI+rnTFbfbgWSr1Ox9UniEhj/Bf/ubdawTwv0v70Jj0B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VETNwgAAAN0AAAAPAAAAAAAAAAAAAAAAAJgCAABkcnMvZG93&#10;bnJldi54bWxQSwUGAAAAAAQABAD1AAAAhwMAAAAA&#10;" strokeweight="1.5pt">
                <v:textbox inset="0,0,0,0">
                  <w:txbxContent>
                    <w:p w:rsidR="00255CE5" w:rsidRPr="00BB0B43" w:rsidRDefault="00255CE5" w:rsidP="00E92B86">
                      <w:pPr>
                        <w:pStyle w:val="T6"/>
                        <w:rPr>
                          <w:lang w:val="en-US"/>
                        </w:rPr>
                      </w:pPr>
                    </w:p>
                  </w:txbxContent>
                </v:textbox>
              </v:shape>
              <v:line id="Line 929" o:spid="_x0000_s1083"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LxcUAAADdAAAADwAAAGRycy9kb3ducmV2LnhtbESPQWvCQBSE7wX/w/KE3urGKiLRVURQ&#10;i7emRfD2yD6TmOzbdHej8d+7hUKPw8x8wyzXvWnEjZyvLCsYjxIQxLnVFRcKvr92b3MQPiBrbCyT&#10;ggd5WK8GL0tMtb3zJ92yUIgIYZ+igjKENpXS5yUZ9CPbEkfvYp3BEKUrpHZ4j3DTyPckmUmDFceF&#10;ElvalpTXWWcUnLqMz9d65xrs9ofD5fRT+8lRqddhv1mACNSH//Bf+0MrmCXTMfy+iU9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9LxcUAAADdAAAADwAAAAAAAAAA&#10;AAAAAAChAgAAZHJzL2Rvd25yZXYueG1sUEsFBgAAAAAEAAQA+QAAAJMDAAAAAA==&#10;" strokeweight="1.5pt"/>
              <v:line id="Line 930" o:spid="_x0000_s1084"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3VssUAAADdAAAADwAAAGRycy9kb3ducmV2LnhtbESPQWvCQBSE7wX/w/IEb3WjLSLRVUSw&#10;iremRfD2yD6TmOzbuLvR+O+7hUKPw8x8wyzXvWnEnZyvLCuYjBMQxLnVFRcKvr92r3MQPiBrbCyT&#10;gid5WK8GL0tMtX3wJ92zUIgIYZ+igjKENpXS5yUZ9GPbEkfvYp3BEKUrpHb4iHDTyGmSzKTBiuNC&#10;iS1tS8rrrDMKTl3G52u9cw12H/v95XSr/dtRqdGw3yxABOrDf/ivfdAKZsn7FH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y3VssUAAADdAAAADwAAAAAAAAAA&#10;AAAAAAChAgAAZHJzL2Rvd25yZXYueG1sUEsFBgAAAAAEAAQA+QAAAJMDAAAAAA==&#10;" strokeweight="1.5pt"/>
              <v:line id="Line 931" o:spid="_x0000_s1085"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FwKcUAAADdAAAADwAAAGRycy9kb3ducmV2LnhtbESPT2vCQBTE7wW/w/IEb3WjFpHoKiL4&#10;h96aFsHbI/tMYrJv4+5G02/fLRR6HGbmN8xq05tGPMj5yrKCyTgBQZxbXXGh4Otz/7oA4QOyxsYy&#10;KfgmD5v14GWFqbZP/qBHFgoRIexTVFCG0KZS+rwkg35sW+LoXa0zGKJ0hdQOnxFuGjlNkrk0WHFc&#10;KLGlXUl5nXVGwbnL+HKr967B7nA8Xs/32s/elRoN++0SRKA+/If/2ietYJ68zeD3TX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GFwKcUAAADdAAAADwAAAAAAAAAA&#10;AAAAAAChAgAAZHJzL2Rvd25yZXYueG1sUEsFBgAAAAAEAAQA+QAAAJMDAAAAAA==&#10;" strokeweight="1.5pt"/>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75136" behindDoc="0" locked="0" layoutInCell="1" allowOverlap="1" wp14:anchorId="3F3932C6" wp14:editId="105DB9F6">
              <wp:simplePos x="0" y="0"/>
              <wp:positionH relativeFrom="page">
                <wp:posOffset>531495</wp:posOffset>
              </wp:positionH>
              <wp:positionV relativeFrom="page">
                <wp:posOffset>311785</wp:posOffset>
              </wp:positionV>
              <wp:extent cx="6893560" cy="10039985"/>
              <wp:effectExtent l="0" t="0" r="21590" b="37465"/>
              <wp:wrapNone/>
              <wp:docPr id="151"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152"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pPr>
                          </w:p>
                        </w:txbxContent>
                      </wps:txbx>
                      <wps:bodyPr rot="0" vert="horz" wrap="square" lIns="0" tIns="0" rIns="0" bIns="0" anchor="t" anchorCtr="0" upright="1">
                        <a:noAutofit/>
                      </wps:bodyPr>
                    </wps:wsp>
                    <wps:wsp>
                      <wps:cNvPr id="153"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rsidRPr="003259C2">
                              <w:t>Изм</w:t>
                            </w:r>
                            <w:r>
                              <w:t>.</w:t>
                            </w:r>
                          </w:p>
                        </w:txbxContent>
                      </wps:txbx>
                      <wps:bodyPr rot="0" vert="horz" wrap="square" lIns="0" tIns="18000" rIns="0" bIns="0" anchor="t" anchorCtr="0" upright="1">
                        <a:noAutofit/>
                      </wps:bodyPr>
                    </wps:wsp>
                    <wps:wsp>
                      <wps:cNvPr id="154"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pPr>
                          </w:p>
                        </w:txbxContent>
                      </wps:txbx>
                      <wps:bodyPr rot="0" vert="horz" wrap="square" lIns="0" tIns="0" rIns="0" bIns="0" anchor="t" anchorCtr="0" upright="1">
                        <a:noAutofit/>
                      </wps:bodyPr>
                    </wps:wsp>
                    <wps:wsp>
                      <wps:cNvPr id="155"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rsidRPr="003259C2">
                              <w:t>Лист</w:t>
                            </w:r>
                          </w:p>
                        </w:txbxContent>
                      </wps:txbx>
                      <wps:bodyPr rot="0" vert="horz" wrap="square" lIns="0" tIns="0" rIns="0" bIns="0" anchor="t" anchorCtr="0" upright="1">
                        <a:noAutofit/>
                      </wps:bodyPr>
                    </wps:wsp>
                    <wps:wsp>
                      <wps:cNvPr id="156"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jc w:val="both"/>
                              <w:rPr>
                                <w:szCs w:val="20"/>
                              </w:rPr>
                            </w:pPr>
                          </w:p>
                        </w:txbxContent>
                      </wps:txbx>
                      <wps:bodyPr rot="0" vert="horz" wrap="square" lIns="0" tIns="0" rIns="0" bIns="0" anchor="t" anchorCtr="0" upright="1">
                        <a:noAutofit/>
                      </wps:bodyPr>
                    </wps:wsp>
                    <wps:wsp>
                      <wps:cNvPr id="157"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t xml:space="preserve">№ </w:t>
                            </w:r>
                            <w:r w:rsidRPr="003259C2">
                              <w:t>докум</w:t>
                            </w:r>
                            <w:r>
                              <w:t>.</w:t>
                            </w:r>
                          </w:p>
                        </w:txbxContent>
                      </wps:txbx>
                      <wps:bodyPr rot="0" vert="horz" wrap="square" lIns="0" tIns="0" rIns="0" bIns="0" anchor="t" anchorCtr="0" upright="1">
                        <a:noAutofit/>
                      </wps:bodyPr>
                    </wps:wsp>
                    <wps:wsp>
                      <wps:cNvPr id="158"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615666">
                            <w:pPr>
                              <w:pStyle w:val="T"/>
                            </w:pPr>
                          </w:p>
                        </w:txbxContent>
                      </wps:txbx>
                      <wps:bodyPr rot="0" vert="horz" wrap="square" lIns="0" tIns="0" rIns="0" bIns="0" anchor="t" anchorCtr="0" upright="1">
                        <a:noAutofit/>
                      </wps:bodyPr>
                    </wps:wsp>
                    <wps:wsp>
                      <wps:cNvPr id="159"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t>Подп.</w:t>
                            </w:r>
                          </w:p>
                        </w:txbxContent>
                      </wps:txbx>
                      <wps:bodyPr rot="0" vert="horz" wrap="square" lIns="0" tIns="0" rIns="0" bIns="0" anchor="t" anchorCtr="0" upright="1">
                        <a:noAutofit/>
                      </wps:bodyPr>
                    </wps:wsp>
                    <wps:wsp>
                      <wps:cNvPr id="160"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615666">
                            <w:pPr>
                              <w:pStyle w:val="T2"/>
                              <w:rPr>
                                <w:b/>
                              </w:rPr>
                            </w:pPr>
                          </w:p>
                        </w:txbxContent>
                      </wps:txbx>
                      <wps:bodyPr rot="0" vert="horz" wrap="square" lIns="0" tIns="18000" rIns="0" bIns="0" anchor="t" anchorCtr="0" upright="1">
                        <a:noAutofit/>
                      </wps:bodyPr>
                    </wps:wsp>
                    <wps:wsp>
                      <wps:cNvPr id="161"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615666">
                            <w:pPr>
                              <w:pStyle w:val="T1"/>
                              <w:spacing w:before="0"/>
                            </w:pPr>
                            <w:r w:rsidRPr="003259C2">
                              <w:t>Дата</w:t>
                            </w:r>
                          </w:p>
                        </w:txbxContent>
                      </wps:txbx>
                      <wps:bodyPr rot="0" vert="horz" wrap="square" lIns="0" tIns="0" rIns="0" bIns="0" anchor="t" anchorCtr="0" upright="1">
                        <a:noAutofit/>
                      </wps:bodyPr>
                    </wps:wsp>
                    <wps:wsp>
                      <wps:cNvPr id="162"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 xml:space="preserve">001-05.01 </w:t>
                            </w:r>
                            <w:r w:rsidRPr="00844D74">
                              <w:rPr>
                                <w:sz w:val="30"/>
                                <w:szCs w:val="30"/>
                              </w:rPr>
                              <w:t>9</w:t>
                            </w:r>
                          </w:p>
                        </w:txbxContent>
                      </wps:txbx>
                      <wps:bodyPr rot="0" vert="horz" wrap="square" lIns="91440" tIns="0" rIns="91440" bIns="0" anchor="t" anchorCtr="0" upright="1">
                        <a:noAutofit/>
                      </wps:bodyPr>
                    </wps:wsp>
                    <wps:wsp>
                      <wps:cNvPr id="163"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615666">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164"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615666">
                            <w:pPr>
                              <w:pStyle w:val="T5"/>
                            </w:pPr>
                            <w:r>
                              <w:rPr>
                                <w:szCs w:val="20"/>
                              </w:rPr>
                              <w:fldChar w:fldCharType="begin"/>
                            </w:r>
                            <w:r>
                              <w:rPr>
                                <w:szCs w:val="20"/>
                              </w:rPr>
                              <w:instrText xml:space="preserve"> PAGE  </w:instrText>
                            </w:r>
                            <w:r>
                              <w:rPr>
                                <w:szCs w:val="20"/>
                              </w:rPr>
                              <w:fldChar w:fldCharType="separate"/>
                            </w:r>
                            <w:r w:rsidR="00DD2822">
                              <w:rPr>
                                <w:noProof/>
                                <w:szCs w:val="20"/>
                              </w:rPr>
                              <w:t>9</w:t>
                            </w:r>
                            <w:r>
                              <w:rPr>
                                <w:szCs w:val="20"/>
                              </w:rPr>
                              <w:fldChar w:fldCharType="end"/>
                            </w:r>
                          </w:p>
                          <w:p w:rsidR="00255CE5" w:rsidRPr="00AB2209" w:rsidRDefault="00255CE5" w:rsidP="00615666"/>
                        </w:txbxContent>
                      </wps:txbx>
                      <wps:bodyPr rot="0" vert="horz" wrap="square" lIns="0" tIns="0" rIns="0" bIns="0" anchor="t" anchorCtr="0" upright="1">
                        <a:noAutofit/>
                      </wps:bodyPr>
                    </wps:wsp>
                    <wps:wsp>
                      <wps:cNvPr id="165"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6"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8"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96"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615666">
                            <w:pPr>
                              <w:pStyle w:val="T6"/>
                              <w:rPr>
                                <w:lang w:val="en-US"/>
                              </w:rPr>
                            </w:pPr>
                          </w:p>
                        </w:txbxContent>
                      </wps:txbx>
                      <wps:bodyPr rot="0" vert="horz" wrap="square" lIns="0" tIns="0" rIns="0" bIns="0" anchor="t" anchorCtr="0" upright="1">
                        <a:noAutofit/>
                      </wps:bodyPr>
                    </wps:wsp>
                    <wps:wsp>
                      <wps:cNvPr id="5697"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00"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01"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86" style="position:absolute;left:0;text-align:left;margin-left:41.85pt;margin-top:24.55pt;width:542.8pt;height:790.55pt;z-index:251675136;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">
              <v:shapetype id="_x0000_t202" coordsize="21600,21600" o:spt="202" path="m,l,21600r21600,l21600,xe">
                <v:stroke joinstyle="miter"/>
                <v:path gradientshapeok="t" o:connecttype="rect"/>
              </v:shapetype>
              <v:shape id="tbxIzme" o:spid="_x0000_s1087"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FgoMQA&#10;AADcAAAADwAAAGRycy9kb3ducmV2LnhtbERPS2vCQBC+C/6HZQRvuqlakdRVoqjtoRef4G2anSbB&#10;7GzMrpr+e7dQ6G0+vudM540pxZ1qV1hW8NKPQBCnVhecKTjs170JCOeRNZaWScEPOZjP2q0pxto+&#10;eEv3nc9ECGEXo4Lc+yqW0qU5GXR9WxEH7tvWBn2AdSZ1jY8Qbko5iKKxNFhwaMixomVO6WV3Mwq2&#10;X4t1ck6Pm/fraJWMR6vm9DlcKNXtNMkbCE+N/xf/uT90mP86gN9nwgV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BYKDEAAAA3AAAAA8AAAAAAAAAAAAAAAAAmAIAAGRycy9k&#10;b3ducmV2LnhtbFBLBQYAAAAABAAEAPUAAACJAwAAAAA=&#10;" filled="f" strokeweight=".5pt">
                <v:textbox inset="0,0,0,0">
                  <w:txbxContent>
                    <w:p w:rsidR="00255CE5" w:rsidRPr="0071048A" w:rsidRDefault="00255CE5" w:rsidP="00615666">
                      <w:pPr>
                        <w:pStyle w:val="T"/>
                      </w:pPr>
                    </w:p>
                  </w:txbxContent>
                </v:textbox>
              </v:shape>
              <v:shape id="Text Box 899" o:spid="_x0000_s1088"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gqsQA&#10;AADcAAAADwAAAGRycy9kb3ducmV2LnhtbERPS2vCQBC+F/wPywi91Y2KUqObIIIP2pNWK72N2TEJ&#10;ZmdjdtX033cLhd7m43vOLG1NJe7UuNKygn4vAkGcWV1yrmD/sXx5BeE8ssbKMin4Jgdp0nmaYazt&#10;g7d03/lchBB2MSoovK9jKV1WkEHXszVx4M62MegDbHKpG3yEcFPJQRSNpcGSQ0OBNS0Kyi67m1Fg&#10;22s0Xp1u+UFPjm/vx6+1/pyslXrutvMpCE+t/xf/uTc6zB8N4feZcIF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a4KrEAAAA3AAAAA8AAAAAAAAAAAAAAAAAmAIAAGRycy9k&#10;b3ducmV2LnhtbFBLBQYAAAAABAAEAPUAAACJAwAAAAA=&#10;" filled="f" strokeweight="1.5pt">
                <v:textbox inset="0,.5mm,0,0">
                  <w:txbxContent>
                    <w:p w:rsidR="00255CE5" w:rsidRPr="00DF2469" w:rsidRDefault="00255CE5" w:rsidP="00615666">
                      <w:pPr>
                        <w:pStyle w:val="T1"/>
                        <w:spacing w:before="0"/>
                      </w:pPr>
                      <w:r w:rsidRPr="003259C2">
                        <w:t>Изм</w:t>
                      </w:r>
                      <w:r>
                        <w:t>.</w:t>
                      </w:r>
                    </w:p>
                  </w:txbxContent>
                </v:textbox>
              </v:shape>
              <v:shape id="tbxIzml" o:spid="_x0000_s1089"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RdT8UA&#10;AADcAAAADwAAAGRycy9kb3ducmV2LnhtbERPTWvCQBC9C/6HZYTedGNNRVJXiUVtD160KvQ2zU6T&#10;YHY2ZldN/31XEHqbx/uc6bw1lbhS40rLCoaDCARxZnXJuYL956o/AeE8ssbKMin4JQfzWbczxUTb&#10;G2/puvO5CCHsElRQeF8nUrqsIINuYGviwP3YxqAPsMmlbvAWwk0ln6NoLA2WHBoKrOmtoOy0uxgF&#10;2+/FKv3KDuv3c7xMx/GyPW5GC6Weem36CsJT6//FD/eHDvNfYrg/Ey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pF1PxQAAANwAAAAPAAAAAAAAAAAAAAAAAJgCAABkcnMv&#10;ZG93bnJldi54bWxQSwUGAAAAAAQABAD1AAAAigMAAAAA&#10;" filled="f" strokeweight=".5pt">
                <v:textbox inset="0,0,0,0">
                  <w:txbxContent>
                    <w:p w:rsidR="00255CE5" w:rsidRPr="0071048A" w:rsidRDefault="00255CE5" w:rsidP="00615666">
                      <w:pPr>
                        <w:pStyle w:val="T"/>
                      </w:pPr>
                    </w:p>
                  </w:txbxContent>
                </v:textbox>
              </v:shape>
              <v:shape id="Text Box 901" o:spid="_x0000_s1090"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E1UMEA&#10;AADcAAAADwAAAGRycy9kb3ducmV2LnhtbERPzYrCMBC+L/gOYQRva6q2otUoslDx4sGfBxibsa02&#10;k9Jktfv2G0HwNh/f7yzXnanFg1pXWVYwGkYgiHOrKy4UnE/Z9wyE88gaa8uk4I8crFe9ryWm2j75&#10;QI+jL0QIYZeigtL7JpXS5SUZdEPbEAfualuDPsC2kLrFZwg3tRxH0VQarDg0lNjQT0n5/fhrFGxv&#10;l0NUTeJ4nuWTxOxvsdbZTqlBv9ssQHjq/Ef8du90mJ8k8HomX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RNVDBAAAA3AAAAA8AAAAAAAAAAAAAAAAAmAIAAGRycy9kb3du&#10;cmV2LnhtbFBLBQYAAAAABAAEAPUAAACGAwAAAAA=&#10;" filled="f" strokeweight="1.5pt">
                <v:textbox inset="0,0,0,0">
                  <w:txbxContent>
                    <w:p w:rsidR="00255CE5" w:rsidRPr="00DF2469" w:rsidRDefault="00255CE5" w:rsidP="00615666">
                      <w:pPr>
                        <w:pStyle w:val="T1"/>
                        <w:spacing w:before="0"/>
                      </w:pPr>
                      <w:r w:rsidRPr="003259C2">
                        <w:t>Лист</w:t>
                      </w:r>
                    </w:p>
                  </w:txbxContent>
                </v:textbox>
              </v:shape>
              <v:shape id="tbxNdoc" o:spid="_x0000_s1091"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pmo8UA&#10;AADcAAAADwAAAGRycy9kb3ducmV2LnhtbERPTWvCQBC9C/6HZYTedGO1QVJXiUVtD160KvQ2zU6T&#10;YHY2ZldN/31XEHqbx/uc6bw1lbhS40rLCoaDCARxZnXJuYL956o/AeE8ssbKMin4JQfzWbczxUTb&#10;G2/puvO5CCHsElRQeF8nUrqsIINuYGviwP3YxqAPsMmlbvAWwk0ln6MolgZLDg0F1vRWUHbaXYyC&#10;7fdilX5lh/X7ebxM4/GyPW5GC6Weem36CsJT6//FD/eHDvNfYrg/Ey6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OmajxQAAANwAAAAPAAAAAAAAAAAAAAAAAJgCAABkcnMv&#10;ZG93bnJldi54bWxQSwUGAAAAAAQABAD1AAAAigMAAAAA&#10;" filled="f" strokeweight=".5pt">
                <v:textbox inset="0,0,0,0">
                  <w:txbxContent>
                    <w:p w:rsidR="00255CE5" w:rsidRPr="0071048A" w:rsidRDefault="00255CE5" w:rsidP="00615666">
                      <w:pPr>
                        <w:pStyle w:val="T"/>
                        <w:jc w:val="both"/>
                        <w:rPr>
                          <w:szCs w:val="20"/>
                        </w:rPr>
                      </w:pPr>
                    </w:p>
                  </w:txbxContent>
                </v:textbox>
              </v:shape>
              <v:shape id="Text Box 903" o:spid="_x0000_s1092"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8OvMMA&#10;AADcAAAADwAAAGRycy9kb3ducmV2LnhtbERPzW6CQBC+m/gOmzHpTRcV+0NdTdMEw6UHaB9gyk4B&#10;y84Sdgv49q5JE2/z5fud/XEyrRiod41lBetVBIK4tLrhSsHXZ7p8BuE8ssbWMim4kIPjYT7bY6Lt&#10;yDkNha9ECGGXoILa+y6R0pU1GXQr2xEH7sf2Bn2AfSV1j2MIN63cRNGjNNhwaKixo/eayt/izyg4&#10;nb/zqNnG8Utabnfm4xxrnWZKPSymt1cQniZ/F/+7Mx3m757g9ky4QB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8OvMMAAADcAAAADwAAAAAAAAAAAAAAAACYAgAAZHJzL2Rv&#10;d25yZXYueG1sUEsFBgAAAAAEAAQA9QAAAIgDAAAAAA==&#10;" filled="f" strokeweight="1.5pt">
                <v:textbox inset="0,0,0,0">
                  <w:txbxContent>
                    <w:p w:rsidR="00255CE5" w:rsidRPr="00DF2469" w:rsidRDefault="00255CE5" w:rsidP="00615666">
                      <w:pPr>
                        <w:pStyle w:val="T1"/>
                        <w:spacing w:before="0"/>
                      </w:pPr>
                      <w:r>
                        <w:t xml:space="preserve">№ </w:t>
                      </w:r>
                      <w:r w:rsidRPr="003259C2">
                        <w:t>докум</w:t>
                      </w:r>
                      <w:r>
                        <w:t>.</w:t>
                      </w:r>
                    </w:p>
                  </w:txbxContent>
                </v:textbox>
              </v:shape>
              <v:shape id="Text Box 904" o:spid="_x0000_s1093"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lXSscA&#10;AADcAAAADwAAAGRycy9kb3ducmV2LnhtbESPS2/CQAyE75X4Dysj9VY2PFWlLCggaDlwgT6k3tys&#10;m0RkvSG7hfTf1wek3mzNeObzfNm5Wl2oDZVnA8NBAoo497biwsDb6/bhEVSIyBZrz2TglwIsF727&#10;OabWX/lAl2MslIRwSNFAGWOTah3ykhyGgW+IRfv2rcMoa1to2+JVwl2tR0ky0w4rloYSG1qXlJ+O&#10;P87A4Wu1zT7z9+eX82STzSab7mM/Xhlz3++yJ1CRuvhvvl3vrOBPhVaekQ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pV0rHAAAA3AAAAA8AAAAAAAAAAAAAAAAAmAIAAGRy&#10;cy9kb3ducmV2LnhtbFBLBQYAAAAABAAEAPUAAACMAwAAAAA=&#10;" filled="f" strokeweight=".5pt">
                <v:textbox inset="0,0,0,0">
                  <w:txbxContent>
                    <w:p w:rsidR="00255CE5" w:rsidRDefault="00255CE5" w:rsidP="00615666">
                      <w:pPr>
                        <w:pStyle w:val="T"/>
                      </w:pPr>
                    </w:p>
                  </w:txbxContent>
                </v:textbox>
              </v:shape>
              <v:shape id="Text Box 905" o:spid="_x0000_s1094"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w/VcIA&#10;AADcAAAADwAAAGRycy9kb3ducmV2LnhtbERPzWrCQBC+F3yHZQRvdaNGadKsQQoRLz348wDT7DSJ&#10;ZmdDdhvTt+8WBG/z8f1Olo+mFQP1rrGsYDGPQBCXVjdcKbici9c3EM4ja2wtk4JfcpBvJy8Zptre&#10;+UjDyVcihLBLUUHtfZdK6cqaDLq57YgD9217gz7AvpK6x3sIN61cRtFGGmw4NNTY0UdN5e30YxTs&#10;r1/HqFnFcVKUq7X5vMZaFwelZtNx9w7C0+if4of7oMP8dQL/z4QL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D9VwgAAANwAAAAPAAAAAAAAAAAAAAAAAJgCAABkcnMvZG93&#10;bnJldi54bWxQSwUGAAAAAAQABAD1AAAAhwMAAAAA&#10;" filled="f" strokeweight="1.5pt">
                <v:textbox inset="0,0,0,0">
                  <w:txbxContent>
                    <w:p w:rsidR="00255CE5" w:rsidRPr="00DF2469" w:rsidRDefault="00255CE5" w:rsidP="00615666">
                      <w:pPr>
                        <w:pStyle w:val="T1"/>
                        <w:spacing w:before="0"/>
                      </w:pPr>
                      <w:r>
                        <w:t>Подп.</w:t>
                      </w:r>
                    </w:p>
                  </w:txbxContent>
                </v:textbox>
              </v:shape>
              <v:shape id="tbxIzmd" o:spid="_x0000_s1095"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mxwMMA&#10;AADcAAAADwAAAGRycy9kb3ducmV2LnhtbESPQW/CMAyF75P2HyIjcRspY0JTR4rQpkm7Drhw8xrT&#10;dG2c0gQI/34+TOJm6z2/93m1zr5XFxpjG9jAfFaAIq6DbbkxsN99Pr2CignZYh+YDNwowrp6fFhh&#10;acOVv+myTY2SEI4lGnApDaXWsXbkMc7CQCzaMYwek6xjo+2IVwn3vX4uiqX22LI0OBzo3VHdbc/e&#10;QP69fcwXxwOl8/DSOdydfvLhZMx0kjdvoBLldDf/X39ZwV8KvjwjE+j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mxwMMAAADcAAAADwAAAAAAAAAAAAAAAACYAgAAZHJzL2Rv&#10;d25yZXYueG1sUEsFBgAAAAAEAAQA9QAAAIgDAAAAAA==&#10;" filled="f" strokeweight=".5pt">
                <v:textbox inset="0,.5mm,0,0">
                  <w:txbxContent>
                    <w:p w:rsidR="00255CE5" w:rsidRPr="00C12C3D" w:rsidRDefault="00255CE5" w:rsidP="00615666">
                      <w:pPr>
                        <w:pStyle w:val="T2"/>
                        <w:rPr>
                          <w:b/>
                        </w:rPr>
                      </w:pPr>
                    </w:p>
                  </w:txbxContent>
                </v:textbox>
              </v:shape>
              <v:shape id="Text Box 907" o:spid="_x0000_s1096"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b57sAA&#10;AADcAAAADwAAAGRycy9kb3ducmV2LnhtbERPy6rCMBDdC/5DGMGdpmqvaDWKCBU3Lnx8wNiMbbWZ&#10;lCZq/fubC8LdzeE8Z7luTSVe1LjSsoLRMAJBnFldcq7gck4HMxDOI2usLJOCDzlYr7qdJSbavvlI&#10;r5PPRQhhl6CCwvs6kdJlBRl0Q1sTB+5mG4M+wCaXusF3CDeVHEfRVBosOTQUWNO2oOxxehoFu/v1&#10;GJWTOJ6n2eTHHO6x1uleqX6v3SxAeGr9v/jr3uswfzqCv2fCB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b57sAAAADcAAAADwAAAAAAAAAAAAAAAACYAgAAZHJzL2Rvd25y&#10;ZXYueG1sUEsFBgAAAAAEAAQA9QAAAIUDAAAAAA==&#10;" filled="f" strokeweight="1.5pt">
                <v:textbox inset="0,0,0,0">
                  <w:txbxContent>
                    <w:p w:rsidR="00255CE5" w:rsidRPr="009155C0" w:rsidRDefault="00255CE5" w:rsidP="00615666">
                      <w:pPr>
                        <w:pStyle w:val="T1"/>
                        <w:spacing w:before="0"/>
                      </w:pPr>
                      <w:r w:rsidRPr="003259C2">
                        <w:t>Дата</w:t>
                      </w:r>
                    </w:p>
                  </w:txbxContent>
                </v:textbox>
              </v:shape>
              <v:shape id="tbxOboz" o:spid="_x0000_s1097"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HOMcMA&#10;AADcAAAADwAAAGRycy9kb3ducmV2LnhtbERP22rCQBB9F/yHZQRfpG4qVCS6iljaCoVirPo8ZMck&#10;mJ0N2TWXv+8WBN/mcK6z2nSmFA3VrrCs4HUagSBOrS44U3D6/XhZgHAeWWNpmRT05GCzHg5WGGvb&#10;ckLN0WcihLCLUUHufRVL6dKcDLqprYgDd7W1QR9gnUldYxvCTSlnUTSXBgsODTlWtMspvR3vRkHb&#10;76s++fm+HCZf50t/2jXvn29XpcajbrsE4anzT/HDvddh/nwG/8+EC+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HOMcMAAADcAAAADwAAAAAAAAAAAAAAAACYAgAAZHJzL2Rv&#10;d25yZXYueG1sUEsFBgAAAAAEAAQA9QAAAIgDA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 xml:space="preserve">001-05.01 </w:t>
                      </w:r>
                      <w:r w:rsidRPr="00844D74">
                        <w:rPr>
                          <w:sz w:val="30"/>
                          <w:szCs w:val="30"/>
                        </w:rPr>
                        <w:t>9</w:t>
                      </w:r>
                    </w:p>
                  </w:txbxContent>
                </v:textbox>
              </v:shape>
              <v:shape id="Text Box 909" o:spid="_x0000_s1098"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jCAsEA&#10;AADcAAAADwAAAGRycy9kb3ducmV2LnhtbERPzYrCMBC+C75DmIW9abq2inaNIkIXLx6sPsDYjG3d&#10;ZlKarHbf3giCt/n4fme57k0jbtS52rKCr3EEgriwuuZSwemYjeYgnEfW2FgmBf/kYL0aDpaYanvn&#10;A91yX4oQwi5FBZX3bSqlKyoy6Ma2JQ7cxXYGfYBdKXWH9xBuGjmJopk0WHNoqLClbUXFb/5nFPxc&#10;z4eojpNkkRXx1OyvidbZTqnPj37zDcJT79/il3unw/xZDM9nwgV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YwgLBAAAA3AAAAA8AAAAAAAAAAAAAAAAAmAIAAGRycy9kb3du&#10;cmV2LnhtbFBLBQYAAAAABAAEAPUAAACGAwAAAAA=&#10;" filled="f" strokeweight="1.5pt">
                <v:textbox inset="0,0,0,0">
                  <w:txbxContent>
                    <w:p w:rsidR="00255CE5" w:rsidRPr="00363BE3" w:rsidRDefault="00255CE5" w:rsidP="00615666">
                      <w:pPr>
                        <w:pStyle w:val="T20"/>
                        <w:rPr>
                          <w:sz w:val="20"/>
                          <w:szCs w:val="20"/>
                        </w:rPr>
                      </w:pPr>
                      <w:r w:rsidRPr="00363BE3">
                        <w:rPr>
                          <w:sz w:val="20"/>
                          <w:szCs w:val="20"/>
                        </w:rPr>
                        <w:t>Лист</w:t>
                      </w:r>
                    </w:p>
                  </w:txbxContent>
                </v:textbox>
              </v:shape>
              <v:shape id="tbxPage" o:spid="_x0000_s1099"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adsEA&#10;AADcAAAADwAAAGRycy9kb3ducmV2LnhtbERPzYrCMBC+L/gOYQRva+paRaupyEIXLx509wHGZuyP&#10;zaQ0UbtvbwTB23x8v7Pe9KYRN+pcZVnBZByBIM6trrhQ8PebfS5AOI+ssbFMCv7JwSYdfKwx0fbO&#10;B7odfSFCCLsEFZTet4mULi/JoBvbljhwZ9sZ9AF2hdQd3kO4aeRXFM2lwYpDQ4ktfZeUX45Xo+Cn&#10;Ph2iahrHyyyfzsy+jrXOdkqNhv12BcJT79/il3unw/x5DM9nwgUy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xWnbBAAAA3AAAAA8AAAAAAAAAAAAAAAAAmAIAAGRycy9kb3du&#10;cmV2LnhtbFBLBQYAAAAABAAEAPUAAACGAwAAAAA=&#10;" filled="f" strokeweight="1.5pt">
                <v:textbox inset="0,0,0,0">
                  <w:txbxContent>
                    <w:p w:rsidR="00255CE5" w:rsidRPr="00DC0A04" w:rsidRDefault="00255CE5" w:rsidP="00615666">
                      <w:pPr>
                        <w:pStyle w:val="T5"/>
                      </w:pPr>
                      <w:r>
                        <w:rPr>
                          <w:szCs w:val="20"/>
                        </w:rPr>
                        <w:fldChar w:fldCharType="begin"/>
                      </w:r>
                      <w:r>
                        <w:rPr>
                          <w:szCs w:val="20"/>
                        </w:rPr>
                        <w:instrText xml:space="preserve"> PAGE  </w:instrText>
                      </w:r>
                      <w:r>
                        <w:rPr>
                          <w:szCs w:val="20"/>
                        </w:rPr>
                        <w:fldChar w:fldCharType="separate"/>
                      </w:r>
                      <w:r w:rsidR="00DD2822">
                        <w:rPr>
                          <w:noProof/>
                          <w:szCs w:val="20"/>
                        </w:rPr>
                        <w:t>9</w:t>
                      </w:r>
                      <w:r>
                        <w:rPr>
                          <w:szCs w:val="20"/>
                        </w:rPr>
                        <w:fldChar w:fldCharType="end"/>
                      </w:r>
                    </w:p>
                    <w:p w:rsidR="00255CE5" w:rsidRPr="00AB2209" w:rsidRDefault="00255CE5" w:rsidP="00615666"/>
                  </w:txbxContent>
                </v:textbox>
              </v:shape>
              <v:line id="Line 921" o:spid="_x0000_s1100"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mrXcIAAADcAAAADwAAAGRycy9kb3ducmV2LnhtbERPTWvCQBC9F/wPywi91Y0VRaKriKCW&#10;3hpF8DZkxyQmO5vubjT9926h0Ns83ucs171pxJ2crywrGI8SEMS51RUXCk7H3dschA/IGhvLpOCH&#10;PKxXg5clpto++IvuWShEDGGfooIyhDaV0uclGfQj2xJH7mqdwRChK6R2+IjhppHvSTKTBiuODSW2&#10;tC0pr7POKDh3GV9u9c412O0Ph+v5u/aTT6Veh/1mASJQH/7Ff+4PHefPpvD7TLx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AmrXcIAAADcAAAADwAAAAAAAAAAAAAA&#10;AAChAgAAZHJzL2Rvd25yZXYueG1sUEsFBgAAAAAEAAQA+QAAAJADAAAAAA==&#10;" strokeweight="1.5pt"/>
              <v:line id="Line 922" o:spid="_x0000_s1101"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s1KsIAAADcAAAADwAAAGRycy9kb3ducmV2LnhtbERPTWvCQBC9F/wPywi91Y0VQomuIoJV&#10;ejMVwduQHZOY7Gzc3Wj677tCobd5vM9ZrAbTijs5X1tWMJ0kIIgLq2suFRy/t28fIHxA1thaJgU/&#10;5GG1HL0sMNP2wQe656EUMYR9hgqqELpMSl9UZNBPbEccuYt1BkOErpTa4SOGm1a+J0kqDdYcGyrs&#10;aFNR0eS9UXDqcz5fm61rsf/c7S6nW+NnX0q9jof1HESgIfyL/9x7HeenKTyfi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s1KsIAAADcAAAADwAAAAAAAAAAAAAA&#10;AAChAgAAZHJzL2Rvd25yZXYueG1sUEsFBgAAAAAEAAQA+QAAAJADAAAAAA==&#10;" strokeweight="1.5pt"/>
              <v:line id="Line 923" o:spid="_x0000_s1102"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eQscIAAADcAAAADwAAAGRycy9kb3ducmV2LnhtbERPTWvCQBC9F/wPywi91Y0VrERXEUEt&#10;3hpF8DZkxyQmO5vubjT++26h0Ns83ucsVr1pxJ2crywrGI8SEMS51RUXCk7H7dsMhA/IGhvLpOBJ&#10;HlbLwcsCU20f/EX3LBQihrBPUUEZQptK6fOSDPqRbYkjd7XOYIjQFVI7fMRw08j3JJlKgxXHhhJb&#10;2pSU11lnFJy7jC+3eusa7Hb7/fX8XfvJQanXYb+egwjUh3/xn/tTx/nTD/h9Jl4gl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5eQscIAAADcAAAADwAAAAAAAAAAAAAA&#10;AAChAgAAZHJzL2Rvd25yZXYueG1sUEsFBgAAAAAEAAQA+QAAAJADAAAAAA==&#10;" strokeweight="1.5pt"/>
              <v:line id="Line 924" o:spid="_x0000_s1103"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gEw8UAAADcAAAADwAAAGRycy9kb3ducmV2LnhtbESPQWvCQBCF70L/wzKF3nTTFkRSVykF&#10;a/FmFKG3ITsmabKz6e5G4793DoXeZnhv3vtmuR5dpy4UYuPZwPMsA0VcettwZeB42EwXoGJCtth5&#10;JgM3irBePUyWmFt/5T1dilQpCeGYo4E6pT7XOpY1OYwz3xOLdvbBYZI1VNoGvEq46/RLls21w4al&#10;ocaePmoq22JwBk5Dwd8/7SZ0OHxut+fTbxtfd8Y8PY7vb6ASjenf/Hf9ZQV/LrTyjEy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gEw8UAAADcAAAADwAAAAAAAAAA&#10;AAAAAAChAgAAZHJzL2Rvd25yZXYueG1sUEsFBgAAAAAEAAQA+QAAAJMDAAAAAA==&#10;" strokeweight="1.5pt"/>
              <v:line id="Line 925" o:spid="_x0000_s1104"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ShWMIAAADcAAAADwAAAGRycy9kb3ducmV2LnhtbERPTWvCQBC9F/wPywi91Y0VpEZXEUEt&#10;3hpF8DZkxyQmO5vubjT++26h0Ns83ucsVr1pxJ2crywrGI8SEMS51RUXCk7H7dsHCB+QNTaWScGT&#10;PKyWg5cFpto++IvuWShEDGGfooIyhDaV0uclGfQj2xJH7mqdwRChK6R2+IjhppHvSTKVBiuODSW2&#10;tCkpr7POKDh3GV9u9dY12O32++v5u/aTg1Kvw349BxGoD//iP/enjvOnM/h9Jl4gl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UShWMIAAADcAAAADwAAAAAAAAAAAAAA&#10;AAChAgAAZHJzL2Rvd25yZXYueG1sUEsFBgAAAAAEAAQA+QAAAJADAAAAAA==&#10;" strokeweight="1.5pt"/>
              <v:shape id="tbxOboz180" o:spid="_x0000_s1105"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qjMYA&#10;AADdAAAADwAAAGRycy9kb3ducmV2LnhtbESPzWrDMBCE74W+g9hCb42c0prUiRJCSCDHNj+H3hZr&#10;YzmxVoql2s7bV4VCjsPMfMPMFoNtREdtqB0rGI8yEMSl0zVXCg77zcsERIjIGhvHpOBGARbzx4cZ&#10;Ftr1/EXdLlYiQTgUqMDE6AspQ2nIYhg5T5y8k2stxiTbSuoW+wS3jXzNslxarDktGPS0MlRedj9W&#10;wdof1xt/PX+Xt+Gw/DRmq/eXN6Wen4blFESkId7D/+2tVvCef+Tw9yY9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DqjMYAAADdAAAADwAAAAAAAAAAAAAAAACYAgAAZHJz&#10;L2Rvd25yZXYueG1sUEsFBgAAAAAEAAQA9QAAAIsDAAAAAA==&#10;" strokeweight="1.5pt">
                <v:textbox inset="0,0,0,0">
                  <w:txbxContent>
                    <w:p w:rsidR="00255CE5" w:rsidRPr="00BB0B43" w:rsidRDefault="00255CE5" w:rsidP="00615666">
                      <w:pPr>
                        <w:pStyle w:val="T6"/>
                        <w:rPr>
                          <w:lang w:val="en-US"/>
                        </w:rPr>
                      </w:pPr>
                    </w:p>
                  </w:txbxContent>
                </v:textbox>
              </v:shape>
              <v:line id="Line 929" o:spid="_x0000_s1106"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vlhMYAAADdAAAADwAAAGRycy9kb3ducmV2LnhtbESPT2vCQBTE7wW/w/KE3urGlvonukop&#10;WEtvRhG8PbLPJCb7Nt3daPrtu4WCx2FmfsMs171pxJWcrywrGI8SEMS51RUXCg77zdMMhA/IGhvL&#10;pOCHPKxXg4clptreeEfXLBQiQtinqKAMoU2l9HlJBv3ItsTRO1tnMETpCqkd3iLcNPI5SSbSYMVx&#10;ocSW3kvK66wzCo5dxqdLvXENdh/b7fn4XfuXL6Ueh/3bAkSgPtzD/+1PreB1Mp/C35v4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b5YTGAAAA3QAAAA8AAAAAAAAA&#10;AAAAAAAAoQIAAGRycy9kb3ducmV2LnhtbFBLBQYAAAAABAAEAPkAAACUAwAAAAA=&#10;" strokeweight="1.5pt"/>
              <v:line id="Line 930" o:spid="_x0000_s1107"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nn6sIAAADdAAAADwAAAGRycy9kb3ducmV2LnhtbERPz2vCMBS+C/sfwhvspukcc1KNMgTn&#10;8GYdgrdH82xrm5cuSbX+9+YgePz4fs+XvWnEhZyvLCt4HyUgiHOrKy4U/O3XwykIH5A1NpZJwY08&#10;LBcvgzmm2l55R5csFCKGsE9RQRlCm0rp85IM+pFtiSN3ss5giNAVUju8xnDTyHGSTKTBimNDiS2t&#10;SsrrrDMKDl3Gx3O9dg12P5vN6fBf+4+tUm+v/fcMRKA+PMUP969W8PmVxP3xTXw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nn6sIAAADdAAAADwAAAAAAAAAAAAAA&#10;AAChAgAAZHJzL2Rvd25yZXYueG1sUEsFBgAAAAAEAAQA+QAAAJADAAAAAA==&#10;" strokeweight="1.5pt"/>
              <v:line id="Line 931" o:spid="_x0000_s1108"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VCccYAAADdAAAADwAAAGRycy9kb3ducmV2LnhtbESPT2vCQBTE74V+h+UVvDUbK7YluooI&#10;/qE30yL09sg+k5js23R3o/Hbd4VCj8PM/IaZLwfTigs5X1tWME5SEMSF1TWXCr4+N8/vIHxA1tha&#10;JgU38rBcPD7MMdP2yge65KEUEcI+QwVVCF0mpS8qMugT2xFH72SdwRClK6V2eI1w08qXNH2VBmuO&#10;CxV2tK6oaPLeKDj2OX+fm41rsd/udqfjT+MnH0qNnobVDESgIfyH/9p7rWD6lo7h/i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VQnHGAAAA3QAAAA8AAAAAAAAA&#10;AAAAAAAAoQIAAGRycy9kb3ducmV2LnhtbFBLBQYAAAAABAAEAPkAAACUAwAAAAA=&#10;" strokeweight="1.5pt"/>
              <w10:wrap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65920" behindDoc="0" locked="0" layoutInCell="1" allowOverlap="1" wp14:anchorId="76B3D8A6" wp14:editId="6C8B40AD">
              <wp:simplePos x="0" y="0"/>
              <wp:positionH relativeFrom="page">
                <wp:posOffset>484461</wp:posOffset>
              </wp:positionH>
              <wp:positionV relativeFrom="page">
                <wp:posOffset>318825</wp:posOffset>
              </wp:positionV>
              <wp:extent cx="6893560" cy="10039985"/>
              <wp:effectExtent l="0" t="0" r="21590" b="37465"/>
              <wp:wrapNone/>
              <wp:docPr id="1"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2"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3221FA">
                            <w:pPr>
                              <w:pStyle w:val="T"/>
                            </w:pPr>
                          </w:p>
                        </w:txbxContent>
                      </wps:txbx>
                      <wps:bodyPr rot="0" vert="horz" wrap="square" lIns="0" tIns="0" rIns="0" bIns="0" anchor="t" anchorCtr="0" upright="1">
                        <a:noAutofit/>
                      </wps:bodyPr>
                    </wps:wsp>
                    <wps:wsp>
                      <wps:cNvPr id="4"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3221FA">
                            <w:pPr>
                              <w:pStyle w:val="T1"/>
                              <w:spacing w:before="0"/>
                            </w:pPr>
                            <w:r w:rsidRPr="003259C2">
                              <w:t>Изм</w:t>
                            </w:r>
                            <w:r>
                              <w:t>.</w:t>
                            </w:r>
                          </w:p>
                        </w:txbxContent>
                      </wps:txbx>
                      <wps:bodyPr rot="0" vert="horz" wrap="square" lIns="0" tIns="18000" rIns="0" bIns="0" anchor="t" anchorCtr="0" upright="1">
                        <a:noAutofit/>
                      </wps:bodyPr>
                    </wps:wsp>
                    <wps:wsp>
                      <wps:cNvPr id="5"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3221FA">
                            <w:pPr>
                              <w:pStyle w:val="T"/>
                            </w:pPr>
                          </w:p>
                        </w:txbxContent>
                      </wps:txbx>
                      <wps:bodyPr rot="0" vert="horz" wrap="square" lIns="0" tIns="0" rIns="0" bIns="0" anchor="t" anchorCtr="0" upright="1">
                        <a:noAutofit/>
                      </wps:bodyPr>
                    </wps:wsp>
                    <wps:wsp>
                      <wps:cNvPr id="6"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3221FA">
                            <w:pPr>
                              <w:pStyle w:val="T1"/>
                              <w:spacing w:before="0"/>
                            </w:pPr>
                            <w:r w:rsidRPr="003259C2">
                              <w:t>Лист</w:t>
                            </w:r>
                          </w:p>
                        </w:txbxContent>
                      </wps:txbx>
                      <wps:bodyPr rot="0" vert="horz" wrap="square" lIns="0" tIns="0" rIns="0" bIns="0" anchor="t" anchorCtr="0" upright="1">
                        <a:noAutofit/>
                      </wps:bodyPr>
                    </wps:wsp>
                    <wps:wsp>
                      <wps:cNvPr id="7"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3221FA">
                            <w:pPr>
                              <w:pStyle w:val="T"/>
                              <w:jc w:val="both"/>
                              <w:rPr>
                                <w:szCs w:val="20"/>
                              </w:rPr>
                            </w:pPr>
                          </w:p>
                        </w:txbxContent>
                      </wps:txbx>
                      <wps:bodyPr rot="0" vert="horz" wrap="square" lIns="0" tIns="0" rIns="0" bIns="0" anchor="t" anchorCtr="0" upright="1">
                        <a:noAutofit/>
                      </wps:bodyPr>
                    </wps:wsp>
                    <wps:wsp>
                      <wps:cNvPr id="8"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3221FA">
                            <w:pPr>
                              <w:pStyle w:val="T1"/>
                              <w:spacing w:before="0"/>
                            </w:pPr>
                            <w:r>
                              <w:t xml:space="preserve">№ </w:t>
                            </w:r>
                            <w:r w:rsidRPr="003259C2">
                              <w:t>докум</w:t>
                            </w:r>
                            <w:r>
                              <w:t>.</w:t>
                            </w:r>
                          </w:p>
                        </w:txbxContent>
                      </wps:txbx>
                      <wps:bodyPr rot="0" vert="horz" wrap="square" lIns="0" tIns="0" rIns="0" bIns="0" anchor="t" anchorCtr="0" upright="1">
                        <a:noAutofit/>
                      </wps:bodyPr>
                    </wps:wsp>
                    <wps:wsp>
                      <wps:cNvPr id="9"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3221FA">
                            <w:pPr>
                              <w:pStyle w:val="T"/>
                            </w:pPr>
                          </w:p>
                        </w:txbxContent>
                      </wps:txbx>
                      <wps:bodyPr rot="0" vert="horz" wrap="square" lIns="0" tIns="0" rIns="0" bIns="0" anchor="t" anchorCtr="0" upright="1">
                        <a:noAutofit/>
                      </wps:bodyPr>
                    </wps:wsp>
                    <wps:wsp>
                      <wps:cNvPr id="10"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3221FA">
                            <w:pPr>
                              <w:pStyle w:val="T1"/>
                              <w:spacing w:before="0"/>
                            </w:pPr>
                            <w:r>
                              <w:t>Подп.</w:t>
                            </w:r>
                          </w:p>
                        </w:txbxContent>
                      </wps:txbx>
                      <wps:bodyPr rot="0" vert="horz" wrap="square" lIns="0" tIns="0" rIns="0" bIns="0" anchor="t" anchorCtr="0" upright="1">
                        <a:noAutofit/>
                      </wps:bodyPr>
                    </wps:wsp>
                    <wps:wsp>
                      <wps:cNvPr id="11"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3221FA">
                            <w:pPr>
                              <w:pStyle w:val="T2"/>
                              <w:rPr>
                                <w:b/>
                              </w:rPr>
                            </w:pPr>
                          </w:p>
                        </w:txbxContent>
                      </wps:txbx>
                      <wps:bodyPr rot="0" vert="horz" wrap="square" lIns="0" tIns="18000" rIns="0" bIns="0" anchor="t" anchorCtr="0" upright="1">
                        <a:noAutofit/>
                      </wps:bodyPr>
                    </wps:wsp>
                    <wps:wsp>
                      <wps:cNvPr id="12"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3221FA">
                            <w:pPr>
                              <w:pStyle w:val="T1"/>
                              <w:spacing w:before="0"/>
                            </w:pPr>
                            <w:r w:rsidRPr="003259C2">
                              <w:t>Дата</w:t>
                            </w:r>
                          </w:p>
                        </w:txbxContent>
                      </wps:txbx>
                      <wps:bodyPr rot="0" vert="horz" wrap="square" lIns="0" tIns="0" rIns="0" bIns="0" anchor="t" anchorCtr="0" upright="1">
                        <a:noAutofit/>
                      </wps:bodyPr>
                    </wps:wsp>
                    <wps:wsp>
                      <wps:cNvPr id="13"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wps:txbx>
                      <wps:bodyPr rot="0" vert="horz" wrap="square" lIns="91440" tIns="0" rIns="91440" bIns="0" anchor="t" anchorCtr="0" upright="1">
                        <a:noAutofit/>
                      </wps:bodyPr>
                    </wps:wsp>
                    <wps:wsp>
                      <wps:cNvPr id="14"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3221FA">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15"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3221FA">
                            <w:pPr>
                              <w:pStyle w:val="T5"/>
                            </w:pPr>
                            <w:r>
                              <w:rPr>
                                <w:szCs w:val="20"/>
                              </w:rPr>
                              <w:fldChar w:fldCharType="begin"/>
                            </w:r>
                            <w:r>
                              <w:rPr>
                                <w:szCs w:val="20"/>
                              </w:rPr>
                              <w:instrText xml:space="preserve"> PAGE  </w:instrText>
                            </w:r>
                            <w:r>
                              <w:rPr>
                                <w:szCs w:val="20"/>
                              </w:rPr>
                              <w:fldChar w:fldCharType="separate"/>
                            </w:r>
                            <w:r w:rsidR="00DD2822">
                              <w:rPr>
                                <w:noProof/>
                                <w:szCs w:val="20"/>
                              </w:rPr>
                              <w:t>2</w:t>
                            </w:r>
                            <w:r>
                              <w:rPr>
                                <w:szCs w:val="20"/>
                              </w:rPr>
                              <w:fldChar w:fldCharType="end"/>
                            </w:r>
                          </w:p>
                          <w:p w:rsidR="00255CE5" w:rsidRPr="00AB2209" w:rsidRDefault="00255CE5" w:rsidP="003221FA"/>
                        </w:txbxContent>
                      </wps:txbx>
                      <wps:bodyPr rot="0" vert="horz" wrap="square" lIns="0" tIns="0" rIns="0" bIns="0" anchor="t" anchorCtr="0" upright="1">
                        <a:noAutofit/>
                      </wps:bodyPr>
                    </wps:wsp>
                    <wps:wsp>
                      <wps:cNvPr id="39"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3221FA">
                            <w:pPr>
                              <w:pStyle w:val="T6"/>
                              <w:rPr>
                                <w:lang w:val="en-US"/>
                              </w:rPr>
                            </w:pPr>
                          </w:p>
                        </w:txbxContent>
                      </wps:txbx>
                      <wps:bodyPr rot="0" vert="horz" wrap="square" lIns="0" tIns="0" rIns="0" bIns="0" anchor="t" anchorCtr="0" upright="1">
                        <a:noAutofit/>
                      </wps:bodyPr>
                    </wps:wsp>
                    <wps:wsp>
                      <wps:cNvPr id="45"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109" style="position:absolute;left:0;text-align:left;margin-left:38.15pt;margin-top:25.1pt;width:542.8pt;height:790.55pt;z-index:251665920;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">
              <v:shapetype id="_x0000_t202" coordsize="21600,21600" o:spt="202" path="m,l,21600r21600,l21600,xe">
                <v:stroke joinstyle="miter"/>
                <v:path gradientshapeok="t" o:connecttype="rect"/>
              </v:shapetype>
              <v:shape id="tbxIzme" o:spid="_x0000_s1110"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2CDcYA&#10;AADaAAAADwAAAGRycy9kb3ducmV2LnhtbESPT2vCQBTE74V+h+UVems2tSIluglRtHroxb/g7TX7&#10;moRm38bsVuO3d4VCj8PM/IaZZL1pxJk6V1tW8BrFIIgLq2suFey2i5d3EM4ja2wsk4IrOcjSx4cJ&#10;JtpeeE3njS9FgLBLUEHlfZtI6YqKDLrItsTB+7adQR9kV0rd4SXATSMHcTySBmsOCxW2NKuo+Nn8&#10;GgXrr+kiPxb7j+VpOM9Hw3l/+HybKvX81OdjEJ56/x/+a6+0ggHcr4Qb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2CDcYAAADaAAAADwAAAAAAAAAAAAAAAACYAgAAZHJz&#10;L2Rvd25yZXYueG1sUEsFBgAAAAAEAAQA9QAAAIsDAAAAAA==&#10;" filled="f" strokeweight=".5pt">
                <v:textbox inset="0,0,0,0">
                  <w:txbxContent>
                    <w:p w:rsidR="00255CE5" w:rsidRPr="0071048A" w:rsidRDefault="00255CE5" w:rsidP="003221FA">
                      <w:pPr>
                        <w:pStyle w:val="T"/>
                      </w:pPr>
                    </w:p>
                  </w:txbxContent>
                </v:textbox>
              </v:shape>
              <v:shape id="Text Box 899" o:spid="_x0000_s1111"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YY3cMA&#10;AADaAAAADwAAAGRycy9kb3ducmV2LnhtbESPT4vCMBTE78J+h/AWvGm6IqLVKIvgH/Skuyre3jZv&#10;22LzUpuo9dsbQfA4zMxvmNGkNoW4UuVyywq+2hEI4sTqnFMFvz+zVh+E88gaC8uk4E4OJuOPxghj&#10;bW+8oevWpyJA2MWoIPO+jKV0SUYGXduWxMH7t5VBH2SVSl3hLcBNITtR1JMGcw4LGZY0zSg5bS9G&#10;ga3PUW/+d0l3enBYrQ/Hhd4PFko1P+vvIQhPtX+HX+2lVtCF55VwA+T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YY3cMAAADaAAAADwAAAAAAAAAAAAAAAACYAgAAZHJzL2Rv&#10;d25yZXYueG1sUEsFBgAAAAAEAAQA9QAAAIgDAAAAAA==&#10;" filled="f" strokeweight="1.5pt">
                <v:textbox inset="0,.5mm,0,0">
                  <w:txbxContent>
                    <w:p w:rsidR="00255CE5" w:rsidRPr="00DF2469" w:rsidRDefault="00255CE5" w:rsidP="003221FA">
                      <w:pPr>
                        <w:pStyle w:val="T1"/>
                        <w:spacing w:before="0"/>
                      </w:pPr>
                      <w:r w:rsidRPr="003259C2">
                        <w:t>Изм</w:t>
                      </w:r>
                      <w:r>
                        <w:t>.</w:t>
                      </w:r>
                    </w:p>
                  </w:txbxContent>
                </v:textbox>
              </v:shape>
              <v:shape id="tbxIzml" o:spid="_x0000_s1112"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QaecYA&#10;AADaAAAADwAAAGRycy9kb3ducmV2LnhtbESPS2/CMBCE75X4D9ZW4laclodQikGh4nXgAqWVelvi&#10;JYmI1yE2EP49RkLqcTQz32hGk8aU4kK1KywreO9EIIhTqwvOFOy+529DEM4jaywtk4IbOZiMWy8j&#10;jLW98oYuW5+JAGEXo4Lc+yqW0qU5GXQdWxEH72Brgz7IOpO6xmuAm1J+RNFAGiw4LORY0VdO6XF7&#10;Ngo2++k8+Ut/FstTb5YMerPmd92dKtV+bZJPEJ4a/x9+tldaQR8eV8INkO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QaecYAAADaAAAADwAAAAAAAAAAAAAAAACYAgAAZHJz&#10;L2Rvd25yZXYueG1sUEsFBgAAAAAEAAQA9QAAAIsDAAAAAA==&#10;" filled="f" strokeweight=".5pt">
                <v:textbox inset="0,0,0,0">
                  <w:txbxContent>
                    <w:p w:rsidR="00255CE5" w:rsidRPr="0071048A" w:rsidRDefault="00255CE5" w:rsidP="003221FA">
                      <w:pPr>
                        <w:pStyle w:val="T"/>
                      </w:pPr>
                    </w:p>
                  </w:txbxContent>
                </v:textbox>
              </v:shape>
              <v:shape id="Text Box 901" o:spid="_x0000_s1113"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UqsIA&#10;AADaAAAADwAAAGRycy9kb3ducmV2LnhtbESPzYrCQBCE7wu+w9CCt3WiZkWjExEh4sWD7j5Am2nz&#10;Y6YnZEaNb7+zIOyxqKqvqPWmN414UOcqywom4wgEcW51xYWCn+/scwHCeWSNjWVS8CIHm3TwscZE&#10;2yef6HH2hQgQdgkqKL1vEyldXpJBN7YtcfCutjPog+wKqTt8Brhp5DSK5tJgxWGhxJZ2JeW3890o&#10;2NeXU1TN4niZ5bMvc6xjrbODUqNhv12B8NT7//C7fdAK5vB3JdwA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1lSqwgAAANoAAAAPAAAAAAAAAAAAAAAAAJgCAABkcnMvZG93&#10;bnJldi54bWxQSwUGAAAAAAQABAD1AAAAhwMAAAAA&#10;" filled="f" strokeweight="1.5pt">
                <v:textbox inset="0,0,0,0">
                  <w:txbxContent>
                    <w:p w:rsidR="00255CE5" w:rsidRPr="00DF2469" w:rsidRDefault="00255CE5" w:rsidP="003221FA">
                      <w:pPr>
                        <w:pStyle w:val="T1"/>
                        <w:spacing w:before="0"/>
                      </w:pPr>
                      <w:r w:rsidRPr="003259C2">
                        <w:t>Лист</w:t>
                      </w:r>
                    </w:p>
                  </w:txbxContent>
                </v:textbox>
              </v:shape>
              <v:shape id="tbxNdoc" o:spid="_x0000_s1114"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ohlcUA&#10;AADaAAAADwAAAGRycy9kb3ducmV2LnhtbESPQWvCQBSE74L/YXkFb7ppFZXUVWJR68GL1hZ6e2af&#10;STD7NmZXjf/eLQg9DjPzDTOZNaYUV6pdYVnBay8CQZxaXXCmYP+17I5BOI+ssbRMCu7kYDZttyYY&#10;a3vjLV13PhMBwi5GBbn3VSylS3My6Hq2Ig7e0dYGfZB1JnWNtwA3pXyLoqE0WHBYyLGij5zS0+5i&#10;FGwP82Xym36vPs+DRTIcLJqfTX+uVOelSd5BeGr8f/jZXmsFI/i7Em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CiGVxQAAANoAAAAPAAAAAAAAAAAAAAAAAJgCAABkcnMv&#10;ZG93bnJldi54bWxQSwUGAAAAAAQABAD1AAAAigMAAAAA&#10;" filled="f" strokeweight=".5pt">
                <v:textbox inset="0,0,0,0">
                  <w:txbxContent>
                    <w:p w:rsidR="00255CE5" w:rsidRPr="0071048A" w:rsidRDefault="00255CE5" w:rsidP="003221FA">
                      <w:pPr>
                        <w:pStyle w:val="T"/>
                        <w:jc w:val="both"/>
                        <w:rPr>
                          <w:szCs w:val="20"/>
                        </w:rPr>
                      </w:pPr>
                    </w:p>
                  </w:txbxContent>
                </v:textbox>
              </v:shape>
              <v:shape id="Text Box 903" o:spid="_x0000_s1115"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lQ78A&#10;AADaAAAADwAAAGRycy9kb3ducmV2LnhtbERPS27CMBDdV+IO1iCxKw4QqjbgIIQUxIYFaQ8wjYd8&#10;iMdRbCDcHi+QWD69/3ozmFbcqHe1ZQWzaQSCuLC65lLB32/2+Q3CeWSNrWVS8CAHm3T0scZE2zuf&#10;6Jb7UoQQdgkqqLzvEildUZFBN7UdceDOtjfoA+xLqXu8h3DTynkUfUmDNYeGCjvaVVRc8qtRsG/+&#10;T1G9iOOfrFgszbGJtc4OSk3Gw3YFwtPg3+KX+6AVhK3hSrgBMn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BWVDvwAAANoAAAAPAAAAAAAAAAAAAAAAAJgCAABkcnMvZG93bnJl&#10;di54bWxQSwUGAAAAAAQABAD1AAAAhAMAAAAA&#10;" filled="f" strokeweight="1.5pt">
                <v:textbox inset="0,0,0,0">
                  <w:txbxContent>
                    <w:p w:rsidR="00255CE5" w:rsidRPr="00DF2469" w:rsidRDefault="00255CE5" w:rsidP="003221FA">
                      <w:pPr>
                        <w:pStyle w:val="T1"/>
                        <w:spacing w:before="0"/>
                      </w:pPr>
                      <w:r>
                        <w:t xml:space="preserve">№ </w:t>
                      </w:r>
                      <w:r w:rsidRPr="003259C2">
                        <w:t>докум</w:t>
                      </w:r>
                      <w:r>
                        <w:t>.</w:t>
                      </w:r>
                    </w:p>
                  </w:txbxContent>
                </v:textbox>
              </v:shape>
              <v:shape id="Text Box 904" o:spid="_x0000_s1116"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kQfMUA&#10;AADaAAAADwAAAGRycy9kb3ducmV2LnhtbESPQWvCQBSE74L/YXkFb7ppFdHUVWJR68GL1hZ6e2af&#10;STD7NmZXjf/eLQg9DjPzDTOZNaYUV6pdYVnBay8CQZxaXXCmYP+17I5AOI+ssbRMCu7kYDZttyYY&#10;a3vjLV13PhMBwi5GBbn3VSylS3My6Hq2Ig7e0dYGfZB1JnWNtwA3pXyLoqE0WHBYyLGij5zS0+5i&#10;FGwP82Xym36vPs+DRTIcLJqfTX+uVOelSd5BeGr8f/jZXmsFY/i7Em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2RB8xQAAANoAAAAPAAAAAAAAAAAAAAAAAJgCAABkcnMv&#10;ZG93bnJldi54bWxQSwUGAAAAAAQABAD1AAAAigMAAAAA&#10;" filled="f" strokeweight=".5pt">
                <v:textbox inset="0,0,0,0">
                  <w:txbxContent>
                    <w:p w:rsidR="00255CE5" w:rsidRDefault="00255CE5" w:rsidP="003221FA">
                      <w:pPr>
                        <w:pStyle w:val="T"/>
                      </w:pPr>
                    </w:p>
                  </w:txbxContent>
                </v:textbox>
              </v:shape>
              <v:shape id="Text Box 905" o:spid="_x0000_s1117"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c46sQA&#10;AADbAAAADwAAAGRycy9kb3ducmV2LnhtbESPzW7CQAyE75X6DitX4lY2LaFqUzaoQgriwoG0D+Bm&#10;3fw0642yC4S3xwckbrZmPPN5tZ5cr040htazgZd5Aoq48rbl2sDPd/H8DipEZIu9ZzJwoQDr/PFh&#10;hZn1Zz7QqYy1khAOGRpoYhwyrUPVkMMw9wOxaH9+dBhlHWttRzxLuOv1a5K8aYctS0ODA20aqv7L&#10;ozOw7X4PSbtI04+iWizdvkutLXbGzJ6mr09QkaZ4N9+ud1bwhV5+kQF0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nOOrEAAAA2wAAAA8AAAAAAAAAAAAAAAAAmAIAAGRycy9k&#10;b3ducmV2LnhtbFBLBQYAAAAABAAEAPUAAACJAwAAAAA=&#10;" filled="f" strokeweight="1.5pt">
                <v:textbox inset="0,0,0,0">
                  <w:txbxContent>
                    <w:p w:rsidR="00255CE5" w:rsidRPr="00DF2469" w:rsidRDefault="00255CE5" w:rsidP="003221FA">
                      <w:pPr>
                        <w:pStyle w:val="T1"/>
                        <w:spacing w:before="0"/>
                      </w:pPr>
                      <w:r>
                        <w:t>Подп.</w:t>
                      </w:r>
                    </w:p>
                  </w:txbxContent>
                </v:textbox>
              </v:shape>
              <v:shape id="tbxIzmd" o:spid="_x0000_s1118"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sRTL8A&#10;AADbAAAADwAAAGRycy9kb3ducmV2LnhtbERPTYvCMBC9C/6HMII3Tbsui1SjiIvgVd2Lt7EZm2oz&#10;qU3U+O/NwsLe5vE+Z76MthEP6nztWEE+zkAQl07XXCn4OWxGUxA+IGtsHJOCF3lYLvq9ORbaPXlH&#10;j32oRAphX6ACE0JbSOlLQxb92LXEiTu7zmJIsKuk7vCZwm0jP7LsS1qsOTUYbGltqLzu71ZBvLy+&#10;88n5SOHefl4NHm6neLwpNRzE1QxEoBj+xX/urU7zc/j9JR0gF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GxFMvwAAANsAAAAPAAAAAAAAAAAAAAAAAJgCAABkcnMvZG93bnJl&#10;di54bWxQSwUGAAAAAAQABAD1AAAAhAMAAAAA&#10;" filled="f" strokeweight=".5pt">
                <v:textbox inset="0,.5mm,0,0">
                  <w:txbxContent>
                    <w:p w:rsidR="00255CE5" w:rsidRPr="00C12C3D" w:rsidRDefault="00255CE5" w:rsidP="003221FA">
                      <w:pPr>
                        <w:pStyle w:val="T2"/>
                        <w:rPr>
                          <w:b/>
                        </w:rPr>
                      </w:pPr>
                    </w:p>
                  </w:txbxContent>
                </v:textbox>
              </v:shape>
              <v:shape id="Text Box 907" o:spid="_x0000_s1119"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kDBr8A&#10;AADbAAAADwAAAGRycy9kb3ducmV2LnhtbERPy6rCMBDdC/5DGMGdpmqvaDWKCBU3Lnx8wNiMbbWZ&#10;lCZq/fubC8LdzeE8Z7luTSVe1LjSsoLRMAJBnFldcq7gck4HMxDOI2usLJOCDzlYr7qdJSbavvlI&#10;r5PPRQhhl6CCwvs6kdJlBRl0Q1sTB+5mG4M+wCaXusF3CDeVHEfRVBosOTQUWNO2oOxxehoFu/v1&#10;GJWTOJ6n2eTHHO6x1uleqX6v3SxAeGr9v/jr3uswfwx/v4Q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eQMGvwAAANsAAAAPAAAAAAAAAAAAAAAAAJgCAABkcnMvZG93bnJl&#10;di54bWxQSwUGAAAAAAQABAD1AAAAhAMAAAAA&#10;" filled="f" strokeweight="1.5pt">
                <v:textbox inset="0,0,0,0">
                  <w:txbxContent>
                    <w:p w:rsidR="00255CE5" w:rsidRPr="009155C0" w:rsidRDefault="00255CE5" w:rsidP="003221FA">
                      <w:pPr>
                        <w:pStyle w:val="T1"/>
                        <w:spacing w:before="0"/>
                      </w:pPr>
                      <w:r w:rsidRPr="003259C2">
                        <w:t>Дата</w:t>
                      </w:r>
                    </w:p>
                  </w:txbxContent>
                </v:textbox>
              </v:shape>
              <v:shape id="tbxOboz" o:spid="_x0000_s1120"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T8U8QA&#10;AADbAAAADwAAAGRycy9kb3ducmV2LnhtbERP22rCQBB9F/oPyxT6InVjpaWkWUUUL1CQam2eh+yY&#10;hGZnQ3bN5e+7BcG3OZzrJIveVKKlxpWWFUwnEQjizOqScwXn783zOwjnkTVWlknBQA4W84dRgrG2&#10;HR+pPflchBB2MSoovK9jKV1WkEE3sTVx4C62MegDbHKpG+xCuKnkSxS9SYMlh4YCa1oVlP2erkZB&#10;N+zr4Xj4TL/Gu590OK/a9fb1otTTY7/8AOGp93fxzb3XYf4M/n8JB8j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k/FPEAAAA2wAAAA8AAAAAAAAAAAAAAAAAmAIAAGRycy9k&#10;b3ducmV2LnhtbFBLBQYAAAAABAAEAPUAAACJAw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v:textbox>
              </v:shape>
              <v:shape id="Text Box 909" o:spid="_x0000_s1121"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w+6cEA&#10;AADbAAAADwAAAGRycy9kb3ducmV2LnhtbERPzWrCQBC+C32HZYTedKOmRWNWKUJKLh7UPsCYHfNj&#10;djZktyZ9+25B6G0+vt9J96NpxYN6V1tWsJhHIIgLq2suFXxdstkahPPIGlvLpOCHHOx3L5MUE20H&#10;PtHj7EsRQtglqKDyvkukdEVFBt3cdsSBu9neoA+wL6XucQjhppXLKHqXBmsODRV2dKiouJ+/jYLP&#10;5nqK6lUcb7Ji9WaOTax1liv1Oh0/tiA8jf5f/HTnOsyP4e+XcI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cPunBAAAA2wAAAA8AAAAAAAAAAAAAAAAAmAIAAGRycy9kb3du&#10;cmV2LnhtbFBLBQYAAAAABAAEAPUAAACGAwAAAAA=&#10;" filled="f" strokeweight="1.5pt">
                <v:textbox inset="0,0,0,0">
                  <w:txbxContent>
                    <w:p w:rsidR="00255CE5" w:rsidRPr="00363BE3" w:rsidRDefault="00255CE5" w:rsidP="003221FA">
                      <w:pPr>
                        <w:pStyle w:val="T20"/>
                        <w:rPr>
                          <w:sz w:val="20"/>
                          <w:szCs w:val="20"/>
                        </w:rPr>
                      </w:pPr>
                      <w:r w:rsidRPr="00363BE3">
                        <w:rPr>
                          <w:sz w:val="20"/>
                          <w:szCs w:val="20"/>
                        </w:rPr>
                        <w:t>Лист</w:t>
                      </w:r>
                    </w:p>
                  </w:txbxContent>
                </v:textbox>
              </v:shape>
              <v:shape id="tbxPage" o:spid="_x0000_s1122"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CbcsAA&#10;AADbAAAADwAAAGRycy9kb3ducmV2LnhtbERPzYrCMBC+C/sOYRa8aapWWbuNIkLFiwd1H2BsZvtj&#10;MylN1Pr2RljY23x8v5Oue9OIO3WusqxgMo5AEOdWV1wo+Dlnoy8QziNrbCyTgic5WK8+Bikm2j74&#10;SPeTL0QIYZeggtL7NpHS5SUZdGPbEgfu13YGfYBdIXWHjxBuGjmNooU0WHFoKLGlbUn59XQzCnb1&#10;5RhVszheZvlsbg51rHW2V2r42W++QXjq/b/4z73XYf4c3r+E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CbcsAAAADbAAAADwAAAAAAAAAAAAAAAACYAgAAZHJzL2Rvd25y&#10;ZXYueG1sUEsFBgAAAAAEAAQA9QAAAIUDAAAAAA==&#10;" filled="f" strokeweight="1.5pt">
                <v:textbox inset="0,0,0,0">
                  <w:txbxContent>
                    <w:p w:rsidR="00255CE5" w:rsidRPr="00DC0A04" w:rsidRDefault="00255CE5" w:rsidP="003221FA">
                      <w:pPr>
                        <w:pStyle w:val="T5"/>
                      </w:pPr>
                      <w:r>
                        <w:rPr>
                          <w:szCs w:val="20"/>
                        </w:rPr>
                        <w:fldChar w:fldCharType="begin"/>
                      </w:r>
                      <w:r>
                        <w:rPr>
                          <w:szCs w:val="20"/>
                        </w:rPr>
                        <w:instrText xml:space="preserve"> PAGE  </w:instrText>
                      </w:r>
                      <w:r>
                        <w:rPr>
                          <w:szCs w:val="20"/>
                        </w:rPr>
                        <w:fldChar w:fldCharType="separate"/>
                      </w:r>
                      <w:r w:rsidR="00DD2822">
                        <w:rPr>
                          <w:noProof/>
                          <w:szCs w:val="20"/>
                        </w:rPr>
                        <w:t>2</w:t>
                      </w:r>
                      <w:r>
                        <w:rPr>
                          <w:szCs w:val="20"/>
                        </w:rPr>
                        <w:fldChar w:fldCharType="end"/>
                      </w:r>
                    </w:p>
                    <w:p w:rsidR="00255CE5" w:rsidRPr="00AB2209" w:rsidRDefault="00255CE5" w:rsidP="003221FA"/>
                  </w:txbxContent>
                </v:textbox>
              </v:shape>
              <v:line id="Line 921" o:spid="_x0000_s1123"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rhk8MAAADbAAAADwAAAGRycy9kb3ducmV2LnhtbESPQWvCQBSE7wX/w/IEb3VjhVKjq4ig&#10;lt6MInh7ZJ9JTPZturvR9N+7hUKPw8x8wyxWvWnEnZyvLCuYjBMQxLnVFRcKTsft6wcIH5A1NpZJ&#10;wQ95WC0HLwtMtX3wge5ZKESEsE9RQRlCm0rp85IM+rFtiaN3tc5giNIVUjt8RLhp5FuSvEuDFceF&#10;ElvalJTXWWcUnLuML7d66xrsdvv99fxd++mXUqNhv56DCNSH//Bf+1MrmM7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q4ZPDAAAA2wAAAA8AAAAAAAAAAAAA&#10;AAAAoQIAAGRycy9kb3ducmV2LnhtbFBLBQYAAAAABAAEAPkAAACRAwAAAAA=&#10;" strokeweight="1.5pt"/>
              <v:line id="Line 922" o:spid="_x0000_s1124"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Y7c8AAAADbAAAADwAAAGRycy9kb3ducmV2LnhtbERPz2vCMBS+C/sfwhvspulUZHRGGQN1&#10;eLOOwm6P5tl2bV5qkmr9781B8Pjx/V6uB9OKCzlfW1bwPklAEBdW11wq+D1uxh8gfEDW2FomBTfy&#10;sF69jJaYanvlA12yUIoYwj5FBVUIXSqlLyoy6Ce2I47cyTqDIUJXSu3wGsNNK6dJspAGa44NFXb0&#10;XVHRZL1RkPcZ//03G9div93tTvm58bO9Um+vw9cniEBDeIof7h+tYB7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WO3PAAAAA2wAAAA8AAAAAAAAAAAAAAAAA&#10;oQIAAGRycy9kb3ducmV2LnhtbFBLBQYAAAAABAAEAPkAAACOAwAAAAA=&#10;" strokeweight="1.5pt"/>
              <v:line id="Line 923" o:spid="_x0000_s1125"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e6MMAAADbAAAADwAAAGRycy9kb3ducmV2LnhtbESPQWvCQBSE7wX/w/IEb3VjL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anujDAAAA2wAAAA8AAAAAAAAAAAAA&#10;AAAAoQIAAGRycy9kb3ducmV2LnhtbFBLBQYAAAAABAAEAPkAAACRAwAAAAA=&#10;" strokeweight="1.5pt"/>
              <v:line id="Line 924" o:spid="_x0000_s1126"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gAn8MAAADbAAAADwAAAGRycy9kb3ducmV2LnhtbESPQWvCQBSE7wX/w/KE3upGW4pEVxHB&#10;Kr0ZRfD2yD6TmOzbdHej8d+7hUKPw8x8w8yXvWnEjZyvLCsYjxIQxLnVFRcKjofN2xSED8gaG8uk&#10;4EEelovByxxTbe+8p1sWChEh7FNUUIbQplL6vCSDfmRb4uhdrDMYonSF1A7vEW4aOUmST2mw4rhQ&#10;YkvrkvI664yCU5fx+VpvXIPd13Z7Of3U/v1bqddhv5qBCNSH//Bfe6cVfEz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IAJ/DAAAA2wAAAA8AAAAAAAAAAAAA&#10;AAAAoQIAAGRycy9kb3ducmV2LnhtbFBLBQYAAAAABAAEAPkAAACRAwAAAAA=&#10;" strokeweight="1.5pt"/>
              <v:line id="Line 925" o:spid="_x0000_s1127"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shape id="tbxOboz180" o:spid="_x0000_s1128"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r1MIA&#10;AADbAAAADwAAAGRycy9kb3ducmV2LnhtbESPT4vCMBTE74LfITxhb5q6FFmqUUQUPO765+Dt0Tyb&#10;avOSbbJav70RhD0OM/MbZrbobCNu1IbasYLxKANBXDpdc6XgsN8Mv0CEiKyxcUwKHhRgMe/3Zlho&#10;d+cfuu1iJRKEQ4EKTIy+kDKUhiyGkfPEyTu71mJMsq2kbvGe4LaRn1k2kRZrTgsGPa0Mldfdn1Ww&#10;9sf1xv9eTuWjOyy/jdnq/TVX6mPQLacgInXxP/xub7WCPIfXl/QD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KvUwgAAANsAAAAPAAAAAAAAAAAAAAAAAJgCAABkcnMvZG93&#10;bnJldi54bWxQSwUGAAAAAAQABAD1AAAAhwMAAAAA&#10;" strokeweight="1.5pt">
                <v:textbox inset="0,0,0,0">
                  <w:txbxContent>
                    <w:p w:rsidR="00255CE5" w:rsidRPr="00BB0B43" w:rsidRDefault="00255CE5" w:rsidP="003221FA">
                      <w:pPr>
                        <w:pStyle w:val="T6"/>
                        <w:rPr>
                          <w:lang w:val="en-US"/>
                        </w:rPr>
                      </w:pPr>
                    </w:p>
                  </w:txbxContent>
                </v:textbox>
              </v:shape>
              <v:line id="Line 929" o:spid="_x0000_s1129"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GY68QAAADbAAAADwAAAGRycy9kb3ducmV2LnhtbESPT2vCQBTE74V+h+UVvNWNtRaJriKC&#10;f+itqQjeHtlnEpN9m+5uNP323YLgcZiZ3zDzZW8acSXnK8sKRsMEBHFudcWFgsP35nUKwgdkjY1l&#10;UvBLHpaL56c5ptre+IuuWShEhLBPUUEZQptK6fOSDPqhbYmjd7bOYIjSFVI7vEW4aeRbknxIgxXH&#10;hRJbWpeU11lnFBy7jE+XeuMa7La73fn4U/vxp1KDl341AxGoD4/wvb3XCt4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jrxAAAANsAAAAPAAAAAAAAAAAA&#10;AAAAAKECAABkcnMvZG93bnJldi54bWxQSwUGAAAAAAQABAD5AAAAkgMAAAAA&#10;" strokeweight="1.5pt"/>
              <v:line id="Line 930" o:spid="_x0000_s1130"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GnMMAAADbAAAADwAAAGRycy9kb3ducmV2LnhtbESPQWvCQBSE7wX/w/KE3urGKiLRVURQ&#10;S2+NInh7ZJ9JTPZturvR9N+7hUKPw8x8wyzXvWnEnZyvLCsYjxIQxLnVFRcKTsfd2xyED8gaG8uk&#10;4Ic8rFeDlyWm2j74i+5ZKESEsE9RQRlCm0rp85IM+pFtiaN3tc5giNIVUjt8RLhp5HuSzKTBiuNC&#10;iS1tS8rrrDMKzl3Gl1u9cw12+8Phev6u/eRTqddhv1mACNSH//Bf+0MrmM7g90v8AX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0zBpzDAAAA2wAAAA8AAAAAAAAAAAAA&#10;AAAAoQIAAGRycy9kb3ducmV2LnhtbFBLBQYAAAAABAAEAPkAAACRAwAAAAA=&#10;" strokeweight="1.5pt"/>
              <v:line id="Line 931" o:spid="_x0000_s1131"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jB8QAAADbAAAADwAAAGRycy9kb3ducmV2LnhtbESPT2vCQBTE74V+h+UVvNWNtViJriKC&#10;f+itqQjeHtlnEpN9m+5uNP323YLgcZiZ3zDzZW8acSXnK8sKRsMEBHFudcWFgsP35nUKwgdkjY1l&#10;UvBLHpaL56c5ptre+IuuWShEhLBPUUEZQptK6fOSDPqhbYmjd7bOYIjSFVI7vEW4aeRbkkykwYrj&#10;QoktrUvK66wzCo5dxqdLvXENdtvd7nz8qf34U6nBS7+agQjUh0f43t5rBe8f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f6MHxAAAANsAAAAPAAAAAAAAAAAA&#10;AAAAAKECAABkcnMvZG93bnJldi54bWxQSwUGAAAAAAQABAD5AAAAkgMAAAAA&#10;" strokeweight="1.5pt"/>
              <w10:wrap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rPr>
      <mc:AlternateContent>
        <mc:Choice Requires="wpg">
          <w:drawing>
            <wp:anchor distT="0" distB="0" distL="114300" distR="114300" simplePos="0" relativeHeight="251668992" behindDoc="0" locked="0" layoutInCell="1" allowOverlap="1" wp14:anchorId="353D2E1A" wp14:editId="071E5BAA">
              <wp:simplePos x="0" y="0"/>
              <wp:positionH relativeFrom="page">
                <wp:posOffset>629285</wp:posOffset>
              </wp:positionH>
              <wp:positionV relativeFrom="page">
                <wp:posOffset>423545</wp:posOffset>
              </wp:positionV>
              <wp:extent cx="10000615" cy="7038340"/>
              <wp:effectExtent l="0" t="0" r="19685" b="29210"/>
              <wp:wrapNone/>
              <wp:docPr id="170" name="Группа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0615" cy="7038340"/>
                        <a:chOff x="1134" y="5149"/>
                        <a:chExt cx="15217" cy="11406"/>
                      </a:xfrm>
                    </wpg:grpSpPr>
                    <wps:wsp>
                      <wps:cNvPr id="171" name="tbxIzme"/>
                      <wps:cNvSpPr txBox="1">
                        <a:spLocks noChangeArrowheads="1"/>
                      </wps:cNvSpPr>
                      <wps:spPr bwMode="auto">
                        <a:xfrm>
                          <a:off x="1134" y="15985"/>
                          <a:ext cx="471" cy="284"/>
                        </a:xfrm>
                        <a:prstGeom prst="rect">
                          <a:avLst/>
                        </a:prstGeom>
                        <a:noFill/>
                        <a:ln w="6350">
                          <a:solidFill>
                            <a:srgbClr val="000000"/>
                          </a:solidFill>
                          <a:miter lim="800000"/>
                          <a:headEnd/>
                          <a:tailEnd/>
                        </a:ln>
                      </wps:spPr>
                      <wps:txbx>
                        <w:txbxContent>
                          <w:p w:rsidR="00255CE5" w:rsidRPr="0071048A" w:rsidRDefault="00255CE5" w:rsidP="00080D13">
                            <w:pPr>
                              <w:pStyle w:val="T"/>
                            </w:pPr>
                          </w:p>
                        </w:txbxContent>
                      </wps:txbx>
                      <wps:bodyPr rot="0" vert="horz" wrap="square" lIns="0" tIns="0" rIns="0" bIns="0" anchor="t" anchorCtr="0" upright="1">
                        <a:noAutofit/>
                      </wps:bodyPr>
                    </wps:wsp>
                    <wps:wsp>
                      <wps:cNvPr id="172" name="Text Box 899"/>
                      <wps:cNvSpPr txBox="1">
                        <a:spLocks noChangeArrowheads="1"/>
                      </wps:cNvSpPr>
                      <wps:spPr bwMode="auto">
                        <a:xfrm>
                          <a:off x="1134" y="16268"/>
                          <a:ext cx="471" cy="280"/>
                        </a:xfrm>
                        <a:prstGeom prst="rect">
                          <a:avLst/>
                        </a:prstGeom>
                        <a:noFill/>
                        <a:ln w="19050">
                          <a:solidFill>
                            <a:srgbClr val="000000"/>
                          </a:solidFill>
                          <a:miter lim="800000"/>
                          <a:headEnd/>
                          <a:tailEnd/>
                        </a:ln>
                      </wps:spPr>
                      <wps:txbx>
                        <w:txbxContent>
                          <w:p w:rsidR="00255CE5" w:rsidRPr="00DF2469" w:rsidRDefault="00255CE5" w:rsidP="00080D13">
                            <w:pPr>
                              <w:pStyle w:val="T1"/>
                              <w:spacing w:before="0"/>
                            </w:pPr>
                            <w:r w:rsidRPr="003259C2">
                              <w:t>Изм</w:t>
                            </w:r>
                            <w:r>
                              <w:t>.</w:t>
                            </w:r>
                          </w:p>
                        </w:txbxContent>
                      </wps:txbx>
                      <wps:bodyPr rot="0" vert="horz" wrap="square" lIns="0" tIns="18000" rIns="0" bIns="0" anchor="t" anchorCtr="0" upright="1">
                        <a:noAutofit/>
                      </wps:bodyPr>
                    </wps:wsp>
                    <wps:wsp>
                      <wps:cNvPr id="173" name="tbxIzml"/>
                      <wps:cNvSpPr txBox="1">
                        <a:spLocks noChangeArrowheads="1"/>
                      </wps:cNvSpPr>
                      <wps:spPr bwMode="auto">
                        <a:xfrm>
                          <a:off x="1605" y="15986"/>
                          <a:ext cx="683" cy="282"/>
                        </a:xfrm>
                        <a:prstGeom prst="rect">
                          <a:avLst/>
                        </a:prstGeom>
                        <a:noFill/>
                        <a:ln w="6350">
                          <a:solidFill>
                            <a:srgbClr val="000000"/>
                          </a:solidFill>
                          <a:miter lim="800000"/>
                          <a:headEnd/>
                          <a:tailEnd/>
                        </a:ln>
                      </wps:spPr>
                      <wps:txbx>
                        <w:txbxContent>
                          <w:p w:rsidR="00255CE5" w:rsidRPr="0071048A" w:rsidRDefault="00255CE5" w:rsidP="00080D13">
                            <w:pPr>
                              <w:pStyle w:val="T"/>
                            </w:pPr>
                          </w:p>
                        </w:txbxContent>
                      </wps:txbx>
                      <wps:bodyPr rot="0" vert="horz" wrap="square" lIns="0" tIns="0" rIns="0" bIns="0" anchor="t" anchorCtr="0" upright="1">
                        <a:noAutofit/>
                      </wps:bodyPr>
                    </wps:wsp>
                    <wps:wsp>
                      <wps:cNvPr id="174" name="Text Box 901"/>
                      <wps:cNvSpPr txBox="1">
                        <a:spLocks noChangeArrowheads="1"/>
                      </wps:cNvSpPr>
                      <wps:spPr bwMode="auto">
                        <a:xfrm>
                          <a:off x="1605" y="16268"/>
                          <a:ext cx="683" cy="280"/>
                        </a:xfrm>
                        <a:prstGeom prst="rect">
                          <a:avLst/>
                        </a:prstGeom>
                        <a:noFill/>
                        <a:ln w="19050">
                          <a:solidFill>
                            <a:srgbClr val="000000"/>
                          </a:solidFill>
                          <a:miter lim="800000"/>
                          <a:headEnd/>
                          <a:tailEnd/>
                        </a:ln>
                      </wps:spPr>
                      <wps:txbx>
                        <w:txbxContent>
                          <w:p w:rsidR="00255CE5" w:rsidRPr="00DF2469" w:rsidRDefault="00255CE5" w:rsidP="00080D13">
                            <w:pPr>
                              <w:pStyle w:val="T1"/>
                              <w:spacing w:before="0"/>
                            </w:pPr>
                            <w:r w:rsidRPr="003259C2">
                              <w:t>Лист</w:t>
                            </w:r>
                          </w:p>
                        </w:txbxContent>
                      </wps:txbx>
                      <wps:bodyPr rot="0" vert="horz" wrap="square" lIns="0" tIns="0" rIns="0" bIns="0" anchor="t" anchorCtr="0" upright="1">
                        <a:noAutofit/>
                      </wps:bodyPr>
                    </wps:wsp>
                    <wps:wsp>
                      <wps:cNvPr id="175" name="tbxNdoc"/>
                      <wps:cNvSpPr txBox="1">
                        <a:spLocks noChangeArrowheads="1"/>
                      </wps:cNvSpPr>
                      <wps:spPr bwMode="auto">
                        <a:xfrm>
                          <a:off x="2288" y="15985"/>
                          <a:ext cx="1114" cy="280"/>
                        </a:xfrm>
                        <a:prstGeom prst="rect">
                          <a:avLst/>
                        </a:prstGeom>
                        <a:noFill/>
                        <a:ln w="6350">
                          <a:solidFill>
                            <a:srgbClr val="000000"/>
                          </a:solidFill>
                          <a:miter lim="800000"/>
                          <a:headEnd/>
                          <a:tailEnd/>
                        </a:ln>
                      </wps:spPr>
                      <wps:txbx>
                        <w:txbxContent>
                          <w:p w:rsidR="00255CE5" w:rsidRPr="0071048A" w:rsidRDefault="00255CE5" w:rsidP="00080D13">
                            <w:pPr>
                              <w:pStyle w:val="T"/>
                              <w:jc w:val="both"/>
                              <w:rPr>
                                <w:szCs w:val="20"/>
                              </w:rPr>
                            </w:pPr>
                          </w:p>
                        </w:txbxContent>
                      </wps:txbx>
                      <wps:bodyPr rot="0" vert="horz" wrap="square" lIns="0" tIns="0" rIns="0" bIns="0" anchor="t" anchorCtr="0" upright="1">
                        <a:noAutofit/>
                      </wps:bodyPr>
                    </wps:wsp>
                    <wps:wsp>
                      <wps:cNvPr id="176" name="Text Box 903"/>
                      <wps:cNvSpPr txBox="1">
                        <a:spLocks noChangeArrowheads="1"/>
                      </wps:cNvSpPr>
                      <wps:spPr bwMode="auto">
                        <a:xfrm>
                          <a:off x="2288" y="16268"/>
                          <a:ext cx="1114" cy="278"/>
                        </a:xfrm>
                        <a:prstGeom prst="rect">
                          <a:avLst/>
                        </a:prstGeom>
                        <a:noFill/>
                        <a:ln w="19050">
                          <a:solidFill>
                            <a:srgbClr val="000000"/>
                          </a:solidFill>
                          <a:miter lim="800000"/>
                          <a:headEnd/>
                          <a:tailEnd/>
                        </a:ln>
                      </wps:spPr>
                      <wps:txbx>
                        <w:txbxContent>
                          <w:p w:rsidR="00255CE5" w:rsidRPr="00DF2469" w:rsidRDefault="00255CE5" w:rsidP="00080D13">
                            <w:pPr>
                              <w:pStyle w:val="T1"/>
                              <w:spacing w:before="0"/>
                            </w:pPr>
                            <w:r>
                              <w:t xml:space="preserve">№ </w:t>
                            </w:r>
                            <w:r w:rsidRPr="003259C2">
                              <w:t>докум</w:t>
                            </w:r>
                            <w:r>
                              <w:t>.</w:t>
                            </w:r>
                          </w:p>
                        </w:txbxContent>
                      </wps:txbx>
                      <wps:bodyPr rot="0" vert="horz" wrap="square" lIns="0" tIns="0" rIns="0" bIns="0" anchor="t" anchorCtr="0" upright="1">
                        <a:noAutofit/>
                      </wps:bodyPr>
                    </wps:wsp>
                    <wps:wsp>
                      <wps:cNvPr id="177" name="Text Box 904"/>
                      <wps:cNvSpPr txBox="1">
                        <a:spLocks noChangeArrowheads="1"/>
                      </wps:cNvSpPr>
                      <wps:spPr bwMode="auto">
                        <a:xfrm>
                          <a:off x="3402" y="15984"/>
                          <a:ext cx="850" cy="278"/>
                        </a:xfrm>
                        <a:prstGeom prst="rect">
                          <a:avLst/>
                        </a:prstGeom>
                        <a:noFill/>
                        <a:ln w="6350">
                          <a:solidFill>
                            <a:srgbClr val="000000"/>
                          </a:solidFill>
                          <a:miter lim="800000"/>
                          <a:headEnd/>
                          <a:tailEnd/>
                        </a:ln>
                      </wps:spPr>
                      <wps:txbx>
                        <w:txbxContent>
                          <w:p w:rsidR="00255CE5" w:rsidRDefault="00255CE5" w:rsidP="00080D13">
                            <w:pPr>
                              <w:pStyle w:val="T"/>
                            </w:pPr>
                          </w:p>
                        </w:txbxContent>
                      </wps:txbx>
                      <wps:bodyPr rot="0" vert="horz" wrap="square" lIns="0" tIns="0" rIns="0" bIns="0" anchor="t" anchorCtr="0" upright="1">
                        <a:noAutofit/>
                      </wps:bodyPr>
                    </wps:wsp>
                    <wps:wsp>
                      <wps:cNvPr id="178" name="Text Box 905"/>
                      <wps:cNvSpPr txBox="1">
                        <a:spLocks noChangeArrowheads="1"/>
                      </wps:cNvSpPr>
                      <wps:spPr bwMode="auto">
                        <a:xfrm>
                          <a:off x="3402" y="16268"/>
                          <a:ext cx="857" cy="282"/>
                        </a:xfrm>
                        <a:prstGeom prst="rect">
                          <a:avLst/>
                        </a:prstGeom>
                        <a:noFill/>
                        <a:ln w="19050">
                          <a:solidFill>
                            <a:srgbClr val="000000"/>
                          </a:solidFill>
                          <a:miter lim="800000"/>
                          <a:headEnd/>
                          <a:tailEnd/>
                        </a:ln>
                      </wps:spPr>
                      <wps:txbx>
                        <w:txbxContent>
                          <w:p w:rsidR="00255CE5" w:rsidRPr="00DF2469" w:rsidRDefault="00255CE5" w:rsidP="00080D13">
                            <w:pPr>
                              <w:pStyle w:val="T1"/>
                              <w:spacing w:before="0"/>
                            </w:pPr>
                            <w:r>
                              <w:t>Подп.</w:t>
                            </w:r>
                          </w:p>
                        </w:txbxContent>
                      </wps:txbx>
                      <wps:bodyPr rot="0" vert="horz" wrap="square" lIns="0" tIns="0" rIns="0" bIns="0" anchor="t" anchorCtr="0" upright="1">
                        <a:noAutofit/>
                      </wps:bodyPr>
                    </wps:wsp>
                    <wps:wsp>
                      <wps:cNvPr id="179" name="tbxIzmd"/>
                      <wps:cNvSpPr txBox="1">
                        <a:spLocks noChangeArrowheads="1"/>
                      </wps:cNvSpPr>
                      <wps:spPr bwMode="auto">
                        <a:xfrm>
                          <a:off x="4253" y="15986"/>
                          <a:ext cx="567" cy="276"/>
                        </a:xfrm>
                        <a:prstGeom prst="rect">
                          <a:avLst/>
                        </a:prstGeom>
                        <a:noFill/>
                        <a:ln w="6350">
                          <a:solidFill>
                            <a:srgbClr val="000000"/>
                          </a:solidFill>
                          <a:miter lim="800000"/>
                          <a:headEnd/>
                          <a:tailEnd/>
                        </a:ln>
                      </wps:spPr>
                      <wps:txbx>
                        <w:txbxContent>
                          <w:p w:rsidR="00255CE5" w:rsidRPr="00C12C3D" w:rsidRDefault="00255CE5" w:rsidP="00080D13">
                            <w:pPr>
                              <w:pStyle w:val="T2"/>
                              <w:rPr>
                                <w:b/>
                              </w:rPr>
                            </w:pPr>
                          </w:p>
                        </w:txbxContent>
                      </wps:txbx>
                      <wps:bodyPr rot="0" vert="horz" wrap="square" lIns="0" tIns="18000" rIns="0" bIns="0" anchor="t" anchorCtr="0" upright="1">
                        <a:noAutofit/>
                      </wps:bodyPr>
                    </wps:wsp>
                    <wps:wsp>
                      <wps:cNvPr id="180" name="Text Box 907"/>
                      <wps:cNvSpPr txBox="1">
                        <a:spLocks noChangeArrowheads="1"/>
                      </wps:cNvSpPr>
                      <wps:spPr bwMode="auto">
                        <a:xfrm>
                          <a:off x="4252" y="16268"/>
                          <a:ext cx="567" cy="281"/>
                        </a:xfrm>
                        <a:prstGeom prst="rect">
                          <a:avLst/>
                        </a:prstGeom>
                        <a:noFill/>
                        <a:ln w="19050">
                          <a:solidFill>
                            <a:srgbClr val="000000"/>
                          </a:solidFill>
                          <a:miter lim="800000"/>
                          <a:headEnd/>
                          <a:tailEnd/>
                        </a:ln>
                      </wps:spPr>
                      <wps:txbx>
                        <w:txbxContent>
                          <w:p w:rsidR="00255CE5" w:rsidRPr="009155C0" w:rsidRDefault="00255CE5" w:rsidP="00080D13">
                            <w:pPr>
                              <w:pStyle w:val="T1"/>
                              <w:spacing w:before="0"/>
                            </w:pPr>
                            <w:r w:rsidRPr="003259C2">
                              <w:t>Дата</w:t>
                            </w:r>
                          </w:p>
                        </w:txbxContent>
                      </wps:txbx>
                      <wps:bodyPr rot="0" vert="horz" wrap="square" lIns="0" tIns="0" rIns="0" bIns="0" anchor="t" anchorCtr="0" upright="1">
                        <a:noAutofit/>
                      </wps:bodyPr>
                    </wps:wsp>
                    <wps:wsp>
                      <wps:cNvPr id="181" name="tbxOboz"/>
                      <wps:cNvSpPr txBox="1">
                        <a:spLocks noChangeArrowheads="1"/>
                      </wps:cNvSpPr>
                      <wps:spPr bwMode="auto">
                        <a:xfrm>
                          <a:off x="4820" y="15703"/>
                          <a:ext cx="10964" cy="849"/>
                        </a:xfrm>
                        <a:prstGeom prst="rect">
                          <a:avLst/>
                        </a:prstGeom>
                        <a:noFill/>
                        <a:ln w="19050">
                          <a:solidFill>
                            <a:srgbClr val="000000"/>
                          </a:solidFill>
                          <a:miter lim="800000"/>
                          <a:headEnd/>
                          <a:tailEnd/>
                        </a:ln>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wps:txbx>
                      <wps:bodyPr rot="0" vert="horz" wrap="square" lIns="91440" tIns="0" rIns="91440" bIns="0" anchor="t" anchorCtr="0" upright="1">
                        <a:noAutofit/>
                      </wps:bodyPr>
                    </wps:wsp>
                    <wps:wsp>
                      <wps:cNvPr id="182" name="Text Box 909"/>
                      <wps:cNvSpPr txBox="1">
                        <a:spLocks noChangeArrowheads="1"/>
                      </wps:cNvSpPr>
                      <wps:spPr bwMode="auto">
                        <a:xfrm>
                          <a:off x="15784" y="15704"/>
                          <a:ext cx="567" cy="397"/>
                        </a:xfrm>
                        <a:prstGeom prst="rect">
                          <a:avLst/>
                        </a:prstGeom>
                        <a:noFill/>
                        <a:ln w="19050">
                          <a:solidFill>
                            <a:srgbClr val="000000"/>
                          </a:solidFill>
                          <a:miter lim="800000"/>
                          <a:headEnd/>
                          <a:tailEnd/>
                        </a:ln>
                      </wps:spPr>
                      <wps:txbx>
                        <w:txbxContent>
                          <w:p w:rsidR="00255CE5" w:rsidRPr="00363BE3" w:rsidRDefault="00255CE5" w:rsidP="00080D13">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183" name="tbxPage"/>
                      <wps:cNvSpPr txBox="1">
                        <a:spLocks noChangeArrowheads="1"/>
                      </wps:cNvSpPr>
                      <wps:spPr bwMode="auto">
                        <a:xfrm>
                          <a:off x="15784" y="16101"/>
                          <a:ext cx="567" cy="445"/>
                        </a:xfrm>
                        <a:prstGeom prst="rect">
                          <a:avLst/>
                        </a:prstGeom>
                        <a:noFill/>
                        <a:ln w="19050">
                          <a:solidFill>
                            <a:srgbClr val="000000"/>
                          </a:solidFill>
                          <a:miter lim="800000"/>
                          <a:headEnd/>
                          <a:tailEnd/>
                        </a:ln>
                      </wps:spPr>
                      <wps:txbx>
                        <w:txbxContent>
                          <w:p w:rsidR="00255CE5" w:rsidRPr="00DC0A04" w:rsidRDefault="00255CE5" w:rsidP="00080D13">
                            <w:pPr>
                              <w:pStyle w:val="T5"/>
                            </w:pPr>
                            <w:r>
                              <w:rPr>
                                <w:szCs w:val="20"/>
                              </w:rPr>
                              <w:fldChar w:fldCharType="begin"/>
                            </w:r>
                            <w:r>
                              <w:rPr>
                                <w:szCs w:val="20"/>
                              </w:rPr>
                              <w:instrText xml:space="preserve"> PAGE  </w:instrText>
                            </w:r>
                            <w:r>
                              <w:rPr>
                                <w:szCs w:val="20"/>
                              </w:rPr>
                              <w:fldChar w:fldCharType="separate"/>
                            </w:r>
                            <w:r w:rsidR="00DD2822">
                              <w:rPr>
                                <w:noProof/>
                                <w:szCs w:val="20"/>
                              </w:rPr>
                              <w:t>61</w:t>
                            </w:r>
                            <w:r>
                              <w:rPr>
                                <w:szCs w:val="20"/>
                              </w:rPr>
                              <w:fldChar w:fldCharType="end"/>
                            </w:r>
                          </w:p>
                          <w:p w:rsidR="00255CE5" w:rsidRPr="00AB2209" w:rsidRDefault="00255CE5" w:rsidP="00080D13"/>
                        </w:txbxContent>
                      </wps:txbx>
                      <wps:bodyPr rot="0" vert="horz" wrap="square" lIns="0" tIns="0" rIns="0" bIns="0" anchor="t" anchorCtr="0" upright="1">
                        <a:noAutofit/>
                      </wps:bodyPr>
                    </wps:wsp>
                    <wps:wsp>
                      <wps:cNvPr id="184" name="Line 921"/>
                      <wps:cNvCnPr/>
                      <wps:spPr bwMode="auto">
                        <a:xfrm>
                          <a:off x="1605" y="15704"/>
                          <a:ext cx="0" cy="851"/>
                        </a:xfrm>
                        <a:prstGeom prst="line">
                          <a:avLst/>
                        </a:prstGeom>
                        <a:noFill/>
                        <a:ln w="19050">
                          <a:solidFill>
                            <a:srgbClr val="000000"/>
                          </a:solidFill>
                          <a:round/>
                          <a:headEnd/>
                          <a:tailEnd/>
                        </a:ln>
                      </wps:spPr>
                      <wps:bodyPr/>
                    </wps:wsp>
                    <wps:wsp>
                      <wps:cNvPr id="95" name="Line 922"/>
                      <wps:cNvCnPr/>
                      <wps:spPr bwMode="auto">
                        <a:xfrm>
                          <a:off x="2288" y="15704"/>
                          <a:ext cx="0" cy="850"/>
                        </a:xfrm>
                        <a:prstGeom prst="line">
                          <a:avLst/>
                        </a:prstGeom>
                        <a:noFill/>
                        <a:ln w="19050">
                          <a:solidFill>
                            <a:srgbClr val="000000"/>
                          </a:solidFill>
                          <a:round/>
                          <a:headEnd/>
                          <a:tailEnd/>
                        </a:ln>
                      </wps:spPr>
                      <wps:bodyPr/>
                    </wps:wsp>
                    <wps:wsp>
                      <wps:cNvPr id="96" name="Line 923"/>
                      <wps:cNvCnPr/>
                      <wps:spPr bwMode="auto">
                        <a:xfrm>
                          <a:off x="3402" y="15704"/>
                          <a:ext cx="0" cy="850"/>
                        </a:xfrm>
                        <a:prstGeom prst="line">
                          <a:avLst/>
                        </a:prstGeom>
                        <a:noFill/>
                        <a:ln w="19050">
                          <a:solidFill>
                            <a:srgbClr val="000000"/>
                          </a:solidFill>
                          <a:round/>
                          <a:headEnd/>
                          <a:tailEnd/>
                        </a:ln>
                      </wps:spPr>
                      <wps:bodyPr/>
                    </wps:wsp>
                    <wps:wsp>
                      <wps:cNvPr id="187" name="Line 924"/>
                      <wps:cNvCnPr/>
                      <wps:spPr bwMode="auto">
                        <a:xfrm>
                          <a:off x="4259" y="15705"/>
                          <a:ext cx="0" cy="850"/>
                        </a:xfrm>
                        <a:prstGeom prst="line">
                          <a:avLst/>
                        </a:prstGeom>
                        <a:noFill/>
                        <a:ln w="19050">
                          <a:solidFill>
                            <a:srgbClr val="000000"/>
                          </a:solidFill>
                          <a:round/>
                          <a:headEnd/>
                          <a:tailEnd/>
                        </a:ln>
                      </wps:spPr>
                      <wps:bodyPr/>
                    </wps:wsp>
                    <wps:wsp>
                      <wps:cNvPr id="188" name="Line 925"/>
                      <wps:cNvCnPr/>
                      <wps:spPr bwMode="auto">
                        <a:xfrm flipV="1">
                          <a:off x="1145" y="15703"/>
                          <a:ext cx="14869" cy="1"/>
                        </a:xfrm>
                        <a:prstGeom prst="line">
                          <a:avLst/>
                        </a:prstGeom>
                        <a:noFill/>
                        <a:ln w="19050">
                          <a:solidFill>
                            <a:srgbClr val="000000"/>
                          </a:solidFill>
                          <a:round/>
                          <a:headEnd/>
                          <a:tailEnd/>
                        </a:ln>
                      </wps:spPr>
                      <wps:bodyPr/>
                    </wps:wsp>
                    <wps:wsp>
                      <wps:cNvPr id="98" name="tbxOboz180"/>
                      <wps:cNvSpPr txBox="1">
                        <a:spLocks noChangeArrowheads="1"/>
                      </wps:cNvSpPr>
                      <wps:spPr bwMode="auto">
                        <a:xfrm>
                          <a:off x="1145" y="5149"/>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080D13">
                            <w:pPr>
                              <w:pStyle w:val="T6"/>
                              <w:rPr>
                                <w:lang w:val="en-US"/>
                              </w:rPr>
                            </w:pPr>
                          </w:p>
                        </w:txbxContent>
                      </wps:txbx>
                      <wps:bodyPr rot="0" vert="horz" wrap="square" lIns="0" tIns="0" rIns="0" bIns="0" anchor="t" anchorCtr="0" upright="1">
                        <a:noAutofit/>
                      </wps:bodyPr>
                    </wps:wsp>
                    <wps:wsp>
                      <wps:cNvPr id="99" name="Line 929"/>
                      <wps:cNvCnPr/>
                      <wps:spPr bwMode="auto">
                        <a:xfrm>
                          <a:off x="16350" y="5153"/>
                          <a:ext cx="0" cy="11397"/>
                        </a:xfrm>
                        <a:prstGeom prst="line">
                          <a:avLst/>
                        </a:prstGeom>
                        <a:noFill/>
                        <a:ln w="19050">
                          <a:solidFill>
                            <a:srgbClr val="000000"/>
                          </a:solidFill>
                          <a:round/>
                          <a:headEnd/>
                          <a:tailEnd/>
                        </a:ln>
                      </wps:spPr>
                      <wps:bodyPr/>
                    </wps:wsp>
                    <wps:wsp>
                      <wps:cNvPr id="191" name="Line 930"/>
                      <wps:cNvCnPr/>
                      <wps:spPr bwMode="auto">
                        <a:xfrm>
                          <a:off x="1134" y="5153"/>
                          <a:ext cx="15216" cy="0"/>
                        </a:xfrm>
                        <a:prstGeom prst="line">
                          <a:avLst/>
                        </a:prstGeom>
                        <a:noFill/>
                        <a:ln w="19050">
                          <a:solidFill>
                            <a:srgbClr val="000000"/>
                          </a:solidFill>
                          <a:round/>
                          <a:headEnd/>
                          <a:tailEnd/>
                        </a:ln>
                      </wps:spPr>
                      <wps:bodyPr/>
                    </wps:wsp>
                    <wps:wsp>
                      <wps:cNvPr id="192" name="Line 931"/>
                      <wps:cNvCnPr/>
                      <wps:spPr bwMode="auto">
                        <a:xfrm flipH="1">
                          <a:off x="1134" y="5153"/>
                          <a:ext cx="11" cy="11398"/>
                        </a:xfrm>
                        <a:prstGeom prst="line">
                          <a:avLst/>
                        </a:prstGeom>
                        <a:noFill/>
                        <a:ln w="190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id="Группа 170" o:spid="_x0000_s1132" style="position:absolute;left:0;text-align:left;margin-left:49.55pt;margin-top:33.35pt;width:787.45pt;height:554.2pt;z-index:251668992;mso-position-horizontal-relative:page;mso-position-vertical-relative:page" coordorigin="1134,5149" coordsize="15217,11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">
              <v:shapetype id="_x0000_t202" coordsize="21600,21600" o:spt="202" path="m,l,21600r21600,l21600,xe">
                <v:stroke joinstyle="miter"/>
                <v:path gradientshapeok="t" o:connecttype="rect"/>
              </v:shapetype>
              <v:shape id="tbxIzme" o:spid="_x0000_s1133"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ait8UA&#10;AADcAAAADwAAAGRycy9kb3ducmV2LnhtbERPS2vCQBC+C/0PyxS86SatWEndSCxqe/DiE7xNs9Mk&#10;NDubZldN/71bEHqbj+8501lnanGh1lWWFcTDCARxbnXFhYL9bjmYgHAeWWNtmRT8koNZ+tCbYqLt&#10;lTd02fpChBB2CSoovW8SKV1ekkE3tA1x4L5sa9AH2BZSt3gN4aaWT1E0lgYrDg0lNvRWUv69PRsF&#10;m8/5Mjvlh9X7z2iRjUeL7rh+nivVf+yyVxCeOv8vvrs/dJj/EsPfM+ECm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ZqK3xQAAANwAAAAPAAAAAAAAAAAAAAAAAJgCAABkcnMv&#10;ZG93bnJldi54bWxQSwUGAAAAAAQABAD1AAAAigMAAAAA&#10;" filled="f" strokeweight=".5pt">
                <v:textbox inset="0,0,0,0">
                  <w:txbxContent>
                    <w:p w:rsidR="00255CE5" w:rsidRPr="0071048A" w:rsidRDefault="00255CE5" w:rsidP="00080D13">
                      <w:pPr>
                        <w:pStyle w:val="T"/>
                      </w:pPr>
                    </w:p>
                  </w:txbxContent>
                </v:textbox>
              </v:shape>
              <v:shape id="Text Box 899" o:spid="_x0000_s1134"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MZUcQA&#10;AADcAAAADwAAAGRycy9kb3ducmV2LnhtbERPS2vCQBC+C/6HZQq9mU09+IiuUgRrsadqa+htmp0m&#10;wexsmt3E9N93BcHbfHzPWa57U4mOGldaVvAUxSCIM6tLzhV8HLejGQjnkTVWlknBHzlYr4aDJSba&#10;XviduoPPRQhhl6CCwvs6kdJlBRl0ka2JA/djG4M+wCaXusFLCDeVHMfxRBosOTQUWNOmoOx8aI0C&#10;2//Gk5fvNv/U83T/ln7t9Gm+U+rxoX9egPDU+7v45n7VYf50DNdnwgV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jGVHEAAAA3AAAAA8AAAAAAAAAAAAAAAAAmAIAAGRycy9k&#10;b3ducmV2LnhtbFBLBQYAAAAABAAEAPUAAACJAwAAAAA=&#10;" filled="f" strokeweight="1.5pt">
                <v:textbox inset="0,.5mm,0,0">
                  <w:txbxContent>
                    <w:p w:rsidR="00255CE5" w:rsidRPr="00DF2469" w:rsidRDefault="00255CE5" w:rsidP="00080D13">
                      <w:pPr>
                        <w:pStyle w:val="T1"/>
                        <w:spacing w:before="0"/>
                      </w:pPr>
                      <w:r w:rsidRPr="003259C2">
                        <w:t>Изм</w:t>
                      </w:r>
                      <w:r>
                        <w:t>.</w:t>
                      </w:r>
                    </w:p>
                  </w:txbxContent>
                </v:textbox>
              </v:shape>
              <v:shape id="tbxIzml" o:spid="_x0000_s1135"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ZW8QA&#10;AADcAAAADwAAAGRycy9kb3ducmV2LnhtbERPTWvCQBC9C/6HZQRvurGKltRVoqjtwYtWC71Ns2MS&#10;mp2N2VXTf+8WBG/zeJ8znTemFFeqXWFZwaAfgSBOrS44U3D4XPdeQTiPrLG0TAr+yMF81m5NMdb2&#10;xju67n0mQgi7GBXk3lexlC7NyaDr24o4cCdbG/QB1pnUNd5CuCnlSxSNpcGCQ0OOFS1zSn/3F6Ng&#10;97NYJ9/pcfN+Hq2S8WjVfG2HC6W6nSZ5A+Gp8U/xw/2hw/zJEP6fCR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4mVvEAAAA3AAAAA8AAAAAAAAAAAAAAAAAmAIAAGRycy9k&#10;b3ducmV2LnhtbFBLBQYAAAAABAAEAPUAAACJAwAAAAA=&#10;" filled="f" strokeweight=".5pt">
                <v:textbox inset="0,0,0,0">
                  <w:txbxContent>
                    <w:p w:rsidR="00255CE5" w:rsidRPr="0071048A" w:rsidRDefault="00255CE5" w:rsidP="00080D13">
                      <w:pPr>
                        <w:pStyle w:val="T"/>
                      </w:pPr>
                    </w:p>
                  </w:txbxContent>
                </v:textbox>
              </v:shape>
              <v:shape id="Text Box 901" o:spid="_x0000_s1136"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jMq8EA&#10;AADcAAAADwAAAGRycy9kb3ducmV2LnhtbERPzYrCMBC+L/gOYQRva6p2V61GEaHiZQ/+PMDYjG21&#10;mZQman17Iwh7m4/vd+bL1lTiTo0rLSsY9CMQxJnVJecKjof0ewLCeWSNlWVS8CQHy0Xna46Jtg/e&#10;0X3vcxFC2CWooPC+TqR0WUEGXd/WxIE728agD7DJpW7wEcJNJYdR9CsNlhwaCqxpXVB23d+Mgs3l&#10;tIvKURxP02z0Y/4usdbpVqlet13NQHhq/b/4497qMH8cw/uZcIF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ozKvBAAAA3AAAAA8AAAAAAAAAAAAAAAAAmAIAAGRycy9kb3du&#10;cmV2LnhtbFBLBQYAAAAABAAEAPUAAACGAwAAAAA=&#10;" filled="f" strokeweight="1.5pt">
                <v:textbox inset="0,0,0,0">
                  <w:txbxContent>
                    <w:p w:rsidR="00255CE5" w:rsidRPr="00DF2469" w:rsidRDefault="00255CE5" w:rsidP="00080D13">
                      <w:pPr>
                        <w:pStyle w:val="T1"/>
                        <w:spacing w:before="0"/>
                      </w:pPr>
                      <w:r w:rsidRPr="003259C2">
                        <w:t>Лист</w:t>
                      </w:r>
                    </w:p>
                  </w:txbxContent>
                </v:textbox>
              </v:shape>
              <v:shape id="tbxNdoc" o:spid="_x0000_s1137"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2ktMUA&#10;AADcAAAADwAAAGRycy9kb3ducmV2LnhtbERPTU/CQBC9m/AfNkPCTbYqAikspJiCHLyAQsJt6I5t&#10;Y3e2dBeo/94lMeE2L+9zpvPWVOJCjSstK3jqRyCIM6tLzhV8fS4fxyCcR9ZYWSYFv+RgPus8TDHW&#10;9sobumx9LkIIuxgVFN7XsZQuK8ig69uaOHDftjHoA2xyqRu8hnBTyecoGkqDJYeGAmt6Kyj72Z6N&#10;gs1xsUwO2W71fhqkyXCQtvuPl4VSvW6bTEB4av1d/O9e6zB/9Aq3Z8IF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aS0xQAAANwAAAAPAAAAAAAAAAAAAAAAAJgCAABkcnMv&#10;ZG93bnJldi54bWxQSwUGAAAAAAQABAD1AAAAigMAAAAA&#10;" filled="f" strokeweight=".5pt">
                <v:textbox inset="0,0,0,0">
                  <w:txbxContent>
                    <w:p w:rsidR="00255CE5" w:rsidRPr="0071048A" w:rsidRDefault="00255CE5" w:rsidP="00080D13">
                      <w:pPr>
                        <w:pStyle w:val="T"/>
                        <w:jc w:val="both"/>
                        <w:rPr>
                          <w:szCs w:val="20"/>
                        </w:rPr>
                      </w:pPr>
                    </w:p>
                  </w:txbxContent>
                </v:textbox>
              </v:shape>
              <v:shape id="Text Box 903" o:spid="_x0000_s1138"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3R8MA&#10;AADcAAAADwAAAGRycy9kb3ducmV2LnhtbERPS27CMBDdI3EHa5C6I05LyifFoAopFZsuSHuAwZ4m&#10;ofE4ig2kt6+RkNjN0/vOejvYVlyo941jBc9JCoJYO9NwpeD7q5guQfiAbLB1TAr+yMN2Mx6tMTfu&#10;yge6lKESMYR9jgrqELpcSq9rsugT1xFH7sf1FkOEfSVNj9cYblv5kqZzabHh2FBjR7ua9G95tgo+&#10;TsdD2syybFXo2av9PGXGFHulnibD+xuIQEN4iO/uvYnzF3O4PRMvkJ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b3R8MAAADcAAAADwAAAAAAAAAAAAAAAACYAgAAZHJzL2Rv&#10;d25yZXYueG1sUEsFBgAAAAAEAAQA9QAAAIgDAAAAAA==&#10;" filled="f" strokeweight="1.5pt">
                <v:textbox inset="0,0,0,0">
                  <w:txbxContent>
                    <w:p w:rsidR="00255CE5" w:rsidRPr="00DF2469" w:rsidRDefault="00255CE5" w:rsidP="00080D13">
                      <w:pPr>
                        <w:pStyle w:val="T1"/>
                        <w:spacing w:before="0"/>
                      </w:pPr>
                      <w:r>
                        <w:t xml:space="preserve">№ </w:t>
                      </w:r>
                      <w:r w:rsidRPr="003259C2">
                        <w:t>докум</w:t>
                      </w:r>
                      <w:r>
                        <w:t>.</w:t>
                      </w:r>
                    </w:p>
                  </w:txbxContent>
                </v:textbox>
              </v:shape>
              <v:shape id="Text Box 904" o:spid="_x0000_s1139"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OfWMUA&#10;AADcAAAADwAAAGRycy9kb3ducmV2LnhtbERPS2vCQBC+F/wPywi91Y2taImukhRfh160WuhtzI5J&#10;aHY2zW5j/PfdguBtPr7nzBadqURLjSstKxgOIhDEmdUl5woOH6unVxDOI2usLJOCKzlYzHsPM4y1&#10;vfCO2r3PRQhhF6OCwvs6ltJlBRl0A1sTB+5sG4M+wCaXusFLCDeVfI6isTRYcmgosKa3grLv/a9R&#10;sDulq+QrO643P6NlMh4tu8/3l1Spx36XTEF46vxdfHNvdZg/mcD/M+EC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59YxQAAANwAAAAPAAAAAAAAAAAAAAAAAJgCAABkcnMv&#10;ZG93bnJldi54bWxQSwUGAAAAAAQABAD1AAAAigMAAAAA&#10;" filled="f" strokeweight=".5pt">
                <v:textbox inset="0,0,0,0">
                  <w:txbxContent>
                    <w:p w:rsidR="00255CE5" w:rsidRDefault="00255CE5" w:rsidP="00080D13">
                      <w:pPr>
                        <w:pStyle w:val="T"/>
                      </w:pPr>
                    </w:p>
                  </w:txbxContent>
                </v:textbox>
              </v:shape>
              <v:shape id="Text Box 905" o:spid="_x0000_s1140"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XGrsUA&#10;AADcAAAADwAAAGRycy9kb3ducmV2LnhtbESPzW7CQAyE75V4h5WRuJUNkFJIWRCqFMSlB34ewM26&#10;SSDrjbJbCG+PD5V6szXjmc+rTe8adaMu1J4NTMYJKOLC25pLA+dT/roAFSKyxcYzGXhQgM168LLC&#10;zPo7H+h2jKWSEA4ZGqhibDOtQ1GRwzD2LbFoP75zGGXtSm07vEu4a/Q0SebaYc3SUGFLnxUV1+Ov&#10;M7C7fB+Sepamy7yYvbmvS2ptvjdmNOy3H6Ai9fHf/He9t4L/LrTyjEy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cauxQAAANwAAAAPAAAAAAAAAAAAAAAAAJgCAABkcnMv&#10;ZG93bnJldi54bWxQSwUGAAAAAAQABAD1AAAAigMAAAAA&#10;" filled="f" strokeweight="1.5pt">
                <v:textbox inset="0,0,0,0">
                  <w:txbxContent>
                    <w:p w:rsidR="00255CE5" w:rsidRPr="00DF2469" w:rsidRDefault="00255CE5" w:rsidP="00080D13">
                      <w:pPr>
                        <w:pStyle w:val="T1"/>
                        <w:spacing w:before="0"/>
                      </w:pPr>
                      <w:r>
                        <w:t>Подп.</w:t>
                      </w:r>
                    </w:p>
                  </w:txbxContent>
                </v:textbox>
              </v:shape>
              <v:shape id="tbxIzmd" o:spid="_x0000_s1141"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qOgMIA&#10;AADcAAAADwAAAGRycy9kb3ducmV2LnhtbERPPW/CMBDdkfofrKvUDRxaRNs0BlWtkFiBLtmu8RGn&#10;xOcQm2D+PUZC6nZP7/OKZbStGKj3jWMF00kGgrhyuuFawc9uNX4D4QOyxtYxKbiQh+XiYVRgrt2Z&#10;NzRsQy1SCPscFZgQulxKXxmy6CeuI07c3vUWQ4J9LXWP5xRuW/mcZXNpseHUYLCjL0PVYXuyCuLf&#10;5Xv6si8pnLrZweDu+BvLo1JPj/HzA0SgGP7Fd/dap/mv73B7Jl0gF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ao6AwgAAANwAAAAPAAAAAAAAAAAAAAAAAJgCAABkcnMvZG93&#10;bnJldi54bWxQSwUGAAAAAAQABAD1AAAAhwMAAAAA&#10;" filled="f" strokeweight=".5pt">
                <v:textbox inset="0,.5mm,0,0">
                  <w:txbxContent>
                    <w:p w:rsidR="00255CE5" w:rsidRPr="00C12C3D" w:rsidRDefault="00255CE5" w:rsidP="00080D13">
                      <w:pPr>
                        <w:pStyle w:val="T2"/>
                        <w:rPr>
                          <w:b/>
                        </w:rPr>
                      </w:pPr>
                    </w:p>
                  </w:txbxContent>
                </v:textbox>
              </v:shape>
              <v:shape id="Text Box 907" o:spid="_x0000_s1142"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a6j8UA&#10;AADcAAAADwAAAGRycy9kb3ducmV2LnhtbESPzW7CQAyE75X6DitX6q1sgLSiIQtCSKm49AD0Adys&#10;yQ9Zb5RdILw9PlTqzdaMZz7n69F16kpDaDwbmE4SUMSltw1XBn6OxdsCVIjIFjvPZOBOAdar56cc&#10;M+tvvKfrIVZKQjhkaKCOsc+0DmVNDsPE98SinfzgMMo6VNoOeJNw1+lZknxohw1LQ409bWsqz4eL&#10;M/DV/u6TZp6mn0U5f3ffbWptsTPm9WXcLEFFGuO/+e96ZwV/IfjyjEy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rqPxQAAANwAAAAPAAAAAAAAAAAAAAAAAJgCAABkcnMv&#10;ZG93bnJldi54bWxQSwUGAAAAAAQABAD1AAAAigMAAAAA&#10;" filled="f" strokeweight="1.5pt">
                <v:textbox inset="0,0,0,0">
                  <w:txbxContent>
                    <w:p w:rsidR="00255CE5" w:rsidRPr="009155C0" w:rsidRDefault="00255CE5" w:rsidP="00080D13">
                      <w:pPr>
                        <w:pStyle w:val="T1"/>
                        <w:spacing w:before="0"/>
                      </w:pPr>
                      <w:r w:rsidRPr="003259C2">
                        <w:t>Дата</w:t>
                      </w:r>
                    </w:p>
                  </w:txbxContent>
                </v:textbox>
              </v:shape>
              <v:shape id="tbxOboz" o:spid="_x0000_s1143" type="#_x0000_t202" style="position:absolute;left:4820;top:15703;width:1096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2vMQA&#10;AADcAAAADwAAAGRycy9kb3ducmV2LnhtbERP22rCQBB9L/Qflin4UszGgkWiq4hiFQql3vI8ZMck&#10;mJ0N2TWXv+8WCn2bw7nOYtWbSrTUuNKygkkUgyDOrC45V3A578YzEM4ja6wsk4KBHKyWz08LTLTt&#10;+EjtyecihLBLUEHhfZ1I6bKCDLrI1sSBu9nGoA+wyaVusAvhppJvcfwuDZYcGgqsaVNQdj89jIJu&#10;ONTD8esz/X7dX9Phsmm3H9ObUqOXfj0H4an3/+I/90GH+bMJ/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PtrzEAAAA3AAAAA8AAAAAAAAAAAAAAAAAmAIAAGRycy9k&#10;b3ducmV2LnhtbFBLBQYAAAAABAAEAPUAAACJAw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v:textbox>
              </v:shape>
              <v:shape id="Text Box 909" o:spid="_x0000_s1144" type="#_x0000_t202" style="position:absolute;left:15784;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iBY8IA&#10;AADcAAAADwAAAGRycy9kb3ducmV2LnhtbERPzWrCQBC+F3yHZQRvdaOmkqauIkLESw9GH2C6O02i&#10;2dmQXTW+fbdQ6G0+vt9ZbQbbijv1vnGsYDZNQBBrZxquFJxPxWsGwgdkg61jUvAkD5v16GWFuXEP&#10;PtK9DJWIIexzVFCH0OVSel2TRT91HXHkvl1vMUTYV9L0+IjhtpXzJFlKiw3Hhho72tWkr+XNKthf&#10;vo5Js0jT90Iv3uznJTWmOCg1GQ/bDxCBhvAv/nMfTJyfzeH3mXi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IFjwgAAANwAAAAPAAAAAAAAAAAAAAAAAJgCAABkcnMvZG93&#10;bnJldi54bWxQSwUGAAAAAAQABAD1AAAAhwMAAAAA&#10;" filled="f" strokeweight="1.5pt">
                <v:textbox inset="0,0,0,0">
                  <w:txbxContent>
                    <w:p w:rsidR="00255CE5" w:rsidRPr="00363BE3" w:rsidRDefault="00255CE5" w:rsidP="00080D13">
                      <w:pPr>
                        <w:pStyle w:val="T20"/>
                        <w:rPr>
                          <w:sz w:val="20"/>
                          <w:szCs w:val="20"/>
                        </w:rPr>
                      </w:pPr>
                      <w:r w:rsidRPr="00363BE3">
                        <w:rPr>
                          <w:sz w:val="20"/>
                          <w:szCs w:val="20"/>
                        </w:rPr>
                        <w:t>Лист</w:t>
                      </w:r>
                    </w:p>
                  </w:txbxContent>
                </v:textbox>
              </v:shape>
              <v:shape id="tbxPage" o:spid="_x0000_s1145" type="#_x0000_t202" style="position:absolute;left:15784;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Qk+MEA&#10;AADcAAAADwAAAGRycy9kb3ducmV2LnhtbERPzYrCMBC+C75DmIW9abq2inaNIkIXLx6sPsDYjG3d&#10;ZlKarHbf3giCt/n4fme57k0jbtS52rKCr3EEgriwuuZSwemYjeYgnEfW2FgmBf/kYL0aDpaYanvn&#10;A91yX4oQwi5FBZX3bSqlKyoy6Ma2JQ7cxXYGfYBdKXWH9xBuGjmJopk0WHNoqLClbUXFb/5nFPxc&#10;z4eojpNkkRXx1OyvidbZTqnPj37zDcJT79/il3unw/x5DM9nwgV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JPjBAAAA3AAAAA8AAAAAAAAAAAAAAAAAmAIAAGRycy9kb3du&#10;cmV2LnhtbFBLBQYAAAAABAAEAPUAAACGAwAAAAA=&#10;" filled="f" strokeweight="1.5pt">
                <v:textbox inset="0,0,0,0">
                  <w:txbxContent>
                    <w:p w:rsidR="00255CE5" w:rsidRPr="00DC0A04" w:rsidRDefault="00255CE5" w:rsidP="00080D13">
                      <w:pPr>
                        <w:pStyle w:val="T5"/>
                      </w:pPr>
                      <w:r>
                        <w:rPr>
                          <w:szCs w:val="20"/>
                        </w:rPr>
                        <w:fldChar w:fldCharType="begin"/>
                      </w:r>
                      <w:r>
                        <w:rPr>
                          <w:szCs w:val="20"/>
                        </w:rPr>
                        <w:instrText xml:space="preserve"> PAGE  </w:instrText>
                      </w:r>
                      <w:r>
                        <w:rPr>
                          <w:szCs w:val="20"/>
                        </w:rPr>
                        <w:fldChar w:fldCharType="separate"/>
                      </w:r>
                      <w:r w:rsidR="00DD2822">
                        <w:rPr>
                          <w:noProof/>
                          <w:szCs w:val="20"/>
                        </w:rPr>
                        <w:t>61</w:t>
                      </w:r>
                      <w:r>
                        <w:rPr>
                          <w:szCs w:val="20"/>
                        </w:rPr>
                        <w:fldChar w:fldCharType="end"/>
                      </w:r>
                    </w:p>
                    <w:p w:rsidR="00255CE5" w:rsidRPr="00AB2209" w:rsidRDefault="00255CE5" w:rsidP="00080D13"/>
                  </w:txbxContent>
                </v:textbox>
              </v:shape>
              <v:line id="Line 921" o:spid="_x0000_s1146"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noPMIAAADcAAAADwAAAGRycy9kb3ducmV2LnhtbERPTWvCQBC9F/wPywje6sZaikRXEcFa&#10;ejOK4G3IjklMdjbubjT9926h0Ns83ucsVr1pxJ2crywrmIwTEMS51RUXCo6H7esMhA/IGhvLpOCH&#10;PKyWg5cFpto+eE/3LBQihrBPUUEZQptK6fOSDPqxbYkjd7HOYIjQFVI7fMRw08i3JPmQBiuODSW2&#10;tCkpr7POKDh1GZ+v9dY12H3udpfTrfbTb6VGw349BxGoD//iP/eXjvNn7/D7TLx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0noPMIAAADcAAAADwAAAAAAAAAAAAAA&#10;AAChAgAAZHJzL2Rvd25yZXYueG1sUEsFBgAAAAAEAAQA+QAAAJADAAAAAA==&#10;" strokeweight="1.5pt"/>
              <v:line id="Line 922" o:spid="_x0000_s1147"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G0rMQAAADbAAAADwAAAGRycy9kb3ducmV2LnhtbESPT2vCQBTE74V+h+UVvNWNlUqNriKC&#10;f+itqQjeHtlnEpN9m+5uNP323YLgcZiZ3zDzZW8acSXnK8sKRsMEBHFudcWFgsP35vUDhA/IGhvL&#10;pOCXPCwXz09zTLW98Rdds1CICGGfooIyhDaV0uclGfRD2xJH72ydwRClK6R2eItw08i3JJlIgxXH&#10;hRJbWpeU11lnFBy7jE+XeuMa7La73fn4U/vxp1KDl341AxGoD4/wvb3XCqbv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gbSsxAAAANsAAAAPAAAAAAAAAAAA&#10;AAAAAKECAABkcnMvZG93bnJldi54bWxQSwUGAAAAAAQABAD5AAAAkgMAAAAA&#10;" strokeweight="1.5pt"/>
              <v:line id="Line 923" o:spid="_x0000_s1148"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Mq28MAAADbAAAADwAAAGRycy9kb3ducmV2LnhtbESPQWvCQBSE7wX/w/KE3urGClKjq4ig&#10;Fm+NInh7ZJ9JTPZturvR+O+7hUKPw8x8wyxWvWnEnZyvLCsYjxIQxLnVFRcKTsft2wcIH5A1NpZJ&#10;wZM8rJaDlwWm2j74i+5ZKESEsE9RQRlCm0rp85IM+pFtiaN3tc5giNIVUjt8RLhp5HuSTKXBiuNC&#10;iS1tSsrrrDMKzl3Gl1u9dQ12u/3+ev6u/eSg1OuwX89BBOrDf/iv/akVzKb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TKtvDAAAA2wAAAA8AAAAAAAAAAAAA&#10;AAAAoQIAAGRycy9kb3ducmV2LnhtbFBLBQYAAAAABAAEAPkAAACRAwAAAAA=&#10;" strokeweight="1.5pt"/>
              <v:line id="Line 924" o:spid="_x0000_s1149"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2S8IAAADcAAAADwAAAGRycy9kb3ducmV2LnhtbERPTWvCQBC9F/wPywje6sYKrURXEcFa&#10;ejOK4G3IjklMdjbubjT9926h0Ns83ucsVr1pxJ2crywrmIwTEMS51RUXCo6H7esMhA/IGhvLpOCH&#10;PKyWg5cFpto+eE/3LBQihrBPUUEZQptK6fOSDPqxbYkjd7HOYIjQFVI7fMRw08i3JHmXBiuODSW2&#10;tCkpr7POKDh1GZ+v9dY12H3udpfTrfbTb6VGw349BxGoD//iP/eXjvNnH/D7TLx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t2S8IAAADcAAAADwAAAAAAAAAAAAAA&#10;AAChAgAAZHJzL2Rvd25yZXYueG1sUEsFBgAAAAAEAAQA+QAAAJADAAAAAA==&#10;" strokeweight="1.5pt"/>
              <v:line id="Line 925" o:spid="_x0000_s1150" style="position:absolute;flip:y;visibility:visible;mso-wrap-style:square" from="1145,15703" to="16014,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IgC8QAAADcAAAADwAAAGRycy9kb3ducmV2LnhtbESPQWsCMRCF74X+hzBCbzWrB5GtUUQQ&#10;FHtoreB12Mxulm4mS5K667/vHARvM7w3732z2oy+UzeKqQ1sYDYtQBFXwbbcGLj87N+XoFJGttgF&#10;JgN3SrBZv76ssLRh4G+6nXOjJIRTiQZczn2pdaoceUzT0BOLVofoMcsaG20jDhLuOz0vioX22LI0&#10;OOxp56j6Pf95A/p4Gr7ifn6pm/rQh+vRfS6G0Zi3ybj9AJVpzE/z4/pgBX8ptPKMTK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YiALxAAAANwAAAAPAAAAAAAAAAAA&#10;AAAAAKECAABkcnMvZG93bnJldi54bWxQSwUGAAAAAAQABAD5AAAAkgMAAAAA&#10;" strokeweight="1.5pt"/>
              <v:shape id="tbxOboz180" o:spid="_x0000_s1151" type="#_x0000_t202" style="position:absolute;left:1145;top:5149;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NlsAA&#10;AADbAAAADwAAAGRycy9kb3ducmV2LnhtbERPy4rCMBTdC/MP4Q6403REZOwYRQYFlz7qYnaX5tpU&#10;m5vYRK1/bxbCLA/nPVt0thF3akPtWMHXMANBXDpdc6WgOKwH3yBCRNbYOCYFTwqwmH/0Zphr9+Ad&#10;3fexEimEQ44KTIw+lzKUhiyGofPEiTu51mJMsK2kbvGRwm0jR1k2kRZrTg0GPf0aKi/7m1Ww8sfV&#10;2l/Pf+WzK5ZbYzb6cBkr1f/slj8gInXxX/x2b7SCaRqbvqQfIO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mNlsAAAADbAAAADwAAAAAAAAAAAAAAAACYAgAAZHJzL2Rvd25y&#10;ZXYueG1sUEsFBgAAAAAEAAQA9QAAAIUDAAAAAA==&#10;" strokeweight="1.5pt">
                <v:textbox inset="0,0,0,0">
                  <w:txbxContent>
                    <w:p w:rsidR="00255CE5" w:rsidRPr="00BB0B43" w:rsidRDefault="00255CE5" w:rsidP="00080D13">
                      <w:pPr>
                        <w:pStyle w:val="T6"/>
                        <w:rPr>
                          <w:lang w:val="en-US"/>
                        </w:rPr>
                      </w:pPr>
                    </w:p>
                  </w:txbxContent>
                </v:textbox>
              </v:shape>
              <v:line id="Line 929" o:spid="_x0000_s1152" style="position:absolute;visibility:visible;mso-wrap-style:square" from="16350,5153" to="16350,165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y+qcMAAADbAAAADwAAAGRycy9kb3ducmV2LnhtbESPQWvCQBSE7wX/w/IEb3VjhVKjq4hg&#10;Lb0ZRfD2yD6TmOzbuLvR9N+7hUKPw8x8wyxWvWnEnZyvLCuYjBMQxLnVFRcKjoft6wcIH5A1NpZJ&#10;wQ95WC0HLwtMtX3wnu5ZKESEsE9RQRlCm0rp85IM+rFtiaN3sc5giNIVUjt8RLhp5FuSvEuDFceF&#10;ElvalJTXWWcUnLqMz9d66xrsPne7y+lW++m3UqNhv56DCNSH//Bf+0srmM3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MvqnDAAAA2wAAAA8AAAAAAAAAAAAA&#10;AAAAoQIAAGRycy9kb3ducmV2LnhtbFBLBQYAAAAABAAEAPkAAACRAwAAAAA=&#10;" strokeweight="1.5pt"/>
              <v:line id="Line 930" o:spid="_x0000_s1153" style="position:absolute;visibility:visible;mso-wrap-style:square" from="1134,5153" to="16350,5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fdecIAAADcAAAADwAAAGRycy9kb3ducmV2LnhtbERPTWvCQBC9F/wPywje6sYKpUZXEcFa&#10;ejOK4G3IjklMdjbubjT9926h0Ns83ucsVr1pxJ2crywrmIwTEMS51RUXCo6H7esHCB+QNTaWScEP&#10;eVgtBy8LTLV98J7uWShEDGGfooIyhDaV0uclGfRj2xJH7mKdwRChK6R2+IjhppFvSfIuDVYcG0ps&#10;aVNSXmedUXDqMj5f661rsPvc7S6nW+2n30qNhv16DiJQH/7Ff+4vHefPJvD7TLx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ufdecIAAADcAAAADwAAAAAAAAAAAAAA&#10;AAChAgAAZHJzL2Rvd25yZXYueG1sUEsFBgAAAAAEAAQA+QAAAJADAAAAAA==&#10;" strokeweight="1.5pt"/>
              <v:line id="Line 931" o:spid="_x0000_s1154" style="position:absolute;flip:x;visibility:visible;mso-wrap-style:square" from="1134,5153" to="1145,16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OBPMEAAADcAAAADwAAAGRycy9kb3ducmV2LnhtbERPTYvCMBC9L/gfwgh7W1N7ELcaRQRB&#10;2T24KngdmmlTbCYlibb+e7OwsLd5vM9Zrgfbigf50DhWMJ1kIIhLpxuuFVzOu485iBCRNbaOScGT&#10;AqxXo7clFtr1/EOPU6xFCuFQoAITY1dIGUpDFsPEdcSJq5y3GBP0tdQe+xRuW5ln2UxabDg1GOxo&#10;a6i8ne5WgTx89Ue/yy9VXe07dz2Y71k/KPU+HjYLEJGG+C/+c+91mv+Zw+8z6QK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U4E8wQAAANwAAAAPAAAAAAAAAAAAAAAA&#10;AKECAABkcnMvZG93bnJldi54bWxQSwUGAAAAAAQABAD5AAAAjwMAAAAA&#10;" strokeweight="1.5pt"/>
              <w10:wrap anchorx="page" anchory="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80256" behindDoc="0" locked="0" layoutInCell="1" allowOverlap="1" wp14:anchorId="1E4216E5" wp14:editId="6875013E">
              <wp:simplePos x="0" y="0"/>
              <wp:positionH relativeFrom="page">
                <wp:posOffset>541020</wp:posOffset>
              </wp:positionH>
              <wp:positionV relativeFrom="page">
                <wp:posOffset>416369</wp:posOffset>
              </wp:positionV>
              <wp:extent cx="6893560" cy="10039985"/>
              <wp:effectExtent l="0" t="0" r="21590" b="37465"/>
              <wp:wrapNone/>
              <wp:docPr id="88"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89"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pPr>
                          </w:p>
                        </w:txbxContent>
                      </wps:txbx>
                      <wps:bodyPr rot="0" vert="horz" wrap="square" lIns="0" tIns="0" rIns="0" bIns="0" anchor="t" anchorCtr="0" upright="1">
                        <a:noAutofit/>
                      </wps:bodyPr>
                    </wps:wsp>
                    <wps:wsp>
                      <wps:cNvPr id="90"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rsidRPr="003259C2">
                              <w:t>Изм</w:t>
                            </w:r>
                            <w:r>
                              <w:t>.</w:t>
                            </w:r>
                          </w:p>
                        </w:txbxContent>
                      </wps:txbx>
                      <wps:bodyPr rot="0" vert="horz" wrap="square" lIns="0" tIns="18000" rIns="0" bIns="0" anchor="t" anchorCtr="0" upright="1">
                        <a:noAutofit/>
                      </wps:bodyPr>
                    </wps:wsp>
                    <wps:wsp>
                      <wps:cNvPr id="91"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pPr>
                          </w:p>
                        </w:txbxContent>
                      </wps:txbx>
                      <wps:bodyPr rot="0" vert="horz" wrap="square" lIns="0" tIns="0" rIns="0" bIns="0" anchor="t" anchorCtr="0" upright="1">
                        <a:noAutofit/>
                      </wps:bodyPr>
                    </wps:wsp>
                    <wps:wsp>
                      <wps:cNvPr id="92"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rsidRPr="003259C2">
                              <w:t>Лист</w:t>
                            </w:r>
                          </w:p>
                        </w:txbxContent>
                      </wps:txbx>
                      <wps:bodyPr rot="0" vert="horz" wrap="square" lIns="0" tIns="0" rIns="0" bIns="0" anchor="t" anchorCtr="0" upright="1">
                        <a:noAutofit/>
                      </wps:bodyPr>
                    </wps:wsp>
                    <wps:wsp>
                      <wps:cNvPr id="93"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615666">
                            <w:pPr>
                              <w:pStyle w:val="T"/>
                              <w:jc w:val="both"/>
                              <w:rPr>
                                <w:szCs w:val="20"/>
                              </w:rPr>
                            </w:pPr>
                          </w:p>
                        </w:txbxContent>
                      </wps:txbx>
                      <wps:bodyPr rot="0" vert="horz" wrap="square" lIns="0" tIns="0" rIns="0" bIns="0" anchor="t" anchorCtr="0" upright="1">
                        <a:noAutofit/>
                      </wps:bodyPr>
                    </wps:wsp>
                    <wps:wsp>
                      <wps:cNvPr id="94"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t xml:space="preserve">№ </w:t>
                            </w:r>
                            <w:r w:rsidRPr="003259C2">
                              <w:t>докум</w:t>
                            </w:r>
                            <w:r>
                              <w:t>.</w:t>
                            </w:r>
                          </w:p>
                        </w:txbxContent>
                      </wps:txbx>
                      <wps:bodyPr rot="0" vert="horz" wrap="square" lIns="0" tIns="0" rIns="0" bIns="0" anchor="t" anchorCtr="0" upright="1">
                        <a:noAutofit/>
                      </wps:bodyPr>
                    </wps:wsp>
                    <wps:wsp>
                      <wps:cNvPr id="100"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615666">
                            <w:pPr>
                              <w:pStyle w:val="T"/>
                            </w:pPr>
                          </w:p>
                        </w:txbxContent>
                      </wps:txbx>
                      <wps:bodyPr rot="0" vert="horz" wrap="square" lIns="0" tIns="0" rIns="0" bIns="0" anchor="t" anchorCtr="0" upright="1">
                        <a:noAutofit/>
                      </wps:bodyPr>
                    </wps:wsp>
                    <wps:wsp>
                      <wps:cNvPr id="130"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615666">
                            <w:pPr>
                              <w:pStyle w:val="T1"/>
                              <w:spacing w:before="0"/>
                            </w:pPr>
                            <w:r>
                              <w:t>Подп.</w:t>
                            </w:r>
                          </w:p>
                        </w:txbxContent>
                      </wps:txbx>
                      <wps:bodyPr rot="0" vert="horz" wrap="square" lIns="0" tIns="0" rIns="0" bIns="0" anchor="t" anchorCtr="0" upright="1">
                        <a:noAutofit/>
                      </wps:bodyPr>
                    </wps:wsp>
                    <wps:wsp>
                      <wps:cNvPr id="186"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615666">
                            <w:pPr>
                              <w:pStyle w:val="T2"/>
                              <w:rPr>
                                <w:b/>
                              </w:rPr>
                            </w:pPr>
                          </w:p>
                        </w:txbxContent>
                      </wps:txbx>
                      <wps:bodyPr rot="0" vert="horz" wrap="square" lIns="0" tIns="18000" rIns="0" bIns="0" anchor="t" anchorCtr="0" upright="1">
                        <a:noAutofit/>
                      </wps:bodyPr>
                    </wps:wsp>
                    <wps:wsp>
                      <wps:cNvPr id="194"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615666">
                            <w:pPr>
                              <w:pStyle w:val="T1"/>
                              <w:spacing w:before="0"/>
                            </w:pPr>
                            <w:r w:rsidRPr="003259C2">
                              <w:t>Дата</w:t>
                            </w:r>
                          </w:p>
                        </w:txbxContent>
                      </wps:txbx>
                      <wps:bodyPr rot="0" vert="horz" wrap="square" lIns="0" tIns="0" rIns="0" bIns="0" anchor="t" anchorCtr="0" upright="1">
                        <a:noAutofit/>
                      </wps:bodyPr>
                    </wps:wsp>
                    <wps:wsp>
                      <wps:cNvPr id="195"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wps:txbx>
                      <wps:bodyPr rot="0" vert="horz" wrap="square" lIns="91440" tIns="0" rIns="91440" bIns="0" anchor="t" anchorCtr="0" upright="1">
                        <a:noAutofit/>
                      </wps:bodyPr>
                    </wps:wsp>
                    <wps:wsp>
                      <wps:cNvPr id="196"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615666">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197"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615666">
                            <w:pPr>
                              <w:pStyle w:val="T5"/>
                            </w:pPr>
                            <w:r>
                              <w:rPr>
                                <w:szCs w:val="20"/>
                              </w:rPr>
                              <w:fldChar w:fldCharType="begin"/>
                            </w:r>
                            <w:r>
                              <w:rPr>
                                <w:szCs w:val="20"/>
                              </w:rPr>
                              <w:instrText xml:space="preserve"> PAGE  </w:instrText>
                            </w:r>
                            <w:r>
                              <w:rPr>
                                <w:szCs w:val="20"/>
                              </w:rPr>
                              <w:fldChar w:fldCharType="separate"/>
                            </w:r>
                            <w:r w:rsidR="00DD2822">
                              <w:rPr>
                                <w:noProof/>
                                <w:szCs w:val="20"/>
                              </w:rPr>
                              <w:t>908</w:t>
                            </w:r>
                            <w:r>
                              <w:rPr>
                                <w:szCs w:val="20"/>
                              </w:rPr>
                              <w:fldChar w:fldCharType="end"/>
                            </w:r>
                          </w:p>
                          <w:p w:rsidR="00255CE5" w:rsidRPr="00AB2209" w:rsidRDefault="00255CE5" w:rsidP="00615666"/>
                        </w:txbxContent>
                      </wps:txbx>
                      <wps:bodyPr rot="0" vert="horz" wrap="square" lIns="0" tIns="0" rIns="0" bIns="0" anchor="t" anchorCtr="0" upright="1">
                        <a:noAutofit/>
                      </wps:bodyPr>
                    </wps:wsp>
                    <wps:wsp>
                      <wps:cNvPr id="198"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4"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58"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59"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60"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88"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615666">
                            <w:pPr>
                              <w:pStyle w:val="T6"/>
                              <w:rPr>
                                <w:lang w:val="en-US"/>
                              </w:rPr>
                            </w:pPr>
                          </w:p>
                        </w:txbxContent>
                      </wps:txbx>
                      <wps:bodyPr rot="0" vert="horz" wrap="square" lIns="0" tIns="0" rIns="0" bIns="0" anchor="t" anchorCtr="0" upright="1">
                        <a:noAutofit/>
                      </wps:bodyPr>
                    </wps:wsp>
                    <wps:wsp>
                      <wps:cNvPr id="256"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7"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8"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155" style="position:absolute;left:0;text-align:left;margin-left:42.6pt;margin-top:32.8pt;width:542.8pt;height:790.55pt;z-index:251680256;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">
              <v:shapetype id="_x0000_t202" coordsize="21600,21600" o:spt="202" path="m,l,21600r21600,l21600,xe">
                <v:stroke joinstyle="miter"/>
                <v:path gradientshapeok="t" o:connecttype="rect"/>
              </v:shapetype>
              <v:shape id="tbxIzme" o:spid="_x0000_s1156"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8g8cA&#10;AADbAAAADwAAAGRycy9kb3ducmV2LnhtbESPT2vCQBTE7wW/w/KE3urGVsRGV0mK/w69aLXQ2zP7&#10;TEKzb9PsNsZv3y0IHoeZ+Q0zW3SmEi01rrSsYDiIQBBnVpecKzh8rJ4mIJxH1lhZJgVXcrCY9x5m&#10;GGt74R21e5+LAGEXo4LC+zqW0mUFGXQDWxMH72wbgz7IJpe6wUuAm0o+R9FYGiw5LBRY01tB2ff+&#10;1yjYndJV8pUd15uf0TIZj5bd5/tLqtRjv0umIDx1/h6+tbdaweQV/r+EH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RfIPHAAAA2wAAAA8AAAAAAAAAAAAAAAAAmAIAAGRy&#10;cy9kb3ducmV2LnhtbFBLBQYAAAAABAAEAPUAAACMAwAAAAA=&#10;" filled="f" strokeweight=".5pt">
                <v:textbox inset="0,0,0,0">
                  <w:txbxContent>
                    <w:p w:rsidR="00255CE5" w:rsidRPr="0071048A" w:rsidRDefault="00255CE5" w:rsidP="00615666">
                      <w:pPr>
                        <w:pStyle w:val="T"/>
                      </w:pPr>
                    </w:p>
                  </w:txbxContent>
                </v:textbox>
              </v:shape>
              <v:shape id="Text Box 899" o:spid="_x0000_s1157"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94gsIA&#10;AADbAAAADwAAAGRycy9kb3ducmV2LnhtbERPyW7CMBC9V+IfrEHiVhw4oCbFIITEovZEWkC9TeNp&#10;EhGPQ+ws/Xt8qNTj09uX68FUoqPGlZYVzKYRCOLM6pJzBZ8fu+cXEM4ja6wsk4JfcrBejZ6WmGjb&#10;84m61OcihLBLUEHhfZ1I6bKCDLqprYkD92Mbgz7AJpe6wT6Em0rOo2ghDZYcGgqsaVtQdktbo8AO&#10;92ix/27zs46vb+/Xr4O+xAelJuNh8wrC0+D/xX/uo1YQh/XhS/g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L3iCwgAAANsAAAAPAAAAAAAAAAAAAAAAAJgCAABkcnMvZG93&#10;bnJldi54bWxQSwUGAAAAAAQABAD1AAAAhwMAAAAA&#10;" filled="f" strokeweight="1.5pt">
                <v:textbox inset="0,.5mm,0,0">
                  <w:txbxContent>
                    <w:p w:rsidR="00255CE5" w:rsidRPr="00DF2469" w:rsidRDefault="00255CE5" w:rsidP="00615666">
                      <w:pPr>
                        <w:pStyle w:val="T1"/>
                        <w:spacing w:before="0"/>
                      </w:pPr>
                      <w:r w:rsidRPr="003259C2">
                        <w:t>Изм</w:t>
                      </w:r>
                      <w:r>
                        <w:t>.</w:t>
                      </w:r>
                    </w:p>
                  </w:txbxContent>
                </v:textbox>
              </v:shape>
              <v:shape id="tbxIzml" o:spid="_x0000_s1158"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7mWMYA&#10;AADbAAAADwAAAGRycy9kb3ducmV2LnhtbESPS2/CMBCE75X4D9ZW4lYcHkIlxaCAePTQC0+J2zbe&#10;JhHxOsQG0n+PkSr1OJqZbzTjaWNKcaPaFZYVdDsRCOLU6oIzBfvd8u0dhPPIGkvLpOCXHEwnrZcx&#10;xtreeUO3rc9EgLCLUUHufRVL6dKcDLqOrYiD92Nrgz7IOpO6xnuAm1L2omgoDRYcFnKsaJ5Tet5e&#10;jYLN92yZnNLDan0ZLJLhYNEcv/ozpdqvTfIBwlPj/8N/7U+tYNSF55fwA+T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7mWMYAAADbAAAADwAAAAAAAAAAAAAAAACYAgAAZHJz&#10;L2Rvd25yZXYueG1sUEsFBgAAAAAEAAQA9QAAAIsDAAAAAA==&#10;" filled="f" strokeweight=".5pt">
                <v:textbox inset="0,0,0,0">
                  <w:txbxContent>
                    <w:p w:rsidR="00255CE5" w:rsidRPr="0071048A" w:rsidRDefault="00255CE5" w:rsidP="00615666">
                      <w:pPr>
                        <w:pStyle w:val="T"/>
                      </w:pPr>
                    </w:p>
                  </w:txbxContent>
                </v:textbox>
              </v:shape>
              <v:shape id="Text Box 901" o:spid="_x0000_s1159"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oAXMMA&#10;AADbAAAADwAAAGRycy9kb3ducmV2LnhtbESPzYrCQBCE78K+w9AL3nSyGkWjE1kWsnjx4M8DtJk2&#10;P5vpCZlRs2/vCILHoqq+otab3jTiRp2rLCv4GkcgiHOrKy4UnI7ZaAHCeWSNjWVS8E8ONunHYI2J&#10;tnfe0+3gCxEg7BJUUHrfJlK6vCSDbmxb4uBdbGfQB9kVUnd4D3DTyEkUzaXBisNCiS39lJT/Ha5G&#10;wW993kfVNI6XWT6dmV0da51tlRp+9t8rEJ56/w6/2lutYDmB55fwA2T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oAXMMAAADbAAAADwAAAAAAAAAAAAAAAACYAgAAZHJzL2Rv&#10;d25yZXYueG1sUEsFBgAAAAAEAAQA9QAAAIgDAAAAAA==&#10;" filled="f" strokeweight="1.5pt">
                <v:textbox inset="0,0,0,0">
                  <w:txbxContent>
                    <w:p w:rsidR="00255CE5" w:rsidRPr="00DF2469" w:rsidRDefault="00255CE5" w:rsidP="00615666">
                      <w:pPr>
                        <w:pStyle w:val="T1"/>
                        <w:spacing w:before="0"/>
                      </w:pPr>
                      <w:r w:rsidRPr="003259C2">
                        <w:t>Лист</w:t>
                      </w:r>
                    </w:p>
                  </w:txbxContent>
                </v:textbox>
              </v:shape>
              <v:shape id="tbxNdoc" o:spid="_x0000_s1160"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dtMYA&#10;AADbAAAADwAAAGRycy9kb3ducmV2LnhtbESPQWvCQBSE74L/YXmCN91YRWzqKlHU9uBFq4XeXrPP&#10;JDT7NmZXTf+9WxA8DjPzDTOdN6YUV6pdYVnBoB+BIE6tLjhTcPhc9yYgnEfWWFomBX/kYD5rt6YY&#10;a3vjHV33PhMBwi5GBbn3VSylS3My6Pq2Ig7eydYGfZB1JnWNtwA3pXyJorE0WHBYyLGiZU7p7/5i&#10;FOx+FuvkOz1u3s+jVTIerZqv7XChVLfTJG8gPDX+GX60P7SC1yH8fwk/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dtMYAAADbAAAADwAAAAAAAAAAAAAAAACYAgAAZHJz&#10;L2Rvd25yZXYueG1sUEsFBgAAAAAEAAQA9QAAAIsDAAAAAA==&#10;" filled="f" strokeweight=".5pt">
                <v:textbox inset="0,0,0,0">
                  <w:txbxContent>
                    <w:p w:rsidR="00255CE5" w:rsidRPr="0071048A" w:rsidRDefault="00255CE5" w:rsidP="00615666">
                      <w:pPr>
                        <w:pStyle w:val="T"/>
                        <w:jc w:val="both"/>
                        <w:rPr>
                          <w:szCs w:val="20"/>
                        </w:rPr>
                      </w:pPr>
                    </w:p>
                  </w:txbxContent>
                </v:textbox>
              </v:shape>
              <v:shape id="Text Box 903" o:spid="_x0000_s1161"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89s8QA&#10;AADbAAAADwAAAGRycy9kb3ducmV2LnhtbESPzWrDMBCE74W+g9hAb42cxim1azmUgosvOTjtA2ys&#10;jX9qrYylJu7bR4FAjsPMfMNk29kM4kST6ywrWC0jEMS11R03Cn6+i+c3EM4jaxwsk4J/crDNHx8y&#10;TLU9c0WnvW9EgLBLUUHr/ZhK6eqWDLqlHYmDd7STQR/k1Eg94TnAzSBfouhVGuw4LLQ40mdL9e/+&#10;zyj46g9V1K3jOCnq9cbs+ljrolTqaTF/vIPwNPt7+NYutYIkhuuX8AN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PPbPEAAAA2wAAAA8AAAAAAAAAAAAAAAAAmAIAAGRycy9k&#10;b3ducmV2LnhtbFBLBQYAAAAABAAEAPUAAACJAwAAAAA=&#10;" filled="f" strokeweight="1.5pt">
                <v:textbox inset="0,0,0,0">
                  <w:txbxContent>
                    <w:p w:rsidR="00255CE5" w:rsidRPr="00DF2469" w:rsidRDefault="00255CE5" w:rsidP="00615666">
                      <w:pPr>
                        <w:pStyle w:val="T1"/>
                        <w:spacing w:before="0"/>
                      </w:pPr>
                      <w:r>
                        <w:t xml:space="preserve">№ </w:t>
                      </w:r>
                      <w:r w:rsidRPr="003259C2">
                        <w:t>докум</w:t>
                      </w:r>
                      <w:r>
                        <w:t>.</w:t>
                      </w:r>
                    </w:p>
                  </w:txbxContent>
                </v:textbox>
              </v:shape>
              <v:shape id="Text Box 904" o:spid="_x0000_s1162"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0UccA&#10;AADcAAAADwAAAGRycy9kb3ducmV2LnhtbESPzW7CQAyE70i8w8qVuMGmLUIoZUGhAsqBC/RH6s3N&#10;uklE1ptmtxDeHh+QuNma8czn2aJztTpRGyrPBh5HCSji3NuKCwMf7+vhFFSIyBZrz2TgQgEW835v&#10;hqn1Z97T6RALJSEcUjRQxtikWoe8JIdh5Bti0X596zDK2hbatniWcFfrpySZaIcVS0OJDb2WlB8P&#10;/87A/me5zr7zz83b33iVTcar7mv3vDRm8NBlL6AidfFuvl1vreAngi/PyAR6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sdFHHAAAA3AAAAA8AAAAAAAAAAAAAAAAAmAIAAGRy&#10;cy9kb3ducmV2LnhtbFBLBQYAAAAABAAEAPUAAACMAwAAAAA=&#10;" filled="f" strokeweight=".5pt">
                <v:textbox inset="0,0,0,0">
                  <w:txbxContent>
                    <w:p w:rsidR="00255CE5" w:rsidRDefault="00255CE5" w:rsidP="00615666">
                      <w:pPr>
                        <w:pStyle w:val="T"/>
                      </w:pPr>
                    </w:p>
                  </w:txbxContent>
                </v:textbox>
              </v:shape>
              <v:shape id="Text Box 905" o:spid="_x0000_s1163"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lzaMQA&#10;AADcAAAADwAAAGRycy9kb3ducmV2LnhtbESPwW7CQAxE75X4h5WRuJUNJK0gsCBUKYhLD1A+wGRN&#10;Esh6o+wW0r+vD5V6szXjmef1dnCtelAfGs8GZtMEFHHpbcOVgfNX8boAFSKyxdYzGfihANvN6GWN&#10;ufVPPtLjFCslIRxyNFDH2OVah7Imh2HqO2LRrr53GGXtK217fEq4a/U8Sd61w4alocaOPmoq76dv&#10;Z2B/uxyTJs2yZVGmb+7zlllbHIyZjIfdClSkIf6b/64PVvBTwZdnZAK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5c2jEAAAA3AAAAA8AAAAAAAAAAAAAAAAAmAIAAGRycy9k&#10;b3ducmV2LnhtbFBLBQYAAAAABAAEAPUAAACJAwAAAAA=&#10;" filled="f" strokeweight="1.5pt">
                <v:textbox inset="0,0,0,0">
                  <w:txbxContent>
                    <w:p w:rsidR="00255CE5" w:rsidRPr="00DF2469" w:rsidRDefault="00255CE5" w:rsidP="00615666">
                      <w:pPr>
                        <w:pStyle w:val="T1"/>
                        <w:spacing w:before="0"/>
                      </w:pPr>
                      <w:r>
                        <w:t>Подп.</w:t>
                      </w:r>
                    </w:p>
                  </w:txbxContent>
                </v:textbox>
              </v:shape>
              <v:shape id="tbxIzmd" o:spid="_x0000_s1164"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q1b8A&#10;AADcAAAADwAAAGRycy9kb3ducmV2LnhtbERPS4vCMBC+C/6HMII3TV0Xka5RRFnw6uPibbYZm2oz&#10;qU3U+O83guBtPr7nzBbR1uJOra8cKxgNMxDEhdMVlwoO+9/BFIQPyBprx6TgSR4W825nhrl2D97S&#10;fRdKkULY56jAhNDkUvrCkEU/dA1x4k6utRgSbEupW3ykcFvLryybSIsVpwaDDa0MFZfdzSqI5+d6&#10;ND4dKdya74vB/fUvHq9K9Xtx+QMiUAwf8du90Wn+dAKvZ9IFcv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IGrVvwAAANwAAAAPAAAAAAAAAAAAAAAAAJgCAABkcnMvZG93bnJl&#10;di54bWxQSwUGAAAAAAQABAD1AAAAhAMAAAAA&#10;" filled="f" strokeweight=".5pt">
                <v:textbox inset="0,.5mm,0,0">
                  <w:txbxContent>
                    <w:p w:rsidR="00255CE5" w:rsidRPr="00C12C3D" w:rsidRDefault="00255CE5" w:rsidP="00615666">
                      <w:pPr>
                        <w:pStyle w:val="T2"/>
                        <w:rPr>
                          <w:b/>
                        </w:rPr>
                      </w:pPr>
                    </w:p>
                  </w:txbxContent>
                </v:textbox>
              </v:shape>
              <v:shape id="Text Box 907" o:spid="_x0000_s1165"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QqUcEA&#10;AADcAAAADwAAAGRycy9kb3ducmV2LnhtbERPzYrCMBC+L/gOYQRva+paF62mIgtdvHjQ9QHGZuyP&#10;zaQ0UbtvbwTB23x8v7Na96YRN+pcZVnBZByBIM6trrhQcPzLPucgnEfW2FgmBf/kYJ0OPlaYaHvn&#10;Pd0OvhAhhF2CCkrv20RKl5dk0I1tSxy4s+0M+gC7QuoO7yHcNPIrir6lwYpDQ4kt/ZSUXw5Xo+C3&#10;Pu2jahrHiyyfzsyujrXOtkqNhv1mCcJT79/il3urw/xFDM9nwgUy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kKlHBAAAA3AAAAA8AAAAAAAAAAAAAAAAAmAIAAGRycy9kb3du&#10;cmV2LnhtbFBLBQYAAAAABAAEAPUAAACGAwAAAAA=&#10;" filled="f" strokeweight="1.5pt">
                <v:textbox inset="0,0,0,0">
                  <w:txbxContent>
                    <w:p w:rsidR="00255CE5" w:rsidRPr="009155C0" w:rsidRDefault="00255CE5" w:rsidP="00615666">
                      <w:pPr>
                        <w:pStyle w:val="T1"/>
                        <w:spacing w:before="0"/>
                      </w:pPr>
                      <w:r w:rsidRPr="003259C2">
                        <w:t>Дата</w:t>
                      </w:r>
                    </w:p>
                  </w:txbxContent>
                </v:textbox>
              </v:shape>
              <v:shape id="tbxOboz" o:spid="_x0000_s1166"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0mYsQA&#10;AADcAAAADwAAAGRycy9kb3ducmV2LnhtbERP22rCQBB9L/gPywh9KXWjYNE0q4jiBQqlWpvnITsm&#10;wexsyG5z+ftuodC3OZzrJOveVKKlxpWWFUwnEQjizOqScwXXz/3zAoTzyBory6RgIAfr1eghwVjb&#10;js/UXnwuQgi7GBUU3texlC4ryKCb2Jo4cDfbGPQBNrnUDXYh3FRyFkUv0mDJoaHAmrYFZffLt1HQ&#10;Dad6OL+/pR9Px690uG7b3WF+U+px3G9eQXjq/b/4z33SYf5yDr/PhAv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tJmLEAAAA3AAAAA8AAAAAAAAAAAAAAAAAmAIAAGRycy9k&#10;b3ducmV2LnhtbFBLBQYAAAAABAAEAPUAAACJAw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v:textbox>
              </v:shape>
              <v:shape id="Text Box 909" o:spid="_x0000_s1167"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oRvcAA&#10;AADcAAAADwAAAGRycy9kb3ducmV2LnhtbERPy6rCMBDdC/5DGMGdpmqvaDWKCBU3Lnx8wNiMbbWZ&#10;lCZq/fubC8LdzeE8Z7luTSVe1LjSsoLRMAJBnFldcq7gck4HMxDOI2usLJOCDzlYr7qdJSbavvlI&#10;r5PPRQhhl6CCwvs6kdJlBRl0Q1sTB+5mG4M+wCaXusF3CDeVHEfRVBosOTQUWNO2oOxxehoFu/v1&#10;GJWTOJ6n2eTHHO6x1uleqX6v3SxAeGr9v/jr3uswfz6Fv2fCB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boRvcAAAADcAAAADwAAAAAAAAAAAAAAAACYAgAAZHJzL2Rvd25y&#10;ZXYueG1sUEsFBgAAAAAEAAQA9QAAAIUDAAAAAA==&#10;" filled="f" strokeweight="1.5pt">
                <v:textbox inset="0,0,0,0">
                  <w:txbxContent>
                    <w:p w:rsidR="00255CE5" w:rsidRPr="00363BE3" w:rsidRDefault="00255CE5" w:rsidP="00615666">
                      <w:pPr>
                        <w:pStyle w:val="T20"/>
                        <w:rPr>
                          <w:sz w:val="20"/>
                          <w:szCs w:val="20"/>
                        </w:rPr>
                      </w:pPr>
                      <w:r w:rsidRPr="00363BE3">
                        <w:rPr>
                          <w:sz w:val="20"/>
                          <w:szCs w:val="20"/>
                        </w:rPr>
                        <w:t>Лист</w:t>
                      </w:r>
                    </w:p>
                  </w:txbxContent>
                </v:textbox>
              </v:shape>
              <v:shape id="tbxPage" o:spid="_x0000_s1168"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0JsMA&#10;AADcAAAADwAAAGRycy9kb3ducmV2LnhtbERPS27CMBDdV+IO1iCxK06bFEqKQVWloGy64HOAaTxN&#10;QuNxFLtJuD1GQmI3T+876+1oGtFT52rLCl7mEQjiwuqaSwWnY/b8DsJ5ZI2NZVJwIQfbzeRpjam2&#10;A++pP/hShBB2KSqovG9TKV1RkUE3ty1x4H5tZ9AH2JVSdziEcNPI1yhaSIM1h4YKW/qqqPg7/BsF&#10;u/PPPqrjJFllRfxmvs+J1lmu1Gw6fn6A8DT6h/juznWYv1rC7Zlwgd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a0JsMAAADcAAAADwAAAAAAAAAAAAAAAACYAgAAZHJzL2Rv&#10;d25yZXYueG1sUEsFBgAAAAAEAAQA9QAAAIgDAAAAAA==&#10;" filled="f" strokeweight="1.5pt">
                <v:textbox inset="0,0,0,0">
                  <w:txbxContent>
                    <w:p w:rsidR="00255CE5" w:rsidRPr="00DC0A04" w:rsidRDefault="00255CE5" w:rsidP="00615666">
                      <w:pPr>
                        <w:pStyle w:val="T5"/>
                      </w:pPr>
                      <w:r>
                        <w:rPr>
                          <w:szCs w:val="20"/>
                        </w:rPr>
                        <w:fldChar w:fldCharType="begin"/>
                      </w:r>
                      <w:r>
                        <w:rPr>
                          <w:szCs w:val="20"/>
                        </w:rPr>
                        <w:instrText xml:space="preserve"> PAGE  </w:instrText>
                      </w:r>
                      <w:r>
                        <w:rPr>
                          <w:szCs w:val="20"/>
                        </w:rPr>
                        <w:fldChar w:fldCharType="separate"/>
                      </w:r>
                      <w:r w:rsidR="00DD2822">
                        <w:rPr>
                          <w:noProof/>
                          <w:szCs w:val="20"/>
                        </w:rPr>
                        <w:t>908</w:t>
                      </w:r>
                      <w:r>
                        <w:rPr>
                          <w:szCs w:val="20"/>
                        </w:rPr>
                        <w:fldChar w:fldCharType="end"/>
                      </w:r>
                    </w:p>
                    <w:p w:rsidR="00255CE5" w:rsidRPr="00AB2209" w:rsidRDefault="00255CE5" w:rsidP="00615666"/>
                  </w:txbxContent>
                </v:textbox>
              </v:shape>
              <v:line id="Line 921" o:spid="_x0000_s1169"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105MUAAADcAAAADwAAAGRycy9kb3ducmV2LnhtbESPQWvCQBCF74X+h2UKvdVNK0ibukop&#10;qMWbsQi9DdkxSZOdTXc3Gv+9cxB6m+G9ee+b+XJ0nTpRiI1nA8+TDBRx6W3DlYHv/erpFVRMyBY7&#10;z2TgQhGWi/u7OebWn3lHpyJVSkI45migTqnPtY5lTQ7jxPfEoh19cJhkDZW2Ac8S7jr9kmUz7bBh&#10;aaixp8+ayrYYnIHDUPDPb7sKHQ7rzeZ4+GvjdGvM48P48Q4q0Zj+zbfrLyv4b0Irz8gEe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9105MUAAADcAAAADwAAAAAAAAAA&#10;AAAAAAChAgAAZHJzL2Rvd25yZXYueG1sUEsFBgAAAAAEAAQA+QAAAJMDAAAAAA==&#10;" strokeweight="1.5pt"/>
              <v:line id="Line 922" o:spid="_x0000_s1170"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ylB8UAAADcAAAADwAAAGRycy9kb3ducmV2LnhtbESPQWvCQBSE74X+h+UVems21VpKdJUi&#10;qMWbaRF6e2SfSUz2bdzdaPrvXUHocZiZb5jZYjCtOJPztWUFr0kKgriwuuZSwc/36uUDhA/IGlvL&#10;pOCPPCzmjw8zzLS98I7OeShFhLDPUEEVQpdJ6YuKDPrEdsTRO1hnMETpSqkdXiLctHKUpu/SYM1x&#10;ocKOlhUVTd4bBfs+599js3It9uvN5rA/NX68Ver5aficggg0hP/wvf2lFYwm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ylB8UAAADcAAAADwAAAAAAAAAA&#10;AAAAAAChAgAAZHJzL2Rvd25yZXYueG1sUEsFBgAAAAAEAAQA+QAAAJMDAAAAAA==&#10;" strokeweight="1.5pt"/>
              <v:line id="Line 923" o:spid="_x0000_s1171"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zE8cIAAADdAAAADwAAAGRycy9kb3ducmV2LnhtbERPz2vCMBS+D/wfwhN2m6kTp1SjiKCO&#10;3VZF8PZonm1t89IlqXb//XIYePz4fi/XvWnEnZyvLCsYjxIQxLnVFRcKTsfd2xyED8gaG8uk4Jc8&#10;rFeDlyWm2j74m+5ZKEQMYZ+igjKENpXS5yUZ9CPbEkfuap3BEKErpHb4iOGmke9J8iENVhwbSmxp&#10;W1JeZ51RcO4yvtzqnWuw2x8O1/NP7SdfSr0O+80CRKA+PMX/7k+tYDqbxrn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tzE8cIAAADdAAAADwAAAAAAAAAAAAAA&#10;AAChAgAAZHJzL2Rvd25yZXYueG1sUEsFBgAAAAAEAAQA+QAAAJADAAAAAA==&#10;" strokeweight="1.5pt"/>
              <v:line id="Line 924" o:spid="_x0000_s1172"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BhasYAAADdAAAADwAAAGRycy9kb3ducmV2LnhtbESPQWvCQBSE7wX/w/IEb3VTxdqmriKC&#10;VXozLUJvj+wzSZN9G3c3mv57t1DwOMzMN8xi1ZtGXMj5yrKCp3ECgji3uuJCwdfn9vEFhA/IGhvL&#10;pOCXPKyWg4cFptpe+UCXLBQiQtinqKAMoU2l9HlJBv3YtsTRO1lnMETpCqkdXiPcNHKSJM/SYMVx&#10;ocSWNiXlddYZBccu4++feusa7N53u9PxXPvph1KjYb9+AxGoD/fwf3uvFczms1f4e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QYWrGAAAA3QAAAA8AAAAAAAAA&#10;AAAAAAAAoQIAAGRycy9kb3ducmV2LnhtbFBLBQYAAAAABAAEAPkAAACUAwAAAAA=&#10;" strokeweight="1.5pt"/>
              <v:line id="Line 925" o:spid="_x0000_s1173"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YCSsIAAADdAAAADwAAAGRycy9kb3ducmV2LnhtbERPz2vCMBS+D/wfwhN2m6mTqVSjiKCO&#10;3VZF8PZonm1t89IlqXb//XIYePz4fi/XvWnEnZyvLCsYjxIQxLnVFRcKTsfd2xyED8gaG8uk4Jc8&#10;rFeDlyWm2j74m+5ZKEQMYZ+igjKENpXS5yUZ9CPbEkfuap3BEKErpHb4iOGmke9JMpUGK44NJba0&#10;LSmvs84oOHcZX271zjXY7Q+H6/mn9pMvpV6H/WYBIlAfnuJ/96dW8DGbxv3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sYCSsIAAADdAAAADwAAAAAAAAAAAAAA&#10;AAChAgAAZHJzL2Rvd25yZXYueG1sUEsFBgAAAAAEAAQA+QAAAJADAAAAAA==&#10;" strokeweight="1.5pt"/>
              <v:shape id="tbxOboz180" o:spid="_x0000_s1174"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JcEA&#10;AADdAAAADwAAAGRycy9kb3ducmV2LnhtbERPy4rCMBTdD/gP4QqzG1PFGaUaRUTB5fhauLs016ba&#10;3MQmav37yUKY5eG8p/PW1uJBTagcK+j3MhDEhdMVlwoO+/XXGESIyBprx6TgRQHms87HFHPtnryl&#10;xy6WIoVwyFGBidHnUobCkMXQc544cWfXWIwJNqXUDT5TuK3lIMt+pMWKU4NBT0tDxXV3twpW/rha&#10;+9vlVLzaw+LXmI3eX4dKfXbbxQREpDb+i9/ujVbwPRqnuelNegJy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bQiXBAAAA3QAAAA8AAAAAAAAAAAAAAAAAmAIAAGRycy9kb3du&#10;cmV2LnhtbFBLBQYAAAAABAAEAPUAAACGAwAAAAA=&#10;" strokeweight="1.5pt">
                <v:textbox inset="0,0,0,0">
                  <w:txbxContent>
                    <w:p w:rsidR="00255CE5" w:rsidRPr="00BB0B43" w:rsidRDefault="00255CE5" w:rsidP="00615666">
                      <w:pPr>
                        <w:pStyle w:val="T6"/>
                        <w:rPr>
                          <w:lang w:val="en-US"/>
                        </w:rPr>
                      </w:pPr>
                    </w:p>
                  </w:txbxContent>
                </v:textbox>
              </v:shape>
              <v:line id="Line 929" o:spid="_x0000_s1175"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Ke68QAAADcAAAADwAAAGRycy9kb3ducmV2LnhtbESPQWvCQBSE7wX/w/KE3upGRSmpq4ig&#10;lt6MIvT2yD6TNNm3cXej6b93hUKPw8x8wyxWvWnEjZyvLCsYjxIQxLnVFRcKTsft2zsIH5A1NpZJ&#10;wS95WC0HLwtMtb3zgW5ZKESEsE9RQRlCm0rp85IM+pFtiaN3sc5giNIVUju8R7hp5CRJ5tJgxXGh&#10;xJY2JeV11hkF5y7j75966xrsdvv95Xyt/fRLqddhv/4AEagP/+G/9qdWMJnN4XkmHgG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kp7rxAAAANwAAAAPAAAAAAAAAAAA&#10;AAAAAKECAABkcnMvZG93bnJldi54bWxQSwUGAAAAAAQABAD5AAAAkgMAAAAA&#10;" strokeweight="1.5pt"/>
              <v:line id="Line 930" o:spid="_x0000_s1176"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47cMUAAADcAAAADwAAAGRycy9kb3ducmV2LnhtbESPQWvCQBSE74X+h+UVems2VWpLdJUi&#10;qMWbaRF6e2SfSUz2bdzdaPrvXUHocZiZb5jZYjCtOJPztWUFr0kKgriwuuZSwc/36uUDhA/IGlvL&#10;pOCPPCzmjw8zzLS98I7OeShFhLDPUEEVQpdJ6YuKDPrEdsTRO1hnMETpSqkdXiLctHKUphNpsOa4&#10;UGFHy4qKJu+Ngn2f8++xWbkW+/Vmc9ifGj/eKvX8NHxOQQQawn/43v7SCkZv7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47cMUAAADcAAAADwAAAAAAAAAA&#10;AAAAAAChAgAAZHJzL2Rvd25yZXYueG1sUEsFBgAAAAAEAAQA+QAAAJMDAAAAAA==&#10;" strokeweight="1.5pt"/>
              <v:line id="Line 931" o:spid="_x0000_s1177"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GvAsIAAADcAAAADwAAAGRycy9kb3ducmV2LnhtbERPy2rCQBTdC/2H4Ra600mVSkmdSCmo&#10;xV2jBLq7ZG4eTeZOOjPR+PedRcHl4bw328n04kLOt5YVPC8SEMSl1S3XCs6n3fwVhA/IGnvLpOBG&#10;HrbZw2yDqbZX/qJLHmoRQ9inqKAJYUil9GVDBv3CDsSRq6wzGCJ0tdQOrzHc9HKZJGtpsOXY0OBA&#10;Hw2VXT4aBcWY8/dPt3M9jvvDoSp+O786KvX0OL2/gQg0hbv43/2pFSxf4tp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0GvAsIAAADcAAAADwAAAAAAAAAAAAAA&#10;AAChAgAAZHJzL2Rvd25yZXYueG1sUEsFBgAAAAAEAAQA+QAAAJADAAAAAA==&#10;" strokeweight="1.5pt"/>
              <w10:wrap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Default="00255CE5">
    <w:pPr>
      <w:pStyle w:val="af3"/>
    </w:pPr>
    <w:r>
      <w:rPr>
        <w:noProof/>
        <w:snapToGrid/>
        <w:sz w:val="10"/>
      </w:rPr>
      <mc:AlternateContent>
        <mc:Choice Requires="wpg">
          <w:drawing>
            <wp:anchor distT="0" distB="0" distL="114300" distR="114300" simplePos="0" relativeHeight="251679232" behindDoc="0" locked="0" layoutInCell="1" allowOverlap="1" wp14:anchorId="6BBD8E3F" wp14:editId="62070836">
              <wp:simplePos x="0" y="0"/>
              <wp:positionH relativeFrom="page">
                <wp:posOffset>532263</wp:posOffset>
              </wp:positionH>
              <wp:positionV relativeFrom="page">
                <wp:posOffset>450376</wp:posOffset>
              </wp:positionV>
              <wp:extent cx="6893560" cy="10041836"/>
              <wp:effectExtent l="0" t="0" r="21590" b="17145"/>
              <wp:wrapNone/>
              <wp:docPr id="259"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41836"/>
                        <a:chOff x="1134" y="284"/>
                        <a:chExt cx="10489" cy="16274"/>
                      </a:xfrm>
                    </wpg:grpSpPr>
                    <wps:wsp>
                      <wps:cNvPr id="260"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7155AF">
                            <w:pPr>
                              <w:pStyle w:val="T"/>
                            </w:pPr>
                          </w:p>
                        </w:txbxContent>
                      </wps:txbx>
                      <wps:bodyPr rot="0" vert="horz" wrap="square" lIns="0" tIns="0" rIns="0" bIns="0" anchor="t" anchorCtr="0" upright="1">
                        <a:noAutofit/>
                      </wps:bodyPr>
                    </wps:wsp>
                    <wps:wsp>
                      <wps:cNvPr id="261"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7155AF">
                            <w:pPr>
                              <w:pStyle w:val="T1"/>
                              <w:spacing w:before="0"/>
                            </w:pPr>
                            <w:r w:rsidRPr="003259C2">
                              <w:t>Изм</w:t>
                            </w:r>
                            <w:r>
                              <w:t>.</w:t>
                            </w:r>
                          </w:p>
                        </w:txbxContent>
                      </wps:txbx>
                      <wps:bodyPr rot="0" vert="horz" wrap="square" lIns="0" tIns="18000" rIns="0" bIns="0" anchor="t" anchorCtr="0" upright="1">
                        <a:noAutofit/>
                      </wps:bodyPr>
                    </wps:wsp>
                    <wps:wsp>
                      <wps:cNvPr id="262"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7155AF">
                            <w:pPr>
                              <w:pStyle w:val="T"/>
                            </w:pPr>
                          </w:p>
                        </w:txbxContent>
                      </wps:txbx>
                      <wps:bodyPr rot="0" vert="horz" wrap="square" lIns="0" tIns="0" rIns="0" bIns="0" anchor="t" anchorCtr="0" upright="1">
                        <a:noAutofit/>
                      </wps:bodyPr>
                    </wps:wsp>
                    <wps:wsp>
                      <wps:cNvPr id="263"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7155AF">
                            <w:pPr>
                              <w:pStyle w:val="T1"/>
                              <w:spacing w:before="0"/>
                            </w:pPr>
                            <w:r w:rsidRPr="003259C2">
                              <w:t>Лист</w:t>
                            </w:r>
                          </w:p>
                        </w:txbxContent>
                      </wps:txbx>
                      <wps:bodyPr rot="0" vert="horz" wrap="square" lIns="0" tIns="0" rIns="0" bIns="0" anchor="t" anchorCtr="0" upright="1">
                        <a:noAutofit/>
                      </wps:bodyPr>
                    </wps:wsp>
                    <wps:wsp>
                      <wps:cNvPr id="264"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7155AF">
                            <w:pPr>
                              <w:pStyle w:val="T"/>
                              <w:jc w:val="both"/>
                              <w:rPr>
                                <w:szCs w:val="20"/>
                              </w:rPr>
                            </w:pPr>
                          </w:p>
                        </w:txbxContent>
                      </wps:txbx>
                      <wps:bodyPr rot="0" vert="horz" wrap="square" lIns="0" tIns="0" rIns="0" bIns="0" anchor="t" anchorCtr="0" upright="1">
                        <a:noAutofit/>
                      </wps:bodyPr>
                    </wps:wsp>
                    <wps:wsp>
                      <wps:cNvPr id="265"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7155AF">
                            <w:pPr>
                              <w:pStyle w:val="T1"/>
                              <w:spacing w:before="0"/>
                            </w:pPr>
                            <w:r>
                              <w:t xml:space="preserve">№ </w:t>
                            </w:r>
                            <w:r w:rsidRPr="003259C2">
                              <w:t>докум</w:t>
                            </w:r>
                            <w:r>
                              <w:t>.</w:t>
                            </w:r>
                          </w:p>
                        </w:txbxContent>
                      </wps:txbx>
                      <wps:bodyPr rot="0" vert="horz" wrap="square" lIns="0" tIns="0" rIns="0" bIns="0" anchor="t" anchorCtr="0" upright="1">
                        <a:noAutofit/>
                      </wps:bodyPr>
                    </wps:wsp>
                    <wps:wsp>
                      <wps:cNvPr id="266"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7155AF">
                            <w:pPr>
                              <w:pStyle w:val="T"/>
                            </w:pPr>
                          </w:p>
                        </w:txbxContent>
                      </wps:txbx>
                      <wps:bodyPr rot="0" vert="horz" wrap="square" lIns="0" tIns="0" rIns="0" bIns="0" anchor="t" anchorCtr="0" upright="1">
                        <a:noAutofit/>
                      </wps:bodyPr>
                    </wps:wsp>
                    <wps:wsp>
                      <wps:cNvPr id="267"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7155AF">
                            <w:pPr>
                              <w:pStyle w:val="T1"/>
                              <w:spacing w:before="0"/>
                            </w:pPr>
                            <w:r>
                              <w:t>Подп.</w:t>
                            </w:r>
                          </w:p>
                        </w:txbxContent>
                      </wps:txbx>
                      <wps:bodyPr rot="0" vert="horz" wrap="square" lIns="0" tIns="0" rIns="0" bIns="0" anchor="t" anchorCtr="0" upright="1">
                        <a:noAutofit/>
                      </wps:bodyPr>
                    </wps:wsp>
                    <wps:wsp>
                      <wps:cNvPr id="268"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7155AF">
                            <w:pPr>
                              <w:pStyle w:val="T2"/>
                              <w:rPr>
                                <w:b/>
                              </w:rPr>
                            </w:pPr>
                          </w:p>
                        </w:txbxContent>
                      </wps:txbx>
                      <wps:bodyPr rot="0" vert="horz" wrap="square" lIns="0" tIns="18000" rIns="0" bIns="0" anchor="t" anchorCtr="0" upright="1">
                        <a:noAutofit/>
                      </wps:bodyPr>
                    </wps:wsp>
                    <wps:wsp>
                      <wps:cNvPr id="269"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7155AF">
                            <w:pPr>
                              <w:pStyle w:val="T1"/>
                              <w:spacing w:before="0"/>
                            </w:pPr>
                            <w:r w:rsidRPr="003259C2">
                              <w:t>Дата</w:t>
                            </w:r>
                          </w:p>
                        </w:txbxContent>
                      </wps:txbx>
                      <wps:bodyPr rot="0" vert="horz" wrap="square" lIns="0" tIns="0" rIns="0" bIns="0" anchor="t" anchorCtr="0" upright="1">
                        <a:noAutofit/>
                      </wps:bodyPr>
                    </wps:wsp>
                    <wps:wsp>
                      <wps:cNvPr id="270" name="tbxOboz"/>
                      <wps:cNvSpPr txBox="1">
                        <a:spLocks noChangeArrowheads="1"/>
                      </wps:cNvSpPr>
                      <wps:spPr bwMode="auto">
                        <a:xfrm>
                          <a:off x="4822" y="15709"/>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wps:txbx>
                      <wps:bodyPr rot="0" vert="horz" wrap="square" lIns="91440" tIns="0" rIns="91440" bIns="0" anchor="t" anchorCtr="0" upright="1">
                        <a:noAutofit/>
                      </wps:bodyPr>
                    </wps:wsp>
                    <wps:wsp>
                      <wps:cNvPr id="271"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7155AF">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273"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7155AF">
                            <w:pPr>
                              <w:pStyle w:val="T5"/>
                            </w:pPr>
                            <w:r>
                              <w:rPr>
                                <w:szCs w:val="20"/>
                              </w:rPr>
                              <w:fldChar w:fldCharType="begin"/>
                            </w:r>
                            <w:r>
                              <w:rPr>
                                <w:szCs w:val="20"/>
                              </w:rPr>
                              <w:instrText xml:space="preserve"> PAGE  </w:instrText>
                            </w:r>
                            <w:r>
                              <w:rPr>
                                <w:szCs w:val="20"/>
                              </w:rPr>
                              <w:fldChar w:fldCharType="separate"/>
                            </w:r>
                            <w:r w:rsidR="00DD2822">
                              <w:rPr>
                                <w:noProof/>
                                <w:szCs w:val="20"/>
                              </w:rPr>
                              <w:t>62</w:t>
                            </w:r>
                            <w:r>
                              <w:rPr>
                                <w:szCs w:val="20"/>
                              </w:rPr>
                              <w:fldChar w:fldCharType="end"/>
                            </w:r>
                          </w:p>
                          <w:p w:rsidR="00255CE5" w:rsidRPr="00AB2209" w:rsidRDefault="00255CE5" w:rsidP="007155AF"/>
                        </w:txbxContent>
                      </wps:txbx>
                      <wps:bodyPr rot="0" vert="horz" wrap="square" lIns="0" tIns="0" rIns="0" bIns="0" anchor="t" anchorCtr="0" upright="1">
                        <a:noAutofit/>
                      </wps:bodyPr>
                    </wps:wsp>
                    <wps:wsp>
                      <wps:cNvPr id="274"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5"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6"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7"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8"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9"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7155AF">
                            <w:pPr>
                              <w:pStyle w:val="T6"/>
                              <w:rPr>
                                <w:lang w:val="en-US"/>
                              </w:rPr>
                            </w:pPr>
                          </w:p>
                        </w:txbxContent>
                      </wps:txbx>
                      <wps:bodyPr rot="0" vert="horz" wrap="square" lIns="0" tIns="0" rIns="0" bIns="0" anchor="t" anchorCtr="0" upright="1">
                        <a:noAutofit/>
                      </wps:bodyPr>
                    </wps:wsp>
                    <wps:wsp>
                      <wps:cNvPr id="280"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1"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2"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178" style="position:absolute;left:0;text-align:left;margin-left:41.9pt;margin-top:35.45pt;width:542.8pt;height:790.7pt;z-index:251679232;mso-position-horizontal-relative:page;mso-position-vertical-relative:page" coordorigin="1134,284" coordsize="10489,1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">
              <v:shapetype id="_x0000_t202" coordsize="21600,21600" o:spt="202" path="m,l,21600r21600,l21600,xe">
                <v:stroke joinstyle="miter"/>
                <v:path gradientshapeok="t" o:connecttype="rect"/>
              </v:shapetype>
              <v:shape id="tbxIzme" o:spid="_x0000_s1179"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bwjcUA&#10;AADcAAAADwAAAGRycy9kb3ducmV2LnhtbERPPW/CMBDdK/EfrEPq1jilKEIBEyUI2g5dgBaJ7Yiv&#10;SUR8TmMX0n9fD0iMT+97kQ2mFRfqXWNZwXMUgyAurW64UvC53zzNQDiPrLG1TAr+yEG2HD0sMNX2&#10;ylu67HwlQgi7FBXU3neplK6syaCLbEccuG/bG/QB9pXUPV5DuGnlJI4TabDh0FBjR6uayvPu1yjY&#10;nopNfiy/Xt9+pus8ma6Hw8dLodTjeMjnIDwN/i6+ud+1gkkS5ocz4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1vCNxQAAANwAAAAPAAAAAAAAAAAAAAAAAJgCAABkcnMv&#10;ZG93bnJldi54bWxQSwUGAAAAAAQABAD1AAAAigMAAAAA&#10;" filled="f" strokeweight=".5pt">
                <v:textbox inset="0,0,0,0">
                  <w:txbxContent>
                    <w:p w:rsidR="00255CE5" w:rsidRPr="0071048A" w:rsidRDefault="00255CE5" w:rsidP="007155AF">
                      <w:pPr>
                        <w:pStyle w:val="T"/>
                      </w:pPr>
                    </w:p>
                  </w:txbxContent>
                </v:textbox>
              </v:shape>
              <v:shape id="Text Box 899" o:spid="_x0000_s1180"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1wh8YA&#10;AADcAAAADwAAAGRycy9kb3ducmV2LnhtbESPQWvCQBSE7wX/w/KE3urGHIKmrlIETWlPVVvp7TX7&#10;moRm38bsJsZ/7xYEj8PMfMMsVoOpRU+tqywrmE4iEMS51RUXCg77zdMMhPPIGmvLpOBCDlbL0cMC&#10;U23P/EH9zhciQNilqKD0vkmldHlJBt3ENsTB+7WtQR9kW0jd4jnATS3jKEqkwYrDQokNrUvK/3ad&#10;UWCHU5Rsf7riU8+Pb+/H70x/zTOlHsfDyzMIT4O/h2/tV60gTqb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1wh8YAAADcAAAADwAAAAAAAAAAAAAAAACYAgAAZHJz&#10;L2Rvd25yZXYueG1sUEsFBgAAAAAEAAQA9QAAAIsDAAAAAA==&#10;" filled="f" strokeweight="1.5pt">
                <v:textbox inset="0,.5mm,0,0">
                  <w:txbxContent>
                    <w:p w:rsidR="00255CE5" w:rsidRPr="00DF2469" w:rsidRDefault="00255CE5" w:rsidP="007155AF">
                      <w:pPr>
                        <w:pStyle w:val="T1"/>
                        <w:spacing w:before="0"/>
                      </w:pPr>
                      <w:r w:rsidRPr="003259C2">
                        <w:t>Изм</w:t>
                      </w:r>
                      <w:r>
                        <w:t>.</w:t>
                      </w:r>
                    </w:p>
                  </w:txbxContent>
                </v:textbox>
              </v:shape>
              <v:shape id="tbxIzml" o:spid="_x0000_s1181"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jLYccA&#10;AADcAAAADwAAAGRycy9kb3ducmV2LnhtbESPT2vCQBTE74LfYXmF3nTTVEKJrhKLVg9e/AveXrOv&#10;STD7Ns1uNf32XUHocZiZ3zCTWWdqcaXWVZYVvAwjEMS51RUXCg775eANhPPIGmvLpOCXHMym/d4E&#10;U21vvKXrzhciQNilqKD0vkmldHlJBt3QNsTB+7KtQR9kW0jd4i3ATS3jKEqkwYrDQokNvZeUX3Y/&#10;RsH2c77MzvnxY/U9WmTJaNGdNq9zpZ6fumwMwlPn/8OP9loriJMY7m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Iy2HHAAAA3AAAAA8AAAAAAAAAAAAAAAAAmAIAAGRy&#10;cy9kb3ducmV2LnhtbFBLBQYAAAAABAAEAPUAAACMAwAAAAA=&#10;" filled="f" strokeweight=".5pt">
                <v:textbox inset="0,0,0,0">
                  <w:txbxContent>
                    <w:p w:rsidR="00255CE5" w:rsidRPr="0071048A" w:rsidRDefault="00255CE5" w:rsidP="007155AF">
                      <w:pPr>
                        <w:pStyle w:val="T"/>
                      </w:pPr>
                    </w:p>
                  </w:txbxContent>
                </v:textbox>
              </v:shape>
              <v:shape id="Text Box 901" o:spid="_x0000_s1182"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2jfsQA&#10;AADcAAAADwAAAGRycy9kb3ducmV2LnhtbESPQYvCMBSE78L+h/AWvGm6topbjbIsVLx4sPoD3jbP&#10;tm7zUpqo9d8bQfA4zMw3zHLdm0ZcqXO1ZQVf4wgEcWF1zaWC4yEbzUE4j6yxsUwK7uRgvfoYLDHV&#10;9sZ7uua+FAHCLkUFlfdtKqUrKjLoxrYlDt7JdgZ9kF0pdYe3ADeNnETRTBqsOSxU2NJvRcV/fjEK&#10;Nue/fVTHSfKdFfHU7M6J1tlWqeFn/7MA4an37/CrvdUKJrM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9o37EAAAA3AAAAA8AAAAAAAAAAAAAAAAAmAIAAGRycy9k&#10;b3ducmV2LnhtbFBLBQYAAAAABAAEAPUAAACJAwAAAAA=&#10;" filled="f" strokeweight="1.5pt">
                <v:textbox inset="0,0,0,0">
                  <w:txbxContent>
                    <w:p w:rsidR="00255CE5" w:rsidRPr="00DF2469" w:rsidRDefault="00255CE5" w:rsidP="007155AF">
                      <w:pPr>
                        <w:pStyle w:val="T1"/>
                        <w:spacing w:before="0"/>
                      </w:pPr>
                      <w:r w:rsidRPr="003259C2">
                        <w:t>Лист</w:t>
                      </w:r>
                    </w:p>
                  </w:txbxContent>
                </v:textbox>
              </v:shape>
              <v:shape id="tbxNdoc" o:spid="_x0000_s1183"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32jscA&#10;AADcAAAADwAAAGRycy9kb3ducmV2LnhtbESPT2vCQBTE74LfYXmF3nRTG0KJrhKLVg9e/AveXrOv&#10;STD7Ns1uNf32XUHocZiZ3zCTWWdqcaXWVZYVvAwjEMS51RUXCg775eANhPPIGmvLpOCXHMym/d4E&#10;U21vvKXrzhciQNilqKD0vkmldHlJBt3QNsTB+7KtQR9kW0jd4i3ATS1HUZRIgxWHhRIbei8pv+x+&#10;jILt53yZnfPjx+o7XmRJvOhOm9e5Us9PXTYG4anz/+FHe60VjJIY7m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Dt9o7HAAAA3AAAAA8AAAAAAAAAAAAAAAAAmAIAAGRy&#10;cy9kb3ducmV2LnhtbFBLBQYAAAAABAAEAPUAAACMAwAAAAA=&#10;" filled="f" strokeweight=".5pt">
                <v:textbox inset="0,0,0,0">
                  <w:txbxContent>
                    <w:p w:rsidR="00255CE5" w:rsidRPr="0071048A" w:rsidRDefault="00255CE5" w:rsidP="007155AF">
                      <w:pPr>
                        <w:pStyle w:val="T"/>
                        <w:jc w:val="both"/>
                        <w:rPr>
                          <w:szCs w:val="20"/>
                        </w:rPr>
                      </w:pPr>
                    </w:p>
                  </w:txbxContent>
                </v:textbox>
              </v:shape>
              <v:shape id="Text Box 903" o:spid="_x0000_s1184"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iekcQA&#10;AADcAAAADwAAAGRycy9kb3ducmV2LnhtbESPzYrCQBCE74LvMLTgTSdqlN3oRESIePHgzwP0Znrz&#10;Y6YnZEbNvv2OsLDHoqq+ojbb3jTiSZ2rLCuYTSMQxLnVFRcKbtds8gHCeWSNjWVS8EMOtulwsMFE&#10;2xef6XnxhQgQdgkqKL1vEyldXpJBN7UtcfC+bWfQB9kVUnf4CnDTyHkUraTBisNCiS3tS8rvl4dR&#10;cKi/zlG1iOPPLF8szamOtc6OSo1H/W4NwlPv/8N/7aNWMF8t4X0mHAG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YnpHEAAAA3AAAAA8AAAAAAAAAAAAAAAAAmAIAAGRycy9k&#10;b3ducmV2LnhtbFBLBQYAAAAABAAEAPUAAACJAwAAAAA=&#10;" filled="f" strokeweight="1.5pt">
                <v:textbox inset="0,0,0,0">
                  <w:txbxContent>
                    <w:p w:rsidR="00255CE5" w:rsidRPr="00DF2469" w:rsidRDefault="00255CE5" w:rsidP="007155AF">
                      <w:pPr>
                        <w:pStyle w:val="T1"/>
                        <w:spacing w:before="0"/>
                      </w:pPr>
                      <w:r>
                        <w:t xml:space="preserve">№ </w:t>
                      </w:r>
                      <w:r w:rsidRPr="003259C2">
                        <w:t>докум</w:t>
                      </w:r>
                      <w:r>
                        <w:t>.</w:t>
                      </w:r>
                    </w:p>
                  </w:txbxContent>
                </v:textbox>
              </v:shape>
              <v:shape id="Text Box 904" o:spid="_x0000_s1185"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PNYsgA&#10;AADcAAAADwAAAGRycy9kb3ducmV2LnhtbESPzWvCQBTE7wX/h+UJ3urGD0JJXUMianvwov2A3l6z&#10;r0kw+zZmV03/+64g9DjMzG+YRdqbRlyoc7VlBZNxBIK4sLrmUsH72+bxCYTzyBoby6Tglxyky8HD&#10;AhNtr7yny8GXIkDYJaig8r5NpHRFRQbd2LbEwfuxnUEfZFdK3eE1wE0jp1EUS4M1h4UKW1pVVBwP&#10;Z6Ng/51vsq/iY/tymq+zeL7uP3ezXKnRsM+eQXjq/X/43n7VCqZxDLcz4Qj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c81iyAAAANwAAAAPAAAAAAAAAAAAAAAAAJgCAABk&#10;cnMvZG93bnJldi54bWxQSwUGAAAAAAQABAD1AAAAjQMAAAAA&#10;" filled="f" strokeweight=".5pt">
                <v:textbox inset="0,0,0,0">
                  <w:txbxContent>
                    <w:p w:rsidR="00255CE5" w:rsidRDefault="00255CE5" w:rsidP="007155AF">
                      <w:pPr>
                        <w:pStyle w:val="T"/>
                      </w:pPr>
                    </w:p>
                  </w:txbxContent>
                </v:textbox>
              </v:shape>
              <v:shape id="Text Box 905" o:spid="_x0000_s1186"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fcUA&#10;AADcAAAADwAAAGRycy9kb3ducmV2LnhtbESPwW7CMBBE75X4B2uRuBWHJE3bFIMQUiouPQD9gG28&#10;TULjdRSbJPx9XakSx9HMvNGst5NpxUC9aywrWC0jEMSl1Q1XCj7PxeMLCOeRNbaWScGNHGw3s4c1&#10;5tqOfKTh5CsRIOxyVFB73+VSurImg25pO+LgfdveoA+yr6TucQxw08o4ijJpsOGwUGNH+5rKn9PV&#10;KHi/fB2jJknT16JMnszHJdW6OCi1mE+7NxCeJn8P/7cPWkGcPcPf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qV9xQAAANwAAAAPAAAAAAAAAAAAAAAAAJgCAABkcnMv&#10;ZG93bnJldi54bWxQSwUGAAAAAAQABAD1AAAAigMAAAAA&#10;" filled="f" strokeweight="1.5pt">
                <v:textbox inset="0,0,0,0">
                  <w:txbxContent>
                    <w:p w:rsidR="00255CE5" w:rsidRPr="00DF2469" w:rsidRDefault="00255CE5" w:rsidP="007155AF">
                      <w:pPr>
                        <w:pStyle w:val="T1"/>
                        <w:spacing w:before="0"/>
                      </w:pPr>
                      <w:r>
                        <w:t>Подп.</w:t>
                      </w:r>
                    </w:p>
                  </w:txbxContent>
                </v:textbox>
              </v:shape>
              <v:shape id="tbxIzmd" o:spid="_x0000_s1187"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rcusAA&#10;AADcAAAADwAAAGRycy9kb3ducmV2LnhtbERPPW/CMBDdK/EfrEPqVhxohVDAoApUqWsTFrYjPuKU&#10;+BxiQ5x/Xw+VGJ/e92YXbSse1PvGsYL5LANBXDndcK3gWH69rUD4gKyxdUwKRvKw205eNphrN/AP&#10;PYpQixTCPkcFJoQul9JXhiz6meuIE3dxvcWQYF9L3eOQwm0rF1m2lBYbTg0GO9obqq7F3SqIv+Nh&#10;/n45Ubh3H1eD5e0cTzelXqfxcw0iUAxP8b/7WytYLNPadCYdAb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NrcusAAAADcAAAADwAAAAAAAAAAAAAAAACYAgAAZHJzL2Rvd25y&#10;ZXYueG1sUEsFBgAAAAAEAAQA9QAAAIUDAAAAAA==&#10;" filled="f" strokeweight=".5pt">
                <v:textbox inset="0,.5mm,0,0">
                  <w:txbxContent>
                    <w:p w:rsidR="00255CE5" w:rsidRPr="00C12C3D" w:rsidRDefault="00255CE5" w:rsidP="007155AF">
                      <w:pPr>
                        <w:pStyle w:val="T2"/>
                        <w:rPr>
                          <w:b/>
                        </w:rPr>
                      </w:pPr>
                    </w:p>
                  </w:txbxContent>
                </v:textbox>
              </v:shape>
              <v:shape id="Text Box 907" o:spid="_x0000_s1188"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WUlMMA&#10;AADcAAAADwAAAGRycy9kb3ducmV2LnhtbESPzarCMBSE94LvEI7gTlO1V7QaRYSKGxf+PMCxObbV&#10;5qQ0Uevb31wQ7nKYmW+Y5bo1lXhR40rLCkbDCARxZnXJuYLLOR3MQDiPrLGyTAo+5GC96naWmGj7&#10;5iO9Tj4XAcIuQQWF93UipcsKMuiGtiYO3s02Bn2QTS51g+8AN5UcR9FUGiw5LBRY07ag7HF6GgW7&#10;+/UYlZM4nqfZ5Mcc7rHW6V6pfq/dLEB4av1/+NveawXj6Rz+zo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WUlMMAAADcAAAADwAAAAAAAAAAAAAAAACYAgAAZHJzL2Rv&#10;d25yZXYueG1sUEsFBgAAAAAEAAQA9QAAAIgDAAAAAA==&#10;" filled="f" strokeweight="1.5pt">
                <v:textbox inset="0,0,0,0">
                  <w:txbxContent>
                    <w:p w:rsidR="00255CE5" w:rsidRPr="009155C0" w:rsidRDefault="00255CE5" w:rsidP="007155AF">
                      <w:pPr>
                        <w:pStyle w:val="T1"/>
                        <w:spacing w:before="0"/>
                      </w:pPr>
                      <w:r w:rsidRPr="003259C2">
                        <w:t>Дата</w:t>
                      </w:r>
                    </w:p>
                  </w:txbxContent>
                </v:textbox>
              </v:shape>
              <v:shape id="tbxOboz" o:spid="_x0000_s1189" type="#_x0000_t202" style="position:absolute;left:4822;top:15709;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CfMMA&#10;AADcAAAADwAAAGRycy9kb3ducmV2LnhtbERPyWrDMBC9F/oPYgq9lFhuIGlwo4SSkAUCodl8HqyJ&#10;bWqNjKV6+fvoUOjx8fb5sjeVaKlxpWUF71EMgjizuuRcwfWyGc1AOI+ssbJMCgZysFw8P80x0bbj&#10;E7Vnn4sQwi5BBYX3dSKlywoy6CJbEwfubhuDPsAml7rBLoSbSo7jeCoNlhwaCqxpVVD2c/41Crph&#10;Xw+n4yH9ftvd0uG6atfbyV2p15f+6xOEp97/i//ce61g/BHmhzPh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MCfMMAAADcAAAADwAAAAAAAAAAAAAAAACYAgAAZHJzL2Rv&#10;d25yZXYueG1sUEsFBgAAAAAEAAQA9QAAAIgDA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001-05.01</w:t>
                      </w:r>
                      <w:r w:rsidRPr="00844D74">
                        <w:rPr>
                          <w:sz w:val="30"/>
                          <w:szCs w:val="30"/>
                        </w:rPr>
                        <w:t xml:space="preserve"> 9</w:t>
                      </w:r>
                    </w:p>
                  </w:txbxContent>
                </v:textbox>
              </v:shape>
              <v:shape id="Text Box 909" o:spid="_x0000_s1190"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oOT8UA&#10;AADcAAAADwAAAGRycy9kb3ducmV2LnhtbESPwW7CMBBE75X4B2uReisOkLYQcCJUKSiXHkL7Adt4&#10;SQLxOopdSP8eIyH1OJqZN5ptNppOXGhwrWUF81kEgriyuuVawfdX/rIC4Tyyxs4yKfgjB1k6edpi&#10;ou2VS7ocfC0ChF2CChrv+0RKVzVk0M1sTxy8ox0M+iCHWuoBrwFuOrmIojdpsOWw0GBPHw1V58Ov&#10;UbA//ZRRu4zjdV4tX83nKdY6L5R6no67DQhPo/8PP9qFVrB4n8P9TDgC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g5PxQAAANwAAAAPAAAAAAAAAAAAAAAAAJgCAABkcnMv&#10;ZG93bnJldi54bWxQSwUGAAAAAAQABAD1AAAAigMAAAAA&#10;" filled="f" strokeweight="1.5pt">
                <v:textbox inset="0,0,0,0">
                  <w:txbxContent>
                    <w:p w:rsidR="00255CE5" w:rsidRPr="00363BE3" w:rsidRDefault="00255CE5" w:rsidP="007155AF">
                      <w:pPr>
                        <w:pStyle w:val="T20"/>
                        <w:rPr>
                          <w:sz w:val="20"/>
                          <w:szCs w:val="20"/>
                        </w:rPr>
                      </w:pPr>
                      <w:r w:rsidRPr="00363BE3">
                        <w:rPr>
                          <w:sz w:val="20"/>
                          <w:szCs w:val="20"/>
                        </w:rPr>
                        <w:t>Лист</w:t>
                      </w:r>
                    </w:p>
                  </w:txbxContent>
                </v:textbox>
              </v:shape>
              <v:shape id="tbxPage" o:spid="_x0000_s1191"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Q1o8UA&#10;AADcAAAADwAAAGRycy9kb3ducmV2LnhtbESPzW7CMBCE75V4B2uReisOJG1piEGoUqpceoD2AZZ4&#10;mx/idRS7JH37GgmJ42hmvtFku8l04kKDaywrWC4iEMSl1Q1XCr6/8qc1COeRNXaWScEfOdhtZw8Z&#10;ptqOfKDL0VciQNilqKD2vk+ldGVNBt3C9sTB+7GDQR/kUEk94BjgppOrKHqRBhsOCzX29F5TeT7+&#10;GgUf7ekQNXGSvOVl/Gw+20TrvFDqcT7tNyA8Tf4evrULrWD1GsP1TDgCc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5DWjxQAAANwAAAAPAAAAAAAAAAAAAAAAAJgCAABkcnMv&#10;ZG93bnJldi54bWxQSwUGAAAAAAQABAD1AAAAigMAAAAA&#10;" filled="f" strokeweight="1.5pt">
                <v:textbox inset="0,0,0,0">
                  <w:txbxContent>
                    <w:p w:rsidR="00255CE5" w:rsidRPr="00DC0A04" w:rsidRDefault="00255CE5" w:rsidP="007155AF">
                      <w:pPr>
                        <w:pStyle w:val="T5"/>
                      </w:pPr>
                      <w:r>
                        <w:rPr>
                          <w:szCs w:val="20"/>
                        </w:rPr>
                        <w:fldChar w:fldCharType="begin"/>
                      </w:r>
                      <w:r>
                        <w:rPr>
                          <w:szCs w:val="20"/>
                        </w:rPr>
                        <w:instrText xml:space="preserve"> PAGE  </w:instrText>
                      </w:r>
                      <w:r>
                        <w:rPr>
                          <w:szCs w:val="20"/>
                        </w:rPr>
                        <w:fldChar w:fldCharType="separate"/>
                      </w:r>
                      <w:r w:rsidR="00DD2822">
                        <w:rPr>
                          <w:noProof/>
                          <w:szCs w:val="20"/>
                        </w:rPr>
                        <w:t>62</w:t>
                      </w:r>
                      <w:r>
                        <w:rPr>
                          <w:szCs w:val="20"/>
                        </w:rPr>
                        <w:fldChar w:fldCharType="end"/>
                      </w:r>
                    </w:p>
                    <w:p w:rsidR="00255CE5" w:rsidRPr="00AB2209" w:rsidRDefault="00255CE5" w:rsidP="007155AF"/>
                  </w:txbxContent>
                </v:textbox>
              </v:shape>
              <v:line id="Line 921" o:spid="_x0000_s1192"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n5Z8UAAADcAAAADwAAAGRycy9kb3ducmV2LnhtbESPQWvCQBSE74X+h+UVems21WJLdJUi&#10;qMWbaRF6e2SfSUz2bdzdaPrvXUHocZiZb5jZYjCtOJPztWUFr0kKgriwuuZSwc/36uUDhA/IGlvL&#10;pOCPPCzmjw8zzLS98I7OeShFhLDPUEEVQpdJ6YuKDPrEdsTRO1hnMETpSqkdXiLctHKUphNpsOa4&#10;UGFHy4qKJu+Ngn2f8++xWbkW+/Vmc9ifGj/eKvX8NHxOQQQawn/43v7SCkbv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n5Z8UAAADcAAAADwAAAAAAAAAA&#10;AAAAAAChAgAAZHJzL2Rvd25yZXYueG1sUEsFBgAAAAAEAAQA+QAAAJMDAAAAAA==&#10;" strokeweight="1.5pt"/>
              <v:line id="Line 922" o:spid="_x0000_s1193"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Vc/MUAAADcAAAADwAAAGRycy9kb3ducmV2LnhtbESPQWvCQBSE74X+h+UVems2VWpLdJUi&#10;qMWbaRF6e2SfSUz2bdzdaPrvXUHocZiZb5jZYjCtOJPztWUFr0kKgriwuuZSwc/36uUDhA/IGlvL&#10;pOCPPCzmjw8zzLS98I7OeShFhLDPUEEVQpdJ6YuKDPrEdsTRO1hnMETpSqkdXiLctHKUphNpsOa4&#10;UGFHy4qKJu+Ngn2f8++xWbkW+/Vmc9ifGj/eKvX8NHxOQQQawn/43v7SCkbvb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Vc/MUAAADcAAAADwAAAAAAAAAA&#10;AAAAAAChAgAAZHJzL2Rvd25yZXYueG1sUEsFBgAAAAAEAAQA+QAAAJMDAAAAAA==&#10;" strokeweight="1.5pt"/>
              <v:line id="Line 923" o:spid="_x0000_s1194"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fCi8QAAADcAAAADwAAAGRycy9kb3ducmV2LnhtbESPQWvCQBSE7wX/w/IEb3WjBSvRVUSw&#10;iremRfD2yD6TmOzbuLvR+O+7hUKPw8x8wyzXvWnEnZyvLCuYjBMQxLnVFRcKvr92r3MQPiBrbCyT&#10;gid5WK8GL0tMtX3wJ92zUIgIYZ+igjKENpXS5yUZ9GPbEkfvYp3BEKUrpHb4iHDTyGmSzKTBiuNC&#10;iS1tS8rrrDMKTl3G52u9cw12H/v95XSr/dtRqdGw3yxABOrDf/ivfdAKpu8z+D0Tj4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J8KLxAAAANwAAAAPAAAAAAAAAAAA&#10;AAAAAKECAABkcnMvZG93bnJldi54bWxQSwUGAAAAAAQABAD5AAAAkgMAAAAA&#10;" strokeweight="1.5pt"/>
              <v:line id="Line 924" o:spid="_x0000_s1195"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nEMQAAADcAAAADwAAAGRycy9kb3ducmV2LnhtbESPQWvCQBSE7wX/w/KE3upGBS2pq4ig&#10;lt6MIvT2yD6TNNm3cXej6b93hUKPw8x8wyxWvWnEjZyvLCsYjxIQxLnVFRcKTsft2zsIH5A1NpZJ&#10;wS95WC0HLwtMtb3zgW5ZKESEsE9RQRlCm0rp85IM+pFtiaN3sc5giNIVUju8R7hp5CRJZtJgxXGh&#10;xJY2JeV11hkF5y7j75966xrsdvv95Xyt/fRLqddhv/4AEagP/+G/9qdWMJnP4XkmHgG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a2cQxAAAANwAAAAPAAAAAAAAAAAA&#10;AAAAAKECAABkcnMvZG93bnJldi54bWxQSwUGAAAAAAQABAD5AAAAkgMAAAAA&#10;" strokeweight="1.5pt"/>
              <v:line id="Line 925" o:spid="_x0000_s1196"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TzYsIAAADcAAAADwAAAGRycy9kb3ducmV2LnhtbERPy2rCQBTdC/2H4Ra600kVakmdSCmo&#10;xV2jBLq7ZG4eTeZOOjPR+PedRcHl4bw328n04kLOt5YVPC8SEMSl1S3XCs6n3fwVhA/IGnvLpOBG&#10;HrbZw2yDqbZX/qJLHmoRQ9inqKAJYUil9GVDBv3CDsSRq6wzGCJ0tdQOrzHc9HKZJC/SYMuxocGB&#10;Phoqu3w0Coox5++fbud6HPeHQ1X8dn51VOrpcXp/AxFoCnfxv/tTK1iu49p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PTzYsIAAADcAAAADwAAAAAAAAAAAAAA&#10;AAChAgAAZHJzL2Rvd25yZXYueG1sUEsFBgAAAAAEAAQA+QAAAJADAAAAAA==&#10;" strokeweight="1.5pt"/>
              <v:shape id="tbxOboz180" o:spid="_x0000_s1197"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5OWsQA&#10;AADcAAAADwAAAGRycy9kb3ducmV2LnhtbESPQWsCMRSE7wX/Q3hCbzVbEduuZkVEwWOr9tDbY/Pc&#10;bHfzEjdR139vCgWPw8x8w8wXvW3FhbpQO1bwOspAEJdO11wpOOw3L+8gQkTW2DomBTcKsCgGT3PM&#10;tbvyF112sRIJwiFHBSZGn0sZSkMWw8h54uQdXWcxJtlVUnd4TXDbynGWTaXFmtOCQU8rQ2WzO1sF&#10;a/+93vjT70956w/LT2O2et9MlHoe9ssZiEh9fIT/21utYPz2AX9n0hGQ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uTlrEAAAA3AAAAA8AAAAAAAAAAAAAAAAAmAIAAGRycy9k&#10;b3ducmV2LnhtbFBLBQYAAAAABAAEAPUAAACJAwAAAAA=&#10;" strokeweight="1.5pt">
                <v:textbox inset="0,0,0,0">
                  <w:txbxContent>
                    <w:p w:rsidR="00255CE5" w:rsidRPr="00BB0B43" w:rsidRDefault="00255CE5" w:rsidP="007155AF">
                      <w:pPr>
                        <w:pStyle w:val="T6"/>
                        <w:rPr>
                          <w:lang w:val="en-US"/>
                        </w:rPr>
                      </w:pPr>
                    </w:p>
                  </w:txbxContent>
                </v:textbox>
              </v:shape>
              <v:line id="Line 929" o:spid="_x0000_s1198"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PQ8IAAADcAAAADwAAAGRycy9kb3ducmV2LnhtbERPyWrDMBC9F/IPYgK5NXISKMaNEkoh&#10;dcmtbgn0NlgT27U1ciR5yd9Xh0KPj7fvj7PpxEjON5YVbNYJCOLS6oYrBV+fp8cUhA/IGjvLpOBO&#10;Ho6HxcMeM20n/qCxCJWIIewzVFCH0GdS+rImg35te+LIXa0zGCJ0ldQOpxhuOrlNkidpsOHYUGNP&#10;rzWVbTEYBZeh4O+f9uQ6HN7y/Hq5tX53Vmq1nF+eQQSaw7/4z/2uFWzTOD+eiUdAH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ePQ8IAAADcAAAADwAAAAAAAAAAAAAA&#10;AAChAgAAZHJzL2Rvd25yZXYueG1sUEsFBgAAAAAEAAQA+QAAAJADAAAAAA==&#10;" strokeweight="1.5pt"/>
              <v:line id="Line 930" o:spid="_x0000_s1199"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sq2MQAAADcAAAADwAAAGRycy9kb3ducmV2LnhtbESPQWvCQBSE70L/w/IK3nSjhSKpq4ig&#10;Fm+NEvD2yD6TNNm3cXej6b/vFgoeh5n5hlmuB9OKOzlfW1YwmyYgiAuray4VnE+7yQKED8gaW8uk&#10;4Ic8rFcvoyWm2j74i+5ZKEWEsE9RQRVCl0rpi4oM+qntiKN3tc5giNKVUjt8RLhp5TxJ3qXBmuNC&#10;hR1tKyqarDcK8j7jy3ezcy32+8Phmt8a/3ZUavw6bD5ABBrCM/zf/tQK5osZ/J2JR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GyrYxAAAANwAAAAPAAAAAAAAAAAA&#10;AAAAAKECAABkcnMvZG93bnJldi54bWxQSwUGAAAAAAQABAD5AAAAkgMAAAAA&#10;" strokeweight="1.5pt"/>
              <v:line id="Line 931" o:spid="_x0000_s1200"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m0r8QAAADcAAAADwAAAGRycy9kb3ducmV2LnhtbESPQWvCQBSE7wX/w/IEb3VjCkWiq4ig&#10;Fm9NRfD2yD6TmOzbuLvR9N93C4Ueh5n5hlmuB9OKBzlfW1YwmyYgiAuray4VnL52r3MQPiBrbC2T&#10;gm/ysF6NXpaYafvkT3rkoRQRwj5DBVUIXSalLyoy6Ke2I47e1TqDIUpXSu3wGeGmlWmSvEuDNceF&#10;CjvaVlQ0eW8UnPucL7dm51rs94fD9Xxv/NtRqcl42CxABBrCf/iv/aEVpPMUfs/EIy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ybSvxAAAANwAAAAPAAAAAAAAAAAA&#10;AAAAAKECAABkcnMvZG93bnJldi54bWxQSwUGAAAAAAQABAD5AAAAkgMAAAAA&#10;" strokeweight="1.5pt"/>
              <w10:wrap anchorx="page" anchory="page"/>
            </v:group>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CE5" w:rsidRPr="00027224" w:rsidRDefault="00255CE5" w:rsidP="00027224">
    <w:pPr>
      <w:pStyle w:val="af3"/>
    </w:pPr>
    <w:r>
      <w:rPr>
        <w:noProof/>
        <w:snapToGrid/>
        <w:sz w:val="10"/>
      </w:rPr>
      <mc:AlternateContent>
        <mc:Choice Requires="wpg">
          <w:drawing>
            <wp:anchor distT="0" distB="0" distL="114300" distR="114300" simplePos="0" relativeHeight="251684352" behindDoc="0" locked="0" layoutInCell="1" allowOverlap="1" wp14:anchorId="683BD935" wp14:editId="5B08B3DF">
              <wp:simplePos x="0" y="0"/>
              <wp:positionH relativeFrom="page">
                <wp:posOffset>428625</wp:posOffset>
              </wp:positionH>
              <wp:positionV relativeFrom="page">
                <wp:posOffset>437060</wp:posOffset>
              </wp:positionV>
              <wp:extent cx="6893560" cy="10039985"/>
              <wp:effectExtent l="0" t="0" r="21590" b="37465"/>
              <wp:wrapNone/>
              <wp:docPr id="532" name="grpNext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3560" cy="10039985"/>
                        <a:chOff x="1134" y="284"/>
                        <a:chExt cx="10489" cy="16271"/>
                      </a:xfrm>
                    </wpg:grpSpPr>
                    <wps:wsp>
                      <wps:cNvPr id="533" name="tbxIzme"/>
                      <wps:cNvSpPr txBox="1">
                        <a:spLocks noChangeArrowheads="1"/>
                      </wps:cNvSpPr>
                      <wps:spPr bwMode="auto">
                        <a:xfrm>
                          <a:off x="1134" y="15985"/>
                          <a:ext cx="471" cy="28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FC4272">
                            <w:pPr>
                              <w:pStyle w:val="T"/>
                            </w:pPr>
                          </w:p>
                        </w:txbxContent>
                      </wps:txbx>
                      <wps:bodyPr rot="0" vert="horz" wrap="square" lIns="0" tIns="0" rIns="0" bIns="0" anchor="t" anchorCtr="0" upright="1">
                        <a:noAutofit/>
                      </wps:bodyPr>
                    </wps:wsp>
                    <wps:wsp>
                      <wps:cNvPr id="534" name="Text Box 899"/>
                      <wps:cNvSpPr txBox="1">
                        <a:spLocks noChangeArrowheads="1"/>
                      </wps:cNvSpPr>
                      <wps:spPr bwMode="auto">
                        <a:xfrm>
                          <a:off x="1134" y="16268"/>
                          <a:ext cx="471"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FC4272">
                            <w:pPr>
                              <w:pStyle w:val="T1"/>
                              <w:spacing w:before="0"/>
                            </w:pPr>
                            <w:r w:rsidRPr="003259C2">
                              <w:t>Изм</w:t>
                            </w:r>
                            <w:r>
                              <w:t>.</w:t>
                            </w:r>
                          </w:p>
                        </w:txbxContent>
                      </wps:txbx>
                      <wps:bodyPr rot="0" vert="horz" wrap="square" lIns="0" tIns="18000" rIns="0" bIns="0" anchor="t" anchorCtr="0" upright="1">
                        <a:noAutofit/>
                      </wps:bodyPr>
                    </wps:wsp>
                    <wps:wsp>
                      <wps:cNvPr id="535" name="tbxIzml"/>
                      <wps:cNvSpPr txBox="1">
                        <a:spLocks noChangeArrowheads="1"/>
                      </wps:cNvSpPr>
                      <wps:spPr bwMode="auto">
                        <a:xfrm>
                          <a:off x="1605" y="15986"/>
                          <a:ext cx="683" cy="2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FC4272">
                            <w:pPr>
                              <w:pStyle w:val="T"/>
                            </w:pPr>
                          </w:p>
                        </w:txbxContent>
                      </wps:txbx>
                      <wps:bodyPr rot="0" vert="horz" wrap="square" lIns="0" tIns="0" rIns="0" bIns="0" anchor="t" anchorCtr="0" upright="1">
                        <a:noAutofit/>
                      </wps:bodyPr>
                    </wps:wsp>
                    <wps:wsp>
                      <wps:cNvPr id="536" name="Text Box 901"/>
                      <wps:cNvSpPr txBox="1">
                        <a:spLocks noChangeArrowheads="1"/>
                      </wps:cNvSpPr>
                      <wps:spPr bwMode="auto">
                        <a:xfrm>
                          <a:off x="1605" y="16268"/>
                          <a:ext cx="683" cy="2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FC4272">
                            <w:pPr>
                              <w:pStyle w:val="T1"/>
                              <w:spacing w:before="0"/>
                            </w:pPr>
                            <w:r w:rsidRPr="003259C2">
                              <w:t>Лист</w:t>
                            </w:r>
                          </w:p>
                        </w:txbxContent>
                      </wps:txbx>
                      <wps:bodyPr rot="0" vert="horz" wrap="square" lIns="0" tIns="0" rIns="0" bIns="0" anchor="t" anchorCtr="0" upright="1">
                        <a:noAutofit/>
                      </wps:bodyPr>
                    </wps:wsp>
                    <wps:wsp>
                      <wps:cNvPr id="537" name="tbxNdoc"/>
                      <wps:cNvSpPr txBox="1">
                        <a:spLocks noChangeArrowheads="1"/>
                      </wps:cNvSpPr>
                      <wps:spPr bwMode="auto">
                        <a:xfrm>
                          <a:off x="2288" y="15985"/>
                          <a:ext cx="1114" cy="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71048A" w:rsidRDefault="00255CE5" w:rsidP="00FC4272">
                            <w:pPr>
                              <w:pStyle w:val="T"/>
                              <w:jc w:val="both"/>
                              <w:rPr>
                                <w:szCs w:val="20"/>
                              </w:rPr>
                            </w:pPr>
                          </w:p>
                        </w:txbxContent>
                      </wps:txbx>
                      <wps:bodyPr rot="0" vert="horz" wrap="square" lIns="0" tIns="0" rIns="0" bIns="0" anchor="t" anchorCtr="0" upright="1">
                        <a:noAutofit/>
                      </wps:bodyPr>
                    </wps:wsp>
                    <wps:wsp>
                      <wps:cNvPr id="538" name="Text Box 903"/>
                      <wps:cNvSpPr txBox="1">
                        <a:spLocks noChangeArrowheads="1"/>
                      </wps:cNvSpPr>
                      <wps:spPr bwMode="auto">
                        <a:xfrm>
                          <a:off x="2288" y="16268"/>
                          <a:ext cx="1114" cy="27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FC4272">
                            <w:pPr>
                              <w:pStyle w:val="T1"/>
                              <w:spacing w:before="0"/>
                            </w:pPr>
                            <w:r>
                              <w:t xml:space="preserve">№ </w:t>
                            </w:r>
                            <w:r w:rsidRPr="003259C2">
                              <w:t>докум</w:t>
                            </w:r>
                            <w:r>
                              <w:t>.</w:t>
                            </w:r>
                          </w:p>
                        </w:txbxContent>
                      </wps:txbx>
                      <wps:bodyPr rot="0" vert="horz" wrap="square" lIns="0" tIns="0" rIns="0" bIns="0" anchor="t" anchorCtr="0" upright="1">
                        <a:noAutofit/>
                      </wps:bodyPr>
                    </wps:wsp>
                    <wps:wsp>
                      <wps:cNvPr id="539" name="Text Box 904"/>
                      <wps:cNvSpPr txBox="1">
                        <a:spLocks noChangeArrowheads="1"/>
                      </wps:cNvSpPr>
                      <wps:spPr bwMode="auto">
                        <a:xfrm>
                          <a:off x="3402" y="15984"/>
                          <a:ext cx="850" cy="2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Default="00255CE5" w:rsidP="00FC4272">
                            <w:pPr>
                              <w:pStyle w:val="T"/>
                            </w:pPr>
                          </w:p>
                        </w:txbxContent>
                      </wps:txbx>
                      <wps:bodyPr rot="0" vert="horz" wrap="square" lIns="0" tIns="0" rIns="0" bIns="0" anchor="t" anchorCtr="0" upright="1">
                        <a:noAutofit/>
                      </wps:bodyPr>
                    </wps:wsp>
                    <wps:wsp>
                      <wps:cNvPr id="540" name="Text Box 905"/>
                      <wps:cNvSpPr txBox="1">
                        <a:spLocks noChangeArrowheads="1"/>
                      </wps:cNvSpPr>
                      <wps:spPr bwMode="auto">
                        <a:xfrm>
                          <a:off x="3402" y="16268"/>
                          <a:ext cx="857" cy="28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F2469" w:rsidRDefault="00255CE5" w:rsidP="00FC4272">
                            <w:pPr>
                              <w:pStyle w:val="T1"/>
                              <w:spacing w:before="0"/>
                            </w:pPr>
                            <w:r>
                              <w:t>Подп.</w:t>
                            </w:r>
                          </w:p>
                        </w:txbxContent>
                      </wps:txbx>
                      <wps:bodyPr rot="0" vert="horz" wrap="square" lIns="0" tIns="0" rIns="0" bIns="0" anchor="t" anchorCtr="0" upright="1">
                        <a:noAutofit/>
                      </wps:bodyPr>
                    </wps:wsp>
                    <wps:wsp>
                      <wps:cNvPr id="541" name="tbxIzmd"/>
                      <wps:cNvSpPr txBox="1">
                        <a:spLocks noChangeArrowheads="1"/>
                      </wps:cNvSpPr>
                      <wps:spPr bwMode="auto">
                        <a:xfrm>
                          <a:off x="4253" y="15986"/>
                          <a:ext cx="567" cy="27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C12C3D" w:rsidRDefault="00255CE5" w:rsidP="00FC4272">
                            <w:pPr>
                              <w:pStyle w:val="T2"/>
                              <w:rPr>
                                <w:b/>
                              </w:rPr>
                            </w:pPr>
                          </w:p>
                        </w:txbxContent>
                      </wps:txbx>
                      <wps:bodyPr rot="0" vert="horz" wrap="square" lIns="0" tIns="18000" rIns="0" bIns="0" anchor="t" anchorCtr="0" upright="1">
                        <a:noAutofit/>
                      </wps:bodyPr>
                    </wps:wsp>
                    <wps:wsp>
                      <wps:cNvPr id="542" name="Text Box 907"/>
                      <wps:cNvSpPr txBox="1">
                        <a:spLocks noChangeArrowheads="1"/>
                      </wps:cNvSpPr>
                      <wps:spPr bwMode="auto">
                        <a:xfrm>
                          <a:off x="4252" y="16268"/>
                          <a:ext cx="567" cy="28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9155C0" w:rsidRDefault="00255CE5" w:rsidP="00FC4272">
                            <w:pPr>
                              <w:pStyle w:val="T1"/>
                              <w:spacing w:before="0"/>
                            </w:pPr>
                            <w:r w:rsidRPr="003259C2">
                              <w:t>Дата</w:t>
                            </w:r>
                          </w:p>
                        </w:txbxContent>
                      </wps:txbx>
                      <wps:bodyPr rot="0" vert="horz" wrap="square" lIns="0" tIns="0" rIns="0" bIns="0" anchor="t" anchorCtr="0" upright="1">
                        <a:noAutofit/>
                      </wps:bodyPr>
                    </wps:wsp>
                    <wps:wsp>
                      <wps:cNvPr id="543" name="tbxOboz"/>
                      <wps:cNvSpPr txBox="1">
                        <a:spLocks noChangeArrowheads="1"/>
                      </wps:cNvSpPr>
                      <wps:spPr bwMode="auto">
                        <a:xfrm>
                          <a:off x="4820" y="15703"/>
                          <a:ext cx="6234" cy="84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w:t>
                            </w:r>
                            <w:r w:rsidR="00684E82">
                              <w:rPr>
                                <w:rStyle w:val="afff3"/>
                                <w:b w:val="0"/>
                                <w:sz w:val="30"/>
                                <w:szCs w:val="30"/>
                              </w:rPr>
                              <w:t>5</w:t>
                            </w:r>
                            <w:r>
                              <w:rPr>
                                <w:rStyle w:val="afff3"/>
                                <w:b w:val="0"/>
                                <w:sz w:val="30"/>
                                <w:szCs w:val="30"/>
                              </w:rPr>
                              <w:t>.0</w:t>
                            </w:r>
                            <w:r w:rsidR="00684E82">
                              <w:rPr>
                                <w:rStyle w:val="afff3"/>
                                <w:b w:val="0"/>
                                <w:sz w:val="30"/>
                                <w:szCs w:val="30"/>
                              </w:rPr>
                              <w:t>1</w:t>
                            </w:r>
                            <w:r w:rsidRPr="00844D74">
                              <w:rPr>
                                <w:sz w:val="30"/>
                                <w:szCs w:val="30"/>
                              </w:rPr>
                              <w:t xml:space="preserve"> 9</w:t>
                            </w:r>
                          </w:p>
                        </w:txbxContent>
                      </wps:txbx>
                      <wps:bodyPr rot="0" vert="horz" wrap="square" lIns="91440" tIns="0" rIns="91440" bIns="0" anchor="t" anchorCtr="0" upright="1">
                        <a:noAutofit/>
                      </wps:bodyPr>
                    </wps:wsp>
                    <wps:wsp>
                      <wps:cNvPr id="6049" name="Text Box 909"/>
                      <wps:cNvSpPr txBox="1">
                        <a:spLocks noChangeArrowheads="1"/>
                      </wps:cNvSpPr>
                      <wps:spPr bwMode="auto">
                        <a:xfrm>
                          <a:off x="11056" y="15704"/>
                          <a:ext cx="567"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363BE3" w:rsidRDefault="00255CE5" w:rsidP="00FC4272">
                            <w:pPr>
                              <w:pStyle w:val="T20"/>
                              <w:rPr>
                                <w:sz w:val="20"/>
                                <w:szCs w:val="20"/>
                              </w:rPr>
                            </w:pPr>
                            <w:r w:rsidRPr="00363BE3">
                              <w:rPr>
                                <w:sz w:val="20"/>
                                <w:szCs w:val="20"/>
                              </w:rPr>
                              <w:t>Лист</w:t>
                            </w:r>
                          </w:p>
                        </w:txbxContent>
                      </wps:txbx>
                      <wps:bodyPr rot="0" vert="horz" wrap="square" lIns="0" tIns="0" rIns="0" bIns="0" anchor="t" anchorCtr="0" upright="1">
                        <a:noAutofit/>
                      </wps:bodyPr>
                    </wps:wsp>
                    <wps:wsp>
                      <wps:cNvPr id="6051" name="tbxPage"/>
                      <wps:cNvSpPr txBox="1">
                        <a:spLocks noChangeArrowheads="1"/>
                      </wps:cNvSpPr>
                      <wps:spPr bwMode="auto">
                        <a:xfrm>
                          <a:off x="11056" y="16101"/>
                          <a:ext cx="567" cy="4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55CE5" w:rsidRPr="00DC0A04" w:rsidRDefault="00255CE5" w:rsidP="00FC4272">
                            <w:pPr>
                              <w:pStyle w:val="T5"/>
                            </w:pPr>
                            <w:r>
                              <w:rPr>
                                <w:szCs w:val="20"/>
                              </w:rPr>
                              <w:fldChar w:fldCharType="begin"/>
                            </w:r>
                            <w:r>
                              <w:rPr>
                                <w:szCs w:val="20"/>
                              </w:rPr>
                              <w:instrText xml:space="preserve"> PAGE  </w:instrText>
                            </w:r>
                            <w:r>
                              <w:rPr>
                                <w:szCs w:val="20"/>
                              </w:rPr>
                              <w:fldChar w:fldCharType="separate"/>
                            </w:r>
                            <w:r w:rsidR="00DD2822">
                              <w:rPr>
                                <w:noProof/>
                                <w:szCs w:val="20"/>
                              </w:rPr>
                              <w:t>139</w:t>
                            </w:r>
                            <w:r>
                              <w:rPr>
                                <w:szCs w:val="20"/>
                              </w:rPr>
                              <w:fldChar w:fldCharType="end"/>
                            </w:r>
                          </w:p>
                          <w:p w:rsidR="00255CE5" w:rsidRPr="00AB2209" w:rsidRDefault="00255CE5" w:rsidP="00FC4272"/>
                        </w:txbxContent>
                      </wps:txbx>
                      <wps:bodyPr rot="0" vert="horz" wrap="square" lIns="0" tIns="0" rIns="0" bIns="0" anchor="t" anchorCtr="0" upright="1">
                        <a:noAutofit/>
                      </wps:bodyPr>
                    </wps:wsp>
                    <wps:wsp>
                      <wps:cNvPr id="6068" name="Line 921"/>
                      <wps:cNvCnPr/>
                      <wps:spPr bwMode="auto">
                        <a:xfrm>
                          <a:off x="1605" y="15704"/>
                          <a:ext cx="0" cy="8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79" name="Line 922"/>
                      <wps:cNvCnPr/>
                      <wps:spPr bwMode="auto">
                        <a:xfrm>
                          <a:off x="2288"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0" name="Line 923"/>
                      <wps:cNvCnPr/>
                      <wps:spPr bwMode="auto">
                        <a:xfrm>
                          <a:off x="3402" y="15704"/>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1" name="Line 924"/>
                      <wps:cNvCnPr/>
                      <wps:spPr bwMode="auto">
                        <a:xfrm>
                          <a:off x="4259" y="15705"/>
                          <a:ext cx="0" cy="8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2" name="Line 925"/>
                      <wps:cNvCnPr/>
                      <wps:spPr bwMode="auto">
                        <a:xfrm>
                          <a:off x="1134" y="1570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3" name="tbxOboz180"/>
                      <wps:cNvSpPr txBox="1">
                        <a:spLocks noChangeArrowheads="1"/>
                      </wps:cNvSpPr>
                      <wps:spPr bwMode="auto">
                        <a:xfrm>
                          <a:off x="1134" y="307"/>
                          <a:ext cx="3969" cy="794"/>
                        </a:xfrm>
                        <a:prstGeom prst="rect">
                          <a:avLst/>
                        </a:prstGeom>
                        <a:solidFill>
                          <a:srgbClr val="FFFFFF"/>
                        </a:solidFill>
                        <a:ln w="19050">
                          <a:solidFill>
                            <a:srgbClr val="000000"/>
                          </a:solidFill>
                          <a:miter lim="800000"/>
                          <a:headEnd/>
                          <a:tailEnd/>
                        </a:ln>
                      </wps:spPr>
                      <wps:txbx>
                        <w:txbxContent>
                          <w:p w:rsidR="00255CE5" w:rsidRPr="00BB0B43" w:rsidRDefault="00255CE5" w:rsidP="00FC4272">
                            <w:pPr>
                              <w:pStyle w:val="T6"/>
                              <w:rPr>
                                <w:lang w:val="en-US"/>
                              </w:rPr>
                            </w:pPr>
                          </w:p>
                        </w:txbxContent>
                      </wps:txbx>
                      <wps:bodyPr rot="0" vert="horz" wrap="square" lIns="0" tIns="0" rIns="0" bIns="0" anchor="t" anchorCtr="0" upright="1">
                        <a:noAutofit/>
                      </wps:bodyPr>
                    </wps:wsp>
                    <wps:wsp>
                      <wps:cNvPr id="6084" name="Line 929"/>
                      <wps:cNvCnPr/>
                      <wps:spPr bwMode="auto">
                        <a:xfrm>
                          <a:off x="11623"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5" name="Line 930"/>
                      <wps:cNvCnPr/>
                      <wps:spPr bwMode="auto">
                        <a:xfrm>
                          <a:off x="1134" y="284"/>
                          <a:ext cx="104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86" name="Line 931"/>
                      <wps:cNvCnPr/>
                      <wps:spPr bwMode="auto">
                        <a:xfrm>
                          <a:off x="1134" y="284"/>
                          <a:ext cx="0" cy="162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201" style="position:absolute;left:0;text-align:left;margin-left:33.75pt;margin-top:34.4pt;width:542.8pt;height:790.55pt;z-index:251684352;mso-position-horizontal-relative:page;mso-position-vertical-relative:page" coordorigin="1134,284" coordsize="1048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">
              <v:shapetype id="_x0000_t202" coordsize="21600,21600" o:spt="202" path="m,l,21600r21600,l21600,xe">
                <v:stroke joinstyle="miter"/>
                <v:path gradientshapeok="t" o:connecttype="rect"/>
              </v:shapetype>
              <v:shape id="tbxIzme" o:spid="_x0000_s1202" type="#_x0000_t202" style="position:absolute;left:1134;top:15985;width:471;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2MgscA&#10;AADcAAAADwAAAGRycy9kb3ducmV2LnhtbESPQWvCQBSE70L/w/IK3nRTY6WkrhJFbQ9etK3g7TX7&#10;mgSzb2N21fTfu4LgcZiZb5jxtDWVOFPjSssKXvoRCOLM6pJzBd9fy94bCOeRNVaWScE/OZhOnjpj&#10;TLS98IbOW5+LAGGXoILC+zqR0mUFGXR9WxMH7882Bn2QTS51g5cAN5UcRNFIGiw5LBRY07yg7LA9&#10;GQWb39ky3Wc/q4/jcJGOhot2t45nSnWf2/QdhKfWP8L39qdW8BrHcDsTjo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djILHAAAA3AAAAA8AAAAAAAAAAAAAAAAAmAIAAGRy&#10;cy9kb3ducmV2LnhtbFBLBQYAAAAABAAEAPUAAACMAwAAAAA=&#10;" filled="f" strokeweight=".5pt">
                <v:textbox inset="0,0,0,0">
                  <w:txbxContent>
                    <w:p w:rsidR="00255CE5" w:rsidRPr="0071048A" w:rsidRDefault="00255CE5" w:rsidP="00FC4272">
                      <w:pPr>
                        <w:pStyle w:val="T"/>
                      </w:pPr>
                    </w:p>
                  </w:txbxContent>
                </v:textbox>
              </v:shape>
              <v:shape id="Text Box 899" o:spid="_x0000_s1203" type="#_x0000_t202" style="position:absolute;left:1134;top:16268;width:471;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xZ8YA&#10;AADcAAAADwAAAGRycy9kb3ducmV2LnhtbESPQWvCQBSE74L/YXmCN920tVJTN6EUqqInrVZ6e82+&#10;JqHZtzG7avz3rlDwOMzMN8w0bU0lTtS40rKCh2EEgjizuuRcwfbzY/ACwnlkjZVlUnAhB2nS7Uwx&#10;1vbMazptfC4ChF2MCgrv61hKlxVk0A1tTRy8X9sY9EE2udQNngPcVPIxisbSYMlhocCa3gvK/jZH&#10;o8C2h2g8+znmOz3ZL1f777n+msyV6vfat1cQnlp/D/+3F1rB89MIbmfCEZDJ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MxZ8YAAADcAAAADwAAAAAAAAAAAAAAAACYAgAAZHJz&#10;L2Rvd25yZXYueG1sUEsFBgAAAAAEAAQA9QAAAIsDAAAAAA==&#10;" filled="f" strokeweight="1.5pt">
                <v:textbox inset="0,.5mm,0,0">
                  <w:txbxContent>
                    <w:p w:rsidR="00255CE5" w:rsidRPr="00DF2469" w:rsidRDefault="00255CE5" w:rsidP="00FC4272">
                      <w:pPr>
                        <w:pStyle w:val="T1"/>
                        <w:spacing w:before="0"/>
                      </w:pPr>
                      <w:r w:rsidRPr="003259C2">
                        <w:t>Изм</w:t>
                      </w:r>
                      <w:r>
                        <w:t>.</w:t>
                      </w:r>
                    </w:p>
                  </w:txbxContent>
                </v:textbox>
              </v:shape>
              <v:shape id="tbxIzml" o:spid="_x0000_s1204" type="#_x0000_t202" style="position:absolute;left:1605;top:15986;width:683;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ixbccA&#10;AADcAAAADwAAAGRycy9kb3ducmV2LnhtbESPS2/CMBCE70j9D9ZW6g2clodQwKBQ8Tpw4SlxW+Il&#10;iRqv09iF8O/rSpU4jmbmG8142phS3Kh2hWUF750IBHFqdcGZgsN+0R6CcB5ZY2mZFDzIwXTy0hpj&#10;rO2dt3Tb+UwECLsYFeTeV7GULs3JoOvYijh4V1sb9EHWmdQ13gPclPIjigbSYMFhIceKPnNKv3Y/&#10;RsH2Mlsk5/S4XH335smgN29Om+5MqbfXJhmB8NT4Z/i/vdYK+t0+/J0JR0B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4sW3HAAAA3AAAAA8AAAAAAAAAAAAAAAAAmAIAAGRy&#10;cy9kb3ducmV2LnhtbFBLBQYAAAAABAAEAPUAAACMAwAAAAA=&#10;" filled="f" strokeweight=".5pt">
                <v:textbox inset="0,0,0,0">
                  <w:txbxContent>
                    <w:p w:rsidR="00255CE5" w:rsidRPr="0071048A" w:rsidRDefault="00255CE5" w:rsidP="00FC4272">
                      <w:pPr>
                        <w:pStyle w:val="T"/>
                      </w:pPr>
                    </w:p>
                  </w:txbxContent>
                </v:textbox>
              </v:shape>
              <v:shape id="Text Box 901" o:spid="_x0000_s1205" type="#_x0000_t202" style="position:absolute;left:1605;top:16268;width:683;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PinsMA&#10;AADcAAAADwAAAGRycy9kb3ducmV2LnhtbESPzYrCQBCE7wu+w9CCt3WiiaLRUUSIePHgzwO0mTaJ&#10;ZnpCZtTs2+8IC3ssquorarnuTC1e1LrKsoLRMAJBnFtdcaHgcs6+ZyCcR9ZYWyYFP+Rgvep9LTHV&#10;9s1Hep18IQKEXYoKSu+bVEqXl2TQDW1DHLybbQ36INtC6hbfAW5qOY6iqTRYcVgosaFtSfnj9DQK&#10;dvfrMariJJlneTwxh3uidbZXatDvNgsQnjr/H/5r77WCSTyFz5lw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PinsMAAADcAAAADwAAAAAAAAAAAAAAAACYAgAAZHJzL2Rv&#10;d25yZXYueG1sUEsFBgAAAAAEAAQA9QAAAIgDAAAAAA==&#10;" filled="f" strokeweight="1.5pt">
                <v:textbox inset="0,0,0,0">
                  <w:txbxContent>
                    <w:p w:rsidR="00255CE5" w:rsidRPr="00DF2469" w:rsidRDefault="00255CE5" w:rsidP="00FC4272">
                      <w:pPr>
                        <w:pStyle w:val="T1"/>
                        <w:spacing w:before="0"/>
                      </w:pPr>
                      <w:r w:rsidRPr="003259C2">
                        <w:t>Лист</w:t>
                      </w:r>
                    </w:p>
                  </w:txbxContent>
                </v:textbox>
              </v:shape>
              <v:shape id="tbxNdoc" o:spid="_x0000_s1206" type="#_x0000_t202" style="position:absolute;left:2288;top:15985;width:1114;height: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aKgccA&#10;AADcAAAADwAAAGRycy9kb3ducmV2LnhtbESPS2/CMBCE70j8B2sr9QZOy6NVwKBQ8TpwgT4kbku8&#10;JBHxOo0NpP++RkLiOJqZbzTjaWNKcaHaFZYVvHQjEMSp1QVnCr4+F513EM4jaywtk4I/cjCdtFtj&#10;jLW98pYuO5+JAGEXo4Lc+yqW0qU5GXRdWxEH72hrgz7IOpO6xmuAm1K+RtFQGiw4LORY0UdO6Wl3&#10;Ngq2h9ki2affy9Vvf54M+/PmZ9ObKfX81CQjEJ4a/wjf22utYNB7g9uZcATk5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mioHHAAAA3AAAAA8AAAAAAAAAAAAAAAAAmAIAAGRy&#10;cy9kb3ducmV2LnhtbFBLBQYAAAAABAAEAPUAAACMAwAAAAA=&#10;" filled="f" strokeweight=".5pt">
                <v:textbox inset="0,0,0,0">
                  <w:txbxContent>
                    <w:p w:rsidR="00255CE5" w:rsidRPr="0071048A" w:rsidRDefault="00255CE5" w:rsidP="00FC4272">
                      <w:pPr>
                        <w:pStyle w:val="T"/>
                        <w:jc w:val="both"/>
                        <w:rPr>
                          <w:szCs w:val="20"/>
                        </w:rPr>
                      </w:pPr>
                    </w:p>
                  </w:txbxContent>
                </v:textbox>
              </v:shape>
              <v:shape id="Text Box 903" o:spid="_x0000_s1207" type="#_x0000_t202" style="position:absolute;left:2288;top:16268;width:111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DTd8AA&#10;AADcAAAADwAAAGRycy9kb3ducmV2LnhtbERPy4rCMBTdC/5DuII7TbVVtBpFhA5uXPj4gGtzbavN&#10;TWmidv5+shhweTjv9bYztXhT6yrLCibjCARxbnXFhYLrJRstQDiPrLG2TAp+ycF20++tMdX2wyd6&#10;n30hQgi7FBWU3jeplC4vyaAb24Y4cHfbGvQBtoXULX5CuKnlNIrm0mDFoaHEhvYl5c/zyyj4edxO&#10;URUnyTLL45k5PhKts4NSw0G3W4Hw1Pmv+N990ApmcVgbzoQjID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DTd8AAAADcAAAADwAAAAAAAAAAAAAAAACYAgAAZHJzL2Rvd25y&#10;ZXYueG1sUEsFBgAAAAAEAAQA9QAAAIUDAAAAAA==&#10;" filled="f" strokeweight="1.5pt">
                <v:textbox inset="0,0,0,0">
                  <w:txbxContent>
                    <w:p w:rsidR="00255CE5" w:rsidRPr="00DF2469" w:rsidRDefault="00255CE5" w:rsidP="00FC4272">
                      <w:pPr>
                        <w:pStyle w:val="T1"/>
                        <w:spacing w:before="0"/>
                      </w:pPr>
                      <w:r>
                        <w:t xml:space="preserve">№ </w:t>
                      </w:r>
                      <w:r w:rsidRPr="003259C2">
                        <w:t>докум</w:t>
                      </w:r>
                      <w:r>
                        <w:t>.</w:t>
                      </w:r>
                    </w:p>
                  </w:txbxContent>
                </v:textbox>
              </v:shape>
              <v:shape id="Text Box 904" o:spid="_x0000_s1208" type="#_x0000_t202" style="position:absolute;left:3402;top:15984;width:850;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W7aMcA&#10;AADcAAAADwAAAGRycy9kb3ducmV2LnhtbESPS2/CMBCE70j8B2sr9QZOy0NtwKBQ8TpwgT4kbku8&#10;JBHxOo0NpP++RkLiOJqZbzTjaWNKcaHaFZYVvHQjEMSp1QVnCr4+F503EM4jaywtk4I/cjCdtFtj&#10;jLW98pYuO5+JAGEXo4Lc+yqW0qU5GXRdWxEH72hrgz7IOpO6xmuAm1K+RtFQGiw4LORY0UdO6Wl3&#10;Ngq2h9ki2affy9Vvf54M+/PmZ9ObKfX81CQjEJ4a/wjf22utYNB7h9uZcATk5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1u2jHAAAA3AAAAA8AAAAAAAAAAAAAAAAAmAIAAGRy&#10;cy9kb3ducmV2LnhtbFBLBQYAAAAABAAEAPUAAACMAwAAAAA=&#10;" filled="f" strokeweight=".5pt">
                <v:textbox inset="0,0,0,0">
                  <w:txbxContent>
                    <w:p w:rsidR="00255CE5" w:rsidRDefault="00255CE5" w:rsidP="00FC4272">
                      <w:pPr>
                        <w:pStyle w:val="T"/>
                      </w:pPr>
                    </w:p>
                  </w:txbxContent>
                </v:textbox>
              </v:shape>
              <v:shape id="Text Box 905" o:spid="_x0000_s1209" type="#_x0000_t202" style="position:absolute;left:3402;top:16268;width:857;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sDMEA&#10;AADcAAAADwAAAGRycy9kb3ducmV2LnhtbERPzW6CQBC+m/QdNmPSmy5WbBRdSdOEhosHtA8wsiOg&#10;7Cxht0jf3j2YePzy/e/S0bRioN41lhUs5hEI4tLqhisFv6dstgbhPLLG1jIp+CcH6f5tssNE2zsX&#10;NBx9JUIIuwQV1N53iZSurMmgm9uOOHAX2xv0AfaV1D3eQ7hp5UcUfUqDDYeGGjv6rqm8Hf+Mgp/r&#10;uYiaZRxvsnK5ModrrHWWK/U+Hb+2IDyN/iV+unOtYBWH+eFMOAJ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wrAzBAAAA3AAAAA8AAAAAAAAAAAAAAAAAmAIAAGRycy9kb3du&#10;cmV2LnhtbFBLBQYAAAAABAAEAPUAAACGAwAAAAA=&#10;" filled="f" strokeweight="1.5pt">
                <v:textbox inset="0,0,0,0">
                  <w:txbxContent>
                    <w:p w:rsidR="00255CE5" w:rsidRPr="00DF2469" w:rsidRDefault="00255CE5" w:rsidP="00FC4272">
                      <w:pPr>
                        <w:pStyle w:val="T1"/>
                        <w:spacing w:before="0"/>
                      </w:pPr>
                      <w:r>
                        <w:t>Подп.</w:t>
                      </w:r>
                    </w:p>
                  </w:txbxContent>
                </v:textbox>
              </v:shape>
              <v:shape id="tbxIzmd" o:spid="_x0000_s1210" type="#_x0000_t202" style="position:absolute;left:4253;top:15986;width:567;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kIsMA&#10;AADcAAAADwAAAGRycy9kb3ducmV2LnhtbESPzW7CMBCE70h9B2srcQMnQFGVYlBVhMSVn0tu23iJ&#10;U+J1iA2Yt8eVKvU4mplvNItVtK24Ue8bxwrycQaCuHK64VrB8bAZvYPwAVlj65gUPMjDavkyWGCh&#10;3Z13dNuHWiQI+wIVmBC6QkpfGbLox64jTt7J9RZDkn0tdY/3BLetnGTZXFpsOC0Y7OjLUHXeX62C&#10;+PNY59NTSeHazc4GD5fvWF6UGr7Gzw8QgWL4D/+1t1rB2yyH3zPp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kIsMAAADcAAAADwAAAAAAAAAAAAAAAACYAgAAZHJzL2Rv&#10;d25yZXYueG1sUEsFBgAAAAAEAAQA9QAAAIgDAAAAAA==&#10;" filled="f" strokeweight=".5pt">
                <v:textbox inset="0,.5mm,0,0">
                  <w:txbxContent>
                    <w:p w:rsidR="00255CE5" w:rsidRPr="00C12C3D" w:rsidRDefault="00255CE5" w:rsidP="00FC4272">
                      <w:pPr>
                        <w:pStyle w:val="T2"/>
                        <w:rPr>
                          <w:b/>
                        </w:rPr>
                      </w:pPr>
                    </w:p>
                  </w:txbxContent>
                </v:textbox>
              </v:shape>
              <v:shape id="Text Box 907" o:spid="_x0000_s1211" type="#_x0000_t202" style="position:absolute;left:4252;top:16268;width:567;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X4MMA&#10;AADcAAAADwAAAGRycy9kb3ducmV2LnhtbESPzarCMBSE94LvEI7gTlO1yr3VKCJU3Ljw5wHObc5t&#10;q81JaaLWtzeC4HKYmW+Yxao1lbhT40rLCkbDCARxZnXJuYLzKR38gHAeWWNlmRQ8ycFq2e0sMNH2&#10;wQe6H30uAoRdggoK7+tESpcVZNANbU0cvH/bGPRBNrnUDT4C3FRyHEUzabDksFBgTZuCsuvxZhRs&#10;L3+HqJzE8W+aTaZmf4m1TndK9Xvteg7CU+u/4U97pxVM4zG8z4Qj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6X4MMAAADcAAAADwAAAAAAAAAAAAAAAACYAgAAZHJzL2Rv&#10;d25yZXYueG1sUEsFBgAAAAAEAAQA9QAAAIgDAAAAAA==&#10;" filled="f" strokeweight="1.5pt">
                <v:textbox inset="0,0,0,0">
                  <w:txbxContent>
                    <w:p w:rsidR="00255CE5" w:rsidRPr="009155C0" w:rsidRDefault="00255CE5" w:rsidP="00FC4272">
                      <w:pPr>
                        <w:pStyle w:val="T1"/>
                        <w:spacing w:before="0"/>
                      </w:pPr>
                      <w:r w:rsidRPr="003259C2">
                        <w:t>Дата</w:t>
                      </w:r>
                    </w:p>
                  </w:txbxContent>
                </v:textbox>
              </v:shape>
              <v:shape id="tbxOboz" o:spid="_x0000_s1212" type="#_x0000_t202" style="position:absolute;left:4820;top:15703;width:6234;height: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eb08cA&#10;AADcAAAADwAAAGRycy9kb3ducmV2LnhtbESPW2vCQBSE34X+h+UIvohu6qWU6CpFsQpCqZf6fMge&#10;k9Ds2ZDd5vLvuwWhj8PMfMMs160pRE2Vyy0reB5HIIgTq3NOFVwvu9ErCOeRNRaWSUFHDtarp94S&#10;Y20bPlF99qkIEHYxKsi8L2MpXZKRQTe2JXHw7rYy6IOsUqkrbALcFHISRS/SYM5hIcOSNhkl3+cf&#10;o6DpDmV3+jjePof7r1t33dTb9/ldqUG/fVuA8NT6//CjfdAK5rMp/J0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nm9PHAAAA3AAAAA8AAAAAAAAAAAAAAAAAmAIAAGRy&#10;cy9kb3ducmV2LnhtbFBLBQYAAAAABAAEAPUAAACMAwAAAAA=&#10;" filled="f" strokeweight="1.5pt">
                <v:textbox inset=",0,,0">
                  <w:txbxContent>
                    <w:p w:rsidR="00255CE5" w:rsidRPr="00844D74" w:rsidRDefault="00255CE5" w:rsidP="00D7505A">
                      <w:pPr>
                        <w:pStyle w:val="T4"/>
                        <w:rPr>
                          <w:sz w:val="30"/>
                          <w:szCs w:val="30"/>
                        </w:rPr>
                      </w:pPr>
                      <w:r w:rsidRPr="00844D74">
                        <w:rPr>
                          <w:sz w:val="30"/>
                          <w:szCs w:val="30"/>
                        </w:rPr>
                        <w:t>30275697.20.11,00.</w:t>
                      </w:r>
                      <w:r w:rsidRPr="00844D74">
                        <w:rPr>
                          <w:rStyle w:val="afff3"/>
                          <w:b w:val="0"/>
                          <w:sz w:val="30"/>
                          <w:szCs w:val="30"/>
                        </w:rPr>
                        <w:t>ЭБ26.</w:t>
                      </w:r>
                      <w:r>
                        <w:rPr>
                          <w:rStyle w:val="afff3"/>
                          <w:b w:val="0"/>
                          <w:sz w:val="30"/>
                          <w:szCs w:val="30"/>
                        </w:rPr>
                        <w:t>001-0</w:t>
                      </w:r>
                      <w:r w:rsidR="00684E82">
                        <w:rPr>
                          <w:rStyle w:val="afff3"/>
                          <w:b w:val="0"/>
                          <w:sz w:val="30"/>
                          <w:szCs w:val="30"/>
                        </w:rPr>
                        <w:t>5</w:t>
                      </w:r>
                      <w:r>
                        <w:rPr>
                          <w:rStyle w:val="afff3"/>
                          <w:b w:val="0"/>
                          <w:sz w:val="30"/>
                          <w:szCs w:val="30"/>
                        </w:rPr>
                        <w:t>.0</w:t>
                      </w:r>
                      <w:r w:rsidR="00684E82">
                        <w:rPr>
                          <w:rStyle w:val="afff3"/>
                          <w:b w:val="0"/>
                          <w:sz w:val="30"/>
                          <w:szCs w:val="30"/>
                        </w:rPr>
                        <w:t>1</w:t>
                      </w:r>
                      <w:r w:rsidRPr="00844D74">
                        <w:rPr>
                          <w:sz w:val="30"/>
                          <w:szCs w:val="30"/>
                        </w:rPr>
                        <w:t xml:space="preserve"> 9</w:t>
                      </w:r>
                    </w:p>
                  </w:txbxContent>
                </v:textbox>
              </v:shape>
              <v:shape id="Text Box 909" o:spid="_x0000_s1213" type="#_x0000_t202" style="position:absolute;left:11056;top:15704;width:567;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9Y8QA&#10;AADdAAAADwAAAGRycy9kb3ducmV2LnhtbESPQYvCMBSE78L+h/AWvGmyWmWtRlmEipc9qPsDns2z&#10;rTYvpYla/70RFjwOM/MNs1h1thY3an3lWMPXUIEgzp2puNDwd8gG3yB8QDZYOyYND/KwWn70Fpga&#10;d+cd3fahEBHCPkUNZQhNKqXPS7Loh64hjt7JtRZDlG0hTYv3CLe1HCk1lRYrjgslNrQuKb/sr1bD&#10;5nzcqWqcJLMsH0/s7zkxJttq3f/sfuYgAnXhHf5vb42GqUpm8HoTn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WPEAAAA3QAAAA8AAAAAAAAAAAAAAAAAmAIAAGRycy9k&#10;b3ducmV2LnhtbFBLBQYAAAAABAAEAPUAAACJAwAAAAA=&#10;" filled="f" strokeweight="1.5pt">
                <v:textbox inset="0,0,0,0">
                  <w:txbxContent>
                    <w:p w:rsidR="00255CE5" w:rsidRPr="00363BE3" w:rsidRDefault="00255CE5" w:rsidP="00FC4272">
                      <w:pPr>
                        <w:pStyle w:val="T20"/>
                        <w:rPr>
                          <w:sz w:val="20"/>
                          <w:szCs w:val="20"/>
                        </w:rPr>
                      </w:pPr>
                      <w:r w:rsidRPr="00363BE3">
                        <w:rPr>
                          <w:sz w:val="20"/>
                          <w:szCs w:val="20"/>
                        </w:rPr>
                        <w:t>Лист</w:t>
                      </w:r>
                    </w:p>
                  </w:txbxContent>
                </v:textbox>
              </v:shape>
              <v:shape id="tbxPage" o:spid="_x0000_s1214" type="#_x0000_t202" style="position:absolute;left:11056;top:16101;width:56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BnuMUA&#10;AADdAAAADwAAAGRycy9kb3ducmV2LnhtbESP3YrCMBSE74V9h3AWvNPEtYp2jbIIFW+88OcBjs2x&#10;rduclCZqfXsjLOzlMDPfMItVZ2txp9ZXjjWMhgoEce5MxYWG0zEbzED4gGywdkwanuRhtfzoLTA1&#10;7sF7uh9CISKEfYoayhCaVEqfl2TRD11DHL2Lay2GKNtCmhYfEW5r+aXUVFqsOC6U2NC6pPz3cLMa&#10;NtfzXlXjJJln+Xhid9fEmGyrdf+z+/kGEagL/+G/9tZomKrJCN5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Ge4xQAAAN0AAAAPAAAAAAAAAAAAAAAAAJgCAABkcnMv&#10;ZG93bnJldi54bWxQSwUGAAAAAAQABAD1AAAAigMAAAAA&#10;" filled="f" strokeweight="1.5pt">
                <v:textbox inset="0,0,0,0">
                  <w:txbxContent>
                    <w:p w:rsidR="00255CE5" w:rsidRPr="00DC0A04" w:rsidRDefault="00255CE5" w:rsidP="00FC4272">
                      <w:pPr>
                        <w:pStyle w:val="T5"/>
                      </w:pPr>
                      <w:r>
                        <w:rPr>
                          <w:szCs w:val="20"/>
                        </w:rPr>
                        <w:fldChar w:fldCharType="begin"/>
                      </w:r>
                      <w:r>
                        <w:rPr>
                          <w:szCs w:val="20"/>
                        </w:rPr>
                        <w:instrText xml:space="preserve"> PAGE  </w:instrText>
                      </w:r>
                      <w:r>
                        <w:rPr>
                          <w:szCs w:val="20"/>
                        </w:rPr>
                        <w:fldChar w:fldCharType="separate"/>
                      </w:r>
                      <w:r w:rsidR="00DD2822">
                        <w:rPr>
                          <w:noProof/>
                          <w:szCs w:val="20"/>
                        </w:rPr>
                        <w:t>139</w:t>
                      </w:r>
                      <w:r>
                        <w:rPr>
                          <w:szCs w:val="20"/>
                        </w:rPr>
                        <w:fldChar w:fldCharType="end"/>
                      </w:r>
                    </w:p>
                    <w:p w:rsidR="00255CE5" w:rsidRPr="00AB2209" w:rsidRDefault="00255CE5" w:rsidP="00FC4272"/>
                  </w:txbxContent>
                </v:textbox>
              </v:shape>
              <v:line id="Line 921" o:spid="_x0000_s1215" style="position:absolute;visibility:visible;mso-wrap-style:square" from="1605,15704" to="1605,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OMMAAADdAAAADwAAAGRycy9kb3ducmV2LnhtbERPyWrDMBC9B/oPYgq5JXITMMWNHEIh&#10;TeitbjD0NljjJbZGriQn7t9Xh0KPj7fv9rMZxI2c7ywreFonIIgrqztuFFw+j6tnED4gaxwsk4If&#10;8rDPHxY7zLS98wfditCIGMI+QwVtCGMmpa9aMujXdiSOXG2dwRCha6R2eI/hZpCbJEmlwY5jQ4sj&#10;vbZU9cVkFJRTwV/X/ugGnN5Op7r87v32Xanl43x4ARFoDv/iP/dZK0iTNM6Nb+ITk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wvjjDAAAA3QAAAA8AAAAAAAAAAAAA&#10;AAAAoQIAAGRycy9kb3ducmV2LnhtbFBLBQYAAAAABAAEAPkAAACRAwAAAAA=&#10;" strokeweight="1.5pt"/>
              <v:line id="Line 922" o:spid="_x0000_s1216" style="position:absolute;visibility:visible;mso-wrap-style:square" from="2288,15704" to="2288,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NfsUAAADdAAAADwAAAGRycy9kb3ducmV2LnhtbESPQWvCQBSE74L/YXkFb7ppBW2jq0jB&#10;Wrw1FqG3R/aZxGTfprsbTf+9WxA8DjPzDbNc96YRF3K+sqzgeZKAIM6trrhQ8H3Yjl9B+ICssbFM&#10;Cv7Iw3o1HCwx1fbKX3TJQiEihH2KCsoQ2lRKn5dk0E9sSxy9k3UGQ5SukNrhNcJNI1+SZCYNVhwX&#10;SmzpvaS8zjqj4Nhl/HOut67B7mO3Ox1/az/dKzV66jcLEIH68Ajf259awSyZv8H/m/gE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WNfsUAAADdAAAADwAAAAAAAAAA&#10;AAAAAAChAgAAZHJzL2Rvd25yZXYueG1sUEsFBgAAAAAEAAQA+QAAAJMDAAAAAA==&#10;" strokeweight="1.5pt"/>
              <v:line id="Line 923" o:spid="_x0000_s1217" style="position:absolute;visibility:visible;mso-wrap-style:square" from="3402,15704" to="3402,16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pUxMEAAADdAAAADwAAAGRycy9kb3ducmV2LnhtbERPTYvCMBC9C/sfwizsTdN1QaQaRQR1&#10;2ZtVBG9DM7a1zaSbpFr/vTkIHh/ve77sTSNu5HxlWcH3KAFBnFtdcaHgeNgMpyB8QNbYWCYFD/Kw&#10;XHwM5phqe+c93bJQiBjCPkUFZQhtKqXPSzLoR7YljtzFOoMhQldI7fAew00jx0kykQYrjg0ltrQu&#10;Ka+zzig4dRmfr/XGNdhtd7vL6b/2P39KfX32qxmIQH14i1/uX61gkkzj/vgmPgG5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ClTEwQAAAN0AAAAPAAAAAAAAAAAAAAAA&#10;AKECAABkcnMvZG93bnJldi54bWxQSwUGAAAAAAQABAD5AAAAjwMAAAAA&#10;" strokeweight="1.5pt"/>
              <v:line id="Line 924" o:spid="_x0000_s1218" style="position:absolute;visibility:visible;mso-wrap-style:square" from="4259,15705" to="4259,16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bxX8QAAADdAAAADwAAAGRycy9kb3ducmV2LnhtbESPQWvCQBSE7wX/w/IEb3VjBZHoKiKo&#10;pbfGIvT2yD6TmOzbuLvR9N93BcHjMDPfMMt1bxpxI+crywom4wQEcW51xYWCn+PufQ7CB2SNjWVS&#10;8Ece1qvB2xJTbe/8TbcsFCJC2KeooAyhTaX0eUkG/di2xNE7W2cwROkKqR3eI9w08iNJZtJgxXGh&#10;xJa2JeV11hkFpy7j30u9cw12+8PhfLrWfvql1GjYbxYgAvXhFX62P7WCWTKfwONNfAJ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RvFfxAAAAN0AAAAPAAAAAAAAAAAA&#10;AAAAAKECAABkcnMvZG93bnJldi54bWxQSwUGAAAAAAQABAD5AAAAkgMAAAAA&#10;" strokeweight="1.5pt"/>
              <v:line id="Line 925" o:spid="_x0000_s1219" style="position:absolute;visibility:visible;mso-wrap-style:square" from="1134,15704" to="11621,157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RvKMUAAADdAAAADwAAAGRycy9kb3ducmV2LnhtbESPT2vCQBTE7wW/w/IKvdVNLYikriKC&#10;f+jNWAK9PbLPJE32bdzdaPrtXUHwOMzMb5j5cjCtuJDztWUFH+MEBHFhdc2lgp/j5n0Gwgdkja1l&#10;UvBPHpaL0cscU22vfKBLFkoRIexTVFCF0KVS+qIig35sO+LonawzGKJ0pdQOrxFuWjlJkqk0WHNc&#10;qLCjdUVFk/VGQd5n/PvXbFyL/Xa3O+Xnxn9+K/X2Oqy+QAQawjP8aO+1gmkym8D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RvKMUAAADdAAAADwAAAAAAAAAA&#10;AAAAAAChAgAAZHJzL2Rvd25yZXYueG1sUEsFBgAAAAAEAAQA+QAAAJMDAAAAAA==&#10;" strokeweight="1.5pt"/>
              <v:shape id="tbxOboz180" o:spid="_x0000_s1220" type="#_x0000_t202" style="position:absolute;left:1134;top:307;width:3969;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9gIMQA&#10;AADdAAAADwAAAGRycy9kb3ducmV2LnhtbESPzYoCMRCE74LvEHrBm2bWFZHRKCIKHv09eGsmvZNZ&#10;J504yer49kZY2GNRVV9Rs0Vra3GnJlSOFXwOMhDEhdMVlwpOx01/AiJEZI21Y1LwpACLebczw1y7&#10;B+/pfoilSBAOOSowMfpcylAYshgGzhMn79s1FmOSTSl1g48Et7UcZtlYWqw4LRj0tDJUXA+/VsHa&#10;n9cbf/u5FM/2tNwZs9XH60ip3ke7nIKI1Mb/8F97qxWMs8kXvN+k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YCDEAAAA3QAAAA8AAAAAAAAAAAAAAAAAmAIAAGRycy9k&#10;b3ducmV2LnhtbFBLBQYAAAAABAAEAPUAAACJAwAAAAA=&#10;" strokeweight="1.5pt">
                <v:textbox inset="0,0,0,0">
                  <w:txbxContent>
                    <w:p w:rsidR="00255CE5" w:rsidRPr="00BB0B43" w:rsidRDefault="00255CE5" w:rsidP="00FC4272">
                      <w:pPr>
                        <w:pStyle w:val="T6"/>
                        <w:rPr>
                          <w:lang w:val="en-US"/>
                        </w:rPr>
                      </w:pPr>
                    </w:p>
                  </w:txbxContent>
                </v:textbox>
              </v:shape>
              <v:line id="Line 929" o:spid="_x0000_s1221" style="position:absolute;visibility:visible;mso-wrap-style:square" from="11623,284" to="11623,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FSx8UAAADdAAAADwAAAGRycy9kb3ducmV2LnhtbESPQWvCQBSE74X+h+UJ3nSjFZHUVaRg&#10;ld5Mi9DbI/tMYrJv4+5G03/vCkKPw8x8wyzXvWnElZyvLCuYjBMQxLnVFRcKfr63owUIH5A1NpZJ&#10;wR95WK9eX5aYanvjA12zUIgIYZ+igjKENpXS5yUZ9GPbEkfvZJ3BEKUrpHZ4i3DTyGmSzKXBiuNC&#10;iS19lJTXWWcUHLuMf8/11jXYfe52p+Ol9m9fSg0H/eYdRKA+/Ief7b1WME8WM3i8iU9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FSx8UAAADdAAAADwAAAAAAAAAA&#10;AAAAAAChAgAAZHJzL2Rvd25yZXYueG1sUEsFBgAAAAAEAAQA+QAAAJMDAAAAAA==&#10;" strokeweight="1.5pt"/>
              <v:line id="Line 930" o:spid="_x0000_s1222" style="position:absolute;visibility:visible;mso-wrap-style:square" from="1134,284" to="11621,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33XMUAAADdAAAADwAAAGRycy9kb3ducmV2LnhtbESPQWvCQBSE74X+h+UJ3nSjRZHUVaRg&#10;ld5Mi9DbI/tMYrJv4+5G03/vCkKPw8x8wyzXvWnElZyvLCuYjBMQxLnVFRcKfr63owUIH5A1NpZJ&#10;wR95WK9eX5aYanvjA12zUIgIYZ+igjKENpXS5yUZ9GPbEkfvZJ3BEKUrpHZ4i3DTyGmSzKXBiuNC&#10;iS19lJTXWWcUHLuMf8/11jXYfe52p+Ol9m9fSg0H/eYdRKA+/Ief7b1WME8WM3i8iU9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333XMUAAADdAAAADwAAAAAAAAAA&#10;AAAAAAChAgAAZHJzL2Rvd25yZXYueG1sUEsFBgAAAAAEAAQA+QAAAJMDAAAAAA==&#10;" strokeweight="1.5pt"/>
              <v:line id="Line 931" o:spid="_x0000_s1223" style="position:absolute;visibility:visible;mso-wrap-style:square" from="1134,284" to="1134,1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9pK8UAAADdAAAADwAAAGRycy9kb3ducmV2LnhtbESPQWvCQBSE7wX/w/IEb3VjhSDRVURQ&#10;S29NRfD2yD6TmOzbuLvR9N93C4Ueh5n5hlltBtOKBzlfW1YwmyYgiAuray4VnL72rwsQPiBrbC2T&#10;gm/ysFmPXlaYafvkT3rkoRQRwj5DBVUIXSalLyoy6Ke2I47e1TqDIUpXSu3wGeGmlW9JkkqDNceF&#10;CjvaVVQ0eW8UnPucL7dm71rsD8fj9Xxv/PxDqcl42C5BBBrCf/iv/a4VpMkihd838Qn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69pK8UAAADdAAAADwAAAAAAAAAA&#10;AAAAAAChAgAAZHJzL2Rvd25yZXYueG1sUEsFBgAAAAAEAAQA+QAAAJMDAAAAAA==&#10;" strokeweight="1.5pt"/>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pt;height:12.75pt;visibility:visible" o:bullet="t">
        <v:imagedata r:id="rId1" o:title=""/>
      </v:shape>
    </w:pict>
  </w:numPicBullet>
  <w:abstractNum w:abstractNumId="0">
    <w:nsid w:val="FFFFFF7D"/>
    <w:multiLevelType w:val="singleLevel"/>
    <w:tmpl w:val="FC5AC95E"/>
    <w:lvl w:ilvl="0">
      <w:start w:val="1"/>
      <w:numFmt w:val="decimal"/>
      <w:pStyle w:val="4"/>
      <w:lvlText w:val="%1)"/>
      <w:lvlJc w:val="left"/>
      <w:pPr>
        <w:ind w:left="1426" w:hanging="360"/>
      </w:pPr>
    </w:lvl>
  </w:abstractNum>
  <w:abstractNum w:abstractNumId="1">
    <w:nsid w:val="FFFFFF7E"/>
    <w:multiLevelType w:val="singleLevel"/>
    <w:tmpl w:val="32FA2340"/>
    <w:lvl w:ilvl="0">
      <w:start w:val="1"/>
      <w:numFmt w:val="russianLower"/>
      <w:pStyle w:val="3"/>
      <w:lvlText w:val="%1)"/>
      <w:lvlJc w:val="left"/>
      <w:pPr>
        <w:ind w:left="926" w:hanging="360"/>
      </w:pPr>
      <w:rPr>
        <w:rFonts w:hint="default"/>
      </w:rPr>
    </w:lvl>
  </w:abstractNum>
  <w:abstractNum w:abstractNumId="2">
    <w:nsid w:val="FFFFFF7F"/>
    <w:multiLevelType w:val="singleLevel"/>
    <w:tmpl w:val="1DBACCB2"/>
    <w:lvl w:ilvl="0">
      <w:start w:val="1"/>
      <w:numFmt w:val="decimal"/>
      <w:pStyle w:val="2"/>
      <w:lvlText w:val="%1)"/>
      <w:lvlJc w:val="left"/>
      <w:pPr>
        <w:ind w:left="1426" w:hanging="360"/>
      </w:pPr>
    </w:lvl>
  </w:abstractNum>
  <w:abstractNum w:abstractNumId="3">
    <w:nsid w:val="FFFFFF80"/>
    <w:multiLevelType w:val="singleLevel"/>
    <w:tmpl w:val="747ADCCC"/>
    <w:lvl w:ilvl="0">
      <w:start w:val="1"/>
      <w:numFmt w:val="decimal"/>
      <w:pStyle w:val="5"/>
      <w:lvlText w:val="%1)"/>
      <w:lvlJc w:val="left"/>
      <w:pPr>
        <w:ind w:left="1492" w:hanging="360"/>
      </w:pPr>
      <w:rPr>
        <w:rFonts w:hint="default"/>
      </w:rPr>
    </w:lvl>
  </w:abstractNum>
  <w:abstractNum w:abstractNumId="4">
    <w:nsid w:val="FFFFFF81"/>
    <w:multiLevelType w:val="singleLevel"/>
    <w:tmpl w:val="578E487C"/>
    <w:lvl w:ilvl="0">
      <w:start w:val="1"/>
      <w:numFmt w:val="russianLower"/>
      <w:pStyle w:val="40"/>
      <w:lvlText w:val="%1)"/>
      <w:lvlJc w:val="left"/>
      <w:pPr>
        <w:ind w:left="1209" w:hanging="360"/>
      </w:pPr>
      <w:rPr>
        <w:rFonts w:hint="default"/>
      </w:rPr>
    </w:lvl>
  </w:abstractNum>
  <w:abstractNum w:abstractNumId="5">
    <w:nsid w:val="FFFFFF82"/>
    <w:multiLevelType w:val="singleLevel"/>
    <w:tmpl w:val="6E9024A0"/>
    <w:lvl w:ilvl="0">
      <w:start w:val="1"/>
      <w:numFmt w:val="bullet"/>
      <w:pStyle w:val="30"/>
      <w:lvlText w:val="-"/>
      <w:lvlJc w:val="left"/>
      <w:pPr>
        <w:ind w:left="1069" w:hanging="360"/>
      </w:pPr>
      <w:rPr>
        <w:rFonts w:ascii="Simplified Arabic" w:hAnsi="Simplified Arabic" w:hint="default"/>
      </w:rPr>
    </w:lvl>
  </w:abstractNum>
  <w:abstractNum w:abstractNumId="6">
    <w:nsid w:val="FFFFFF83"/>
    <w:multiLevelType w:val="singleLevel"/>
    <w:tmpl w:val="7DE8CB42"/>
    <w:lvl w:ilvl="0">
      <w:start w:val="1"/>
      <w:numFmt w:val="bullet"/>
      <w:pStyle w:val="20"/>
      <w:lvlText w:val="-"/>
      <w:lvlJc w:val="left"/>
      <w:pPr>
        <w:ind w:left="1069" w:hanging="360"/>
      </w:pPr>
      <w:rPr>
        <w:rFonts w:ascii="Simplified Arabic" w:hAnsi="Simplified Arabic" w:hint="default"/>
      </w:rPr>
    </w:lvl>
  </w:abstractNum>
  <w:abstractNum w:abstractNumId="7">
    <w:nsid w:val="FFFFFF88"/>
    <w:multiLevelType w:val="singleLevel"/>
    <w:tmpl w:val="04D4B084"/>
    <w:lvl w:ilvl="0">
      <w:start w:val="1"/>
      <w:numFmt w:val="russianLower"/>
      <w:pStyle w:val="a"/>
      <w:lvlText w:val="%1)"/>
      <w:lvlJc w:val="left"/>
      <w:pPr>
        <w:ind w:left="1069" w:hanging="360"/>
      </w:pPr>
      <w:rPr>
        <w:rFonts w:hint="default"/>
      </w:rPr>
    </w:lvl>
  </w:abstractNum>
  <w:abstractNum w:abstractNumId="8">
    <w:nsid w:val="00FD10B2"/>
    <w:multiLevelType w:val="hybridMultilevel"/>
    <w:tmpl w:val="7FB26104"/>
    <w:lvl w:ilvl="0" w:tplc="4816D716">
      <w:start w:val="1"/>
      <w:numFmt w:val="decimal"/>
      <w:lvlText w:val="%1."/>
      <w:lvlJc w:val="left"/>
      <w:pPr>
        <w:ind w:left="578"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9">
    <w:nsid w:val="016D71F9"/>
    <w:multiLevelType w:val="hybridMultilevel"/>
    <w:tmpl w:val="11567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1733E4E"/>
    <w:multiLevelType w:val="hybridMultilevel"/>
    <w:tmpl w:val="EA8C9CBC"/>
    <w:lvl w:ilvl="0" w:tplc="330000EE">
      <w:start w:val="1"/>
      <w:numFmt w:val="decimal"/>
      <w:pStyle w:val="50"/>
      <w:lvlText w:val="4.6.1.4.%1"/>
      <w:lvlJc w:val="left"/>
      <w:pPr>
        <w:ind w:left="1077" w:hanging="360"/>
      </w:pPr>
      <w:rPr>
        <w:rFonts w:hint="default"/>
      </w:rPr>
    </w:lvl>
    <w:lvl w:ilvl="1" w:tplc="E358602A" w:tentative="1">
      <w:start w:val="1"/>
      <w:numFmt w:val="lowerLetter"/>
      <w:lvlText w:val="%2."/>
      <w:lvlJc w:val="left"/>
      <w:pPr>
        <w:ind w:left="1797" w:hanging="360"/>
      </w:pPr>
    </w:lvl>
    <w:lvl w:ilvl="2" w:tplc="B48C0E96" w:tentative="1">
      <w:start w:val="1"/>
      <w:numFmt w:val="lowerRoman"/>
      <w:lvlText w:val="%3."/>
      <w:lvlJc w:val="right"/>
      <w:pPr>
        <w:ind w:left="2517" w:hanging="180"/>
      </w:pPr>
    </w:lvl>
    <w:lvl w:ilvl="3" w:tplc="FE7CA59E" w:tentative="1">
      <w:start w:val="1"/>
      <w:numFmt w:val="decimal"/>
      <w:lvlText w:val="%4."/>
      <w:lvlJc w:val="left"/>
      <w:pPr>
        <w:ind w:left="3237" w:hanging="360"/>
      </w:pPr>
    </w:lvl>
    <w:lvl w:ilvl="4" w:tplc="47C2534C" w:tentative="1">
      <w:start w:val="1"/>
      <w:numFmt w:val="lowerLetter"/>
      <w:lvlText w:val="%5."/>
      <w:lvlJc w:val="left"/>
      <w:pPr>
        <w:ind w:left="3957" w:hanging="360"/>
      </w:pPr>
    </w:lvl>
    <w:lvl w:ilvl="5" w:tplc="12D60572" w:tentative="1">
      <w:start w:val="1"/>
      <w:numFmt w:val="lowerRoman"/>
      <w:lvlText w:val="%6."/>
      <w:lvlJc w:val="right"/>
      <w:pPr>
        <w:ind w:left="4677" w:hanging="180"/>
      </w:pPr>
    </w:lvl>
    <w:lvl w:ilvl="6" w:tplc="1F88EB74" w:tentative="1">
      <w:start w:val="1"/>
      <w:numFmt w:val="decimal"/>
      <w:lvlText w:val="%7."/>
      <w:lvlJc w:val="left"/>
      <w:pPr>
        <w:ind w:left="5397" w:hanging="360"/>
      </w:pPr>
    </w:lvl>
    <w:lvl w:ilvl="7" w:tplc="43C2E65A" w:tentative="1">
      <w:start w:val="1"/>
      <w:numFmt w:val="lowerLetter"/>
      <w:lvlText w:val="%8."/>
      <w:lvlJc w:val="left"/>
      <w:pPr>
        <w:ind w:left="6117" w:hanging="360"/>
      </w:pPr>
    </w:lvl>
    <w:lvl w:ilvl="8" w:tplc="8D54339E" w:tentative="1">
      <w:start w:val="1"/>
      <w:numFmt w:val="lowerRoman"/>
      <w:lvlText w:val="%9."/>
      <w:lvlJc w:val="right"/>
      <w:pPr>
        <w:ind w:left="6837" w:hanging="180"/>
      </w:pPr>
    </w:lvl>
  </w:abstractNum>
  <w:abstractNum w:abstractNumId="11">
    <w:nsid w:val="01C62589"/>
    <w:multiLevelType w:val="multilevel"/>
    <w:tmpl w:val="72A25024"/>
    <w:lvl w:ilvl="0">
      <w:start w:val="1"/>
      <w:numFmt w:val="decimal"/>
      <w:lvlText w:val="%1."/>
      <w:lvlJc w:val="left"/>
      <w:pPr>
        <w:ind w:left="360" w:hanging="360"/>
      </w:pPr>
      <w:rPr>
        <w:rFonts w:hint="default"/>
      </w:rPr>
    </w:lvl>
    <w:lvl w:ilvl="1">
      <w:start w:val="1"/>
      <w:numFmt w:val="decimal"/>
      <w:pStyle w:val="21"/>
      <w:lvlText w:val="%1.%2."/>
      <w:lvlJc w:val="left"/>
      <w:pPr>
        <w:ind w:left="1440" w:hanging="360"/>
      </w:pPr>
      <w:rPr>
        <w:rFonts w:hint="default"/>
      </w:rPr>
    </w:lvl>
    <w:lvl w:ilvl="2">
      <w:start w:val="1"/>
      <w:numFmt w:val="decimal"/>
      <w:pStyle w:val="31"/>
      <w:lvlText w:val="%1.%2.%3."/>
      <w:lvlJc w:val="right"/>
      <w:pPr>
        <w:ind w:left="4433" w:hanging="180"/>
      </w:pPr>
      <w:rPr>
        <w:rFonts w:hint="default"/>
      </w:rPr>
    </w:lvl>
    <w:lvl w:ilvl="3">
      <w:start w:val="1"/>
      <w:numFmt w:val="decimal"/>
      <w:pStyle w:val="41"/>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04B95EC4"/>
    <w:multiLevelType w:val="hybridMultilevel"/>
    <w:tmpl w:val="05E80E14"/>
    <w:lvl w:ilvl="0" w:tplc="FFFFFFFF">
      <w:start w:val="1"/>
      <w:numFmt w:val="bullet"/>
      <w:pStyle w:val="1"/>
      <w:lvlText w:val=""/>
      <w:lvlJc w:val="left"/>
      <w:pPr>
        <w:ind w:left="927" w:hanging="360"/>
      </w:pPr>
      <w:rPr>
        <w:rFonts w:ascii="Symbol" w:hAnsi="Symbol"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3">
    <w:nsid w:val="04E456A3"/>
    <w:multiLevelType w:val="multilevel"/>
    <w:tmpl w:val="999A3440"/>
    <w:lvl w:ilvl="0">
      <w:start w:val="1"/>
      <w:numFmt w:val="decimal"/>
      <w:pStyle w:val="10"/>
      <w:suff w:val="nothing"/>
      <w:lvlText w:val="%1  "/>
      <w:lvlJc w:val="left"/>
      <w:pPr>
        <w:ind w:left="0" w:firstLine="595"/>
      </w:pPr>
      <w:rPr>
        <w:rFonts w:ascii="Arial" w:hAnsi="Arial" w:hint="default"/>
        <w:b/>
        <w:i w:val="0"/>
        <w:caps w:val="0"/>
        <w:strike w:val="0"/>
        <w:dstrike w:val="0"/>
        <w:vanish w:val="0"/>
        <w:color w:val="000000"/>
        <w:spacing w:val="0"/>
        <w:w w:val="100"/>
        <w:sz w:val="30"/>
        <w:effect w:val="none"/>
        <w:vertAlign w:val="baseline"/>
      </w:rPr>
    </w:lvl>
    <w:lvl w:ilvl="1">
      <w:start w:val="1"/>
      <w:numFmt w:val="decimal"/>
      <w:pStyle w:val="22"/>
      <w:suff w:val="nothing"/>
      <w:lvlText w:val="%1.%2  "/>
      <w:lvlJc w:val="left"/>
      <w:pPr>
        <w:ind w:left="0" w:firstLine="595"/>
      </w:pPr>
      <w:rPr>
        <w:rFonts w:ascii="Arial" w:hAnsi="Arial" w:hint="default"/>
        <w:b/>
        <w:i w:val="0"/>
        <w:caps w:val="0"/>
        <w:strike w:val="0"/>
        <w:dstrike w:val="0"/>
        <w:vanish w:val="0"/>
        <w:color w:val="000000"/>
        <w:spacing w:val="0"/>
        <w:w w:val="100"/>
        <w:sz w:val="26"/>
        <w:vertAlign w:val="baseline"/>
      </w:rPr>
    </w:lvl>
    <w:lvl w:ilvl="2">
      <w:start w:val="1"/>
      <w:numFmt w:val="decimal"/>
      <w:pStyle w:val="32"/>
      <w:suff w:val="nothing"/>
      <w:lvlText w:val="%1.%2.%3  "/>
      <w:lvlJc w:val="left"/>
      <w:pPr>
        <w:ind w:left="0" w:firstLine="595"/>
      </w:pPr>
      <w:rPr>
        <w:rFonts w:ascii="Arial" w:hAnsi="Arial" w:hint="default"/>
        <w:b/>
        <w:i/>
        <w:caps w:val="0"/>
        <w:strike w:val="0"/>
        <w:dstrike w:val="0"/>
        <w:vanish w:val="0"/>
        <w:color w:val="000000"/>
        <w:spacing w:val="0"/>
        <w:w w:val="100"/>
        <w:sz w:val="24"/>
        <w:vertAlign w:val="baseline"/>
      </w:rPr>
    </w:lvl>
    <w:lvl w:ilvl="3">
      <w:start w:val="1"/>
      <w:numFmt w:val="decimal"/>
      <w:lvlRestart w:val="1"/>
      <w:pStyle w:val="11"/>
      <w:suff w:val="nothing"/>
      <w:lvlText w:val="%1.%4  "/>
      <w:lvlJc w:val="left"/>
      <w:pPr>
        <w:ind w:left="0" w:firstLine="595"/>
      </w:pPr>
      <w:rPr>
        <w:rFonts w:ascii="Arial" w:hAnsi="Arial" w:hint="default"/>
        <w:b w:val="0"/>
        <w:i w:val="0"/>
        <w:caps w:val="0"/>
        <w:strike w:val="0"/>
        <w:dstrike w:val="0"/>
        <w:vanish w:val="0"/>
        <w:color w:val="000000"/>
        <w:spacing w:val="-2"/>
        <w:w w:val="100"/>
        <w:kern w:val="0"/>
        <w:sz w:val="22"/>
        <w:vertAlign w:val="baseline"/>
      </w:rPr>
    </w:lvl>
    <w:lvl w:ilvl="4">
      <w:start w:val="1"/>
      <w:numFmt w:val="decimal"/>
      <w:pStyle w:val="12"/>
      <w:suff w:val="nothing"/>
      <w:lvlText w:val="%1.%4.%5  "/>
      <w:lvlJc w:val="left"/>
      <w:pPr>
        <w:ind w:left="0" w:firstLine="595"/>
      </w:pPr>
      <w:rPr>
        <w:rFonts w:ascii="Arial" w:hAnsi="Arial" w:hint="default"/>
        <w:b w:val="0"/>
        <w:i w:val="0"/>
        <w:spacing w:val="-2"/>
        <w:w w:val="100"/>
        <w:sz w:val="22"/>
      </w:rPr>
    </w:lvl>
    <w:lvl w:ilvl="5">
      <w:start w:val="1"/>
      <w:numFmt w:val="decimal"/>
      <w:lvlRestart w:val="2"/>
      <w:pStyle w:val="23"/>
      <w:suff w:val="nothing"/>
      <w:lvlText w:val="%1.%2.%6  "/>
      <w:lvlJc w:val="left"/>
      <w:pPr>
        <w:ind w:left="0" w:firstLine="595"/>
      </w:pPr>
      <w:rPr>
        <w:rFonts w:ascii="Arial" w:hAnsi="Arial" w:hint="default"/>
        <w:b w:val="0"/>
        <w:i w:val="0"/>
        <w:spacing w:val="-2"/>
        <w:w w:val="100"/>
        <w:sz w:val="22"/>
      </w:rPr>
    </w:lvl>
    <w:lvl w:ilvl="6">
      <w:start w:val="1"/>
      <w:numFmt w:val="decimal"/>
      <w:pStyle w:val="24"/>
      <w:suff w:val="nothing"/>
      <w:lvlText w:val="%1.%2.%6.%7  "/>
      <w:lvlJc w:val="left"/>
      <w:pPr>
        <w:ind w:left="0" w:firstLine="595"/>
      </w:pPr>
      <w:rPr>
        <w:rFonts w:ascii="Arial" w:hAnsi="Arial" w:hint="default"/>
        <w:b w:val="0"/>
        <w:i w:val="0"/>
        <w:spacing w:val="-2"/>
        <w:w w:val="100"/>
        <w:sz w:val="22"/>
      </w:rPr>
    </w:lvl>
    <w:lvl w:ilvl="7">
      <w:start w:val="1"/>
      <w:numFmt w:val="decimal"/>
      <w:lvlRestart w:val="3"/>
      <w:pStyle w:val="33"/>
      <w:suff w:val="nothing"/>
      <w:lvlText w:val="%1.%2.%3.%8  "/>
      <w:lvlJc w:val="left"/>
      <w:pPr>
        <w:ind w:left="0" w:firstLine="595"/>
      </w:pPr>
      <w:rPr>
        <w:rFonts w:ascii="Arial" w:hAnsi="Arial" w:hint="default"/>
        <w:b w:val="0"/>
        <w:i w:val="0"/>
        <w:spacing w:val="-2"/>
        <w:w w:val="100"/>
        <w:sz w:val="22"/>
      </w:rPr>
    </w:lvl>
    <w:lvl w:ilvl="8">
      <w:start w:val="1"/>
      <w:numFmt w:val="decimal"/>
      <w:pStyle w:val="34"/>
      <w:suff w:val="nothing"/>
      <w:lvlText w:val="%1.%2.%3.%8.%9  "/>
      <w:lvlJc w:val="left"/>
      <w:pPr>
        <w:ind w:left="0" w:firstLine="595"/>
      </w:pPr>
      <w:rPr>
        <w:rFonts w:ascii="Arial" w:hAnsi="Arial" w:hint="default"/>
        <w:b w:val="0"/>
        <w:i w:val="0"/>
        <w:spacing w:val="-2"/>
        <w:w w:val="100"/>
        <w:sz w:val="22"/>
      </w:rPr>
    </w:lvl>
  </w:abstractNum>
  <w:abstractNum w:abstractNumId="14">
    <w:nsid w:val="062A260D"/>
    <w:multiLevelType w:val="hybridMultilevel"/>
    <w:tmpl w:val="96E0AD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09B068E8"/>
    <w:multiLevelType w:val="multilevel"/>
    <w:tmpl w:val="6CA43D7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09F64201"/>
    <w:multiLevelType w:val="hybridMultilevel"/>
    <w:tmpl w:val="C074A5F4"/>
    <w:lvl w:ilvl="0" w:tplc="FFFFFFFF">
      <w:start w:val="1"/>
      <w:numFmt w:val="decimal"/>
      <w:pStyle w:val="TableCell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0C0A0301"/>
    <w:multiLevelType w:val="hybridMultilevel"/>
    <w:tmpl w:val="DDD8687E"/>
    <w:lvl w:ilvl="0" w:tplc="A9EA0A2A">
      <w:start w:val="1"/>
      <w:numFmt w:val="bullet"/>
      <w:lvlText w:val="–"/>
      <w:lvlJc w:val="left"/>
      <w:pPr>
        <w:ind w:left="2024" w:hanging="360"/>
      </w:pPr>
      <w:rPr>
        <w:rFonts w:ascii="Times New Roman" w:hAnsi="Times New Roman" w:hint="default"/>
      </w:rPr>
    </w:lvl>
    <w:lvl w:ilvl="1" w:tplc="04190003" w:tentative="1">
      <w:start w:val="1"/>
      <w:numFmt w:val="bullet"/>
      <w:lvlText w:val="o"/>
      <w:lvlJc w:val="left"/>
      <w:pPr>
        <w:ind w:left="2744" w:hanging="360"/>
      </w:pPr>
      <w:rPr>
        <w:rFonts w:ascii="Courier New" w:hAnsi="Courier New" w:cs="Courier New" w:hint="default"/>
      </w:rPr>
    </w:lvl>
    <w:lvl w:ilvl="2" w:tplc="04190005" w:tentative="1">
      <w:start w:val="1"/>
      <w:numFmt w:val="bullet"/>
      <w:lvlText w:val=""/>
      <w:lvlJc w:val="left"/>
      <w:pPr>
        <w:ind w:left="3464" w:hanging="360"/>
      </w:pPr>
      <w:rPr>
        <w:rFonts w:ascii="Wingdings" w:hAnsi="Wingdings" w:hint="default"/>
      </w:rPr>
    </w:lvl>
    <w:lvl w:ilvl="3" w:tplc="04190001" w:tentative="1">
      <w:start w:val="1"/>
      <w:numFmt w:val="bullet"/>
      <w:lvlText w:val=""/>
      <w:lvlJc w:val="left"/>
      <w:pPr>
        <w:ind w:left="4184" w:hanging="360"/>
      </w:pPr>
      <w:rPr>
        <w:rFonts w:ascii="Symbol" w:hAnsi="Symbol" w:hint="default"/>
      </w:rPr>
    </w:lvl>
    <w:lvl w:ilvl="4" w:tplc="04190003" w:tentative="1">
      <w:start w:val="1"/>
      <w:numFmt w:val="bullet"/>
      <w:lvlText w:val="o"/>
      <w:lvlJc w:val="left"/>
      <w:pPr>
        <w:ind w:left="4904" w:hanging="360"/>
      </w:pPr>
      <w:rPr>
        <w:rFonts w:ascii="Courier New" w:hAnsi="Courier New" w:cs="Courier New" w:hint="default"/>
      </w:rPr>
    </w:lvl>
    <w:lvl w:ilvl="5" w:tplc="04190005" w:tentative="1">
      <w:start w:val="1"/>
      <w:numFmt w:val="bullet"/>
      <w:lvlText w:val=""/>
      <w:lvlJc w:val="left"/>
      <w:pPr>
        <w:ind w:left="5624" w:hanging="360"/>
      </w:pPr>
      <w:rPr>
        <w:rFonts w:ascii="Wingdings" w:hAnsi="Wingdings" w:hint="default"/>
      </w:rPr>
    </w:lvl>
    <w:lvl w:ilvl="6" w:tplc="04190001" w:tentative="1">
      <w:start w:val="1"/>
      <w:numFmt w:val="bullet"/>
      <w:lvlText w:val=""/>
      <w:lvlJc w:val="left"/>
      <w:pPr>
        <w:ind w:left="6344" w:hanging="360"/>
      </w:pPr>
      <w:rPr>
        <w:rFonts w:ascii="Symbol" w:hAnsi="Symbol" w:hint="default"/>
      </w:rPr>
    </w:lvl>
    <w:lvl w:ilvl="7" w:tplc="04190003" w:tentative="1">
      <w:start w:val="1"/>
      <w:numFmt w:val="bullet"/>
      <w:lvlText w:val="o"/>
      <w:lvlJc w:val="left"/>
      <w:pPr>
        <w:ind w:left="7064" w:hanging="360"/>
      </w:pPr>
      <w:rPr>
        <w:rFonts w:ascii="Courier New" w:hAnsi="Courier New" w:cs="Courier New" w:hint="default"/>
      </w:rPr>
    </w:lvl>
    <w:lvl w:ilvl="8" w:tplc="04190005" w:tentative="1">
      <w:start w:val="1"/>
      <w:numFmt w:val="bullet"/>
      <w:lvlText w:val=""/>
      <w:lvlJc w:val="left"/>
      <w:pPr>
        <w:ind w:left="7784" w:hanging="360"/>
      </w:pPr>
      <w:rPr>
        <w:rFonts w:ascii="Wingdings" w:hAnsi="Wingdings" w:hint="default"/>
      </w:rPr>
    </w:lvl>
  </w:abstractNum>
  <w:abstractNum w:abstractNumId="18">
    <w:nsid w:val="0CD4591B"/>
    <w:multiLevelType w:val="hybridMultilevel"/>
    <w:tmpl w:val="2FF65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CE723D4"/>
    <w:multiLevelType w:val="hybridMultilevel"/>
    <w:tmpl w:val="867E0DE8"/>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0DFC4182"/>
    <w:multiLevelType w:val="hybridMultilevel"/>
    <w:tmpl w:val="D408EF22"/>
    <w:lvl w:ilvl="0" w:tplc="98C418B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10DE457F"/>
    <w:multiLevelType w:val="hybridMultilevel"/>
    <w:tmpl w:val="B3CAFE2E"/>
    <w:lvl w:ilvl="0" w:tplc="CBF87572">
      <w:start w:val="1"/>
      <w:numFmt w:val="bullet"/>
      <w:pStyle w:val="25"/>
      <w:lvlText w:val=""/>
      <w:lvlJc w:val="left"/>
      <w:pPr>
        <w:ind w:left="2193" w:hanging="360"/>
      </w:pPr>
      <w:rPr>
        <w:rFonts w:ascii="Symbol" w:hAnsi="Symbol" w:hint="default"/>
      </w:rPr>
    </w:lvl>
    <w:lvl w:ilvl="1" w:tplc="FB022AEE" w:tentative="1">
      <w:start w:val="1"/>
      <w:numFmt w:val="bullet"/>
      <w:lvlText w:val="o"/>
      <w:lvlJc w:val="left"/>
      <w:pPr>
        <w:ind w:left="2913" w:hanging="360"/>
      </w:pPr>
      <w:rPr>
        <w:rFonts w:ascii="Courier New" w:hAnsi="Courier New" w:cs="Courier New" w:hint="default"/>
      </w:rPr>
    </w:lvl>
    <w:lvl w:ilvl="2" w:tplc="782222A8" w:tentative="1">
      <w:start w:val="1"/>
      <w:numFmt w:val="bullet"/>
      <w:lvlText w:val=""/>
      <w:lvlJc w:val="left"/>
      <w:pPr>
        <w:ind w:left="3633" w:hanging="360"/>
      </w:pPr>
      <w:rPr>
        <w:rFonts w:ascii="Wingdings" w:hAnsi="Wingdings" w:hint="default"/>
      </w:rPr>
    </w:lvl>
    <w:lvl w:ilvl="3" w:tplc="F16EC87C" w:tentative="1">
      <w:start w:val="1"/>
      <w:numFmt w:val="bullet"/>
      <w:lvlText w:val=""/>
      <w:lvlJc w:val="left"/>
      <w:pPr>
        <w:ind w:left="4353" w:hanging="360"/>
      </w:pPr>
      <w:rPr>
        <w:rFonts w:ascii="Symbol" w:hAnsi="Symbol" w:hint="default"/>
      </w:rPr>
    </w:lvl>
    <w:lvl w:ilvl="4" w:tplc="F63CE10E" w:tentative="1">
      <w:start w:val="1"/>
      <w:numFmt w:val="bullet"/>
      <w:lvlText w:val="o"/>
      <w:lvlJc w:val="left"/>
      <w:pPr>
        <w:ind w:left="5073" w:hanging="360"/>
      </w:pPr>
      <w:rPr>
        <w:rFonts w:ascii="Courier New" w:hAnsi="Courier New" w:cs="Courier New" w:hint="default"/>
      </w:rPr>
    </w:lvl>
    <w:lvl w:ilvl="5" w:tplc="9AA05BBC" w:tentative="1">
      <w:start w:val="1"/>
      <w:numFmt w:val="bullet"/>
      <w:lvlText w:val=""/>
      <w:lvlJc w:val="left"/>
      <w:pPr>
        <w:ind w:left="5793" w:hanging="360"/>
      </w:pPr>
      <w:rPr>
        <w:rFonts w:ascii="Wingdings" w:hAnsi="Wingdings" w:hint="default"/>
      </w:rPr>
    </w:lvl>
    <w:lvl w:ilvl="6" w:tplc="BC06D256" w:tentative="1">
      <w:start w:val="1"/>
      <w:numFmt w:val="bullet"/>
      <w:lvlText w:val=""/>
      <w:lvlJc w:val="left"/>
      <w:pPr>
        <w:ind w:left="6513" w:hanging="360"/>
      </w:pPr>
      <w:rPr>
        <w:rFonts w:ascii="Symbol" w:hAnsi="Symbol" w:hint="default"/>
      </w:rPr>
    </w:lvl>
    <w:lvl w:ilvl="7" w:tplc="E18438B8" w:tentative="1">
      <w:start w:val="1"/>
      <w:numFmt w:val="bullet"/>
      <w:lvlText w:val="o"/>
      <w:lvlJc w:val="left"/>
      <w:pPr>
        <w:ind w:left="7233" w:hanging="360"/>
      </w:pPr>
      <w:rPr>
        <w:rFonts w:ascii="Courier New" w:hAnsi="Courier New" w:cs="Courier New" w:hint="default"/>
      </w:rPr>
    </w:lvl>
    <w:lvl w:ilvl="8" w:tplc="612067BE" w:tentative="1">
      <w:start w:val="1"/>
      <w:numFmt w:val="bullet"/>
      <w:lvlText w:val=""/>
      <w:lvlJc w:val="left"/>
      <w:pPr>
        <w:ind w:left="7953" w:hanging="360"/>
      </w:pPr>
      <w:rPr>
        <w:rFonts w:ascii="Wingdings" w:hAnsi="Wingdings" w:hint="default"/>
      </w:rPr>
    </w:lvl>
  </w:abstractNum>
  <w:abstractNum w:abstractNumId="22">
    <w:nsid w:val="121731F2"/>
    <w:multiLevelType w:val="multilevel"/>
    <w:tmpl w:val="A7DAD4CA"/>
    <w:lvl w:ilvl="0">
      <w:start w:val="1"/>
      <w:numFmt w:val="decimal"/>
      <w:pStyle w:val="01"/>
      <w:lvlText w:val="%1."/>
      <w:lvlJc w:val="left"/>
      <w:pPr>
        <w:tabs>
          <w:tab w:val="num" w:pos="789"/>
        </w:tabs>
        <w:ind w:left="789" w:hanging="432"/>
      </w:pPr>
      <w:rPr>
        <w:rFonts w:hint="default"/>
      </w:rPr>
    </w:lvl>
    <w:lvl w:ilvl="1">
      <w:start w:val="1"/>
      <w:numFmt w:val="decimal"/>
      <w:lvlText w:val="%1.%2"/>
      <w:lvlJc w:val="left"/>
      <w:pPr>
        <w:tabs>
          <w:tab w:val="num" w:pos="933"/>
        </w:tabs>
        <w:ind w:left="933" w:hanging="576"/>
      </w:pPr>
      <w:rPr>
        <w:rFonts w:hint="default"/>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437"/>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2157"/>
        </w:tabs>
        <w:ind w:left="1509" w:hanging="1152"/>
      </w:pPr>
      <w:rPr>
        <w:rFonts w:hint="default"/>
      </w:rPr>
    </w:lvl>
    <w:lvl w:ilvl="6">
      <w:start w:val="1"/>
      <w:numFmt w:val="decimal"/>
      <w:lvlText w:val="%1.%2.%3.%4.%5.%6.%7"/>
      <w:lvlJc w:val="left"/>
      <w:pPr>
        <w:tabs>
          <w:tab w:val="num" w:pos="2157"/>
        </w:tabs>
        <w:ind w:left="1653" w:hanging="1296"/>
      </w:pPr>
      <w:rPr>
        <w:rFonts w:hint="default"/>
      </w:rPr>
    </w:lvl>
    <w:lvl w:ilvl="7">
      <w:start w:val="1"/>
      <w:numFmt w:val="decimal"/>
      <w:lvlText w:val="%1.%2.%3.%4.%5.%6.%7.%8"/>
      <w:lvlJc w:val="left"/>
      <w:pPr>
        <w:tabs>
          <w:tab w:val="num" w:pos="2517"/>
        </w:tabs>
        <w:ind w:left="1797" w:hanging="1440"/>
      </w:pPr>
      <w:rPr>
        <w:rFonts w:hint="default"/>
      </w:rPr>
    </w:lvl>
    <w:lvl w:ilvl="8">
      <w:start w:val="1"/>
      <w:numFmt w:val="decimal"/>
      <w:lvlText w:val="%1.%2.%3.%4.%5.%6.%7.%8.%9"/>
      <w:lvlJc w:val="left"/>
      <w:pPr>
        <w:tabs>
          <w:tab w:val="num" w:pos="2877"/>
        </w:tabs>
        <w:ind w:left="1941" w:hanging="1584"/>
      </w:pPr>
      <w:rPr>
        <w:rFonts w:hint="default"/>
      </w:rPr>
    </w:lvl>
  </w:abstractNum>
  <w:abstractNum w:abstractNumId="23">
    <w:nsid w:val="12433D79"/>
    <w:multiLevelType w:val="hybridMultilevel"/>
    <w:tmpl w:val="211C941A"/>
    <w:lvl w:ilvl="0" w:tplc="28FEF302">
      <w:start w:val="1"/>
      <w:numFmt w:val="bullet"/>
      <w:pStyle w:val="51"/>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1245256B"/>
    <w:multiLevelType w:val="singleLevel"/>
    <w:tmpl w:val="01AA1EDA"/>
    <w:lvl w:ilvl="0">
      <w:start w:val="1"/>
      <w:numFmt w:val="bullet"/>
      <w:pStyle w:val="13"/>
      <w:lvlText w:val=""/>
      <w:lvlJc w:val="left"/>
      <w:pPr>
        <w:tabs>
          <w:tab w:val="num" w:pos="284"/>
        </w:tabs>
        <w:ind w:left="284" w:firstLine="0"/>
      </w:pPr>
      <w:rPr>
        <w:rFonts w:ascii="Symbol" w:hAnsi="Symbol" w:hint="default"/>
        <w:lang w:val="ru-RU"/>
      </w:rPr>
    </w:lvl>
  </w:abstractNum>
  <w:abstractNum w:abstractNumId="25">
    <w:nsid w:val="135C6481"/>
    <w:multiLevelType w:val="multilevel"/>
    <w:tmpl w:val="22DC94DC"/>
    <w:lvl w:ilvl="0">
      <w:start w:val="1"/>
      <w:numFmt w:val="decimal"/>
      <w:pStyle w:val="14"/>
      <w:suff w:val="space"/>
      <w:lvlText w:val="%1"/>
      <w:lvlJc w:val="left"/>
      <w:pPr>
        <w:ind w:left="0" w:firstLine="0"/>
      </w:pPr>
      <w:rPr>
        <w:rFonts w:hint="default"/>
      </w:rPr>
    </w:lvl>
    <w:lvl w:ilvl="1">
      <w:start w:val="1"/>
      <w:numFmt w:val="decimal"/>
      <w:pStyle w:val="26"/>
      <w:suff w:val="space"/>
      <w:lvlText w:val="%1.%2"/>
      <w:lvlJc w:val="left"/>
      <w:pPr>
        <w:ind w:left="0" w:firstLine="0"/>
      </w:pPr>
      <w:rPr>
        <w:rFonts w:hint="default"/>
      </w:rPr>
    </w:lvl>
    <w:lvl w:ilvl="2">
      <w:start w:val="1"/>
      <w:numFmt w:val="decimal"/>
      <w:pStyle w:val="35"/>
      <w:suff w:val="space"/>
      <w:lvlText w:val="%1.%2.%3"/>
      <w:lvlJc w:val="left"/>
      <w:pPr>
        <w:ind w:left="0" w:firstLine="0"/>
      </w:pPr>
      <w:rPr>
        <w:rFonts w:hint="default"/>
        <w:lang w:val="ru-RU"/>
      </w:rPr>
    </w:lvl>
    <w:lvl w:ilvl="3">
      <w:start w:val="1"/>
      <w:numFmt w:val="decimal"/>
      <w:pStyle w:val="42"/>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6">
    <w:nsid w:val="136B1BCF"/>
    <w:multiLevelType w:val="hybridMultilevel"/>
    <w:tmpl w:val="034A8528"/>
    <w:lvl w:ilvl="0" w:tplc="4C6C1A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3DD3650"/>
    <w:multiLevelType w:val="hybridMultilevel"/>
    <w:tmpl w:val="C1AA526E"/>
    <w:lvl w:ilvl="0" w:tplc="CF127A0C">
      <w:start w:val="1"/>
      <w:numFmt w:val="decimal"/>
      <w:pStyle w:val="36"/>
      <w:lvlText w:val="4.6.1.2.%1"/>
      <w:lvlJc w:val="left"/>
      <w:pPr>
        <w:ind w:left="1077" w:hanging="360"/>
      </w:pPr>
      <w:rPr>
        <w:rFonts w:ascii="Times New Roman" w:hAnsi="Times New Roman" w:cs="Times New Roman" w:hint="default"/>
        <w:bCs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BC128962" w:tentative="1">
      <w:start w:val="1"/>
      <w:numFmt w:val="lowerLetter"/>
      <w:lvlText w:val="%2."/>
      <w:lvlJc w:val="left"/>
      <w:pPr>
        <w:ind w:left="1797" w:hanging="360"/>
      </w:pPr>
    </w:lvl>
    <w:lvl w:ilvl="2" w:tplc="F22AE8B6" w:tentative="1">
      <w:start w:val="1"/>
      <w:numFmt w:val="lowerRoman"/>
      <w:lvlText w:val="%3."/>
      <w:lvlJc w:val="right"/>
      <w:pPr>
        <w:ind w:left="2517" w:hanging="180"/>
      </w:pPr>
    </w:lvl>
    <w:lvl w:ilvl="3" w:tplc="2340DB12" w:tentative="1">
      <w:start w:val="1"/>
      <w:numFmt w:val="decimal"/>
      <w:lvlText w:val="%4."/>
      <w:lvlJc w:val="left"/>
      <w:pPr>
        <w:ind w:left="3237" w:hanging="360"/>
      </w:pPr>
    </w:lvl>
    <w:lvl w:ilvl="4" w:tplc="E37206C4" w:tentative="1">
      <w:start w:val="1"/>
      <w:numFmt w:val="lowerLetter"/>
      <w:lvlText w:val="%5."/>
      <w:lvlJc w:val="left"/>
      <w:pPr>
        <w:ind w:left="3957" w:hanging="360"/>
      </w:pPr>
    </w:lvl>
    <w:lvl w:ilvl="5" w:tplc="0BA89718" w:tentative="1">
      <w:start w:val="1"/>
      <w:numFmt w:val="lowerRoman"/>
      <w:lvlText w:val="%6."/>
      <w:lvlJc w:val="right"/>
      <w:pPr>
        <w:ind w:left="4677" w:hanging="180"/>
      </w:pPr>
    </w:lvl>
    <w:lvl w:ilvl="6" w:tplc="1B4468B6" w:tentative="1">
      <w:start w:val="1"/>
      <w:numFmt w:val="decimal"/>
      <w:lvlText w:val="%7."/>
      <w:lvlJc w:val="left"/>
      <w:pPr>
        <w:ind w:left="5397" w:hanging="360"/>
      </w:pPr>
    </w:lvl>
    <w:lvl w:ilvl="7" w:tplc="6D9EC6FE" w:tentative="1">
      <w:start w:val="1"/>
      <w:numFmt w:val="lowerLetter"/>
      <w:lvlText w:val="%8."/>
      <w:lvlJc w:val="left"/>
      <w:pPr>
        <w:ind w:left="6117" w:hanging="360"/>
      </w:pPr>
    </w:lvl>
    <w:lvl w:ilvl="8" w:tplc="787CC9F8" w:tentative="1">
      <w:start w:val="1"/>
      <w:numFmt w:val="lowerRoman"/>
      <w:lvlText w:val="%9."/>
      <w:lvlJc w:val="right"/>
      <w:pPr>
        <w:ind w:left="6837" w:hanging="180"/>
      </w:pPr>
    </w:lvl>
  </w:abstractNum>
  <w:abstractNum w:abstractNumId="28">
    <w:nsid w:val="146106CB"/>
    <w:multiLevelType w:val="hybridMultilevel"/>
    <w:tmpl w:val="7AB87444"/>
    <w:lvl w:ilvl="0" w:tplc="0CB872BC">
      <w:start w:val="1"/>
      <w:numFmt w:val="decimal"/>
      <w:pStyle w:val="a0"/>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29">
    <w:nsid w:val="151C1497"/>
    <w:multiLevelType w:val="hybridMultilevel"/>
    <w:tmpl w:val="EA7C4F2C"/>
    <w:lvl w:ilvl="0" w:tplc="D9BEF6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52A0E91"/>
    <w:multiLevelType w:val="hybridMultilevel"/>
    <w:tmpl w:val="60C259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155506BE"/>
    <w:multiLevelType w:val="hybridMultilevel"/>
    <w:tmpl w:val="7FB26104"/>
    <w:lvl w:ilvl="0" w:tplc="4816D71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156B5217"/>
    <w:multiLevelType w:val="hybridMultilevel"/>
    <w:tmpl w:val="80FE20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15AF0C75"/>
    <w:multiLevelType w:val="hybridMultilevel"/>
    <w:tmpl w:val="33549FFC"/>
    <w:lvl w:ilvl="0" w:tplc="69987208">
      <w:start w:val="1"/>
      <w:numFmt w:val="decimal"/>
      <w:pStyle w:val="27"/>
      <w:lvlText w:val="4.5.4.9.%1"/>
      <w:lvlJc w:val="left"/>
      <w:pPr>
        <w:ind w:left="1077" w:hanging="360"/>
      </w:pPr>
      <w:rPr>
        <w:rFonts w:ascii="Times New Roman" w:hAnsi="Times New Roman" w:cs="Times New Roman" w:hint="default"/>
        <w:bCs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1"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4">
    <w:nsid w:val="15F213D1"/>
    <w:multiLevelType w:val="hybridMultilevel"/>
    <w:tmpl w:val="E014FC50"/>
    <w:lvl w:ilvl="0" w:tplc="6E2268A6">
      <w:start w:val="1"/>
      <w:numFmt w:val="decimal"/>
      <w:pStyle w:val="43"/>
      <w:lvlText w:val="4.6.1.3.%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5">
    <w:nsid w:val="16E3269C"/>
    <w:multiLevelType w:val="hybridMultilevel"/>
    <w:tmpl w:val="D4AC4C6C"/>
    <w:lvl w:ilvl="0" w:tplc="FFFFFFFF">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nsid w:val="17204D13"/>
    <w:multiLevelType w:val="hybridMultilevel"/>
    <w:tmpl w:val="35B494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176949F1"/>
    <w:multiLevelType w:val="hybridMultilevel"/>
    <w:tmpl w:val="10D4F0B0"/>
    <w:lvl w:ilvl="0" w:tplc="16FC28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8040ECD"/>
    <w:multiLevelType w:val="hybridMultilevel"/>
    <w:tmpl w:val="80FE20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191A2809"/>
    <w:multiLevelType w:val="hybridMultilevel"/>
    <w:tmpl w:val="DDA6DFF0"/>
    <w:lvl w:ilvl="0" w:tplc="B8B4484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91A2FF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1">
    <w:nsid w:val="19730D20"/>
    <w:multiLevelType w:val="hybridMultilevel"/>
    <w:tmpl w:val="EF089C6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99237C3"/>
    <w:multiLevelType w:val="hybridMultilevel"/>
    <w:tmpl w:val="1E3C5E24"/>
    <w:lvl w:ilvl="0" w:tplc="1026DF96">
      <w:numFmt w:val="bullet"/>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1A915C46"/>
    <w:multiLevelType w:val="hybridMultilevel"/>
    <w:tmpl w:val="9836C5FE"/>
    <w:lvl w:ilvl="0" w:tplc="A3E864E4">
      <w:start w:val="1"/>
      <w:numFmt w:val="bullet"/>
      <w:pStyle w:val="a1"/>
      <w:lvlText w:val="­"/>
      <w:lvlJc w:val="left"/>
      <w:pPr>
        <w:tabs>
          <w:tab w:val="num" w:pos="1134"/>
        </w:tabs>
        <w:ind w:left="1134" w:hanging="283"/>
      </w:pPr>
      <w:rPr>
        <w:rFonts w:ascii="Courier New" w:hAnsi="Courier New" w:hint="default"/>
      </w:rPr>
    </w:lvl>
    <w:lvl w:ilvl="1" w:tplc="D5222E20">
      <w:start w:val="1"/>
      <w:numFmt w:val="bullet"/>
      <w:lvlText w:val="o"/>
      <w:lvlJc w:val="left"/>
      <w:pPr>
        <w:ind w:left="2149" w:hanging="360"/>
      </w:pPr>
      <w:rPr>
        <w:rFonts w:ascii="Courier New" w:hAnsi="Courier New" w:hint="default"/>
      </w:rPr>
    </w:lvl>
    <w:lvl w:ilvl="2" w:tplc="0B02A472" w:tentative="1">
      <w:start w:val="1"/>
      <w:numFmt w:val="bullet"/>
      <w:lvlText w:val=""/>
      <w:lvlJc w:val="left"/>
      <w:pPr>
        <w:ind w:left="2869" w:hanging="360"/>
      </w:pPr>
      <w:rPr>
        <w:rFonts w:ascii="Wingdings" w:hAnsi="Wingdings" w:hint="default"/>
      </w:rPr>
    </w:lvl>
    <w:lvl w:ilvl="3" w:tplc="4700594C" w:tentative="1">
      <w:start w:val="1"/>
      <w:numFmt w:val="bullet"/>
      <w:lvlText w:val=""/>
      <w:lvlJc w:val="left"/>
      <w:pPr>
        <w:ind w:left="3589" w:hanging="360"/>
      </w:pPr>
      <w:rPr>
        <w:rFonts w:ascii="Symbol" w:hAnsi="Symbol" w:hint="default"/>
      </w:rPr>
    </w:lvl>
    <w:lvl w:ilvl="4" w:tplc="12C2FC10" w:tentative="1">
      <w:start w:val="1"/>
      <w:numFmt w:val="bullet"/>
      <w:lvlText w:val="o"/>
      <w:lvlJc w:val="left"/>
      <w:pPr>
        <w:ind w:left="4309" w:hanging="360"/>
      </w:pPr>
      <w:rPr>
        <w:rFonts w:ascii="Courier New" w:hAnsi="Courier New" w:hint="default"/>
      </w:rPr>
    </w:lvl>
    <w:lvl w:ilvl="5" w:tplc="7966C074" w:tentative="1">
      <w:start w:val="1"/>
      <w:numFmt w:val="bullet"/>
      <w:lvlText w:val=""/>
      <w:lvlJc w:val="left"/>
      <w:pPr>
        <w:ind w:left="5029" w:hanging="360"/>
      </w:pPr>
      <w:rPr>
        <w:rFonts w:ascii="Wingdings" w:hAnsi="Wingdings" w:hint="default"/>
      </w:rPr>
    </w:lvl>
    <w:lvl w:ilvl="6" w:tplc="D61229FA" w:tentative="1">
      <w:start w:val="1"/>
      <w:numFmt w:val="bullet"/>
      <w:lvlText w:val=""/>
      <w:lvlJc w:val="left"/>
      <w:pPr>
        <w:ind w:left="5749" w:hanging="360"/>
      </w:pPr>
      <w:rPr>
        <w:rFonts w:ascii="Symbol" w:hAnsi="Symbol" w:hint="default"/>
      </w:rPr>
    </w:lvl>
    <w:lvl w:ilvl="7" w:tplc="B0D2E816" w:tentative="1">
      <w:start w:val="1"/>
      <w:numFmt w:val="bullet"/>
      <w:lvlText w:val="o"/>
      <w:lvlJc w:val="left"/>
      <w:pPr>
        <w:ind w:left="6469" w:hanging="360"/>
      </w:pPr>
      <w:rPr>
        <w:rFonts w:ascii="Courier New" w:hAnsi="Courier New" w:hint="default"/>
      </w:rPr>
    </w:lvl>
    <w:lvl w:ilvl="8" w:tplc="5B5A0754" w:tentative="1">
      <w:start w:val="1"/>
      <w:numFmt w:val="bullet"/>
      <w:lvlText w:val=""/>
      <w:lvlJc w:val="left"/>
      <w:pPr>
        <w:ind w:left="7189" w:hanging="360"/>
      </w:pPr>
      <w:rPr>
        <w:rFonts w:ascii="Wingdings" w:hAnsi="Wingdings" w:hint="default"/>
      </w:rPr>
    </w:lvl>
  </w:abstractNum>
  <w:abstractNum w:abstractNumId="44">
    <w:nsid w:val="1B1A5B89"/>
    <w:multiLevelType w:val="hybridMultilevel"/>
    <w:tmpl w:val="3788D1A8"/>
    <w:lvl w:ilvl="0" w:tplc="6268B3D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1C120BAD"/>
    <w:multiLevelType w:val="hybridMultilevel"/>
    <w:tmpl w:val="2782FD04"/>
    <w:lvl w:ilvl="0" w:tplc="1026DF96">
      <w:start w:val="1"/>
      <w:numFmt w:val="decimal"/>
      <w:pStyle w:val="6"/>
      <w:lvlText w:val="4.6.1.5.%1"/>
      <w:lvlJc w:val="left"/>
      <w:pPr>
        <w:ind w:left="1077" w:hanging="360"/>
      </w:pPr>
      <w:rPr>
        <w:rFonts w:hint="default"/>
      </w:rPr>
    </w:lvl>
    <w:lvl w:ilvl="1" w:tplc="04190003" w:tentative="1">
      <w:start w:val="1"/>
      <w:numFmt w:val="lowerLetter"/>
      <w:lvlText w:val="%2."/>
      <w:lvlJc w:val="left"/>
      <w:pPr>
        <w:ind w:left="1797" w:hanging="360"/>
      </w:pPr>
    </w:lvl>
    <w:lvl w:ilvl="2" w:tplc="04190005" w:tentative="1">
      <w:start w:val="1"/>
      <w:numFmt w:val="lowerRoman"/>
      <w:lvlText w:val="%3."/>
      <w:lvlJc w:val="right"/>
      <w:pPr>
        <w:ind w:left="2517" w:hanging="180"/>
      </w:pPr>
    </w:lvl>
    <w:lvl w:ilvl="3" w:tplc="04190001" w:tentative="1">
      <w:start w:val="1"/>
      <w:numFmt w:val="decimal"/>
      <w:lvlText w:val="%4."/>
      <w:lvlJc w:val="left"/>
      <w:pPr>
        <w:ind w:left="3237" w:hanging="360"/>
      </w:pPr>
    </w:lvl>
    <w:lvl w:ilvl="4" w:tplc="04190003" w:tentative="1">
      <w:start w:val="1"/>
      <w:numFmt w:val="lowerLetter"/>
      <w:lvlText w:val="%5."/>
      <w:lvlJc w:val="left"/>
      <w:pPr>
        <w:ind w:left="3957" w:hanging="360"/>
      </w:pPr>
    </w:lvl>
    <w:lvl w:ilvl="5" w:tplc="04190005" w:tentative="1">
      <w:start w:val="1"/>
      <w:numFmt w:val="lowerRoman"/>
      <w:lvlText w:val="%6."/>
      <w:lvlJc w:val="right"/>
      <w:pPr>
        <w:ind w:left="4677" w:hanging="180"/>
      </w:pPr>
    </w:lvl>
    <w:lvl w:ilvl="6" w:tplc="04190001" w:tentative="1">
      <w:start w:val="1"/>
      <w:numFmt w:val="decimal"/>
      <w:lvlText w:val="%7."/>
      <w:lvlJc w:val="left"/>
      <w:pPr>
        <w:ind w:left="5397" w:hanging="360"/>
      </w:pPr>
    </w:lvl>
    <w:lvl w:ilvl="7" w:tplc="04190003" w:tentative="1">
      <w:start w:val="1"/>
      <w:numFmt w:val="lowerLetter"/>
      <w:lvlText w:val="%8."/>
      <w:lvlJc w:val="left"/>
      <w:pPr>
        <w:ind w:left="6117" w:hanging="360"/>
      </w:pPr>
    </w:lvl>
    <w:lvl w:ilvl="8" w:tplc="04190005" w:tentative="1">
      <w:start w:val="1"/>
      <w:numFmt w:val="lowerRoman"/>
      <w:lvlText w:val="%9."/>
      <w:lvlJc w:val="right"/>
      <w:pPr>
        <w:ind w:left="6837" w:hanging="180"/>
      </w:pPr>
    </w:lvl>
  </w:abstractNum>
  <w:abstractNum w:abstractNumId="46">
    <w:nsid w:val="1D1845C3"/>
    <w:multiLevelType w:val="hybridMultilevel"/>
    <w:tmpl w:val="336E5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1D417629"/>
    <w:multiLevelType w:val="hybridMultilevel"/>
    <w:tmpl w:val="B45A91F6"/>
    <w:lvl w:ilvl="0" w:tplc="159AF1E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1E7D6B5A"/>
    <w:multiLevelType w:val="hybridMultilevel"/>
    <w:tmpl w:val="716CB914"/>
    <w:lvl w:ilvl="0" w:tplc="FFB6A30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F024103"/>
    <w:multiLevelType w:val="hybridMultilevel"/>
    <w:tmpl w:val="956E4272"/>
    <w:lvl w:ilvl="0" w:tplc="76622D0E">
      <w:start w:val="1"/>
      <w:numFmt w:val="bullet"/>
      <w:lvlText w:val=""/>
      <w:lvlPicBulletId w:val="0"/>
      <w:lvlJc w:val="left"/>
      <w:pPr>
        <w:tabs>
          <w:tab w:val="num" w:pos="720"/>
        </w:tabs>
        <w:ind w:left="720" w:hanging="360"/>
      </w:pPr>
      <w:rPr>
        <w:rFonts w:ascii="Symbol" w:hAnsi="Symbol" w:hint="default"/>
      </w:rPr>
    </w:lvl>
    <w:lvl w:ilvl="1" w:tplc="D97299F2" w:tentative="1">
      <w:start w:val="1"/>
      <w:numFmt w:val="bullet"/>
      <w:lvlText w:val=""/>
      <w:lvlJc w:val="left"/>
      <w:pPr>
        <w:tabs>
          <w:tab w:val="num" w:pos="1440"/>
        </w:tabs>
        <w:ind w:left="1440" w:hanging="360"/>
      </w:pPr>
      <w:rPr>
        <w:rFonts w:ascii="Symbol" w:hAnsi="Symbol" w:hint="default"/>
      </w:rPr>
    </w:lvl>
    <w:lvl w:ilvl="2" w:tplc="4712069E" w:tentative="1">
      <w:start w:val="1"/>
      <w:numFmt w:val="bullet"/>
      <w:lvlText w:val=""/>
      <w:lvlJc w:val="left"/>
      <w:pPr>
        <w:tabs>
          <w:tab w:val="num" w:pos="2160"/>
        </w:tabs>
        <w:ind w:left="2160" w:hanging="360"/>
      </w:pPr>
      <w:rPr>
        <w:rFonts w:ascii="Symbol" w:hAnsi="Symbol" w:hint="default"/>
      </w:rPr>
    </w:lvl>
    <w:lvl w:ilvl="3" w:tplc="497CAAD6" w:tentative="1">
      <w:start w:val="1"/>
      <w:numFmt w:val="bullet"/>
      <w:lvlText w:val=""/>
      <w:lvlJc w:val="left"/>
      <w:pPr>
        <w:tabs>
          <w:tab w:val="num" w:pos="2880"/>
        </w:tabs>
        <w:ind w:left="2880" w:hanging="360"/>
      </w:pPr>
      <w:rPr>
        <w:rFonts w:ascii="Symbol" w:hAnsi="Symbol" w:hint="default"/>
      </w:rPr>
    </w:lvl>
    <w:lvl w:ilvl="4" w:tplc="4A4E2A2C" w:tentative="1">
      <w:start w:val="1"/>
      <w:numFmt w:val="bullet"/>
      <w:lvlText w:val=""/>
      <w:lvlJc w:val="left"/>
      <w:pPr>
        <w:tabs>
          <w:tab w:val="num" w:pos="3600"/>
        </w:tabs>
        <w:ind w:left="3600" w:hanging="360"/>
      </w:pPr>
      <w:rPr>
        <w:rFonts w:ascii="Symbol" w:hAnsi="Symbol" w:hint="default"/>
      </w:rPr>
    </w:lvl>
    <w:lvl w:ilvl="5" w:tplc="2B14253E" w:tentative="1">
      <w:start w:val="1"/>
      <w:numFmt w:val="bullet"/>
      <w:lvlText w:val=""/>
      <w:lvlJc w:val="left"/>
      <w:pPr>
        <w:tabs>
          <w:tab w:val="num" w:pos="4320"/>
        </w:tabs>
        <w:ind w:left="4320" w:hanging="360"/>
      </w:pPr>
      <w:rPr>
        <w:rFonts w:ascii="Symbol" w:hAnsi="Symbol" w:hint="default"/>
      </w:rPr>
    </w:lvl>
    <w:lvl w:ilvl="6" w:tplc="0CD6C9FA" w:tentative="1">
      <w:start w:val="1"/>
      <w:numFmt w:val="bullet"/>
      <w:lvlText w:val=""/>
      <w:lvlJc w:val="left"/>
      <w:pPr>
        <w:tabs>
          <w:tab w:val="num" w:pos="5040"/>
        </w:tabs>
        <w:ind w:left="5040" w:hanging="360"/>
      </w:pPr>
      <w:rPr>
        <w:rFonts w:ascii="Symbol" w:hAnsi="Symbol" w:hint="default"/>
      </w:rPr>
    </w:lvl>
    <w:lvl w:ilvl="7" w:tplc="3746EA5A" w:tentative="1">
      <w:start w:val="1"/>
      <w:numFmt w:val="bullet"/>
      <w:lvlText w:val=""/>
      <w:lvlJc w:val="left"/>
      <w:pPr>
        <w:tabs>
          <w:tab w:val="num" w:pos="5760"/>
        </w:tabs>
        <w:ind w:left="5760" w:hanging="360"/>
      </w:pPr>
      <w:rPr>
        <w:rFonts w:ascii="Symbol" w:hAnsi="Symbol" w:hint="default"/>
      </w:rPr>
    </w:lvl>
    <w:lvl w:ilvl="8" w:tplc="31B2CB26" w:tentative="1">
      <w:start w:val="1"/>
      <w:numFmt w:val="bullet"/>
      <w:lvlText w:val=""/>
      <w:lvlJc w:val="left"/>
      <w:pPr>
        <w:tabs>
          <w:tab w:val="num" w:pos="6480"/>
        </w:tabs>
        <w:ind w:left="6480" w:hanging="360"/>
      </w:pPr>
      <w:rPr>
        <w:rFonts w:ascii="Symbol" w:hAnsi="Symbol" w:hint="default"/>
      </w:rPr>
    </w:lvl>
  </w:abstractNum>
  <w:abstractNum w:abstractNumId="50">
    <w:nsid w:val="1F900EF2"/>
    <w:multiLevelType w:val="hybridMultilevel"/>
    <w:tmpl w:val="BFD01D76"/>
    <w:lvl w:ilvl="0" w:tplc="43B268DC">
      <w:start w:val="1"/>
      <w:numFmt w:val="decimal"/>
      <w:pStyle w:val="enum1"/>
      <w:lvlText w:val="%1."/>
      <w:lvlJc w:val="left"/>
      <w:pPr>
        <w:tabs>
          <w:tab w:val="num" w:pos="1287"/>
        </w:tabs>
        <w:ind w:left="1287" w:hanging="360"/>
      </w:pPr>
      <w:rPr>
        <w:rFonts w:hint="default"/>
      </w:rPr>
    </w:lvl>
    <w:lvl w:ilvl="1" w:tplc="58948000">
      <w:start w:val="1"/>
      <w:numFmt w:val="bullet"/>
      <w:lvlText w:val="o"/>
      <w:lvlJc w:val="left"/>
      <w:pPr>
        <w:ind w:left="2007" w:hanging="360"/>
      </w:pPr>
      <w:rPr>
        <w:rFonts w:ascii="Courier New" w:hAnsi="Courier New" w:hint="default"/>
      </w:rPr>
    </w:lvl>
    <w:lvl w:ilvl="2" w:tplc="F8C42122" w:tentative="1">
      <w:start w:val="1"/>
      <w:numFmt w:val="bullet"/>
      <w:lvlText w:val=""/>
      <w:lvlJc w:val="left"/>
      <w:pPr>
        <w:ind w:left="2727" w:hanging="360"/>
      </w:pPr>
      <w:rPr>
        <w:rFonts w:ascii="Wingdings" w:hAnsi="Wingdings" w:hint="default"/>
      </w:rPr>
    </w:lvl>
    <w:lvl w:ilvl="3" w:tplc="6578461E" w:tentative="1">
      <w:start w:val="1"/>
      <w:numFmt w:val="bullet"/>
      <w:lvlText w:val=""/>
      <w:lvlJc w:val="left"/>
      <w:pPr>
        <w:ind w:left="3447" w:hanging="360"/>
      </w:pPr>
      <w:rPr>
        <w:rFonts w:ascii="Symbol" w:hAnsi="Symbol" w:hint="default"/>
      </w:rPr>
    </w:lvl>
    <w:lvl w:ilvl="4" w:tplc="61487C30" w:tentative="1">
      <w:start w:val="1"/>
      <w:numFmt w:val="bullet"/>
      <w:lvlText w:val="o"/>
      <w:lvlJc w:val="left"/>
      <w:pPr>
        <w:ind w:left="4167" w:hanging="360"/>
      </w:pPr>
      <w:rPr>
        <w:rFonts w:ascii="Courier New" w:hAnsi="Courier New" w:hint="default"/>
      </w:rPr>
    </w:lvl>
    <w:lvl w:ilvl="5" w:tplc="D8389EE2" w:tentative="1">
      <w:start w:val="1"/>
      <w:numFmt w:val="bullet"/>
      <w:lvlText w:val=""/>
      <w:lvlJc w:val="left"/>
      <w:pPr>
        <w:ind w:left="4887" w:hanging="360"/>
      </w:pPr>
      <w:rPr>
        <w:rFonts w:ascii="Wingdings" w:hAnsi="Wingdings" w:hint="default"/>
      </w:rPr>
    </w:lvl>
    <w:lvl w:ilvl="6" w:tplc="CAE67D74" w:tentative="1">
      <w:start w:val="1"/>
      <w:numFmt w:val="bullet"/>
      <w:lvlText w:val=""/>
      <w:lvlJc w:val="left"/>
      <w:pPr>
        <w:ind w:left="5607" w:hanging="360"/>
      </w:pPr>
      <w:rPr>
        <w:rFonts w:ascii="Symbol" w:hAnsi="Symbol" w:hint="default"/>
      </w:rPr>
    </w:lvl>
    <w:lvl w:ilvl="7" w:tplc="67D4A2DE" w:tentative="1">
      <w:start w:val="1"/>
      <w:numFmt w:val="bullet"/>
      <w:lvlText w:val="o"/>
      <w:lvlJc w:val="left"/>
      <w:pPr>
        <w:ind w:left="6327" w:hanging="360"/>
      </w:pPr>
      <w:rPr>
        <w:rFonts w:ascii="Courier New" w:hAnsi="Courier New" w:hint="default"/>
      </w:rPr>
    </w:lvl>
    <w:lvl w:ilvl="8" w:tplc="9DC29EBE" w:tentative="1">
      <w:start w:val="1"/>
      <w:numFmt w:val="bullet"/>
      <w:lvlText w:val=""/>
      <w:lvlJc w:val="left"/>
      <w:pPr>
        <w:ind w:left="7047" w:hanging="360"/>
      </w:pPr>
      <w:rPr>
        <w:rFonts w:ascii="Wingdings" w:hAnsi="Wingdings" w:hint="default"/>
      </w:rPr>
    </w:lvl>
  </w:abstractNum>
  <w:abstractNum w:abstractNumId="51">
    <w:nsid w:val="20675349"/>
    <w:multiLevelType w:val="multilevel"/>
    <w:tmpl w:val="0D444F52"/>
    <w:lvl w:ilvl="0">
      <w:start w:val="1"/>
      <w:numFmt w:val="decimal"/>
      <w:lvlText w:val="%1."/>
      <w:lvlJc w:val="left"/>
      <w:pPr>
        <w:ind w:left="720" w:hanging="360"/>
      </w:pPr>
      <w:rPr>
        <w:rFonts w:hint="default"/>
      </w:rPr>
    </w:lvl>
    <w:lvl w:ilvl="1">
      <w:start w:val="6"/>
      <w:numFmt w:val="decimal"/>
      <w:isLgl/>
      <w:lvlText w:val="%1.%2"/>
      <w:lvlJc w:val="left"/>
      <w:pPr>
        <w:ind w:left="1350" w:hanging="990"/>
      </w:pPr>
      <w:rPr>
        <w:rFonts w:hint="default"/>
      </w:rPr>
    </w:lvl>
    <w:lvl w:ilvl="2">
      <w:start w:val="4"/>
      <w:numFmt w:val="decimal"/>
      <w:isLgl/>
      <w:lvlText w:val="%1.%2.%3"/>
      <w:lvlJc w:val="left"/>
      <w:pPr>
        <w:ind w:left="1350" w:hanging="99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2">
    <w:nsid w:val="20F6456E"/>
    <w:multiLevelType w:val="hybridMultilevel"/>
    <w:tmpl w:val="BA0E2E2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3">
    <w:nsid w:val="220A0992"/>
    <w:multiLevelType w:val="hybridMultilevel"/>
    <w:tmpl w:val="A058DF3A"/>
    <w:lvl w:ilvl="0" w:tplc="01AA1EDA">
      <w:start w:val="1"/>
      <w:numFmt w:val="bullet"/>
      <w:lvlText w:val=""/>
      <w:lvlJc w:val="left"/>
      <w:pPr>
        <w:ind w:left="1211" w:hanging="360"/>
      </w:pPr>
      <w:rPr>
        <w:rFonts w:ascii="Symbol" w:hAnsi="Symbol" w:hint="default"/>
        <w:lang w:val="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3A10E17"/>
    <w:multiLevelType w:val="hybridMultilevel"/>
    <w:tmpl w:val="388EF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3FE7062"/>
    <w:multiLevelType w:val="hybridMultilevel"/>
    <w:tmpl w:val="535445B0"/>
    <w:lvl w:ilvl="0" w:tplc="01B0308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24440158"/>
    <w:multiLevelType w:val="hybridMultilevel"/>
    <w:tmpl w:val="80FE20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7">
    <w:nsid w:val="25DB6C7C"/>
    <w:multiLevelType w:val="hybridMultilevel"/>
    <w:tmpl w:val="3E6C4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26030D5D"/>
    <w:multiLevelType w:val="multilevel"/>
    <w:tmpl w:val="A610419E"/>
    <w:styleLink w:val="a2"/>
    <w:lvl w:ilvl="0">
      <w:start w:val="1"/>
      <w:numFmt w:val="bullet"/>
      <w:lvlText w:val=""/>
      <w:lvlJc w:val="left"/>
      <w:pPr>
        <w:tabs>
          <w:tab w:val="num" w:pos="357"/>
        </w:tabs>
        <w:ind w:left="680" w:hanging="340"/>
      </w:pPr>
      <w:rPr>
        <w:rFonts w:ascii="Symbol" w:hAnsi="Symbol" w:hint="default"/>
        <w:sz w:val="24"/>
      </w:rPr>
    </w:lvl>
    <w:lvl w:ilvl="1">
      <w:start w:val="1"/>
      <w:numFmt w:val="bullet"/>
      <w:lvlText w:val="o"/>
      <w:lvlJc w:val="left"/>
      <w:pPr>
        <w:tabs>
          <w:tab w:val="num" w:pos="1797"/>
        </w:tabs>
        <w:ind w:left="1797" w:hanging="360"/>
      </w:pPr>
      <w:rPr>
        <w:rFonts w:ascii="Courier New" w:hAnsi="Courier New" w:cs="Courier New" w:hint="default"/>
      </w:rPr>
    </w:lvl>
    <w:lvl w:ilvl="2">
      <w:start w:val="1"/>
      <w:numFmt w:val="bullet"/>
      <w:lvlText w:val=""/>
      <w:lvlJc w:val="left"/>
      <w:pPr>
        <w:tabs>
          <w:tab w:val="num" w:pos="2517"/>
        </w:tabs>
        <w:ind w:left="2517" w:hanging="360"/>
      </w:pPr>
      <w:rPr>
        <w:rFonts w:ascii="Wingdings" w:hAnsi="Wingdings" w:hint="default"/>
      </w:rPr>
    </w:lvl>
    <w:lvl w:ilvl="3">
      <w:start w:val="1"/>
      <w:numFmt w:val="bullet"/>
      <w:lvlText w:val=""/>
      <w:lvlJc w:val="left"/>
      <w:pPr>
        <w:tabs>
          <w:tab w:val="num" w:pos="3237"/>
        </w:tabs>
        <w:ind w:left="3237" w:hanging="360"/>
      </w:pPr>
      <w:rPr>
        <w:rFonts w:ascii="Symbol" w:hAnsi="Symbol" w:hint="default"/>
      </w:rPr>
    </w:lvl>
    <w:lvl w:ilvl="4">
      <w:start w:val="1"/>
      <w:numFmt w:val="bullet"/>
      <w:lvlText w:val="o"/>
      <w:lvlJc w:val="left"/>
      <w:pPr>
        <w:tabs>
          <w:tab w:val="num" w:pos="3957"/>
        </w:tabs>
        <w:ind w:left="3957" w:hanging="360"/>
      </w:pPr>
      <w:rPr>
        <w:rFonts w:ascii="Courier New" w:hAnsi="Courier New" w:cs="Courier New" w:hint="default"/>
      </w:rPr>
    </w:lvl>
    <w:lvl w:ilvl="5">
      <w:start w:val="1"/>
      <w:numFmt w:val="bullet"/>
      <w:lvlText w:val=""/>
      <w:lvlJc w:val="left"/>
      <w:pPr>
        <w:tabs>
          <w:tab w:val="num" w:pos="4677"/>
        </w:tabs>
        <w:ind w:left="4677" w:hanging="360"/>
      </w:pPr>
      <w:rPr>
        <w:rFonts w:ascii="Wingdings" w:hAnsi="Wingdings" w:hint="default"/>
      </w:rPr>
    </w:lvl>
    <w:lvl w:ilvl="6">
      <w:start w:val="1"/>
      <w:numFmt w:val="bullet"/>
      <w:lvlText w:val=""/>
      <w:lvlJc w:val="left"/>
      <w:pPr>
        <w:tabs>
          <w:tab w:val="num" w:pos="5397"/>
        </w:tabs>
        <w:ind w:left="5397" w:hanging="360"/>
      </w:pPr>
      <w:rPr>
        <w:rFonts w:ascii="Symbol" w:hAnsi="Symbol" w:hint="default"/>
      </w:rPr>
    </w:lvl>
    <w:lvl w:ilvl="7">
      <w:start w:val="1"/>
      <w:numFmt w:val="bullet"/>
      <w:lvlText w:val="o"/>
      <w:lvlJc w:val="left"/>
      <w:pPr>
        <w:tabs>
          <w:tab w:val="num" w:pos="6117"/>
        </w:tabs>
        <w:ind w:left="6117" w:hanging="360"/>
      </w:pPr>
      <w:rPr>
        <w:rFonts w:ascii="Courier New" w:hAnsi="Courier New" w:cs="Courier New" w:hint="default"/>
      </w:rPr>
    </w:lvl>
    <w:lvl w:ilvl="8">
      <w:start w:val="1"/>
      <w:numFmt w:val="bullet"/>
      <w:lvlText w:val=""/>
      <w:lvlJc w:val="left"/>
      <w:pPr>
        <w:tabs>
          <w:tab w:val="num" w:pos="6837"/>
        </w:tabs>
        <w:ind w:left="6837" w:hanging="360"/>
      </w:pPr>
      <w:rPr>
        <w:rFonts w:ascii="Wingdings" w:hAnsi="Wingdings" w:hint="default"/>
      </w:rPr>
    </w:lvl>
  </w:abstractNum>
  <w:abstractNum w:abstractNumId="59">
    <w:nsid w:val="269C5A46"/>
    <w:multiLevelType w:val="hybridMultilevel"/>
    <w:tmpl w:val="E208FF78"/>
    <w:lvl w:ilvl="0" w:tplc="4816D71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nsid w:val="26F530AA"/>
    <w:multiLevelType w:val="hybridMultilevel"/>
    <w:tmpl w:val="CE60B4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nsid w:val="28BC6785"/>
    <w:multiLevelType w:val="hybridMultilevel"/>
    <w:tmpl w:val="0DC2074A"/>
    <w:lvl w:ilvl="0" w:tplc="9BCC62AE">
      <w:start w:val="1"/>
      <w:numFmt w:val="bullet"/>
      <w:lvlText w:val=""/>
      <w:lvlJc w:val="left"/>
      <w:pPr>
        <w:ind w:left="786"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28DC3954"/>
    <w:multiLevelType w:val="hybridMultilevel"/>
    <w:tmpl w:val="F35A669C"/>
    <w:lvl w:ilvl="0" w:tplc="04190001">
      <w:start w:val="1"/>
      <w:numFmt w:val="bullet"/>
      <w:pStyle w:val="NewNorm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29E86F54"/>
    <w:multiLevelType w:val="hybridMultilevel"/>
    <w:tmpl w:val="AD24C33E"/>
    <w:lvl w:ilvl="0" w:tplc="92D434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4">
    <w:nsid w:val="2A070A86"/>
    <w:multiLevelType w:val="hybridMultilevel"/>
    <w:tmpl w:val="D9E8125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5">
    <w:nsid w:val="2B035697"/>
    <w:multiLevelType w:val="hybridMultilevel"/>
    <w:tmpl w:val="52F26580"/>
    <w:lvl w:ilvl="0" w:tplc="012C49A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2BC90A1B"/>
    <w:multiLevelType w:val="multilevel"/>
    <w:tmpl w:val="5BEA888A"/>
    <w:lvl w:ilvl="0">
      <w:start w:val="1"/>
      <w:numFmt w:val="decimal"/>
      <w:pStyle w:val="15"/>
      <w:lvlText w:val="%1"/>
      <w:lvlJc w:val="left"/>
      <w:pPr>
        <w:tabs>
          <w:tab w:val="num" w:pos="432"/>
        </w:tabs>
        <w:ind w:left="432" w:hanging="432"/>
      </w:pPr>
      <w:rPr>
        <w:rFonts w:cs="Times New Roman" w:hint="default"/>
      </w:rPr>
    </w:lvl>
    <w:lvl w:ilvl="1">
      <w:start w:val="1"/>
      <w:numFmt w:val="decimal"/>
      <w:pStyle w:val="28"/>
      <w:lvlText w:val="%1.%2"/>
      <w:lvlJc w:val="left"/>
      <w:pPr>
        <w:tabs>
          <w:tab w:val="num" w:pos="576"/>
        </w:tabs>
        <w:ind w:left="576" w:hanging="576"/>
      </w:pPr>
      <w:rPr>
        <w:rFonts w:cs="Times New Roman" w:hint="default"/>
      </w:rPr>
    </w:lvl>
    <w:lvl w:ilvl="2">
      <w:start w:val="1"/>
      <w:numFmt w:val="decimal"/>
      <w:pStyle w:val="37"/>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8">
    <w:nsid w:val="2C9A5AA3"/>
    <w:multiLevelType w:val="hybridMultilevel"/>
    <w:tmpl w:val="DDCC67F8"/>
    <w:lvl w:ilvl="0" w:tplc="01D6AB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2CFA3F02"/>
    <w:multiLevelType w:val="hybridMultilevel"/>
    <w:tmpl w:val="06146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0">
    <w:nsid w:val="2E35702F"/>
    <w:multiLevelType w:val="hybridMultilevel"/>
    <w:tmpl w:val="63D200F4"/>
    <w:lvl w:ilvl="0" w:tplc="D094784E">
      <w:numFmt w:val="none"/>
      <w:pStyle w:val="29"/>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2EB46269"/>
    <w:multiLevelType w:val="hybridMultilevel"/>
    <w:tmpl w:val="2E946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F324608"/>
    <w:multiLevelType w:val="hybridMultilevel"/>
    <w:tmpl w:val="BB16B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FDC4BEA"/>
    <w:multiLevelType w:val="hybridMultilevel"/>
    <w:tmpl w:val="3620E1BE"/>
    <w:lvl w:ilvl="0" w:tplc="9BCC62A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30A01C00"/>
    <w:multiLevelType w:val="hybridMultilevel"/>
    <w:tmpl w:val="3788D1A8"/>
    <w:lvl w:ilvl="0" w:tplc="6268B3D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31C466D0"/>
    <w:multiLevelType w:val="hybridMultilevel"/>
    <w:tmpl w:val="A5567930"/>
    <w:lvl w:ilvl="0" w:tplc="3FB6749A">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nsid w:val="32104BA5"/>
    <w:multiLevelType w:val="hybridMultilevel"/>
    <w:tmpl w:val="88326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31A1D87"/>
    <w:multiLevelType w:val="hybridMultilevel"/>
    <w:tmpl w:val="8B049334"/>
    <w:lvl w:ilvl="0" w:tplc="E1286B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33AC0560"/>
    <w:multiLevelType w:val="multilevel"/>
    <w:tmpl w:val="80A82954"/>
    <w:styleLink w:val="a3"/>
    <w:lvl w:ilvl="0">
      <w:start w:val="1"/>
      <w:numFmt w:val="russianLower"/>
      <w:lvlText w:val="%1)"/>
      <w:lvlJc w:val="left"/>
      <w:pPr>
        <w:tabs>
          <w:tab w:val="num" w:pos="709"/>
        </w:tabs>
        <w:ind w:left="360" w:firstLine="349"/>
      </w:pPr>
      <w:rPr>
        <w:rFonts w:ascii="Times New Roman" w:hAnsi="Times New Roman" w:hint="default"/>
      </w:rPr>
    </w:lvl>
    <w:lvl w:ilvl="1">
      <w:start w:val="1"/>
      <w:numFmt w:val="decimal"/>
      <w:lvlText w:val="%2)"/>
      <w:lvlJc w:val="left"/>
      <w:pPr>
        <w:tabs>
          <w:tab w:val="num" w:pos="397"/>
        </w:tabs>
        <w:ind w:left="709" w:firstLine="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3513524C"/>
    <w:multiLevelType w:val="hybridMultilevel"/>
    <w:tmpl w:val="C4546D0E"/>
    <w:lvl w:ilvl="0" w:tplc="9BCC62AE">
      <w:start w:val="1"/>
      <w:numFmt w:val="bullet"/>
      <w:lvlText w:val=""/>
      <w:lvlJc w:val="left"/>
      <w:pPr>
        <w:ind w:left="1495"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357B7ABA"/>
    <w:multiLevelType w:val="hybridMultilevel"/>
    <w:tmpl w:val="E3222E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37770294"/>
    <w:multiLevelType w:val="hybridMultilevel"/>
    <w:tmpl w:val="B9EE78F6"/>
    <w:lvl w:ilvl="0" w:tplc="012C49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7D34FF7"/>
    <w:multiLevelType w:val="hybridMultilevel"/>
    <w:tmpl w:val="B1127A12"/>
    <w:lvl w:ilvl="0" w:tplc="012C49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7D823E0"/>
    <w:multiLevelType w:val="hybridMultilevel"/>
    <w:tmpl w:val="3990C2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5">
    <w:nsid w:val="39F9550F"/>
    <w:multiLevelType w:val="hybridMultilevel"/>
    <w:tmpl w:val="D528F9B8"/>
    <w:lvl w:ilvl="0" w:tplc="588C444C">
      <w:start w:val="1"/>
      <w:numFmt w:val="decimal"/>
      <w:lvlText w:val="%1."/>
      <w:lvlJc w:val="left"/>
      <w:pPr>
        <w:ind w:left="501"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3AB60EF0"/>
    <w:multiLevelType w:val="hybridMultilevel"/>
    <w:tmpl w:val="B4CC7D96"/>
    <w:lvl w:ilvl="0" w:tplc="B922EBB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3B5C6E51"/>
    <w:multiLevelType w:val="hybridMultilevel"/>
    <w:tmpl w:val="91D04D44"/>
    <w:lvl w:ilvl="0" w:tplc="1ADCD79A">
      <w:start w:val="1"/>
      <w:numFmt w:val="bullet"/>
      <w:pStyle w:val="a4"/>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88">
    <w:nsid w:val="3C013102"/>
    <w:multiLevelType w:val="hybridMultilevel"/>
    <w:tmpl w:val="82743A02"/>
    <w:lvl w:ilvl="0" w:tplc="CDC4710C">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D593BAD"/>
    <w:multiLevelType w:val="hybridMultilevel"/>
    <w:tmpl w:val="211A5F8E"/>
    <w:lvl w:ilvl="0" w:tplc="A7BEAC88">
      <w:start w:val="1"/>
      <w:numFmt w:val="decimal"/>
      <w:lvlText w:val="%1."/>
      <w:lvlJc w:val="left"/>
      <w:pPr>
        <w:ind w:left="36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DFF1FE9"/>
    <w:multiLevelType w:val="hybridMultilevel"/>
    <w:tmpl w:val="D528F9B8"/>
    <w:lvl w:ilvl="0" w:tplc="588C444C">
      <w:start w:val="1"/>
      <w:numFmt w:val="decimal"/>
      <w:lvlText w:val="%1."/>
      <w:lvlJc w:val="left"/>
      <w:pPr>
        <w:ind w:left="501"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3E557F8C"/>
    <w:multiLevelType w:val="hybridMultilevel"/>
    <w:tmpl w:val="B14AF690"/>
    <w:lvl w:ilvl="0" w:tplc="0419000F">
      <w:start w:val="1"/>
      <w:numFmt w:val="bullet"/>
      <w:pStyle w:val="a5"/>
      <w:lvlText w:val=""/>
      <w:lvlJc w:val="left"/>
      <w:pPr>
        <w:ind w:left="1428" w:hanging="360"/>
      </w:pPr>
      <w:rPr>
        <w:rFonts w:ascii="Symbol" w:hAnsi="Symbol" w:hint="default"/>
      </w:rPr>
    </w:lvl>
    <w:lvl w:ilvl="1" w:tplc="04190019">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92">
    <w:nsid w:val="3FB37B17"/>
    <w:multiLevelType w:val="hybridMultilevel"/>
    <w:tmpl w:val="FCF6FA68"/>
    <w:lvl w:ilvl="0" w:tplc="DBAE1AC6">
      <w:start w:val="1"/>
      <w:numFmt w:val="lowerLetter"/>
      <w:lvlText w:val="%1."/>
      <w:lvlJc w:val="left"/>
      <w:pPr>
        <w:ind w:left="58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0F12263"/>
    <w:multiLevelType w:val="hybridMultilevel"/>
    <w:tmpl w:val="EEBE90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nsid w:val="42493573"/>
    <w:multiLevelType w:val="hybridMultilevel"/>
    <w:tmpl w:val="78140D5A"/>
    <w:lvl w:ilvl="0" w:tplc="01AA1EDA">
      <w:start w:val="1"/>
      <w:numFmt w:val="bullet"/>
      <w:lvlText w:val=""/>
      <w:lvlJc w:val="left"/>
      <w:pPr>
        <w:ind w:left="1287" w:hanging="360"/>
      </w:pPr>
      <w:rPr>
        <w:rFonts w:ascii="Symbol" w:hAnsi="Symbol" w:hint="default"/>
        <w:lang w:val="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nsid w:val="42FD3079"/>
    <w:multiLevelType w:val="hybridMultilevel"/>
    <w:tmpl w:val="8B049334"/>
    <w:lvl w:ilvl="0" w:tplc="E1286B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436C5865"/>
    <w:multiLevelType w:val="hybridMultilevel"/>
    <w:tmpl w:val="B77EE444"/>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97">
    <w:nsid w:val="448851D3"/>
    <w:multiLevelType w:val="hybridMultilevel"/>
    <w:tmpl w:val="B8146E1E"/>
    <w:lvl w:ilvl="0" w:tplc="C00E4EE8">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452028BB"/>
    <w:multiLevelType w:val="hybridMultilevel"/>
    <w:tmpl w:val="70E0A8F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9">
    <w:nsid w:val="45AF18AF"/>
    <w:multiLevelType w:val="hybridMultilevel"/>
    <w:tmpl w:val="518273AC"/>
    <w:lvl w:ilvl="0" w:tplc="425C324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6E75C6A"/>
    <w:multiLevelType w:val="hybridMultilevel"/>
    <w:tmpl w:val="7E064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7316E5B"/>
    <w:multiLevelType w:val="hybridMultilevel"/>
    <w:tmpl w:val="B2C6C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476B1402"/>
    <w:multiLevelType w:val="hybridMultilevel"/>
    <w:tmpl w:val="A1E69184"/>
    <w:lvl w:ilvl="0" w:tplc="7188F26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48203E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nsid w:val="49F57318"/>
    <w:multiLevelType w:val="hybridMultilevel"/>
    <w:tmpl w:val="70585C2C"/>
    <w:lvl w:ilvl="0" w:tplc="34E49D46">
      <w:start w:val="1"/>
      <w:numFmt w:val="bullet"/>
      <w:pStyle w:val="GOSTListmark2"/>
      <w:lvlText w:val="–"/>
      <w:lvlJc w:val="left"/>
      <w:pPr>
        <w:tabs>
          <w:tab w:val="num" w:pos="1134"/>
        </w:tabs>
        <w:ind w:left="1134" w:hanging="283"/>
      </w:pPr>
      <w:rPr>
        <w:rFonts w:ascii="Times New Roman" w:hAnsi="Times New Roman" w:cs="Times New Roman" w:hint="default"/>
      </w:rPr>
    </w:lvl>
    <w:lvl w:ilvl="1" w:tplc="00C023FC" w:tentative="1">
      <w:start w:val="1"/>
      <w:numFmt w:val="bullet"/>
      <w:lvlText w:val="o"/>
      <w:lvlJc w:val="left"/>
      <w:pPr>
        <w:tabs>
          <w:tab w:val="num" w:pos="1440"/>
        </w:tabs>
        <w:ind w:left="1440" w:hanging="360"/>
      </w:pPr>
      <w:rPr>
        <w:rFonts w:ascii="Courier New" w:hAnsi="Courier New" w:cs="Courier New" w:hint="default"/>
      </w:rPr>
    </w:lvl>
    <w:lvl w:ilvl="2" w:tplc="F90E279E" w:tentative="1">
      <w:start w:val="1"/>
      <w:numFmt w:val="bullet"/>
      <w:lvlText w:val=""/>
      <w:lvlJc w:val="left"/>
      <w:pPr>
        <w:tabs>
          <w:tab w:val="num" w:pos="2160"/>
        </w:tabs>
        <w:ind w:left="2160" w:hanging="360"/>
      </w:pPr>
      <w:rPr>
        <w:rFonts w:ascii="Wingdings" w:hAnsi="Wingdings" w:hint="default"/>
      </w:rPr>
    </w:lvl>
    <w:lvl w:ilvl="3" w:tplc="2430881C" w:tentative="1">
      <w:start w:val="1"/>
      <w:numFmt w:val="bullet"/>
      <w:lvlText w:val=""/>
      <w:lvlJc w:val="left"/>
      <w:pPr>
        <w:tabs>
          <w:tab w:val="num" w:pos="2880"/>
        </w:tabs>
        <w:ind w:left="2880" w:hanging="360"/>
      </w:pPr>
      <w:rPr>
        <w:rFonts w:ascii="Symbol" w:hAnsi="Symbol" w:hint="default"/>
      </w:rPr>
    </w:lvl>
    <w:lvl w:ilvl="4" w:tplc="1A7678EA" w:tentative="1">
      <w:start w:val="1"/>
      <w:numFmt w:val="bullet"/>
      <w:lvlText w:val="o"/>
      <w:lvlJc w:val="left"/>
      <w:pPr>
        <w:tabs>
          <w:tab w:val="num" w:pos="3600"/>
        </w:tabs>
        <w:ind w:left="3600" w:hanging="360"/>
      </w:pPr>
      <w:rPr>
        <w:rFonts w:ascii="Courier New" w:hAnsi="Courier New" w:cs="Courier New" w:hint="default"/>
      </w:rPr>
    </w:lvl>
    <w:lvl w:ilvl="5" w:tplc="09207438" w:tentative="1">
      <w:start w:val="1"/>
      <w:numFmt w:val="bullet"/>
      <w:lvlText w:val=""/>
      <w:lvlJc w:val="left"/>
      <w:pPr>
        <w:tabs>
          <w:tab w:val="num" w:pos="4320"/>
        </w:tabs>
        <w:ind w:left="4320" w:hanging="360"/>
      </w:pPr>
      <w:rPr>
        <w:rFonts w:ascii="Wingdings" w:hAnsi="Wingdings" w:hint="default"/>
      </w:rPr>
    </w:lvl>
    <w:lvl w:ilvl="6" w:tplc="F31E4F06" w:tentative="1">
      <w:start w:val="1"/>
      <w:numFmt w:val="bullet"/>
      <w:lvlText w:val=""/>
      <w:lvlJc w:val="left"/>
      <w:pPr>
        <w:tabs>
          <w:tab w:val="num" w:pos="5040"/>
        </w:tabs>
        <w:ind w:left="5040" w:hanging="360"/>
      </w:pPr>
      <w:rPr>
        <w:rFonts w:ascii="Symbol" w:hAnsi="Symbol" w:hint="default"/>
      </w:rPr>
    </w:lvl>
    <w:lvl w:ilvl="7" w:tplc="E8F4959C" w:tentative="1">
      <w:start w:val="1"/>
      <w:numFmt w:val="bullet"/>
      <w:lvlText w:val="o"/>
      <w:lvlJc w:val="left"/>
      <w:pPr>
        <w:tabs>
          <w:tab w:val="num" w:pos="5760"/>
        </w:tabs>
        <w:ind w:left="5760" w:hanging="360"/>
      </w:pPr>
      <w:rPr>
        <w:rFonts w:ascii="Courier New" w:hAnsi="Courier New" w:cs="Courier New" w:hint="default"/>
      </w:rPr>
    </w:lvl>
    <w:lvl w:ilvl="8" w:tplc="014AE1CA" w:tentative="1">
      <w:start w:val="1"/>
      <w:numFmt w:val="bullet"/>
      <w:lvlText w:val=""/>
      <w:lvlJc w:val="left"/>
      <w:pPr>
        <w:tabs>
          <w:tab w:val="num" w:pos="6480"/>
        </w:tabs>
        <w:ind w:left="6480" w:hanging="360"/>
      </w:pPr>
      <w:rPr>
        <w:rFonts w:ascii="Wingdings" w:hAnsi="Wingdings" w:hint="default"/>
      </w:rPr>
    </w:lvl>
  </w:abstractNum>
  <w:abstractNum w:abstractNumId="105">
    <w:nsid w:val="4AA55904"/>
    <w:multiLevelType w:val="hybridMultilevel"/>
    <w:tmpl w:val="7630729C"/>
    <w:lvl w:ilvl="0" w:tplc="22461D3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4D8C380F"/>
    <w:multiLevelType w:val="multilevel"/>
    <w:tmpl w:val="6CA43D7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nsid w:val="4E044427"/>
    <w:multiLevelType w:val="hybridMultilevel"/>
    <w:tmpl w:val="8E7A5540"/>
    <w:lvl w:ilvl="0" w:tplc="F8EC023C">
      <w:start w:val="1"/>
      <w:numFmt w:val="none"/>
      <w:pStyle w:val="ASFKNameTable"/>
      <w:lvlText w:val="Таблица "/>
      <w:lvlJc w:val="left"/>
      <w:pPr>
        <w:tabs>
          <w:tab w:val="num" w:pos="1870"/>
        </w:tabs>
        <w:ind w:left="1303"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vertAlign w:val="baseline"/>
        <w:em w:val="none"/>
      </w:rPr>
    </w:lvl>
    <w:lvl w:ilvl="1" w:tplc="1A4AF6D0">
      <w:start w:val="1"/>
      <w:numFmt w:val="lowerLetter"/>
      <w:lvlText w:val="%2."/>
      <w:lvlJc w:val="left"/>
      <w:pPr>
        <w:tabs>
          <w:tab w:val="num" w:pos="1440"/>
        </w:tabs>
        <w:ind w:left="1440" w:hanging="360"/>
      </w:pPr>
    </w:lvl>
    <w:lvl w:ilvl="2" w:tplc="2390A054">
      <w:start w:val="1"/>
      <w:numFmt w:val="lowerRoman"/>
      <w:lvlText w:val="%3."/>
      <w:lvlJc w:val="right"/>
      <w:pPr>
        <w:tabs>
          <w:tab w:val="num" w:pos="2160"/>
        </w:tabs>
        <w:ind w:left="2160" w:hanging="180"/>
      </w:pPr>
    </w:lvl>
    <w:lvl w:ilvl="3" w:tplc="4BCEB09C">
      <w:start w:val="1"/>
      <w:numFmt w:val="decimal"/>
      <w:lvlText w:val="%4."/>
      <w:lvlJc w:val="left"/>
      <w:pPr>
        <w:tabs>
          <w:tab w:val="num" w:pos="2880"/>
        </w:tabs>
        <w:ind w:left="2880" w:hanging="360"/>
      </w:pPr>
    </w:lvl>
    <w:lvl w:ilvl="4" w:tplc="DD2A2394" w:tentative="1">
      <w:start w:val="1"/>
      <w:numFmt w:val="lowerLetter"/>
      <w:lvlText w:val="%5."/>
      <w:lvlJc w:val="left"/>
      <w:pPr>
        <w:tabs>
          <w:tab w:val="num" w:pos="3600"/>
        </w:tabs>
        <w:ind w:left="3600" w:hanging="360"/>
      </w:pPr>
    </w:lvl>
    <w:lvl w:ilvl="5" w:tplc="3B70BB90" w:tentative="1">
      <w:start w:val="1"/>
      <w:numFmt w:val="lowerRoman"/>
      <w:lvlText w:val="%6."/>
      <w:lvlJc w:val="right"/>
      <w:pPr>
        <w:tabs>
          <w:tab w:val="num" w:pos="4320"/>
        </w:tabs>
        <w:ind w:left="4320" w:hanging="180"/>
      </w:pPr>
    </w:lvl>
    <w:lvl w:ilvl="6" w:tplc="3AF89BA0" w:tentative="1">
      <w:start w:val="1"/>
      <w:numFmt w:val="decimal"/>
      <w:lvlText w:val="%7."/>
      <w:lvlJc w:val="left"/>
      <w:pPr>
        <w:tabs>
          <w:tab w:val="num" w:pos="5040"/>
        </w:tabs>
        <w:ind w:left="5040" w:hanging="360"/>
      </w:pPr>
    </w:lvl>
    <w:lvl w:ilvl="7" w:tplc="B8CCFF4C" w:tentative="1">
      <w:start w:val="1"/>
      <w:numFmt w:val="lowerLetter"/>
      <w:lvlText w:val="%8."/>
      <w:lvlJc w:val="left"/>
      <w:pPr>
        <w:tabs>
          <w:tab w:val="num" w:pos="5760"/>
        </w:tabs>
        <w:ind w:left="5760" w:hanging="360"/>
      </w:pPr>
    </w:lvl>
    <w:lvl w:ilvl="8" w:tplc="B88C7186" w:tentative="1">
      <w:start w:val="1"/>
      <w:numFmt w:val="lowerRoman"/>
      <w:lvlText w:val="%9."/>
      <w:lvlJc w:val="right"/>
      <w:pPr>
        <w:tabs>
          <w:tab w:val="num" w:pos="6480"/>
        </w:tabs>
        <w:ind w:left="6480" w:hanging="180"/>
      </w:pPr>
    </w:lvl>
  </w:abstractNum>
  <w:abstractNum w:abstractNumId="108">
    <w:nsid w:val="4E3D350A"/>
    <w:multiLevelType w:val="hybridMultilevel"/>
    <w:tmpl w:val="2F52CFAC"/>
    <w:lvl w:ilvl="0" w:tplc="C11A8A9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51737C09"/>
    <w:multiLevelType w:val="hybridMultilevel"/>
    <w:tmpl w:val="DF648C22"/>
    <w:lvl w:ilvl="0" w:tplc="A962979E">
      <w:start w:val="1"/>
      <w:numFmt w:val="bullet"/>
      <w:pStyle w:val="a6"/>
      <w:lvlText w:val=""/>
      <w:lvlJc w:val="left"/>
      <w:pPr>
        <w:tabs>
          <w:tab w:val="num" w:pos="720"/>
        </w:tabs>
        <w:ind w:left="720" w:hanging="360"/>
      </w:pPr>
      <w:rPr>
        <w:rFonts w:ascii="Symbol" w:hAnsi="Symbol" w:hint="default"/>
      </w:rPr>
    </w:lvl>
    <w:lvl w:ilvl="1" w:tplc="231C3FEE">
      <w:start w:val="1"/>
      <w:numFmt w:val="bullet"/>
      <w:lvlText w:val="o"/>
      <w:lvlJc w:val="left"/>
      <w:pPr>
        <w:tabs>
          <w:tab w:val="num" w:pos="1800"/>
        </w:tabs>
        <w:ind w:left="1800" w:hanging="360"/>
      </w:pPr>
      <w:rPr>
        <w:rFonts w:ascii="Courier New" w:hAnsi="Courier New" w:cs="Courier New" w:hint="default"/>
      </w:rPr>
    </w:lvl>
    <w:lvl w:ilvl="2" w:tplc="F4502BFE">
      <w:start w:val="1"/>
      <w:numFmt w:val="bullet"/>
      <w:lvlText w:val=""/>
      <w:lvlJc w:val="left"/>
      <w:pPr>
        <w:tabs>
          <w:tab w:val="num" w:pos="2520"/>
        </w:tabs>
        <w:ind w:left="2520" w:hanging="360"/>
      </w:pPr>
      <w:rPr>
        <w:rFonts w:ascii="Wingdings" w:hAnsi="Wingdings" w:hint="default"/>
      </w:rPr>
    </w:lvl>
    <w:lvl w:ilvl="3" w:tplc="01AC62BE" w:tentative="1">
      <w:start w:val="1"/>
      <w:numFmt w:val="bullet"/>
      <w:lvlText w:val=""/>
      <w:lvlJc w:val="left"/>
      <w:pPr>
        <w:tabs>
          <w:tab w:val="num" w:pos="3240"/>
        </w:tabs>
        <w:ind w:left="3240" w:hanging="360"/>
      </w:pPr>
      <w:rPr>
        <w:rFonts w:ascii="Symbol" w:hAnsi="Symbol" w:hint="default"/>
      </w:rPr>
    </w:lvl>
    <w:lvl w:ilvl="4" w:tplc="B0D2146E" w:tentative="1">
      <w:start w:val="1"/>
      <w:numFmt w:val="bullet"/>
      <w:lvlText w:val="o"/>
      <w:lvlJc w:val="left"/>
      <w:pPr>
        <w:tabs>
          <w:tab w:val="num" w:pos="3960"/>
        </w:tabs>
        <w:ind w:left="3960" w:hanging="360"/>
      </w:pPr>
      <w:rPr>
        <w:rFonts w:ascii="Courier New" w:hAnsi="Courier New" w:cs="Courier New" w:hint="default"/>
      </w:rPr>
    </w:lvl>
    <w:lvl w:ilvl="5" w:tplc="FF004EEC" w:tentative="1">
      <w:start w:val="1"/>
      <w:numFmt w:val="bullet"/>
      <w:lvlText w:val=""/>
      <w:lvlJc w:val="left"/>
      <w:pPr>
        <w:tabs>
          <w:tab w:val="num" w:pos="4680"/>
        </w:tabs>
        <w:ind w:left="4680" w:hanging="360"/>
      </w:pPr>
      <w:rPr>
        <w:rFonts w:ascii="Wingdings" w:hAnsi="Wingdings" w:hint="default"/>
      </w:rPr>
    </w:lvl>
    <w:lvl w:ilvl="6" w:tplc="3A4A9DBA" w:tentative="1">
      <w:start w:val="1"/>
      <w:numFmt w:val="bullet"/>
      <w:lvlText w:val=""/>
      <w:lvlJc w:val="left"/>
      <w:pPr>
        <w:tabs>
          <w:tab w:val="num" w:pos="5400"/>
        </w:tabs>
        <w:ind w:left="5400" w:hanging="360"/>
      </w:pPr>
      <w:rPr>
        <w:rFonts w:ascii="Symbol" w:hAnsi="Symbol" w:hint="default"/>
      </w:rPr>
    </w:lvl>
    <w:lvl w:ilvl="7" w:tplc="770459BA" w:tentative="1">
      <w:start w:val="1"/>
      <w:numFmt w:val="bullet"/>
      <w:lvlText w:val="o"/>
      <w:lvlJc w:val="left"/>
      <w:pPr>
        <w:tabs>
          <w:tab w:val="num" w:pos="6120"/>
        </w:tabs>
        <w:ind w:left="6120" w:hanging="360"/>
      </w:pPr>
      <w:rPr>
        <w:rFonts w:ascii="Courier New" w:hAnsi="Courier New" w:cs="Courier New" w:hint="default"/>
      </w:rPr>
    </w:lvl>
    <w:lvl w:ilvl="8" w:tplc="CC9C3CB6" w:tentative="1">
      <w:start w:val="1"/>
      <w:numFmt w:val="bullet"/>
      <w:lvlText w:val=""/>
      <w:lvlJc w:val="left"/>
      <w:pPr>
        <w:tabs>
          <w:tab w:val="num" w:pos="6840"/>
        </w:tabs>
        <w:ind w:left="6840" w:hanging="360"/>
      </w:pPr>
      <w:rPr>
        <w:rFonts w:ascii="Wingdings" w:hAnsi="Wingdings" w:hint="default"/>
      </w:rPr>
    </w:lvl>
  </w:abstractNum>
  <w:abstractNum w:abstractNumId="110">
    <w:nsid w:val="51A84F8E"/>
    <w:multiLevelType w:val="hybridMultilevel"/>
    <w:tmpl w:val="89ECB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51D05914"/>
    <w:multiLevelType w:val="hybridMultilevel"/>
    <w:tmpl w:val="1CC2BD02"/>
    <w:lvl w:ilvl="0" w:tplc="425629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520976D8"/>
    <w:multiLevelType w:val="hybridMultilevel"/>
    <w:tmpl w:val="3B9C1CAA"/>
    <w:lvl w:ilvl="0" w:tplc="C11A8A9A">
      <w:start w:val="1"/>
      <w:numFmt w:val="decimal"/>
      <w:lvlText w:val="%1."/>
      <w:lvlJc w:val="left"/>
      <w:pPr>
        <w:ind w:left="720" w:hanging="360"/>
      </w:pPr>
    </w:lvl>
    <w:lvl w:ilvl="1" w:tplc="04190019">
      <w:start w:val="1"/>
      <w:numFmt w:val="lowerLetter"/>
      <w:lvlText w:val="%2."/>
      <w:lvlJc w:val="left"/>
      <w:pPr>
        <w:ind w:left="584"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nsid w:val="520D7F77"/>
    <w:multiLevelType w:val="hybridMultilevel"/>
    <w:tmpl w:val="5F023E96"/>
    <w:lvl w:ilvl="0" w:tplc="E2A212B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53187694"/>
    <w:multiLevelType w:val="hybridMultilevel"/>
    <w:tmpl w:val="963E7138"/>
    <w:lvl w:ilvl="0" w:tplc="384ADCD8">
      <w:start w:val="1"/>
      <w:numFmt w:val="bullet"/>
      <w:pStyle w:val="ListTable"/>
      <w:lvlText w:val=""/>
      <w:lvlJc w:val="left"/>
      <w:pPr>
        <w:ind w:left="1429" w:hanging="360"/>
      </w:pPr>
      <w:rPr>
        <w:rFonts w:ascii="Symbol" w:hAnsi="Symbol" w:hint="default"/>
      </w:rPr>
    </w:lvl>
    <w:lvl w:ilvl="1" w:tplc="EBFA6860" w:tentative="1">
      <w:start w:val="1"/>
      <w:numFmt w:val="bullet"/>
      <w:lvlText w:val="o"/>
      <w:lvlJc w:val="left"/>
      <w:pPr>
        <w:ind w:left="2149" w:hanging="360"/>
      </w:pPr>
      <w:rPr>
        <w:rFonts w:ascii="Courier New" w:hAnsi="Courier New" w:cs="Courier New" w:hint="default"/>
      </w:rPr>
    </w:lvl>
    <w:lvl w:ilvl="2" w:tplc="8B269F5A" w:tentative="1">
      <w:start w:val="1"/>
      <w:numFmt w:val="bullet"/>
      <w:lvlText w:val=""/>
      <w:lvlJc w:val="left"/>
      <w:pPr>
        <w:ind w:left="2869" w:hanging="360"/>
      </w:pPr>
      <w:rPr>
        <w:rFonts w:ascii="Wingdings" w:hAnsi="Wingdings" w:hint="default"/>
      </w:rPr>
    </w:lvl>
    <w:lvl w:ilvl="3" w:tplc="E2C086AC" w:tentative="1">
      <w:start w:val="1"/>
      <w:numFmt w:val="bullet"/>
      <w:lvlText w:val=""/>
      <w:lvlJc w:val="left"/>
      <w:pPr>
        <w:ind w:left="3589" w:hanging="360"/>
      </w:pPr>
      <w:rPr>
        <w:rFonts w:ascii="Symbol" w:hAnsi="Symbol" w:hint="default"/>
      </w:rPr>
    </w:lvl>
    <w:lvl w:ilvl="4" w:tplc="FE86DD96" w:tentative="1">
      <w:start w:val="1"/>
      <w:numFmt w:val="bullet"/>
      <w:lvlText w:val="o"/>
      <w:lvlJc w:val="left"/>
      <w:pPr>
        <w:ind w:left="4309" w:hanging="360"/>
      </w:pPr>
      <w:rPr>
        <w:rFonts w:ascii="Courier New" w:hAnsi="Courier New" w:cs="Courier New" w:hint="default"/>
      </w:rPr>
    </w:lvl>
    <w:lvl w:ilvl="5" w:tplc="5CA82F06" w:tentative="1">
      <w:start w:val="1"/>
      <w:numFmt w:val="bullet"/>
      <w:lvlText w:val=""/>
      <w:lvlJc w:val="left"/>
      <w:pPr>
        <w:ind w:left="5029" w:hanging="360"/>
      </w:pPr>
      <w:rPr>
        <w:rFonts w:ascii="Wingdings" w:hAnsi="Wingdings" w:hint="default"/>
      </w:rPr>
    </w:lvl>
    <w:lvl w:ilvl="6" w:tplc="6F5EDCFA" w:tentative="1">
      <w:start w:val="1"/>
      <w:numFmt w:val="bullet"/>
      <w:lvlText w:val=""/>
      <w:lvlJc w:val="left"/>
      <w:pPr>
        <w:ind w:left="5749" w:hanging="360"/>
      </w:pPr>
      <w:rPr>
        <w:rFonts w:ascii="Symbol" w:hAnsi="Symbol" w:hint="default"/>
      </w:rPr>
    </w:lvl>
    <w:lvl w:ilvl="7" w:tplc="E660761A" w:tentative="1">
      <w:start w:val="1"/>
      <w:numFmt w:val="bullet"/>
      <w:lvlText w:val="o"/>
      <w:lvlJc w:val="left"/>
      <w:pPr>
        <w:ind w:left="6469" w:hanging="360"/>
      </w:pPr>
      <w:rPr>
        <w:rFonts w:ascii="Courier New" w:hAnsi="Courier New" w:cs="Courier New" w:hint="default"/>
      </w:rPr>
    </w:lvl>
    <w:lvl w:ilvl="8" w:tplc="54DCE610" w:tentative="1">
      <w:start w:val="1"/>
      <w:numFmt w:val="bullet"/>
      <w:lvlText w:val=""/>
      <w:lvlJc w:val="left"/>
      <w:pPr>
        <w:ind w:left="7189" w:hanging="360"/>
      </w:pPr>
      <w:rPr>
        <w:rFonts w:ascii="Wingdings" w:hAnsi="Wingdings" w:hint="default"/>
      </w:rPr>
    </w:lvl>
  </w:abstractNum>
  <w:abstractNum w:abstractNumId="115">
    <w:nsid w:val="538424BB"/>
    <w:multiLevelType w:val="hybridMultilevel"/>
    <w:tmpl w:val="B9EE78F6"/>
    <w:lvl w:ilvl="0" w:tplc="012C49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55DD34A1"/>
    <w:multiLevelType w:val="hybridMultilevel"/>
    <w:tmpl w:val="3788D1A8"/>
    <w:lvl w:ilvl="0" w:tplc="6268B3D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nsid w:val="5783109C"/>
    <w:multiLevelType w:val="hybridMultilevel"/>
    <w:tmpl w:val="B202812E"/>
    <w:lvl w:ilvl="0" w:tplc="622EE53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57924A61"/>
    <w:multiLevelType w:val="multilevel"/>
    <w:tmpl w:val="E97E152A"/>
    <w:lvl w:ilvl="0">
      <w:start w:val="1"/>
      <w:numFmt w:val="decimal"/>
      <w:pStyle w:val="a7"/>
      <w:lvlText w:val="%1"/>
      <w:lvlJc w:val="left"/>
      <w:pPr>
        <w:tabs>
          <w:tab w:val="num" w:pos="360"/>
        </w:tabs>
        <w:ind w:left="0" w:firstLine="0"/>
      </w:pPr>
      <w:rPr>
        <w:rFonts w:hint="default"/>
      </w:rPr>
    </w:lvl>
    <w:lvl w:ilvl="1">
      <w:start w:val="1"/>
      <w:numFmt w:val="decimal"/>
      <w:lvlText w:val="%1.%2"/>
      <w:lvlJc w:val="left"/>
      <w:pPr>
        <w:tabs>
          <w:tab w:val="num" w:pos="984"/>
        </w:tabs>
        <w:ind w:left="0" w:firstLine="624"/>
      </w:pPr>
      <w:rPr>
        <w:rFonts w:hint="default"/>
      </w:rPr>
    </w:lvl>
    <w:lvl w:ilvl="2">
      <w:start w:val="1"/>
      <w:numFmt w:val="decimal"/>
      <w:lvlText w:val="%1.%2.%3"/>
      <w:lvlJc w:val="left"/>
      <w:pPr>
        <w:tabs>
          <w:tab w:val="num" w:pos="3175"/>
        </w:tabs>
        <w:ind w:left="3175" w:hanging="158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9">
    <w:nsid w:val="57B3321A"/>
    <w:multiLevelType w:val="hybridMultilevel"/>
    <w:tmpl w:val="7A8A77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57C32838"/>
    <w:multiLevelType w:val="hybridMultilevel"/>
    <w:tmpl w:val="5D7851D0"/>
    <w:lvl w:ilvl="0" w:tplc="03E6D04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582954FE"/>
    <w:multiLevelType w:val="hybridMultilevel"/>
    <w:tmpl w:val="C504B16C"/>
    <w:lvl w:ilvl="0" w:tplc="04190001">
      <w:start w:val="1"/>
      <w:numFmt w:val="bullet"/>
      <w:lvlText w:val=""/>
      <w:lvlJc w:val="left"/>
      <w:pPr>
        <w:ind w:left="927" w:hanging="360"/>
      </w:pPr>
      <w:rPr>
        <w:rFonts w:ascii="Symbol" w:hAnsi="Symbol" w:hint="default"/>
      </w:rPr>
    </w:lvl>
    <w:lvl w:ilvl="1" w:tplc="D9BEF6A4">
      <w:start w:val="1"/>
      <w:numFmt w:val="bullet"/>
      <w:lvlText w:val=""/>
      <w:lvlJc w:val="left"/>
      <w:pPr>
        <w:ind w:left="1647" w:hanging="360"/>
      </w:pPr>
      <w:rPr>
        <w:rFonts w:ascii="Symbol" w:hAnsi="Symbol" w:hint="default"/>
      </w:rPr>
    </w:lvl>
    <w:lvl w:ilvl="2" w:tplc="04190005">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2">
    <w:nsid w:val="5A5541CD"/>
    <w:multiLevelType w:val="hybridMultilevel"/>
    <w:tmpl w:val="4252C7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3">
    <w:nsid w:val="5B3972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nsid w:val="5B506285"/>
    <w:multiLevelType w:val="hybridMultilevel"/>
    <w:tmpl w:val="964A4322"/>
    <w:lvl w:ilvl="0" w:tplc="E62A61D6">
      <w:start w:val="1"/>
      <w:numFmt w:val="decimal"/>
      <w:pStyle w:val="a8"/>
      <w:lvlText w:val="%1."/>
      <w:lvlJc w:val="left"/>
      <w:pPr>
        <w:ind w:left="360" w:hanging="360"/>
      </w:pPr>
      <w:rPr>
        <w:sz w:val="28"/>
        <w:szCs w:val="28"/>
      </w:rPr>
    </w:lvl>
    <w:lvl w:ilvl="1" w:tplc="B63EFF8E">
      <w:start w:val="1"/>
      <w:numFmt w:val="russianLower"/>
      <w:lvlText w:val="%2."/>
      <w:lvlJc w:val="left"/>
      <w:pPr>
        <w:ind w:left="1080" w:hanging="360"/>
      </w:pPr>
      <w:rPr>
        <w:rFonts w:hint="default"/>
      </w:r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125">
    <w:nsid w:val="5C155895"/>
    <w:multiLevelType w:val="hybridMultilevel"/>
    <w:tmpl w:val="0AA478C0"/>
    <w:lvl w:ilvl="0" w:tplc="F0E8A426">
      <w:start w:val="1"/>
      <w:numFmt w:val="decimal"/>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5C4811B5"/>
    <w:multiLevelType w:val="hybridMultilevel"/>
    <w:tmpl w:val="09160ED6"/>
    <w:lvl w:ilvl="0" w:tplc="FFFFFFFF">
      <w:start w:val="1"/>
      <w:numFmt w:val="bullet"/>
      <w:lvlText w:val="–"/>
      <w:lvlJc w:val="left"/>
      <w:pPr>
        <w:ind w:left="720" w:hanging="360"/>
      </w:pPr>
      <w:rPr>
        <w:rFonts w:ascii="Times New Roman" w:hAnsi="Times New Roman" w:hint="default"/>
      </w:rPr>
    </w:lvl>
    <w:lvl w:ilvl="1" w:tplc="58CE329C">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5C5E3DE9"/>
    <w:multiLevelType w:val="hybridMultilevel"/>
    <w:tmpl w:val="82743A02"/>
    <w:lvl w:ilvl="0" w:tplc="CDC4710C">
      <w:start w:val="1"/>
      <w:numFmt w:val="decimal"/>
      <w:lvlText w:val="%1."/>
      <w:lvlJc w:val="left"/>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5C7844AB"/>
    <w:multiLevelType w:val="hybridMultilevel"/>
    <w:tmpl w:val="84202B5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9">
    <w:nsid w:val="5CF74459"/>
    <w:multiLevelType w:val="hybridMultilevel"/>
    <w:tmpl w:val="7A8A774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5E8E350F"/>
    <w:multiLevelType w:val="hybridMultilevel"/>
    <w:tmpl w:val="147A1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5F121371"/>
    <w:multiLevelType w:val="multilevel"/>
    <w:tmpl w:val="5F121371"/>
    <w:lvl w:ilvl="0">
      <w:start w:val="1"/>
      <w:numFmt w:val="decimal"/>
      <w:pStyle w:val="OTRListNum"/>
      <w:lvlText w:val="%1."/>
      <w:lvlJc w:val="left"/>
      <w:pPr>
        <w:tabs>
          <w:tab w:val="num" w:pos="851"/>
        </w:tabs>
        <w:ind w:left="851" w:hanging="284"/>
      </w:pPr>
      <w:rPr>
        <w:rFonts w:ascii="Times New Roman" w:hAnsi="Times New Roman" w:hint="default"/>
        <w:i w:val="0"/>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132">
    <w:nsid w:val="5F2674B7"/>
    <w:multiLevelType w:val="hybridMultilevel"/>
    <w:tmpl w:val="BD3AF5A4"/>
    <w:lvl w:ilvl="0" w:tplc="528A0D8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5FE3427B"/>
    <w:multiLevelType w:val="hybridMultilevel"/>
    <w:tmpl w:val="4EBE3A0C"/>
    <w:lvl w:ilvl="0" w:tplc="AFB067A6">
      <w:start w:val="1"/>
      <w:numFmt w:val="lowerLetter"/>
      <w:lvlText w:val="%1."/>
      <w:lvlJc w:val="left"/>
      <w:pPr>
        <w:ind w:left="58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60642B62"/>
    <w:multiLevelType w:val="hybridMultilevel"/>
    <w:tmpl w:val="0346F9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5">
    <w:nsid w:val="60823685"/>
    <w:multiLevelType w:val="multilevel"/>
    <w:tmpl w:val="20129B1A"/>
    <w:lvl w:ilvl="0">
      <w:start w:val="1"/>
      <w:numFmt w:val="russianUpper"/>
      <w:pStyle w:val="16"/>
      <w:lvlText w:val="Приложение %1."/>
      <w:lvlJc w:val="left"/>
      <w:pPr>
        <w:tabs>
          <w:tab w:val="num" w:pos="1565"/>
        </w:tabs>
        <w:ind w:left="1565" w:hanging="431"/>
      </w:pPr>
      <w:rPr>
        <w:rFonts w:hint="default"/>
      </w:rPr>
    </w:lvl>
    <w:lvl w:ilvl="1">
      <w:start w:val="1"/>
      <w:numFmt w:val="decimal"/>
      <w:pStyle w:val="2a"/>
      <w:lvlText w:val="%1.%2."/>
      <w:lvlJc w:val="left"/>
      <w:pPr>
        <w:tabs>
          <w:tab w:val="num" w:pos="1707"/>
        </w:tabs>
        <w:ind w:left="1707" w:hanging="573"/>
      </w:pPr>
      <w:rPr>
        <w:rFonts w:hint="default"/>
      </w:rPr>
    </w:lvl>
    <w:lvl w:ilvl="2">
      <w:start w:val="1"/>
      <w:numFmt w:val="decimal"/>
      <w:pStyle w:val="38"/>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36">
    <w:nsid w:val="61536AD4"/>
    <w:multiLevelType w:val="hybridMultilevel"/>
    <w:tmpl w:val="212CF5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61EA247E"/>
    <w:multiLevelType w:val="hybridMultilevel"/>
    <w:tmpl w:val="413AB4C8"/>
    <w:lvl w:ilvl="0" w:tplc="0630DB0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622F6F92"/>
    <w:multiLevelType w:val="hybridMultilevel"/>
    <w:tmpl w:val="867E0DE8"/>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9">
    <w:nsid w:val="624E1B5C"/>
    <w:multiLevelType w:val="hybridMultilevel"/>
    <w:tmpl w:val="7E2CEB62"/>
    <w:lvl w:ilvl="0" w:tplc="01AA1EDA">
      <w:start w:val="1"/>
      <w:numFmt w:val="bullet"/>
      <w:lvlText w:val=""/>
      <w:lvlJc w:val="left"/>
      <w:pPr>
        <w:ind w:left="1287" w:hanging="360"/>
      </w:pPr>
      <w:rPr>
        <w:rFonts w:ascii="Symbol" w:hAnsi="Symbol" w:hint="default"/>
        <w:lang w:val="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0">
    <w:nsid w:val="62BD3D45"/>
    <w:multiLevelType w:val="hybridMultilevel"/>
    <w:tmpl w:val="7E36436E"/>
    <w:lvl w:ilvl="0" w:tplc="1AD609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64891870"/>
    <w:multiLevelType w:val="hybridMultilevel"/>
    <w:tmpl w:val="474EE85E"/>
    <w:lvl w:ilvl="0" w:tplc="905A53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64AD1838"/>
    <w:multiLevelType w:val="hybridMultilevel"/>
    <w:tmpl w:val="9AEA6CEE"/>
    <w:lvl w:ilvl="0" w:tplc="F6828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650E0545"/>
    <w:multiLevelType w:val="hybridMultilevel"/>
    <w:tmpl w:val="9E3629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4">
    <w:nsid w:val="65913033"/>
    <w:multiLevelType w:val="hybridMultilevel"/>
    <w:tmpl w:val="339C65AE"/>
    <w:lvl w:ilvl="0" w:tplc="57AA6D88">
      <w:start w:val="1"/>
      <w:numFmt w:val="decimal"/>
      <w:lvlText w:val="%1."/>
      <w:lvlJc w:val="left"/>
      <w:pPr>
        <w:ind w:left="360" w:hanging="360"/>
      </w:pPr>
      <w:rPr>
        <w:rFonts w:ascii="Times New Roman" w:hAnsi="Times New Roman" w:cs="Times New Roman"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5">
    <w:nsid w:val="665939E0"/>
    <w:multiLevelType w:val="hybridMultilevel"/>
    <w:tmpl w:val="0324F45C"/>
    <w:lvl w:ilvl="0" w:tplc="04190003">
      <w:start w:val="1"/>
      <w:numFmt w:val="bullet"/>
      <w:lvlText w:val="o"/>
      <w:lvlJc w:val="left"/>
      <w:pPr>
        <w:ind w:left="2868" w:hanging="360"/>
      </w:pPr>
      <w:rPr>
        <w:rFonts w:ascii="Courier New" w:hAnsi="Courier New" w:cs="Courier New"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46">
    <w:nsid w:val="66744EB0"/>
    <w:multiLevelType w:val="hybridMultilevel"/>
    <w:tmpl w:val="7FB26104"/>
    <w:lvl w:ilvl="0" w:tplc="4816D71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7">
    <w:nsid w:val="66C142DF"/>
    <w:multiLevelType w:val="hybridMultilevel"/>
    <w:tmpl w:val="6FEE8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6710238A"/>
    <w:multiLevelType w:val="hybridMultilevel"/>
    <w:tmpl w:val="564E4674"/>
    <w:lvl w:ilvl="0" w:tplc="A0A66D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673E7DC7"/>
    <w:multiLevelType w:val="hybridMultilevel"/>
    <w:tmpl w:val="52F26580"/>
    <w:lvl w:ilvl="0" w:tplc="012C49A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67434108"/>
    <w:multiLevelType w:val="hybridMultilevel"/>
    <w:tmpl w:val="3788D1A8"/>
    <w:lvl w:ilvl="0" w:tplc="6268B3D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1">
    <w:nsid w:val="67C07D55"/>
    <w:multiLevelType w:val="hybridMultilevel"/>
    <w:tmpl w:val="23782A8E"/>
    <w:lvl w:ilvl="0" w:tplc="E79CF266">
      <w:start w:val="1"/>
      <w:numFmt w:val="decimal"/>
      <w:pStyle w:val="8"/>
      <w:lvlText w:val="4.6.1.1.%1"/>
      <w:lvlJc w:val="left"/>
      <w:pPr>
        <w:ind w:left="1077" w:hanging="360"/>
      </w:pPr>
      <w:rPr>
        <w:rFonts w:ascii="Times New Roman" w:hAnsi="Times New Roman" w:cs="Times New Roman" w:hint="default"/>
        <w:bCs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C0924FCE" w:tentative="1">
      <w:start w:val="1"/>
      <w:numFmt w:val="lowerLetter"/>
      <w:lvlText w:val="%2."/>
      <w:lvlJc w:val="left"/>
      <w:pPr>
        <w:ind w:left="1797" w:hanging="360"/>
      </w:pPr>
    </w:lvl>
    <w:lvl w:ilvl="2" w:tplc="007C0BD4" w:tentative="1">
      <w:start w:val="1"/>
      <w:numFmt w:val="lowerRoman"/>
      <w:lvlText w:val="%3."/>
      <w:lvlJc w:val="right"/>
      <w:pPr>
        <w:ind w:left="2517" w:hanging="180"/>
      </w:pPr>
    </w:lvl>
    <w:lvl w:ilvl="3" w:tplc="22AEC4B0" w:tentative="1">
      <w:start w:val="1"/>
      <w:numFmt w:val="decimal"/>
      <w:lvlText w:val="%4."/>
      <w:lvlJc w:val="left"/>
      <w:pPr>
        <w:ind w:left="3237" w:hanging="360"/>
      </w:pPr>
    </w:lvl>
    <w:lvl w:ilvl="4" w:tplc="3764868E" w:tentative="1">
      <w:start w:val="1"/>
      <w:numFmt w:val="lowerLetter"/>
      <w:lvlText w:val="%5."/>
      <w:lvlJc w:val="left"/>
      <w:pPr>
        <w:ind w:left="3957" w:hanging="360"/>
      </w:pPr>
    </w:lvl>
    <w:lvl w:ilvl="5" w:tplc="84FE666E" w:tentative="1">
      <w:start w:val="1"/>
      <w:numFmt w:val="lowerRoman"/>
      <w:lvlText w:val="%6."/>
      <w:lvlJc w:val="right"/>
      <w:pPr>
        <w:ind w:left="4677" w:hanging="180"/>
      </w:pPr>
    </w:lvl>
    <w:lvl w:ilvl="6" w:tplc="0E42709C" w:tentative="1">
      <w:start w:val="1"/>
      <w:numFmt w:val="decimal"/>
      <w:lvlText w:val="%7."/>
      <w:lvlJc w:val="left"/>
      <w:pPr>
        <w:ind w:left="5397" w:hanging="360"/>
      </w:pPr>
    </w:lvl>
    <w:lvl w:ilvl="7" w:tplc="7A7A3840" w:tentative="1">
      <w:start w:val="1"/>
      <w:numFmt w:val="lowerLetter"/>
      <w:lvlText w:val="%8."/>
      <w:lvlJc w:val="left"/>
      <w:pPr>
        <w:ind w:left="6117" w:hanging="360"/>
      </w:pPr>
    </w:lvl>
    <w:lvl w:ilvl="8" w:tplc="43489772" w:tentative="1">
      <w:start w:val="1"/>
      <w:numFmt w:val="lowerRoman"/>
      <w:lvlText w:val="%9."/>
      <w:lvlJc w:val="right"/>
      <w:pPr>
        <w:ind w:left="6837" w:hanging="180"/>
      </w:pPr>
    </w:lvl>
  </w:abstractNum>
  <w:abstractNum w:abstractNumId="152">
    <w:nsid w:val="680F5AAD"/>
    <w:multiLevelType w:val="hybridMultilevel"/>
    <w:tmpl w:val="6360D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3">
    <w:nsid w:val="687F1DB8"/>
    <w:multiLevelType w:val="hybridMultilevel"/>
    <w:tmpl w:val="2D243A4C"/>
    <w:lvl w:ilvl="0" w:tplc="DB18E338">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8850F93"/>
    <w:multiLevelType w:val="hybridMultilevel"/>
    <w:tmpl w:val="E8105BF6"/>
    <w:lvl w:ilvl="0" w:tplc="9B0C99A2">
      <w:numFmt w:val="decimal"/>
      <w:pStyle w:val="a9"/>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155">
    <w:nsid w:val="68E971F8"/>
    <w:multiLevelType w:val="hybridMultilevel"/>
    <w:tmpl w:val="2F506DE4"/>
    <w:lvl w:ilvl="0" w:tplc="E1BA495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6">
    <w:nsid w:val="69691E66"/>
    <w:multiLevelType w:val="hybridMultilevel"/>
    <w:tmpl w:val="B1127A12"/>
    <w:lvl w:ilvl="0" w:tplc="012C49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6A6022F5"/>
    <w:multiLevelType w:val="hybridMultilevel"/>
    <w:tmpl w:val="445CEF56"/>
    <w:lvl w:ilvl="0" w:tplc="C8E2FF1A">
      <w:start w:val="1"/>
      <w:numFmt w:val="decimal"/>
      <w:lvlText w:val="%1."/>
      <w:lvlJc w:val="left"/>
      <w:pPr>
        <w:ind w:left="598" w:hanging="360"/>
      </w:pPr>
    </w:lvl>
    <w:lvl w:ilvl="1" w:tplc="04190019">
      <w:start w:val="1"/>
      <w:numFmt w:val="lowerLetter"/>
      <w:lvlText w:val="%2."/>
      <w:lvlJc w:val="left"/>
      <w:pPr>
        <w:ind w:left="1318" w:hanging="360"/>
      </w:pPr>
    </w:lvl>
    <w:lvl w:ilvl="2" w:tplc="0419001B">
      <w:start w:val="1"/>
      <w:numFmt w:val="lowerRoman"/>
      <w:lvlText w:val="%3."/>
      <w:lvlJc w:val="right"/>
      <w:pPr>
        <w:ind w:left="2038" w:hanging="180"/>
      </w:pPr>
    </w:lvl>
    <w:lvl w:ilvl="3" w:tplc="0419000F">
      <w:start w:val="1"/>
      <w:numFmt w:val="decimal"/>
      <w:lvlText w:val="%4."/>
      <w:lvlJc w:val="left"/>
      <w:pPr>
        <w:ind w:left="2758" w:hanging="360"/>
      </w:pPr>
    </w:lvl>
    <w:lvl w:ilvl="4" w:tplc="04190019">
      <w:start w:val="1"/>
      <w:numFmt w:val="lowerLetter"/>
      <w:lvlText w:val="%5."/>
      <w:lvlJc w:val="left"/>
      <w:pPr>
        <w:ind w:left="3478" w:hanging="360"/>
      </w:pPr>
    </w:lvl>
    <w:lvl w:ilvl="5" w:tplc="0419001B">
      <w:start w:val="1"/>
      <w:numFmt w:val="lowerRoman"/>
      <w:lvlText w:val="%6."/>
      <w:lvlJc w:val="right"/>
      <w:pPr>
        <w:ind w:left="4198" w:hanging="180"/>
      </w:pPr>
    </w:lvl>
    <w:lvl w:ilvl="6" w:tplc="0419000F">
      <w:start w:val="1"/>
      <w:numFmt w:val="decimal"/>
      <w:lvlText w:val="%7."/>
      <w:lvlJc w:val="left"/>
      <w:pPr>
        <w:ind w:left="4918" w:hanging="360"/>
      </w:pPr>
    </w:lvl>
    <w:lvl w:ilvl="7" w:tplc="04190019">
      <w:start w:val="1"/>
      <w:numFmt w:val="lowerLetter"/>
      <w:lvlText w:val="%8."/>
      <w:lvlJc w:val="left"/>
      <w:pPr>
        <w:ind w:left="5638" w:hanging="360"/>
      </w:pPr>
    </w:lvl>
    <w:lvl w:ilvl="8" w:tplc="0419001B">
      <w:start w:val="1"/>
      <w:numFmt w:val="lowerRoman"/>
      <w:lvlText w:val="%9."/>
      <w:lvlJc w:val="right"/>
      <w:pPr>
        <w:ind w:left="6358" w:hanging="180"/>
      </w:pPr>
    </w:lvl>
  </w:abstractNum>
  <w:abstractNum w:abstractNumId="158">
    <w:nsid w:val="6B030F84"/>
    <w:multiLevelType w:val="hybridMultilevel"/>
    <w:tmpl w:val="C5749EC2"/>
    <w:lvl w:ilvl="0" w:tplc="D49E6E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6B794510"/>
    <w:multiLevelType w:val="hybridMultilevel"/>
    <w:tmpl w:val="3B9C1CAA"/>
    <w:lvl w:ilvl="0" w:tplc="C11A8A9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0">
    <w:nsid w:val="6C484C40"/>
    <w:multiLevelType w:val="hybridMultilevel"/>
    <w:tmpl w:val="E026C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6E79757B"/>
    <w:multiLevelType w:val="multilevel"/>
    <w:tmpl w:val="29A636CA"/>
    <w:lvl w:ilvl="0">
      <w:start w:val="1"/>
      <w:numFmt w:val="bullet"/>
      <w:pStyle w:val="AListbullet"/>
      <w:lvlText w:val="–"/>
      <w:lvlJc w:val="left"/>
      <w:pPr>
        <w:tabs>
          <w:tab w:val="num" w:pos="1191"/>
        </w:tabs>
        <w:ind w:left="0" w:firstLine="851"/>
      </w:pPr>
      <w:rPr>
        <w:rFonts w:ascii="Times New Roman" w:hAnsi="Times New Roman" w:cs="Times New Roman" w:hint="default"/>
        <w:color w:val="auto"/>
      </w:rPr>
    </w:lvl>
    <w:lvl w:ilvl="1">
      <w:start w:val="1"/>
      <w:numFmt w:val="bullet"/>
      <w:pStyle w:val="AList2bullet"/>
      <w:lvlText w:val=""/>
      <w:lvlJc w:val="left"/>
      <w:pPr>
        <w:tabs>
          <w:tab w:val="num" w:pos="1644"/>
        </w:tabs>
        <w:ind w:left="0" w:firstLine="1304"/>
      </w:pPr>
      <w:rPr>
        <w:rFonts w:ascii="Symbol" w:hAnsi="Symbol" w:hint="default"/>
        <w:color w:val="auto"/>
      </w:rPr>
    </w:lvl>
    <w:lvl w:ilvl="2">
      <w:start w:val="1"/>
      <w:numFmt w:val="bullet"/>
      <w:pStyle w:val="AList3bullet"/>
      <w:lvlText w:val=""/>
      <w:lvlJc w:val="left"/>
      <w:pPr>
        <w:tabs>
          <w:tab w:val="num" w:pos="2098"/>
        </w:tabs>
        <w:ind w:left="0" w:firstLine="1758"/>
      </w:pPr>
      <w:rPr>
        <w:rFonts w:ascii="Symbol" w:hAnsi="Symbol" w:hint="default"/>
        <w:color w:val="auto"/>
      </w:rPr>
    </w:lvl>
    <w:lvl w:ilvl="3">
      <w:start w:val="1"/>
      <w:numFmt w:val="bullet"/>
      <w:pStyle w:val="AList4bullet"/>
      <w:lvlText w:val=""/>
      <w:lvlJc w:val="left"/>
      <w:pPr>
        <w:tabs>
          <w:tab w:val="num" w:pos="2552"/>
        </w:tabs>
        <w:ind w:left="0"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2">
    <w:nsid w:val="6EB30DD8"/>
    <w:multiLevelType w:val="hybridMultilevel"/>
    <w:tmpl w:val="7D58369C"/>
    <w:lvl w:ilvl="0" w:tplc="5AC4ABA0">
      <w:start w:val="1"/>
      <w:numFmt w:val="decimal"/>
      <w:pStyle w:val="52"/>
      <w:lvlText w:val="%1"/>
      <w:lvlJc w:val="left"/>
      <w:pPr>
        <w:ind w:left="720" w:hanging="360"/>
      </w:pPr>
      <w:rPr>
        <w:rFonts w:hint="default"/>
      </w:rPr>
    </w:lvl>
    <w:lvl w:ilvl="1" w:tplc="04190001"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63">
    <w:nsid w:val="6F8D555B"/>
    <w:multiLevelType w:val="hybridMultilevel"/>
    <w:tmpl w:val="89C02B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4">
    <w:nsid w:val="71F808E2"/>
    <w:multiLevelType w:val="hybridMultilevel"/>
    <w:tmpl w:val="FCA87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722F4D00"/>
    <w:multiLevelType w:val="hybridMultilevel"/>
    <w:tmpl w:val="4FBC3D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6">
    <w:nsid w:val="733F06EB"/>
    <w:multiLevelType w:val="hybridMultilevel"/>
    <w:tmpl w:val="C9485266"/>
    <w:lvl w:ilvl="0" w:tplc="73A294D8">
      <w:start w:val="1"/>
      <w:numFmt w:val="decimal"/>
      <w:lvlText w:val="%1."/>
      <w:lvlJc w:val="left"/>
      <w:pPr>
        <w:ind w:left="360" w:hanging="360"/>
      </w:pPr>
      <w:rPr>
        <w:rFonts w:ascii="Times New Roman" w:hAnsi="Times New Roman" w:cs="Times New Roman" w:hint="default"/>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7">
    <w:nsid w:val="73CD60CA"/>
    <w:multiLevelType w:val="hybridMultilevel"/>
    <w:tmpl w:val="ED9C034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nsid w:val="742D30F7"/>
    <w:multiLevelType w:val="hybridMultilevel"/>
    <w:tmpl w:val="223A97EE"/>
    <w:lvl w:ilvl="0" w:tplc="0419000F">
      <w:start w:val="1"/>
      <w:numFmt w:val="bullet"/>
      <w:pStyle w:val="aa"/>
      <w:lvlText w:val=""/>
      <w:lvlJc w:val="left"/>
      <w:pPr>
        <w:ind w:left="7307"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9">
    <w:nsid w:val="747F7232"/>
    <w:multiLevelType w:val="hybridMultilevel"/>
    <w:tmpl w:val="61CC465E"/>
    <w:lvl w:ilvl="0" w:tplc="3BE66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760D1FFD"/>
    <w:multiLevelType w:val="hybridMultilevel"/>
    <w:tmpl w:val="5E3454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1">
    <w:nsid w:val="763C4004"/>
    <w:multiLevelType w:val="multilevel"/>
    <w:tmpl w:val="BFA4A9DE"/>
    <w:styleLink w:val="ArticleSection7"/>
    <w:lvl w:ilvl="0">
      <w:start w:val="1"/>
      <w:numFmt w:val="decimal"/>
      <w:pStyle w:val="17"/>
      <w:lvlText w:val="%1."/>
      <w:lvlJc w:val="left"/>
      <w:pPr>
        <w:tabs>
          <w:tab w:val="num" w:pos="-368"/>
        </w:tabs>
        <w:ind w:left="-8" w:hanging="360"/>
      </w:pPr>
      <w:rPr>
        <w:rFonts w:cs="Times New Roman" w:hint="default"/>
      </w:rPr>
    </w:lvl>
    <w:lvl w:ilvl="1">
      <w:start w:val="1"/>
      <w:numFmt w:val="decimal"/>
      <w:pStyle w:val="2b"/>
      <w:lvlText w:val="%1.%2."/>
      <w:lvlJc w:val="left"/>
      <w:pPr>
        <w:tabs>
          <w:tab w:val="num" w:pos="-368"/>
        </w:tabs>
        <w:ind w:left="424" w:hanging="435"/>
      </w:pPr>
      <w:rPr>
        <w:rFonts w:cs="Times New Roman" w:hint="default"/>
      </w:rPr>
    </w:lvl>
    <w:lvl w:ilvl="2">
      <w:start w:val="1"/>
      <w:numFmt w:val="decimal"/>
      <w:pStyle w:val="39"/>
      <w:lvlText w:val="%1.%2.%3."/>
      <w:lvlJc w:val="left"/>
      <w:pPr>
        <w:tabs>
          <w:tab w:val="num" w:pos="-368"/>
        </w:tabs>
        <w:ind w:left="856" w:hanging="504"/>
      </w:pPr>
      <w:rPr>
        <w:rFonts w:cs="Times New Roman" w:hint="default"/>
      </w:rPr>
    </w:lvl>
    <w:lvl w:ilvl="3">
      <w:start w:val="1"/>
      <w:numFmt w:val="decimal"/>
      <w:pStyle w:val="45"/>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172">
    <w:nsid w:val="78510A21"/>
    <w:multiLevelType w:val="hybridMultilevel"/>
    <w:tmpl w:val="6360D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3">
    <w:nsid w:val="78D3078B"/>
    <w:multiLevelType w:val="multilevel"/>
    <w:tmpl w:val="F7784BFE"/>
    <w:lvl w:ilvl="0">
      <w:start w:val="1"/>
      <w:numFmt w:val="decimal"/>
      <w:pStyle w:val="OTRHeading1"/>
      <w:lvlText w:val="%1"/>
      <w:lvlJc w:val="left"/>
      <w:pPr>
        <w:tabs>
          <w:tab w:val="num" w:pos="432"/>
        </w:tabs>
        <w:ind w:left="432" w:hanging="432"/>
      </w:pPr>
      <w:rPr>
        <w:rFonts w:hint="default"/>
      </w:rPr>
    </w:lvl>
    <w:lvl w:ilvl="1">
      <w:start w:val="1"/>
      <w:numFmt w:val="decimal"/>
      <w:pStyle w:val="OTRHeading2"/>
      <w:lvlText w:val="%1.%2"/>
      <w:lvlJc w:val="left"/>
      <w:pPr>
        <w:tabs>
          <w:tab w:val="num" w:pos="1022"/>
        </w:tabs>
        <w:ind w:left="1022" w:hanging="576"/>
      </w:pPr>
      <w:rPr>
        <w:rFonts w:hint="default"/>
      </w:rPr>
    </w:lvl>
    <w:lvl w:ilvl="2">
      <w:start w:val="1"/>
      <w:numFmt w:val="decimal"/>
      <w:pStyle w:val="OTRHeading3"/>
      <w:lvlText w:val="%1.%2.%3"/>
      <w:lvlJc w:val="left"/>
      <w:pPr>
        <w:tabs>
          <w:tab w:val="num" w:pos="1173"/>
        </w:tabs>
        <w:ind w:left="1173" w:hanging="907"/>
      </w:pPr>
      <w:rPr>
        <w:rFonts w:hint="default"/>
      </w:rPr>
    </w:lvl>
    <w:lvl w:ilvl="3">
      <w:start w:val="1"/>
      <w:numFmt w:val="decimal"/>
      <w:pStyle w:val="OTRHeading4"/>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Heading5"/>
      <w:lvlText w:val="%1.%2.%3.%4.%5"/>
      <w:lvlJc w:val="left"/>
      <w:pPr>
        <w:tabs>
          <w:tab w:val="num" w:pos="1324"/>
        </w:tabs>
        <w:ind w:left="1324" w:hanging="964"/>
      </w:pPr>
      <w:rPr>
        <w:rFonts w:ascii="Times New Roman" w:hAnsi="Times New Roman" w:hint="default"/>
        <w:b w:val="0"/>
        <w:sz w:val="24"/>
        <w:szCs w:val="24"/>
      </w:rPr>
    </w:lvl>
    <w:lvl w:ilvl="5">
      <w:start w:val="1"/>
      <w:numFmt w:val="decimal"/>
      <w:pStyle w:val="OTRHeading6"/>
      <w:lvlText w:val="%1.%2.%3.%4.%5.%6"/>
      <w:lvlJc w:val="left"/>
      <w:pPr>
        <w:tabs>
          <w:tab w:val="num" w:pos="1418"/>
        </w:tabs>
        <w:ind w:left="1418" w:hanging="1152"/>
      </w:pPr>
      <w:rPr>
        <w:rFonts w:ascii="Times New Roman" w:hAnsi="Times New Roman" w:hint="default"/>
        <w:b w:val="0"/>
        <w:i w:val="0"/>
        <w:sz w:val="24"/>
        <w:szCs w:val="24"/>
      </w:rPr>
    </w:lvl>
    <w:lvl w:ilvl="6">
      <w:start w:val="1"/>
      <w:numFmt w:val="decimal"/>
      <w:pStyle w:val="OTRHeading7"/>
      <w:lvlText w:val="%1.%2.%3.%4.%5.%6.%7"/>
      <w:lvlJc w:val="left"/>
      <w:pPr>
        <w:tabs>
          <w:tab w:val="num" w:pos="1562"/>
        </w:tabs>
        <w:ind w:left="1562" w:hanging="1296"/>
      </w:pPr>
      <w:rPr>
        <w:rFonts w:hint="default"/>
      </w:rPr>
    </w:lvl>
    <w:lvl w:ilvl="7">
      <w:start w:val="1"/>
      <w:numFmt w:val="decimal"/>
      <w:pStyle w:val="OTRHeading8"/>
      <w:lvlText w:val="%1.%2.%3.%4.%5.%6.%7.%8"/>
      <w:lvlJc w:val="left"/>
      <w:pPr>
        <w:tabs>
          <w:tab w:val="num" w:pos="1706"/>
        </w:tabs>
        <w:ind w:left="1706" w:hanging="1440"/>
      </w:pPr>
      <w:rPr>
        <w:rFonts w:hint="default"/>
      </w:rPr>
    </w:lvl>
    <w:lvl w:ilvl="8">
      <w:start w:val="1"/>
      <w:numFmt w:val="decimal"/>
      <w:pStyle w:val="OTRHeading9"/>
      <w:lvlText w:val="%1.%2.%3.%4.%5.%6.%7.%8.%9"/>
      <w:lvlJc w:val="left"/>
      <w:pPr>
        <w:tabs>
          <w:tab w:val="num" w:pos="1850"/>
        </w:tabs>
        <w:ind w:left="1850" w:hanging="1584"/>
      </w:pPr>
      <w:rPr>
        <w:rFonts w:hint="default"/>
      </w:rPr>
    </w:lvl>
  </w:abstractNum>
  <w:abstractNum w:abstractNumId="174">
    <w:nsid w:val="79A61C84"/>
    <w:multiLevelType w:val="hybridMultilevel"/>
    <w:tmpl w:val="6360D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5">
    <w:nsid w:val="79D3561B"/>
    <w:multiLevelType w:val="hybridMultilevel"/>
    <w:tmpl w:val="C0061C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6">
    <w:nsid w:val="7A4D4128"/>
    <w:multiLevelType w:val="hybridMultilevel"/>
    <w:tmpl w:val="7040D240"/>
    <w:lvl w:ilvl="0" w:tplc="7CE497C2">
      <w:start w:val="1"/>
      <w:numFmt w:val="decimal"/>
      <w:lvlText w:val="%1."/>
      <w:lvlJc w:val="left"/>
      <w:pPr>
        <w:ind w:left="645" w:hanging="360"/>
      </w:pPr>
    </w:lvl>
    <w:lvl w:ilvl="1" w:tplc="04190019">
      <w:start w:val="1"/>
      <w:numFmt w:val="lowerLetter"/>
      <w:lvlText w:val="%2."/>
      <w:lvlJc w:val="left"/>
      <w:pPr>
        <w:ind w:left="1365" w:hanging="360"/>
      </w:pPr>
    </w:lvl>
    <w:lvl w:ilvl="2" w:tplc="0419001B">
      <w:start w:val="1"/>
      <w:numFmt w:val="lowerRoman"/>
      <w:lvlText w:val="%3."/>
      <w:lvlJc w:val="right"/>
      <w:pPr>
        <w:ind w:left="2085" w:hanging="180"/>
      </w:pPr>
    </w:lvl>
    <w:lvl w:ilvl="3" w:tplc="0419000F">
      <w:start w:val="1"/>
      <w:numFmt w:val="decimal"/>
      <w:lvlText w:val="%4."/>
      <w:lvlJc w:val="left"/>
      <w:pPr>
        <w:ind w:left="2805" w:hanging="360"/>
      </w:pPr>
    </w:lvl>
    <w:lvl w:ilvl="4" w:tplc="04190019">
      <w:start w:val="1"/>
      <w:numFmt w:val="lowerLetter"/>
      <w:lvlText w:val="%5."/>
      <w:lvlJc w:val="left"/>
      <w:pPr>
        <w:ind w:left="3525" w:hanging="360"/>
      </w:pPr>
    </w:lvl>
    <w:lvl w:ilvl="5" w:tplc="0419001B">
      <w:start w:val="1"/>
      <w:numFmt w:val="lowerRoman"/>
      <w:lvlText w:val="%6."/>
      <w:lvlJc w:val="right"/>
      <w:pPr>
        <w:ind w:left="4245" w:hanging="180"/>
      </w:pPr>
    </w:lvl>
    <w:lvl w:ilvl="6" w:tplc="0419000F">
      <w:start w:val="1"/>
      <w:numFmt w:val="decimal"/>
      <w:lvlText w:val="%7."/>
      <w:lvlJc w:val="left"/>
      <w:pPr>
        <w:ind w:left="4965" w:hanging="360"/>
      </w:pPr>
    </w:lvl>
    <w:lvl w:ilvl="7" w:tplc="04190019">
      <w:start w:val="1"/>
      <w:numFmt w:val="lowerLetter"/>
      <w:lvlText w:val="%8."/>
      <w:lvlJc w:val="left"/>
      <w:pPr>
        <w:ind w:left="5685" w:hanging="360"/>
      </w:pPr>
    </w:lvl>
    <w:lvl w:ilvl="8" w:tplc="0419001B">
      <w:start w:val="1"/>
      <w:numFmt w:val="lowerRoman"/>
      <w:lvlText w:val="%9."/>
      <w:lvlJc w:val="right"/>
      <w:pPr>
        <w:ind w:left="6405" w:hanging="180"/>
      </w:pPr>
    </w:lvl>
  </w:abstractNum>
  <w:abstractNum w:abstractNumId="177">
    <w:nsid w:val="7B5B211A"/>
    <w:multiLevelType w:val="hybridMultilevel"/>
    <w:tmpl w:val="3B601E6A"/>
    <w:lvl w:ilvl="0" w:tplc="9BCC62A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8">
    <w:nsid w:val="7B634835"/>
    <w:multiLevelType w:val="hybridMultilevel"/>
    <w:tmpl w:val="CD1A10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9">
    <w:nsid w:val="7BEA0241"/>
    <w:multiLevelType w:val="hybridMultilevel"/>
    <w:tmpl w:val="623E5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7CA92A1F"/>
    <w:multiLevelType w:val="hybridMultilevel"/>
    <w:tmpl w:val="8B049334"/>
    <w:lvl w:ilvl="0" w:tplc="E1286B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7E6E0DA1"/>
    <w:multiLevelType w:val="hybridMultilevel"/>
    <w:tmpl w:val="4A1C9726"/>
    <w:lvl w:ilvl="0" w:tplc="F1F86AA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2">
    <w:nsid w:val="7E8171EE"/>
    <w:multiLevelType w:val="hybridMultilevel"/>
    <w:tmpl w:val="079A14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70"/>
  </w:num>
  <w:num w:numId="3">
    <w:abstractNumId w:val="84"/>
  </w:num>
  <w:num w:numId="4">
    <w:abstractNumId w:val="25"/>
  </w:num>
  <w:num w:numId="5">
    <w:abstractNumId w:val="124"/>
  </w:num>
  <w:num w:numId="6">
    <w:abstractNumId w:val="168"/>
  </w:num>
  <w:num w:numId="7">
    <w:abstractNumId w:val="21"/>
  </w:num>
  <w:num w:numId="8">
    <w:abstractNumId w:val="67"/>
  </w:num>
  <w:num w:numId="9">
    <w:abstractNumId w:val="40"/>
  </w:num>
  <w:num w:numId="10">
    <w:abstractNumId w:val="173"/>
  </w:num>
  <w:num w:numId="11">
    <w:abstractNumId w:val="28"/>
  </w:num>
  <w:num w:numId="12">
    <w:abstractNumId w:val="62"/>
  </w:num>
  <w:num w:numId="13">
    <w:abstractNumId w:val="91"/>
  </w:num>
  <w:num w:numId="14">
    <w:abstractNumId w:val="23"/>
  </w:num>
  <w:num w:numId="15">
    <w:abstractNumId w:val="109"/>
  </w:num>
  <w:num w:numId="16">
    <w:abstractNumId w:val="33"/>
  </w:num>
  <w:num w:numId="17">
    <w:abstractNumId w:val="151"/>
  </w:num>
  <w:num w:numId="18">
    <w:abstractNumId w:val="27"/>
  </w:num>
  <w:num w:numId="19">
    <w:abstractNumId w:val="34"/>
  </w:num>
  <w:num w:numId="20">
    <w:abstractNumId w:val="10"/>
  </w:num>
  <w:num w:numId="21">
    <w:abstractNumId w:val="45"/>
  </w:num>
  <w:num w:numId="22">
    <w:abstractNumId w:val="161"/>
  </w:num>
  <w:num w:numId="23">
    <w:abstractNumId w:val="11"/>
  </w:num>
  <w:num w:numId="24">
    <w:abstractNumId w:val="87"/>
  </w:num>
  <w:num w:numId="25">
    <w:abstractNumId w:val="118"/>
  </w:num>
  <w:num w:numId="26">
    <w:abstractNumId w:val="6"/>
  </w:num>
  <w:num w:numId="27">
    <w:abstractNumId w:val="5"/>
  </w:num>
  <w:num w:numId="28">
    <w:abstractNumId w:val="4"/>
  </w:num>
  <w:num w:numId="29">
    <w:abstractNumId w:val="3"/>
  </w:num>
  <w:num w:numId="30">
    <w:abstractNumId w:val="7"/>
  </w:num>
  <w:num w:numId="31">
    <w:abstractNumId w:val="2"/>
  </w:num>
  <w:num w:numId="32">
    <w:abstractNumId w:val="1"/>
  </w:num>
  <w:num w:numId="33">
    <w:abstractNumId w:val="0"/>
  </w:num>
  <w:num w:numId="34">
    <w:abstractNumId w:val="78"/>
  </w:num>
  <w:num w:numId="35">
    <w:abstractNumId w:val="162"/>
  </w:num>
  <w:num w:numId="36">
    <w:abstractNumId w:val="58"/>
  </w:num>
  <w:num w:numId="37">
    <w:abstractNumId w:val="114"/>
  </w:num>
  <w:num w:numId="38">
    <w:abstractNumId w:val="107"/>
  </w:num>
  <w:num w:numId="39">
    <w:abstractNumId w:val="135"/>
  </w:num>
  <w:num w:numId="40">
    <w:abstractNumId w:val="104"/>
  </w:num>
  <w:num w:numId="41">
    <w:abstractNumId w:val="66"/>
  </w:num>
  <w:num w:numId="42">
    <w:abstractNumId w:val="13"/>
  </w:num>
  <w:num w:numId="43">
    <w:abstractNumId w:val="22"/>
  </w:num>
  <w:num w:numId="44">
    <w:abstractNumId w:val="42"/>
  </w:num>
  <w:num w:numId="45">
    <w:abstractNumId w:val="36"/>
  </w:num>
  <w:num w:numId="46">
    <w:abstractNumId w:val="43"/>
  </w:num>
  <w:num w:numId="47">
    <w:abstractNumId w:val="124"/>
    <w:lvlOverride w:ilvl="0">
      <w:startOverride w:val="1"/>
    </w:lvlOverride>
  </w:num>
  <w:num w:numId="48">
    <w:abstractNumId w:val="124"/>
    <w:lvlOverride w:ilvl="0">
      <w:startOverride w:val="1"/>
    </w:lvlOverride>
  </w:num>
  <w:num w:numId="49">
    <w:abstractNumId w:val="124"/>
    <w:lvlOverride w:ilvl="0">
      <w:startOverride w:val="1"/>
    </w:lvlOverride>
  </w:num>
  <w:num w:numId="50">
    <w:abstractNumId w:val="124"/>
    <w:lvlOverride w:ilvl="0">
      <w:startOverride w:val="1"/>
    </w:lvlOverride>
  </w:num>
  <w:num w:numId="51">
    <w:abstractNumId w:val="124"/>
    <w:lvlOverride w:ilvl="0">
      <w:startOverride w:val="1"/>
    </w:lvlOverride>
  </w:num>
  <w:num w:numId="52">
    <w:abstractNumId w:val="124"/>
    <w:lvlOverride w:ilvl="0">
      <w:startOverride w:val="1"/>
    </w:lvlOverride>
  </w:num>
  <w:num w:numId="53">
    <w:abstractNumId w:val="53"/>
  </w:num>
  <w:num w:numId="54">
    <w:abstractNumId w:val="94"/>
  </w:num>
  <w:num w:numId="55">
    <w:abstractNumId w:val="139"/>
  </w:num>
  <w:num w:numId="56">
    <w:abstractNumId w:val="181"/>
  </w:num>
  <w:num w:numId="57">
    <w:abstractNumId w:val="177"/>
  </w:num>
  <w:num w:numId="58">
    <w:abstractNumId w:val="73"/>
  </w:num>
  <w:num w:numId="59">
    <w:abstractNumId w:val="96"/>
  </w:num>
  <w:num w:numId="60">
    <w:abstractNumId w:val="41"/>
  </w:num>
  <w:num w:numId="61">
    <w:abstractNumId w:val="106"/>
  </w:num>
  <w:num w:numId="62">
    <w:abstractNumId w:val="55"/>
  </w:num>
  <w:num w:numId="63">
    <w:abstractNumId w:val="119"/>
  </w:num>
  <w:num w:numId="64">
    <w:abstractNumId w:val="15"/>
  </w:num>
  <w:num w:numId="65">
    <w:abstractNumId w:val="95"/>
  </w:num>
  <w:num w:numId="66">
    <w:abstractNumId w:val="180"/>
  </w:num>
  <w:num w:numId="67">
    <w:abstractNumId w:val="77"/>
  </w:num>
  <w:num w:numId="68">
    <w:abstractNumId w:val="64"/>
  </w:num>
  <w:num w:numId="69">
    <w:abstractNumId w:val="83"/>
  </w:num>
  <w:num w:numId="70">
    <w:abstractNumId w:val="166"/>
  </w:num>
  <w:num w:numId="71">
    <w:abstractNumId w:val="170"/>
  </w:num>
  <w:num w:numId="72">
    <w:abstractNumId w:val="144"/>
  </w:num>
  <w:num w:numId="73">
    <w:abstractNumId w:val="124"/>
    <w:lvlOverride w:ilvl="0">
      <w:startOverride w:val="1"/>
    </w:lvlOverride>
  </w:num>
  <w:num w:numId="74">
    <w:abstractNumId w:val="127"/>
  </w:num>
  <w:num w:numId="75">
    <w:abstractNumId w:val="129"/>
  </w:num>
  <w:num w:numId="76">
    <w:abstractNumId w:val="128"/>
  </w:num>
  <w:num w:numId="77">
    <w:abstractNumId w:val="167"/>
  </w:num>
  <w:num w:numId="78">
    <w:abstractNumId w:val="88"/>
  </w:num>
  <w:num w:numId="79">
    <w:abstractNumId w:val="131"/>
  </w:num>
  <w:num w:numId="80">
    <w:abstractNumId w:val="154"/>
  </w:num>
  <w:num w:numId="81">
    <w:abstractNumId w:val="16"/>
  </w:num>
  <w:num w:numId="82">
    <w:abstractNumId w:val="35"/>
  </w:num>
  <w:num w:numId="83">
    <w:abstractNumId w:val="50"/>
  </w:num>
  <w:num w:numId="84">
    <w:abstractNumId w:val="171"/>
  </w:num>
  <w:num w:numId="85">
    <w:abstractNumId w:val="63"/>
  </w:num>
  <w:num w:numId="86">
    <w:abstractNumId w:val="61"/>
  </w:num>
  <w:num w:numId="87">
    <w:abstractNumId w:val="79"/>
  </w:num>
  <w:num w:numId="88">
    <w:abstractNumId w:val="56"/>
  </w:num>
  <w:num w:numId="89">
    <w:abstractNumId w:val="52"/>
  </w:num>
  <w:num w:numId="90">
    <w:abstractNumId w:val="179"/>
  </w:num>
  <w:num w:numId="91">
    <w:abstractNumId w:val="75"/>
  </w:num>
  <w:num w:numId="92">
    <w:abstractNumId w:val="98"/>
  </w:num>
  <w:num w:numId="93">
    <w:abstractNumId w:val="39"/>
  </w:num>
  <w:num w:numId="94">
    <w:abstractNumId w:val="136"/>
  </w:num>
  <w:num w:numId="95">
    <w:abstractNumId w:val="100"/>
  </w:num>
  <w:num w:numId="96">
    <w:abstractNumId w:val="54"/>
  </w:num>
  <w:num w:numId="97">
    <w:abstractNumId w:val="160"/>
  </w:num>
  <w:num w:numId="98">
    <w:abstractNumId w:val="18"/>
  </w:num>
  <w:num w:numId="99">
    <w:abstractNumId w:val="46"/>
  </w:num>
  <w:num w:numId="100">
    <w:abstractNumId w:val="80"/>
  </w:num>
  <w:num w:numId="101">
    <w:abstractNumId w:val="57"/>
  </w:num>
  <w:num w:numId="102">
    <w:abstractNumId w:val="76"/>
  </w:num>
  <w:num w:numId="103">
    <w:abstractNumId w:val="72"/>
  </w:num>
  <w:num w:numId="104">
    <w:abstractNumId w:val="147"/>
  </w:num>
  <w:num w:numId="105">
    <w:abstractNumId w:val="164"/>
  </w:num>
  <w:num w:numId="106">
    <w:abstractNumId w:val="110"/>
  </w:num>
  <w:num w:numId="107">
    <w:abstractNumId w:val="9"/>
  </w:num>
  <w:num w:numId="108">
    <w:abstractNumId w:val="182"/>
  </w:num>
  <w:num w:numId="109">
    <w:abstractNumId w:val="101"/>
  </w:num>
  <w:num w:numId="110">
    <w:abstractNumId w:val="32"/>
  </w:num>
  <w:num w:numId="111">
    <w:abstractNumId w:val="178"/>
  </w:num>
  <w:num w:numId="112">
    <w:abstractNumId w:val="60"/>
  </w:num>
  <w:num w:numId="113">
    <w:abstractNumId w:val="29"/>
  </w:num>
  <w:num w:numId="114">
    <w:abstractNumId w:val="37"/>
  </w:num>
  <w:num w:numId="115">
    <w:abstractNumId w:val="49"/>
  </w:num>
  <w:num w:numId="116">
    <w:abstractNumId w:val="17"/>
  </w:num>
  <w:num w:numId="117">
    <w:abstractNumId w:val="12"/>
  </w:num>
  <w:num w:numId="118">
    <w:abstractNumId w:val="126"/>
  </w:num>
  <w:num w:numId="119">
    <w:abstractNumId w:val="122"/>
  </w:num>
  <w:num w:numId="120">
    <w:abstractNumId w:val="163"/>
  </w:num>
  <w:num w:numId="121">
    <w:abstractNumId w:val="145"/>
  </w:num>
  <w:num w:numId="122">
    <w:abstractNumId w:val="121"/>
  </w:num>
  <w:num w:numId="123">
    <w:abstractNumId w:val="71"/>
  </w:num>
  <w:num w:numId="124">
    <w:abstractNumId w:val="103"/>
  </w:num>
  <w:num w:numId="125">
    <w:abstractNumId w:val="143"/>
  </w:num>
  <w:num w:numId="126">
    <w:abstractNumId w:val="123"/>
  </w:num>
  <w:num w:numId="127">
    <w:abstractNumId w:val="19"/>
  </w:num>
  <w:num w:numId="128">
    <w:abstractNumId w:val="93"/>
  </w:num>
  <w:num w:numId="129">
    <w:abstractNumId w:val="156"/>
  </w:num>
  <w:num w:numId="130">
    <w:abstractNumId w:val="81"/>
  </w:num>
  <w:num w:numId="131">
    <w:abstractNumId w:val="65"/>
  </w:num>
  <w:num w:numId="132">
    <w:abstractNumId w:val="97"/>
  </w:num>
  <w:num w:numId="133">
    <w:abstractNumId w:val="113"/>
  </w:num>
  <w:num w:numId="134">
    <w:abstractNumId w:val="86"/>
  </w:num>
  <w:num w:numId="135">
    <w:abstractNumId w:val="51"/>
  </w:num>
  <w:num w:numId="136">
    <w:abstractNumId w:val="138"/>
  </w:num>
  <w:num w:numId="137">
    <w:abstractNumId w:val="120"/>
  </w:num>
  <w:num w:numId="138">
    <w:abstractNumId w:val="149"/>
  </w:num>
  <w:num w:numId="139">
    <w:abstractNumId w:val="82"/>
  </w:num>
  <w:num w:numId="140">
    <w:abstractNumId w:val="115"/>
  </w:num>
  <w:num w:numId="141">
    <w:abstractNumId w:val="140"/>
  </w:num>
  <w:num w:numId="142">
    <w:abstractNumId w:val="89"/>
  </w:num>
  <w:num w:numId="143">
    <w:abstractNumId w:val="125"/>
  </w:num>
  <w:num w:numId="144">
    <w:abstractNumId w:val="137"/>
  </w:num>
  <w:num w:numId="145">
    <w:abstractNumId w:val="165"/>
  </w:num>
  <w:num w:numId="146">
    <w:abstractNumId w:val="38"/>
  </w:num>
  <w:num w:numId="1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59"/>
  </w:num>
  <w:num w:numId="158">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85"/>
  </w:num>
  <w:num w:numId="167">
    <w:abstractNumId w:val="44"/>
  </w:num>
  <w:num w:numId="168">
    <w:abstractNumId w:val="116"/>
  </w:num>
  <w:num w:numId="169">
    <w:abstractNumId w:val="74"/>
  </w:num>
  <w:num w:numId="170">
    <w:abstractNumId w:val="90"/>
  </w:num>
  <w:num w:numId="171">
    <w:abstractNumId w:val="133"/>
  </w:num>
  <w:num w:numId="172">
    <w:abstractNumId w:val="92"/>
  </w:num>
  <w:num w:numId="173">
    <w:abstractNumId w:val="68"/>
  </w:num>
  <w:num w:numId="174">
    <w:abstractNumId w:val="153"/>
  </w:num>
  <w:num w:numId="175">
    <w:abstractNumId w:val="26"/>
  </w:num>
  <w:num w:numId="176">
    <w:abstractNumId w:val="48"/>
  </w:num>
  <w:num w:numId="177">
    <w:abstractNumId w:val="169"/>
  </w:num>
  <w:num w:numId="178">
    <w:abstractNumId w:val="102"/>
  </w:num>
  <w:num w:numId="179">
    <w:abstractNumId w:val="111"/>
  </w:num>
  <w:num w:numId="180">
    <w:abstractNumId w:val="132"/>
  </w:num>
  <w:num w:numId="181">
    <w:abstractNumId w:val="142"/>
  </w:num>
  <w:num w:numId="182">
    <w:abstractNumId w:val="105"/>
  </w:num>
  <w:num w:numId="183">
    <w:abstractNumId w:val="141"/>
  </w:num>
  <w:num w:numId="184">
    <w:abstractNumId w:val="47"/>
  </w:num>
  <w:num w:numId="185">
    <w:abstractNumId w:val="158"/>
  </w:num>
  <w:num w:numId="186">
    <w:abstractNumId w:val="99"/>
  </w:num>
  <w:num w:numId="187">
    <w:abstractNumId w:val="148"/>
  </w:num>
  <w:num w:numId="188">
    <w:abstractNumId w:val="117"/>
  </w:num>
  <w:num w:numId="189">
    <w:abstractNumId w:val="134"/>
  </w:num>
  <w:num w:numId="190">
    <w:abstractNumId w:val="130"/>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linkStyle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811"/>
    <w:rsid w:val="00000B29"/>
    <w:rsid w:val="00000F6D"/>
    <w:rsid w:val="00001537"/>
    <w:rsid w:val="00003B46"/>
    <w:rsid w:val="00004D51"/>
    <w:rsid w:val="0000516C"/>
    <w:rsid w:val="000053F5"/>
    <w:rsid w:val="0000561A"/>
    <w:rsid w:val="00005A3F"/>
    <w:rsid w:val="0000609B"/>
    <w:rsid w:val="00006E9D"/>
    <w:rsid w:val="0001043A"/>
    <w:rsid w:val="000107AB"/>
    <w:rsid w:val="00010838"/>
    <w:rsid w:val="0001148D"/>
    <w:rsid w:val="00011FD9"/>
    <w:rsid w:val="0001234F"/>
    <w:rsid w:val="00012543"/>
    <w:rsid w:val="00012B75"/>
    <w:rsid w:val="0001339D"/>
    <w:rsid w:val="00013674"/>
    <w:rsid w:val="0001377D"/>
    <w:rsid w:val="00013A81"/>
    <w:rsid w:val="00013C9B"/>
    <w:rsid w:val="000141C4"/>
    <w:rsid w:val="000147C0"/>
    <w:rsid w:val="00014E4E"/>
    <w:rsid w:val="00015334"/>
    <w:rsid w:val="00015358"/>
    <w:rsid w:val="00015599"/>
    <w:rsid w:val="000156D1"/>
    <w:rsid w:val="00015FA4"/>
    <w:rsid w:val="0001600C"/>
    <w:rsid w:val="00016096"/>
    <w:rsid w:val="000165E8"/>
    <w:rsid w:val="00017277"/>
    <w:rsid w:val="00020403"/>
    <w:rsid w:val="00020D95"/>
    <w:rsid w:val="00021182"/>
    <w:rsid w:val="0002160B"/>
    <w:rsid w:val="000228D4"/>
    <w:rsid w:val="00022926"/>
    <w:rsid w:val="00022D26"/>
    <w:rsid w:val="00022FBD"/>
    <w:rsid w:val="00023877"/>
    <w:rsid w:val="00023D77"/>
    <w:rsid w:val="00023E0C"/>
    <w:rsid w:val="00023E3A"/>
    <w:rsid w:val="00023EC4"/>
    <w:rsid w:val="0002445F"/>
    <w:rsid w:val="00024685"/>
    <w:rsid w:val="000249C5"/>
    <w:rsid w:val="00024C95"/>
    <w:rsid w:val="00024D89"/>
    <w:rsid w:val="00024DFF"/>
    <w:rsid w:val="0002510E"/>
    <w:rsid w:val="00025121"/>
    <w:rsid w:val="00025A20"/>
    <w:rsid w:val="00025BEB"/>
    <w:rsid w:val="000262CB"/>
    <w:rsid w:val="000268E7"/>
    <w:rsid w:val="00027224"/>
    <w:rsid w:val="00027C19"/>
    <w:rsid w:val="00027CA2"/>
    <w:rsid w:val="000317DF"/>
    <w:rsid w:val="000319BE"/>
    <w:rsid w:val="000319D4"/>
    <w:rsid w:val="00031EA6"/>
    <w:rsid w:val="0003232F"/>
    <w:rsid w:val="0003343E"/>
    <w:rsid w:val="00033610"/>
    <w:rsid w:val="00033925"/>
    <w:rsid w:val="000339A7"/>
    <w:rsid w:val="000346C6"/>
    <w:rsid w:val="000350DA"/>
    <w:rsid w:val="00035232"/>
    <w:rsid w:val="00035D99"/>
    <w:rsid w:val="00037882"/>
    <w:rsid w:val="00037CF2"/>
    <w:rsid w:val="00040AE7"/>
    <w:rsid w:val="0004161E"/>
    <w:rsid w:val="00041886"/>
    <w:rsid w:val="00042B48"/>
    <w:rsid w:val="00042CF6"/>
    <w:rsid w:val="00042FA3"/>
    <w:rsid w:val="000430D8"/>
    <w:rsid w:val="00043C95"/>
    <w:rsid w:val="00043DB8"/>
    <w:rsid w:val="000445C6"/>
    <w:rsid w:val="00044CAD"/>
    <w:rsid w:val="0004500A"/>
    <w:rsid w:val="000450C1"/>
    <w:rsid w:val="0004596D"/>
    <w:rsid w:val="00046701"/>
    <w:rsid w:val="00047306"/>
    <w:rsid w:val="00047E2D"/>
    <w:rsid w:val="00050554"/>
    <w:rsid w:val="00052338"/>
    <w:rsid w:val="000533DD"/>
    <w:rsid w:val="00053758"/>
    <w:rsid w:val="00054206"/>
    <w:rsid w:val="00055072"/>
    <w:rsid w:val="00055ABF"/>
    <w:rsid w:val="00055F70"/>
    <w:rsid w:val="000565AB"/>
    <w:rsid w:val="00056D69"/>
    <w:rsid w:val="00060055"/>
    <w:rsid w:val="000604A0"/>
    <w:rsid w:val="000610ED"/>
    <w:rsid w:val="00061B78"/>
    <w:rsid w:val="000627D1"/>
    <w:rsid w:val="00063616"/>
    <w:rsid w:val="000649A0"/>
    <w:rsid w:val="00065238"/>
    <w:rsid w:val="00065BB6"/>
    <w:rsid w:val="00065F76"/>
    <w:rsid w:val="00066CEA"/>
    <w:rsid w:val="00066DF4"/>
    <w:rsid w:val="0006716B"/>
    <w:rsid w:val="0007011D"/>
    <w:rsid w:val="00070873"/>
    <w:rsid w:val="00070DF9"/>
    <w:rsid w:val="000712D0"/>
    <w:rsid w:val="00071E82"/>
    <w:rsid w:val="0007228B"/>
    <w:rsid w:val="000732A9"/>
    <w:rsid w:val="00073A70"/>
    <w:rsid w:val="00073C5C"/>
    <w:rsid w:val="000746DE"/>
    <w:rsid w:val="00074940"/>
    <w:rsid w:val="0007497E"/>
    <w:rsid w:val="00075E4F"/>
    <w:rsid w:val="000760CA"/>
    <w:rsid w:val="00076648"/>
    <w:rsid w:val="000801CF"/>
    <w:rsid w:val="00080D13"/>
    <w:rsid w:val="0008113B"/>
    <w:rsid w:val="00081A52"/>
    <w:rsid w:val="00081A8A"/>
    <w:rsid w:val="00081C90"/>
    <w:rsid w:val="00081ED9"/>
    <w:rsid w:val="000822FB"/>
    <w:rsid w:val="00082337"/>
    <w:rsid w:val="00082344"/>
    <w:rsid w:val="00083DB9"/>
    <w:rsid w:val="000844B1"/>
    <w:rsid w:val="00084661"/>
    <w:rsid w:val="000848C5"/>
    <w:rsid w:val="00084EEF"/>
    <w:rsid w:val="00086EC2"/>
    <w:rsid w:val="00087E1A"/>
    <w:rsid w:val="00087EAB"/>
    <w:rsid w:val="00090203"/>
    <w:rsid w:val="00090244"/>
    <w:rsid w:val="00090E79"/>
    <w:rsid w:val="00091AD7"/>
    <w:rsid w:val="0009251F"/>
    <w:rsid w:val="0009288D"/>
    <w:rsid w:val="00092C59"/>
    <w:rsid w:val="00092FC1"/>
    <w:rsid w:val="000935BC"/>
    <w:rsid w:val="00093713"/>
    <w:rsid w:val="0009394A"/>
    <w:rsid w:val="000943A9"/>
    <w:rsid w:val="000948D5"/>
    <w:rsid w:val="00094A41"/>
    <w:rsid w:val="00094C86"/>
    <w:rsid w:val="00096352"/>
    <w:rsid w:val="00096CA1"/>
    <w:rsid w:val="00096CAE"/>
    <w:rsid w:val="000970EF"/>
    <w:rsid w:val="000971F3"/>
    <w:rsid w:val="00097ED8"/>
    <w:rsid w:val="000A0497"/>
    <w:rsid w:val="000A04FC"/>
    <w:rsid w:val="000A1068"/>
    <w:rsid w:val="000A19A3"/>
    <w:rsid w:val="000A2C1C"/>
    <w:rsid w:val="000A34E6"/>
    <w:rsid w:val="000A3F64"/>
    <w:rsid w:val="000A401B"/>
    <w:rsid w:val="000A670E"/>
    <w:rsid w:val="000A6BAC"/>
    <w:rsid w:val="000A75BF"/>
    <w:rsid w:val="000B0B8A"/>
    <w:rsid w:val="000B105F"/>
    <w:rsid w:val="000B11BB"/>
    <w:rsid w:val="000B343F"/>
    <w:rsid w:val="000B386D"/>
    <w:rsid w:val="000B38A4"/>
    <w:rsid w:val="000B43B0"/>
    <w:rsid w:val="000B4E11"/>
    <w:rsid w:val="000B5177"/>
    <w:rsid w:val="000B64B4"/>
    <w:rsid w:val="000B6CC4"/>
    <w:rsid w:val="000B7FBD"/>
    <w:rsid w:val="000C27D4"/>
    <w:rsid w:val="000C28E5"/>
    <w:rsid w:val="000C3604"/>
    <w:rsid w:val="000C3E37"/>
    <w:rsid w:val="000C43AA"/>
    <w:rsid w:val="000C480C"/>
    <w:rsid w:val="000C4EEA"/>
    <w:rsid w:val="000C5B40"/>
    <w:rsid w:val="000C600D"/>
    <w:rsid w:val="000C6C42"/>
    <w:rsid w:val="000C7628"/>
    <w:rsid w:val="000C7A35"/>
    <w:rsid w:val="000D058E"/>
    <w:rsid w:val="000D0619"/>
    <w:rsid w:val="000D07F8"/>
    <w:rsid w:val="000D15AB"/>
    <w:rsid w:val="000D2008"/>
    <w:rsid w:val="000D2240"/>
    <w:rsid w:val="000D22EB"/>
    <w:rsid w:val="000D2543"/>
    <w:rsid w:val="000D2625"/>
    <w:rsid w:val="000D2A6E"/>
    <w:rsid w:val="000D2DE5"/>
    <w:rsid w:val="000D3C01"/>
    <w:rsid w:val="000D3DFD"/>
    <w:rsid w:val="000D461B"/>
    <w:rsid w:val="000D47D0"/>
    <w:rsid w:val="000D4A34"/>
    <w:rsid w:val="000D73FE"/>
    <w:rsid w:val="000D775F"/>
    <w:rsid w:val="000D7923"/>
    <w:rsid w:val="000D79D6"/>
    <w:rsid w:val="000D7B2F"/>
    <w:rsid w:val="000D7DD8"/>
    <w:rsid w:val="000E09CE"/>
    <w:rsid w:val="000E1898"/>
    <w:rsid w:val="000E18B7"/>
    <w:rsid w:val="000E1C65"/>
    <w:rsid w:val="000E25CF"/>
    <w:rsid w:val="000E2987"/>
    <w:rsid w:val="000E2DA7"/>
    <w:rsid w:val="000E360F"/>
    <w:rsid w:val="000E3C0B"/>
    <w:rsid w:val="000E4A31"/>
    <w:rsid w:val="000E4BDE"/>
    <w:rsid w:val="000E4D1E"/>
    <w:rsid w:val="000E4F79"/>
    <w:rsid w:val="000E5EC8"/>
    <w:rsid w:val="000E629A"/>
    <w:rsid w:val="000E62CC"/>
    <w:rsid w:val="000E6949"/>
    <w:rsid w:val="000F1151"/>
    <w:rsid w:val="000F161A"/>
    <w:rsid w:val="000F1776"/>
    <w:rsid w:val="000F2653"/>
    <w:rsid w:val="000F3A60"/>
    <w:rsid w:val="000F3D7E"/>
    <w:rsid w:val="000F3E38"/>
    <w:rsid w:val="000F5274"/>
    <w:rsid w:val="000F5314"/>
    <w:rsid w:val="000F576C"/>
    <w:rsid w:val="000F6811"/>
    <w:rsid w:val="000F6ACF"/>
    <w:rsid w:val="000F76DA"/>
    <w:rsid w:val="0010026F"/>
    <w:rsid w:val="001004F4"/>
    <w:rsid w:val="0010091D"/>
    <w:rsid w:val="00101154"/>
    <w:rsid w:val="0010206A"/>
    <w:rsid w:val="001021E3"/>
    <w:rsid w:val="00102A78"/>
    <w:rsid w:val="00104F94"/>
    <w:rsid w:val="0010553F"/>
    <w:rsid w:val="00106313"/>
    <w:rsid w:val="00106579"/>
    <w:rsid w:val="0010720D"/>
    <w:rsid w:val="001078B6"/>
    <w:rsid w:val="00107AF3"/>
    <w:rsid w:val="00107DBD"/>
    <w:rsid w:val="00110DC8"/>
    <w:rsid w:val="001112C0"/>
    <w:rsid w:val="0011149C"/>
    <w:rsid w:val="00111D15"/>
    <w:rsid w:val="00111F31"/>
    <w:rsid w:val="00112381"/>
    <w:rsid w:val="00112638"/>
    <w:rsid w:val="001127B7"/>
    <w:rsid w:val="00113332"/>
    <w:rsid w:val="001135FF"/>
    <w:rsid w:val="00113934"/>
    <w:rsid w:val="00113D8F"/>
    <w:rsid w:val="0011433F"/>
    <w:rsid w:val="00114FFC"/>
    <w:rsid w:val="001158C2"/>
    <w:rsid w:val="001168C7"/>
    <w:rsid w:val="00117E9B"/>
    <w:rsid w:val="00120753"/>
    <w:rsid w:val="00121C16"/>
    <w:rsid w:val="00121E2E"/>
    <w:rsid w:val="00122E59"/>
    <w:rsid w:val="00123182"/>
    <w:rsid w:val="0012372D"/>
    <w:rsid w:val="00124418"/>
    <w:rsid w:val="00124510"/>
    <w:rsid w:val="00125133"/>
    <w:rsid w:val="0012569A"/>
    <w:rsid w:val="00125944"/>
    <w:rsid w:val="00125F68"/>
    <w:rsid w:val="001261C0"/>
    <w:rsid w:val="00126AFC"/>
    <w:rsid w:val="00127142"/>
    <w:rsid w:val="00130243"/>
    <w:rsid w:val="0013027B"/>
    <w:rsid w:val="001302D5"/>
    <w:rsid w:val="00130D92"/>
    <w:rsid w:val="001317CA"/>
    <w:rsid w:val="00131A06"/>
    <w:rsid w:val="0013230A"/>
    <w:rsid w:val="00132BBD"/>
    <w:rsid w:val="001337EE"/>
    <w:rsid w:val="00133E44"/>
    <w:rsid w:val="00134278"/>
    <w:rsid w:val="00136113"/>
    <w:rsid w:val="00136127"/>
    <w:rsid w:val="00136346"/>
    <w:rsid w:val="00136D0F"/>
    <w:rsid w:val="00136E0D"/>
    <w:rsid w:val="00136E14"/>
    <w:rsid w:val="0013700B"/>
    <w:rsid w:val="00137E2F"/>
    <w:rsid w:val="00140A00"/>
    <w:rsid w:val="00140FAB"/>
    <w:rsid w:val="001417FB"/>
    <w:rsid w:val="001417FF"/>
    <w:rsid w:val="00142060"/>
    <w:rsid w:val="001423F2"/>
    <w:rsid w:val="001427E1"/>
    <w:rsid w:val="001442B8"/>
    <w:rsid w:val="00147539"/>
    <w:rsid w:val="0014763F"/>
    <w:rsid w:val="00147B5C"/>
    <w:rsid w:val="00150821"/>
    <w:rsid w:val="00150B1D"/>
    <w:rsid w:val="00150F69"/>
    <w:rsid w:val="00151D31"/>
    <w:rsid w:val="00151ED9"/>
    <w:rsid w:val="001522C5"/>
    <w:rsid w:val="00152349"/>
    <w:rsid w:val="00153AEF"/>
    <w:rsid w:val="001542F2"/>
    <w:rsid w:val="00154C21"/>
    <w:rsid w:val="00154EC3"/>
    <w:rsid w:val="001555DC"/>
    <w:rsid w:val="001556BC"/>
    <w:rsid w:val="00156720"/>
    <w:rsid w:val="00156A67"/>
    <w:rsid w:val="00156C71"/>
    <w:rsid w:val="00156C8E"/>
    <w:rsid w:val="00156F4A"/>
    <w:rsid w:val="00157471"/>
    <w:rsid w:val="00160C86"/>
    <w:rsid w:val="00161339"/>
    <w:rsid w:val="00163313"/>
    <w:rsid w:val="00166FF6"/>
    <w:rsid w:val="00167176"/>
    <w:rsid w:val="00167501"/>
    <w:rsid w:val="00167944"/>
    <w:rsid w:val="00167BEA"/>
    <w:rsid w:val="00171133"/>
    <w:rsid w:val="00171DBE"/>
    <w:rsid w:val="001722FC"/>
    <w:rsid w:val="0017284A"/>
    <w:rsid w:val="001734B8"/>
    <w:rsid w:val="00173DB4"/>
    <w:rsid w:val="001745E2"/>
    <w:rsid w:val="001749C1"/>
    <w:rsid w:val="001766CC"/>
    <w:rsid w:val="00177387"/>
    <w:rsid w:val="00177F79"/>
    <w:rsid w:val="00180620"/>
    <w:rsid w:val="00180926"/>
    <w:rsid w:val="00180CF0"/>
    <w:rsid w:val="001825FA"/>
    <w:rsid w:val="00182758"/>
    <w:rsid w:val="001828DA"/>
    <w:rsid w:val="00184029"/>
    <w:rsid w:val="001841DE"/>
    <w:rsid w:val="0018549B"/>
    <w:rsid w:val="0018586D"/>
    <w:rsid w:val="001860A9"/>
    <w:rsid w:val="0018618C"/>
    <w:rsid w:val="0018675B"/>
    <w:rsid w:val="001867FC"/>
    <w:rsid w:val="001868C0"/>
    <w:rsid w:val="00187024"/>
    <w:rsid w:val="0018733C"/>
    <w:rsid w:val="0019024B"/>
    <w:rsid w:val="001908A4"/>
    <w:rsid w:val="00190A22"/>
    <w:rsid w:val="00192EEA"/>
    <w:rsid w:val="00193134"/>
    <w:rsid w:val="0019354C"/>
    <w:rsid w:val="00193982"/>
    <w:rsid w:val="00194010"/>
    <w:rsid w:val="00194BEF"/>
    <w:rsid w:val="00194E22"/>
    <w:rsid w:val="00195059"/>
    <w:rsid w:val="001958EE"/>
    <w:rsid w:val="00195AA9"/>
    <w:rsid w:val="00195B4B"/>
    <w:rsid w:val="00196A2A"/>
    <w:rsid w:val="001972D8"/>
    <w:rsid w:val="001979E6"/>
    <w:rsid w:val="00197C5A"/>
    <w:rsid w:val="001A0727"/>
    <w:rsid w:val="001A0A23"/>
    <w:rsid w:val="001A0B9A"/>
    <w:rsid w:val="001A0E93"/>
    <w:rsid w:val="001A1B35"/>
    <w:rsid w:val="001A271A"/>
    <w:rsid w:val="001A2B31"/>
    <w:rsid w:val="001A326D"/>
    <w:rsid w:val="001A37E0"/>
    <w:rsid w:val="001A38BD"/>
    <w:rsid w:val="001A3E91"/>
    <w:rsid w:val="001A3EA9"/>
    <w:rsid w:val="001A5D09"/>
    <w:rsid w:val="001B08AA"/>
    <w:rsid w:val="001B1568"/>
    <w:rsid w:val="001B25B9"/>
    <w:rsid w:val="001B2861"/>
    <w:rsid w:val="001B4750"/>
    <w:rsid w:val="001B48E9"/>
    <w:rsid w:val="001B4E0F"/>
    <w:rsid w:val="001B6BA3"/>
    <w:rsid w:val="001B7165"/>
    <w:rsid w:val="001B7DBF"/>
    <w:rsid w:val="001C0635"/>
    <w:rsid w:val="001C0B97"/>
    <w:rsid w:val="001C0C98"/>
    <w:rsid w:val="001C0E31"/>
    <w:rsid w:val="001C1C3B"/>
    <w:rsid w:val="001C2A3E"/>
    <w:rsid w:val="001C2CB0"/>
    <w:rsid w:val="001C3A28"/>
    <w:rsid w:val="001C4270"/>
    <w:rsid w:val="001C4739"/>
    <w:rsid w:val="001C49A4"/>
    <w:rsid w:val="001C572A"/>
    <w:rsid w:val="001C59A4"/>
    <w:rsid w:val="001C5C7E"/>
    <w:rsid w:val="001C6928"/>
    <w:rsid w:val="001C6D09"/>
    <w:rsid w:val="001C746F"/>
    <w:rsid w:val="001C7877"/>
    <w:rsid w:val="001D01E5"/>
    <w:rsid w:val="001D02A5"/>
    <w:rsid w:val="001D0553"/>
    <w:rsid w:val="001D0B07"/>
    <w:rsid w:val="001D0C99"/>
    <w:rsid w:val="001D1064"/>
    <w:rsid w:val="001D1DA2"/>
    <w:rsid w:val="001D226E"/>
    <w:rsid w:val="001D2366"/>
    <w:rsid w:val="001D33D7"/>
    <w:rsid w:val="001D3881"/>
    <w:rsid w:val="001D3EDF"/>
    <w:rsid w:val="001D4657"/>
    <w:rsid w:val="001D492C"/>
    <w:rsid w:val="001D4994"/>
    <w:rsid w:val="001D4BE3"/>
    <w:rsid w:val="001D4CDF"/>
    <w:rsid w:val="001D5894"/>
    <w:rsid w:val="001D64DD"/>
    <w:rsid w:val="001D717D"/>
    <w:rsid w:val="001D74ED"/>
    <w:rsid w:val="001D7A72"/>
    <w:rsid w:val="001E07A6"/>
    <w:rsid w:val="001E08FE"/>
    <w:rsid w:val="001E0CD1"/>
    <w:rsid w:val="001E1566"/>
    <w:rsid w:val="001E3999"/>
    <w:rsid w:val="001E3A7C"/>
    <w:rsid w:val="001E4A7E"/>
    <w:rsid w:val="001E53D6"/>
    <w:rsid w:val="001E5A7D"/>
    <w:rsid w:val="001E61F5"/>
    <w:rsid w:val="001E7561"/>
    <w:rsid w:val="001E78B8"/>
    <w:rsid w:val="001E7D20"/>
    <w:rsid w:val="001F068C"/>
    <w:rsid w:val="001F0821"/>
    <w:rsid w:val="001F0F16"/>
    <w:rsid w:val="001F2048"/>
    <w:rsid w:val="001F21D6"/>
    <w:rsid w:val="001F3AD1"/>
    <w:rsid w:val="001F416F"/>
    <w:rsid w:val="001F44DA"/>
    <w:rsid w:val="001F46FF"/>
    <w:rsid w:val="001F48B2"/>
    <w:rsid w:val="001F4B6C"/>
    <w:rsid w:val="001F4F9E"/>
    <w:rsid w:val="001F55A9"/>
    <w:rsid w:val="001F5ECB"/>
    <w:rsid w:val="001F622F"/>
    <w:rsid w:val="001F67A6"/>
    <w:rsid w:val="001F6E12"/>
    <w:rsid w:val="001F6F70"/>
    <w:rsid w:val="001F7919"/>
    <w:rsid w:val="001F7CE3"/>
    <w:rsid w:val="0020085F"/>
    <w:rsid w:val="00200934"/>
    <w:rsid w:val="00200C42"/>
    <w:rsid w:val="00200C72"/>
    <w:rsid w:val="0020141F"/>
    <w:rsid w:val="00203D0F"/>
    <w:rsid w:val="0020505D"/>
    <w:rsid w:val="0020527A"/>
    <w:rsid w:val="00205A3F"/>
    <w:rsid w:val="00206861"/>
    <w:rsid w:val="00206F41"/>
    <w:rsid w:val="002071CA"/>
    <w:rsid w:val="00207FAA"/>
    <w:rsid w:val="00210C7E"/>
    <w:rsid w:val="00212118"/>
    <w:rsid w:val="00213337"/>
    <w:rsid w:val="00213857"/>
    <w:rsid w:val="00215318"/>
    <w:rsid w:val="00215AC5"/>
    <w:rsid w:val="00216BE4"/>
    <w:rsid w:val="00217191"/>
    <w:rsid w:val="002174DA"/>
    <w:rsid w:val="00217BF8"/>
    <w:rsid w:val="00217F94"/>
    <w:rsid w:val="00220550"/>
    <w:rsid w:val="00220AC5"/>
    <w:rsid w:val="002210A6"/>
    <w:rsid w:val="0022182F"/>
    <w:rsid w:val="00222010"/>
    <w:rsid w:val="002224AC"/>
    <w:rsid w:val="00222854"/>
    <w:rsid w:val="00222975"/>
    <w:rsid w:val="00222F05"/>
    <w:rsid w:val="0022305A"/>
    <w:rsid w:val="002231A2"/>
    <w:rsid w:val="002239C9"/>
    <w:rsid w:val="00223B21"/>
    <w:rsid w:val="00223F2F"/>
    <w:rsid w:val="00225FDF"/>
    <w:rsid w:val="00226425"/>
    <w:rsid w:val="0022653A"/>
    <w:rsid w:val="00227245"/>
    <w:rsid w:val="0022768A"/>
    <w:rsid w:val="00232E8A"/>
    <w:rsid w:val="00232F12"/>
    <w:rsid w:val="00233206"/>
    <w:rsid w:val="002347B4"/>
    <w:rsid w:val="002351F3"/>
    <w:rsid w:val="002355F0"/>
    <w:rsid w:val="00237541"/>
    <w:rsid w:val="00237A6E"/>
    <w:rsid w:val="00237FC8"/>
    <w:rsid w:val="002401E6"/>
    <w:rsid w:val="00240378"/>
    <w:rsid w:val="002403FA"/>
    <w:rsid w:val="00241910"/>
    <w:rsid w:val="00241BF2"/>
    <w:rsid w:val="0024218A"/>
    <w:rsid w:val="00243801"/>
    <w:rsid w:val="00244E58"/>
    <w:rsid w:val="00244F17"/>
    <w:rsid w:val="00245B00"/>
    <w:rsid w:val="002461EC"/>
    <w:rsid w:val="002477AD"/>
    <w:rsid w:val="00247900"/>
    <w:rsid w:val="00250F03"/>
    <w:rsid w:val="00251CAD"/>
    <w:rsid w:val="002522C3"/>
    <w:rsid w:val="002528F2"/>
    <w:rsid w:val="00252C95"/>
    <w:rsid w:val="00253282"/>
    <w:rsid w:val="002534BD"/>
    <w:rsid w:val="00253770"/>
    <w:rsid w:val="00254BE7"/>
    <w:rsid w:val="00255495"/>
    <w:rsid w:val="002558CD"/>
    <w:rsid w:val="00255A46"/>
    <w:rsid w:val="00255CE5"/>
    <w:rsid w:val="002561A6"/>
    <w:rsid w:val="002567EC"/>
    <w:rsid w:val="00260D5A"/>
    <w:rsid w:val="00260F5D"/>
    <w:rsid w:val="00262070"/>
    <w:rsid w:val="002622CB"/>
    <w:rsid w:val="00262594"/>
    <w:rsid w:val="00265228"/>
    <w:rsid w:val="00267671"/>
    <w:rsid w:val="00267D51"/>
    <w:rsid w:val="0027042D"/>
    <w:rsid w:val="0027076E"/>
    <w:rsid w:val="00270B1A"/>
    <w:rsid w:val="002715B2"/>
    <w:rsid w:val="00271A45"/>
    <w:rsid w:val="00271E86"/>
    <w:rsid w:val="00272C2A"/>
    <w:rsid w:val="00273EC1"/>
    <w:rsid w:val="002748F1"/>
    <w:rsid w:val="002751A4"/>
    <w:rsid w:val="0027663F"/>
    <w:rsid w:val="0027711B"/>
    <w:rsid w:val="0027759B"/>
    <w:rsid w:val="002775E6"/>
    <w:rsid w:val="002803D5"/>
    <w:rsid w:val="0028138E"/>
    <w:rsid w:val="00281C56"/>
    <w:rsid w:val="00281E92"/>
    <w:rsid w:val="0028242B"/>
    <w:rsid w:val="002824CB"/>
    <w:rsid w:val="00285E7E"/>
    <w:rsid w:val="00286AED"/>
    <w:rsid w:val="00286CA2"/>
    <w:rsid w:val="00287295"/>
    <w:rsid w:val="002901E0"/>
    <w:rsid w:val="00290C0E"/>
    <w:rsid w:val="002914C0"/>
    <w:rsid w:val="002922C5"/>
    <w:rsid w:val="002928F3"/>
    <w:rsid w:val="00292CF8"/>
    <w:rsid w:val="00292DC3"/>
    <w:rsid w:val="0029306B"/>
    <w:rsid w:val="002933F5"/>
    <w:rsid w:val="0029359F"/>
    <w:rsid w:val="002942F3"/>
    <w:rsid w:val="002948CA"/>
    <w:rsid w:val="00294E8F"/>
    <w:rsid w:val="00295253"/>
    <w:rsid w:val="00295929"/>
    <w:rsid w:val="00295CAC"/>
    <w:rsid w:val="00295DBA"/>
    <w:rsid w:val="0029614D"/>
    <w:rsid w:val="00296B6E"/>
    <w:rsid w:val="00297465"/>
    <w:rsid w:val="002A046C"/>
    <w:rsid w:val="002A1970"/>
    <w:rsid w:val="002A1E7C"/>
    <w:rsid w:val="002A35F9"/>
    <w:rsid w:val="002A4B21"/>
    <w:rsid w:val="002A4E51"/>
    <w:rsid w:val="002A6520"/>
    <w:rsid w:val="002A670B"/>
    <w:rsid w:val="002A685B"/>
    <w:rsid w:val="002A6B3D"/>
    <w:rsid w:val="002A7483"/>
    <w:rsid w:val="002A7DC8"/>
    <w:rsid w:val="002B06BD"/>
    <w:rsid w:val="002B0B2B"/>
    <w:rsid w:val="002B0BE6"/>
    <w:rsid w:val="002B0E2C"/>
    <w:rsid w:val="002B0E47"/>
    <w:rsid w:val="002B16AA"/>
    <w:rsid w:val="002B193C"/>
    <w:rsid w:val="002B1AEA"/>
    <w:rsid w:val="002B351B"/>
    <w:rsid w:val="002B36DB"/>
    <w:rsid w:val="002B38B4"/>
    <w:rsid w:val="002B4C0F"/>
    <w:rsid w:val="002B5782"/>
    <w:rsid w:val="002B6101"/>
    <w:rsid w:val="002B6432"/>
    <w:rsid w:val="002B69A7"/>
    <w:rsid w:val="002B704E"/>
    <w:rsid w:val="002B70BD"/>
    <w:rsid w:val="002B7E48"/>
    <w:rsid w:val="002C106E"/>
    <w:rsid w:val="002C18DC"/>
    <w:rsid w:val="002C281E"/>
    <w:rsid w:val="002C284C"/>
    <w:rsid w:val="002C31A5"/>
    <w:rsid w:val="002C4347"/>
    <w:rsid w:val="002C5EB2"/>
    <w:rsid w:val="002C6579"/>
    <w:rsid w:val="002C6F93"/>
    <w:rsid w:val="002D05F6"/>
    <w:rsid w:val="002D09C6"/>
    <w:rsid w:val="002D12F7"/>
    <w:rsid w:val="002D19A9"/>
    <w:rsid w:val="002D22C6"/>
    <w:rsid w:val="002D42CC"/>
    <w:rsid w:val="002D4531"/>
    <w:rsid w:val="002D5670"/>
    <w:rsid w:val="002D60E6"/>
    <w:rsid w:val="002D6159"/>
    <w:rsid w:val="002D629D"/>
    <w:rsid w:val="002D6509"/>
    <w:rsid w:val="002D655D"/>
    <w:rsid w:val="002D71C3"/>
    <w:rsid w:val="002E0946"/>
    <w:rsid w:val="002E0963"/>
    <w:rsid w:val="002E11CA"/>
    <w:rsid w:val="002E1535"/>
    <w:rsid w:val="002E1E06"/>
    <w:rsid w:val="002E1E62"/>
    <w:rsid w:val="002E1FA4"/>
    <w:rsid w:val="002E255B"/>
    <w:rsid w:val="002E28EB"/>
    <w:rsid w:val="002E295A"/>
    <w:rsid w:val="002E3333"/>
    <w:rsid w:val="002E3891"/>
    <w:rsid w:val="002E448D"/>
    <w:rsid w:val="002E5161"/>
    <w:rsid w:val="002E5CE1"/>
    <w:rsid w:val="002E6C93"/>
    <w:rsid w:val="002E6DFA"/>
    <w:rsid w:val="002E7149"/>
    <w:rsid w:val="002E7433"/>
    <w:rsid w:val="002F0824"/>
    <w:rsid w:val="002F0DA5"/>
    <w:rsid w:val="002F16E8"/>
    <w:rsid w:val="002F1824"/>
    <w:rsid w:val="002F2811"/>
    <w:rsid w:val="002F329D"/>
    <w:rsid w:val="002F4021"/>
    <w:rsid w:val="002F42DF"/>
    <w:rsid w:val="002F4D50"/>
    <w:rsid w:val="002F64A5"/>
    <w:rsid w:val="002F6959"/>
    <w:rsid w:val="002F7CE5"/>
    <w:rsid w:val="00300057"/>
    <w:rsid w:val="00301174"/>
    <w:rsid w:val="00301B74"/>
    <w:rsid w:val="00301F24"/>
    <w:rsid w:val="00302494"/>
    <w:rsid w:val="00304438"/>
    <w:rsid w:val="003048EF"/>
    <w:rsid w:val="00304B79"/>
    <w:rsid w:val="0030552C"/>
    <w:rsid w:val="003058BC"/>
    <w:rsid w:val="0030595A"/>
    <w:rsid w:val="00306259"/>
    <w:rsid w:val="00306323"/>
    <w:rsid w:val="003069E4"/>
    <w:rsid w:val="00306AD9"/>
    <w:rsid w:val="00306F41"/>
    <w:rsid w:val="00307BD6"/>
    <w:rsid w:val="00310262"/>
    <w:rsid w:val="00311225"/>
    <w:rsid w:val="00312480"/>
    <w:rsid w:val="0031290D"/>
    <w:rsid w:val="00312941"/>
    <w:rsid w:val="00312E95"/>
    <w:rsid w:val="003137C4"/>
    <w:rsid w:val="003149C1"/>
    <w:rsid w:val="003153CB"/>
    <w:rsid w:val="0031543B"/>
    <w:rsid w:val="003156D7"/>
    <w:rsid w:val="00316603"/>
    <w:rsid w:val="00316A8A"/>
    <w:rsid w:val="00316EEA"/>
    <w:rsid w:val="003179DF"/>
    <w:rsid w:val="00320C2E"/>
    <w:rsid w:val="00321FCA"/>
    <w:rsid w:val="00322062"/>
    <w:rsid w:val="003221FA"/>
    <w:rsid w:val="0032380D"/>
    <w:rsid w:val="003242E0"/>
    <w:rsid w:val="00324D15"/>
    <w:rsid w:val="003252EB"/>
    <w:rsid w:val="00325775"/>
    <w:rsid w:val="0032598C"/>
    <w:rsid w:val="00325B8A"/>
    <w:rsid w:val="0032655E"/>
    <w:rsid w:val="00326CF7"/>
    <w:rsid w:val="0033023B"/>
    <w:rsid w:val="00331436"/>
    <w:rsid w:val="003316CA"/>
    <w:rsid w:val="00331A79"/>
    <w:rsid w:val="00331AB1"/>
    <w:rsid w:val="003323DB"/>
    <w:rsid w:val="00332717"/>
    <w:rsid w:val="0033319D"/>
    <w:rsid w:val="00333F4A"/>
    <w:rsid w:val="00335394"/>
    <w:rsid w:val="00335AA9"/>
    <w:rsid w:val="00336E8E"/>
    <w:rsid w:val="0034038D"/>
    <w:rsid w:val="00340C40"/>
    <w:rsid w:val="00340DA7"/>
    <w:rsid w:val="003417A3"/>
    <w:rsid w:val="0034245C"/>
    <w:rsid w:val="00342548"/>
    <w:rsid w:val="0034256E"/>
    <w:rsid w:val="00342DF9"/>
    <w:rsid w:val="003436BB"/>
    <w:rsid w:val="00343A13"/>
    <w:rsid w:val="003451E5"/>
    <w:rsid w:val="003451FE"/>
    <w:rsid w:val="00346177"/>
    <w:rsid w:val="0034634C"/>
    <w:rsid w:val="00347174"/>
    <w:rsid w:val="003478A4"/>
    <w:rsid w:val="00347BA5"/>
    <w:rsid w:val="00347E35"/>
    <w:rsid w:val="003501FD"/>
    <w:rsid w:val="0035043A"/>
    <w:rsid w:val="00350F4A"/>
    <w:rsid w:val="00351C00"/>
    <w:rsid w:val="003547A5"/>
    <w:rsid w:val="00355033"/>
    <w:rsid w:val="0035504A"/>
    <w:rsid w:val="00355332"/>
    <w:rsid w:val="00355334"/>
    <w:rsid w:val="003566CB"/>
    <w:rsid w:val="00356708"/>
    <w:rsid w:val="0035683C"/>
    <w:rsid w:val="00356CF3"/>
    <w:rsid w:val="003577BF"/>
    <w:rsid w:val="00357BA9"/>
    <w:rsid w:val="00357C72"/>
    <w:rsid w:val="003602B2"/>
    <w:rsid w:val="00360B07"/>
    <w:rsid w:val="0036120E"/>
    <w:rsid w:val="0036170E"/>
    <w:rsid w:val="0036257D"/>
    <w:rsid w:val="00362AA6"/>
    <w:rsid w:val="00362B5D"/>
    <w:rsid w:val="00363BAB"/>
    <w:rsid w:val="00363D1E"/>
    <w:rsid w:val="003642B0"/>
    <w:rsid w:val="0036554C"/>
    <w:rsid w:val="0036597A"/>
    <w:rsid w:val="0036665D"/>
    <w:rsid w:val="00367D4E"/>
    <w:rsid w:val="00370405"/>
    <w:rsid w:val="003706A8"/>
    <w:rsid w:val="003707B6"/>
    <w:rsid w:val="00370BE7"/>
    <w:rsid w:val="00370C9C"/>
    <w:rsid w:val="00371309"/>
    <w:rsid w:val="00372222"/>
    <w:rsid w:val="003724A7"/>
    <w:rsid w:val="00373788"/>
    <w:rsid w:val="00374823"/>
    <w:rsid w:val="0037540B"/>
    <w:rsid w:val="003754AC"/>
    <w:rsid w:val="00375627"/>
    <w:rsid w:val="0037599F"/>
    <w:rsid w:val="00375EC4"/>
    <w:rsid w:val="00375F44"/>
    <w:rsid w:val="003770B5"/>
    <w:rsid w:val="00377E52"/>
    <w:rsid w:val="00377FB1"/>
    <w:rsid w:val="003804F3"/>
    <w:rsid w:val="00380607"/>
    <w:rsid w:val="003807CB"/>
    <w:rsid w:val="00380E45"/>
    <w:rsid w:val="003816E2"/>
    <w:rsid w:val="00382B13"/>
    <w:rsid w:val="00383778"/>
    <w:rsid w:val="00383B58"/>
    <w:rsid w:val="003840F6"/>
    <w:rsid w:val="003845B2"/>
    <w:rsid w:val="00384965"/>
    <w:rsid w:val="00384B17"/>
    <w:rsid w:val="0038506F"/>
    <w:rsid w:val="003851E9"/>
    <w:rsid w:val="00385421"/>
    <w:rsid w:val="003855CD"/>
    <w:rsid w:val="0038586C"/>
    <w:rsid w:val="0038595D"/>
    <w:rsid w:val="00386039"/>
    <w:rsid w:val="00387308"/>
    <w:rsid w:val="00390159"/>
    <w:rsid w:val="003903CD"/>
    <w:rsid w:val="003916CC"/>
    <w:rsid w:val="00391CB5"/>
    <w:rsid w:val="00392949"/>
    <w:rsid w:val="00394575"/>
    <w:rsid w:val="00395618"/>
    <w:rsid w:val="00396077"/>
    <w:rsid w:val="00396B6A"/>
    <w:rsid w:val="00397AA8"/>
    <w:rsid w:val="00397ED9"/>
    <w:rsid w:val="003A0B10"/>
    <w:rsid w:val="003A1C61"/>
    <w:rsid w:val="003A2554"/>
    <w:rsid w:val="003A2A23"/>
    <w:rsid w:val="003A3451"/>
    <w:rsid w:val="003A3BE9"/>
    <w:rsid w:val="003A3EF8"/>
    <w:rsid w:val="003A476C"/>
    <w:rsid w:val="003A47E7"/>
    <w:rsid w:val="003A4F50"/>
    <w:rsid w:val="003A579C"/>
    <w:rsid w:val="003A683B"/>
    <w:rsid w:val="003A6B54"/>
    <w:rsid w:val="003A6BA7"/>
    <w:rsid w:val="003A7AF4"/>
    <w:rsid w:val="003A7E07"/>
    <w:rsid w:val="003A7FA1"/>
    <w:rsid w:val="003B09FA"/>
    <w:rsid w:val="003B1275"/>
    <w:rsid w:val="003B23AC"/>
    <w:rsid w:val="003B2548"/>
    <w:rsid w:val="003B320C"/>
    <w:rsid w:val="003B3B2A"/>
    <w:rsid w:val="003B4331"/>
    <w:rsid w:val="003B449E"/>
    <w:rsid w:val="003B4B4F"/>
    <w:rsid w:val="003B5680"/>
    <w:rsid w:val="003B5A5F"/>
    <w:rsid w:val="003B5B4D"/>
    <w:rsid w:val="003B5EDA"/>
    <w:rsid w:val="003B747B"/>
    <w:rsid w:val="003C06B9"/>
    <w:rsid w:val="003C0C67"/>
    <w:rsid w:val="003C1122"/>
    <w:rsid w:val="003C2507"/>
    <w:rsid w:val="003C3054"/>
    <w:rsid w:val="003C3596"/>
    <w:rsid w:val="003C375C"/>
    <w:rsid w:val="003C3F82"/>
    <w:rsid w:val="003C44DF"/>
    <w:rsid w:val="003C5079"/>
    <w:rsid w:val="003C63C9"/>
    <w:rsid w:val="003C655B"/>
    <w:rsid w:val="003C6660"/>
    <w:rsid w:val="003C7733"/>
    <w:rsid w:val="003C7C9E"/>
    <w:rsid w:val="003D0A1E"/>
    <w:rsid w:val="003D1000"/>
    <w:rsid w:val="003D12FA"/>
    <w:rsid w:val="003D165A"/>
    <w:rsid w:val="003D1B7B"/>
    <w:rsid w:val="003D1EF2"/>
    <w:rsid w:val="003D38D0"/>
    <w:rsid w:val="003D48CE"/>
    <w:rsid w:val="003D5F20"/>
    <w:rsid w:val="003D5FD9"/>
    <w:rsid w:val="003D650A"/>
    <w:rsid w:val="003D6710"/>
    <w:rsid w:val="003D6FE9"/>
    <w:rsid w:val="003E00D6"/>
    <w:rsid w:val="003E0237"/>
    <w:rsid w:val="003E0348"/>
    <w:rsid w:val="003E09C5"/>
    <w:rsid w:val="003E0A05"/>
    <w:rsid w:val="003E2E8D"/>
    <w:rsid w:val="003E3FC1"/>
    <w:rsid w:val="003E4546"/>
    <w:rsid w:val="003E4804"/>
    <w:rsid w:val="003E5BA4"/>
    <w:rsid w:val="003E5F46"/>
    <w:rsid w:val="003E6C63"/>
    <w:rsid w:val="003E7653"/>
    <w:rsid w:val="003E76B6"/>
    <w:rsid w:val="003E7B6E"/>
    <w:rsid w:val="003F06B9"/>
    <w:rsid w:val="003F13CA"/>
    <w:rsid w:val="003F1FB9"/>
    <w:rsid w:val="003F24C8"/>
    <w:rsid w:val="003F2A52"/>
    <w:rsid w:val="003F2BF7"/>
    <w:rsid w:val="003F2D6F"/>
    <w:rsid w:val="003F57E5"/>
    <w:rsid w:val="003F5DAD"/>
    <w:rsid w:val="003F6513"/>
    <w:rsid w:val="003F731A"/>
    <w:rsid w:val="00400398"/>
    <w:rsid w:val="00400AE1"/>
    <w:rsid w:val="00401093"/>
    <w:rsid w:val="0040185A"/>
    <w:rsid w:val="00401C07"/>
    <w:rsid w:val="00401E81"/>
    <w:rsid w:val="00402790"/>
    <w:rsid w:val="00407EAF"/>
    <w:rsid w:val="00407F3D"/>
    <w:rsid w:val="00410124"/>
    <w:rsid w:val="0041079B"/>
    <w:rsid w:val="0041080D"/>
    <w:rsid w:val="004109DD"/>
    <w:rsid w:val="00410EF1"/>
    <w:rsid w:val="004110DF"/>
    <w:rsid w:val="004116AC"/>
    <w:rsid w:val="004116DC"/>
    <w:rsid w:val="004119F8"/>
    <w:rsid w:val="004126D3"/>
    <w:rsid w:val="004127FE"/>
    <w:rsid w:val="00412A47"/>
    <w:rsid w:val="00414850"/>
    <w:rsid w:val="0041558A"/>
    <w:rsid w:val="00415C39"/>
    <w:rsid w:val="00415DB9"/>
    <w:rsid w:val="004161F5"/>
    <w:rsid w:val="004173CA"/>
    <w:rsid w:val="00417B5D"/>
    <w:rsid w:val="00417E1C"/>
    <w:rsid w:val="00420681"/>
    <w:rsid w:val="00420BE1"/>
    <w:rsid w:val="00421183"/>
    <w:rsid w:val="004216FD"/>
    <w:rsid w:val="0042288D"/>
    <w:rsid w:val="004233A8"/>
    <w:rsid w:val="00423A2E"/>
    <w:rsid w:val="004240B0"/>
    <w:rsid w:val="004245D9"/>
    <w:rsid w:val="00425BF1"/>
    <w:rsid w:val="00425E85"/>
    <w:rsid w:val="00426D32"/>
    <w:rsid w:val="00426ECE"/>
    <w:rsid w:val="00427333"/>
    <w:rsid w:val="004276AF"/>
    <w:rsid w:val="00427809"/>
    <w:rsid w:val="00427E04"/>
    <w:rsid w:val="004301E7"/>
    <w:rsid w:val="0043058C"/>
    <w:rsid w:val="00430A91"/>
    <w:rsid w:val="0043182A"/>
    <w:rsid w:val="00431CA9"/>
    <w:rsid w:val="00431D74"/>
    <w:rsid w:val="0043259D"/>
    <w:rsid w:val="00433799"/>
    <w:rsid w:val="00435598"/>
    <w:rsid w:val="004355FD"/>
    <w:rsid w:val="00435D77"/>
    <w:rsid w:val="0043756C"/>
    <w:rsid w:val="00437823"/>
    <w:rsid w:val="00437AAE"/>
    <w:rsid w:val="0044049A"/>
    <w:rsid w:val="00440685"/>
    <w:rsid w:val="004407AF"/>
    <w:rsid w:val="00440851"/>
    <w:rsid w:val="00440D79"/>
    <w:rsid w:val="00440E00"/>
    <w:rsid w:val="00441268"/>
    <w:rsid w:val="00441A33"/>
    <w:rsid w:val="00442185"/>
    <w:rsid w:val="0044263E"/>
    <w:rsid w:val="004439B4"/>
    <w:rsid w:val="00443B66"/>
    <w:rsid w:val="00444B03"/>
    <w:rsid w:val="00445FDB"/>
    <w:rsid w:val="00445FE5"/>
    <w:rsid w:val="0044667B"/>
    <w:rsid w:val="00446F58"/>
    <w:rsid w:val="00447414"/>
    <w:rsid w:val="00447A1D"/>
    <w:rsid w:val="00450771"/>
    <w:rsid w:val="00451225"/>
    <w:rsid w:val="004527E0"/>
    <w:rsid w:val="00452E44"/>
    <w:rsid w:val="00453314"/>
    <w:rsid w:val="00453CCE"/>
    <w:rsid w:val="0045451E"/>
    <w:rsid w:val="00454B30"/>
    <w:rsid w:val="00454FE3"/>
    <w:rsid w:val="00455284"/>
    <w:rsid w:val="004560FA"/>
    <w:rsid w:val="0045610C"/>
    <w:rsid w:val="004562FD"/>
    <w:rsid w:val="00456894"/>
    <w:rsid w:val="00456CB5"/>
    <w:rsid w:val="00456F65"/>
    <w:rsid w:val="004602C1"/>
    <w:rsid w:val="004605EE"/>
    <w:rsid w:val="00460957"/>
    <w:rsid w:val="00461B2C"/>
    <w:rsid w:val="004623E9"/>
    <w:rsid w:val="004626A7"/>
    <w:rsid w:val="00462DFC"/>
    <w:rsid w:val="00462ED2"/>
    <w:rsid w:val="004642B8"/>
    <w:rsid w:val="0046441A"/>
    <w:rsid w:val="00464D6C"/>
    <w:rsid w:val="004657C1"/>
    <w:rsid w:val="00465B84"/>
    <w:rsid w:val="004661ED"/>
    <w:rsid w:val="00467AE5"/>
    <w:rsid w:val="00467C78"/>
    <w:rsid w:val="00467E4B"/>
    <w:rsid w:val="004704CC"/>
    <w:rsid w:val="004706D4"/>
    <w:rsid w:val="00470777"/>
    <w:rsid w:val="00470981"/>
    <w:rsid w:val="00471107"/>
    <w:rsid w:val="00471655"/>
    <w:rsid w:val="00471AAF"/>
    <w:rsid w:val="00472875"/>
    <w:rsid w:val="00472B5B"/>
    <w:rsid w:val="004736F8"/>
    <w:rsid w:val="0047398C"/>
    <w:rsid w:val="00473DFF"/>
    <w:rsid w:val="004740A0"/>
    <w:rsid w:val="0047410D"/>
    <w:rsid w:val="0047441C"/>
    <w:rsid w:val="0047454A"/>
    <w:rsid w:val="00474AE6"/>
    <w:rsid w:val="00475094"/>
    <w:rsid w:val="004754B0"/>
    <w:rsid w:val="004758B7"/>
    <w:rsid w:val="00475D33"/>
    <w:rsid w:val="00475E93"/>
    <w:rsid w:val="004762C2"/>
    <w:rsid w:val="00476BD2"/>
    <w:rsid w:val="0047715E"/>
    <w:rsid w:val="00477183"/>
    <w:rsid w:val="00477422"/>
    <w:rsid w:val="00477B2F"/>
    <w:rsid w:val="00477DEC"/>
    <w:rsid w:val="004803AA"/>
    <w:rsid w:val="004805CA"/>
    <w:rsid w:val="00480805"/>
    <w:rsid w:val="00480F51"/>
    <w:rsid w:val="00481219"/>
    <w:rsid w:val="004816FA"/>
    <w:rsid w:val="004824B4"/>
    <w:rsid w:val="004849D2"/>
    <w:rsid w:val="00484F2A"/>
    <w:rsid w:val="00485238"/>
    <w:rsid w:val="00486B78"/>
    <w:rsid w:val="00487776"/>
    <w:rsid w:val="004902F1"/>
    <w:rsid w:val="00490B3E"/>
    <w:rsid w:val="00491327"/>
    <w:rsid w:val="00491EC6"/>
    <w:rsid w:val="00492362"/>
    <w:rsid w:val="00492399"/>
    <w:rsid w:val="004923D0"/>
    <w:rsid w:val="0049270F"/>
    <w:rsid w:val="00493E63"/>
    <w:rsid w:val="00494AC5"/>
    <w:rsid w:val="004954B4"/>
    <w:rsid w:val="00496377"/>
    <w:rsid w:val="00496B8D"/>
    <w:rsid w:val="004A0493"/>
    <w:rsid w:val="004A05D5"/>
    <w:rsid w:val="004A0700"/>
    <w:rsid w:val="004A1D7C"/>
    <w:rsid w:val="004A2259"/>
    <w:rsid w:val="004A2C63"/>
    <w:rsid w:val="004A33CD"/>
    <w:rsid w:val="004A3712"/>
    <w:rsid w:val="004A3799"/>
    <w:rsid w:val="004A3AA2"/>
    <w:rsid w:val="004A3F36"/>
    <w:rsid w:val="004A4C5A"/>
    <w:rsid w:val="004A4F77"/>
    <w:rsid w:val="004A52C5"/>
    <w:rsid w:val="004A5DDC"/>
    <w:rsid w:val="004B1751"/>
    <w:rsid w:val="004B183D"/>
    <w:rsid w:val="004B18FE"/>
    <w:rsid w:val="004B299A"/>
    <w:rsid w:val="004B29F2"/>
    <w:rsid w:val="004B414C"/>
    <w:rsid w:val="004B41AE"/>
    <w:rsid w:val="004B42E9"/>
    <w:rsid w:val="004B4756"/>
    <w:rsid w:val="004B4964"/>
    <w:rsid w:val="004B51B6"/>
    <w:rsid w:val="004B6E09"/>
    <w:rsid w:val="004B7243"/>
    <w:rsid w:val="004B72B0"/>
    <w:rsid w:val="004B7355"/>
    <w:rsid w:val="004B7EE1"/>
    <w:rsid w:val="004C031F"/>
    <w:rsid w:val="004C095B"/>
    <w:rsid w:val="004C0CE0"/>
    <w:rsid w:val="004C0D39"/>
    <w:rsid w:val="004C1563"/>
    <w:rsid w:val="004C189F"/>
    <w:rsid w:val="004C1A98"/>
    <w:rsid w:val="004C24AC"/>
    <w:rsid w:val="004C30D1"/>
    <w:rsid w:val="004C3B4C"/>
    <w:rsid w:val="004C4C76"/>
    <w:rsid w:val="004C6925"/>
    <w:rsid w:val="004C7E72"/>
    <w:rsid w:val="004D1414"/>
    <w:rsid w:val="004D1645"/>
    <w:rsid w:val="004D19AD"/>
    <w:rsid w:val="004D1BEE"/>
    <w:rsid w:val="004D2938"/>
    <w:rsid w:val="004D2EAB"/>
    <w:rsid w:val="004D331C"/>
    <w:rsid w:val="004D3479"/>
    <w:rsid w:val="004D3CEF"/>
    <w:rsid w:val="004D48EE"/>
    <w:rsid w:val="004D4B41"/>
    <w:rsid w:val="004D5458"/>
    <w:rsid w:val="004D5D19"/>
    <w:rsid w:val="004D641E"/>
    <w:rsid w:val="004D6F6D"/>
    <w:rsid w:val="004D7602"/>
    <w:rsid w:val="004D7F3E"/>
    <w:rsid w:val="004E0592"/>
    <w:rsid w:val="004E0B74"/>
    <w:rsid w:val="004E0CC5"/>
    <w:rsid w:val="004E0E6C"/>
    <w:rsid w:val="004E1A1E"/>
    <w:rsid w:val="004E23EA"/>
    <w:rsid w:val="004E25B1"/>
    <w:rsid w:val="004E267B"/>
    <w:rsid w:val="004E51E1"/>
    <w:rsid w:val="004E5FF5"/>
    <w:rsid w:val="004E60F2"/>
    <w:rsid w:val="004E67EE"/>
    <w:rsid w:val="004F0343"/>
    <w:rsid w:val="004F0871"/>
    <w:rsid w:val="004F0AEC"/>
    <w:rsid w:val="004F0F5B"/>
    <w:rsid w:val="004F1224"/>
    <w:rsid w:val="004F19E2"/>
    <w:rsid w:val="004F1B89"/>
    <w:rsid w:val="004F1E71"/>
    <w:rsid w:val="004F235C"/>
    <w:rsid w:val="004F3E20"/>
    <w:rsid w:val="004F4F84"/>
    <w:rsid w:val="004F53F9"/>
    <w:rsid w:val="004F5E15"/>
    <w:rsid w:val="004F6179"/>
    <w:rsid w:val="004F63EF"/>
    <w:rsid w:val="004F67FA"/>
    <w:rsid w:val="004F698C"/>
    <w:rsid w:val="004F77DD"/>
    <w:rsid w:val="004F7A30"/>
    <w:rsid w:val="005003B2"/>
    <w:rsid w:val="00501DFE"/>
    <w:rsid w:val="00502262"/>
    <w:rsid w:val="005030D9"/>
    <w:rsid w:val="00503F09"/>
    <w:rsid w:val="00503F61"/>
    <w:rsid w:val="005043B8"/>
    <w:rsid w:val="00504FBB"/>
    <w:rsid w:val="00505502"/>
    <w:rsid w:val="00505805"/>
    <w:rsid w:val="0050690A"/>
    <w:rsid w:val="00506B51"/>
    <w:rsid w:val="00507975"/>
    <w:rsid w:val="005079BF"/>
    <w:rsid w:val="00507FB6"/>
    <w:rsid w:val="00507FB8"/>
    <w:rsid w:val="0051012F"/>
    <w:rsid w:val="005106DD"/>
    <w:rsid w:val="005107C9"/>
    <w:rsid w:val="00510FCA"/>
    <w:rsid w:val="005125FB"/>
    <w:rsid w:val="00512D6F"/>
    <w:rsid w:val="00513034"/>
    <w:rsid w:val="00513C85"/>
    <w:rsid w:val="005142A5"/>
    <w:rsid w:val="00515516"/>
    <w:rsid w:val="00515825"/>
    <w:rsid w:val="00515CBF"/>
    <w:rsid w:val="00516E33"/>
    <w:rsid w:val="00516E97"/>
    <w:rsid w:val="005205BF"/>
    <w:rsid w:val="00520951"/>
    <w:rsid w:val="005211A9"/>
    <w:rsid w:val="00521B69"/>
    <w:rsid w:val="00521D6C"/>
    <w:rsid w:val="00522D72"/>
    <w:rsid w:val="00522F74"/>
    <w:rsid w:val="00523291"/>
    <w:rsid w:val="00523395"/>
    <w:rsid w:val="005233C0"/>
    <w:rsid w:val="005242FB"/>
    <w:rsid w:val="005246F7"/>
    <w:rsid w:val="00524A95"/>
    <w:rsid w:val="00527DB3"/>
    <w:rsid w:val="00527DC1"/>
    <w:rsid w:val="0053032E"/>
    <w:rsid w:val="0053041A"/>
    <w:rsid w:val="00530E08"/>
    <w:rsid w:val="00530F6D"/>
    <w:rsid w:val="00531221"/>
    <w:rsid w:val="0053140D"/>
    <w:rsid w:val="00532499"/>
    <w:rsid w:val="005326C7"/>
    <w:rsid w:val="00532980"/>
    <w:rsid w:val="00532A09"/>
    <w:rsid w:val="00532CDC"/>
    <w:rsid w:val="00532DFD"/>
    <w:rsid w:val="0053341E"/>
    <w:rsid w:val="00533FE0"/>
    <w:rsid w:val="005341DE"/>
    <w:rsid w:val="00534464"/>
    <w:rsid w:val="00535B31"/>
    <w:rsid w:val="00536123"/>
    <w:rsid w:val="00536344"/>
    <w:rsid w:val="005363E8"/>
    <w:rsid w:val="0053657C"/>
    <w:rsid w:val="00536800"/>
    <w:rsid w:val="005368E9"/>
    <w:rsid w:val="005409F1"/>
    <w:rsid w:val="005411C7"/>
    <w:rsid w:val="005411CE"/>
    <w:rsid w:val="0054143A"/>
    <w:rsid w:val="0054240B"/>
    <w:rsid w:val="005438EF"/>
    <w:rsid w:val="00543D1D"/>
    <w:rsid w:val="00543D64"/>
    <w:rsid w:val="0054470B"/>
    <w:rsid w:val="00544C72"/>
    <w:rsid w:val="005451D0"/>
    <w:rsid w:val="00545BF1"/>
    <w:rsid w:val="005467E6"/>
    <w:rsid w:val="00546B95"/>
    <w:rsid w:val="00547D4F"/>
    <w:rsid w:val="00547F6D"/>
    <w:rsid w:val="00550CD5"/>
    <w:rsid w:val="00551914"/>
    <w:rsid w:val="00551AE5"/>
    <w:rsid w:val="00551B81"/>
    <w:rsid w:val="00551FDE"/>
    <w:rsid w:val="005525AA"/>
    <w:rsid w:val="0055271A"/>
    <w:rsid w:val="00552B2B"/>
    <w:rsid w:val="005535DE"/>
    <w:rsid w:val="00554058"/>
    <w:rsid w:val="00554379"/>
    <w:rsid w:val="00554546"/>
    <w:rsid w:val="005551F8"/>
    <w:rsid w:val="005557DC"/>
    <w:rsid w:val="00556F2D"/>
    <w:rsid w:val="005570AA"/>
    <w:rsid w:val="005577CD"/>
    <w:rsid w:val="0055792E"/>
    <w:rsid w:val="005601F8"/>
    <w:rsid w:val="005602DF"/>
    <w:rsid w:val="005608A2"/>
    <w:rsid w:val="005628F9"/>
    <w:rsid w:val="00563271"/>
    <w:rsid w:val="005634EF"/>
    <w:rsid w:val="005636B9"/>
    <w:rsid w:val="0056389A"/>
    <w:rsid w:val="00563ABA"/>
    <w:rsid w:val="00563E79"/>
    <w:rsid w:val="0056414C"/>
    <w:rsid w:val="00564BDF"/>
    <w:rsid w:val="005653D3"/>
    <w:rsid w:val="0056578B"/>
    <w:rsid w:val="00565BAC"/>
    <w:rsid w:val="005666C4"/>
    <w:rsid w:val="005678F1"/>
    <w:rsid w:val="00567F25"/>
    <w:rsid w:val="005707F2"/>
    <w:rsid w:val="00570961"/>
    <w:rsid w:val="00570E54"/>
    <w:rsid w:val="00571E46"/>
    <w:rsid w:val="0057218C"/>
    <w:rsid w:val="005725F3"/>
    <w:rsid w:val="00573CC1"/>
    <w:rsid w:val="00573F4C"/>
    <w:rsid w:val="005755CD"/>
    <w:rsid w:val="005756E6"/>
    <w:rsid w:val="005759D8"/>
    <w:rsid w:val="00575D4C"/>
    <w:rsid w:val="00576167"/>
    <w:rsid w:val="00577075"/>
    <w:rsid w:val="0057794E"/>
    <w:rsid w:val="00577CFE"/>
    <w:rsid w:val="0058055E"/>
    <w:rsid w:val="00580995"/>
    <w:rsid w:val="0058156D"/>
    <w:rsid w:val="00581627"/>
    <w:rsid w:val="005818E9"/>
    <w:rsid w:val="0058272C"/>
    <w:rsid w:val="0058348C"/>
    <w:rsid w:val="00584177"/>
    <w:rsid w:val="00584EA8"/>
    <w:rsid w:val="005872F7"/>
    <w:rsid w:val="0058733E"/>
    <w:rsid w:val="00587A50"/>
    <w:rsid w:val="00587C87"/>
    <w:rsid w:val="00587D68"/>
    <w:rsid w:val="00591285"/>
    <w:rsid w:val="005918D1"/>
    <w:rsid w:val="00592430"/>
    <w:rsid w:val="00592993"/>
    <w:rsid w:val="00592BD2"/>
    <w:rsid w:val="00592F01"/>
    <w:rsid w:val="00595249"/>
    <w:rsid w:val="005959EC"/>
    <w:rsid w:val="00595C6D"/>
    <w:rsid w:val="00597126"/>
    <w:rsid w:val="00597740"/>
    <w:rsid w:val="005A0919"/>
    <w:rsid w:val="005A1570"/>
    <w:rsid w:val="005A2122"/>
    <w:rsid w:val="005A28EC"/>
    <w:rsid w:val="005A2C80"/>
    <w:rsid w:val="005A2CDE"/>
    <w:rsid w:val="005A2EDC"/>
    <w:rsid w:val="005A3068"/>
    <w:rsid w:val="005A31D7"/>
    <w:rsid w:val="005A332F"/>
    <w:rsid w:val="005A35FB"/>
    <w:rsid w:val="005A4C22"/>
    <w:rsid w:val="005A4F52"/>
    <w:rsid w:val="005A64BF"/>
    <w:rsid w:val="005A7322"/>
    <w:rsid w:val="005A76E8"/>
    <w:rsid w:val="005A7C25"/>
    <w:rsid w:val="005B0551"/>
    <w:rsid w:val="005B088A"/>
    <w:rsid w:val="005B0E02"/>
    <w:rsid w:val="005B12F3"/>
    <w:rsid w:val="005B1C94"/>
    <w:rsid w:val="005B3177"/>
    <w:rsid w:val="005B34D3"/>
    <w:rsid w:val="005B35C1"/>
    <w:rsid w:val="005B3F0E"/>
    <w:rsid w:val="005B4334"/>
    <w:rsid w:val="005B45C2"/>
    <w:rsid w:val="005B4D44"/>
    <w:rsid w:val="005B5925"/>
    <w:rsid w:val="005B59CE"/>
    <w:rsid w:val="005B5BB5"/>
    <w:rsid w:val="005B5CD7"/>
    <w:rsid w:val="005B5F71"/>
    <w:rsid w:val="005B6626"/>
    <w:rsid w:val="005B6BAF"/>
    <w:rsid w:val="005B712B"/>
    <w:rsid w:val="005B712F"/>
    <w:rsid w:val="005C0BB5"/>
    <w:rsid w:val="005C0EC8"/>
    <w:rsid w:val="005C150B"/>
    <w:rsid w:val="005C2509"/>
    <w:rsid w:val="005C25BF"/>
    <w:rsid w:val="005C302D"/>
    <w:rsid w:val="005C31BD"/>
    <w:rsid w:val="005C3E5A"/>
    <w:rsid w:val="005C3F7B"/>
    <w:rsid w:val="005C4BC0"/>
    <w:rsid w:val="005C4CD6"/>
    <w:rsid w:val="005C5132"/>
    <w:rsid w:val="005C51A3"/>
    <w:rsid w:val="005C61B0"/>
    <w:rsid w:val="005C66FC"/>
    <w:rsid w:val="005C6A71"/>
    <w:rsid w:val="005C6E50"/>
    <w:rsid w:val="005C7A89"/>
    <w:rsid w:val="005D0272"/>
    <w:rsid w:val="005D260A"/>
    <w:rsid w:val="005D2F43"/>
    <w:rsid w:val="005D3574"/>
    <w:rsid w:val="005D3B3F"/>
    <w:rsid w:val="005D3CB7"/>
    <w:rsid w:val="005D3E3D"/>
    <w:rsid w:val="005D410D"/>
    <w:rsid w:val="005D4213"/>
    <w:rsid w:val="005D4D26"/>
    <w:rsid w:val="005D4D45"/>
    <w:rsid w:val="005D5428"/>
    <w:rsid w:val="005D573F"/>
    <w:rsid w:val="005D6F45"/>
    <w:rsid w:val="005D77E1"/>
    <w:rsid w:val="005D7A3F"/>
    <w:rsid w:val="005D7F2B"/>
    <w:rsid w:val="005E01E1"/>
    <w:rsid w:val="005E031A"/>
    <w:rsid w:val="005E088E"/>
    <w:rsid w:val="005E0940"/>
    <w:rsid w:val="005E0D71"/>
    <w:rsid w:val="005E2766"/>
    <w:rsid w:val="005E2CD5"/>
    <w:rsid w:val="005E36A8"/>
    <w:rsid w:val="005E3D8D"/>
    <w:rsid w:val="005E4058"/>
    <w:rsid w:val="005E4795"/>
    <w:rsid w:val="005E4EA4"/>
    <w:rsid w:val="005E50FB"/>
    <w:rsid w:val="005E5789"/>
    <w:rsid w:val="005E59E8"/>
    <w:rsid w:val="005E7A3F"/>
    <w:rsid w:val="005F010A"/>
    <w:rsid w:val="005F01F5"/>
    <w:rsid w:val="005F076B"/>
    <w:rsid w:val="005F1117"/>
    <w:rsid w:val="005F1438"/>
    <w:rsid w:val="005F1444"/>
    <w:rsid w:val="005F14B6"/>
    <w:rsid w:val="005F2419"/>
    <w:rsid w:val="005F296F"/>
    <w:rsid w:val="005F2F63"/>
    <w:rsid w:val="005F4ACD"/>
    <w:rsid w:val="005F4D60"/>
    <w:rsid w:val="005F56E2"/>
    <w:rsid w:val="005F572A"/>
    <w:rsid w:val="005F6EE2"/>
    <w:rsid w:val="006003A1"/>
    <w:rsid w:val="0060122E"/>
    <w:rsid w:val="0060179D"/>
    <w:rsid w:val="00601B41"/>
    <w:rsid w:val="00602775"/>
    <w:rsid w:val="00602B90"/>
    <w:rsid w:val="00603F5A"/>
    <w:rsid w:val="006049D7"/>
    <w:rsid w:val="00605658"/>
    <w:rsid w:val="0060666A"/>
    <w:rsid w:val="00606F72"/>
    <w:rsid w:val="006070A5"/>
    <w:rsid w:val="006073E2"/>
    <w:rsid w:val="00607B6D"/>
    <w:rsid w:val="00607D30"/>
    <w:rsid w:val="00611715"/>
    <w:rsid w:val="00611B93"/>
    <w:rsid w:val="00612643"/>
    <w:rsid w:val="006133D1"/>
    <w:rsid w:val="00613AAC"/>
    <w:rsid w:val="00613BEB"/>
    <w:rsid w:val="00614852"/>
    <w:rsid w:val="00614AC5"/>
    <w:rsid w:val="0061522B"/>
    <w:rsid w:val="00615666"/>
    <w:rsid w:val="006158DF"/>
    <w:rsid w:val="00616125"/>
    <w:rsid w:val="00616177"/>
    <w:rsid w:val="00616600"/>
    <w:rsid w:val="00616BF7"/>
    <w:rsid w:val="00617218"/>
    <w:rsid w:val="00617E85"/>
    <w:rsid w:val="00620405"/>
    <w:rsid w:val="00620A3F"/>
    <w:rsid w:val="00621414"/>
    <w:rsid w:val="0062227F"/>
    <w:rsid w:val="006227BA"/>
    <w:rsid w:val="00622E2D"/>
    <w:rsid w:val="00622F7F"/>
    <w:rsid w:val="00623119"/>
    <w:rsid w:val="006234E3"/>
    <w:rsid w:val="00623C58"/>
    <w:rsid w:val="006240D0"/>
    <w:rsid w:val="00624B6D"/>
    <w:rsid w:val="00624C7E"/>
    <w:rsid w:val="00624CB0"/>
    <w:rsid w:val="00625C81"/>
    <w:rsid w:val="00626116"/>
    <w:rsid w:val="00626CE5"/>
    <w:rsid w:val="00626E76"/>
    <w:rsid w:val="00633646"/>
    <w:rsid w:val="00633B4C"/>
    <w:rsid w:val="00633E15"/>
    <w:rsid w:val="00634956"/>
    <w:rsid w:val="00634ECF"/>
    <w:rsid w:val="00634FA1"/>
    <w:rsid w:val="00635B53"/>
    <w:rsid w:val="00635B6B"/>
    <w:rsid w:val="00635C84"/>
    <w:rsid w:val="00635FE3"/>
    <w:rsid w:val="00636152"/>
    <w:rsid w:val="00636C19"/>
    <w:rsid w:val="006403FA"/>
    <w:rsid w:val="00642150"/>
    <w:rsid w:val="00642BDF"/>
    <w:rsid w:val="00642D44"/>
    <w:rsid w:val="00642E03"/>
    <w:rsid w:val="00643770"/>
    <w:rsid w:val="00643DC6"/>
    <w:rsid w:val="00644168"/>
    <w:rsid w:val="00644D78"/>
    <w:rsid w:val="00644FF1"/>
    <w:rsid w:val="00645518"/>
    <w:rsid w:val="006456D2"/>
    <w:rsid w:val="00645CD7"/>
    <w:rsid w:val="00646738"/>
    <w:rsid w:val="0064685E"/>
    <w:rsid w:val="00647601"/>
    <w:rsid w:val="0064780D"/>
    <w:rsid w:val="00647C3A"/>
    <w:rsid w:val="00647E1E"/>
    <w:rsid w:val="00650570"/>
    <w:rsid w:val="00650725"/>
    <w:rsid w:val="00651423"/>
    <w:rsid w:val="00653433"/>
    <w:rsid w:val="0065343A"/>
    <w:rsid w:val="00653543"/>
    <w:rsid w:val="00655122"/>
    <w:rsid w:val="00655584"/>
    <w:rsid w:val="00656006"/>
    <w:rsid w:val="0065642D"/>
    <w:rsid w:val="00656D47"/>
    <w:rsid w:val="006576BA"/>
    <w:rsid w:val="0065778C"/>
    <w:rsid w:val="00657D18"/>
    <w:rsid w:val="0066092F"/>
    <w:rsid w:val="00660E6D"/>
    <w:rsid w:val="006624FE"/>
    <w:rsid w:val="00662A0C"/>
    <w:rsid w:val="00662C59"/>
    <w:rsid w:val="006634E5"/>
    <w:rsid w:val="00663B54"/>
    <w:rsid w:val="00663CB0"/>
    <w:rsid w:val="0066418A"/>
    <w:rsid w:val="0066587D"/>
    <w:rsid w:val="00666124"/>
    <w:rsid w:val="006668B3"/>
    <w:rsid w:val="00666F6B"/>
    <w:rsid w:val="00667963"/>
    <w:rsid w:val="00667C10"/>
    <w:rsid w:val="0067003B"/>
    <w:rsid w:val="0067096B"/>
    <w:rsid w:val="00670E43"/>
    <w:rsid w:val="00670E54"/>
    <w:rsid w:val="006720A1"/>
    <w:rsid w:val="0067264E"/>
    <w:rsid w:val="00672A82"/>
    <w:rsid w:val="00673997"/>
    <w:rsid w:val="00673B4C"/>
    <w:rsid w:val="006741A2"/>
    <w:rsid w:val="006745D3"/>
    <w:rsid w:val="00675683"/>
    <w:rsid w:val="006762F3"/>
    <w:rsid w:val="00677BC0"/>
    <w:rsid w:val="006808CA"/>
    <w:rsid w:val="006813F5"/>
    <w:rsid w:val="00681413"/>
    <w:rsid w:val="00681C44"/>
    <w:rsid w:val="00681DDE"/>
    <w:rsid w:val="00683086"/>
    <w:rsid w:val="00683D2A"/>
    <w:rsid w:val="00683EE1"/>
    <w:rsid w:val="0068403C"/>
    <w:rsid w:val="00684220"/>
    <w:rsid w:val="00684385"/>
    <w:rsid w:val="00684739"/>
    <w:rsid w:val="006849CA"/>
    <w:rsid w:val="00684E82"/>
    <w:rsid w:val="006853EE"/>
    <w:rsid w:val="00685E12"/>
    <w:rsid w:val="0068616D"/>
    <w:rsid w:val="00686A91"/>
    <w:rsid w:val="006909F9"/>
    <w:rsid w:val="00690EF1"/>
    <w:rsid w:val="0069107D"/>
    <w:rsid w:val="00692305"/>
    <w:rsid w:val="00692EA9"/>
    <w:rsid w:val="0069331D"/>
    <w:rsid w:val="006936D8"/>
    <w:rsid w:val="00693A41"/>
    <w:rsid w:val="00693B4C"/>
    <w:rsid w:val="0069432D"/>
    <w:rsid w:val="00694711"/>
    <w:rsid w:val="006947D2"/>
    <w:rsid w:val="00694E17"/>
    <w:rsid w:val="00694EB5"/>
    <w:rsid w:val="006959AC"/>
    <w:rsid w:val="006968F3"/>
    <w:rsid w:val="00696CEB"/>
    <w:rsid w:val="00697058"/>
    <w:rsid w:val="006971E3"/>
    <w:rsid w:val="00697C64"/>
    <w:rsid w:val="006A0C5C"/>
    <w:rsid w:val="006A1382"/>
    <w:rsid w:val="006A1B2D"/>
    <w:rsid w:val="006A1C3D"/>
    <w:rsid w:val="006A1D38"/>
    <w:rsid w:val="006A1ED2"/>
    <w:rsid w:val="006A22BA"/>
    <w:rsid w:val="006A26F3"/>
    <w:rsid w:val="006A28FA"/>
    <w:rsid w:val="006A29CE"/>
    <w:rsid w:val="006A3458"/>
    <w:rsid w:val="006A37C5"/>
    <w:rsid w:val="006A3EDD"/>
    <w:rsid w:val="006A45AA"/>
    <w:rsid w:val="006A485F"/>
    <w:rsid w:val="006A4E81"/>
    <w:rsid w:val="006A50CF"/>
    <w:rsid w:val="006A523A"/>
    <w:rsid w:val="006A6409"/>
    <w:rsid w:val="006A6463"/>
    <w:rsid w:val="006A6717"/>
    <w:rsid w:val="006A6C1F"/>
    <w:rsid w:val="006A7183"/>
    <w:rsid w:val="006A729F"/>
    <w:rsid w:val="006A7753"/>
    <w:rsid w:val="006A7D89"/>
    <w:rsid w:val="006A7FD7"/>
    <w:rsid w:val="006B0353"/>
    <w:rsid w:val="006B0541"/>
    <w:rsid w:val="006B0CB6"/>
    <w:rsid w:val="006B0D4C"/>
    <w:rsid w:val="006B2C75"/>
    <w:rsid w:val="006B3369"/>
    <w:rsid w:val="006B3682"/>
    <w:rsid w:val="006B3984"/>
    <w:rsid w:val="006B3A42"/>
    <w:rsid w:val="006B407F"/>
    <w:rsid w:val="006B44C5"/>
    <w:rsid w:val="006B4923"/>
    <w:rsid w:val="006B4B70"/>
    <w:rsid w:val="006B53DD"/>
    <w:rsid w:val="006B6056"/>
    <w:rsid w:val="006B65AC"/>
    <w:rsid w:val="006B6872"/>
    <w:rsid w:val="006B71BF"/>
    <w:rsid w:val="006B7F45"/>
    <w:rsid w:val="006C06C3"/>
    <w:rsid w:val="006C0D36"/>
    <w:rsid w:val="006C0DBA"/>
    <w:rsid w:val="006C16D9"/>
    <w:rsid w:val="006C18F1"/>
    <w:rsid w:val="006C28AB"/>
    <w:rsid w:val="006C31B8"/>
    <w:rsid w:val="006C34CD"/>
    <w:rsid w:val="006C3DB3"/>
    <w:rsid w:val="006C3EF5"/>
    <w:rsid w:val="006C518F"/>
    <w:rsid w:val="006C5283"/>
    <w:rsid w:val="006C740B"/>
    <w:rsid w:val="006C75CA"/>
    <w:rsid w:val="006C7A76"/>
    <w:rsid w:val="006D00BA"/>
    <w:rsid w:val="006D024C"/>
    <w:rsid w:val="006D0480"/>
    <w:rsid w:val="006D0EB9"/>
    <w:rsid w:val="006D18E0"/>
    <w:rsid w:val="006D1C8F"/>
    <w:rsid w:val="006D2382"/>
    <w:rsid w:val="006D2A27"/>
    <w:rsid w:val="006D37D9"/>
    <w:rsid w:val="006D3987"/>
    <w:rsid w:val="006D4BBA"/>
    <w:rsid w:val="006D505F"/>
    <w:rsid w:val="006D5A13"/>
    <w:rsid w:val="006D5C51"/>
    <w:rsid w:val="006D7294"/>
    <w:rsid w:val="006D748B"/>
    <w:rsid w:val="006D795C"/>
    <w:rsid w:val="006D7A48"/>
    <w:rsid w:val="006E11C5"/>
    <w:rsid w:val="006E16AC"/>
    <w:rsid w:val="006E196D"/>
    <w:rsid w:val="006E204A"/>
    <w:rsid w:val="006E26CA"/>
    <w:rsid w:val="006E2F1D"/>
    <w:rsid w:val="006E3D07"/>
    <w:rsid w:val="006E482F"/>
    <w:rsid w:val="006E4A53"/>
    <w:rsid w:val="006E52DB"/>
    <w:rsid w:val="006E5CE4"/>
    <w:rsid w:val="006E6595"/>
    <w:rsid w:val="006E67E6"/>
    <w:rsid w:val="006E6C79"/>
    <w:rsid w:val="006E7143"/>
    <w:rsid w:val="006E73C0"/>
    <w:rsid w:val="006E7D19"/>
    <w:rsid w:val="006F0146"/>
    <w:rsid w:val="006F09F6"/>
    <w:rsid w:val="006F0AA7"/>
    <w:rsid w:val="006F20A3"/>
    <w:rsid w:val="006F2BB2"/>
    <w:rsid w:val="006F2D93"/>
    <w:rsid w:val="006F30A7"/>
    <w:rsid w:val="006F32D2"/>
    <w:rsid w:val="006F3DF6"/>
    <w:rsid w:val="006F4842"/>
    <w:rsid w:val="006F48A0"/>
    <w:rsid w:val="006F4B32"/>
    <w:rsid w:val="006F4D7E"/>
    <w:rsid w:val="006F5218"/>
    <w:rsid w:val="006F5328"/>
    <w:rsid w:val="006F5370"/>
    <w:rsid w:val="006F5C39"/>
    <w:rsid w:val="006F66A0"/>
    <w:rsid w:val="006F66F7"/>
    <w:rsid w:val="006F7A79"/>
    <w:rsid w:val="006F7CD3"/>
    <w:rsid w:val="00700025"/>
    <w:rsid w:val="0070032E"/>
    <w:rsid w:val="00700D1A"/>
    <w:rsid w:val="00701999"/>
    <w:rsid w:val="00701D04"/>
    <w:rsid w:val="007027C7"/>
    <w:rsid w:val="00703959"/>
    <w:rsid w:val="00704AF7"/>
    <w:rsid w:val="00705849"/>
    <w:rsid w:val="0070597C"/>
    <w:rsid w:val="00706664"/>
    <w:rsid w:val="00707496"/>
    <w:rsid w:val="00707CE8"/>
    <w:rsid w:val="00711116"/>
    <w:rsid w:val="007114A9"/>
    <w:rsid w:val="00711CD5"/>
    <w:rsid w:val="00711ECD"/>
    <w:rsid w:val="00712475"/>
    <w:rsid w:val="00712561"/>
    <w:rsid w:val="007125BE"/>
    <w:rsid w:val="0071278D"/>
    <w:rsid w:val="00712D3B"/>
    <w:rsid w:val="00712EA2"/>
    <w:rsid w:val="0071322D"/>
    <w:rsid w:val="007135FE"/>
    <w:rsid w:val="00713DF1"/>
    <w:rsid w:val="007147E0"/>
    <w:rsid w:val="00714DF7"/>
    <w:rsid w:val="007151E5"/>
    <w:rsid w:val="007155AF"/>
    <w:rsid w:val="0071683B"/>
    <w:rsid w:val="00716FC8"/>
    <w:rsid w:val="0071704E"/>
    <w:rsid w:val="007170CA"/>
    <w:rsid w:val="007175DA"/>
    <w:rsid w:val="00717A14"/>
    <w:rsid w:val="00717CD3"/>
    <w:rsid w:val="00717FE9"/>
    <w:rsid w:val="007203F2"/>
    <w:rsid w:val="007216E2"/>
    <w:rsid w:val="00721B6C"/>
    <w:rsid w:val="007220D3"/>
    <w:rsid w:val="00722209"/>
    <w:rsid w:val="007224B4"/>
    <w:rsid w:val="007234E4"/>
    <w:rsid w:val="0072374C"/>
    <w:rsid w:val="00724951"/>
    <w:rsid w:val="00724EA9"/>
    <w:rsid w:val="007251B3"/>
    <w:rsid w:val="0072590B"/>
    <w:rsid w:val="0072696F"/>
    <w:rsid w:val="00726B7B"/>
    <w:rsid w:val="00726C81"/>
    <w:rsid w:val="00727231"/>
    <w:rsid w:val="00730A50"/>
    <w:rsid w:val="00730D7C"/>
    <w:rsid w:val="00731AF9"/>
    <w:rsid w:val="00731BF1"/>
    <w:rsid w:val="007323FC"/>
    <w:rsid w:val="00732DED"/>
    <w:rsid w:val="00736363"/>
    <w:rsid w:val="007367D2"/>
    <w:rsid w:val="0073696C"/>
    <w:rsid w:val="00737084"/>
    <w:rsid w:val="007373C2"/>
    <w:rsid w:val="007378DE"/>
    <w:rsid w:val="00737AA0"/>
    <w:rsid w:val="00737E7E"/>
    <w:rsid w:val="00740328"/>
    <w:rsid w:val="00740489"/>
    <w:rsid w:val="007404A3"/>
    <w:rsid w:val="0074051F"/>
    <w:rsid w:val="0074112B"/>
    <w:rsid w:val="00741453"/>
    <w:rsid w:val="0074186D"/>
    <w:rsid w:val="0074200F"/>
    <w:rsid w:val="00742DF0"/>
    <w:rsid w:val="00743D52"/>
    <w:rsid w:val="00744ECF"/>
    <w:rsid w:val="00744F42"/>
    <w:rsid w:val="0074588B"/>
    <w:rsid w:val="007460B1"/>
    <w:rsid w:val="007463A4"/>
    <w:rsid w:val="007478E0"/>
    <w:rsid w:val="00747D5E"/>
    <w:rsid w:val="00751214"/>
    <w:rsid w:val="0075126B"/>
    <w:rsid w:val="007518E3"/>
    <w:rsid w:val="007524C9"/>
    <w:rsid w:val="00753D94"/>
    <w:rsid w:val="007554AC"/>
    <w:rsid w:val="007555AD"/>
    <w:rsid w:val="007558A1"/>
    <w:rsid w:val="00756987"/>
    <w:rsid w:val="00757198"/>
    <w:rsid w:val="0075734C"/>
    <w:rsid w:val="007573ED"/>
    <w:rsid w:val="00757A93"/>
    <w:rsid w:val="00757EE2"/>
    <w:rsid w:val="00757F1B"/>
    <w:rsid w:val="007603E8"/>
    <w:rsid w:val="00760A57"/>
    <w:rsid w:val="007613BD"/>
    <w:rsid w:val="007623B7"/>
    <w:rsid w:val="00762E9B"/>
    <w:rsid w:val="00763AED"/>
    <w:rsid w:val="00764812"/>
    <w:rsid w:val="00764846"/>
    <w:rsid w:val="00764D73"/>
    <w:rsid w:val="00765513"/>
    <w:rsid w:val="0076576E"/>
    <w:rsid w:val="00766D46"/>
    <w:rsid w:val="00767930"/>
    <w:rsid w:val="00767B18"/>
    <w:rsid w:val="00767F76"/>
    <w:rsid w:val="00770AFC"/>
    <w:rsid w:val="00770B21"/>
    <w:rsid w:val="0077189A"/>
    <w:rsid w:val="0077201B"/>
    <w:rsid w:val="00773610"/>
    <w:rsid w:val="00773B73"/>
    <w:rsid w:val="00773C10"/>
    <w:rsid w:val="0077518A"/>
    <w:rsid w:val="00775D82"/>
    <w:rsid w:val="00776781"/>
    <w:rsid w:val="007771BC"/>
    <w:rsid w:val="00780A66"/>
    <w:rsid w:val="00781455"/>
    <w:rsid w:val="007827CC"/>
    <w:rsid w:val="00782841"/>
    <w:rsid w:val="00782C18"/>
    <w:rsid w:val="007833BA"/>
    <w:rsid w:val="00784500"/>
    <w:rsid w:val="00785116"/>
    <w:rsid w:val="00785F65"/>
    <w:rsid w:val="0078783B"/>
    <w:rsid w:val="00787A5A"/>
    <w:rsid w:val="00787E13"/>
    <w:rsid w:val="00791DF7"/>
    <w:rsid w:val="00792251"/>
    <w:rsid w:val="00792A0E"/>
    <w:rsid w:val="007946D4"/>
    <w:rsid w:val="00794B58"/>
    <w:rsid w:val="007954BF"/>
    <w:rsid w:val="007966D1"/>
    <w:rsid w:val="00796ABA"/>
    <w:rsid w:val="007A0266"/>
    <w:rsid w:val="007A04B2"/>
    <w:rsid w:val="007A0F38"/>
    <w:rsid w:val="007A1552"/>
    <w:rsid w:val="007A2C5B"/>
    <w:rsid w:val="007A6200"/>
    <w:rsid w:val="007A6269"/>
    <w:rsid w:val="007A6C6B"/>
    <w:rsid w:val="007B018B"/>
    <w:rsid w:val="007B1554"/>
    <w:rsid w:val="007B1B6E"/>
    <w:rsid w:val="007B27F1"/>
    <w:rsid w:val="007B2F1B"/>
    <w:rsid w:val="007B42B9"/>
    <w:rsid w:val="007B5732"/>
    <w:rsid w:val="007B6C18"/>
    <w:rsid w:val="007B7C5C"/>
    <w:rsid w:val="007C0089"/>
    <w:rsid w:val="007C00AD"/>
    <w:rsid w:val="007C012A"/>
    <w:rsid w:val="007C02AB"/>
    <w:rsid w:val="007C0FFC"/>
    <w:rsid w:val="007C2528"/>
    <w:rsid w:val="007C2B7E"/>
    <w:rsid w:val="007C2C29"/>
    <w:rsid w:val="007C30CD"/>
    <w:rsid w:val="007C4764"/>
    <w:rsid w:val="007C527F"/>
    <w:rsid w:val="007C5AD7"/>
    <w:rsid w:val="007C60C8"/>
    <w:rsid w:val="007C66F2"/>
    <w:rsid w:val="007C68A0"/>
    <w:rsid w:val="007C7740"/>
    <w:rsid w:val="007C7E49"/>
    <w:rsid w:val="007D04BA"/>
    <w:rsid w:val="007D0703"/>
    <w:rsid w:val="007D07E8"/>
    <w:rsid w:val="007D124C"/>
    <w:rsid w:val="007D1965"/>
    <w:rsid w:val="007D1C44"/>
    <w:rsid w:val="007D2BB3"/>
    <w:rsid w:val="007D2F61"/>
    <w:rsid w:val="007D3161"/>
    <w:rsid w:val="007D4B12"/>
    <w:rsid w:val="007D4BFB"/>
    <w:rsid w:val="007D6E3A"/>
    <w:rsid w:val="007D71CC"/>
    <w:rsid w:val="007D76F1"/>
    <w:rsid w:val="007D7E78"/>
    <w:rsid w:val="007E0151"/>
    <w:rsid w:val="007E0165"/>
    <w:rsid w:val="007E02BD"/>
    <w:rsid w:val="007E0F65"/>
    <w:rsid w:val="007E143C"/>
    <w:rsid w:val="007E1589"/>
    <w:rsid w:val="007E2475"/>
    <w:rsid w:val="007E2549"/>
    <w:rsid w:val="007E2C23"/>
    <w:rsid w:val="007E315C"/>
    <w:rsid w:val="007E3492"/>
    <w:rsid w:val="007E35C6"/>
    <w:rsid w:val="007E3A86"/>
    <w:rsid w:val="007E3AEA"/>
    <w:rsid w:val="007E4091"/>
    <w:rsid w:val="007E4402"/>
    <w:rsid w:val="007E562B"/>
    <w:rsid w:val="007E5681"/>
    <w:rsid w:val="007E7A71"/>
    <w:rsid w:val="007E7D34"/>
    <w:rsid w:val="007F04E8"/>
    <w:rsid w:val="007F0944"/>
    <w:rsid w:val="007F1F6A"/>
    <w:rsid w:val="007F313E"/>
    <w:rsid w:val="007F3BC9"/>
    <w:rsid w:val="007F3C9D"/>
    <w:rsid w:val="007F3CFE"/>
    <w:rsid w:val="007F3E8F"/>
    <w:rsid w:val="007F3F71"/>
    <w:rsid w:val="007F43D6"/>
    <w:rsid w:val="007F4C95"/>
    <w:rsid w:val="007F5A5A"/>
    <w:rsid w:val="007F5D97"/>
    <w:rsid w:val="007F63EF"/>
    <w:rsid w:val="007F6D93"/>
    <w:rsid w:val="007F7304"/>
    <w:rsid w:val="00800405"/>
    <w:rsid w:val="00800DD3"/>
    <w:rsid w:val="00801107"/>
    <w:rsid w:val="00801370"/>
    <w:rsid w:val="00801A22"/>
    <w:rsid w:val="00801D62"/>
    <w:rsid w:val="008020C9"/>
    <w:rsid w:val="00802816"/>
    <w:rsid w:val="0080353D"/>
    <w:rsid w:val="00803E56"/>
    <w:rsid w:val="008040CC"/>
    <w:rsid w:val="00804C8F"/>
    <w:rsid w:val="00804D09"/>
    <w:rsid w:val="00804F85"/>
    <w:rsid w:val="0080519B"/>
    <w:rsid w:val="00805BF3"/>
    <w:rsid w:val="0080674C"/>
    <w:rsid w:val="00807193"/>
    <w:rsid w:val="0081045A"/>
    <w:rsid w:val="00810713"/>
    <w:rsid w:val="008109FD"/>
    <w:rsid w:val="008110B8"/>
    <w:rsid w:val="008115EA"/>
    <w:rsid w:val="00811CA8"/>
    <w:rsid w:val="00812E3B"/>
    <w:rsid w:val="00814522"/>
    <w:rsid w:val="008149A1"/>
    <w:rsid w:val="00814F9D"/>
    <w:rsid w:val="008159F1"/>
    <w:rsid w:val="008165DC"/>
    <w:rsid w:val="0081741B"/>
    <w:rsid w:val="00817DDA"/>
    <w:rsid w:val="00822964"/>
    <w:rsid w:val="00823778"/>
    <w:rsid w:val="00823B84"/>
    <w:rsid w:val="00823D8B"/>
    <w:rsid w:val="00823DAC"/>
    <w:rsid w:val="00824EF7"/>
    <w:rsid w:val="0082737E"/>
    <w:rsid w:val="00827C53"/>
    <w:rsid w:val="0083034E"/>
    <w:rsid w:val="00830F97"/>
    <w:rsid w:val="008316CE"/>
    <w:rsid w:val="00831A91"/>
    <w:rsid w:val="00831E72"/>
    <w:rsid w:val="0083205B"/>
    <w:rsid w:val="00832907"/>
    <w:rsid w:val="00833391"/>
    <w:rsid w:val="0083372E"/>
    <w:rsid w:val="00834585"/>
    <w:rsid w:val="00834EF2"/>
    <w:rsid w:val="00834FAC"/>
    <w:rsid w:val="00835B28"/>
    <w:rsid w:val="00836BF0"/>
    <w:rsid w:val="0084045E"/>
    <w:rsid w:val="00842CE5"/>
    <w:rsid w:val="0084371D"/>
    <w:rsid w:val="008438E6"/>
    <w:rsid w:val="008439B1"/>
    <w:rsid w:val="00843FB1"/>
    <w:rsid w:val="008445B9"/>
    <w:rsid w:val="00844BEB"/>
    <w:rsid w:val="00844D74"/>
    <w:rsid w:val="00844DA0"/>
    <w:rsid w:val="00845F1C"/>
    <w:rsid w:val="0084734F"/>
    <w:rsid w:val="00847EBE"/>
    <w:rsid w:val="0085043E"/>
    <w:rsid w:val="00851CEF"/>
    <w:rsid w:val="0085259B"/>
    <w:rsid w:val="00852FAC"/>
    <w:rsid w:val="0085355E"/>
    <w:rsid w:val="00854959"/>
    <w:rsid w:val="00854A76"/>
    <w:rsid w:val="00854AA2"/>
    <w:rsid w:val="00855812"/>
    <w:rsid w:val="0085585F"/>
    <w:rsid w:val="00856E20"/>
    <w:rsid w:val="008576E9"/>
    <w:rsid w:val="0085791B"/>
    <w:rsid w:val="00857F56"/>
    <w:rsid w:val="00860F11"/>
    <w:rsid w:val="00861AF6"/>
    <w:rsid w:val="00862055"/>
    <w:rsid w:val="00862A24"/>
    <w:rsid w:val="00863332"/>
    <w:rsid w:val="00864F87"/>
    <w:rsid w:val="008665E6"/>
    <w:rsid w:val="0086729D"/>
    <w:rsid w:val="0086756F"/>
    <w:rsid w:val="00867FFB"/>
    <w:rsid w:val="00870CF1"/>
    <w:rsid w:val="00871222"/>
    <w:rsid w:val="00871EE6"/>
    <w:rsid w:val="00872C03"/>
    <w:rsid w:val="00872F30"/>
    <w:rsid w:val="008732F4"/>
    <w:rsid w:val="00873433"/>
    <w:rsid w:val="0087512F"/>
    <w:rsid w:val="00876544"/>
    <w:rsid w:val="00877263"/>
    <w:rsid w:val="008775F8"/>
    <w:rsid w:val="00877A1C"/>
    <w:rsid w:val="0088069F"/>
    <w:rsid w:val="00880906"/>
    <w:rsid w:val="00880F3D"/>
    <w:rsid w:val="00883D25"/>
    <w:rsid w:val="00883E90"/>
    <w:rsid w:val="00884E76"/>
    <w:rsid w:val="00885943"/>
    <w:rsid w:val="00885EA3"/>
    <w:rsid w:val="0088773E"/>
    <w:rsid w:val="0088791F"/>
    <w:rsid w:val="008927E1"/>
    <w:rsid w:val="008928A9"/>
    <w:rsid w:val="0089315E"/>
    <w:rsid w:val="00893281"/>
    <w:rsid w:val="008933C6"/>
    <w:rsid w:val="0089440F"/>
    <w:rsid w:val="008945DD"/>
    <w:rsid w:val="008947D2"/>
    <w:rsid w:val="00894830"/>
    <w:rsid w:val="00895432"/>
    <w:rsid w:val="00895636"/>
    <w:rsid w:val="00896325"/>
    <w:rsid w:val="008964F8"/>
    <w:rsid w:val="008965FD"/>
    <w:rsid w:val="008A0619"/>
    <w:rsid w:val="008A1133"/>
    <w:rsid w:val="008A23FE"/>
    <w:rsid w:val="008A2657"/>
    <w:rsid w:val="008A29BE"/>
    <w:rsid w:val="008A2A1A"/>
    <w:rsid w:val="008A4A5E"/>
    <w:rsid w:val="008A51DA"/>
    <w:rsid w:val="008A5234"/>
    <w:rsid w:val="008A6040"/>
    <w:rsid w:val="008B1163"/>
    <w:rsid w:val="008B1178"/>
    <w:rsid w:val="008B2B8C"/>
    <w:rsid w:val="008B2E20"/>
    <w:rsid w:val="008B3823"/>
    <w:rsid w:val="008B3A10"/>
    <w:rsid w:val="008B62B8"/>
    <w:rsid w:val="008B62E4"/>
    <w:rsid w:val="008B646E"/>
    <w:rsid w:val="008B7229"/>
    <w:rsid w:val="008B748C"/>
    <w:rsid w:val="008B75D0"/>
    <w:rsid w:val="008C0595"/>
    <w:rsid w:val="008C07DA"/>
    <w:rsid w:val="008C105C"/>
    <w:rsid w:val="008C155A"/>
    <w:rsid w:val="008C26F6"/>
    <w:rsid w:val="008C3FBB"/>
    <w:rsid w:val="008C502E"/>
    <w:rsid w:val="008C5615"/>
    <w:rsid w:val="008C5D5E"/>
    <w:rsid w:val="008C7925"/>
    <w:rsid w:val="008D02B5"/>
    <w:rsid w:val="008D0656"/>
    <w:rsid w:val="008D1755"/>
    <w:rsid w:val="008D2390"/>
    <w:rsid w:val="008D382A"/>
    <w:rsid w:val="008D3AEE"/>
    <w:rsid w:val="008D465C"/>
    <w:rsid w:val="008D51AB"/>
    <w:rsid w:val="008D5631"/>
    <w:rsid w:val="008D5678"/>
    <w:rsid w:val="008D5C4B"/>
    <w:rsid w:val="008D5E50"/>
    <w:rsid w:val="008D6624"/>
    <w:rsid w:val="008D725A"/>
    <w:rsid w:val="008D7E48"/>
    <w:rsid w:val="008D7F45"/>
    <w:rsid w:val="008E0276"/>
    <w:rsid w:val="008E03CF"/>
    <w:rsid w:val="008E0C06"/>
    <w:rsid w:val="008E0D04"/>
    <w:rsid w:val="008E1495"/>
    <w:rsid w:val="008E257E"/>
    <w:rsid w:val="008E28E0"/>
    <w:rsid w:val="008E2A60"/>
    <w:rsid w:val="008E2BCD"/>
    <w:rsid w:val="008E3261"/>
    <w:rsid w:val="008E4303"/>
    <w:rsid w:val="008E5258"/>
    <w:rsid w:val="008E528F"/>
    <w:rsid w:val="008E6426"/>
    <w:rsid w:val="008E74E8"/>
    <w:rsid w:val="008E773D"/>
    <w:rsid w:val="008E7816"/>
    <w:rsid w:val="008E7B48"/>
    <w:rsid w:val="008E7E06"/>
    <w:rsid w:val="008F03B0"/>
    <w:rsid w:val="008F1353"/>
    <w:rsid w:val="008F19B3"/>
    <w:rsid w:val="008F1BEB"/>
    <w:rsid w:val="008F21C4"/>
    <w:rsid w:val="008F2BAC"/>
    <w:rsid w:val="008F32E4"/>
    <w:rsid w:val="008F377C"/>
    <w:rsid w:val="008F37C2"/>
    <w:rsid w:val="008F401C"/>
    <w:rsid w:val="008F508B"/>
    <w:rsid w:val="008F572D"/>
    <w:rsid w:val="008F5DB1"/>
    <w:rsid w:val="008F6C4A"/>
    <w:rsid w:val="008F708E"/>
    <w:rsid w:val="008F728E"/>
    <w:rsid w:val="008F72AB"/>
    <w:rsid w:val="00900470"/>
    <w:rsid w:val="0090084D"/>
    <w:rsid w:val="00900C39"/>
    <w:rsid w:val="00901836"/>
    <w:rsid w:val="009019C8"/>
    <w:rsid w:val="00901AD8"/>
    <w:rsid w:val="00903142"/>
    <w:rsid w:val="00903C43"/>
    <w:rsid w:val="00904D28"/>
    <w:rsid w:val="009061D6"/>
    <w:rsid w:val="00906DFB"/>
    <w:rsid w:val="009070CD"/>
    <w:rsid w:val="00907728"/>
    <w:rsid w:val="00907E43"/>
    <w:rsid w:val="009101AE"/>
    <w:rsid w:val="00910BE4"/>
    <w:rsid w:val="00910E24"/>
    <w:rsid w:val="00911AD8"/>
    <w:rsid w:val="009129F3"/>
    <w:rsid w:val="0091310B"/>
    <w:rsid w:val="009135A3"/>
    <w:rsid w:val="00914D7B"/>
    <w:rsid w:val="009154DA"/>
    <w:rsid w:val="0091629D"/>
    <w:rsid w:val="00916FB5"/>
    <w:rsid w:val="0091766B"/>
    <w:rsid w:val="00917EE4"/>
    <w:rsid w:val="00920179"/>
    <w:rsid w:val="009202EE"/>
    <w:rsid w:val="00920DA5"/>
    <w:rsid w:val="009216EB"/>
    <w:rsid w:val="009221BD"/>
    <w:rsid w:val="0092225D"/>
    <w:rsid w:val="00923725"/>
    <w:rsid w:val="009245FC"/>
    <w:rsid w:val="009254E5"/>
    <w:rsid w:val="0092565E"/>
    <w:rsid w:val="00925A3E"/>
    <w:rsid w:val="009271E8"/>
    <w:rsid w:val="00927233"/>
    <w:rsid w:val="00930893"/>
    <w:rsid w:val="00930909"/>
    <w:rsid w:val="00930DE9"/>
    <w:rsid w:val="009319B9"/>
    <w:rsid w:val="00931DD4"/>
    <w:rsid w:val="00932128"/>
    <w:rsid w:val="00933DAA"/>
    <w:rsid w:val="00933DD6"/>
    <w:rsid w:val="009341EE"/>
    <w:rsid w:val="009345B5"/>
    <w:rsid w:val="00934A9F"/>
    <w:rsid w:val="00935741"/>
    <w:rsid w:val="00935AB1"/>
    <w:rsid w:val="00935BA4"/>
    <w:rsid w:val="00936711"/>
    <w:rsid w:val="00937586"/>
    <w:rsid w:val="00937597"/>
    <w:rsid w:val="0093787F"/>
    <w:rsid w:val="00940E72"/>
    <w:rsid w:val="00941C80"/>
    <w:rsid w:val="00942CD2"/>
    <w:rsid w:val="00943A4B"/>
    <w:rsid w:val="00944C14"/>
    <w:rsid w:val="009456F6"/>
    <w:rsid w:val="00945BDD"/>
    <w:rsid w:val="00945DC6"/>
    <w:rsid w:val="009462C7"/>
    <w:rsid w:val="00946D7C"/>
    <w:rsid w:val="00946F6D"/>
    <w:rsid w:val="0095060E"/>
    <w:rsid w:val="00950EC7"/>
    <w:rsid w:val="00950F85"/>
    <w:rsid w:val="009519E6"/>
    <w:rsid w:val="00953169"/>
    <w:rsid w:val="00954DA7"/>
    <w:rsid w:val="0095698C"/>
    <w:rsid w:val="0095720F"/>
    <w:rsid w:val="00960DC3"/>
    <w:rsid w:val="00961848"/>
    <w:rsid w:val="00962780"/>
    <w:rsid w:val="00962AA7"/>
    <w:rsid w:val="009635A1"/>
    <w:rsid w:val="00963651"/>
    <w:rsid w:val="00964604"/>
    <w:rsid w:val="00964C63"/>
    <w:rsid w:val="00965297"/>
    <w:rsid w:val="00965625"/>
    <w:rsid w:val="0096680A"/>
    <w:rsid w:val="00966A5F"/>
    <w:rsid w:val="00967E82"/>
    <w:rsid w:val="00967EA1"/>
    <w:rsid w:val="00967F9C"/>
    <w:rsid w:val="0097014D"/>
    <w:rsid w:val="00970396"/>
    <w:rsid w:val="00970415"/>
    <w:rsid w:val="00970530"/>
    <w:rsid w:val="00971D88"/>
    <w:rsid w:val="00971E8C"/>
    <w:rsid w:val="0097214A"/>
    <w:rsid w:val="009722A3"/>
    <w:rsid w:val="00973908"/>
    <w:rsid w:val="00973C67"/>
    <w:rsid w:val="00973D05"/>
    <w:rsid w:val="00974799"/>
    <w:rsid w:val="00974816"/>
    <w:rsid w:val="00975F33"/>
    <w:rsid w:val="00976319"/>
    <w:rsid w:val="00976353"/>
    <w:rsid w:val="00976CDA"/>
    <w:rsid w:val="00976CDD"/>
    <w:rsid w:val="00977749"/>
    <w:rsid w:val="00980662"/>
    <w:rsid w:val="00980D18"/>
    <w:rsid w:val="00981296"/>
    <w:rsid w:val="009814B5"/>
    <w:rsid w:val="00981B96"/>
    <w:rsid w:val="00981ECF"/>
    <w:rsid w:val="00982D22"/>
    <w:rsid w:val="009831DB"/>
    <w:rsid w:val="00983207"/>
    <w:rsid w:val="009836F3"/>
    <w:rsid w:val="00984545"/>
    <w:rsid w:val="009869F9"/>
    <w:rsid w:val="00986C62"/>
    <w:rsid w:val="0099005A"/>
    <w:rsid w:val="0099046E"/>
    <w:rsid w:val="0099193C"/>
    <w:rsid w:val="00991B9F"/>
    <w:rsid w:val="00991F96"/>
    <w:rsid w:val="009924FF"/>
    <w:rsid w:val="0099298E"/>
    <w:rsid w:val="00992D21"/>
    <w:rsid w:val="00994482"/>
    <w:rsid w:val="00994485"/>
    <w:rsid w:val="009947E4"/>
    <w:rsid w:val="00995406"/>
    <w:rsid w:val="00996608"/>
    <w:rsid w:val="00996897"/>
    <w:rsid w:val="0099767D"/>
    <w:rsid w:val="009A0103"/>
    <w:rsid w:val="009A022E"/>
    <w:rsid w:val="009A0319"/>
    <w:rsid w:val="009A0C57"/>
    <w:rsid w:val="009A12B9"/>
    <w:rsid w:val="009A154C"/>
    <w:rsid w:val="009A18E6"/>
    <w:rsid w:val="009A2303"/>
    <w:rsid w:val="009A2858"/>
    <w:rsid w:val="009A30A8"/>
    <w:rsid w:val="009A33AF"/>
    <w:rsid w:val="009A39F7"/>
    <w:rsid w:val="009A44A4"/>
    <w:rsid w:val="009A61AE"/>
    <w:rsid w:val="009A63BD"/>
    <w:rsid w:val="009A66A1"/>
    <w:rsid w:val="009A7AE0"/>
    <w:rsid w:val="009A7F29"/>
    <w:rsid w:val="009B1969"/>
    <w:rsid w:val="009B1C89"/>
    <w:rsid w:val="009B2577"/>
    <w:rsid w:val="009B25C2"/>
    <w:rsid w:val="009B2682"/>
    <w:rsid w:val="009B2A81"/>
    <w:rsid w:val="009B2D0A"/>
    <w:rsid w:val="009B36F6"/>
    <w:rsid w:val="009B3D38"/>
    <w:rsid w:val="009B54F7"/>
    <w:rsid w:val="009B56EC"/>
    <w:rsid w:val="009B5CFB"/>
    <w:rsid w:val="009B5E54"/>
    <w:rsid w:val="009B6107"/>
    <w:rsid w:val="009B6475"/>
    <w:rsid w:val="009B736B"/>
    <w:rsid w:val="009B7C70"/>
    <w:rsid w:val="009B7DF4"/>
    <w:rsid w:val="009C09AF"/>
    <w:rsid w:val="009C0A7F"/>
    <w:rsid w:val="009C1C01"/>
    <w:rsid w:val="009C287A"/>
    <w:rsid w:val="009C307E"/>
    <w:rsid w:val="009C34A8"/>
    <w:rsid w:val="009C35B2"/>
    <w:rsid w:val="009C3CB8"/>
    <w:rsid w:val="009C4A99"/>
    <w:rsid w:val="009C4B03"/>
    <w:rsid w:val="009C4EE0"/>
    <w:rsid w:val="009C5D55"/>
    <w:rsid w:val="009C623C"/>
    <w:rsid w:val="009C6437"/>
    <w:rsid w:val="009C6835"/>
    <w:rsid w:val="009C721B"/>
    <w:rsid w:val="009C7A74"/>
    <w:rsid w:val="009D0C63"/>
    <w:rsid w:val="009D11F6"/>
    <w:rsid w:val="009D2229"/>
    <w:rsid w:val="009D23A0"/>
    <w:rsid w:val="009D485A"/>
    <w:rsid w:val="009D4A4E"/>
    <w:rsid w:val="009D4AD6"/>
    <w:rsid w:val="009D5C67"/>
    <w:rsid w:val="009D65D6"/>
    <w:rsid w:val="009D6B65"/>
    <w:rsid w:val="009D6B67"/>
    <w:rsid w:val="009D6CD4"/>
    <w:rsid w:val="009D74B1"/>
    <w:rsid w:val="009D7534"/>
    <w:rsid w:val="009D784B"/>
    <w:rsid w:val="009D7A80"/>
    <w:rsid w:val="009D7F4A"/>
    <w:rsid w:val="009E01D3"/>
    <w:rsid w:val="009E08BA"/>
    <w:rsid w:val="009E0D42"/>
    <w:rsid w:val="009E0EC0"/>
    <w:rsid w:val="009E253B"/>
    <w:rsid w:val="009E274A"/>
    <w:rsid w:val="009E3953"/>
    <w:rsid w:val="009E405E"/>
    <w:rsid w:val="009E44D7"/>
    <w:rsid w:val="009E4C91"/>
    <w:rsid w:val="009E4F01"/>
    <w:rsid w:val="009E5F25"/>
    <w:rsid w:val="009E61E8"/>
    <w:rsid w:val="009E7189"/>
    <w:rsid w:val="009E73DD"/>
    <w:rsid w:val="009F1444"/>
    <w:rsid w:val="009F1668"/>
    <w:rsid w:val="009F18A7"/>
    <w:rsid w:val="009F2164"/>
    <w:rsid w:val="009F2367"/>
    <w:rsid w:val="009F2D5A"/>
    <w:rsid w:val="009F31C7"/>
    <w:rsid w:val="009F3296"/>
    <w:rsid w:val="009F3465"/>
    <w:rsid w:val="009F367E"/>
    <w:rsid w:val="009F371B"/>
    <w:rsid w:val="009F3908"/>
    <w:rsid w:val="009F3C1A"/>
    <w:rsid w:val="009F4911"/>
    <w:rsid w:val="009F4B19"/>
    <w:rsid w:val="009F4C39"/>
    <w:rsid w:val="009F4D77"/>
    <w:rsid w:val="009F5839"/>
    <w:rsid w:val="009F5A4E"/>
    <w:rsid w:val="009F6276"/>
    <w:rsid w:val="009F63AA"/>
    <w:rsid w:val="009F678B"/>
    <w:rsid w:val="009F7E86"/>
    <w:rsid w:val="00A029ED"/>
    <w:rsid w:val="00A035A9"/>
    <w:rsid w:val="00A037D0"/>
    <w:rsid w:val="00A03F35"/>
    <w:rsid w:val="00A072B4"/>
    <w:rsid w:val="00A0774D"/>
    <w:rsid w:val="00A07BC6"/>
    <w:rsid w:val="00A10197"/>
    <w:rsid w:val="00A10BF6"/>
    <w:rsid w:val="00A10F2D"/>
    <w:rsid w:val="00A10F7B"/>
    <w:rsid w:val="00A11A5C"/>
    <w:rsid w:val="00A13940"/>
    <w:rsid w:val="00A13EDB"/>
    <w:rsid w:val="00A14E37"/>
    <w:rsid w:val="00A1691E"/>
    <w:rsid w:val="00A16958"/>
    <w:rsid w:val="00A16DB9"/>
    <w:rsid w:val="00A170B9"/>
    <w:rsid w:val="00A17D46"/>
    <w:rsid w:val="00A2074E"/>
    <w:rsid w:val="00A20853"/>
    <w:rsid w:val="00A211E9"/>
    <w:rsid w:val="00A217BE"/>
    <w:rsid w:val="00A2181C"/>
    <w:rsid w:val="00A219EF"/>
    <w:rsid w:val="00A21AB2"/>
    <w:rsid w:val="00A21C01"/>
    <w:rsid w:val="00A21F25"/>
    <w:rsid w:val="00A23C6C"/>
    <w:rsid w:val="00A245C1"/>
    <w:rsid w:val="00A25066"/>
    <w:rsid w:val="00A25412"/>
    <w:rsid w:val="00A25C92"/>
    <w:rsid w:val="00A2618B"/>
    <w:rsid w:val="00A26C02"/>
    <w:rsid w:val="00A26F47"/>
    <w:rsid w:val="00A27507"/>
    <w:rsid w:val="00A27BBB"/>
    <w:rsid w:val="00A27F5A"/>
    <w:rsid w:val="00A30690"/>
    <w:rsid w:val="00A30693"/>
    <w:rsid w:val="00A31631"/>
    <w:rsid w:val="00A317C7"/>
    <w:rsid w:val="00A32C67"/>
    <w:rsid w:val="00A3407D"/>
    <w:rsid w:val="00A347F6"/>
    <w:rsid w:val="00A350ED"/>
    <w:rsid w:val="00A35234"/>
    <w:rsid w:val="00A35886"/>
    <w:rsid w:val="00A364CF"/>
    <w:rsid w:val="00A37CBF"/>
    <w:rsid w:val="00A425F1"/>
    <w:rsid w:val="00A450EB"/>
    <w:rsid w:val="00A4678C"/>
    <w:rsid w:val="00A478F4"/>
    <w:rsid w:val="00A47FDF"/>
    <w:rsid w:val="00A50666"/>
    <w:rsid w:val="00A5070D"/>
    <w:rsid w:val="00A50D9D"/>
    <w:rsid w:val="00A5154F"/>
    <w:rsid w:val="00A51E79"/>
    <w:rsid w:val="00A52289"/>
    <w:rsid w:val="00A529EB"/>
    <w:rsid w:val="00A52EAA"/>
    <w:rsid w:val="00A56598"/>
    <w:rsid w:val="00A56702"/>
    <w:rsid w:val="00A56AE6"/>
    <w:rsid w:val="00A573B4"/>
    <w:rsid w:val="00A57D1F"/>
    <w:rsid w:val="00A60A0B"/>
    <w:rsid w:val="00A60BCF"/>
    <w:rsid w:val="00A61A1A"/>
    <w:rsid w:val="00A622F3"/>
    <w:rsid w:val="00A62540"/>
    <w:rsid w:val="00A630D2"/>
    <w:rsid w:val="00A64A7B"/>
    <w:rsid w:val="00A64A7F"/>
    <w:rsid w:val="00A64DBD"/>
    <w:rsid w:val="00A64E61"/>
    <w:rsid w:val="00A66AF1"/>
    <w:rsid w:val="00A7018D"/>
    <w:rsid w:val="00A70BAC"/>
    <w:rsid w:val="00A71626"/>
    <w:rsid w:val="00A73896"/>
    <w:rsid w:val="00A73B5F"/>
    <w:rsid w:val="00A74227"/>
    <w:rsid w:val="00A742E2"/>
    <w:rsid w:val="00A7445A"/>
    <w:rsid w:val="00A7636B"/>
    <w:rsid w:val="00A76B78"/>
    <w:rsid w:val="00A77204"/>
    <w:rsid w:val="00A774CA"/>
    <w:rsid w:val="00A777EC"/>
    <w:rsid w:val="00A7782A"/>
    <w:rsid w:val="00A77AA1"/>
    <w:rsid w:val="00A77B13"/>
    <w:rsid w:val="00A77E56"/>
    <w:rsid w:val="00A80808"/>
    <w:rsid w:val="00A8132B"/>
    <w:rsid w:val="00A83190"/>
    <w:rsid w:val="00A83205"/>
    <w:rsid w:val="00A839EC"/>
    <w:rsid w:val="00A84242"/>
    <w:rsid w:val="00A84DF9"/>
    <w:rsid w:val="00A85408"/>
    <w:rsid w:val="00A85CF5"/>
    <w:rsid w:val="00A86F97"/>
    <w:rsid w:val="00A87568"/>
    <w:rsid w:val="00A87921"/>
    <w:rsid w:val="00A87BB0"/>
    <w:rsid w:val="00A903FF"/>
    <w:rsid w:val="00A90AD5"/>
    <w:rsid w:val="00A90B75"/>
    <w:rsid w:val="00A91527"/>
    <w:rsid w:val="00A92B06"/>
    <w:rsid w:val="00A92E77"/>
    <w:rsid w:val="00A9387A"/>
    <w:rsid w:val="00A94318"/>
    <w:rsid w:val="00A94566"/>
    <w:rsid w:val="00A95449"/>
    <w:rsid w:val="00A95C0E"/>
    <w:rsid w:val="00A96E6A"/>
    <w:rsid w:val="00A96FAB"/>
    <w:rsid w:val="00A9768E"/>
    <w:rsid w:val="00A978A2"/>
    <w:rsid w:val="00A97EC5"/>
    <w:rsid w:val="00AA057B"/>
    <w:rsid w:val="00AA05FD"/>
    <w:rsid w:val="00AA09C8"/>
    <w:rsid w:val="00AA0A31"/>
    <w:rsid w:val="00AA0D1E"/>
    <w:rsid w:val="00AA0F4C"/>
    <w:rsid w:val="00AA1AC8"/>
    <w:rsid w:val="00AA201E"/>
    <w:rsid w:val="00AA2175"/>
    <w:rsid w:val="00AA262A"/>
    <w:rsid w:val="00AA2B7D"/>
    <w:rsid w:val="00AA2C82"/>
    <w:rsid w:val="00AA2FDD"/>
    <w:rsid w:val="00AA3B0E"/>
    <w:rsid w:val="00AA4613"/>
    <w:rsid w:val="00AA516C"/>
    <w:rsid w:val="00AA6E2A"/>
    <w:rsid w:val="00AA7D30"/>
    <w:rsid w:val="00AA7FAA"/>
    <w:rsid w:val="00AB06EA"/>
    <w:rsid w:val="00AB16F6"/>
    <w:rsid w:val="00AB2FF9"/>
    <w:rsid w:val="00AB31A0"/>
    <w:rsid w:val="00AB35C4"/>
    <w:rsid w:val="00AB3B08"/>
    <w:rsid w:val="00AB4141"/>
    <w:rsid w:val="00AB441A"/>
    <w:rsid w:val="00AB473F"/>
    <w:rsid w:val="00AB4FB2"/>
    <w:rsid w:val="00AB540E"/>
    <w:rsid w:val="00AB6C67"/>
    <w:rsid w:val="00AC057F"/>
    <w:rsid w:val="00AC0AD5"/>
    <w:rsid w:val="00AC1F7F"/>
    <w:rsid w:val="00AC207B"/>
    <w:rsid w:val="00AC2AEB"/>
    <w:rsid w:val="00AC2B81"/>
    <w:rsid w:val="00AC2DED"/>
    <w:rsid w:val="00AC40AF"/>
    <w:rsid w:val="00AC5062"/>
    <w:rsid w:val="00AC60B2"/>
    <w:rsid w:val="00AC60F8"/>
    <w:rsid w:val="00AC69C4"/>
    <w:rsid w:val="00AC732B"/>
    <w:rsid w:val="00AC7916"/>
    <w:rsid w:val="00AD0898"/>
    <w:rsid w:val="00AD1546"/>
    <w:rsid w:val="00AD1F6D"/>
    <w:rsid w:val="00AD216B"/>
    <w:rsid w:val="00AD2980"/>
    <w:rsid w:val="00AD2BE4"/>
    <w:rsid w:val="00AD2C25"/>
    <w:rsid w:val="00AD31E2"/>
    <w:rsid w:val="00AD376F"/>
    <w:rsid w:val="00AD3CA5"/>
    <w:rsid w:val="00AD40CA"/>
    <w:rsid w:val="00AD5064"/>
    <w:rsid w:val="00AD597F"/>
    <w:rsid w:val="00AD5A3A"/>
    <w:rsid w:val="00AD79BA"/>
    <w:rsid w:val="00AD7BA8"/>
    <w:rsid w:val="00AE0164"/>
    <w:rsid w:val="00AE05CA"/>
    <w:rsid w:val="00AE0938"/>
    <w:rsid w:val="00AE0C81"/>
    <w:rsid w:val="00AE25FE"/>
    <w:rsid w:val="00AE2E1A"/>
    <w:rsid w:val="00AE2F7C"/>
    <w:rsid w:val="00AE3455"/>
    <w:rsid w:val="00AE585F"/>
    <w:rsid w:val="00AE5FF7"/>
    <w:rsid w:val="00AE6357"/>
    <w:rsid w:val="00AE67D6"/>
    <w:rsid w:val="00AE7110"/>
    <w:rsid w:val="00AE79B2"/>
    <w:rsid w:val="00AE7A92"/>
    <w:rsid w:val="00AE7D5C"/>
    <w:rsid w:val="00AF12CE"/>
    <w:rsid w:val="00AF27AA"/>
    <w:rsid w:val="00AF29AF"/>
    <w:rsid w:val="00AF487E"/>
    <w:rsid w:val="00AF4D7B"/>
    <w:rsid w:val="00AF4FBB"/>
    <w:rsid w:val="00AF4FE3"/>
    <w:rsid w:val="00AF6201"/>
    <w:rsid w:val="00AF6340"/>
    <w:rsid w:val="00AF72AE"/>
    <w:rsid w:val="00AF77AB"/>
    <w:rsid w:val="00AF77DA"/>
    <w:rsid w:val="00B000D3"/>
    <w:rsid w:val="00B000EE"/>
    <w:rsid w:val="00B001B5"/>
    <w:rsid w:val="00B00766"/>
    <w:rsid w:val="00B02CBF"/>
    <w:rsid w:val="00B03C2C"/>
    <w:rsid w:val="00B04B3C"/>
    <w:rsid w:val="00B05375"/>
    <w:rsid w:val="00B05D4B"/>
    <w:rsid w:val="00B06337"/>
    <w:rsid w:val="00B06CAB"/>
    <w:rsid w:val="00B07986"/>
    <w:rsid w:val="00B102FB"/>
    <w:rsid w:val="00B1076C"/>
    <w:rsid w:val="00B10D70"/>
    <w:rsid w:val="00B11487"/>
    <w:rsid w:val="00B11AD3"/>
    <w:rsid w:val="00B12D0D"/>
    <w:rsid w:val="00B13F07"/>
    <w:rsid w:val="00B1480F"/>
    <w:rsid w:val="00B14BBC"/>
    <w:rsid w:val="00B16155"/>
    <w:rsid w:val="00B16DF9"/>
    <w:rsid w:val="00B22295"/>
    <w:rsid w:val="00B229B8"/>
    <w:rsid w:val="00B238EF"/>
    <w:rsid w:val="00B241B1"/>
    <w:rsid w:val="00B24914"/>
    <w:rsid w:val="00B24FF7"/>
    <w:rsid w:val="00B25454"/>
    <w:rsid w:val="00B255E9"/>
    <w:rsid w:val="00B261B1"/>
    <w:rsid w:val="00B26CE7"/>
    <w:rsid w:val="00B304F3"/>
    <w:rsid w:val="00B308EF"/>
    <w:rsid w:val="00B3125F"/>
    <w:rsid w:val="00B31ACC"/>
    <w:rsid w:val="00B31B51"/>
    <w:rsid w:val="00B3217D"/>
    <w:rsid w:val="00B32A0E"/>
    <w:rsid w:val="00B32A27"/>
    <w:rsid w:val="00B33AFE"/>
    <w:rsid w:val="00B33D13"/>
    <w:rsid w:val="00B34465"/>
    <w:rsid w:val="00B34EE1"/>
    <w:rsid w:val="00B35AE0"/>
    <w:rsid w:val="00B35FDE"/>
    <w:rsid w:val="00B35FFA"/>
    <w:rsid w:val="00B371E9"/>
    <w:rsid w:val="00B37794"/>
    <w:rsid w:val="00B37A3F"/>
    <w:rsid w:val="00B37C07"/>
    <w:rsid w:val="00B40666"/>
    <w:rsid w:val="00B41359"/>
    <w:rsid w:val="00B44133"/>
    <w:rsid w:val="00B4435E"/>
    <w:rsid w:val="00B457DC"/>
    <w:rsid w:val="00B45E9F"/>
    <w:rsid w:val="00B4634F"/>
    <w:rsid w:val="00B469B8"/>
    <w:rsid w:val="00B46FFD"/>
    <w:rsid w:val="00B47BAE"/>
    <w:rsid w:val="00B47EBA"/>
    <w:rsid w:val="00B512E0"/>
    <w:rsid w:val="00B51680"/>
    <w:rsid w:val="00B52BB5"/>
    <w:rsid w:val="00B5393E"/>
    <w:rsid w:val="00B548B0"/>
    <w:rsid w:val="00B564F3"/>
    <w:rsid w:val="00B56A9F"/>
    <w:rsid w:val="00B57191"/>
    <w:rsid w:val="00B5782C"/>
    <w:rsid w:val="00B602E3"/>
    <w:rsid w:val="00B6072E"/>
    <w:rsid w:val="00B60E69"/>
    <w:rsid w:val="00B60FAF"/>
    <w:rsid w:val="00B629EF"/>
    <w:rsid w:val="00B63192"/>
    <w:rsid w:val="00B64380"/>
    <w:rsid w:val="00B64C67"/>
    <w:rsid w:val="00B64F1F"/>
    <w:rsid w:val="00B65036"/>
    <w:rsid w:val="00B65143"/>
    <w:rsid w:val="00B65619"/>
    <w:rsid w:val="00B66231"/>
    <w:rsid w:val="00B665E3"/>
    <w:rsid w:val="00B6743C"/>
    <w:rsid w:val="00B70874"/>
    <w:rsid w:val="00B70D4E"/>
    <w:rsid w:val="00B7120B"/>
    <w:rsid w:val="00B713A7"/>
    <w:rsid w:val="00B71770"/>
    <w:rsid w:val="00B71952"/>
    <w:rsid w:val="00B7221B"/>
    <w:rsid w:val="00B728E5"/>
    <w:rsid w:val="00B73EF4"/>
    <w:rsid w:val="00B74ABE"/>
    <w:rsid w:val="00B750BA"/>
    <w:rsid w:val="00B7588B"/>
    <w:rsid w:val="00B75BEB"/>
    <w:rsid w:val="00B75D76"/>
    <w:rsid w:val="00B778FD"/>
    <w:rsid w:val="00B807F2"/>
    <w:rsid w:val="00B8099A"/>
    <w:rsid w:val="00B819C6"/>
    <w:rsid w:val="00B81C86"/>
    <w:rsid w:val="00B8257F"/>
    <w:rsid w:val="00B83D23"/>
    <w:rsid w:val="00B842D6"/>
    <w:rsid w:val="00B84736"/>
    <w:rsid w:val="00B84BC7"/>
    <w:rsid w:val="00B84D66"/>
    <w:rsid w:val="00B8568C"/>
    <w:rsid w:val="00B86813"/>
    <w:rsid w:val="00B86B75"/>
    <w:rsid w:val="00B86BC4"/>
    <w:rsid w:val="00B86DFC"/>
    <w:rsid w:val="00B86F3B"/>
    <w:rsid w:val="00B87265"/>
    <w:rsid w:val="00B905C7"/>
    <w:rsid w:val="00B90878"/>
    <w:rsid w:val="00B90937"/>
    <w:rsid w:val="00B90A2C"/>
    <w:rsid w:val="00B910A9"/>
    <w:rsid w:val="00B910E9"/>
    <w:rsid w:val="00B91388"/>
    <w:rsid w:val="00B915EB"/>
    <w:rsid w:val="00B930B2"/>
    <w:rsid w:val="00B93264"/>
    <w:rsid w:val="00B94092"/>
    <w:rsid w:val="00B942BA"/>
    <w:rsid w:val="00B95AB2"/>
    <w:rsid w:val="00B95F57"/>
    <w:rsid w:val="00B96237"/>
    <w:rsid w:val="00B965D5"/>
    <w:rsid w:val="00B966A1"/>
    <w:rsid w:val="00B96C3B"/>
    <w:rsid w:val="00B970FB"/>
    <w:rsid w:val="00B9749E"/>
    <w:rsid w:val="00BA025D"/>
    <w:rsid w:val="00BA0459"/>
    <w:rsid w:val="00BA080A"/>
    <w:rsid w:val="00BA1CCD"/>
    <w:rsid w:val="00BA1CDF"/>
    <w:rsid w:val="00BA27D6"/>
    <w:rsid w:val="00BA4497"/>
    <w:rsid w:val="00BA4C99"/>
    <w:rsid w:val="00BA4DF0"/>
    <w:rsid w:val="00BA5332"/>
    <w:rsid w:val="00BA5C21"/>
    <w:rsid w:val="00BA5D1A"/>
    <w:rsid w:val="00BA6072"/>
    <w:rsid w:val="00BA6920"/>
    <w:rsid w:val="00BA6EFD"/>
    <w:rsid w:val="00BA72BD"/>
    <w:rsid w:val="00BA78A8"/>
    <w:rsid w:val="00BB008D"/>
    <w:rsid w:val="00BB13E2"/>
    <w:rsid w:val="00BB1558"/>
    <w:rsid w:val="00BB1EB6"/>
    <w:rsid w:val="00BB1FD8"/>
    <w:rsid w:val="00BB24C3"/>
    <w:rsid w:val="00BB3856"/>
    <w:rsid w:val="00BB3A09"/>
    <w:rsid w:val="00BB3DC6"/>
    <w:rsid w:val="00BB4257"/>
    <w:rsid w:val="00BB452B"/>
    <w:rsid w:val="00BB4E99"/>
    <w:rsid w:val="00BB5313"/>
    <w:rsid w:val="00BB538B"/>
    <w:rsid w:val="00BB58DF"/>
    <w:rsid w:val="00BB69A4"/>
    <w:rsid w:val="00BB6D8E"/>
    <w:rsid w:val="00BB705B"/>
    <w:rsid w:val="00BC0D4C"/>
    <w:rsid w:val="00BC1C67"/>
    <w:rsid w:val="00BC271E"/>
    <w:rsid w:val="00BC2CE1"/>
    <w:rsid w:val="00BC343F"/>
    <w:rsid w:val="00BC450B"/>
    <w:rsid w:val="00BC49E0"/>
    <w:rsid w:val="00BC546D"/>
    <w:rsid w:val="00BC5CB1"/>
    <w:rsid w:val="00BC7115"/>
    <w:rsid w:val="00BC7377"/>
    <w:rsid w:val="00BC7917"/>
    <w:rsid w:val="00BD0CFB"/>
    <w:rsid w:val="00BD14F4"/>
    <w:rsid w:val="00BD1682"/>
    <w:rsid w:val="00BD223E"/>
    <w:rsid w:val="00BD2EC0"/>
    <w:rsid w:val="00BD30D2"/>
    <w:rsid w:val="00BD34EE"/>
    <w:rsid w:val="00BD4242"/>
    <w:rsid w:val="00BD44EA"/>
    <w:rsid w:val="00BD52EE"/>
    <w:rsid w:val="00BD5BE2"/>
    <w:rsid w:val="00BD5D52"/>
    <w:rsid w:val="00BD6388"/>
    <w:rsid w:val="00BE02C5"/>
    <w:rsid w:val="00BE0445"/>
    <w:rsid w:val="00BE0867"/>
    <w:rsid w:val="00BE0BF6"/>
    <w:rsid w:val="00BE183C"/>
    <w:rsid w:val="00BE42E3"/>
    <w:rsid w:val="00BE6EBD"/>
    <w:rsid w:val="00BE70E2"/>
    <w:rsid w:val="00BE7C98"/>
    <w:rsid w:val="00BE7D22"/>
    <w:rsid w:val="00BF0B9C"/>
    <w:rsid w:val="00BF0BEE"/>
    <w:rsid w:val="00BF2086"/>
    <w:rsid w:val="00BF217B"/>
    <w:rsid w:val="00BF22ED"/>
    <w:rsid w:val="00BF29FC"/>
    <w:rsid w:val="00BF2EE7"/>
    <w:rsid w:val="00BF3D18"/>
    <w:rsid w:val="00BF4D45"/>
    <w:rsid w:val="00BF6669"/>
    <w:rsid w:val="00BF6FAA"/>
    <w:rsid w:val="00BF6FF2"/>
    <w:rsid w:val="00BF7EA4"/>
    <w:rsid w:val="00C00951"/>
    <w:rsid w:val="00C011F3"/>
    <w:rsid w:val="00C01712"/>
    <w:rsid w:val="00C02EEE"/>
    <w:rsid w:val="00C032C9"/>
    <w:rsid w:val="00C03B32"/>
    <w:rsid w:val="00C0440F"/>
    <w:rsid w:val="00C04663"/>
    <w:rsid w:val="00C053B7"/>
    <w:rsid w:val="00C054FF"/>
    <w:rsid w:val="00C059E9"/>
    <w:rsid w:val="00C066DC"/>
    <w:rsid w:val="00C06772"/>
    <w:rsid w:val="00C06FA0"/>
    <w:rsid w:val="00C07722"/>
    <w:rsid w:val="00C10155"/>
    <w:rsid w:val="00C10176"/>
    <w:rsid w:val="00C10751"/>
    <w:rsid w:val="00C1092B"/>
    <w:rsid w:val="00C11379"/>
    <w:rsid w:val="00C11707"/>
    <w:rsid w:val="00C1198D"/>
    <w:rsid w:val="00C13CA5"/>
    <w:rsid w:val="00C148EB"/>
    <w:rsid w:val="00C14D2D"/>
    <w:rsid w:val="00C14EE7"/>
    <w:rsid w:val="00C15A7E"/>
    <w:rsid w:val="00C16520"/>
    <w:rsid w:val="00C16B71"/>
    <w:rsid w:val="00C16BCA"/>
    <w:rsid w:val="00C1792B"/>
    <w:rsid w:val="00C20C57"/>
    <w:rsid w:val="00C20DD9"/>
    <w:rsid w:val="00C226F3"/>
    <w:rsid w:val="00C23813"/>
    <w:rsid w:val="00C23B2A"/>
    <w:rsid w:val="00C23FAF"/>
    <w:rsid w:val="00C24A02"/>
    <w:rsid w:val="00C24DBB"/>
    <w:rsid w:val="00C24EDD"/>
    <w:rsid w:val="00C2630E"/>
    <w:rsid w:val="00C26757"/>
    <w:rsid w:val="00C27FBB"/>
    <w:rsid w:val="00C30B16"/>
    <w:rsid w:val="00C30B52"/>
    <w:rsid w:val="00C31654"/>
    <w:rsid w:val="00C31EA2"/>
    <w:rsid w:val="00C33286"/>
    <w:rsid w:val="00C3380E"/>
    <w:rsid w:val="00C33B42"/>
    <w:rsid w:val="00C340F3"/>
    <w:rsid w:val="00C34260"/>
    <w:rsid w:val="00C3433C"/>
    <w:rsid w:val="00C34CA4"/>
    <w:rsid w:val="00C35218"/>
    <w:rsid w:val="00C35FE9"/>
    <w:rsid w:val="00C3689A"/>
    <w:rsid w:val="00C369BE"/>
    <w:rsid w:val="00C36F37"/>
    <w:rsid w:val="00C3750C"/>
    <w:rsid w:val="00C37C2D"/>
    <w:rsid w:val="00C4078E"/>
    <w:rsid w:val="00C4083B"/>
    <w:rsid w:val="00C4187B"/>
    <w:rsid w:val="00C41B31"/>
    <w:rsid w:val="00C420A3"/>
    <w:rsid w:val="00C42534"/>
    <w:rsid w:val="00C43815"/>
    <w:rsid w:val="00C45F44"/>
    <w:rsid w:val="00C46273"/>
    <w:rsid w:val="00C462B8"/>
    <w:rsid w:val="00C463D7"/>
    <w:rsid w:val="00C475BC"/>
    <w:rsid w:val="00C501ED"/>
    <w:rsid w:val="00C50F81"/>
    <w:rsid w:val="00C53C26"/>
    <w:rsid w:val="00C53FD2"/>
    <w:rsid w:val="00C54770"/>
    <w:rsid w:val="00C54825"/>
    <w:rsid w:val="00C548F4"/>
    <w:rsid w:val="00C5499D"/>
    <w:rsid w:val="00C549C4"/>
    <w:rsid w:val="00C55BDD"/>
    <w:rsid w:val="00C5636A"/>
    <w:rsid w:val="00C57AA3"/>
    <w:rsid w:val="00C57FF0"/>
    <w:rsid w:val="00C6095F"/>
    <w:rsid w:val="00C60A1C"/>
    <w:rsid w:val="00C60BDB"/>
    <w:rsid w:val="00C614E2"/>
    <w:rsid w:val="00C61589"/>
    <w:rsid w:val="00C6199E"/>
    <w:rsid w:val="00C61D97"/>
    <w:rsid w:val="00C626E5"/>
    <w:rsid w:val="00C62A8C"/>
    <w:rsid w:val="00C636EB"/>
    <w:rsid w:val="00C63CD0"/>
    <w:rsid w:val="00C64AAB"/>
    <w:rsid w:val="00C67A3D"/>
    <w:rsid w:val="00C70838"/>
    <w:rsid w:val="00C71948"/>
    <w:rsid w:val="00C728DE"/>
    <w:rsid w:val="00C729B0"/>
    <w:rsid w:val="00C72FE1"/>
    <w:rsid w:val="00C7313A"/>
    <w:rsid w:val="00C73280"/>
    <w:rsid w:val="00C7397C"/>
    <w:rsid w:val="00C73F6C"/>
    <w:rsid w:val="00C74A8C"/>
    <w:rsid w:val="00C75C1C"/>
    <w:rsid w:val="00C7623A"/>
    <w:rsid w:val="00C776E2"/>
    <w:rsid w:val="00C7779D"/>
    <w:rsid w:val="00C77933"/>
    <w:rsid w:val="00C77C2F"/>
    <w:rsid w:val="00C80277"/>
    <w:rsid w:val="00C8065B"/>
    <w:rsid w:val="00C815AD"/>
    <w:rsid w:val="00C8172F"/>
    <w:rsid w:val="00C81DC9"/>
    <w:rsid w:val="00C82045"/>
    <w:rsid w:val="00C82813"/>
    <w:rsid w:val="00C828DA"/>
    <w:rsid w:val="00C8412D"/>
    <w:rsid w:val="00C849DD"/>
    <w:rsid w:val="00C84A83"/>
    <w:rsid w:val="00C85620"/>
    <w:rsid w:val="00C86B1E"/>
    <w:rsid w:val="00C86DC2"/>
    <w:rsid w:val="00C871A5"/>
    <w:rsid w:val="00C87739"/>
    <w:rsid w:val="00C87AA4"/>
    <w:rsid w:val="00C87F62"/>
    <w:rsid w:val="00C87FE3"/>
    <w:rsid w:val="00C90196"/>
    <w:rsid w:val="00C9051C"/>
    <w:rsid w:val="00C90F31"/>
    <w:rsid w:val="00C919E2"/>
    <w:rsid w:val="00C92604"/>
    <w:rsid w:val="00C92A32"/>
    <w:rsid w:val="00C932E2"/>
    <w:rsid w:val="00C93ACF"/>
    <w:rsid w:val="00C942F8"/>
    <w:rsid w:val="00C9444B"/>
    <w:rsid w:val="00C947B7"/>
    <w:rsid w:val="00C94E4C"/>
    <w:rsid w:val="00C94EE0"/>
    <w:rsid w:val="00C950C3"/>
    <w:rsid w:val="00C95639"/>
    <w:rsid w:val="00C95799"/>
    <w:rsid w:val="00C96614"/>
    <w:rsid w:val="00C96F9D"/>
    <w:rsid w:val="00C97ECD"/>
    <w:rsid w:val="00CA0045"/>
    <w:rsid w:val="00CA0375"/>
    <w:rsid w:val="00CA12B1"/>
    <w:rsid w:val="00CA1F11"/>
    <w:rsid w:val="00CA3324"/>
    <w:rsid w:val="00CA33B4"/>
    <w:rsid w:val="00CA36FB"/>
    <w:rsid w:val="00CA3C92"/>
    <w:rsid w:val="00CA55BD"/>
    <w:rsid w:val="00CA59A0"/>
    <w:rsid w:val="00CA66DC"/>
    <w:rsid w:val="00CA67B4"/>
    <w:rsid w:val="00CA69DB"/>
    <w:rsid w:val="00CA6A83"/>
    <w:rsid w:val="00CB0D75"/>
    <w:rsid w:val="00CB26C0"/>
    <w:rsid w:val="00CB2A11"/>
    <w:rsid w:val="00CB2AA9"/>
    <w:rsid w:val="00CB2E1E"/>
    <w:rsid w:val="00CB32B7"/>
    <w:rsid w:val="00CB39BD"/>
    <w:rsid w:val="00CB3AE3"/>
    <w:rsid w:val="00CB4D6E"/>
    <w:rsid w:val="00CB5971"/>
    <w:rsid w:val="00CB634D"/>
    <w:rsid w:val="00CB6706"/>
    <w:rsid w:val="00CB7790"/>
    <w:rsid w:val="00CC0E4B"/>
    <w:rsid w:val="00CC0EAF"/>
    <w:rsid w:val="00CC0FFF"/>
    <w:rsid w:val="00CC1E05"/>
    <w:rsid w:val="00CC2920"/>
    <w:rsid w:val="00CC368D"/>
    <w:rsid w:val="00CC3759"/>
    <w:rsid w:val="00CC551E"/>
    <w:rsid w:val="00CC553F"/>
    <w:rsid w:val="00CC576D"/>
    <w:rsid w:val="00CC59B1"/>
    <w:rsid w:val="00CC5F78"/>
    <w:rsid w:val="00CC6AFD"/>
    <w:rsid w:val="00CC6B51"/>
    <w:rsid w:val="00CC70F8"/>
    <w:rsid w:val="00CC7873"/>
    <w:rsid w:val="00CC7B06"/>
    <w:rsid w:val="00CC7C25"/>
    <w:rsid w:val="00CC7D8C"/>
    <w:rsid w:val="00CC7DC9"/>
    <w:rsid w:val="00CD0123"/>
    <w:rsid w:val="00CD0664"/>
    <w:rsid w:val="00CD2E0D"/>
    <w:rsid w:val="00CD2E66"/>
    <w:rsid w:val="00CD4207"/>
    <w:rsid w:val="00CD47DC"/>
    <w:rsid w:val="00CD538D"/>
    <w:rsid w:val="00CD5517"/>
    <w:rsid w:val="00CD60DA"/>
    <w:rsid w:val="00CD6B8A"/>
    <w:rsid w:val="00CD6EA3"/>
    <w:rsid w:val="00CD7D7E"/>
    <w:rsid w:val="00CE0A3B"/>
    <w:rsid w:val="00CE0B09"/>
    <w:rsid w:val="00CE1B00"/>
    <w:rsid w:val="00CE2B23"/>
    <w:rsid w:val="00CE2CD2"/>
    <w:rsid w:val="00CE2E2E"/>
    <w:rsid w:val="00CE3974"/>
    <w:rsid w:val="00CE44DA"/>
    <w:rsid w:val="00CE5619"/>
    <w:rsid w:val="00CE56AE"/>
    <w:rsid w:val="00CE5B3D"/>
    <w:rsid w:val="00CE6AF7"/>
    <w:rsid w:val="00CE6DE0"/>
    <w:rsid w:val="00CE7D4C"/>
    <w:rsid w:val="00CF0158"/>
    <w:rsid w:val="00CF01B1"/>
    <w:rsid w:val="00CF13D0"/>
    <w:rsid w:val="00CF1DC6"/>
    <w:rsid w:val="00CF2021"/>
    <w:rsid w:val="00CF2713"/>
    <w:rsid w:val="00CF27F3"/>
    <w:rsid w:val="00CF3190"/>
    <w:rsid w:val="00CF393D"/>
    <w:rsid w:val="00CF3AA0"/>
    <w:rsid w:val="00CF6A96"/>
    <w:rsid w:val="00CF7A33"/>
    <w:rsid w:val="00CF7CE4"/>
    <w:rsid w:val="00D00422"/>
    <w:rsid w:val="00D005A3"/>
    <w:rsid w:val="00D00601"/>
    <w:rsid w:val="00D01386"/>
    <w:rsid w:val="00D019D6"/>
    <w:rsid w:val="00D02177"/>
    <w:rsid w:val="00D03096"/>
    <w:rsid w:val="00D030C7"/>
    <w:rsid w:val="00D03E96"/>
    <w:rsid w:val="00D0492E"/>
    <w:rsid w:val="00D0517B"/>
    <w:rsid w:val="00D060D1"/>
    <w:rsid w:val="00D06800"/>
    <w:rsid w:val="00D06B9D"/>
    <w:rsid w:val="00D07169"/>
    <w:rsid w:val="00D07465"/>
    <w:rsid w:val="00D07F40"/>
    <w:rsid w:val="00D101A5"/>
    <w:rsid w:val="00D10626"/>
    <w:rsid w:val="00D10779"/>
    <w:rsid w:val="00D107E4"/>
    <w:rsid w:val="00D10CCE"/>
    <w:rsid w:val="00D1142C"/>
    <w:rsid w:val="00D115DD"/>
    <w:rsid w:val="00D11AD8"/>
    <w:rsid w:val="00D11B42"/>
    <w:rsid w:val="00D136FF"/>
    <w:rsid w:val="00D13BF7"/>
    <w:rsid w:val="00D148E7"/>
    <w:rsid w:val="00D15CAE"/>
    <w:rsid w:val="00D1603B"/>
    <w:rsid w:val="00D161AD"/>
    <w:rsid w:val="00D17EBA"/>
    <w:rsid w:val="00D2027F"/>
    <w:rsid w:val="00D206D2"/>
    <w:rsid w:val="00D207AF"/>
    <w:rsid w:val="00D21042"/>
    <w:rsid w:val="00D210EF"/>
    <w:rsid w:val="00D220B8"/>
    <w:rsid w:val="00D22131"/>
    <w:rsid w:val="00D225FB"/>
    <w:rsid w:val="00D22945"/>
    <w:rsid w:val="00D22C7D"/>
    <w:rsid w:val="00D23A80"/>
    <w:rsid w:val="00D23BD9"/>
    <w:rsid w:val="00D23DED"/>
    <w:rsid w:val="00D255BD"/>
    <w:rsid w:val="00D25613"/>
    <w:rsid w:val="00D27327"/>
    <w:rsid w:val="00D27BF0"/>
    <w:rsid w:val="00D3000C"/>
    <w:rsid w:val="00D30879"/>
    <w:rsid w:val="00D315CC"/>
    <w:rsid w:val="00D31A11"/>
    <w:rsid w:val="00D32FB4"/>
    <w:rsid w:val="00D336F0"/>
    <w:rsid w:val="00D33D4E"/>
    <w:rsid w:val="00D33F1B"/>
    <w:rsid w:val="00D35794"/>
    <w:rsid w:val="00D35EF7"/>
    <w:rsid w:val="00D35F03"/>
    <w:rsid w:val="00D36D38"/>
    <w:rsid w:val="00D36DD0"/>
    <w:rsid w:val="00D37370"/>
    <w:rsid w:val="00D40AA7"/>
    <w:rsid w:val="00D40DED"/>
    <w:rsid w:val="00D40FBB"/>
    <w:rsid w:val="00D42B30"/>
    <w:rsid w:val="00D43A4E"/>
    <w:rsid w:val="00D43E58"/>
    <w:rsid w:val="00D44869"/>
    <w:rsid w:val="00D448C7"/>
    <w:rsid w:val="00D46122"/>
    <w:rsid w:val="00D46D22"/>
    <w:rsid w:val="00D46F2D"/>
    <w:rsid w:val="00D47227"/>
    <w:rsid w:val="00D47A92"/>
    <w:rsid w:val="00D47B77"/>
    <w:rsid w:val="00D47CA1"/>
    <w:rsid w:val="00D47CC8"/>
    <w:rsid w:val="00D5005E"/>
    <w:rsid w:val="00D50E68"/>
    <w:rsid w:val="00D52147"/>
    <w:rsid w:val="00D52B29"/>
    <w:rsid w:val="00D53B20"/>
    <w:rsid w:val="00D54A1E"/>
    <w:rsid w:val="00D55811"/>
    <w:rsid w:val="00D5694B"/>
    <w:rsid w:val="00D56A93"/>
    <w:rsid w:val="00D57ABC"/>
    <w:rsid w:val="00D57DB8"/>
    <w:rsid w:val="00D600B1"/>
    <w:rsid w:val="00D607AF"/>
    <w:rsid w:val="00D60B2A"/>
    <w:rsid w:val="00D60D71"/>
    <w:rsid w:val="00D62C25"/>
    <w:rsid w:val="00D62F5C"/>
    <w:rsid w:val="00D64051"/>
    <w:rsid w:val="00D641F5"/>
    <w:rsid w:val="00D6519F"/>
    <w:rsid w:val="00D65532"/>
    <w:rsid w:val="00D65EBE"/>
    <w:rsid w:val="00D67466"/>
    <w:rsid w:val="00D67525"/>
    <w:rsid w:val="00D678A8"/>
    <w:rsid w:val="00D67CF5"/>
    <w:rsid w:val="00D67FEA"/>
    <w:rsid w:val="00D71284"/>
    <w:rsid w:val="00D712E8"/>
    <w:rsid w:val="00D7306D"/>
    <w:rsid w:val="00D7454A"/>
    <w:rsid w:val="00D74E75"/>
    <w:rsid w:val="00D7505A"/>
    <w:rsid w:val="00D755B2"/>
    <w:rsid w:val="00D75BEF"/>
    <w:rsid w:val="00D77A09"/>
    <w:rsid w:val="00D77F38"/>
    <w:rsid w:val="00D808A5"/>
    <w:rsid w:val="00D80FC5"/>
    <w:rsid w:val="00D8178E"/>
    <w:rsid w:val="00D81B08"/>
    <w:rsid w:val="00D81B7E"/>
    <w:rsid w:val="00D81DBE"/>
    <w:rsid w:val="00D81F7F"/>
    <w:rsid w:val="00D82065"/>
    <w:rsid w:val="00D82537"/>
    <w:rsid w:val="00D8320B"/>
    <w:rsid w:val="00D8421D"/>
    <w:rsid w:val="00D85DA1"/>
    <w:rsid w:val="00D86A5A"/>
    <w:rsid w:val="00D904E5"/>
    <w:rsid w:val="00D90650"/>
    <w:rsid w:val="00D90944"/>
    <w:rsid w:val="00D909CD"/>
    <w:rsid w:val="00D91E7F"/>
    <w:rsid w:val="00D920A3"/>
    <w:rsid w:val="00D932D7"/>
    <w:rsid w:val="00D937E2"/>
    <w:rsid w:val="00D93C3E"/>
    <w:rsid w:val="00D95071"/>
    <w:rsid w:val="00D950A6"/>
    <w:rsid w:val="00D951CF"/>
    <w:rsid w:val="00D95903"/>
    <w:rsid w:val="00D95D54"/>
    <w:rsid w:val="00D95FA6"/>
    <w:rsid w:val="00DA0962"/>
    <w:rsid w:val="00DA1127"/>
    <w:rsid w:val="00DA1456"/>
    <w:rsid w:val="00DA161F"/>
    <w:rsid w:val="00DA16C2"/>
    <w:rsid w:val="00DA1955"/>
    <w:rsid w:val="00DA2A3D"/>
    <w:rsid w:val="00DA35CE"/>
    <w:rsid w:val="00DA3691"/>
    <w:rsid w:val="00DA3CA4"/>
    <w:rsid w:val="00DA3E9F"/>
    <w:rsid w:val="00DA4318"/>
    <w:rsid w:val="00DA43C1"/>
    <w:rsid w:val="00DA4FE0"/>
    <w:rsid w:val="00DA52A0"/>
    <w:rsid w:val="00DA60E8"/>
    <w:rsid w:val="00DA66A2"/>
    <w:rsid w:val="00DA6797"/>
    <w:rsid w:val="00DA704A"/>
    <w:rsid w:val="00DA749F"/>
    <w:rsid w:val="00DA7A34"/>
    <w:rsid w:val="00DB1E3A"/>
    <w:rsid w:val="00DB3217"/>
    <w:rsid w:val="00DB37BF"/>
    <w:rsid w:val="00DB42EF"/>
    <w:rsid w:val="00DB47D6"/>
    <w:rsid w:val="00DB5E04"/>
    <w:rsid w:val="00DB7872"/>
    <w:rsid w:val="00DB7ADA"/>
    <w:rsid w:val="00DC0614"/>
    <w:rsid w:val="00DC1595"/>
    <w:rsid w:val="00DC1680"/>
    <w:rsid w:val="00DC17F7"/>
    <w:rsid w:val="00DC18CC"/>
    <w:rsid w:val="00DC1BCD"/>
    <w:rsid w:val="00DC20DD"/>
    <w:rsid w:val="00DC245D"/>
    <w:rsid w:val="00DC2471"/>
    <w:rsid w:val="00DC2661"/>
    <w:rsid w:val="00DC2EA7"/>
    <w:rsid w:val="00DC36EC"/>
    <w:rsid w:val="00DC5171"/>
    <w:rsid w:val="00DC6949"/>
    <w:rsid w:val="00DC6C7C"/>
    <w:rsid w:val="00DC7442"/>
    <w:rsid w:val="00DC7811"/>
    <w:rsid w:val="00DC788F"/>
    <w:rsid w:val="00DC799F"/>
    <w:rsid w:val="00DC7E72"/>
    <w:rsid w:val="00DD0348"/>
    <w:rsid w:val="00DD0698"/>
    <w:rsid w:val="00DD1320"/>
    <w:rsid w:val="00DD1BE3"/>
    <w:rsid w:val="00DD2822"/>
    <w:rsid w:val="00DD2D83"/>
    <w:rsid w:val="00DD2EFB"/>
    <w:rsid w:val="00DD2F6B"/>
    <w:rsid w:val="00DD4405"/>
    <w:rsid w:val="00DD459E"/>
    <w:rsid w:val="00DD4BEF"/>
    <w:rsid w:val="00DD5520"/>
    <w:rsid w:val="00DD578E"/>
    <w:rsid w:val="00DD5D17"/>
    <w:rsid w:val="00DD6942"/>
    <w:rsid w:val="00DD6A8C"/>
    <w:rsid w:val="00DD6CA1"/>
    <w:rsid w:val="00DE0DC3"/>
    <w:rsid w:val="00DE0FC0"/>
    <w:rsid w:val="00DE1661"/>
    <w:rsid w:val="00DE1DC4"/>
    <w:rsid w:val="00DE2F9E"/>
    <w:rsid w:val="00DE414A"/>
    <w:rsid w:val="00DE4B5D"/>
    <w:rsid w:val="00DE4C39"/>
    <w:rsid w:val="00DE52EC"/>
    <w:rsid w:val="00DE57D5"/>
    <w:rsid w:val="00DE5C5C"/>
    <w:rsid w:val="00DE5EC0"/>
    <w:rsid w:val="00DE5F02"/>
    <w:rsid w:val="00DE61EC"/>
    <w:rsid w:val="00DE64A8"/>
    <w:rsid w:val="00DE6930"/>
    <w:rsid w:val="00DE6BD2"/>
    <w:rsid w:val="00DE7AE6"/>
    <w:rsid w:val="00DF036E"/>
    <w:rsid w:val="00DF0780"/>
    <w:rsid w:val="00DF0A2A"/>
    <w:rsid w:val="00DF0BB9"/>
    <w:rsid w:val="00DF38F3"/>
    <w:rsid w:val="00DF3F5F"/>
    <w:rsid w:val="00DF47C1"/>
    <w:rsid w:val="00DF4DDF"/>
    <w:rsid w:val="00DF5984"/>
    <w:rsid w:val="00DF69FB"/>
    <w:rsid w:val="00DF7635"/>
    <w:rsid w:val="00E0028E"/>
    <w:rsid w:val="00E00D3D"/>
    <w:rsid w:val="00E00E30"/>
    <w:rsid w:val="00E016EA"/>
    <w:rsid w:val="00E0175C"/>
    <w:rsid w:val="00E019F1"/>
    <w:rsid w:val="00E01A24"/>
    <w:rsid w:val="00E01AC0"/>
    <w:rsid w:val="00E0236C"/>
    <w:rsid w:val="00E0361E"/>
    <w:rsid w:val="00E04298"/>
    <w:rsid w:val="00E04FD7"/>
    <w:rsid w:val="00E05985"/>
    <w:rsid w:val="00E05C16"/>
    <w:rsid w:val="00E0668E"/>
    <w:rsid w:val="00E06755"/>
    <w:rsid w:val="00E06A6A"/>
    <w:rsid w:val="00E06BA9"/>
    <w:rsid w:val="00E06DFA"/>
    <w:rsid w:val="00E07467"/>
    <w:rsid w:val="00E07610"/>
    <w:rsid w:val="00E07626"/>
    <w:rsid w:val="00E07A3D"/>
    <w:rsid w:val="00E11A67"/>
    <w:rsid w:val="00E11BB2"/>
    <w:rsid w:val="00E12167"/>
    <w:rsid w:val="00E124DE"/>
    <w:rsid w:val="00E133B4"/>
    <w:rsid w:val="00E13B51"/>
    <w:rsid w:val="00E13B74"/>
    <w:rsid w:val="00E13D61"/>
    <w:rsid w:val="00E1407C"/>
    <w:rsid w:val="00E142BB"/>
    <w:rsid w:val="00E143CB"/>
    <w:rsid w:val="00E1459D"/>
    <w:rsid w:val="00E17E30"/>
    <w:rsid w:val="00E17EA9"/>
    <w:rsid w:val="00E21712"/>
    <w:rsid w:val="00E2195B"/>
    <w:rsid w:val="00E21C8F"/>
    <w:rsid w:val="00E22767"/>
    <w:rsid w:val="00E229FD"/>
    <w:rsid w:val="00E2349A"/>
    <w:rsid w:val="00E23AC4"/>
    <w:rsid w:val="00E23E4B"/>
    <w:rsid w:val="00E24CED"/>
    <w:rsid w:val="00E2570B"/>
    <w:rsid w:val="00E25D46"/>
    <w:rsid w:val="00E2643D"/>
    <w:rsid w:val="00E265CD"/>
    <w:rsid w:val="00E266F7"/>
    <w:rsid w:val="00E2790A"/>
    <w:rsid w:val="00E305DE"/>
    <w:rsid w:val="00E3136D"/>
    <w:rsid w:val="00E32B70"/>
    <w:rsid w:val="00E32E4F"/>
    <w:rsid w:val="00E332C6"/>
    <w:rsid w:val="00E3364E"/>
    <w:rsid w:val="00E33C04"/>
    <w:rsid w:val="00E343DD"/>
    <w:rsid w:val="00E37460"/>
    <w:rsid w:val="00E37E3A"/>
    <w:rsid w:val="00E40447"/>
    <w:rsid w:val="00E40BA5"/>
    <w:rsid w:val="00E413E3"/>
    <w:rsid w:val="00E41DF8"/>
    <w:rsid w:val="00E421E8"/>
    <w:rsid w:val="00E42690"/>
    <w:rsid w:val="00E42933"/>
    <w:rsid w:val="00E43533"/>
    <w:rsid w:val="00E43ABE"/>
    <w:rsid w:val="00E447AB"/>
    <w:rsid w:val="00E4576E"/>
    <w:rsid w:val="00E458FE"/>
    <w:rsid w:val="00E46696"/>
    <w:rsid w:val="00E46E60"/>
    <w:rsid w:val="00E478AD"/>
    <w:rsid w:val="00E47BCC"/>
    <w:rsid w:val="00E5016D"/>
    <w:rsid w:val="00E503E4"/>
    <w:rsid w:val="00E50723"/>
    <w:rsid w:val="00E509BC"/>
    <w:rsid w:val="00E514CB"/>
    <w:rsid w:val="00E5176B"/>
    <w:rsid w:val="00E517CE"/>
    <w:rsid w:val="00E5243E"/>
    <w:rsid w:val="00E53378"/>
    <w:rsid w:val="00E54339"/>
    <w:rsid w:val="00E54A88"/>
    <w:rsid w:val="00E55855"/>
    <w:rsid w:val="00E57431"/>
    <w:rsid w:val="00E6032D"/>
    <w:rsid w:val="00E604F8"/>
    <w:rsid w:val="00E61FCA"/>
    <w:rsid w:val="00E62048"/>
    <w:rsid w:val="00E621FA"/>
    <w:rsid w:val="00E62699"/>
    <w:rsid w:val="00E62813"/>
    <w:rsid w:val="00E62880"/>
    <w:rsid w:val="00E62988"/>
    <w:rsid w:val="00E62D8F"/>
    <w:rsid w:val="00E62F6C"/>
    <w:rsid w:val="00E648B1"/>
    <w:rsid w:val="00E6583C"/>
    <w:rsid w:val="00E65D70"/>
    <w:rsid w:val="00E66299"/>
    <w:rsid w:val="00E66CFA"/>
    <w:rsid w:val="00E676AA"/>
    <w:rsid w:val="00E676E3"/>
    <w:rsid w:val="00E70007"/>
    <w:rsid w:val="00E711F7"/>
    <w:rsid w:val="00E7152B"/>
    <w:rsid w:val="00E72329"/>
    <w:rsid w:val="00E74008"/>
    <w:rsid w:val="00E741F4"/>
    <w:rsid w:val="00E74550"/>
    <w:rsid w:val="00E74B1A"/>
    <w:rsid w:val="00E74C50"/>
    <w:rsid w:val="00E74EA0"/>
    <w:rsid w:val="00E750A8"/>
    <w:rsid w:val="00E7544F"/>
    <w:rsid w:val="00E76BB6"/>
    <w:rsid w:val="00E773AD"/>
    <w:rsid w:val="00E81A38"/>
    <w:rsid w:val="00E81AA0"/>
    <w:rsid w:val="00E82A76"/>
    <w:rsid w:val="00E82A92"/>
    <w:rsid w:val="00E83524"/>
    <w:rsid w:val="00E83F46"/>
    <w:rsid w:val="00E860EE"/>
    <w:rsid w:val="00E863A1"/>
    <w:rsid w:val="00E86568"/>
    <w:rsid w:val="00E904F0"/>
    <w:rsid w:val="00E90772"/>
    <w:rsid w:val="00E90894"/>
    <w:rsid w:val="00E91D0B"/>
    <w:rsid w:val="00E91F6F"/>
    <w:rsid w:val="00E92250"/>
    <w:rsid w:val="00E92495"/>
    <w:rsid w:val="00E92B86"/>
    <w:rsid w:val="00E92E4E"/>
    <w:rsid w:val="00E9324B"/>
    <w:rsid w:val="00E94550"/>
    <w:rsid w:val="00E9460E"/>
    <w:rsid w:val="00E94966"/>
    <w:rsid w:val="00E94DE4"/>
    <w:rsid w:val="00E95697"/>
    <w:rsid w:val="00E95EFD"/>
    <w:rsid w:val="00E96AAA"/>
    <w:rsid w:val="00E977B6"/>
    <w:rsid w:val="00EA07C2"/>
    <w:rsid w:val="00EA1862"/>
    <w:rsid w:val="00EA27A0"/>
    <w:rsid w:val="00EA3751"/>
    <w:rsid w:val="00EA37E1"/>
    <w:rsid w:val="00EA39A6"/>
    <w:rsid w:val="00EA56FE"/>
    <w:rsid w:val="00EA6678"/>
    <w:rsid w:val="00EA685D"/>
    <w:rsid w:val="00EA6FFD"/>
    <w:rsid w:val="00EA7182"/>
    <w:rsid w:val="00EA7B23"/>
    <w:rsid w:val="00EA7BB4"/>
    <w:rsid w:val="00EB02C3"/>
    <w:rsid w:val="00EB10CA"/>
    <w:rsid w:val="00EB1C8C"/>
    <w:rsid w:val="00EB3F77"/>
    <w:rsid w:val="00EB4BB2"/>
    <w:rsid w:val="00EB4C9C"/>
    <w:rsid w:val="00EB52FB"/>
    <w:rsid w:val="00EB7067"/>
    <w:rsid w:val="00EB730A"/>
    <w:rsid w:val="00EC0707"/>
    <w:rsid w:val="00EC1DEE"/>
    <w:rsid w:val="00EC1F0B"/>
    <w:rsid w:val="00EC262E"/>
    <w:rsid w:val="00EC40CB"/>
    <w:rsid w:val="00EC4827"/>
    <w:rsid w:val="00EC4B44"/>
    <w:rsid w:val="00EC4FFA"/>
    <w:rsid w:val="00EC6420"/>
    <w:rsid w:val="00EC64DB"/>
    <w:rsid w:val="00EC6D4C"/>
    <w:rsid w:val="00EC6EB5"/>
    <w:rsid w:val="00EC722C"/>
    <w:rsid w:val="00EC73C9"/>
    <w:rsid w:val="00ED0260"/>
    <w:rsid w:val="00ED0D1E"/>
    <w:rsid w:val="00ED10B4"/>
    <w:rsid w:val="00ED16A2"/>
    <w:rsid w:val="00ED1B72"/>
    <w:rsid w:val="00ED1DF5"/>
    <w:rsid w:val="00ED21A9"/>
    <w:rsid w:val="00ED250A"/>
    <w:rsid w:val="00ED2892"/>
    <w:rsid w:val="00ED28D6"/>
    <w:rsid w:val="00ED2AC8"/>
    <w:rsid w:val="00ED2C6A"/>
    <w:rsid w:val="00ED34A9"/>
    <w:rsid w:val="00ED3F3A"/>
    <w:rsid w:val="00ED5524"/>
    <w:rsid w:val="00ED5989"/>
    <w:rsid w:val="00ED710A"/>
    <w:rsid w:val="00ED7370"/>
    <w:rsid w:val="00ED745A"/>
    <w:rsid w:val="00ED76E4"/>
    <w:rsid w:val="00ED7AAE"/>
    <w:rsid w:val="00EE0168"/>
    <w:rsid w:val="00EE09BE"/>
    <w:rsid w:val="00EE0E91"/>
    <w:rsid w:val="00EE1398"/>
    <w:rsid w:val="00EE1BA3"/>
    <w:rsid w:val="00EE1FF7"/>
    <w:rsid w:val="00EE2247"/>
    <w:rsid w:val="00EE2DBE"/>
    <w:rsid w:val="00EE2F84"/>
    <w:rsid w:val="00EE31B1"/>
    <w:rsid w:val="00EE3690"/>
    <w:rsid w:val="00EE36E7"/>
    <w:rsid w:val="00EE3734"/>
    <w:rsid w:val="00EE37F2"/>
    <w:rsid w:val="00EE4E18"/>
    <w:rsid w:val="00EE5657"/>
    <w:rsid w:val="00EE56BC"/>
    <w:rsid w:val="00EE5A64"/>
    <w:rsid w:val="00EE5B51"/>
    <w:rsid w:val="00EE5E0B"/>
    <w:rsid w:val="00EE6235"/>
    <w:rsid w:val="00EE648D"/>
    <w:rsid w:val="00EE7261"/>
    <w:rsid w:val="00EE7D29"/>
    <w:rsid w:val="00EF0A01"/>
    <w:rsid w:val="00EF17E8"/>
    <w:rsid w:val="00EF1C0A"/>
    <w:rsid w:val="00EF1DA5"/>
    <w:rsid w:val="00EF2CE7"/>
    <w:rsid w:val="00EF4858"/>
    <w:rsid w:val="00EF4C52"/>
    <w:rsid w:val="00EF4C9A"/>
    <w:rsid w:val="00EF6053"/>
    <w:rsid w:val="00EF65A8"/>
    <w:rsid w:val="00EF679A"/>
    <w:rsid w:val="00EF6B64"/>
    <w:rsid w:val="00EF6C96"/>
    <w:rsid w:val="00EF7656"/>
    <w:rsid w:val="00EF7B94"/>
    <w:rsid w:val="00EF7D93"/>
    <w:rsid w:val="00F0065C"/>
    <w:rsid w:val="00F00CCF"/>
    <w:rsid w:val="00F013DF"/>
    <w:rsid w:val="00F0229E"/>
    <w:rsid w:val="00F02A00"/>
    <w:rsid w:val="00F02B79"/>
    <w:rsid w:val="00F03954"/>
    <w:rsid w:val="00F03EB0"/>
    <w:rsid w:val="00F041DA"/>
    <w:rsid w:val="00F044E7"/>
    <w:rsid w:val="00F0517B"/>
    <w:rsid w:val="00F051AF"/>
    <w:rsid w:val="00F05227"/>
    <w:rsid w:val="00F0560D"/>
    <w:rsid w:val="00F05829"/>
    <w:rsid w:val="00F05AD5"/>
    <w:rsid w:val="00F072B7"/>
    <w:rsid w:val="00F07800"/>
    <w:rsid w:val="00F0791F"/>
    <w:rsid w:val="00F106F1"/>
    <w:rsid w:val="00F10ECB"/>
    <w:rsid w:val="00F11825"/>
    <w:rsid w:val="00F11B82"/>
    <w:rsid w:val="00F11BE3"/>
    <w:rsid w:val="00F11C75"/>
    <w:rsid w:val="00F11E4D"/>
    <w:rsid w:val="00F13871"/>
    <w:rsid w:val="00F13F95"/>
    <w:rsid w:val="00F14504"/>
    <w:rsid w:val="00F14696"/>
    <w:rsid w:val="00F14D7A"/>
    <w:rsid w:val="00F15643"/>
    <w:rsid w:val="00F15820"/>
    <w:rsid w:val="00F158FF"/>
    <w:rsid w:val="00F162C9"/>
    <w:rsid w:val="00F16810"/>
    <w:rsid w:val="00F168CA"/>
    <w:rsid w:val="00F16A39"/>
    <w:rsid w:val="00F16D01"/>
    <w:rsid w:val="00F171DA"/>
    <w:rsid w:val="00F20D2F"/>
    <w:rsid w:val="00F21755"/>
    <w:rsid w:val="00F21DBB"/>
    <w:rsid w:val="00F22507"/>
    <w:rsid w:val="00F22AAD"/>
    <w:rsid w:val="00F23683"/>
    <w:rsid w:val="00F2418F"/>
    <w:rsid w:val="00F24BAA"/>
    <w:rsid w:val="00F25632"/>
    <w:rsid w:val="00F25B97"/>
    <w:rsid w:val="00F31405"/>
    <w:rsid w:val="00F3175A"/>
    <w:rsid w:val="00F3195D"/>
    <w:rsid w:val="00F3338B"/>
    <w:rsid w:val="00F3339F"/>
    <w:rsid w:val="00F334B4"/>
    <w:rsid w:val="00F340CA"/>
    <w:rsid w:val="00F34351"/>
    <w:rsid w:val="00F347D5"/>
    <w:rsid w:val="00F34AAB"/>
    <w:rsid w:val="00F35BA6"/>
    <w:rsid w:val="00F3611D"/>
    <w:rsid w:val="00F36945"/>
    <w:rsid w:val="00F36A95"/>
    <w:rsid w:val="00F37FF5"/>
    <w:rsid w:val="00F408AB"/>
    <w:rsid w:val="00F4155A"/>
    <w:rsid w:val="00F4193A"/>
    <w:rsid w:val="00F4243D"/>
    <w:rsid w:val="00F43026"/>
    <w:rsid w:val="00F4315C"/>
    <w:rsid w:val="00F43E0C"/>
    <w:rsid w:val="00F44DDC"/>
    <w:rsid w:val="00F4546B"/>
    <w:rsid w:val="00F46684"/>
    <w:rsid w:val="00F47110"/>
    <w:rsid w:val="00F476FF"/>
    <w:rsid w:val="00F47844"/>
    <w:rsid w:val="00F510D7"/>
    <w:rsid w:val="00F51BEC"/>
    <w:rsid w:val="00F51CD7"/>
    <w:rsid w:val="00F522FB"/>
    <w:rsid w:val="00F526CE"/>
    <w:rsid w:val="00F52939"/>
    <w:rsid w:val="00F531D4"/>
    <w:rsid w:val="00F531E2"/>
    <w:rsid w:val="00F53285"/>
    <w:rsid w:val="00F53F5A"/>
    <w:rsid w:val="00F55596"/>
    <w:rsid w:val="00F55713"/>
    <w:rsid w:val="00F5578F"/>
    <w:rsid w:val="00F55AEE"/>
    <w:rsid w:val="00F5634A"/>
    <w:rsid w:val="00F570E9"/>
    <w:rsid w:val="00F57B60"/>
    <w:rsid w:val="00F610DA"/>
    <w:rsid w:val="00F61352"/>
    <w:rsid w:val="00F63D78"/>
    <w:rsid w:val="00F63EAF"/>
    <w:rsid w:val="00F64051"/>
    <w:rsid w:val="00F64054"/>
    <w:rsid w:val="00F65A52"/>
    <w:rsid w:val="00F662A5"/>
    <w:rsid w:val="00F66527"/>
    <w:rsid w:val="00F67F22"/>
    <w:rsid w:val="00F708BB"/>
    <w:rsid w:val="00F70F9A"/>
    <w:rsid w:val="00F71A2B"/>
    <w:rsid w:val="00F71A69"/>
    <w:rsid w:val="00F72728"/>
    <w:rsid w:val="00F730B4"/>
    <w:rsid w:val="00F73A6E"/>
    <w:rsid w:val="00F7404A"/>
    <w:rsid w:val="00F75493"/>
    <w:rsid w:val="00F75CA2"/>
    <w:rsid w:val="00F75D72"/>
    <w:rsid w:val="00F77C83"/>
    <w:rsid w:val="00F77CE9"/>
    <w:rsid w:val="00F80CA6"/>
    <w:rsid w:val="00F80CFD"/>
    <w:rsid w:val="00F81B02"/>
    <w:rsid w:val="00F83D32"/>
    <w:rsid w:val="00F841F3"/>
    <w:rsid w:val="00F8587A"/>
    <w:rsid w:val="00F85EEF"/>
    <w:rsid w:val="00F8639D"/>
    <w:rsid w:val="00F866C3"/>
    <w:rsid w:val="00F86EFC"/>
    <w:rsid w:val="00F871B5"/>
    <w:rsid w:val="00F87690"/>
    <w:rsid w:val="00F908B0"/>
    <w:rsid w:val="00F90DE2"/>
    <w:rsid w:val="00F91ACF"/>
    <w:rsid w:val="00F91B30"/>
    <w:rsid w:val="00F91BA9"/>
    <w:rsid w:val="00F92180"/>
    <w:rsid w:val="00F9276E"/>
    <w:rsid w:val="00F92890"/>
    <w:rsid w:val="00F94C52"/>
    <w:rsid w:val="00F95199"/>
    <w:rsid w:val="00F9646B"/>
    <w:rsid w:val="00F96CBA"/>
    <w:rsid w:val="00F97441"/>
    <w:rsid w:val="00FA0C6B"/>
    <w:rsid w:val="00FA14C3"/>
    <w:rsid w:val="00FA196C"/>
    <w:rsid w:val="00FA1FDA"/>
    <w:rsid w:val="00FA24BD"/>
    <w:rsid w:val="00FA2818"/>
    <w:rsid w:val="00FA2966"/>
    <w:rsid w:val="00FA2B8C"/>
    <w:rsid w:val="00FA3344"/>
    <w:rsid w:val="00FA390A"/>
    <w:rsid w:val="00FA4C5D"/>
    <w:rsid w:val="00FA4E56"/>
    <w:rsid w:val="00FA61EC"/>
    <w:rsid w:val="00FA792F"/>
    <w:rsid w:val="00FB0E84"/>
    <w:rsid w:val="00FB13DA"/>
    <w:rsid w:val="00FB2244"/>
    <w:rsid w:val="00FB33E5"/>
    <w:rsid w:val="00FB3714"/>
    <w:rsid w:val="00FB393D"/>
    <w:rsid w:val="00FB4A6A"/>
    <w:rsid w:val="00FB6CBF"/>
    <w:rsid w:val="00FB7992"/>
    <w:rsid w:val="00FC4272"/>
    <w:rsid w:val="00FC45E6"/>
    <w:rsid w:val="00FC4AAC"/>
    <w:rsid w:val="00FC5449"/>
    <w:rsid w:val="00FC5D86"/>
    <w:rsid w:val="00FC5EEE"/>
    <w:rsid w:val="00FC6036"/>
    <w:rsid w:val="00FC67A6"/>
    <w:rsid w:val="00FC7906"/>
    <w:rsid w:val="00FC7D35"/>
    <w:rsid w:val="00FD0129"/>
    <w:rsid w:val="00FD0B78"/>
    <w:rsid w:val="00FD13E0"/>
    <w:rsid w:val="00FD1A5F"/>
    <w:rsid w:val="00FD1DDF"/>
    <w:rsid w:val="00FD32AB"/>
    <w:rsid w:val="00FD37CB"/>
    <w:rsid w:val="00FD44C7"/>
    <w:rsid w:val="00FD4CFE"/>
    <w:rsid w:val="00FD5D95"/>
    <w:rsid w:val="00FD6458"/>
    <w:rsid w:val="00FD65E3"/>
    <w:rsid w:val="00FD66DE"/>
    <w:rsid w:val="00FD6CF3"/>
    <w:rsid w:val="00FD7FEA"/>
    <w:rsid w:val="00FE026B"/>
    <w:rsid w:val="00FE0F2D"/>
    <w:rsid w:val="00FE1193"/>
    <w:rsid w:val="00FE15C6"/>
    <w:rsid w:val="00FE1B04"/>
    <w:rsid w:val="00FE2821"/>
    <w:rsid w:val="00FE331A"/>
    <w:rsid w:val="00FE46C5"/>
    <w:rsid w:val="00FE4AB3"/>
    <w:rsid w:val="00FE5265"/>
    <w:rsid w:val="00FE527C"/>
    <w:rsid w:val="00FE59A5"/>
    <w:rsid w:val="00FE661B"/>
    <w:rsid w:val="00FE6728"/>
    <w:rsid w:val="00FF0711"/>
    <w:rsid w:val="00FF0998"/>
    <w:rsid w:val="00FF1628"/>
    <w:rsid w:val="00FF2E36"/>
    <w:rsid w:val="00FF2FD6"/>
    <w:rsid w:val="00FF409A"/>
    <w:rsid w:val="00FF44C2"/>
    <w:rsid w:val="00FF48D3"/>
    <w:rsid w:val="00FF4A02"/>
    <w:rsid w:val="00FF4B8C"/>
    <w:rsid w:val="00FF4C33"/>
    <w:rsid w:val="00FF4EDB"/>
    <w:rsid w:val="00FF5465"/>
    <w:rsid w:val="00FF579A"/>
    <w:rsid w:val="00FF5FE6"/>
    <w:rsid w:val="00FF62CE"/>
    <w:rsid w:val="00FF66A8"/>
    <w:rsid w:val="00FF6C5D"/>
    <w:rsid w:val="00FF6E72"/>
    <w:rsid w:val="00FF7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Bullet 2"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b">
    <w:name w:val="Normal"/>
    <w:qFormat/>
    <w:rsid w:val="00991B9F"/>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4">
    <w:name w:val="heading 1"/>
    <w:aliases w:val="Document Header1,1,h1,H1,app heading 1,ITT t1,II+,I,H11,H12,H13,H14,H15,H16,H17,H18,...,Заголов,Çàãîëîâ,ch,Глава,(раздел),Section 1.0,Part,Heading for Top Section,H111,H121,H131,H141,H151,H161,H171,H19,H112,H122,H132,H142,H152,H162,H172,H181"/>
    <w:basedOn w:val="ab"/>
    <w:next w:val="2c"/>
    <w:link w:val="18"/>
    <w:qFormat/>
    <w:rsid w:val="00991B9F"/>
    <w:pPr>
      <w:keepNext/>
      <w:numPr>
        <w:numId w:val="4"/>
      </w:numPr>
      <w:suppressAutoHyphens/>
      <w:spacing w:before="360" w:after="120"/>
      <w:jc w:val="left"/>
      <w:outlineLvl w:val="0"/>
    </w:pPr>
    <w:rPr>
      <w:rFonts w:ascii="Arial" w:hAnsi="Arial"/>
      <w:b/>
      <w:bCs/>
      <w:sz w:val="36"/>
    </w:rPr>
  </w:style>
  <w:style w:type="paragraph" w:styleId="26">
    <w:name w:val="heading 2"/>
    <w:aliases w:val="H2,h2,2,Heading 2 Hidden,CHS,H2-Heading 2,l2,Header2,22,heading2,li...,Section 1.1,Main Heading,Bold 14,L2,list2,A,A.B.C.,list 2,Heading2,Heading Indent No L2,UNDERRUBRIK 1-2,Fonctionnalité,Titre 21,t2.T2,Table2,ITT t2,H2-Heading 21,Header 2"/>
    <w:basedOn w:val="ab"/>
    <w:next w:val="3a"/>
    <w:link w:val="2d"/>
    <w:qFormat/>
    <w:rsid w:val="00991B9F"/>
    <w:pPr>
      <w:keepNext/>
      <w:numPr>
        <w:ilvl w:val="1"/>
        <w:numId w:val="4"/>
      </w:numPr>
      <w:spacing w:before="360" w:after="120"/>
      <w:outlineLvl w:val="1"/>
    </w:pPr>
    <w:rPr>
      <w:rFonts w:ascii="Arial" w:hAnsi="Arial"/>
      <w:b/>
      <w:bCs/>
      <w:sz w:val="32"/>
    </w:rPr>
  </w:style>
  <w:style w:type="paragraph" w:styleId="35">
    <w:name w:val="heading 3"/>
    <w:aliases w:val="h3,Head 3,l3+toc 3,CT,Sub-section Title,l3,Heading 3 Char,H3,3,H31,H32,H33,H34,H35,H311,H36,H37,H312,H38,H39,H313,H310,H314,H315,H316,H317,H321,H331,H341,H351,H3111,H361,H371,H3121,H381,H391,H3131,H3101,H3141,H3151,H3161,H318,H319,Minor,h:3"/>
    <w:basedOn w:val="ab"/>
    <w:next w:val="46"/>
    <w:link w:val="3b"/>
    <w:qFormat/>
    <w:rsid w:val="00991B9F"/>
    <w:pPr>
      <w:keepNext/>
      <w:numPr>
        <w:ilvl w:val="2"/>
        <w:numId w:val="4"/>
      </w:numPr>
      <w:spacing w:before="360" w:after="120"/>
      <w:outlineLvl w:val="2"/>
    </w:pPr>
    <w:rPr>
      <w:rFonts w:ascii="Arial" w:hAnsi="Arial"/>
      <w:b/>
      <w:bCs/>
      <w:sz w:val="28"/>
    </w:rPr>
  </w:style>
  <w:style w:type="paragraph" w:styleId="42">
    <w:name w:val="heading 4"/>
    <w:aliases w:val="h4,First Subheading,4,I4,l4,heading4,I41,41,l41,heading41,(Shift Ctrl 4),Titre 41,t4.T4,4heading,a.,4 dash,d,4 dash1,d1,31,h41,a.1,4 dash2,d2,32,h42,a.2,4 dash3,d3,33,h43,a.3,4 dash4,d4,34,h44,a.4,Sub sub heading,4 dash5,d5,35,h45,a.5,H4,h:4"/>
    <w:basedOn w:val="ab"/>
    <w:next w:val="ac"/>
    <w:link w:val="47"/>
    <w:qFormat/>
    <w:rsid w:val="00991B9F"/>
    <w:pPr>
      <w:numPr>
        <w:ilvl w:val="3"/>
        <w:numId w:val="4"/>
      </w:numPr>
      <w:spacing w:before="360" w:after="120"/>
      <w:outlineLvl w:val="3"/>
    </w:pPr>
    <w:rPr>
      <w:rFonts w:ascii="Arial" w:hAnsi="Arial"/>
      <w:sz w:val="28"/>
    </w:rPr>
  </w:style>
  <w:style w:type="paragraph" w:styleId="53">
    <w:name w:val="heading 5"/>
    <w:aliases w:val="Заг 2,H5,PIM 5,5,ITT t5,PA Pico Section,Bold/Italics,Roman list,h5,Roman list1,Roman list2,Roman list11,Roman list3,Roman list12,Roman list21,Roman list111,_EB_5,Gliederung5,heading 5,_EB_Заголовок 5,Заголовок oglavlenie,_Подпункт,HT,sb"/>
    <w:basedOn w:val="ab"/>
    <w:next w:val="ab"/>
    <w:link w:val="54"/>
    <w:qFormat/>
    <w:rsid w:val="00991B9F"/>
    <w:pPr>
      <w:spacing w:before="240" w:after="60" w:line="360" w:lineRule="auto"/>
      <w:jc w:val="left"/>
      <w:outlineLvl w:val="4"/>
    </w:pPr>
    <w:rPr>
      <w:rFonts w:ascii="Arial" w:hAnsi="Arial"/>
      <w:snapToGrid/>
      <w:color w:val="auto"/>
      <w:sz w:val="22"/>
      <w:lang w:eastAsia="en-US"/>
    </w:rPr>
  </w:style>
  <w:style w:type="paragraph" w:styleId="60">
    <w:name w:val="heading 6"/>
    <w:basedOn w:val="ab"/>
    <w:next w:val="ab"/>
    <w:link w:val="61"/>
    <w:rsid w:val="00991B9F"/>
    <w:pPr>
      <w:spacing w:before="240" w:after="60" w:line="360" w:lineRule="auto"/>
      <w:jc w:val="left"/>
      <w:outlineLvl w:val="5"/>
    </w:pPr>
    <w:rPr>
      <w:rFonts w:ascii="Arial" w:hAnsi="Arial"/>
      <w:i/>
      <w:snapToGrid/>
      <w:color w:val="auto"/>
      <w:sz w:val="22"/>
      <w:lang w:eastAsia="en-US"/>
    </w:rPr>
  </w:style>
  <w:style w:type="paragraph" w:styleId="7">
    <w:name w:val="heading 7"/>
    <w:basedOn w:val="ab"/>
    <w:next w:val="ab"/>
    <w:link w:val="70"/>
    <w:rsid w:val="00991B9F"/>
    <w:pPr>
      <w:keepNext/>
      <w:spacing w:line="360" w:lineRule="auto"/>
      <w:jc w:val="left"/>
      <w:outlineLvl w:val="6"/>
    </w:pPr>
    <w:rPr>
      <w:rFonts w:ascii="Arial" w:hAnsi="Arial"/>
      <w:i/>
      <w:snapToGrid/>
      <w:color w:val="auto"/>
      <w:sz w:val="22"/>
      <w:lang w:val="en-US" w:eastAsia="en-US"/>
    </w:rPr>
  </w:style>
  <w:style w:type="paragraph" w:styleId="80">
    <w:name w:val="heading 8"/>
    <w:basedOn w:val="ab"/>
    <w:next w:val="ab"/>
    <w:link w:val="81"/>
    <w:uiPriority w:val="9"/>
    <w:unhideWhenUsed/>
    <w:qFormat/>
    <w:rsid w:val="006E482F"/>
    <w:pPr>
      <w:spacing w:before="240" w:after="60"/>
      <w:outlineLvl w:val="7"/>
    </w:pPr>
    <w:rPr>
      <w:rFonts w:ascii="Calibri" w:hAnsi="Calibri"/>
      <w:i/>
      <w:iCs/>
      <w:szCs w:val="24"/>
    </w:rPr>
  </w:style>
  <w:style w:type="paragraph" w:styleId="9">
    <w:name w:val="heading 9"/>
    <w:aliases w:val="ненумерованный"/>
    <w:basedOn w:val="ab"/>
    <w:next w:val="ab"/>
    <w:link w:val="90"/>
    <w:uiPriority w:val="9"/>
    <w:unhideWhenUsed/>
    <w:qFormat/>
    <w:rsid w:val="006E482F"/>
    <w:pPr>
      <w:spacing w:before="240" w:after="60"/>
      <w:outlineLvl w:val="8"/>
    </w:pPr>
    <w:rPr>
      <w:rFonts w:ascii="Calibri Light" w:hAnsi="Calibri Light"/>
      <w:sz w:val="22"/>
      <w:szCs w:val="22"/>
    </w:rPr>
  </w:style>
  <w:style w:type="character" w:default="1" w:styleId="ad">
    <w:name w:val="Default Paragraph Font"/>
    <w:uiPriority w:val="1"/>
    <w:semiHidden/>
    <w:unhideWhenUsed/>
    <w:rsid w:val="00991B9F"/>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991B9F"/>
  </w:style>
  <w:style w:type="character" w:customStyle="1" w:styleId="18">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4"/>
    <w:rsid w:val="00991B9F"/>
    <w:rPr>
      <w:rFonts w:ascii="Arial" w:eastAsia="Times New Roman" w:hAnsi="Arial" w:cs="Times New Roman"/>
      <w:b/>
      <w:bCs/>
      <w:snapToGrid w:val="0"/>
      <w:color w:val="000000"/>
      <w:sz w:val="36"/>
      <w:szCs w:val="20"/>
      <w:lang w:eastAsia="ru-RU"/>
    </w:rPr>
  </w:style>
  <w:style w:type="character" w:customStyle="1" w:styleId="2d">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6"/>
    <w:rsid w:val="00991B9F"/>
    <w:rPr>
      <w:rFonts w:ascii="Arial" w:eastAsia="Times New Roman" w:hAnsi="Arial" w:cs="Times New Roman"/>
      <w:b/>
      <w:bCs/>
      <w:snapToGrid w:val="0"/>
      <w:color w:val="000000"/>
      <w:sz w:val="32"/>
      <w:szCs w:val="20"/>
      <w:lang w:eastAsia="ru-RU"/>
    </w:rPr>
  </w:style>
  <w:style w:type="character" w:customStyle="1" w:styleId="3b">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5"/>
    <w:rsid w:val="00991B9F"/>
    <w:rPr>
      <w:rFonts w:ascii="Arial" w:eastAsia="Times New Roman" w:hAnsi="Arial" w:cs="Times New Roman"/>
      <w:b/>
      <w:bCs/>
      <w:snapToGrid w:val="0"/>
      <w:color w:val="000000"/>
      <w:sz w:val="28"/>
      <w:szCs w:val="20"/>
      <w:lang w:eastAsia="ru-RU"/>
    </w:rPr>
  </w:style>
  <w:style w:type="character" w:customStyle="1" w:styleId="47">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2"/>
    <w:rsid w:val="00991B9F"/>
    <w:rPr>
      <w:rFonts w:ascii="Arial" w:eastAsia="Times New Roman" w:hAnsi="Arial" w:cs="Times New Roman"/>
      <w:snapToGrid w:val="0"/>
      <w:color w:val="000000"/>
      <w:sz w:val="28"/>
      <w:szCs w:val="20"/>
      <w:lang w:eastAsia="ru-RU"/>
    </w:rPr>
  </w:style>
  <w:style w:type="character" w:customStyle="1" w:styleId="54">
    <w:name w:val="Заголовок 5 Знак"/>
    <w:aliases w:val="Заг 2 Знак,H5 Знак,PIM 5 Знак,5 Знак,ITT t5 Знак,PA Pico Section Знак,Bold/Italics Знак,Roman list Знак,h5 Знак,Roman list1 Знак,Roman list2 Знак,Roman list11 Знак,Roman list3 Знак,Roman list12 Знак,Roman list21 Знак,Roman list111 Знак"/>
    <w:basedOn w:val="ad"/>
    <w:link w:val="53"/>
    <w:rsid w:val="00DD4405"/>
    <w:rPr>
      <w:rFonts w:ascii="Arial" w:eastAsia="Times New Roman" w:hAnsi="Arial" w:cs="Times New Roman"/>
      <w:szCs w:val="20"/>
    </w:rPr>
  </w:style>
  <w:style w:type="character" w:customStyle="1" w:styleId="61">
    <w:name w:val="Заголовок 6 Знак"/>
    <w:link w:val="60"/>
    <w:rsid w:val="00991B9F"/>
    <w:rPr>
      <w:rFonts w:ascii="Arial" w:eastAsia="Times New Roman" w:hAnsi="Arial" w:cs="Times New Roman"/>
      <w:i/>
      <w:szCs w:val="20"/>
    </w:rPr>
  </w:style>
  <w:style w:type="character" w:customStyle="1" w:styleId="70">
    <w:name w:val="Заголовок 7 Знак"/>
    <w:basedOn w:val="ad"/>
    <w:link w:val="7"/>
    <w:rsid w:val="00D55811"/>
    <w:rPr>
      <w:rFonts w:ascii="Arial" w:eastAsia="Times New Roman" w:hAnsi="Arial" w:cs="Times New Roman"/>
      <w:i/>
      <w:szCs w:val="20"/>
      <w:lang w:val="en-US"/>
    </w:rPr>
  </w:style>
  <w:style w:type="character" w:customStyle="1" w:styleId="81">
    <w:name w:val="Заголовок 8 Знак"/>
    <w:link w:val="80"/>
    <w:uiPriority w:val="9"/>
    <w:rsid w:val="006E482F"/>
    <w:rPr>
      <w:rFonts w:ascii="Calibri" w:eastAsia="Times New Roman" w:hAnsi="Calibri" w:cs="Times New Roman"/>
      <w:i/>
      <w:iCs/>
      <w:snapToGrid w:val="0"/>
      <w:color w:val="000000"/>
      <w:sz w:val="24"/>
      <w:szCs w:val="24"/>
      <w:lang w:eastAsia="ru-RU"/>
    </w:rPr>
  </w:style>
  <w:style w:type="character" w:customStyle="1" w:styleId="90">
    <w:name w:val="Заголовок 9 Знак"/>
    <w:aliases w:val="ненумерованный Знак"/>
    <w:link w:val="9"/>
    <w:uiPriority w:val="9"/>
    <w:rsid w:val="006E482F"/>
    <w:rPr>
      <w:rFonts w:ascii="Calibri Light" w:eastAsia="Times New Roman" w:hAnsi="Calibri Light" w:cs="Times New Roman"/>
      <w:snapToGrid w:val="0"/>
      <w:color w:val="000000"/>
      <w:lang w:eastAsia="ru-RU"/>
    </w:rPr>
  </w:style>
  <w:style w:type="paragraph" w:styleId="af0">
    <w:name w:val="Body Text"/>
    <w:aliases w:val="body text,Заг1,contents,Corps de texte,bt,body tesx,t,RFQ Text,RFQ,body text1,body text2,bt1,body text3,bt2,body text4,bt3,body text5,bt4,body text6,bt5,body text7,bt6,body text8,bt7,body text11,body text21,bt11,body text31,bt21,ändrad,EH"/>
    <w:basedOn w:val="ab"/>
    <w:link w:val="af1"/>
    <w:rsid w:val="00991B9F"/>
    <w:pPr>
      <w:ind w:firstLine="567"/>
    </w:pPr>
    <w:rPr>
      <w:sz w:val="28"/>
    </w:rPr>
  </w:style>
  <w:style w:type="character" w:customStyle="1" w:styleId="af1">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ink w:val="af0"/>
    <w:rsid w:val="00991B9F"/>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b"/>
    <w:qFormat/>
    <w:rsid w:val="00991B9F"/>
    <w:pPr>
      <w:keepNext/>
      <w:spacing w:before="120"/>
      <w:jc w:val="left"/>
    </w:pPr>
    <w:rPr>
      <w:color w:val="auto"/>
      <w:sz w:val="28"/>
    </w:rPr>
  </w:style>
  <w:style w:type="paragraph" w:customStyle="1" w:styleId="2c">
    <w:name w:val="Пункт 2 уровня"/>
    <w:basedOn w:val="26"/>
    <w:link w:val="2e"/>
    <w:rsid w:val="00991B9F"/>
    <w:pPr>
      <w:keepNext w:val="0"/>
      <w:spacing w:before="120"/>
    </w:pPr>
    <w:rPr>
      <w:rFonts w:ascii="Times New Roman" w:hAnsi="Times New Roman"/>
      <w:b w:val="0"/>
      <w:sz w:val="28"/>
    </w:rPr>
  </w:style>
  <w:style w:type="paragraph" w:customStyle="1" w:styleId="3a">
    <w:name w:val="Пункт 3 уровня"/>
    <w:basedOn w:val="35"/>
    <w:link w:val="3c"/>
    <w:rsid w:val="00991B9F"/>
    <w:pPr>
      <w:keepNext w:val="0"/>
      <w:spacing w:before="120"/>
    </w:pPr>
    <w:rPr>
      <w:rFonts w:ascii="Times New Roman" w:hAnsi="Times New Roman"/>
      <w:b w:val="0"/>
    </w:rPr>
  </w:style>
  <w:style w:type="character" w:customStyle="1" w:styleId="3c">
    <w:name w:val="Пункт 3 уровня Знак"/>
    <w:link w:val="3a"/>
    <w:rsid w:val="00991B9F"/>
    <w:rPr>
      <w:rFonts w:ascii="Times New Roman" w:eastAsia="Times New Roman" w:hAnsi="Times New Roman" w:cs="Times New Roman"/>
      <w:bCs/>
      <w:snapToGrid w:val="0"/>
      <w:color w:val="000000"/>
      <w:sz w:val="28"/>
      <w:szCs w:val="20"/>
      <w:lang w:eastAsia="ru-RU"/>
    </w:rPr>
  </w:style>
  <w:style w:type="paragraph" w:customStyle="1" w:styleId="46">
    <w:name w:val="Пункт 4 уровня"/>
    <w:basedOn w:val="42"/>
    <w:link w:val="48"/>
    <w:rsid w:val="00991B9F"/>
    <w:pPr>
      <w:spacing w:before="120"/>
    </w:pPr>
    <w:rPr>
      <w:rFonts w:ascii="Times New Roman" w:hAnsi="Times New Roman"/>
    </w:rPr>
  </w:style>
  <w:style w:type="character" w:customStyle="1" w:styleId="48">
    <w:name w:val="Пункт 4 уровня Знак"/>
    <w:basedOn w:val="47"/>
    <w:link w:val="46"/>
    <w:rsid w:val="00991B9F"/>
    <w:rPr>
      <w:rFonts w:ascii="Times New Roman" w:eastAsia="Times New Roman" w:hAnsi="Times New Roman" w:cs="Times New Roman"/>
      <w:snapToGrid w:val="0"/>
      <w:color w:val="000000"/>
      <w:sz w:val="28"/>
      <w:szCs w:val="20"/>
      <w:lang w:eastAsia="ru-RU"/>
    </w:rPr>
  </w:style>
  <w:style w:type="character" w:styleId="af2">
    <w:name w:val="FollowedHyperlink"/>
    <w:rsid w:val="00991B9F"/>
    <w:rPr>
      <w:color w:val="800080"/>
      <w:u w:val="single"/>
    </w:rPr>
  </w:style>
  <w:style w:type="paragraph" w:styleId="af3">
    <w:name w:val="header"/>
    <w:basedOn w:val="ab"/>
    <w:link w:val="af4"/>
    <w:rsid w:val="00991B9F"/>
  </w:style>
  <w:style w:type="character" w:customStyle="1" w:styleId="af4">
    <w:name w:val="Верхний колонтитул Знак"/>
    <w:basedOn w:val="ad"/>
    <w:link w:val="af3"/>
    <w:rsid w:val="00D55811"/>
    <w:rPr>
      <w:rFonts w:ascii="Times New Roman" w:eastAsia="Times New Roman" w:hAnsi="Times New Roman" w:cs="Times New Roman"/>
      <w:snapToGrid w:val="0"/>
      <w:color w:val="000000"/>
      <w:sz w:val="24"/>
      <w:szCs w:val="20"/>
      <w:lang w:eastAsia="ru-RU"/>
    </w:rPr>
  </w:style>
  <w:style w:type="character" w:styleId="af5">
    <w:name w:val="Hyperlink"/>
    <w:uiPriority w:val="99"/>
    <w:rsid w:val="00991B9F"/>
    <w:rPr>
      <w:color w:val="0000FF"/>
      <w:u w:val="single"/>
    </w:rPr>
  </w:style>
  <w:style w:type="paragraph" w:customStyle="1" w:styleId="af6">
    <w:name w:val="Заголовки без нумерации"/>
    <w:basedOn w:val="14"/>
    <w:next w:val="af0"/>
    <w:rsid w:val="00991B9F"/>
    <w:pPr>
      <w:numPr>
        <w:numId w:val="0"/>
      </w:numPr>
    </w:pPr>
  </w:style>
  <w:style w:type="paragraph" w:styleId="af7">
    <w:name w:val="footer"/>
    <w:aliases w:val="Не удалять!"/>
    <w:link w:val="af8"/>
    <w:rsid w:val="00991B9F"/>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8">
    <w:name w:val="Нижний колонтитул Знак"/>
    <w:aliases w:val="Не удалять! Знак"/>
    <w:link w:val="af7"/>
    <w:rsid w:val="00991B9F"/>
    <w:rPr>
      <w:rFonts w:ascii="Arial" w:eastAsia="Times New Roman" w:hAnsi="Arial" w:cs="Times New Roman"/>
      <w:i/>
      <w:sz w:val="16"/>
      <w:szCs w:val="20"/>
      <w:lang w:val="en-US" w:eastAsia="ru-RU"/>
    </w:rPr>
  </w:style>
  <w:style w:type="character" w:styleId="af9">
    <w:name w:val="page number"/>
    <w:rsid w:val="00991B9F"/>
    <w:rPr>
      <w:iCs/>
      <w:sz w:val="28"/>
    </w:rPr>
  </w:style>
  <w:style w:type="paragraph" w:styleId="49">
    <w:name w:val="toc 4"/>
    <w:basedOn w:val="ab"/>
    <w:next w:val="ab"/>
    <w:autoRedefine/>
    <w:uiPriority w:val="39"/>
    <w:rsid w:val="00991B9F"/>
    <w:pPr>
      <w:ind w:left="720"/>
    </w:pPr>
  </w:style>
  <w:style w:type="paragraph" w:customStyle="1" w:styleId="10-">
    <w:name w:val="Таблица (10) - осн. текст"/>
    <w:basedOn w:val="ab"/>
    <w:rsid w:val="00991B9F"/>
    <w:pPr>
      <w:spacing w:after="60"/>
      <w:ind w:firstLine="5"/>
      <w:jc w:val="left"/>
    </w:pPr>
    <w:rPr>
      <w:rFonts w:ascii="Arial" w:hAnsi="Arial"/>
      <w:sz w:val="20"/>
    </w:rPr>
  </w:style>
  <w:style w:type="paragraph" w:customStyle="1" w:styleId="10-1">
    <w:name w:val="Таблица (10) - список нум. 1"/>
    <w:basedOn w:val="10-"/>
    <w:rsid w:val="00991B9F"/>
    <w:pPr>
      <w:ind w:left="227" w:hanging="227"/>
    </w:pPr>
    <w:rPr>
      <w:rFonts w:cs="Arial"/>
    </w:rPr>
  </w:style>
  <w:style w:type="paragraph" w:styleId="19">
    <w:name w:val="toc 1"/>
    <w:basedOn w:val="ab"/>
    <w:next w:val="ab"/>
    <w:uiPriority w:val="39"/>
    <w:rsid w:val="00991B9F"/>
    <w:pPr>
      <w:tabs>
        <w:tab w:val="right" w:leader="dot" w:pos="9923"/>
      </w:tabs>
      <w:spacing w:before="120" w:after="120"/>
      <w:jc w:val="left"/>
    </w:pPr>
    <w:rPr>
      <w:rFonts w:ascii="Arial" w:hAnsi="Arial"/>
      <w:b/>
      <w:noProof/>
      <w:snapToGrid/>
      <w:color w:val="auto"/>
      <w:sz w:val="28"/>
      <w:lang w:eastAsia="en-US"/>
    </w:rPr>
  </w:style>
  <w:style w:type="paragraph" w:styleId="2f">
    <w:name w:val="toc 2"/>
    <w:basedOn w:val="ab"/>
    <w:next w:val="ab"/>
    <w:uiPriority w:val="39"/>
    <w:rsid w:val="00991B9F"/>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d">
    <w:name w:val="toc 3"/>
    <w:basedOn w:val="ab"/>
    <w:next w:val="ab"/>
    <w:uiPriority w:val="39"/>
    <w:rsid w:val="00991B9F"/>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a">
    <w:name w:val="Текст примечания Знак"/>
    <w:aliases w:val="12 пт Знак"/>
    <w:link w:val="afb"/>
    <w:rsid w:val="00991B9F"/>
    <w:rPr>
      <w:color w:val="000000"/>
    </w:rPr>
  </w:style>
  <w:style w:type="paragraph" w:styleId="afb">
    <w:name w:val="annotation text"/>
    <w:aliases w:val="12 пт"/>
    <w:basedOn w:val="ab"/>
    <w:link w:val="afa"/>
    <w:rsid w:val="00991B9F"/>
    <w:rPr>
      <w:rFonts w:asciiTheme="minorHAnsi" w:eastAsiaTheme="minorHAnsi" w:hAnsiTheme="minorHAnsi" w:cstheme="minorBidi"/>
      <w:snapToGrid/>
      <w:sz w:val="22"/>
      <w:szCs w:val="22"/>
      <w:lang w:eastAsia="en-US"/>
    </w:rPr>
  </w:style>
  <w:style w:type="character" w:customStyle="1" w:styleId="1a">
    <w:name w:val="Текст примечания Знак1"/>
    <w:basedOn w:val="ad"/>
    <w:uiPriority w:val="99"/>
    <w:semiHidden/>
    <w:rsid w:val="00D55811"/>
    <w:rPr>
      <w:rFonts w:ascii="Times New Roman" w:eastAsia="Times New Roman" w:hAnsi="Times New Roman" w:cs="Times New Roman"/>
      <w:snapToGrid w:val="0"/>
      <w:color w:val="000000"/>
      <w:sz w:val="20"/>
      <w:szCs w:val="20"/>
      <w:lang w:eastAsia="ru-RU"/>
    </w:rPr>
  </w:style>
  <w:style w:type="paragraph" w:customStyle="1" w:styleId="13">
    <w:name w:val="Список маркированный уровень 1"/>
    <w:basedOn w:val="ab"/>
    <w:link w:val="1b"/>
    <w:autoRedefine/>
    <w:rsid w:val="00991B9F"/>
    <w:pPr>
      <w:keepLines/>
      <w:numPr>
        <w:numId w:val="1"/>
      </w:numPr>
      <w:tabs>
        <w:tab w:val="clear" w:pos="284"/>
      </w:tabs>
      <w:spacing w:before="120" w:after="120"/>
      <w:ind w:left="992" w:hanging="425"/>
    </w:pPr>
    <w:rPr>
      <w:color w:val="auto"/>
      <w:sz w:val="28"/>
    </w:rPr>
  </w:style>
  <w:style w:type="paragraph" w:customStyle="1" w:styleId="29">
    <w:name w:val="Список маркированный уровень 2"/>
    <w:basedOn w:val="ab"/>
    <w:rsid w:val="00991B9F"/>
    <w:pPr>
      <w:numPr>
        <w:numId w:val="2"/>
      </w:numPr>
      <w:tabs>
        <w:tab w:val="clear" w:pos="567"/>
        <w:tab w:val="left" w:pos="-2127"/>
      </w:tabs>
      <w:spacing w:before="120" w:after="120"/>
      <w:ind w:left="1276" w:hanging="284"/>
    </w:pPr>
    <w:rPr>
      <w:color w:val="auto"/>
      <w:sz w:val="28"/>
    </w:rPr>
  </w:style>
  <w:style w:type="paragraph" w:styleId="afc">
    <w:name w:val="Normal (Web)"/>
    <w:aliases w:val="Обычный (веб) Знак Знак Знак,Обычный (Web) Знак Знак Знак Знак,Обычный (Web) Знак Знак Знак,Обычный (веб) Знак Знак"/>
    <w:basedOn w:val="ab"/>
    <w:uiPriority w:val="99"/>
    <w:rsid w:val="00991B9F"/>
    <w:rPr>
      <w:szCs w:val="24"/>
    </w:rPr>
  </w:style>
  <w:style w:type="paragraph" w:customStyle="1" w:styleId="afd">
    <w:name w:val="Список нумерованный"/>
    <w:basedOn w:val="ab"/>
    <w:next w:val="ab"/>
    <w:rsid w:val="00991B9F"/>
    <w:pPr>
      <w:spacing w:before="120" w:after="120"/>
      <w:ind w:left="992" w:hanging="425"/>
    </w:pPr>
    <w:rPr>
      <w:sz w:val="28"/>
    </w:rPr>
  </w:style>
  <w:style w:type="paragraph" w:customStyle="1" w:styleId="10-10">
    <w:name w:val="Таблица (10) - сп.марк.ур.1"/>
    <w:basedOn w:val="10-"/>
    <w:rsid w:val="00991B9F"/>
    <w:pPr>
      <w:tabs>
        <w:tab w:val="num" w:pos="171"/>
      </w:tabs>
      <w:ind w:left="170" w:hanging="170"/>
    </w:pPr>
  </w:style>
  <w:style w:type="paragraph" w:styleId="afe">
    <w:name w:val="footnote text"/>
    <w:basedOn w:val="ab"/>
    <w:link w:val="aff"/>
    <w:rsid w:val="00991B9F"/>
    <w:rPr>
      <w:rFonts w:ascii="Arial" w:hAnsi="Arial"/>
      <w:sz w:val="20"/>
    </w:rPr>
  </w:style>
  <w:style w:type="character" w:customStyle="1" w:styleId="aff">
    <w:name w:val="Текст сноски Знак"/>
    <w:basedOn w:val="ad"/>
    <w:link w:val="afe"/>
    <w:rsid w:val="00D55811"/>
    <w:rPr>
      <w:rFonts w:ascii="Arial" w:eastAsia="Times New Roman" w:hAnsi="Arial" w:cs="Times New Roman"/>
      <w:snapToGrid w:val="0"/>
      <w:color w:val="000000"/>
      <w:sz w:val="20"/>
      <w:szCs w:val="20"/>
      <w:lang w:eastAsia="ru-RU"/>
    </w:rPr>
  </w:style>
  <w:style w:type="character" w:styleId="aff0">
    <w:name w:val="footnote reference"/>
    <w:rsid w:val="00991B9F"/>
    <w:rPr>
      <w:vertAlign w:val="superscript"/>
    </w:rPr>
  </w:style>
  <w:style w:type="paragraph" w:customStyle="1" w:styleId="10-2">
    <w:name w:val="Таблица (10) - сп.марк.ур.2"/>
    <w:basedOn w:val="10-"/>
    <w:rsid w:val="00991B9F"/>
    <w:pPr>
      <w:numPr>
        <w:numId w:val="3"/>
      </w:numPr>
    </w:pPr>
    <w:rPr>
      <w:rFonts w:ascii="Times New Roman" w:hAnsi="Times New Roman"/>
      <w:sz w:val="24"/>
    </w:rPr>
  </w:style>
  <w:style w:type="paragraph" w:customStyle="1" w:styleId="aff1">
    <w:name w:val="Заголовок приложения"/>
    <w:basedOn w:val="14"/>
    <w:next w:val="ab"/>
    <w:rsid w:val="00991B9F"/>
    <w:pPr>
      <w:numPr>
        <w:numId w:val="0"/>
      </w:numPr>
      <w:spacing w:before="0"/>
      <w:jc w:val="right"/>
    </w:pPr>
  </w:style>
  <w:style w:type="paragraph" w:styleId="55">
    <w:name w:val="toc 5"/>
    <w:basedOn w:val="ab"/>
    <w:next w:val="ab"/>
    <w:autoRedefine/>
    <w:uiPriority w:val="39"/>
    <w:rsid w:val="00991B9F"/>
    <w:pPr>
      <w:ind w:left="960"/>
    </w:pPr>
  </w:style>
  <w:style w:type="paragraph" w:styleId="62">
    <w:name w:val="toc 6"/>
    <w:basedOn w:val="ab"/>
    <w:next w:val="ab"/>
    <w:autoRedefine/>
    <w:uiPriority w:val="39"/>
    <w:rsid w:val="00991B9F"/>
    <w:pPr>
      <w:ind w:left="1200"/>
    </w:pPr>
  </w:style>
  <w:style w:type="paragraph" w:styleId="71">
    <w:name w:val="toc 7"/>
    <w:basedOn w:val="ab"/>
    <w:next w:val="ab"/>
    <w:autoRedefine/>
    <w:uiPriority w:val="39"/>
    <w:rsid w:val="00991B9F"/>
    <w:pPr>
      <w:ind w:left="1440"/>
    </w:pPr>
  </w:style>
  <w:style w:type="paragraph" w:styleId="82">
    <w:name w:val="toc 8"/>
    <w:basedOn w:val="ab"/>
    <w:next w:val="ab"/>
    <w:autoRedefine/>
    <w:uiPriority w:val="39"/>
    <w:rsid w:val="00991B9F"/>
    <w:pPr>
      <w:ind w:left="1680"/>
    </w:pPr>
  </w:style>
  <w:style w:type="paragraph" w:styleId="91">
    <w:name w:val="toc 9"/>
    <w:basedOn w:val="ab"/>
    <w:next w:val="ab"/>
    <w:autoRedefine/>
    <w:uiPriority w:val="39"/>
    <w:rsid w:val="00991B9F"/>
    <w:pPr>
      <w:ind w:left="1920"/>
    </w:pPr>
  </w:style>
  <w:style w:type="character" w:styleId="aff2">
    <w:name w:val="annotation reference"/>
    <w:uiPriority w:val="99"/>
    <w:rsid w:val="00991B9F"/>
    <w:rPr>
      <w:sz w:val="16"/>
      <w:szCs w:val="16"/>
    </w:rPr>
  </w:style>
  <w:style w:type="paragraph" w:customStyle="1" w:styleId="aff3">
    <w:name w:val="Основной текст (центр/одинарный)"/>
    <w:basedOn w:val="af0"/>
    <w:link w:val="aff4"/>
    <w:rsid w:val="00991B9F"/>
    <w:pPr>
      <w:spacing w:before="120" w:after="120"/>
      <w:ind w:firstLine="0"/>
      <w:jc w:val="center"/>
    </w:pPr>
  </w:style>
  <w:style w:type="character" w:customStyle="1" w:styleId="aff4">
    <w:name w:val="Основной текст (центр/одинарный) Знак"/>
    <w:link w:val="aff3"/>
    <w:rsid w:val="00991B9F"/>
    <w:rPr>
      <w:rFonts w:ascii="Times New Roman" w:eastAsia="Times New Roman" w:hAnsi="Times New Roman" w:cs="Times New Roman"/>
      <w:snapToGrid w:val="0"/>
      <w:color w:val="000000"/>
      <w:sz w:val="28"/>
      <w:szCs w:val="20"/>
      <w:lang w:eastAsia="ru-RU"/>
    </w:rPr>
  </w:style>
  <w:style w:type="paragraph" w:customStyle="1" w:styleId="3e">
    <w:name w:val="Список маркированный уровень 3"/>
    <w:basedOn w:val="ab"/>
    <w:rsid w:val="00991B9F"/>
    <w:pPr>
      <w:ind w:left="1701" w:hanging="397"/>
    </w:pPr>
    <w:rPr>
      <w:sz w:val="28"/>
    </w:rPr>
  </w:style>
  <w:style w:type="paragraph" w:styleId="aff5">
    <w:name w:val="Document Map"/>
    <w:basedOn w:val="ab"/>
    <w:link w:val="aff6"/>
    <w:rsid w:val="00991B9F"/>
    <w:pPr>
      <w:shd w:val="clear" w:color="auto" w:fill="000080"/>
    </w:pPr>
    <w:rPr>
      <w:rFonts w:ascii="Tahoma" w:hAnsi="Tahoma" w:cs="Tahoma"/>
    </w:rPr>
  </w:style>
  <w:style w:type="character" w:customStyle="1" w:styleId="aff6">
    <w:name w:val="Схема документа Знак"/>
    <w:basedOn w:val="ad"/>
    <w:link w:val="aff5"/>
    <w:rsid w:val="00D55811"/>
    <w:rPr>
      <w:rFonts w:ascii="Tahoma" w:eastAsia="Times New Roman" w:hAnsi="Tahoma" w:cs="Tahoma"/>
      <w:snapToGrid w:val="0"/>
      <w:color w:val="000000"/>
      <w:sz w:val="24"/>
      <w:szCs w:val="20"/>
      <w:shd w:val="clear" w:color="auto" w:fill="000080"/>
      <w:lang w:eastAsia="ru-RU"/>
    </w:rPr>
  </w:style>
  <w:style w:type="paragraph" w:customStyle="1" w:styleId="ac">
    <w:name w:val="Основной текст (без отступа)"/>
    <w:basedOn w:val="af0"/>
    <w:rsid w:val="00991B9F"/>
    <w:pPr>
      <w:spacing w:before="120" w:after="120"/>
      <w:ind w:firstLine="0"/>
    </w:pPr>
  </w:style>
  <w:style w:type="paragraph" w:styleId="aff7">
    <w:name w:val="table of figures"/>
    <w:basedOn w:val="af0"/>
    <w:next w:val="ab"/>
    <w:uiPriority w:val="99"/>
    <w:rsid w:val="00991B9F"/>
    <w:pPr>
      <w:tabs>
        <w:tab w:val="right" w:leader="dot" w:pos="9911"/>
      </w:tabs>
      <w:spacing w:before="120" w:after="120"/>
      <w:ind w:left="709" w:hanging="709"/>
      <w:jc w:val="left"/>
    </w:pPr>
    <w:rPr>
      <w:noProof/>
    </w:rPr>
  </w:style>
  <w:style w:type="paragraph" w:customStyle="1" w:styleId="-0">
    <w:name w:val="Рисунок - наименование"/>
    <w:basedOn w:val="ab"/>
    <w:rsid w:val="00991B9F"/>
    <w:pPr>
      <w:spacing w:before="120" w:after="120"/>
      <w:jc w:val="center"/>
    </w:pPr>
    <w:rPr>
      <w:bCs/>
      <w:sz w:val="28"/>
    </w:rPr>
  </w:style>
  <w:style w:type="paragraph" w:customStyle="1" w:styleId="8-">
    <w:name w:val="Таблица (8) - осн. текст"/>
    <w:basedOn w:val="ab"/>
    <w:rsid w:val="00991B9F"/>
    <w:pPr>
      <w:ind w:left="57" w:right="57"/>
      <w:jc w:val="left"/>
    </w:pPr>
    <w:rPr>
      <w:rFonts w:ascii="Arial" w:hAnsi="Arial" w:cs="Arial"/>
      <w:sz w:val="16"/>
    </w:rPr>
  </w:style>
  <w:style w:type="paragraph" w:styleId="aff8">
    <w:name w:val="Balloon Text"/>
    <w:basedOn w:val="ab"/>
    <w:link w:val="aff9"/>
    <w:rsid w:val="00991B9F"/>
    <w:rPr>
      <w:rFonts w:ascii="Tahoma" w:hAnsi="Tahoma" w:cs="Tahoma"/>
      <w:sz w:val="16"/>
      <w:szCs w:val="16"/>
    </w:rPr>
  </w:style>
  <w:style w:type="character" w:customStyle="1" w:styleId="aff9">
    <w:name w:val="Текст выноски Знак"/>
    <w:basedOn w:val="ad"/>
    <w:link w:val="aff8"/>
    <w:rsid w:val="00D5581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991B9F"/>
    <w:pPr>
      <w:spacing w:after="0" w:line="240" w:lineRule="auto"/>
    </w:pPr>
    <w:rPr>
      <w:rFonts w:ascii="Times New Roman" w:eastAsia="Times New Roman" w:hAnsi="Times New Roman" w:cs="Times New Roman"/>
      <w:sz w:val="28"/>
      <w:szCs w:val="20"/>
      <w:lang w:eastAsia="ru-RU"/>
    </w:rPr>
  </w:style>
  <w:style w:type="paragraph" w:customStyle="1" w:styleId="affa">
    <w:name w:val="Список общий (ручная нумерация)"/>
    <w:basedOn w:val="af0"/>
    <w:next w:val="ab"/>
    <w:rsid w:val="00991B9F"/>
    <w:pPr>
      <w:spacing w:before="120" w:after="120"/>
      <w:ind w:left="851" w:hanging="284"/>
    </w:pPr>
  </w:style>
  <w:style w:type="paragraph" w:styleId="affb">
    <w:name w:val="annotation subject"/>
    <w:basedOn w:val="afb"/>
    <w:next w:val="afb"/>
    <w:link w:val="affc"/>
    <w:rsid w:val="00991B9F"/>
    <w:rPr>
      <w:b/>
      <w:bCs/>
    </w:rPr>
  </w:style>
  <w:style w:type="character" w:customStyle="1" w:styleId="affc">
    <w:name w:val="Тема примечания Знак"/>
    <w:basedOn w:val="1a"/>
    <w:link w:val="affb"/>
    <w:rsid w:val="00D55811"/>
    <w:rPr>
      <w:rFonts w:ascii="Times New Roman" w:eastAsia="Times New Roman" w:hAnsi="Times New Roman" w:cs="Times New Roman"/>
      <w:b/>
      <w:bCs/>
      <w:snapToGrid/>
      <w:color w:val="000000"/>
      <w:sz w:val="20"/>
      <w:szCs w:val="20"/>
      <w:lang w:eastAsia="ru-RU"/>
    </w:rPr>
  </w:style>
  <w:style w:type="paragraph" w:customStyle="1" w:styleId="affd">
    <w:name w:val="Нумерация"/>
    <w:basedOn w:val="ab"/>
    <w:autoRedefine/>
    <w:rsid w:val="00991B9F"/>
    <w:pPr>
      <w:tabs>
        <w:tab w:val="num" w:pos="927"/>
        <w:tab w:val="left" w:pos="1134"/>
      </w:tabs>
      <w:spacing w:line="500" w:lineRule="exact"/>
      <w:ind w:left="924" w:hanging="357"/>
      <w:jc w:val="left"/>
    </w:pPr>
    <w:rPr>
      <w:rFonts w:ascii="Arial" w:hAnsi="Arial"/>
      <w:snapToGrid/>
      <w:color w:val="auto"/>
    </w:rPr>
  </w:style>
  <w:style w:type="paragraph" w:customStyle="1" w:styleId="3f">
    <w:name w:val="Пункт 3 уровня без нумерации"/>
    <w:basedOn w:val="3a"/>
    <w:rsid w:val="00991B9F"/>
    <w:pPr>
      <w:numPr>
        <w:ilvl w:val="0"/>
        <w:numId w:val="0"/>
      </w:numPr>
      <w:ind w:firstLine="567"/>
    </w:pPr>
  </w:style>
  <w:style w:type="paragraph" w:styleId="1c">
    <w:name w:val="index 1"/>
    <w:basedOn w:val="ab"/>
    <w:next w:val="ab"/>
    <w:autoRedefine/>
    <w:rsid w:val="00991B9F"/>
    <w:pPr>
      <w:ind w:left="240" w:hanging="240"/>
    </w:pPr>
  </w:style>
  <w:style w:type="table" w:styleId="affe">
    <w:name w:val="Table Grid"/>
    <w:basedOn w:val="ae"/>
    <w:uiPriority w:val="39"/>
    <w:rsid w:val="00991B9F"/>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Титльный лист - заголовок документа"/>
    <w:basedOn w:val="ab"/>
    <w:rsid w:val="00991B9F"/>
    <w:pPr>
      <w:jc w:val="center"/>
    </w:pPr>
    <w:rPr>
      <w:rFonts w:ascii="Arial" w:hAnsi="Arial"/>
      <w:b/>
      <w:sz w:val="36"/>
    </w:rPr>
  </w:style>
  <w:style w:type="paragraph" w:customStyle="1" w:styleId="-4">
    <w:name w:val="Титульный лист - название документа"/>
    <w:basedOn w:val="-3"/>
    <w:link w:val="-5"/>
    <w:rsid w:val="00991B9F"/>
    <w:rPr>
      <w:b w:val="0"/>
    </w:rPr>
  </w:style>
  <w:style w:type="paragraph" w:styleId="afff">
    <w:name w:val="endnote text"/>
    <w:basedOn w:val="ab"/>
    <w:link w:val="afff0"/>
    <w:rsid w:val="00991B9F"/>
    <w:rPr>
      <w:sz w:val="20"/>
    </w:rPr>
  </w:style>
  <w:style w:type="character" w:customStyle="1" w:styleId="afff0">
    <w:name w:val="Текст концевой сноски Знак"/>
    <w:link w:val="afff"/>
    <w:rsid w:val="00991B9F"/>
    <w:rPr>
      <w:rFonts w:ascii="Times New Roman" w:eastAsia="Times New Roman" w:hAnsi="Times New Roman" w:cs="Times New Roman"/>
      <w:snapToGrid w:val="0"/>
      <w:color w:val="000000"/>
      <w:sz w:val="20"/>
      <w:szCs w:val="20"/>
      <w:lang w:eastAsia="ru-RU"/>
    </w:rPr>
  </w:style>
  <w:style w:type="character" w:styleId="afff1">
    <w:name w:val="endnote reference"/>
    <w:rsid w:val="00991B9F"/>
    <w:rPr>
      <w:vertAlign w:val="superscript"/>
    </w:rPr>
  </w:style>
  <w:style w:type="character" w:customStyle="1" w:styleId="-5">
    <w:name w:val="Титульный лист - название документа Знак"/>
    <w:link w:val="-4"/>
    <w:rsid w:val="00991B9F"/>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c"/>
    <w:qFormat/>
    <w:rsid w:val="00991B9F"/>
    <w:pPr>
      <w:spacing w:before="60" w:after="60"/>
      <w:jc w:val="left"/>
    </w:pPr>
    <w:rPr>
      <w:rFonts w:ascii="Arial" w:hAnsi="Arial" w:cs="Arial"/>
      <w:b/>
    </w:rPr>
  </w:style>
  <w:style w:type="paragraph" w:customStyle="1" w:styleId="12-0">
    <w:name w:val="Таблица (12) - осн. текст"/>
    <w:basedOn w:val="ac"/>
    <w:qFormat/>
    <w:rsid w:val="00991B9F"/>
    <w:pPr>
      <w:spacing w:before="60" w:after="60"/>
      <w:jc w:val="left"/>
    </w:pPr>
    <w:rPr>
      <w:sz w:val="24"/>
    </w:rPr>
  </w:style>
  <w:style w:type="table" w:customStyle="1" w:styleId="120">
    <w:name w:val="Таблица (12)"/>
    <w:basedOn w:val="ae"/>
    <w:rsid w:val="00991B9F"/>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2">
    <w:name w:val="Table Elegant"/>
    <w:basedOn w:val="ae"/>
    <w:rsid w:val="00991B9F"/>
    <w:pPr>
      <w:spacing w:after="0" w:line="240" w:lineRule="auto"/>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e"/>
    <w:rsid w:val="00991B9F"/>
    <w:pPr>
      <w:spacing w:after="0" w:line="240" w:lineRule="auto"/>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d">
    <w:name w:val="Светлый список1"/>
    <w:basedOn w:val="ae"/>
    <w:uiPriority w:val="61"/>
    <w:locked/>
    <w:rsid w:val="00991B9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3">
    <w:name w:val="Выделение жирным шрифтом"/>
    <w:qFormat/>
    <w:rsid w:val="00991B9F"/>
    <w:rPr>
      <w:b/>
    </w:rPr>
  </w:style>
  <w:style w:type="character" w:customStyle="1" w:styleId="afff4">
    <w:name w:val="Выделение курсивом"/>
    <w:qFormat/>
    <w:rsid w:val="00991B9F"/>
    <w:rPr>
      <w:i/>
    </w:rPr>
  </w:style>
  <w:style w:type="character" w:customStyle="1" w:styleId="afff5">
    <w:name w:val="Выделение подчеркиванием"/>
    <w:qFormat/>
    <w:rsid w:val="00991B9F"/>
    <w:rPr>
      <w:u w:val="single"/>
    </w:rPr>
  </w:style>
  <w:style w:type="paragraph" w:styleId="afff6">
    <w:name w:val="List Paragraph"/>
    <w:aliases w:val="FooterText,numbered,Paragraphe de liste1,Bulletr List Paragraph,lp1,Абзац маркированнный,Bullet Number,Нумерованый список,МаркированныйЕПБС,Абзац списка5,Bullet 1,Use Case List Paragraph,Абзац списка литеральный,Bullet List,Рис-монограф"/>
    <w:basedOn w:val="ab"/>
    <w:link w:val="afff7"/>
    <w:uiPriority w:val="34"/>
    <w:qFormat/>
    <w:rsid w:val="00991B9F"/>
    <w:pPr>
      <w:ind w:left="708"/>
    </w:pPr>
    <w:rPr>
      <w:sz w:val="28"/>
    </w:rPr>
  </w:style>
  <w:style w:type="paragraph" w:styleId="afff8">
    <w:name w:val="caption"/>
    <w:aliases w:val="Название объекта Знак,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Ви6,&quot;Таблица N&quot;,Рисунок название сти"/>
    <w:basedOn w:val="ab"/>
    <w:next w:val="ab"/>
    <w:link w:val="1e"/>
    <w:rsid w:val="00991B9F"/>
    <w:rPr>
      <w:bCs/>
      <w:sz w:val="28"/>
    </w:rPr>
  </w:style>
  <w:style w:type="character" w:customStyle="1" w:styleId="1f">
    <w:name w:val="я_Технический стиль 1 Знак"/>
    <w:link w:val="1f0"/>
    <w:rsid w:val="00991B9F"/>
    <w:rPr>
      <w:rFonts w:ascii="Arial" w:hAnsi="Arial" w:cs="Arial"/>
      <w:b/>
      <w:bCs/>
      <w:color w:val="000000"/>
      <w:sz w:val="24"/>
      <w:szCs w:val="24"/>
    </w:rPr>
  </w:style>
  <w:style w:type="paragraph" w:customStyle="1" w:styleId="1f0">
    <w:name w:val="я_Технический стиль 1"/>
    <w:basedOn w:val="ab"/>
    <w:link w:val="1f"/>
    <w:qFormat/>
    <w:rsid w:val="00991B9F"/>
    <w:pPr>
      <w:pBdr>
        <w:bottom w:val="single" w:sz="12" w:space="1" w:color="auto"/>
      </w:pBdr>
      <w:suppressAutoHyphens/>
      <w:ind w:left="142" w:right="140"/>
      <w:jc w:val="center"/>
    </w:pPr>
    <w:rPr>
      <w:rFonts w:ascii="Arial" w:eastAsiaTheme="minorHAnsi" w:hAnsi="Arial" w:cs="Arial"/>
      <w:b/>
      <w:bCs/>
      <w:snapToGrid/>
      <w:szCs w:val="24"/>
      <w:lang w:eastAsia="en-US"/>
    </w:rPr>
  </w:style>
  <w:style w:type="paragraph" w:customStyle="1" w:styleId="2f0">
    <w:name w:val="я_Технический стиль 2"/>
    <w:basedOn w:val="-1"/>
    <w:link w:val="2f1"/>
    <w:qFormat/>
    <w:rsid w:val="00991B9F"/>
    <w:pPr>
      <w:suppressAutoHyphens/>
    </w:pPr>
    <w:rPr>
      <w:rFonts w:cs="Arial"/>
      <w:u w:val="single"/>
    </w:rPr>
  </w:style>
  <w:style w:type="paragraph" w:customStyle="1" w:styleId="3f0">
    <w:name w:val="я_Технический стиль 3"/>
    <w:basedOn w:val="-1"/>
    <w:link w:val="3f1"/>
    <w:qFormat/>
    <w:rsid w:val="00991B9F"/>
    <w:rPr>
      <w:rFonts w:ascii="Arial" w:hAnsi="Arial" w:cs="Arial"/>
      <w:b/>
    </w:rPr>
  </w:style>
  <w:style w:type="character" w:customStyle="1" w:styleId="-2">
    <w:name w:val="Титульный лист - текст Знак"/>
    <w:link w:val="-1"/>
    <w:rsid w:val="00991B9F"/>
    <w:rPr>
      <w:rFonts w:ascii="Times New Roman" w:eastAsia="Times New Roman" w:hAnsi="Times New Roman" w:cs="Times New Roman"/>
      <w:sz w:val="28"/>
      <w:szCs w:val="20"/>
      <w:lang w:eastAsia="ru-RU"/>
    </w:rPr>
  </w:style>
  <w:style w:type="character" w:customStyle="1" w:styleId="2f1">
    <w:name w:val="я_Технический стиль 2 Знак"/>
    <w:link w:val="2f0"/>
    <w:rsid w:val="00991B9F"/>
    <w:rPr>
      <w:rFonts w:ascii="Times New Roman" w:eastAsia="Times New Roman" w:hAnsi="Times New Roman" w:cs="Arial"/>
      <w:sz w:val="28"/>
      <w:szCs w:val="20"/>
      <w:u w:val="single"/>
      <w:lang w:eastAsia="ru-RU"/>
    </w:rPr>
  </w:style>
  <w:style w:type="character" w:customStyle="1" w:styleId="3f1">
    <w:name w:val="я_Технический стиль 3 Знак"/>
    <w:link w:val="3f0"/>
    <w:rsid w:val="00991B9F"/>
    <w:rPr>
      <w:rFonts w:ascii="Arial" w:eastAsia="Times New Roman" w:hAnsi="Arial" w:cs="Arial"/>
      <w:b/>
      <w:sz w:val="28"/>
      <w:szCs w:val="20"/>
      <w:lang w:eastAsia="ru-RU"/>
    </w:rPr>
  </w:style>
  <w:style w:type="character" w:customStyle="1" w:styleId="2e">
    <w:name w:val="Пункт 2 уровня Знак"/>
    <w:link w:val="2c"/>
    <w:rsid w:val="00991B9F"/>
    <w:rPr>
      <w:rFonts w:ascii="Times New Roman" w:eastAsia="Times New Roman" w:hAnsi="Times New Roman" w:cs="Times New Roman"/>
      <w:bCs/>
      <w:snapToGrid w:val="0"/>
      <w:color w:val="000000"/>
      <w:sz w:val="28"/>
      <w:szCs w:val="20"/>
      <w:lang w:eastAsia="ru-RU"/>
    </w:rPr>
  </w:style>
  <w:style w:type="character" w:customStyle="1" w:styleId="afff9">
    <w:name w:val="Выделение цветом (желтый)"/>
    <w:qFormat/>
    <w:rsid w:val="00991B9F"/>
    <w:rPr>
      <w:bdr w:val="none" w:sz="0" w:space="0" w:color="auto"/>
      <w:shd w:val="clear" w:color="auto" w:fill="FFFF00"/>
    </w:rPr>
  </w:style>
  <w:style w:type="paragraph" w:customStyle="1" w:styleId="a8">
    <w:name w:val="Список нумерованный (цифра с точкой)"/>
    <w:basedOn w:val="ab"/>
    <w:qFormat/>
    <w:rsid w:val="006E482F"/>
    <w:pPr>
      <w:numPr>
        <w:numId w:val="5"/>
      </w:numPr>
      <w:spacing w:before="120" w:after="120"/>
    </w:pPr>
    <w:rPr>
      <w:sz w:val="28"/>
      <w:szCs w:val="28"/>
    </w:rPr>
  </w:style>
  <w:style w:type="character" w:customStyle="1" w:styleId="afffa">
    <w:name w:val="Выделение надстрочными символами"/>
    <w:qFormat/>
    <w:rsid w:val="006E482F"/>
    <w:rPr>
      <w:vertAlign w:val="superscript"/>
    </w:rPr>
  </w:style>
  <w:style w:type="paragraph" w:customStyle="1" w:styleId="afffb">
    <w:name w:val="я_технический стиль &quot;перечень&quot;"/>
    <w:basedOn w:val="ab"/>
    <w:qFormat/>
    <w:rsid w:val="006E482F"/>
    <w:pPr>
      <w:tabs>
        <w:tab w:val="right" w:leader="dot" w:pos="9627"/>
      </w:tabs>
      <w:spacing w:before="60" w:after="60"/>
    </w:pPr>
    <w:rPr>
      <w:noProof/>
      <w:sz w:val="28"/>
    </w:rPr>
  </w:style>
  <w:style w:type="paragraph" w:customStyle="1" w:styleId="TableText">
    <w:name w:val="TableText"/>
    <w:basedOn w:val="ab"/>
    <w:rsid w:val="00991B9F"/>
    <w:pPr>
      <w:keepLines/>
      <w:spacing w:line="288" w:lineRule="auto"/>
      <w:ind w:firstLine="567"/>
    </w:pPr>
    <w:rPr>
      <w:snapToGrid/>
      <w:color w:val="auto"/>
      <w:sz w:val="28"/>
    </w:rPr>
  </w:style>
  <w:style w:type="paragraph" w:customStyle="1" w:styleId="afffc">
    <w:name w:val="ЕПБС_Обычный"/>
    <w:basedOn w:val="ab"/>
    <w:link w:val="afffd"/>
    <w:qFormat/>
    <w:rsid w:val="00AF6201"/>
    <w:pPr>
      <w:tabs>
        <w:tab w:val="num" w:pos="1561"/>
      </w:tabs>
      <w:spacing w:before="120" w:after="120" w:line="360" w:lineRule="exact"/>
      <w:ind w:firstLine="357"/>
    </w:pPr>
    <w:rPr>
      <w:rFonts w:eastAsia="Calibri"/>
      <w:snapToGrid/>
      <w:color w:val="auto"/>
      <w:sz w:val="28"/>
      <w:szCs w:val="24"/>
    </w:rPr>
  </w:style>
  <w:style w:type="character" w:customStyle="1" w:styleId="afffd">
    <w:name w:val="ЕПБС_Обычный Знак"/>
    <w:link w:val="afffc"/>
    <w:rsid w:val="00AF6201"/>
    <w:rPr>
      <w:rFonts w:ascii="Times New Roman" w:eastAsia="Calibri" w:hAnsi="Times New Roman" w:cs="Times New Roman"/>
      <w:sz w:val="28"/>
      <w:szCs w:val="24"/>
    </w:rPr>
  </w:style>
  <w:style w:type="paragraph" w:customStyle="1" w:styleId="afffe">
    <w:name w:val="ЕПБС_Рисунок"/>
    <w:basedOn w:val="ab"/>
    <w:qFormat/>
    <w:rsid w:val="000B7FBD"/>
    <w:pPr>
      <w:keepNext/>
      <w:spacing w:before="120" w:after="120"/>
      <w:jc w:val="center"/>
    </w:pPr>
    <w:rPr>
      <w:snapToGrid/>
      <w:color w:val="auto"/>
      <w:szCs w:val="24"/>
    </w:rPr>
  </w:style>
  <w:style w:type="paragraph" w:customStyle="1" w:styleId="affff">
    <w:name w:val="ЕПБС_Рисунок_Название"/>
    <w:basedOn w:val="afff8"/>
    <w:autoRedefine/>
    <w:qFormat/>
    <w:rsid w:val="000B7FBD"/>
    <w:pPr>
      <w:spacing w:line="360" w:lineRule="exact"/>
      <w:jc w:val="center"/>
    </w:pPr>
    <w:rPr>
      <w:bCs w:val="0"/>
      <w:szCs w:val="28"/>
    </w:rPr>
  </w:style>
  <w:style w:type="paragraph" w:customStyle="1" w:styleId="aa">
    <w:name w:val="ЕПБС_Список"/>
    <w:basedOn w:val="ab"/>
    <w:qFormat/>
    <w:rsid w:val="000B7FBD"/>
    <w:pPr>
      <w:numPr>
        <w:numId w:val="6"/>
      </w:numPr>
      <w:tabs>
        <w:tab w:val="left" w:pos="737"/>
      </w:tabs>
      <w:spacing w:before="120" w:after="120" w:line="360" w:lineRule="exact"/>
      <w:contextualSpacing/>
    </w:pPr>
    <w:rPr>
      <w:snapToGrid/>
      <w:color w:val="auto"/>
      <w:sz w:val="28"/>
      <w:szCs w:val="28"/>
    </w:rPr>
  </w:style>
  <w:style w:type="character" w:customStyle="1" w:styleId="afff7">
    <w:name w:val="Абзац списка Знак"/>
    <w:aliases w:val="FooterText Знак,numbered Знак,Paragraphe de liste1 Знак,Bulletr List Paragraph Знак,lp1 Знак,Абзац маркированнный Знак,Bullet Number Знак,Нумерованый список Знак,МаркированныйЕПБС Знак,Абзац списка5 Знак,Bullet 1 Знак,Bullet List Знак"/>
    <w:link w:val="afff6"/>
    <w:uiPriority w:val="34"/>
    <w:qFormat/>
    <w:rsid w:val="00971D88"/>
    <w:rPr>
      <w:rFonts w:ascii="Times New Roman" w:eastAsia="Times New Roman" w:hAnsi="Times New Roman" w:cs="Times New Roman"/>
      <w:snapToGrid w:val="0"/>
      <w:color w:val="000000"/>
      <w:sz w:val="28"/>
      <w:szCs w:val="20"/>
      <w:lang w:eastAsia="ru-RU"/>
    </w:rPr>
  </w:style>
  <w:style w:type="character" w:customStyle="1" w:styleId="xw4">
    <w:name w:val="xw4"/>
    <w:rsid w:val="00082337"/>
  </w:style>
  <w:style w:type="character" w:customStyle="1" w:styleId="xj9">
    <w:name w:val="xj9"/>
    <w:rsid w:val="00340C40"/>
  </w:style>
  <w:style w:type="table" w:customStyle="1" w:styleId="2f2">
    <w:name w:val="Светлый список2"/>
    <w:basedOn w:val="ae"/>
    <w:uiPriority w:val="61"/>
    <w:locked/>
    <w:rsid w:val="002403FA"/>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link w:val="EBTablenorm0"/>
    <w:rsid w:val="002403FA"/>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TableNormal">
    <w:name w:val="TableNormal"/>
    <w:basedOn w:val="ab"/>
    <w:rsid w:val="002403FA"/>
    <w:pPr>
      <w:keepLines/>
    </w:pPr>
    <w:rPr>
      <w:snapToGrid/>
      <w:color w:val="auto"/>
      <w:spacing w:val="-5"/>
      <w:sz w:val="28"/>
      <w:lang w:eastAsia="en-US"/>
    </w:rPr>
  </w:style>
  <w:style w:type="paragraph" w:styleId="affff0">
    <w:name w:val="TOC Heading"/>
    <w:basedOn w:val="14"/>
    <w:next w:val="ab"/>
    <w:uiPriority w:val="39"/>
    <w:unhideWhenUsed/>
    <w:qFormat/>
    <w:rsid w:val="002403FA"/>
    <w:pPr>
      <w:keepLines/>
      <w:numPr>
        <w:numId w:val="0"/>
      </w:numPr>
      <w:suppressAutoHyphens w:val="0"/>
      <w:spacing w:before="480" w:after="0" w:line="276" w:lineRule="auto"/>
      <w:outlineLvl w:val="9"/>
    </w:pPr>
    <w:rPr>
      <w:rFonts w:ascii="Cambria" w:hAnsi="Cambria"/>
      <w:snapToGrid/>
      <w:color w:val="365F91"/>
      <w:sz w:val="28"/>
      <w:szCs w:val="28"/>
    </w:rPr>
  </w:style>
  <w:style w:type="paragraph" w:customStyle="1" w:styleId="OTRHeader">
    <w:name w:val="OTR_Header"/>
    <w:semiHidden/>
    <w:rsid w:val="002403FA"/>
    <w:pPr>
      <w:spacing w:after="0" w:line="240" w:lineRule="auto"/>
      <w:ind w:left="21"/>
    </w:pPr>
    <w:rPr>
      <w:rFonts w:ascii="Arial" w:eastAsia="Times New Roman" w:hAnsi="Arial" w:cs="Arial"/>
      <w:b/>
      <w:bCs/>
      <w:sz w:val="20"/>
      <w:szCs w:val="20"/>
      <w:lang w:eastAsia="ru-RU"/>
    </w:rPr>
  </w:style>
  <w:style w:type="paragraph" w:customStyle="1" w:styleId="affff1">
    <w:name w:val="ЕПБС_Название таблицы"/>
    <w:basedOn w:val="afff8"/>
    <w:rsid w:val="002403FA"/>
    <w:pPr>
      <w:keepNext/>
      <w:spacing w:before="120" w:line="360" w:lineRule="exact"/>
      <w:ind w:firstLine="357"/>
      <w:jc w:val="right"/>
    </w:pPr>
    <w:rPr>
      <w:snapToGrid/>
      <w:color w:val="auto"/>
    </w:rPr>
  </w:style>
  <w:style w:type="paragraph" w:customStyle="1" w:styleId="25">
    <w:name w:val="ЕПБС_Список_2"/>
    <w:basedOn w:val="aa"/>
    <w:rsid w:val="002403FA"/>
    <w:pPr>
      <w:numPr>
        <w:numId w:val="7"/>
      </w:numPr>
      <w:tabs>
        <w:tab w:val="clear" w:pos="737"/>
        <w:tab w:val="left" w:pos="1134"/>
        <w:tab w:val="left" w:pos="1701"/>
      </w:tabs>
      <w:spacing w:before="0" w:after="0"/>
      <w:ind w:left="1128" w:hanging="414"/>
    </w:pPr>
  </w:style>
  <w:style w:type="paragraph" w:customStyle="1" w:styleId="affff2">
    <w:name w:val="Обычный для таблиц"/>
    <w:basedOn w:val="ab"/>
    <w:link w:val="affff3"/>
    <w:rsid w:val="002403FA"/>
    <w:rPr>
      <w:snapToGrid/>
      <w:color w:val="auto"/>
      <w:sz w:val="28"/>
      <w:szCs w:val="24"/>
    </w:rPr>
  </w:style>
  <w:style w:type="paragraph" w:customStyle="1" w:styleId="15">
    <w:name w:val="Заголовок_1"/>
    <w:basedOn w:val="ab"/>
    <w:next w:val="ab"/>
    <w:link w:val="1f1"/>
    <w:rsid w:val="002403FA"/>
    <w:pPr>
      <w:pageBreakBefore/>
      <w:numPr>
        <w:numId w:val="8"/>
      </w:numPr>
      <w:spacing w:before="120" w:after="120"/>
      <w:ind w:left="431" w:hanging="431"/>
      <w:jc w:val="left"/>
      <w:outlineLvl w:val="0"/>
    </w:pPr>
    <w:rPr>
      <w:b/>
      <w:caps/>
      <w:snapToGrid/>
      <w:color w:val="auto"/>
      <w:sz w:val="32"/>
      <w:szCs w:val="24"/>
      <w:lang w:eastAsia="en-US"/>
    </w:rPr>
  </w:style>
  <w:style w:type="paragraph" w:customStyle="1" w:styleId="28">
    <w:name w:val="Заголовок_2"/>
    <w:basedOn w:val="15"/>
    <w:next w:val="ab"/>
    <w:link w:val="2f3"/>
    <w:rsid w:val="002403FA"/>
    <w:pPr>
      <w:pageBreakBefore w:val="0"/>
      <w:numPr>
        <w:ilvl w:val="1"/>
      </w:numPr>
      <w:tabs>
        <w:tab w:val="clear" w:pos="576"/>
        <w:tab w:val="num" w:pos="1440"/>
      </w:tabs>
      <w:ind w:left="1440" w:hanging="360"/>
      <w:outlineLvl w:val="1"/>
    </w:pPr>
    <w:rPr>
      <w:caps w:val="0"/>
      <w:sz w:val="28"/>
    </w:rPr>
  </w:style>
  <w:style w:type="paragraph" w:customStyle="1" w:styleId="37">
    <w:name w:val="Заголовок_3"/>
    <w:basedOn w:val="28"/>
    <w:next w:val="ab"/>
    <w:rsid w:val="002403FA"/>
    <w:pPr>
      <w:numPr>
        <w:ilvl w:val="2"/>
      </w:numPr>
      <w:tabs>
        <w:tab w:val="clear" w:pos="720"/>
        <w:tab w:val="num" w:pos="1077"/>
        <w:tab w:val="num" w:pos="2160"/>
      </w:tabs>
      <w:ind w:left="1077" w:hanging="360"/>
      <w:outlineLvl w:val="2"/>
    </w:pPr>
  </w:style>
  <w:style w:type="character" w:customStyle="1" w:styleId="affff4">
    <w:name w:val="Обычный нумерованный Знак"/>
    <w:uiPriority w:val="99"/>
    <w:rsid w:val="002403FA"/>
    <w:rPr>
      <w:rFonts w:eastAsia="Times New Roman"/>
      <w:sz w:val="22"/>
      <w:lang w:eastAsia="en-US"/>
    </w:rPr>
  </w:style>
  <w:style w:type="character" w:styleId="affff5">
    <w:name w:val="Intense Emphasis"/>
    <w:uiPriority w:val="21"/>
    <w:rsid w:val="002403FA"/>
    <w:rPr>
      <w:b/>
      <w:bCs/>
      <w:i/>
      <w:iCs/>
      <w:color w:val="4F81BD"/>
    </w:rPr>
  </w:style>
  <w:style w:type="paragraph" w:customStyle="1" w:styleId="Web">
    <w:name w:val="Обычный (Web)"/>
    <w:basedOn w:val="ab"/>
    <w:rsid w:val="002403FA"/>
    <w:pPr>
      <w:spacing w:before="100" w:after="100"/>
      <w:ind w:firstLine="709"/>
    </w:pPr>
    <w:rPr>
      <w:snapToGrid/>
      <w:color w:val="auto"/>
      <w:sz w:val="28"/>
    </w:rPr>
  </w:style>
  <w:style w:type="paragraph" w:customStyle="1" w:styleId="OTRHeaderCenter">
    <w:name w:val="OTR_Header_Center"/>
    <w:basedOn w:val="OTRHeader"/>
    <w:semiHidden/>
    <w:rsid w:val="002403FA"/>
    <w:pPr>
      <w:jc w:val="center"/>
    </w:pPr>
  </w:style>
  <w:style w:type="paragraph" w:customStyle="1" w:styleId="OTRHeaderRight">
    <w:name w:val="OTR_Header_Right"/>
    <w:basedOn w:val="ab"/>
    <w:semiHidden/>
    <w:rsid w:val="002403FA"/>
    <w:rPr>
      <w:rFonts w:ascii="Arial" w:hAnsi="Arial"/>
      <w:b/>
      <w:snapToGrid/>
      <w:color w:val="auto"/>
      <w:sz w:val="20"/>
    </w:rPr>
  </w:style>
  <w:style w:type="paragraph" w:styleId="HTML">
    <w:name w:val="HTML Preformatted"/>
    <w:basedOn w:val="ab"/>
    <w:link w:val="HTML0"/>
    <w:rsid w:val="00240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napToGrid/>
      <w:color w:val="auto"/>
      <w:sz w:val="20"/>
    </w:rPr>
  </w:style>
  <w:style w:type="character" w:customStyle="1" w:styleId="HTML0">
    <w:name w:val="Стандартный HTML Знак"/>
    <w:basedOn w:val="ad"/>
    <w:link w:val="HTML"/>
    <w:rsid w:val="002403FA"/>
    <w:rPr>
      <w:rFonts w:ascii="Courier New" w:eastAsia="Times New Roman" w:hAnsi="Courier New" w:cs="Times New Roman"/>
      <w:sz w:val="20"/>
      <w:szCs w:val="20"/>
    </w:rPr>
  </w:style>
  <w:style w:type="paragraph" w:customStyle="1" w:styleId="OTRTableHead">
    <w:name w:val="OTR_Table_Head"/>
    <w:basedOn w:val="ab"/>
    <w:link w:val="OTRTableHead0"/>
    <w:rsid w:val="002403FA"/>
    <w:pPr>
      <w:keepNext/>
      <w:spacing w:before="60" w:after="60"/>
      <w:jc w:val="center"/>
    </w:pPr>
    <w:rPr>
      <w:b/>
      <w:snapToGrid/>
      <w:color w:val="auto"/>
    </w:rPr>
  </w:style>
  <w:style w:type="character" w:customStyle="1" w:styleId="OTRTableHead0">
    <w:name w:val="OTR_Table_Head Знак"/>
    <w:link w:val="OTRTableHead"/>
    <w:rsid w:val="002403FA"/>
    <w:rPr>
      <w:rFonts w:ascii="Times New Roman" w:eastAsia="Times New Roman" w:hAnsi="Times New Roman" w:cs="Times New Roman"/>
      <w:b/>
      <w:sz w:val="24"/>
      <w:szCs w:val="20"/>
    </w:rPr>
  </w:style>
  <w:style w:type="numbering" w:styleId="111111">
    <w:name w:val="Outline List 2"/>
    <w:basedOn w:val="af"/>
    <w:rsid w:val="002403FA"/>
    <w:pPr>
      <w:numPr>
        <w:numId w:val="9"/>
      </w:numPr>
    </w:pPr>
  </w:style>
  <w:style w:type="paragraph" w:customStyle="1" w:styleId="OTRreq3">
    <w:name w:val="OTR_req3"/>
    <w:basedOn w:val="OTRHeading3"/>
    <w:rsid w:val="002403FA"/>
    <w:pPr>
      <w:keepNext w:val="0"/>
      <w:spacing w:before="120"/>
      <w:contextualSpacing/>
      <w:outlineLvl w:val="9"/>
    </w:pPr>
    <w:rPr>
      <w:rFonts w:ascii="Times New Roman" w:hAnsi="Times New Roman" w:cs="Times New Roman"/>
      <w:b w:val="0"/>
      <w:bCs w:val="0"/>
      <w:sz w:val="24"/>
      <w:szCs w:val="24"/>
    </w:rPr>
  </w:style>
  <w:style w:type="paragraph" w:customStyle="1" w:styleId="OTRHeading5">
    <w:name w:val="OTR_Heading_5"/>
    <w:rsid w:val="002403FA"/>
    <w:pPr>
      <w:numPr>
        <w:ilvl w:val="4"/>
        <w:numId w:val="10"/>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b"/>
    <w:rsid w:val="002403FA"/>
    <w:pPr>
      <w:keepNext/>
      <w:pageBreakBefore/>
      <w:numPr>
        <w:numId w:val="10"/>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2403FA"/>
    <w:pPr>
      <w:numPr>
        <w:ilvl w:val="3"/>
        <w:numId w:val="10"/>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2403FA"/>
    <w:pPr>
      <w:numPr>
        <w:ilvl w:val="5"/>
        <w:numId w:val="10"/>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2403FA"/>
    <w:pPr>
      <w:numPr>
        <w:ilvl w:val="6"/>
        <w:numId w:val="10"/>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2403FA"/>
    <w:pPr>
      <w:numPr>
        <w:ilvl w:val="7"/>
        <w:numId w:val="10"/>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2403FA"/>
    <w:pPr>
      <w:numPr>
        <w:ilvl w:val="8"/>
        <w:numId w:val="10"/>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b"/>
    <w:rsid w:val="002403FA"/>
    <w:pPr>
      <w:keepNext/>
      <w:numPr>
        <w:ilvl w:val="1"/>
        <w:numId w:val="10"/>
      </w:numPr>
      <w:spacing w:before="240" w:after="120" w:line="240" w:lineRule="auto"/>
      <w:jc w:val="both"/>
      <w:outlineLvl w:val="1"/>
    </w:pPr>
    <w:rPr>
      <w:rFonts w:ascii="Arial" w:eastAsia="Times New Roman" w:hAnsi="Arial" w:cs="Arial"/>
      <w:b/>
      <w:bCs/>
      <w:iCs/>
      <w:sz w:val="28"/>
      <w:szCs w:val="28"/>
      <w:lang w:eastAsia="ru-RU"/>
    </w:rPr>
  </w:style>
  <w:style w:type="paragraph" w:customStyle="1" w:styleId="OTRHeading3">
    <w:name w:val="OTR_Heading_3"/>
    <w:next w:val="ab"/>
    <w:rsid w:val="002403FA"/>
    <w:pPr>
      <w:keepNext/>
      <w:numPr>
        <w:ilvl w:val="2"/>
        <w:numId w:val="10"/>
      </w:numPr>
      <w:spacing w:before="240" w:after="120" w:line="240" w:lineRule="auto"/>
      <w:jc w:val="both"/>
      <w:outlineLvl w:val="2"/>
    </w:pPr>
    <w:rPr>
      <w:rFonts w:ascii="Arial" w:eastAsia="Times New Roman" w:hAnsi="Arial" w:cs="Arial"/>
      <w:b/>
      <w:bCs/>
      <w:sz w:val="26"/>
      <w:szCs w:val="26"/>
      <w:lang w:eastAsia="ru-RU"/>
    </w:rPr>
  </w:style>
  <w:style w:type="paragraph" w:customStyle="1" w:styleId="affff6">
    <w:name w:val="Таблица"/>
    <w:basedOn w:val="ab"/>
    <w:semiHidden/>
    <w:rsid w:val="002403FA"/>
    <w:pPr>
      <w:widowControl w:val="0"/>
      <w:suppressLineNumbers/>
      <w:suppressAutoHyphens/>
      <w:spacing w:before="80" w:after="40"/>
    </w:pPr>
    <w:rPr>
      <w:snapToGrid/>
      <w:color w:val="auto"/>
      <w:sz w:val="22"/>
      <w:lang w:eastAsia="en-US"/>
    </w:rPr>
  </w:style>
  <w:style w:type="character" w:customStyle="1" w:styleId="x1a">
    <w:name w:val="x1a"/>
    <w:rsid w:val="002403FA"/>
  </w:style>
  <w:style w:type="paragraph" w:customStyle="1" w:styleId="EBTableHead">
    <w:name w:val="_EB_Table_Head"/>
    <w:basedOn w:val="ab"/>
    <w:rsid w:val="002403FA"/>
    <w:pPr>
      <w:keepNext/>
      <w:suppressAutoHyphens/>
      <w:spacing w:before="60" w:after="60" w:line="360" w:lineRule="exact"/>
      <w:contextualSpacing/>
      <w:jc w:val="center"/>
    </w:pPr>
    <w:rPr>
      <w:b/>
      <w:bCs/>
      <w:snapToGrid/>
      <w:color w:val="auto"/>
      <w:sz w:val="28"/>
    </w:rPr>
  </w:style>
  <w:style w:type="paragraph" w:customStyle="1" w:styleId="Sign">
    <w:name w:val="_Sign"/>
    <w:basedOn w:val="ab"/>
    <w:next w:val="ab"/>
    <w:uiPriority w:val="99"/>
    <w:rsid w:val="002403FA"/>
    <w:pPr>
      <w:keepNext/>
      <w:spacing w:line="360" w:lineRule="exact"/>
      <w:contextualSpacing/>
      <w:jc w:val="center"/>
    </w:pPr>
    <w:rPr>
      <w:rFonts w:eastAsia="Calibri"/>
      <w:b/>
      <w:snapToGrid/>
      <w:color w:val="auto"/>
      <w:sz w:val="28"/>
      <w:szCs w:val="24"/>
    </w:rPr>
  </w:style>
  <w:style w:type="paragraph" w:customStyle="1" w:styleId="affff7">
    <w:name w:val="Обычный_табл"/>
    <w:basedOn w:val="affff8"/>
    <w:uiPriority w:val="99"/>
    <w:rsid w:val="002403FA"/>
    <w:pPr>
      <w:spacing w:before="40" w:after="40" w:line="360" w:lineRule="exact"/>
      <w:ind w:left="0"/>
      <w:jc w:val="both"/>
    </w:pPr>
    <w:rPr>
      <w:sz w:val="28"/>
      <w:szCs w:val="20"/>
    </w:rPr>
  </w:style>
  <w:style w:type="paragraph" w:styleId="affff8">
    <w:name w:val="Normal Indent"/>
    <w:basedOn w:val="ab"/>
    <w:rsid w:val="002403FA"/>
    <w:pPr>
      <w:ind w:left="708"/>
      <w:jc w:val="left"/>
    </w:pPr>
    <w:rPr>
      <w:snapToGrid/>
      <w:color w:val="auto"/>
      <w:szCs w:val="24"/>
    </w:rPr>
  </w:style>
  <w:style w:type="paragraph" w:styleId="affff9">
    <w:name w:val="Revision"/>
    <w:hidden/>
    <w:uiPriority w:val="99"/>
    <w:semiHidden/>
    <w:rsid w:val="002403FA"/>
    <w:pPr>
      <w:spacing w:after="0" w:line="240" w:lineRule="auto"/>
    </w:pPr>
    <w:rPr>
      <w:rFonts w:ascii="Times New Roman" w:eastAsia="Times New Roman" w:hAnsi="Times New Roman" w:cs="Times New Roman"/>
      <w:sz w:val="24"/>
      <w:szCs w:val="24"/>
      <w:lang w:eastAsia="ru-RU"/>
    </w:rPr>
  </w:style>
  <w:style w:type="paragraph" w:customStyle="1" w:styleId="a0">
    <w:name w:val="ЕПБС_нумерованный"/>
    <w:basedOn w:val="ab"/>
    <w:uiPriority w:val="99"/>
    <w:rsid w:val="002403FA"/>
    <w:pPr>
      <w:numPr>
        <w:numId w:val="11"/>
      </w:numPr>
      <w:tabs>
        <w:tab w:val="left" w:pos="851"/>
      </w:tabs>
      <w:spacing w:line="360" w:lineRule="exact"/>
    </w:pPr>
    <w:rPr>
      <w:snapToGrid/>
      <w:color w:val="auto"/>
      <w:sz w:val="28"/>
      <w:szCs w:val="24"/>
    </w:rPr>
  </w:style>
  <w:style w:type="paragraph" w:customStyle="1" w:styleId="NewNormal">
    <w:name w:val="_New_Normal"/>
    <w:link w:val="NewNormal0"/>
    <w:rsid w:val="002403FA"/>
    <w:pPr>
      <w:numPr>
        <w:numId w:val="12"/>
      </w:numPr>
      <w:spacing w:after="0" w:line="240" w:lineRule="auto"/>
      <w:ind w:left="414" w:hanging="357"/>
      <w:contextualSpacing/>
      <w:jc w:val="both"/>
    </w:pPr>
    <w:rPr>
      <w:rFonts w:ascii="Times New Roman" w:eastAsia="Times New Roman" w:hAnsi="Times New Roman" w:cs="Times New Roman"/>
      <w:sz w:val="28"/>
      <w:szCs w:val="20"/>
      <w:lang w:eastAsia="ru-RU"/>
    </w:rPr>
  </w:style>
  <w:style w:type="character" w:customStyle="1" w:styleId="NewNormal0">
    <w:name w:val="_New_Normal Знак"/>
    <w:link w:val="NewNormal"/>
    <w:locked/>
    <w:rsid w:val="002403FA"/>
    <w:rPr>
      <w:rFonts w:ascii="Times New Roman" w:eastAsia="Times New Roman" w:hAnsi="Times New Roman" w:cs="Times New Roman"/>
      <w:sz w:val="28"/>
      <w:szCs w:val="20"/>
      <w:lang w:eastAsia="ru-RU"/>
    </w:rPr>
  </w:style>
  <w:style w:type="paragraph" w:customStyle="1" w:styleId="affffa">
    <w:name w:val="Стиль текста документа"/>
    <w:basedOn w:val="ab"/>
    <w:link w:val="affffb"/>
    <w:rsid w:val="002403FA"/>
    <w:pPr>
      <w:ind w:firstLine="720"/>
    </w:pPr>
    <w:rPr>
      <w:snapToGrid/>
      <w:color w:val="auto"/>
      <w:sz w:val="28"/>
    </w:rPr>
  </w:style>
  <w:style w:type="character" w:customStyle="1" w:styleId="2f3">
    <w:name w:val="Заголовок_2 Знак"/>
    <w:link w:val="28"/>
    <w:locked/>
    <w:rsid w:val="002403FA"/>
    <w:rPr>
      <w:rFonts w:ascii="Times New Roman" w:eastAsia="Times New Roman" w:hAnsi="Times New Roman" w:cs="Times New Roman"/>
      <w:b/>
      <w:sz w:val="28"/>
      <w:szCs w:val="24"/>
    </w:rPr>
  </w:style>
  <w:style w:type="character" w:customStyle="1" w:styleId="affffb">
    <w:name w:val="Стиль текста документа Знак"/>
    <w:link w:val="affffa"/>
    <w:locked/>
    <w:rsid w:val="002403FA"/>
    <w:rPr>
      <w:rFonts w:ascii="Times New Roman" w:eastAsia="Times New Roman" w:hAnsi="Times New Roman" w:cs="Times New Roman"/>
      <w:sz w:val="28"/>
      <w:szCs w:val="20"/>
    </w:rPr>
  </w:style>
  <w:style w:type="paragraph" w:customStyle="1" w:styleId="TimesNewRoman14">
    <w:name w:val="Стиль Times New Roman 14 пт Междустр.интервал:  одинарный"/>
    <w:basedOn w:val="ab"/>
    <w:rsid w:val="002403FA"/>
    <w:rPr>
      <w:snapToGrid/>
      <w:color w:val="auto"/>
      <w:sz w:val="28"/>
    </w:rPr>
  </w:style>
  <w:style w:type="character" w:styleId="affffc">
    <w:name w:val="Strong"/>
    <w:uiPriority w:val="22"/>
    <w:qFormat/>
    <w:rsid w:val="002403FA"/>
    <w:rPr>
      <w:b/>
      <w:bCs/>
    </w:rPr>
  </w:style>
  <w:style w:type="paragraph" w:customStyle="1" w:styleId="affffd">
    <w:name w:val="Скрипт_Код_Выделенный"/>
    <w:basedOn w:val="ab"/>
    <w:rsid w:val="002403FA"/>
    <w:pPr>
      <w:ind w:firstLine="357"/>
      <w:jc w:val="left"/>
    </w:pPr>
    <w:rPr>
      <w:rFonts w:ascii="Courier New" w:hAnsi="Courier New" w:cs="Courier New"/>
      <w:i/>
      <w:snapToGrid/>
      <w:color w:val="0000FF"/>
      <w:szCs w:val="24"/>
    </w:rPr>
  </w:style>
  <w:style w:type="paragraph" w:customStyle="1" w:styleId="affffe">
    <w:name w:val="Скрипт_Код"/>
    <w:basedOn w:val="ab"/>
    <w:rsid w:val="002403FA"/>
    <w:pPr>
      <w:ind w:firstLine="357"/>
    </w:pPr>
    <w:rPr>
      <w:rFonts w:ascii="Courier New" w:hAnsi="Courier New" w:cs="Courier New"/>
      <w:snapToGrid/>
      <w:color w:val="auto"/>
      <w:szCs w:val="24"/>
    </w:rPr>
  </w:style>
  <w:style w:type="paragraph" w:customStyle="1" w:styleId="-6">
    <w:name w:val="Табл-заголовок"/>
    <w:basedOn w:val="ab"/>
    <w:next w:val="ab"/>
    <w:link w:val="-7"/>
    <w:rsid w:val="002403FA"/>
    <w:pPr>
      <w:spacing w:before="120" w:after="120" w:line="360" w:lineRule="exact"/>
      <w:ind w:left="28" w:right="28"/>
      <w:jc w:val="center"/>
    </w:pPr>
    <w:rPr>
      <w:b/>
      <w:snapToGrid/>
      <w:color w:val="auto"/>
      <w:sz w:val="28"/>
    </w:rPr>
  </w:style>
  <w:style w:type="character" w:customStyle="1" w:styleId="-7">
    <w:name w:val="Табл-заголовок Знак"/>
    <w:link w:val="-6"/>
    <w:locked/>
    <w:rsid w:val="002403FA"/>
    <w:rPr>
      <w:rFonts w:ascii="Times New Roman" w:eastAsia="Times New Roman" w:hAnsi="Times New Roman" w:cs="Times New Roman"/>
      <w:b/>
      <w:sz w:val="28"/>
      <w:szCs w:val="20"/>
    </w:rPr>
  </w:style>
  <w:style w:type="character" w:customStyle="1" w:styleId="NewNormal1">
    <w:name w:val="_New_Normal Знак Знак"/>
    <w:locked/>
    <w:rsid w:val="002403FA"/>
    <w:rPr>
      <w:sz w:val="22"/>
      <w:lang w:bidi="ar-SA"/>
    </w:rPr>
  </w:style>
  <w:style w:type="character" w:customStyle="1" w:styleId="1e">
    <w:name w:val="Название объекта Знак1"/>
    <w:aliases w:val="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Ви6 Знак,&quot;Таблица N&quot; Знак"/>
    <w:link w:val="afff8"/>
    <w:locked/>
    <w:rsid w:val="002403FA"/>
    <w:rPr>
      <w:rFonts w:ascii="Times New Roman" w:eastAsia="Times New Roman" w:hAnsi="Times New Roman" w:cs="Times New Roman"/>
      <w:bCs/>
      <w:snapToGrid w:val="0"/>
      <w:color w:val="000000"/>
      <w:sz w:val="28"/>
      <w:szCs w:val="20"/>
      <w:lang w:eastAsia="ru-RU"/>
    </w:rPr>
  </w:style>
  <w:style w:type="paragraph" w:customStyle="1" w:styleId="TableColumnHeading">
    <w:name w:val="Table_Column_Heading"/>
    <w:basedOn w:val="ab"/>
    <w:rsid w:val="002403FA"/>
    <w:pPr>
      <w:keepNext/>
      <w:keepLines/>
      <w:spacing w:before="120" w:after="120" w:line="360" w:lineRule="auto"/>
      <w:ind w:left="-113" w:right="113"/>
      <w:jc w:val="center"/>
    </w:pPr>
    <w:rPr>
      <w:b/>
      <w:snapToGrid/>
      <w:color w:val="auto"/>
      <w:sz w:val="20"/>
      <w:szCs w:val="24"/>
    </w:rPr>
  </w:style>
  <w:style w:type="character" w:customStyle="1" w:styleId="1f1">
    <w:name w:val="Заголовок_1 Знак"/>
    <w:link w:val="15"/>
    <w:rsid w:val="002403FA"/>
    <w:rPr>
      <w:rFonts w:ascii="Times New Roman" w:eastAsia="Times New Roman" w:hAnsi="Times New Roman" w:cs="Times New Roman"/>
      <w:b/>
      <w:caps/>
      <w:sz w:val="32"/>
      <w:szCs w:val="24"/>
    </w:rPr>
  </w:style>
  <w:style w:type="paragraph" w:customStyle="1" w:styleId="4a">
    <w:name w:val="Заголовок_4"/>
    <w:basedOn w:val="37"/>
    <w:rsid w:val="002403FA"/>
    <w:pPr>
      <w:numPr>
        <w:ilvl w:val="0"/>
        <w:numId w:val="0"/>
      </w:numPr>
      <w:tabs>
        <w:tab w:val="num" w:pos="864"/>
      </w:tabs>
      <w:spacing w:before="360" w:after="240"/>
      <w:ind w:left="864" w:hanging="864"/>
      <w:jc w:val="both"/>
      <w:outlineLvl w:val="3"/>
    </w:pPr>
    <w:rPr>
      <w:b w:val="0"/>
      <w:szCs w:val="28"/>
    </w:rPr>
  </w:style>
  <w:style w:type="paragraph" w:customStyle="1" w:styleId="51">
    <w:name w:val="Заголовок_5"/>
    <w:basedOn w:val="4a"/>
    <w:qFormat/>
    <w:rsid w:val="002403FA"/>
    <w:pPr>
      <w:numPr>
        <w:numId w:val="14"/>
      </w:numPr>
      <w:ind w:left="1287"/>
      <w:outlineLvl w:val="4"/>
    </w:pPr>
  </w:style>
  <w:style w:type="paragraph" w:customStyle="1" w:styleId="315">
    <w:name w:val="Стиль Заголовок_3 + Междустр.интервал:  15 строки"/>
    <w:basedOn w:val="37"/>
    <w:rsid w:val="002403FA"/>
    <w:pPr>
      <w:keepNext/>
      <w:numPr>
        <w:ilvl w:val="0"/>
        <w:numId w:val="0"/>
      </w:numPr>
      <w:spacing w:before="360" w:after="240" w:line="360" w:lineRule="auto"/>
      <w:ind w:left="2160" w:hanging="360"/>
    </w:pPr>
    <w:rPr>
      <w:bCs/>
      <w:szCs w:val="20"/>
    </w:rPr>
  </w:style>
  <w:style w:type="paragraph" w:customStyle="1" w:styleId="afffff">
    <w:name w:val="Обычный текст"/>
    <w:basedOn w:val="ab"/>
    <w:link w:val="afffff0"/>
    <w:qFormat/>
    <w:rsid w:val="002403FA"/>
    <w:pPr>
      <w:spacing w:before="100" w:beforeAutospacing="1" w:after="100" w:afterAutospacing="1" w:line="360" w:lineRule="auto"/>
      <w:ind w:right="-17" w:firstLine="720"/>
    </w:pPr>
    <w:rPr>
      <w:bCs/>
      <w:snapToGrid/>
      <w:color w:val="auto"/>
      <w:sz w:val="28"/>
      <w:szCs w:val="28"/>
    </w:rPr>
  </w:style>
  <w:style w:type="character" w:customStyle="1" w:styleId="afffff0">
    <w:name w:val="Обычный текст Знак"/>
    <w:link w:val="afffff"/>
    <w:locked/>
    <w:rsid w:val="002403FA"/>
    <w:rPr>
      <w:rFonts w:ascii="Times New Roman" w:eastAsia="Times New Roman" w:hAnsi="Times New Roman" w:cs="Times New Roman"/>
      <w:bCs/>
      <w:sz w:val="28"/>
      <w:szCs w:val="28"/>
    </w:rPr>
  </w:style>
  <w:style w:type="paragraph" w:customStyle="1" w:styleId="a5">
    <w:name w:val="Обычный_марк"/>
    <w:basedOn w:val="ab"/>
    <w:rsid w:val="002403FA"/>
    <w:pPr>
      <w:numPr>
        <w:numId w:val="13"/>
      </w:numPr>
      <w:tabs>
        <w:tab w:val="left" w:pos="284"/>
        <w:tab w:val="left" w:pos="1134"/>
      </w:tabs>
      <w:spacing w:line="360" w:lineRule="exact"/>
      <w:ind w:left="0" w:firstLine="709"/>
    </w:pPr>
    <w:rPr>
      <w:snapToGrid/>
      <w:color w:val="auto"/>
      <w:sz w:val="28"/>
      <w:szCs w:val="24"/>
    </w:rPr>
  </w:style>
  <w:style w:type="paragraph" w:customStyle="1" w:styleId="afffff1">
    <w:name w:val="Стиль ЕПБС_Обычный + полужирный"/>
    <w:basedOn w:val="afffc"/>
    <w:autoRedefine/>
    <w:rsid w:val="002403FA"/>
    <w:rPr>
      <w:b/>
      <w:bCs/>
    </w:rPr>
  </w:style>
  <w:style w:type="character" w:styleId="afffff2">
    <w:name w:val="Emphasis"/>
    <w:uiPriority w:val="20"/>
    <w:qFormat/>
    <w:rsid w:val="002403FA"/>
    <w:rPr>
      <w:i/>
      <w:iCs/>
    </w:rPr>
  </w:style>
  <w:style w:type="paragraph" w:customStyle="1" w:styleId="PropertyName">
    <w:name w:val="PropertyName"/>
    <w:next w:val="ab"/>
    <w:link w:val="PropertyName0"/>
    <w:rsid w:val="002403FA"/>
    <w:rPr>
      <w:rFonts w:ascii="Calibri" w:eastAsia="Times New Roman" w:hAnsi="Calibri" w:cs="Times New Roman"/>
      <w:b/>
      <w:sz w:val="26"/>
      <w:szCs w:val="26"/>
      <w:lang w:eastAsia="ru-RU"/>
    </w:rPr>
  </w:style>
  <w:style w:type="character" w:customStyle="1" w:styleId="PropertyName0">
    <w:name w:val="PropertyName Знак"/>
    <w:link w:val="PropertyName"/>
    <w:locked/>
    <w:rsid w:val="002403FA"/>
    <w:rPr>
      <w:rFonts w:ascii="Calibri" w:eastAsia="Times New Roman" w:hAnsi="Calibri" w:cs="Times New Roman"/>
      <w:b/>
      <w:sz w:val="26"/>
      <w:szCs w:val="26"/>
      <w:lang w:eastAsia="ru-RU"/>
    </w:rPr>
  </w:style>
  <w:style w:type="character" w:styleId="afffff3">
    <w:name w:val="line number"/>
    <w:uiPriority w:val="99"/>
    <w:unhideWhenUsed/>
    <w:rsid w:val="002403FA"/>
  </w:style>
  <w:style w:type="character" w:styleId="afffff4">
    <w:name w:val="Intense Reference"/>
    <w:uiPriority w:val="32"/>
    <w:rsid w:val="002403FA"/>
    <w:rPr>
      <w:b/>
      <w:bCs/>
      <w:smallCaps/>
      <w:color w:val="C0504D"/>
      <w:spacing w:val="5"/>
      <w:u w:val="single"/>
    </w:rPr>
  </w:style>
  <w:style w:type="paragraph" w:customStyle="1" w:styleId="1f2">
    <w:name w:val="Стиль1"/>
    <w:basedOn w:val="ab"/>
    <w:rsid w:val="002403FA"/>
    <w:pPr>
      <w:keepNext/>
      <w:keepLines/>
      <w:widowControl w:val="0"/>
      <w:suppressLineNumbers/>
      <w:tabs>
        <w:tab w:val="num" w:pos="432"/>
      </w:tabs>
      <w:suppressAutoHyphens/>
      <w:spacing w:after="60"/>
      <w:ind w:left="432" w:hanging="432"/>
      <w:jc w:val="left"/>
    </w:pPr>
    <w:rPr>
      <w:b/>
      <w:snapToGrid/>
      <w:color w:val="auto"/>
      <w:sz w:val="28"/>
      <w:szCs w:val="24"/>
    </w:rPr>
  </w:style>
  <w:style w:type="paragraph" w:customStyle="1" w:styleId="Head1">
    <w:name w:val="Head 1"/>
    <w:basedOn w:val="14"/>
    <w:next w:val="ab"/>
    <w:link w:val="Head10"/>
    <w:uiPriority w:val="99"/>
    <w:rsid w:val="002403FA"/>
    <w:pPr>
      <w:pageBreakBefore/>
      <w:numPr>
        <w:numId w:val="0"/>
      </w:numPr>
      <w:tabs>
        <w:tab w:val="num" w:pos="284"/>
      </w:tabs>
      <w:suppressAutoHyphens w:val="0"/>
      <w:spacing w:before="240"/>
      <w:ind w:left="717"/>
    </w:pPr>
    <w:rPr>
      <w:snapToGrid/>
      <w:color w:val="auto"/>
      <w:kern w:val="32"/>
      <w:sz w:val="32"/>
      <w:szCs w:val="32"/>
    </w:rPr>
  </w:style>
  <w:style w:type="paragraph" w:customStyle="1" w:styleId="Head2">
    <w:name w:val="Head 2"/>
    <w:basedOn w:val="26"/>
    <w:next w:val="ab"/>
    <w:link w:val="Head20"/>
    <w:uiPriority w:val="99"/>
    <w:rsid w:val="002403FA"/>
    <w:pPr>
      <w:numPr>
        <w:ilvl w:val="0"/>
        <w:numId w:val="0"/>
      </w:numPr>
      <w:tabs>
        <w:tab w:val="num" w:pos="284"/>
      </w:tabs>
      <w:spacing w:before="240"/>
      <w:ind w:left="284"/>
    </w:pPr>
    <w:rPr>
      <w:iCs/>
      <w:snapToGrid/>
      <w:color w:val="auto"/>
      <w:sz w:val="30"/>
      <w:szCs w:val="28"/>
    </w:rPr>
  </w:style>
  <w:style w:type="character" w:customStyle="1" w:styleId="Head10">
    <w:name w:val="Head 1 Знак"/>
    <w:link w:val="Head1"/>
    <w:uiPriority w:val="99"/>
    <w:locked/>
    <w:rsid w:val="002403FA"/>
    <w:rPr>
      <w:rFonts w:ascii="Times New Roman" w:eastAsia="Times New Roman" w:hAnsi="Times New Roman" w:cs="Times New Roman"/>
      <w:b/>
      <w:bCs/>
      <w:kern w:val="32"/>
      <w:sz w:val="32"/>
      <w:szCs w:val="32"/>
      <w:lang w:eastAsia="ru-RU"/>
    </w:rPr>
  </w:style>
  <w:style w:type="character" w:customStyle="1" w:styleId="Head20">
    <w:name w:val="Head 2 Знак"/>
    <w:link w:val="Head2"/>
    <w:uiPriority w:val="99"/>
    <w:locked/>
    <w:rsid w:val="002403FA"/>
    <w:rPr>
      <w:rFonts w:ascii="Times New Roman" w:eastAsia="Times New Roman" w:hAnsi="Times New Roman" w:cs="Times New Roman"/>
      <w:b/>
      <w:bCs/>
      <w:iCs/>
      <w:sz w:val="30"/>
      <w:szCs w:val="28"/>
      <w:lang w:eastAsia="ru-RU"/>
    </w:rPr>
  </w:style>
  <w:style w:type="paragraph" w:customStyle="1" w:styleId="210">
    <w:name w:val="Список 21"/>
    <w:basedOn w:val="ab"/>
    <w:rsid w:val="002403FA"/>
    <w:pPr>
      <w:tabs>
        <w:tab w:val="num" w:pos="2160"/>
      </w:tabs>
      <w:spacing w:before="120" w:after="120" w:line="360" w:lineRule="exact"/>
      <w:ind w:left="2160" w:hanging="360"/>
    </w:pPr>
    <w:rPr>
      <w:snapToGrid/>
      <w:color w:val="auto"/>
      <w:sz w:val="28"/>
      <w:szCs w:val="28"/>
      <w:lang w:val="en-US"/>
    </w:rPr>
  </w:style>
  <w:style w:type="paragraph" w:customStyle="1" w:styleId="TableName">
    <w:name w:val="TableName"/>
    <w:basedOn w:val="afff8"/>
    <w:link w:val="TableName0"/>
    <w:rsid w:val="002403FA"/>
    <w:pPr>
      <w:keepNext/>
      <w:spacing w:before="120" w:after="120"/>
      <w:ind w:firstLine="159"/>
    </w:pPr>
    <w:rPr>
      <w:snapToGrid/>
      <w:color w:val="auto"/>
    </w:rPr>
  </w:style>
  <w:style w:type="character" w:customStyle="1" w:styleId="TableName0">
    <w:name w:val="TableName Знак"/>
    <w:link w:val="TableName"/>
    <w:rsid w:val="002403FA"/>
    <w:rPr>
      <w:rFonts w:ascii="Times New Roman" w:eastAsia="Times New Roman" w:hAnsi="Times New Roman" w:cs="Times New Roman"/>
      <w:bCs/>
      <w:sz w:val="28"/>
      <w:szCs w:val="20"/>
    </w:rPr>
  </w:style>
  <w:style w:type="paragraph" w:styleId="a6">
    <w:name w:val="List Bullet"/>
    <w:aliases w:val="List Bullet 1,UL,НОВ_Маркированный список,Маркированный список 1"/>
    <w:basedOn w:val="ab"/>
    <w:uiPriority w:val="99"/>
    <w:rsid w:val="002403FA"/>
    <w:pPr>
      <w:numPr>
        <w:numId w:val="15"/>
      </w:numPr>
      <w:spacing w:line="480" w:lineRule="auto"/>
    </w:pPr>
    <w:rPr>
      <w:rFonts w:ascii="Arial" w:hAnsi="Arial"/>
      <w:snapToGrid/>
      <w:color w:val="auto"/>
      <w:sz w:val="20"/>
      <w:lang w:val="en-US"/>
    </w:rPr>
  </w:style>
  <w:style w:type="character" w:customStyle="1" w:styleId="HTML1">
    <w:name w:val="Стандартный HTML Знак1"/>
    <w:uiPriority w:val="99"/>
    <w:semiHidden/>
    <w:rsid w:val="002403FA"/>
    <w:rPr>
      <w:rFonts w:ascii="Courier New" w:eastAsia="Times New Roman" w:hAnsi="Courier New" w:cs="Courier New"/>
    </w:rPr>
  </w:style>
  <w:style w:type="paragraph" w:customStyle="1" w:styleId="27">
    <w:name w:val="Стиль2"/>
    <w:basedOn w:val="7"/>
    <w:link w:val="2f4"/>
    <w:rsid w:val="002403FA"/>
    <w:pPr>
      <w:keepNext w:val="0"/>
      <w:numPr>
        <w:numId w:val="16"/>
      </w:numPr>
      <w:spacing w:before="240" w:after="60" w:line="240" w:lineRule="auto"/>
    </w:pPr>
    <w:rPr>
      <w:rFonts w:ascii="Times New Roman" w:hAnsi="Times New Roman"/>
      <w:b/>
      <w:sz w:val="26"/>
    </w:rPr>
  </w:style>
  <w:style w:type="paragraph" w:customStyle="1" w:styleId="8">
    <w:name w:val="Стиль8"/>
    <w:basedOn w:val="53"/>
    <w:link w:val="83"/>
    <w:rsid w:val="002403FA"/>
    <w:pPr>
      <w:numPr>
        <w:numId w:val="17"/>
      </w:numPr>
      <w:spacing w:line="240" w:lineRule="auto"/>
    </w:pPr>
    <w:rPr>
      <w:b/>
      <w:i/>
      <w:sz w:val="26"/>
    </w:rPr>
  </w:style>
  <w:style w:type="character" w:customStyle="1" w:styleId="2f4">
    <w:name w:val="Стиль2 Знак"/>
    <w:basedOn w:val="70"/>
    <w:link w:val="27"/>
    <w:rsid w:val="002403FA"/>
    <w:rPr>
      <w:rFonts w:ascii="Times New Roman" w:eastAsia="Times New Roman" w:hAnsi="Times New Roman" w:cs="Times New Roman"/>
      <w:b/>
      <w:i/>
      <w:sz w:val="26"/>
      <w:szCs w:val="20"/>
      <w:lang w:val="en-US"/>
    </w:rPr>
  </w:style>
  <w:style w:type="paragraph" w:customStyle="1" w:styleId="36">
    <w:name w:val="Стиль3"/>
    <w:basedOn w:val="8"/>
    <w:link w:val="3f2"/>
    <w:rsid w:val="002403FA"/>
    <w:pPr>
      <w:numPr>
        <w:numId w:val="18"/>
      </w:numPr>
    </w:pPr>
  </w:style>
  <w:style w:type="character" w:customStyle="1" w:styleId="83">
    <w:name w:val="Стиль8 Знак"/>
    <w:basedOn w:val="54"/>
    <w:link w:val="8"/>
    <w:rsid w:val="002403FA"/>
    <w:rPr>
      <w:rFonts w:ascii="Arial" w:eastAsia="Times New Roman" w:hAnsi="Arial" w:cs="Times New Roman"/>
      <w:b/>
      <w:i/>
      <w:sz w:val="26"/>
      <w:szCs w:val="20"/>
    </w:rPr>
  </w:style>
  <w:style w:type="paragraph" w:customStyle="1" w:styleId="43">
    <w:name w:val="Стиль4"/>
    <w:basedOn w:val="53"/>
    <w:link w:val="4b"/>
    <w:rsid w:val="002403FA"/>
    <w:pPr>
      <w:numPr>
        <w:numId w:val="19"/>
      </w:numPr>
      <w:spacing w:line="240" w:lineRule="auto"/>
    </w:pPr>
    <w:rPr>
      <w:b/>
      <w:i/>
      <w:sz w:val="26"/>
    </w:rPr>
  </w:style>
  <w:style w:type="character" w:customStyle="1" w:styleId="3f2">
    <w:name w:val="Стиль3 Знак"/>
    <w:basedOn w:val="83"/>
    <w:link w:val="36"/>
    <w:rsid w:val="002403FA"/>
    <w:rPr>
      <w:rFonts w:ascii="Arial" w:eastAsia="Times New Roman" w:hAnsi="Arial" w:cs="Times New Roman"/>
      <w:b/>
      <w:i/>
      <w:sz w:val="26"/>
      <w:szCs w:val="20"/>
    </w:rPr>
  </w:style>
  <w:style w:type="paragraph" w:customStyle="1" w:styleId="50">
    <w:name w:val="Стиль5"/>
    <w:basedOn w:val="53"/>
    <w:link w:val="56"/>
    <w:rsid w:val="002403FA"/>
    <w:pPr>
      <w:numPr>
        <w:numId w:val="20"/>
      </w:numPr>
      <w:spacing w:line="240" w:lineRule="auto"/>
    </w:pPr>
    <w:rPr>
      <w:b/>
      <w:i/>
      <w:sz w:val="26"/>
    </w:rPr>
  </w:style>
  <w:style w:type="character" w:customStyle="1" w:styleId="4b">
    <w:name w:val="Стиль4 Знак"/>
    <w:basedOn w:val="54"/>
    <w:link w:val="43"/>
    <w:rsid w:val="002403FA"/>
    <w:rPr>
      <w:rFonts w:ascii="Arial" w:eastAsia="Times New Roman" w:hAnsi="Arial" w:cs="Times New Roman"/>
      <w:b/>
      <w:i/>
      <w:sz w:val="26"/>
      <w:szCs w:val="20"/>
    </w:rPr>
  </w:style>
  <w:style w:type="paragraph" w:customStyle="1" w:styleId="6">
    <w:name w:val="Стиль6"/>
    <w:basedOn w:val="53"/>
    <w:link w:val="63"/>
    <w:rsid w:val="002403FA"/>
    <w:pPr>
      <w:numPr>
        <w:numId w:val="21"/>
      </w:numPr>
      <w:spacing w:line="240" w:lineRule="auto"/>
    </w:pPr>
    <w:rPr>
      <w:b/>
      <w:i/>
      <w:sz w:val="26"/>
    </w:rPr>
  </w:style>
  <w:style w:type="character" w:customStyle="1" w:styleId="56">
    <w:name w:val="Стиль5 Знак"/>
    <w:basedOn w:val="54"/>
    <w:link w:val="50"/>
    <w:rsid w:val="002403FA"/>
    <w:rPr>
      <w:rFonts w:ascii="Arial" w:eastAsia="Times New Roman" w:hAnsi="Arial" w:cs="Times New Roman"/>
      <w:b/>
      <w:i/>
      <w:sz w:val="26"/>
      <w:szCs w:val="20"/>
    </w:rPr>
  </w:style>
  <w:style w:type="paragraph" w:customStyle="1" w:styleId="AListbullet">
    <w:name w:val="A_List_bullet"/>
    <w:basedOn w:val="ab"/>
    <w:rsid w:val="002403FA"/>
    <w:pPr>
      <w:keepLines/>
      <w:numPr>
        <w:numId w:val="22"/>
      </w:numPr>
      <w:spacing w:before="60" w:after="60" w:line="276" w:lineRule="auto"/>
    </w:pPr>
    <w:rPr>
      <w:rFonts w:ascii="Arial" w:hAnsi="Arial"/>
      <w:color w:val="auto"/>
      <w:lang w:val="en-US"/>
    </w:rPr>
  </w:style>
  <w:style w:type="character" w:customStyle="1" w:styleId="63">
    <w:name w:val="Стиль6 Знак"/>
    <w:basedOn w:val="54"/>
    <w:link w:val="6"/>
    <w:rsid w:val="002403FA"/>
    <w:rPr>
      <w:rFonts w:ascii="Arial" w:eastAsia="Times New Roman" w:hAnsi="Arial" w:cs="Times New Roman"/>
      <w:b/>
      <w:i/>
      <w:sz w:val="26"/>
      <w:szCs w:val="20"/>
    </w:rPr>
  </w:style>
  <w:style w:type="paragraph" w:customStyle="1" w:styleId="AList2bullet">
    <w:name w:val="A_List2_bullet"/>
    <w:basedOn w:val="AListbullet"/>
    <w:qFormat/>
    <w:rsid w:val="002403FA"/>
    <w:pPr>
      <w:numPr>
        <w:ilvl w:val="1"/>
      </w:numPr>
    </w:pPr>
  </w:style>
  <w:style w:type="paragraph" w:customStyle="1" w:styleId="AList3bullet">
    <w:name w:val="A_List3_bullet"/>
    <w:basedOn w:val="AList2bullet"/>
    <w:qFormat/>
    <w:rsid w:val="002403FA"/>
    <w:pPr>
      <w:numPr>
        <w:ilvl w:val="2"/>
      </w:numPr>
    </w:pPr>
  </w:style>
  <w:style w:type="paragraph" w:customStyle="1" w:styleId="AList4bullet">
    <w:name w:val="A_List4_bullet"/>
    <w:basedOn w:val="AList3bullet"/>
    <w:uiPriority w:val="99"/>
    <w:rsid w:val="002403FA"/>
    <w:pPr>
      <w:widowControl w:val="0"/>
      <w:numPr>
        <w:ilvl w:val="3"/>
      </w:numPr>
      <w:autoSpaceDE w:val="0"/>
      <w:autoSpaceDN w:val="0"/>
      <w:adjustRightInd w:val="0"/>
    </w:pPr>
    <w:rPr>
      <w:color w:val="000000"/>
      <w:szCs w:val="24"/>
      <w:lang w:val="ru-RU"/>
    </w:rPr>
  </w:style>
  <w:style w:type="paragraph" w:customStyle="1" w:styleId="code">
    <w:name w:val="code"/>
    <w:basedOn w:val="ab"/>
    <w:link w:val="code0"/>
    <w:qFormat/>
    <w:rsid w:val="002403FA"/>
    <w:pPr>
      <w:ind w:firstLine="709"/>
      <w:jc w:val="left"/>
    </w:pPr>
    <w:rPr>
      <w:rFonts w:ascii="Calibri" w:eastAsia="Calibri" w:hAnsi="Calibri"/>
      <w:i/>
      <w:snapToGrid/>
      <w:color w:val="auto"/>
      <w:sz w:val="22"/>
      <w:szCs w:val="22"/>
      <w:lang w:val="en-US"/>
    </w:rPr>
  </w:style>
  <w:style w:type="character" w:customStyle="1" w:styleId="code0">
    <w:name w:val="code Знак"/>
    <w:link w:val="code"/>
    <w:rsid w:val="002403FA"/>
    <w:rPr>
      <w:rFonts w:ascii="Calibri" w:eastAsia="Calibri" w:hAnsi="Calibri" w:cs="Times New Roman"/>
      <w:i/>
      <w:lang w:val="en-US"/>
    </w:rPr>
  </w:style>
  <w:style w:type="paragraph" w:customStyle="1" w:styleId="31">
    <w:name w:val="заголовок приложение 3"/>
    <w:basedOn w:val="35"/>
    <w:autoRedefine/>
    <w:qFormat/>
    <w:rsid w:val="002403FA"/>
    <w:pPr>
      <w:numPr>
        <w:numId w:val="23"/>
      </w:numPr>
      <w:ind w:left="709" w:firstLine="0"/>
    </w:pPr>
  </w:style>
  <w:style w:type="paragraph" w:customStyle="1" w:styleId="21">
    <w:name w:val="заголовок приложение 2"/>
    <w:basedOn w:val="26"/>
    <w:autoRedefine/>
    <w:qFormat/>
    <w:rsid w:val="002403FA"/>
    <w:pPr>
      <w:numPr>
        <w:numId w:val="23"/>
      </w:numPr>
      <w:ind w:left="0" w:firstLine="0"/>
    </w:pPr>
  </w:style>
  <w:style w:type="paragraph" w:customStyle="1" w:styleId="41">
    <w:name w:val="заголовок приложения 4"/>
    <w:basedOn w:val="31"/>
    <w:qFormat/>
    <w:rsid w:val="002403FA"/>
    <w:pPr>
      <w:numPr>
        <w:ilvl w:val="3"/>
      </w:numPr>
      <w:ind w:left="0" w:firstLine="0"/>
      <w:outlineLvl w:val="3"/>
    </w:pPr>
  </w:style>
  <w:style w:type="paragraph" w:customStyle="1" w:styleId="ConsPlusNormal">
    <w:name w:val="ConsPlusNormal"/>
    <w:rsid w:val="002403FA"/>
    <w:pPr>
      <w:widowControl w:val="0"/>
      <w:autoSpaceDE w:val="0"/>
      <w:autoSpaceDN w:val="0"/>
      <w:spacing w:after="0" w:line="240" w:lineRule="auto"/>
    </w:pPr>
    <w:rPr>
      <w:rFonts w:ascii="Calibri" w:eastAsia="Times New Roman" w:hAnsi="Calibri" w:cs="Calibri"/>
      <w:szCs w:val="20"/>
      <w:lang w:eastAsia="ru-RU"/>
    </w:rPr>
  </w:style>
  <w:style w:type="paragraph" w:customStyle="1" w:styleId="afffff5">
    <w:name w:val="Нумерованный"/>
    <w:basedOn w:val="afff6"/>
    <w:qFormat/>
    <w:rsid w:val="004803AA"/>
  </w:style>
  <w:style w:type="paragraph" w:styleId="a7">
    <w:name w:val="Body Text Indent"/>
    <w:basedOn w:val="ab"/>
    <w:link w:val="afffff6"/>
    <w:uiPriority w:val="99"/>
    <w:rsid w:val="004803AA"/>
    <w:pPr>
      <w:numPr>
        <w:numId w:val="25"/>
      </w:numPr>
      <w:tabs>
        <w:tab w:val="clear" w:pos="360"/>
      </w:tabs>
      <w:spacing w:line="360" w:lineRule="auto"/>
      <w:ind w:firstLine="720"/>
    </w:pPr>
    <w:rPr>
      <w:snapToGrid/>
      <w:color w:val="auto"/>
      <w:sz w:val="28"/>
    </w:rPr>
  </w:style>
  <w:style w:type="character" w:customStyle="1" w:styleId="afffff6">
    <w:name w:val="Основной текст с отступом Знак"/>
    <w:basedOn w:val="ad"/>
    <w:link w:val="a7"/>
    <w:uiPriority w:val="99"/>
    <w:rsid w:val="004803AA"/>
    <w:rPr>
      <w:rFonts w:ascii="Times New Roman" w:eastAsia="Times New Roman" w:hAnsi="Times New Roman" w:cs="Times New Roman"/>
      <w:sz w:val="28"/>
      <w:szCs w:val="20"/>
      <w:lang w:eastAsia="ru-RU"/>
    </w:rPr>
  </w:style>
  <w:style w:type="paragraph" w:customStyle="1" w:styleId="a4">
    <w:name w:val="Список: нумерация"/>
    <w:basedOn w:val="ab"/>
    <w:rsid w:val="004803AA"/>
    <w:pPr>
      <w:numPr>
        <w:numId w:val="24"/>
      </w:numPr>
      <w:tabs>
        <w:tab w:val="num" w:pos="360"/>
        <w:tab w:val="left" w:pos="720"/>
      </w:tabs>
      <w:spacing w:line="360" w:lineRule="auto"/>
      <w:ind w:left="0" w:firstLine="0"/>
    </w:pPr>
    <w:rPr>
      <w:snapToGrid/>
      <w:color w:val="auto"/>
    </w:rPr>
  </w:style>
  <w:style w:type="paragraph" w:customStyle="1" w:styleId="afffff7">
    <w:name w:val="Рисунок"/>
    <w:basedOn w:val="afff6"/>
    <w:qFormat/>
    <w:rsid w:val="004803AA"/>
    <w:pPr>
      <w:spacing w:before="60" w:after="60"/>
      <w:ind w:left="0"/>
      <w:contextualSpacing/>
      <w:jc w:val="center"/>
    </w:pPr>
    <w:rPr>
      <w:rFonts w:eastAsia="Calibri"/>
      <w:snapToGrid/>
      <w:color w:val="auto"/>
      <w:szCs w:val="22"/>
      <w:lang w:eastAsia="en-US"/>
    </w:rPr>
  </w:style>
  <w:style w:type="paragraph" w:customStyle="1" w:styleId="OTRNormal">
    <w:name w:val="OTR_Normal"/>
    <w:basedOn w:val="ab"/>
    <w:link w:val="OTRNormal0"/>
    <w:uiPriority w:val="99"/>
    <w:rsid w:val="00AC0AD5"/>
    <w:pPr>
      <w:spacing w:before="60" w:after="120"/>
      <w:ind w:firstLine="567"/>
    </w:pPr>
    <w:rPr>
      <w:snapToGrid/>
      <w:color w:val="auto"/>
      <w:sz w:val="28"/>
      <w:lang w:val="en-US" w:eastAsia="en-US"/>
    </w:rPr>
  </w:style>
  <w:style w:type="character" w:customStyle="1" w:styleId="OTRNormal0">
    <w:name w:val="OTR_Normal Знак"/>
    <w:link w:val="OTRNormal"/>
    <w:uiPriority w:val="99"/>
    <w:locked/>
    <w:rsid w:val="00AC0AD5"/>
    <w:rPr>
      <w:rFonts w:ascii="Times New Roman" w:eastAsia="Times New Roman" w:hAnsi="Times New Roman" w:cs="Times New Roman"/>
      <w:sz w:val="28"/>
      <w:szCs w:val="20"/>
      <w:lang w:val="en-US"/>
    </w:rPr>
  </w:style>
  <w:style w:type="character" w:customStyle="1" w:styleId="EBTablenorm0">
    <w:name w:val="_EB_Table_norm Знак"/>
    <w:link w:val="EBTablenorm"/>
    <w:rsid w:val="0054143A"/>
    <w:rPr>
      <w:rFonts w:ascii="Times New Roman" w:eastAsia="Times New Roman" w:hAnsi="Times New Roman" w:cs="Times New Roman"/>
      <w:sz w:val="24"/>
      <w:szCs w:val="20"/>
      <w:lang w:eastAsia="ru-RU"/>
    </w:rPr>
  </w:style>
  <w:style w:type="character" w:customStyle="1" w:styleId="x1f1">
    <w:name w:val="x1f1"/>
    <w:basedOn w:val="ad"/>
    <w:rsid w:val="00532A09"/>
  </w:style>
  <w:style w:type="character" w:customStyle="1" w:styleId="EBSymBold">
    <w:name w:val="_EB_Sym_Bold"/>
    <w:uiPriority w:val="99"/>
    <w:rsid w:val="009C09AF"/>
    <w:rPr>
      <w:rFonts w:ascii="Times New Roman" w:hAnsi="Times New Roman"/>
      <w:b/>
      <w:sz w:val="28"/>
    </w:rPr>
  </w:style>
  <w:style w:type="paragraph" w:styleId="afffff8">
    <w:name w:val="Title"/>
    <w:basedOn w:val="ab"/>
    <w:next w:val="ab"/>
    <w:link w:val="afffff9"/>
    <w:uiPriority w:val="10"/>
    <w:qFormat/>
    <w:rsid w:val="00194BEF"/>
    <w:pPr>
      <w:keepLines/>
      <w:spacing w:before="480" w:after="480" w:line="360" w:lineRule="auto"/>
      <w:contextualSpacing/>
      <w:jc w:val="center"/>
    </w:pPr>
    <w:rPr>
      <w:b/>
      <w:snapToGrid/>
      <w:color w:val="auto"/>
      <w:spacing w:val="5"/>
      <w:kern w:val="28"/>
      <w:sz w:val="32"/>
      <w:szCs w:val="52"/>
    </w:rPr>
  </w:style>
  <w:style w:type="character" w:customStyle="1" w:styleId="afffff9">
    <w:name w:val="Название Знак"/>
    <w:basedOn w:val="ad"/>
    <w:link w:val="afffff8"/>
    <w:uiPriority w:val="10"/>
    <w:rsid w:val="00194BEF"/>
    <w:rPr>
      <w:rFonts w:ascii="Times New Roman" w:eastAsia="Times New Roman" w:hAnsi="Times New Roman" w:cs="Times New Roman"/>
      <w:b/>
      <w:spacing w:val="5"/>
      <w:kern w:val="28"/>
      <w:sz w:val="32"/>
      <w:szCs w:val="52"/>
      <w:lang w:eastAsia="ru-RU"/>
    </w:rPr>
  </w:style>
  <w:style w:type="paragraph" w:styleId="2f5">
    <w:name w:val="Body Text 2"/>
    <w:basedOn w:val="ab"/>
    <w:link w:val="2f6"/>
    <w:unhideWhenUsed/>
    <w:rsid w:val="00194BEF"/>
    <w:pPr>
      <w:spacing w:line="360" w:lineRule="auto"/>
    </w:pPr>
    <w:rPr>
      <w:snapToGrid/>
      <w:color w:val="auto"/>
      <w:sz w:val="28"/>
      <w:szCs w:val="28"/>
    </w:rPr>
  </w:style>
  <w:style w:type="character" w:customStyle="1" w:styleId="2f6">
    <w:name w:val="Основной текст 2 Знак"/>
    <w:basedOn w:val="ad"/>
    <w:link w:val="2f5"/>
    <w:rsid w:val="00194BEF"/>
    <w:rPr>
      <w:rFonts w:ascii="Times New Roman" w:eastAsia="Times New Roman" w:hAnsi="Times New Roman" w:cs="Times New Roman"/>
      <w:sz w:val="28"/>
      <w:szCs w:val="28"/>
      <w:lang w:eastAsia="ru-RU"/>
    </w:rPr>
  </w:style>
  <w:style w:type="paragraph" w:customStyle="1" w:styleId="afffffa">
    <w:name w:val="Рисунок_название"/>
    <w:basedOn w:val="ab"/>
    <w:link w:val="afffffb"/>
    <w:qFormat/>
    <w:rsid w:val="00194BEF"/>
    <w:pPr>
      <w:keepLines/>
      <w:spacing w:before="240" w:after="240"/>
      <w:contextualSpacing/>
      <w:jc w:val="center"/>
    </w:pPr>
    <w:rPr>
      <w:bCs/>
      <w:snapToGrid/>
      <w:color w:val="auto"/>
      <w:szCs w:val="24"/>
    </w:rPr>
  </w:style>
  <w:style w:type="character" w:customStyle="1" w:styleId="afffffb">
    <w:name w:val="Рисунок_название Знак"/>
    <w:basedOn w:val="ad"/>
    <w:link w:val="afffffa"/>
    <w:rsid w:val="00194BEF"/>
    <w:rPr>
      <w:rFonts w:ascii="Times New Roman" w:eastAsia="Times New Roman" w:hAnsi="Times New Roman" w:cs="Times New Roman"/>
      <w:bCs/>
      <w:sz w:val="24"/>
      <w:szCs w:val="24"/>
      <w:lang w:eastAsia="ru-RU"/>
    </w:rPr>
  </w:style>
  <w:style w:type="paragraph" w:customStyle="1" w:styleId="afffffc">
    <w:name w:val="Таблица_название"/>
    <w:basedOn w:val="ab"/>
    <w:link w:val="afffffd"/>
    <w:qFormat/>
    <w:rsid w:val="00194BEF"/>
    <w:pPr>
      <w:keepLines/>
      <w:spacing w:before="240" w:after="240"/>
      <w:contextualSpacing/>
    </w:pPr>
    <w:rPr>
      <w:snapToGrid/>
      <w:color w:val="auto"/>
      <w:szCs w:val="24"/>
    </w:rPr>
  </w:style>
  <w:style w:type="paragraph" w:customStyle="1" w:styleId="afffffe">
    <w:name w:val="Таблица_шапка"/>
    <w:basedOn w:val="ab"/>
    <w:link w:val="affffff"/>
    <w:qFormat/>
    <w:rsid w:val="00194BEF"/>
    <w:pPr>
      <w:keepLines/>
      <w:contextualSpacing/>
      <w:jc w:val="center"/>
    </w:pPr>
    <w:rPr>
      <w:b/>
      <w:snapToGrid/>
      <w:color w:val="auto"/>
      <w:szCs w:val="24"/>
    </w:rPr>
  </w:style>
  <w:style w:type="character" w:customStyle="1" w:styleId="afffffd">
    <w:name w:val="Таблица_название Знак"/>
    <w:basedOn w:val="ad"/>
    <w:link w:val="afffffc"/>
    <w:rsid w:val="00194BEF"/>
    <w:rPr>
      <w:rFonts w:ascii="Times New Roman" w:eastAsia="Times New Roman" w:hAnsi="Times New Roman" w:cs="Times New Roman"/>
      <w:sz w:val="24"/>
      <w:szCs w:val="24"/>
      <w:lang w:eastAsia="ru-RU"/>
    </w:rPr>
  </w:style>
  <w:style w:type="paragraph" w:customStyle="1" w:styleId="affffff0">
    <w:name w:val="Таблица_текст"/>
    <w:basedOn w:val="ab"/>
    <w:link w:val="affffff1"/>
    <w:qFormat/>
    <w:rsid w:val="00194BEF"/>
    <w:pPr>
      <w:keepLines/>
      <w:ind w:firstLine="709"/>
      <w:contextualSpacing/>
    </w:pPr>
    <w:rPr>
      <w:snapToGrid/>
      <w:color w:val="auto"/>
      <w:szCs w:val="24"/>
    </w:rPr>
  </w:style>
  <w:style w:type="character" w:customStyle="1" w:styleId="affffff">
    <w:name w:val="Таблица_шапка Знак"/>
    <w:basedOn w:val="ad"/>
    <w:link w:val="afffffe"/>
    <w:rsid w:val="00194BEF"/>
    <w:rPr>
      <w:rFonts w:ascii="Times New Roman" w:eastAsia="Times New Roman" w:hAnsi="Times New Roman" w:cs="Times New Roman"/>
      <w:b/>
      <w:sz w:val="24"/>
      <w:szCs w:val="24"/>
      <w:lang w:eastAsia="ru-RU"/>
    </w:rPr>
  </w:style>
  <w:style w:type="character" w:customStyle="1" w:styleId="affffff1">
    <w:name w:val="Таблица_текст Знак"/>
    <w:basedOn w:val="ad"/>
    <w:link w:val="affffff0"/>
    <w:rsid w:val="00194BEF"/>
    <w:rPr>
      <w:rFonts w:ascii="Times New Roman" w:eastAsia="Times New Roman" w:hAnsi="Times New Roman" w:cs="Times New Roman"/>
      <w:sz w:val="24"/>
      <w:szCs w:val="24"/>
      <w:lang w:eastAsia="ru-RU"/>
    </w:rPr>
  </w:style>
  <w:style w:type="paragraph" w:styleId="a">
    <w:name w:val="List Number"/>
    <w:basedOn w:val="ab"/>
    <w:uiPriority w:val="99"/>
    <w:unhideWhenUsed/>
    <w:rsid w:val="00194BEF"/>
    <w:pPr>
      <w:keepLines/>
      <w:numPr>
        <w:numId w:val="30"/>
      </w:numPr>
      <w:tabs>
        <w:tab w:val="left" w:pos="1066"/>
      </w:tabs>
      <w:spacing w:line="360" w:lineRule="auto"/>
      <w:ind w:left="0" w:firstLine="709"/>
      <w:contextualSpacing/>
    </w:pPr>
    <w:rPr>
      <w:snapToGrid/>
      <w:color w:val="auto"/>
      <w:sz w:val="28"/>
      <w:szCs w:val="28"/>
    </w:rPr>
  </w:style>
  <w:style w:type="numbering" w:customStyle="1" w:styleId="a3">
    <w:name w:val="Многоуровневый _список"/>
    <w:uiPriority w:val="99"/>
    <w:rsid w:val="00194BEF"/>
    <w:pPr>
      <w:numPr>
        <w:numId w:val="34"/>
      </w:numPr>
    </w:pPr>
  </w:style>
  <w:style w:type="paragraph" w:styleId="20">
    <w:name w:val="List Bullet 2"/>
    <w:basedOn w:val="ab"/>
    <w:uiPriority w:val="99"/>
    <w:unhideWhenUsed/>
    <w:qFormat/>
    <w:rsid w:val="00194BEF"/>
    <w:pPr>
      <w:keepLines/>
      <w:numPr>
        <w:numId w:val="26"/>
      </w:numPr>
      <w:tabs>
        <w:tab w:val="left" w:pos="1066"/>
      </w:tabs>
      <w:spacing w:line="360" w:lineRule="auto"/>
      <w:contextualSpacing/>
    </w:pPr>
    <w:rPr>
      <w:snapToGrid/>
      <w:color w:val="auto"/>
      <w:szCs w:val="28"/>
    </w:rPr>
  </w:style>
  <w:style w:type="paragraph" w:styleId="2">
    <w:name w:val="List Number 2"/>
    <w:basedOn w:val="ab"/>
    <w:uiPriority w:val="99"/>
    <w:unhideWhenUsed/>
    <w:rsid w:val="00194BEF"/>
    <w:pPr>
      <w:keepLines/>
      <w:numPr>
        <w:numId w:val="31"/>
      </w:numPr>
      <w:tabs>
        <w:tab w:val="left" w:pos="2268"/>
      </w:tabs>
      <w:spacing w:line="360" w:lineRule="auto"/>
      <w:ind w:left="1066" w:firstLine="0"/>
      <w:contextualSpacing/>
    </w:pPr>
    <w:rPr>
      <w:snapToGrid/>
      <w:color w:val="auto"/>
      <w:sz w:val="28"/>
      <w:szCs w:val="28"/>
    </w:rPr>
  </w:style>
  <w:style w:type="paragraph" w:styleId="3">
    <w:name w:val="List Number 3"/>
    <w:aliases w:val="Нумерованный список 3 для приложений"/>
    <w:basedOn w:val="ab"/>
    <w:uiPriority w:val="99"/>
    <w:unhideWhenUsed/>
    <w:rsid w:val="00194BEF"/>
    <w:pPr>
      <w:keepLines/>
      <w:numPr>
        <w:numId w:val="32"/>
      </w:numPr>
      <w:tabs>
        <w:tab w:val="left" w:pos="1066"/>
      </w:tabs>
      <w:spacing w:line="360" w:lineRule="auto"/>
      <w:ind w:left="0" w:firstLine="709"/>
      <w:contextualSpacing/>
    </w:pPr>
    <w:rPr>
      <w:snapToGrid/>
      <w:color w:val="auto"/>
      <w:szCs w:val="28"/>
    </w:rPr>
  </w:style>
  <w:style w:type="paragraph" w:styleId="4">
    <w:name w:val="List Number 4"/>
    <w:aliases w:val="Нумерованный список 4 для приложений"/>
    <w:basedOn w:val="ab"/>
    <w:uiPriority w:val="99"/>
    <w:unhideWhenUsed/>
    <w:rsid w:val="00194BEF"/>
    <w:pPr>
      <w:keepLines/>
      <w:numPr>
        <w:numId w:val="33"/>
      </w:numPr>
      <w:tabs>
        <w:tab w:val="left" w:pos="1423"/>
      </w:tabs>
      <w:spacing w:line="360" w:lineRule="auto"/>
      <w:ind w:left="1066" w:firstLine="0"/>
      <w:contextualSpacing/>
    </w:pPr>
    <w:rPr>
      <w:snapToGrid/>
      <w:color w:val="auto"/>
      <w:szCs w:val="28"/>
    </w:rPr>
  </w:style>
  <w:style w:type="character" w:styleId="affffff2">
    <w:name w:val="Subtle Reference"/>
    <w:basedOn w:val="ad"/>
    <w:uiPriority w:val="31"/>
    <w:qFormat/>
    <w:rsid w:val="00194BEF"/>
    <w:rPr>
      <w:color w:val="auto"/>
      <w:u w:val="single"/>
    </w:rPr>
  </w:style>
  <w:style w:type="paragraph" w:styleId="affffff3">
    <w:name w:val="Subtitle"/>
    <w:basedOn w:val="ab"/>
    <w:next w:val="ab"/>
    <w:link w:val="affffff4"/>
    <w:uiPriority w:val="11"/>
    <w:qFormat/>
    <w:rsid w:val="00194BEF"/>
    <w:pPr>
      <w:keepLines/>
      <w:numPr>
        <w:ilvl w:val="1"/>
      </w:numPr>
      <w:ind w:firstLine="709"/>
      <w:contextualSpacing/>
      <w:jc w:val="center"/>
    </w:pPr>
    <w:rPr>
      <w:i/>
      <w:iCs/>
      <w:snapToGrid/>
      <w:color w:val="auto"/>
      <w:spacing w:val="15"/>
      <w:szCs w:val="24"/>
    </w:rPr>
  </w:style>
  <w:style w:type="character" w:customStyle="1" w:styleId="affffff4">
    <w:name w:val="Подзаголовок Знак"/>
    <w:basedOn w:val="ad"/>
    <w:link w:val="affffff3"/>
    <w:uiPriority w:val="11"/>
    <w:rsid w:val="00194BEF"/>
    <w:rPr>
      <w:rFonts w:ascii="Times New Roman" w:eastAsia="Times New Roman" w:hAnsi="Times New Roman" w:cs="Times New Roman"/>
      <w:i/>
      <w:iCs/>
      <w:spacing w:val="15"/>
      <w:sz w:val="24"/>
      <w:szCs w:val="24"/>
      <w:lang w:eastAsia="ru-RU"/>
    </w:rPr>
  </w:style>
  <w:style w:type="paragraph" w:styleId="30">
    <w:name w:val="List Bullet 3"/>
    <w:aliases w:val="Маркированный список 3 (для таблиц)"/>
    <w:basedOn w:val="ab"/>
    <w:uiPriority w:val="99"/>
    <w:unhideWhenUsed/>
    <w:rsid w:val="00194BEF"/>
    <w:pPr>
      <w:keepLines/>
      <w:numPr>
        <w:numId w:val="27"/>
      </w:numPr>
      <w:ind w:left="0" w:firstLine="709"/>
      <w:contextualSpacing/>
    </w:pPr>
    <w:rPr>
      <w:snapToGrid/>
      <w:color w:val="auto"/>
      <w:szCs w:val="28"/>
    </w:rPr>
  </w:style>
  <w:style w:type="paragraph" w:customStyle="1" w:styleId="100">
    <w:name w:val="Текст примечания_10 пт_"/>
    <w:basedOn w:val="afb"/>
    <w:qFormat/>
    <w:rsid w:val="00194BEF"/>
    <w:pPr>
      <w:keepLines/>
      <w:ind w:firstLine="709"/>
      <w:contextualSpacing/>
    </w:pPr>
    <w:rPr>
      <w:rFonts w:ascii="Times New Roman" w:eastAsia="Times New Roman" w:hAnsi="Times New Roman" w:cs="Times New Roman"/>
      <w:color w:val="auto"/>
      <w:sz w:val="20"/>
      <w:szCs w:val="20"/>
      <w:lang w:eastAsia="ru-RU"/>
    </w:rPr>
  </w:style>
  <w:style w:type="paragraph" w:styleId="40">
    <w:name w:val="List Bullet 4"/>
    <w:aliases w:val="для таблиц список 1 уровня"/>
    <w:basedOn w:val="ab"/>
    <w:uiPriority w:val="99"/>
    <w:semiHidden/>
    <w:unhideWhenUsed/>
    <w:rsid w:val="00194BEF"/>
    <w:pPr>
      <w:keepLines/>
      <w:numPr>
        <w:numId w:val="28"/>
      </w:numPr>
      <w:ind w:left="0" w:firstLine="709"/>
      <w:contextualSpacing/>
    </w:pPr>
    <w:rPr>
      <w:snapToGrid/>
      <w:color w:val="auto"/>
      <w:szCs w:val="28"/>
    </w:rPr>
  </w:style>
  <w:style w:type="paragraph" w:styleId="5">
    <w:name w:val="List Bullet 5"/>
    <w:aliases w:val="для таблиц список 2 уровня"/>
    <w:basedOn w:val="ab"/>
    <w:uiPriority w:val="99"/>
    <w:semiHidden/>
    <w:unhideWhenUsed/>
    <w:rsid w:val="00194BEF"/>
    <w:pPr>
      <w:keepLines/>
      <w:numPr>
        <w:numId w:val="29"/>
      </w:numPr>
      <w:ind w:left="1066" w:firstLine="0"/>
      <w:contextualSpacing/>
    </w:pPr>
    <w:rPr>
      <w:snapToGrid/>
      <w:color w:val="auto"/>
      <w:szCs w:val="28"/>
    </w:rPr>
  </w:style>
  <w:style w:type="paragraph" w:styleId="52">
    <w:name w:val="List Number 5"/>
    <w:basedOn w:val="ab"/>
    <w:uiPriority w:val="99"/>
    <w:semiHidden/>
    <w:unhideWhenUsed/>
    <w:rsid w:val="00194BEF"/>
    <w:pPr>
      <w:keepLines/>
      <w:numPr>
        <w:numId w:val="35"/>
      </w:numPr>
      <w:spacing w:line="360" w:lineRule="auto"/>
      <w:ind w:left="0" w:firstLine="709"/>
      <w:contextualSpacing/>
    </w:pPr>
    <w:rPr>
      <w:snapToGrid/>
      <w:color w:val="auto"/>
      <w:sz w:val="28"/>
      <w:szCs w:val="28"/>
    </w:rPr>
  </w:style>
  <w:style w:type="paragraph" w:styleId="2f7">
    <w:name w:val="Body Text Indent 2"/>
    <w:basedOn w:val="ab"/>
    <w:link w:val="2f8"/>
    <w:uiPriority w:val="99"/>
    <w:unhideWhenUsed/>
    <w:rsid w:val="00194BEF"/>
    <w:pPr>
      <w:keepLines/>
      <w:spacing w:before="240" w:after="240" w:line="360" w:lineRule="auto"/>
      <w:contextualSpacing/>
      <w:jc w:val="left"/>
    </w:pPr>
    <w:rPr>
      <w:snapToGrid/>
      <w:color w:val="auto"/>
      <w:sz w:val="28"/>
      <w:szCs w:val="28"/>
    </w:rPr>
  </w:style>
  <w:style w:type="character" w:customStyle="1" w:styleId="2f8">
    <w:name w:val="Основной текст с отступом 2 Знак"/>
    <w:basedOn w:val="ad"/>
    <w:link w:val="2f7"/>
    <w:uiPriority w:val="99"/>
    <w:rsid w:val="00194BEF"/>
    <w:rPr>
      <w:rFonts w:ascii="Times New Roman" w:eastAsia="Times New Roman" w:hAnsi="Times New Roman" w:cs="Times New Roman"/>
      <w:sz w:val="28"/>
      <w:szCs w:val="28"/>
      <w:lang w:eastAsia="ru-RU"/>
    </w:rPr>
  </w:style>
  <w:style w:type="paragraph" w:customStyle="1" w:styleId="affffff5">
    <w:name w:val="Обычный_ГОСТ"/>
    <w:basedOn w:val="ab"/>
    <w:link w:val="affffff6"/>
    <w:autoRedefine/>
    <w:rsid w:val="00194BEF"/>
    <w:pPr>
      <w:spacing w:line="276" w:lineRule="auto"/>
      <w:ind w:firstLine="709"/>
    </w:pPr>
    <w:rPr>
      <w:snapToGrid/>
      <w:color w:val="auto"/>
      <w:sz w:val="28"/>
      <w:szCs w:val="28"/>
    </w:rPr>
  </w:style>
  <w:style w:type="character" w:customStyle="1" w:styleId="affffff6">
    <w:name w:val="Обычный_ГОСТ Знак"/>
    <w:link w:val="affffff5"/>
    <w:rsid w:val="00194BEF"/>
    <w:rPr>
      <w:rFonts w:ascii="Times New Roman" w:eastAsia="Times New Roman" w:hAnsi="Times New Roman" w:cs="Times New Roman"/>
      <w:sz w:val="28"/>
      <w:szCs w:val="28"/>
      <w:lang w:eastAsia="ru-RU"/>
    </w:rPr>
  </w:style>
  <w:style w:type="numbering" w:customStyle="1" w:styleId="a2">
    <w:name w:val="Стиль маркированный"/>
    <w:basedOn w:val="af"/>
    <w:rsid w:val="00194BEF"/>
    <w:pPr>
      <w:numPr>
        <w:numId w:val="36"/>
      </w:numPr>
    </w:pPr>
  </w:style>
  <w:style w:type="paragraph" w:customStyle="1" w:styleId="ListTable">
    <w:name w:val="ListTable"/>
    <w:basedOn w:val="ab"/>
    <w:rsid w:val="00194BEF"/>
    <w:pPr>
      <w:keepLines/>
      <w:numPr>
        <w:numId w:val="37"/>
      </w:numPr>
      <w:spacing w:line="360" w:lineRule="auto"/>
      <w:contextualSpacing/>
    </w:pPr>
    <w:rPr>
      <w:snapToGrid/>
      <w:color w:val="auto"/>
      <w:sz w:val="28"/>
      <w:szCs w:val="28"/>
    </w:rPr>
  </w:style>
  <w:style w:type="paragraph" w:customStyle="1" w:styleId="affffff7">
    <w:name w:val="Титул тема"/>
    <w:basedOn w:val="ab"/>
    <w:uiPriority w:val="99"/>
    <w:rsid w:val="00194BEF"/>
    <w:pPr>
      <w:keepLines/>
      <w:contextualSpacing/>
      <w:jc w:val="center"/>
    </w:pPr>
    <w:rPr>
      <w:b/>
      <w:snapToGrid/>
      <w:color w:val="auto"/>
      <w:sz w:val="27"/>
      <w:szCs w:val="27"/>
    </w:rPr>
  </w:style>
  <w:style w:type="paragraph" w:styleId="2f9">
    <w:name w:val="Body Text First Indent 2"/>
    <w:basedOn w:val="a7"/>
    <w:link w:val="2fa"/>
    <w:uiPriority w:val="99"/>
    <w:unhideWhenUsed/>
    <w:rsid w:val="00194BEF"/>
    <w:pPr>
      <w:keepLines/>
      <w:numPr>
        <w:numId w:val="0"/>
      </w:numPr>
      <w:ind w:left="360" w:firstLine="360"/>
      <w:contextualSpacing/>
    </w:pPr>
    <w:rPr>
      <w:szCs w:val="28"/>
    </w:rPr>
  </w:style>
  <w:style w:type="character" w:customStyle="1" w:styleId="2fa">
    <w:name w:val="Красная строка 2 Знак"/>
    <w:basedOn w:val="afffff6"/>
    <w:link w:val="2f9"/>
    <w:uiPriority w:val="99"/>
    <w:rsid w:val="00194BEF"/>
    <w:rPr>
      <w:rFonts w:ascii="Times New Roman" w:eastAsia="Times New Roman" w:hAnsi="Times New Roman" w:cs="Times New Roman"/>
      <w:sz w:val="28"/>
      <w:szCs w:val="28"/>
      <w:lang w:eastAsia="ru-RU"/>
    </w:rPr>
  </w:style>
  <w:style w:type="paragraph" w:customStyle="1" w:styleId="xl63">
    <w:name w:val="xl63"/>
    <w:basedOn w:val="ab"/>
    <w:rsid w:val="00F866C3"/>
    <w:pPr>
      <w:shd w:val="clear" w:color="000000" w:fill="FFFFFF"/>
      <w:spacing w:before="100" w:beforeAutospacing="1" w:after="100" w:afterAutospacing="1"/>
      <w:jc w:val="left"/>
    </w:pPr>
    <w:rPr>
      <w:snapToGrid/>
      <w:color w:val="auto"/>
      <w:szCs w:val="24"/>
    </w:rPr>
  </w:style>
  <w:style w:type="paragraph" w:customStyle="1" w:styleId="xl64">
    <w:name w:val="xl64"/>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65">
    <w:name w:val="xl6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snapToGrid/>
      <w:color w:val="auto"/>
      <w:szCs w:val="24"/>
    </w:rPr>
  </w:style>
  <w:style w:type="paragraph" w:customStyle="1" w:styleId="xl66">
    <w:name w:val="xl66"/>
    <w:basedOn w:val="ab"/>
    <w:rsid w:val="00F866C3"/>
    <w:pPr>
      <w:shd w:val="clear" w:color="000000" w:fill="FFFFFF"/>
      <w:spacing w:before="100" w:beforeAutospacing="1" w:after="100" w:afterAutospacing="1"/>
      <w:jc w:val="left"/>
    </w:pPr>
    <w:rPr>
      <w:snapToGrid/>
      <w:color w:val="auto"/>
      <w:szCs w:val="24"/>
    </w:rPr>
  </w:style>
  <w:style w:type="paragraph" w:customStyle="1" w:styleId="xl67">
    <w:name w:val="xl6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szCs w:val="24"/>
    </w:rPr>
  </w:style>
  <w:style w:type="paragraph" w:customStyle="1" w:styleId="xl68">
    <w:name w:val="xl68"/>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szCs w:val="24"/>
    </w:rPr>
  </w:style>
  <w:style w:type="paragraph" w:customStyle="1" w:styleId="xl69">
    <w:name w:val="xl6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color w:val="auto"/>
      <w:szCs w:val="24"/>
    </w:rPr>
  </w:style>
  <w:style w:type="paragraph" w:customStyle="1" w:styleId="xl70">
    <w:name w:val="xl70"/>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71">
    <w:name w:val="xl71"/>
    <w:basedOn w:val="ab"/>
    <w:rsid w:val="00F866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72">
    <w:name w:val="xl72"/>
    <w:basedOn w:val="ab"/>
    <w:rsid w:val="00F866C3"/>
    <w:pPr>
      <w:shd w:val="clear" w:color="000000" w:fill="FFFFFF"/>
      <w:spacing w:before="100" w:beforeAutospacing="1" w:after="100" w:afterAutospacing="1"/>
      <w:jc w:val="left"/>
    </w:pPr>
    <w:rPr>
      <w:rFonts w:ascii="Arial" w:hAnsi="Arial" w:cs="Arial"/>
      <w:snapToGrid/>
      <w:color w:val="auto"/>
      <w:szCs w:val="24"/>
    </w:rPr>
  </w:style>
  <w:style w:type="paragraph" w:customStyle="1" w:styleId="xl73">
    <w:name w:val="xl7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74">
    <w:name w:val="xl74"/>
    <w:basedOn w:val="ab"/>
    <w:rsid w:val="00F866C3"/>
    <w:pPr>
      <w:shd w:val="clear" w:color="000000" w:fill="FFFFFF"/>
      <w:spacing w:before="100" w:beforeAutospacing="1" w:after="100" w:afterAutospacing="1"/>
      <w:jc w:val="left"/>
      <w:textAlignment w:val="top"/>
    </w:pPr>
    <w:rPr>
      <w:rFonts w:ascii="Arial" w:hAnsi="Arial" w:cs="Arial"/>
      <w:snapToGrid/>
      <w:color w:val="auto"/>
      <w:szCs w:val="24"/>
    </w:rPr>
  </w:style>
  <w:style w:type="paragraph" w:customStyle="1" w:styleId="xl75">
    <w:name w:val="xl75"/>
    <w:basedOn w:val="ab"/>
    <w:rsid w:val="00F866C3"/>
    <w:pPr>
      <w:shd w:val="clear" w:color="000000" w:fill="FFFFFF"/>
      <w:spacing w:before="100" w:beforeAutospacing="1" w:after="100" w:afterAutospacing="1"/>
      <w:jc w:val="left"/>
    </w:pPr>
    <w:rPr>
      <w:rFonts w:ascii="Arial" w:hAnsi="Arial" w:cs="Arial"/>
      <w:snapToGrid/>
      <w:color w:val="auto"/>
      <w:szCs w:val="24"/>
    </w:rPr>
  </w:style>
  <w:style w:type="paragraph" w:customStyle="1" w:styleId="xl76">
    <w:name w:val="xl76"/>
    <w:basedOn w:val="ab"/>
    <w:rsid w:val="00F866C3"/>
    <w:pPr>
      <w:shd w:val="clear" w:color="000000" w:fill="FFFFFF"/>
      <w:spacing w:before="100" w:beforeAutospacing="1" w:after="100" w:afterAutospacing="1"/>
      <w:jc w:val="left"/>
      <w:textAlignment w:val="top"/>
    </w:pPr>
    <w:rPr>
      <w:rFonts w:ascii="Arial" w:hAnsi="Arial" w:cs="Arial"/>
      <w:snapToGrid/>
      <w:color w:val="auto"/>
      <w:szCs w:val="24"/>
    </w:rPr>
  </w:style>
  <w:style w:type="paragraph" w:customStyle="1" w:styleId="xl77">
    <w:name w:val="xl7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78">
    <w:name w:val="xl78"/>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79">
    <w:name w:val="xl7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color w:val="auto"/>
      <w:sz w:val="20"/>
    </w:rPr>
  </w:style>
  <w:style w:type="paragraph" w:customStyle="1" w:styleId="xl80">
    <w:name w:val="xl80"/>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81">
    <w:name w:val="xl8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2">
    <w:name w:val="xl82"/>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83">
    <w:name w:val="xl83"/>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4">
    <w:name w:val="xl84"/>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5">
    <w:name w:val="xl8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6">
    <w:name w:val="xl8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7">
    <w:name w:val="xl87"/>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88">
    <w:name w:val="xl8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9">
    <w:name w:val="xl8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90">
    <w:name w:val="xl9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1">
    <w:name w:val="xl91"/>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2">
    <w:name w:val="xl92"/>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3">
    <w:name w:val="xl93"/>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4">
    <w:name w:val="xl9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95">
    <w:name w:val="xl9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96">
    <w:name w:val="xl9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97">
    <w:name w:val="xl9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98">
    <w:name w:val="xl98"/>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napToGrid/>
      <w:color w:val="auto"/>
      <w:szCs w:val="24"/>
    </w:rPr>
  </w:style>
  <w:style w:type="paragraph" w:customStyle="1" w:styleId="xl99">
    <w:name w:val="xl99"/>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0">
    <w:name w:val="xl10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1">
    <w:name w:val="xl101"/>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2">
    <w:name w:val="xl10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3">
    <w:name w:val="xl103"/>
    <w:basedOn w:val="ab"/>
    <w:rsid w:val="00F866C3"/>
    <w:pPr>
      <w:pBdr>
        <w:left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4">
    <w:name w:val="xl10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5">
    <w:name w:val="xl10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06">
    <w:name w:val="xl10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07">
    <w:name w:val="xl10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08">
    <w:name w:val="xl108"/>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09">
    <w:name w:val="xl109"/>
    <w:basedOn w:val="ab"/>
    <w:rsid w:val="00F866C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0">
    <w:name w:val="xl110"/>
    <w:basedOn w:val="ab"/>
    <w:rsid w:val="00F866C3"/>
    <w:pPr>
      <w:pBdr>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1">
    <w:name w:val="xl111"/>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2">
    <w:name w:val="xl11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3">
    <w:name w:val="xl11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4">
    <w:name w:val="xl114"/>
    <w:basedOn w:val="ab"/>
    <w:rsid w:val="00F866C3"/>
    <w:pPr>
      <w:pBdr>
        <w:left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15">
    <w:name w:val="xl115"/>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16">
    <w:name w:val="xl11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7">
    <w:name w:val="xl117"/>
    <w:basedOn w:val="ab"/>
    <w:rsid w:val="00F866C3"/>
    <w:pPr>
      <w:pBdr>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8">
    <w:name w:val="xl118"/>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napToGrid/>
      <w:sz w:val="20"/>
    </w:rPr>
  </w:style>
  <w:style w:type="paragraph" w:customStyle="1" w:styleId="xl119">
    <w:name w:val="xl119"/>
    <w:basedOn w:val="ab"/>
    <w:rsid w:val="00F866C3"/>
    <w:pPr>
      <w:pBdr>
        <w:left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0">
    <w:name w:val="xl120"/>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1">
    <w:name w:val="xl121"/>
    <w:basedOn w:val="ab"/>
    <w:rsid w:val="00F866C3"/>
    <w:pPr>
      <w:pBdr>
        <w:left w:val="single" w:sz="4" w:space="0" w:color="auto"/>
        <w:right w:val="single" w:sz="4" w:space="0" w:color="auto"/>
      </w:pBdr>
      <w:spacing w:before="100" w:beforeAutospacing="1" w:after="100" w:afterAutospacing="1"/>
      <w:jc w:val="left"/>
    </w:pPr>
    <w:rPr>
      <w:snapToGrid/>
      <w:color w:val="auto"/>
      <w:szCs w:val="24"/>
    </w:rPr>
  </w:style>
  <w:style w:type="paragraph" w:customStyle="1" w:styleId="xl122">
    <w:name w:val="xl122"/>
    <w:basedOn w:val="ab"/>
    <w:rsid w:val="00F866C3"/>
    <w:pPr>
      <w:pBdr>
        <w:left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23">
    <w:name w:val="xl123"/>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24">
    <w:name w:val="xl12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napToGrid/>
      <w:sz w:val="20"/>
    </w:rPr>
  </w:style>
  <w:style w:type="paragraph" w:customStyle="1" w:styleId="xl125">
    <w:name w:val="xl125"/>
    <w:basedOn w:val="ab"/>
    <w:rsid w:val="00F866C3"/>
    <w:pPr>
      <w:pBdr>
        <w:left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6">
    <w:name w:val="xl126"/>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7">
    <w:name w:val="xl127"/>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28">
    <w:name w:val="xl12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29">
    <w:name w:val="xl129"/>
    <w:basedOn w:val="ab"/>
    <w:rsid w:val="00F866C3"/>
    <w:pPr>
      <w:pBdr>
        <w:left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130">
    <w:name w:val="xl130"/>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131">
    <w:name w:val="xl13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32">
    <w:name w:val="xl13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3">
    <w:name w:val="xl13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4">
    <w:name w:val="xl13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5">
    <w:name w:val="xl135"/>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6">
    <w:name w:val="xl13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137">
    <w:name w:val="xl137"/>
    <w:basedOn w:val="ab"/>
    <w:rsid w:val="00F866C3"/>
    <w:pPr>
      <w:pBdr>
        <w:left w:val="single" w:sz="4" w:space="0" w:color="auto"/>
        <w:bottom w:val="single" w:sz="4" w:space="0" w:color="auto"/>
        <w:right w:val="single" w:sz="4" w:space="0" w:color="auto"/>
      </w:pBdr>
      <w:spacing w:before="100" w:beforeAutospacing="1" w:after="100" w:afterAutospacing="1"/>
      <w:jc w:val="left"/>
    </w:pPr>
    <w:rPr>
      <w:snapToGrid/>
      <w:color w:val="auto"/>
      <w:szCs w:val="24"/>
    </w:rPr>
  </w:style>
  <w:style w:type="paragraph" w:customStyle="1" w:styleId="xl138">
    <w:name w:val="xl138"/>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39">
    <w:name w:val="xl139"/>
    <w:basedOn w:val="ab"/>
    <w:rsid w:val="00F866C3"/>
    <w:pPr>
      <w:pBdr>
        <w:left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0">
    <w:name w:val="xl140"/>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1">
    <w:name w:val="xl14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42">
    <w:name w:val="xl142"/>
    <w:basedOn w:val="ab"/>
    <w:rsid w:val="00F866C3"/>
    <w:pPr>
      <w:pBdr>
        <w:left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3">
    <w:name w:val="xl143"/>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4">
    <w:name w:val="xl144"/>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5">
    <w:name w:val="xl145"/>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6">
    <w:name w:val="xl146"/>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7">
    <w:name w:val="xl147"/>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8">
    <w:name w:val="xl14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49">
    <w:name w:val="xl149"/>
    <w:basedOn w:val="ab"/>
    <w:rsid w:val="00F866C3"/>
    <w:pPr>
      <w:pBdr>
        <w:left w:val="single" w:sz="4" w:space="0" w:color="auto"/>
        <w:right w:val="single" w:sz="4" w:space="0" w:color="auto"/>
      </w:pBdr>
      <w:spacing w:before="100" w:beforeAutospacing="1" w:after="100" w:afterAutospacing="1"/>
      <w:jc w:val="left"/>
    </w:pPr>
    <w:rPr>
      <w:rFonts w:ascii="Arial" w:hAnsi="Arial" w:cs="Arial"/>
      <w:snapToGrid/>
      <w:color w:val="auto"/>
      <w:szCs w:val="24"/>
    </w:rPr>
  </w:style>
  <w:style w:type="paragraph" w:customStyle="1" w:styleId="xl150">
    <w:name w:val="xl150"/>
    <w:basedOn w:val="ab"/>
    <w:rsid w:val="00F866C3"/>
    <w:pPr>
      <w:pBdr>
        <w:left w:val="single" w:sz="4" w:space="0" w:color="auto"/>
        <w:bottom w:val="single" w:sz="4" w:space="0" w:color="auto"/>
        <w:right w:val="single" w:sz="4" w:space="0" w:color="auto"/>
      </w:pBdr>
      <w:spacing w:before="100" w:beforeAutospacing="1" w:after="100" w:afterAutospacing="1"/>
      <w:jc w:val="left"/>
    </w:pPr>
    <w:rPr>
      <w:rFonts w:ascii="Arial" w:hAnsi="Arial" w:cs="Arial"/>
      <w:snapToGrid/>
      <w:color w:val="auto"/>
      <w:szCs w:val="24"/>
    </w:rPr>
  </w:style>
  <w:style w:type="paragraph" w:customStyle="1" w:styleId="xl151">
    <w:name w:val="xl15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52">
    <w:name w:val="xl15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53">
    <w:name w:val="xl153"/>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4">
    <w:name w:val="xl15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5">
    <w:name w:val="xl155"/>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6">
    <w:name w:val="xl156"/>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57">
    <w:name w:val="xl157"/>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58">
    <w:name w:val="xl158"/>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9">
    <w:name w:val="xl159"/>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0">
    <w:name w:val="xl160"/>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1">
    <w:name w:val="xl16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2">
    <w:name w:val="xl16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63">
    <w:name w:val="xl163"/>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64">
    <w:name w:val="xl16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 w:val="20"/>
    </w:rPr>
  </w:style>
  <w:style w:type="paragraph" w:customStyle="1" w:styleId="xl165">
    <w:name w:val="xl165"/>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66">
    <w:name w:val="xl166"/>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67">
    <w:name w:val="xl167"/>
    <w:basedOn w:val="ab"/>
    <w:rsid w:val="00F866C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napToGrid/>
      <w:sz w:val="20"/>
    </w:rPr>
  </w:style>
  <w:style w:type="paragraph" w:customStyle="1" w:styleId="xl168">
    <w:name w:val="xl168"/>
    <w:basedOn w:val="ab"/>
    <w:rsid w:val="00F866C3"/>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napToGrid/>
      <w:sz w:val="20"/>
    </w:rPr>
  </w:style>
  <w:style w:type="paragraph" w:customStyle="1" w:styleId="xl169">
    <w:name w:val="xl169"/>
    <w:basedOn w:val="ab"/>
    <w:rsid w:val="00F866C3"/>
    <w:pPr>
      <w:pBdr>
        <w:top w:val="single" w:sz="4" w:space="0" w:color="auto"/>
        <w:bottom w:val="single" w:sz="4" w:space="0" w:color="auto"/>
      </w:pBdr>
      <w:spacing w:before="100" w:beforeAutospacing="1" w:after="100" w:afterAutospacing="1"/>
      <w:jc w:val="center"/>
    </w:pPr>
    <w:rPr>
      <w:snapToGrid/>
      <w:color w:val="auto"/>
      <w:szCs w:val="24"/>
    </w:rPr>
  </w:style>
  <w:style w:type="paragraph" w:customStyle="1" w:styleId="xl170">
    <w:name w:val="xl17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1">
    <w:name w:val="xl17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2">
    <w:name w:val="xl172"/>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3">
    <w:name w:val="xl173"/>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4">
    <w:name w:val="xl17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175">
    <w:name w:val="xl175"/>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6">
    <w:name w:val="xl17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character" w:customStyle="1" w:styleId="wrf-portal-dashboard-report-code">
    <w:name w:val="wrf-portal-dashboard-report-code"/>
    <w:basedOn w:val="ad"/>
    <w:rsid w:val="0018618C"/>
  </w:style>
  <w:style w:type="character" w:customStyle="1" w:styleId="tooltip">
    <w:name w:val="tooltip"/>
    <w:basedOn w:val="ad"/>
    <w:rsid w:val="00564BDF"/>
  </w:style>
  <w:style w:type="paragraph" w:customStyle="1" w:styleId="ASFKNameTable">
    <w:name w:val="_ASFK_Name_Table"/>
    <w:link w:val="ASFKNameTable0"/>
    <w:rsid w:val="001F3AD1"/>
    <w:pPr>
      <w:keepNext/>
      <w:numPr>
        <w:numId w:val="38"/>
      </w:numPr>
      <w:spacing w:before="240" w:after="120" w:line="240" w:lineRule="auto"/>
    </w:pPr>
    <w:rPr>
      <w:rFonts w:ascii="Times New Roman" w:eastAsia="Times New Roman" w:hAnsi="Times New Roman" w:cs="Times New Roman"/>
      <w:b/>
      <w:sz w:val="24"/>
      <w:szCs w:val="20"/>
      <w:lang w:eastAsia="ru-RU"/>
    </w:rPr>
  </w:style>
  <w:style w:type="paragraph" w:customStyle="1" w:styleId="16">
    <w:name w:val="Приложение 1"/>
    <w:basedOn w:val="ab"/>
    <w:next w:val="ab"/>
    <w:uiPriority w:val="99"/>
    <w:rsid w:val="006B3682"/>
    <w:pPr>
      <w:numPr>
        <w:numId w:val="39"/>
      </w:numPr>
      <w:tabs>
        <w:tab w:val="left" w:pos="1491"/>
      </w:tabs>
      <w:spacing w:before="240" w:after="60"/>
      <w:jc w:val="left"/>
      <w:outlineLvl w:val="0"/>
    </w:pPr>
    <w:rPr>
      <w:rFonts w:ascii="Arial" w:hAnsi="Arial"/>
      <w:b/>
      <w:sz w:val="32"/>
    </w:rPr>
  </w:style>
  <w:style w:type="paragraph" w:customStyle="1" w:styleId="2a">
    <w:name w:val="Приложение 2"/>
    <w:basedOn w:val="ab"/>
    <w:next w:val="ab"/>
    <w:uiPriority w:val="99"/>
    <w:rsid w:val="006B3682"/>
    <w:pPr>
      <w:numPr>
        <w:ilvl w:val="1"/>
        <w:numId w:val="39"/>
      </w:numPr>
      <w:tabs>
        <w:tab w:val="left" w:pos="1491"/>
      </w:tabs>
      <w:spacing w:before="240" w:after="60"/>
      <w:outlineLvl w:val="1"/>
    </w:pPr>
    <w:rPr>
      <w:rFonts w:ascii="Arial" w:hAnsi="Arial"/>
      <w:b/>
      <w:sz w:val="28"/>
    </w:rPr>
  </w:style>
  <w:style w:type="paragraph" w:customStyle="1" w:styleId="38">
    <w:name w:val="Приложение 3"/>
    <w:basedOn w:val="ab"/>
    <w:next w:val="ab"/>
    <w:uiPriority w:val="99"/>
    <w:rsid w:val="006B3682"/>
    <w:pPr>
      <w:numPr>
        <w:ilvl w:val="2"/>
        <w:numId w:val="39"/>
      </w:numPr>
      <w:tabs>
        <w:tab w:val="left" w:pos="1491"/>
      </w:tabs>
      <w:spacing w:before="240" w:after="60"/>
      <w:outlineLvl w:val="2"/>
    </w:pPr>
    <w:rPr>
      <w:rFonts w:ascii="Arial" w:hAnsi="Arial"/>
      <w:b/>
    </w:rPr>
  </w:style>
  <w:style w:type="paragraph" w:customStyle="1" w:styleId="44">
    <w:name w:val="Приложение 4"/>
    <w:basedOn w:val="ab"/>
    <w:next w:val="ab"/>
    <w:rsid w:val="006B3682"/>
    <w:pPr>
      <w:numPr>
        <w:ilvl w:val="3"/>
        <w:numId w:val="39"/>
      </w:numPr>
      <w:tabs>
        <w:tab w:val="left" w:pos="1491"/>
      </w:tabs>
      <w:spacing w:before="240" w:after="60"/>
      <w:jc w:val="left"/>
      <w:outlineLvl w:val="3"/>
    </w:pPr>
    <w:rPr>
      <w:b/>
      <w:sz w:val="28"/>
    </w:rPr>
  </w:style>
  <w:style w:type="paragraph" w:customStyle="1" w:styleId="GOSTNormal">
    <w:name w:val="_GOST_Normal"/>
    <w:link w:val="GOSTNormal0"/>
    <w:qFormat/>
    <w:rsid w:val="00DB5E04"/>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DB5E04"/>
    <w:rPr>
      <w:rFonts w:ascii="Times New Roman" w:eastAsia="Times New Roman" w:hAnsi="Times New Roman" w:cs="Times New Roman"/>
      <w:sz w:val="24"/>
      <w:szCs w:val="20"/>
      <w:lang w:eastAsia="ru-RU"/>
    </w:rPr>
  </w:style>
  <w:style w:type="paragraph" w:customStyle="1" w:styleId="GOSTListmark2">
    <w:name w:val="_GOST_List_mark2"/>
    <w:rsid w:val="00DB5E04"/>
    <w:pPr>
      <w:numPr>
        <w:numId w:val="40"/>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DB5E04"/>
    <w:pPr>
      <w:numPr>
        <w:numId w:val="41"/>
      </w:numPr>
    </w:pPr>
    <w:rPr>
      <w:color w:val="auto"/>
    </w:rPr>
  </w:style>
  <w:style w:type="paragraph" w:customStyle="1" w:styleId="OTRListmark1">
    <w:name w:val="_OTR_List_mark1"/>
    <w:link w:val="OTRListmark10"/>
    <w:rsid w:val="002C6F93"/>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character" w:customStyle="1" w:styleId="extended-textfull">
    <w:name w:val="extended-text__full"/>
    <w:basedOn w:val="ad"/>
    <w:rsid w:val="00C729B0"/>
  </w:style>
  <w:style w:type="paragraph" w:customStyle="1" w:styleId="10">
    <w:name w:val="_Заг.1"/>
    <w:next w:val="ab"/>
    <w:rsid w:val="002355F0"/>
    <w:pPr>
      <w:pageBreakBefore/>
      <w:numPr>
        <w:numId w:val="42"/>
      </w:numPr>
      <w:suppressAutoHyphens/>
      <w:spacing w:before="360" w:after="240" w:line="240" w:lineRule="auto"/>
      <w:outlineLvl w:val="0"/>
    </w:pPr>
    <w:rPr>
      <w:rFonts w:ascii="Arial" w:eastAsia="Times New Roman" w:hAnsi="Arial" w:cs="Arial"/>
      <w:b/>
      <w:bCs/>
      <w:sz w:val="30"/>
      <w:szCs w:val="32"/>
      <w:lang w:eastAsia="ru-RU"/>
    </w:rPr>
  </w:style>
  <w:style w:type="paragraph" w:customStyle="1" w:styleId="22">
    <w:name w:val="_Заг.2"/>
    <w:next w:val="ab"/>
    <w:rsid w:val="002355F0"/>
    <w:pPr>
      <w:numPr>
        <w:ilvl w:val="1"/>
        <w:numId w:val="42"/>
      </w:numPr>
      <w:suppressAutoHyphens/>
      <w:spacing w:before="360" w:after="240" w:line="240" w:lineRule="auto"/>
      <w:outlineLvl w:val="1"/>
    </w:pPr>
    <w:rPr>
      <w:rFonts w:ascii="Arial" w:eastAsia="Times New Roman" w:hAnsi="Arial" w:cs="Arial"/>
      <w:b/>
      <w:bCs/>
      <w:iCs/>
      <w:sz w:val="26"/>
      <w:szCs w:val="28"/>
      <w:lang w:eastAsia="ru-RU"/>
    </w:rPr>
  </w:style>
  <w:style w:type="paragraph" w:customStyle="1" w:styleId="32">
    <w:name w:val="_Заг.3"/>
    <w:next w:val="ab"/>
    <w:rsid w:val="002355F0"/>
    <w:pPr>
      <w:numPr>
        <w:ilvl w:val="2"/>
        <w:numId w:val="42"/>
      </w:numPr>
      <w:suppressAutoHyphens/>
      <w:spacing w:before="360" w:after="240" w:line="240" w:lineRule="auto"/>
      <w:outlineLvl w:val="2"/>
    </w:pPr>
    <w:rPr>
      <w:rFonts w:ascii="Arial" w:eastAsia="Times New Roman" w:hAnsi="Arial" w:cs="Arial"/>
      <w:b/>
      <w:bCs/>
      <w:i/>
      <w:iCs/>
      <w:sz w:val="24"/>
      <w:szCs w:val="28"/>
      <w:lang w:eastAsia="ru-RU"/>
    </w:rPr>
  </w:style>
  <w:style w:type="paragraph" w:customStyle="1" w:styleId="12">
    <w:name w:val="_Заг1.подПункт"/>
    <w:rsid w:val="002355F0"/>
    <w:pPr>
      <w:numPr>
        <w:ilvl w:val="4"/>
        <w:numId w:val="42"/>
      </w:numPr>
      <w:spacing w:before="120" w:after="0" w:line="240" w:lineRule="auto"/>
      <w:jc w:val="both"/>
    </w:pPr>
    <w:rPr>
      <w:rFonts w:ascii="Arial" w:eastAsia="Times New Roman" w:hAnsi="Arial" w:cs="Times New Roman"/>
      <w:spacing w:val="-2"/>
      <w:szCs w:val="20"/>
      <w:lang w:eastAsia="ru-RU"/>
    </w:rPr>
  </w:style>
  <w:style w:type="paragraph" w:customStyle="1" w:styleId="11">
    <w:name w:val="_Заг1.Пункт"/>
    <w:rsid w:val="002355F0"/>
    <w:pPr>
      <w:numPr>
        <w:ilvl w:val="3"/>
        <w:numId w:val="42"/>
      </w:numPr>
      <w:spacing w:before="120" w:after="0" w:line="240" w:lineRule="auto"/>
      <w:jc w:val="both"/>
    </w:pPr>
    <w:rPr>
      <w:rFonts w:ascii="Arial" w:eastAsia="Times New Roman" w:hAnsi="Arial" w:cs="Times New Roman"/>
      <w:spacing w:val="-2"/>
      <w:szCs w:val="20"/>
      <w:lang w:eastAsia="ru-RU"/>
    </w:rPr>
  </w:style>
  <w:style w:type="paragraph" w:customStyle="1" w:styleId="24">
    <w:name w:val="_Заг2.подПункт"/>
    <w:rsid w:val="002355F0"/>
    <w:pPr>
      <w:numPr>
        <w:ilvl w:val="6"/>
        <w:numId w:val="42"/>
      </w:numPr>
      <w:spacing w:before="120" w:after="0" w:line="240" w:lineRule="auto"/>
      <w:jc w:val="both"/>
    </w:pPr>
    <w:rPr>
      <w:rFonts w:ascii="Arial" w:eastAsia="Times New Roman" w:hAnsi="Arial" w:cs="Times New Roman"/>
      <w:spacing w:val="-2"/>
      <w:szCs w:val="20"/>
      <w:lang w:eastAsia="ru-RU"/>
    </w:rPr>
  </w:style>
  <w:style w:type="paragraph" w:customStyle="1" w:styleId="23">
    <w:name w:val="_Заг2.Пункт"/>
    <w:rsid w:val="002355F0"/>
    <w:pPr>
      <w:numPr>
        <w:ilvl w:val="5"/>
        <w:numId w:val="42"/>
      </w:numPr>
      <w:spacing w:before="120" w:after="0" w:line="240" w:lineRule="auto"/>
      <w:jc w:val="both"/>
    </w:pPr>
    <w:rPr>
      <w:rFonts w:ascii="Arial" w:eastAsia="Times New Roman" w:hAnsi="Arial" w:cs="Times New Roman"/>
      <w:spacing w:val="-2"/>
      <w:szCs w:val="20"/>
      <w:lang w:eastAsia="ru-RU"/>
    </w:rPr>
  </w:style>
  <w:style w:type="paragraph" w:customStyle="1" w:styleId="34">
    <w:name w:val="_Заг3.подПункт"/>
    <w:rsid w:val="002355F0"/>
    <w:pPr>
      <w:numPr>
        <w:ilvl w:val="8"/>
        <w:numId w:val="42"/>
      </w:numPr>
      <w:spacing w:before="120" w:after="0" w:line="240" w:lineRule="auto"/>
      <w:jc w:val="both"/>
    </w:pPr>
    <w:rPr>
      <w:rFonts w:ascii="Arial" w:eastAsia="Times New Roman" w:hAnsi="Arial" w:cs="Times New Roman"/>
      <w:spacing w:val="-2"/>
      <w:szCs w:val="20"/>
      <w:lang w:eastAsia="ru-RU"/>
    </w:rPr>
  </w:style>
  <w:style w:type="paragraph" w:customStyle="1" w:styleId="33">
    <w:name w:val="_Заг3.Пункт"/>
    <w:rsid w:val="002355F0"/>
    <w:pPr>
      <w:numPr>
        <w:ilvl w:val="7"/>
        <w:numId w:val="42"/>
      </w:numPr>
      <w:spacing w:before="120" w:after="0" w:line="240" w:lineRule="auto"/>
      <w:jc w:val="both"/>
    </w:pPr>
    <w:rPr>
      <w:rFonts w:ascii="Arial" w:eastAsia="Times New Roman" w:hAnsi="Arial" w:cs="Times New Roman"/>
      <w:spacing w:val="-2"/>
      <w:szCs w:val="20"/>
      <w:lang w:eastAsia="ru-RU"/>
    </w:rPr>
  </w:style>
  <w:style w:type="paragraph" w:customStyle="1" w:styleId="01">
    <w:name w:val="0 Список без нумер 1 ур"/>
    <w:qFormat/>
    <w:rsid w:val="008A0619"/>
    <w:pPr>
      <w:numPr>
        <w:numId w:val="43"/>
      </w:numPr>
      <w:spacing w:after="0" w:line="360" w:lineRule="auto"/>
      <w:contextualSpacing/>
      <w:jc w:val="both"/>
    </w:pPr>
    <w:rPr>
      <w:rFonts w:ascii="Times New Roman" w:eastAsia="Times New Roman" w:hAnsi="Times New Roman" w:cs="Times New Roman"/>
      <w:color w:val="000000"/>
      <w:sz w:val="28"/>
      <w:szCs w:val="24"/>
      <w:lang w:eastAsia="ru-RU"/>
    </w:rPr>
  </w:style>
  <w:style w:type="character" w:customStyle="1" w:styleId="CommentTextChar4">
    <w:name w:val="Comment Text Char4"/>
    <w:locked/>
    <w:rsid w:val="00F55AEE"/>
    <w:rPr>
      <w:lang w:val="en-US" w:eastAsia="en-US" w:bidi="ar-SA"/>
    </w:rPr>
  </w:style>
  <w:style w:type="character" w:styleId="HTML2">
    <w:name w:val="HTML Typewriter"/>
    <w:basedOn w:val="ad"/>
    <w:uiPriority w:val="99"/>
    <w:semiHidden/>
    <w:unhideWhenUsed/>
    <w:rsid w:val="00290C0E"/>
    <w:rPr>
      <w:rFonts w:ascii="Courier New" w:eastAsiaTheme="minorHAnsi" w:hAnsi="Courier New" w:cs="Courier New" w:hint="default"/>
      <w:sz w:val="20"/>
      <w:szCs w:val="20"/>
    </w:rPr>
  </w:style>
  <w:style w:type="paragraph" w:customStyle="1" w:styleId="T">
    <w:name w:val="T_ОН_Таблица изменений"/>
    <w:basedOn w:val="ab"/>
    <w:link w:val="T0"/>
    <w:uiPriority w:val="99"/>
    <w:rsid w:val="00AD40CA"/>
    <w:pPr>
      <w:spacing w:before="120"/>
      <w:jc w:val="center"/>
    </w:pPr>
    <w:rPr>
      <w:rFonts w:ascii="ISOCPEUR" w:hAnsi="ISOCPEUR"/>
      <w:i/>
      <w:snapToGrid/>
      <w:color w:val="auto"/>
      <w:sz w:val="18"/>
      <w:szCs w:val="14"/>
    </w:rPr>
  </w:style>
  <w:style w:type="character" w:customStyle="1" w:styleId="T0">
    <w:name w:val="T_ОН_Таблица изменений Знак"/>
    <w:link w:val="T"/>
    <w:uiPriority w:val="99"/>
    <w:locked/>
    <w:rsid w:val="00AD40CA"/>
    <w:rPr>
      <w:rFonts w:ascii="ISOCPEUR" w:eastAsia="Times New Roman" w:hAnsi="ISOCPEUR" w:cs="Times New Roman"/>
      <w:i/>
      <w:sz w:val="18"/>
      <w:szCs w:val="14"/>
      <w:lang w:eastAsia="ru-RU"/>
    </w:rPr>
  </w:style>
  <w:style w:type="paragraph" w:customStyle="1" w:styleId="T1">
    <w:name w:val="T_ОН_Заголовки"/>
    <w:basedOn w:val="ab"/>
    <w:uiPriority w:val="99"/>
    <w:rsid w:val="00AD40CA"/>
    <w:pPr>
      <w:widowControl w:val="0"/>
      <w:adjustRightInd w:val="0"/>
      <w:spacing w:before="120"/>
      <w:jc w:val="center"/>
      <w:textAlignment w:val="baseline"/>
    </w:pPr>
    <w:rPr>
      <w:rFonts w:ascii="ISOCPEUR" w:hAnsi="ISOCPEUR" w:cs="Arial"/>
      <w:i/>
      <w:snapToGrid/>
      <w:color w:val="auto"/>
      <w:sz w:val="20"/>
      <w:szCs w:val="18"/>
    </w:rPr>
  </w:style>
  <w:style w:type="paragraph" w:customStyle="1" w:styleId="T2">
    <w:name w:val="T_ОН_Дата"/>
    <w:basedOn w:val="ab"/>
    <w:link w:val="T3"/>
    <w:uiPriority w:val="99"/>
    <w:rsid w:val="00AD40CA"/>
    <w:pPr>
      <w:spacing w:before="120"/>
      <w:jc w:val="center"/>
    </w:pPr>
    <w:rPr>
      <w:rFonts w:ascii="ISOCPEUR" w:hAnsi="ISOCPEUR"/>
      <w:i/>
      <w:snapToGrid/>
      <w:color w:val="auto"/>
      <w:sz w:val="16"/>
      <w:szCs w:val="16"/>
    </w:rPr>
  </w:style>
  <w:style w:type="character" w:customStyle="1" w:styleId="T3">
    <w:name w:val="T_ОН_Дата Знак"/>
    <w:link w:val="T2"/>
    <w:uiPriority w:val="99"/>
    <w:locked/>
    <w:rsid w:val="00AD40CA"/>
    <w:rPr>
      <w:rFonts w:ascii="ISOCPEUR" w:eastAsia="Times New Roman" w:hAnsi="ISOCPEUR" w:cs="Times New Roman"/>
      <w:i/>
      <w:sz w:val="16"/>
      <w:szCs w:val="16"/>
      <w:lang w:eastAsia="ru-RU"/>
    </w:rPr>
  </w:style>
  <w:style w:type="paragraph" w:customStyle="1" w:styleId="T4">
    <w:name w:val="T_Тит_Обозначение"/>
    <w:basedOn w:val="ab"/>
    <w:uiPriority w:val="99"/>
    <w:rsid w:val="00AD40CA"/>
    <w:pPr>
      <w:widowControl w:val="0"/>
      <w:adjustRightInd w:val="0"/>
      <w:spacing w:before="120"/>
      <w:jc w:val="center"/>
      <w:textAlignment w:val="baseline"/>
    </w:pPr>
    <w:rPr>
      <w:rFonts w:ascii="ISOCPEUR" w:hAnsi="ISOCPEUR" w:cs="Arial"/>
      <w:i/>
      <w:snapToGrid/>
      <w:color w:val="auto"/>
      <w:sz w:val="38"/>
      <w:szCs w:val="32"/>
    </w:rPr>
  </w:style>
  <w:style w:type="paragraph" w:customStyle="1" w:styleId="T20">
    <w:name w:val="T_ОН_Лист 2"/>
    <w:basedOn w:val="ab"/>
    <w:uiPriority w:val="99"/>
    <w:rsid w:val="00AD40CA"/>
    <w:pPr>
      <w:spacing w:before="40"/>
      <w:jc w:val="center"/>
    </w:pPr>
    <w:rPr>
      <w:rFonts w:ascii="ISOCPEUR" w:hAnsi="ISOCPEUR"/>
      <w:i/>
      <w:snapToGrid/>
      <w:color w:val="auto"/>
      <w:sz w:val="22"/>
      <w:szCs w:val="24"/>
    </w:rPr>
  </w:style>
  <w:style w:type="paragraph" w:customStyle="1" w:styleId="T5">
    <w:name w:val="T_ОН_Номер листа"/>
    <w:basedOn w:val="ab"/>
    <w:uiPriority w:val="99"/>
    <w:rsid w:val="00AD40CA"/>
    <w:pPr>
      <w:widowControl w:val="0"/>
      <w:adjustRightInd w:val="0"/>
      <w:spacing w:before="60"/>
      <w:jc w:val="center"/>
      <w:textAlignment w:val="baseline"/>
    </w:pPr>
    <w:rPr>
      <w:rFonts w:ascii="ISOCPEUR" w:hAnsi="ISOCPEUR" w:cs="Arial"/>
      <w:i/>
      <w:snapToGrid/>
      <w:color w:val="auto"/>
      <w:sz w:val="28"/>
      <w:szCs w:val="18"/>
      <w:lang w:val="en-US"/>
    </w:rPr>
  </w:style>
  <w:style w:type="paragraph" w:customStyle="1" w:styleId="T6">
    <w:name w:val="T_ОН_Фирма"/>
    <w:basedOn w:val="ab"/>
    <w:link w:val="T7"/>
    <w:uiPriority w:val="99"/>
    <w:rsid w:val="00AD40CA"/>
    <w:pPr>
      <w:spacing w:before="120"/>
      <w:jc w:val="center"/>
    </w:pPr>
    <w:rPr>
      <w:rFonts w:ascii="ISOCPEUR" w:hAnsi="ISOCPEUR"/>
      <w:i/>
      <w:snapToGrid/>
      <w:color w:val="auto"/>
      <w:sz w:val="22"/>
      <w:szCs w:val="21"/>
    </w:rPr>
  </w:style>
  <w:style w:type="character" w:customStyle="1" w:styleId="T7">
    <w:name w:val="T_ОН_Фирма Знак"/>
    <w:link w:val="T6"/>
    <w:uiPriority w:val="99"/>
    <w:locked/>
    <w:rsid w:val="00AD40CA"/>
    <w:rPr>
      <w:rFonts w:ascii="ISOCPEUR" w:eastAsia="Times New Roman" w:hAnsi="ISOCPEUR" w:cs="Times New Roman"/>
      <w:i/>
      <w:szCs w:val="21"/>
      <w:lang w:eastAsia="ru-RU"/>
    </w:rPr>
  </w:style>
  <w:style w:type="character" w:customStyle="1" w:styleId="res-name">
    <w:name w:val="res-name"/>
    <w:basedOn w:val="ad"/>
    <w:rsid w:val="004D1645"/>
  </w:style>
  <w:style w:type="paragraph" w:customStyle="1" w:styleId="a1">
    <w:name w:val="Маркированный абзац"/>
    <w:basedOn w:val="ab"/>
    <w:qFormat/>
    <w:rsid w:val="00592430"/>
    <w:pPr>
      <w:numPr>
        <w:numId w:val="46"/>
      </w:numPr>
      <w:spacing w:after="60" w:line="276" w:lineRule="auto"/>
      <w:contextualSpacing/>
    </w:pPr>
    <w:rPr>
      <w:rFonts w:ascii="Calibri" w:hAnsi="Calibri"/>
      <w:snapToGrid/>
      <w:color w:val="auto"/>
      <w:sz w:val="28"/>
      <w:lang w:val="en-US" w:eastAsia="en-US"/>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locked/>
    <w:rsid w:val="009B56EC"/>
    <w:rPr>
      <w:rFonts w:ascii="Cambria" w:hAnsi="Cambria" w:cs="Cambria"/>
      <w:b/>
      <w:bCs/>
      <w:sz w:val="26"/>
      <w:szCs w:val="26"/>
    </w:rPr>
  </w:style>
  <w:style w:type="character" w:customStyle="1" w:styleId="1b">
    <w:name w:val="Список маркированный уровень 1 Знак"/>
    <w:link w:val="13"/>
    <w:rsid w:val="009A18E6"/>
    <w:rPr>
      <w:rFonts w:ascii="Times New Roman" w:eastAsia="Times New Roman" w:hAnsi="Times New Roman" w:cs="Times New Roman"/>
      <w:snapToGrid w:val="0"/>
      <w:sz w:val="28"/>
      <w:szCs w:val="20"/>
      <w:lang w:eastAsia="ru-RU"/>
    </w:rPr>
  </w:style>
  <w:style w:type="paragraph" w:styleId="affffff8">
    <w:name w:val="No Spacing"/>
    <w:uiPriority w:val="1"/>
    <w:qFormat/>
    <w:rsid w:val="007B2F1B"/>
    <w:pPr>
      <w:spacing w:after="0" w:line="240" w:lineRule="auto"/>
    </w:pPr>
    <w:rPr>
      <w:rFonts w:ascii="Calibri" w:eastAsia="Calibri" w:hAnsi="Calibri" w:cs="Times New Roman"/>
    </w:rPr>
  </w:style>
  <w:style w:type="character" w:customStyle="1" w:styleId="wrf-favorite-tree-cell-text-content">
    <w:name w:val="wrf-favorite-tree-cell-text-content"/>
    <w:basedOn w:val="ad"/>
    <w:rsid w:val="002E3333"/>
  </w:style>
  <w:style w:type="character" w:customStyle="1" w:styleId="wrf-favorite-card-cell-text-content">
    <w:name w:val="wrf-favorite-card-cell-text-content"/>
    <w:basedOn w:val="ad"/>
    <w:rsid w:val="00F16A39"/>
  </w:style>
  <w:style w:type="paragraph" w:customStyle="1" w:styleId="font5">
    <w:name w:val="font5"/>
    <w:basedOn w:val="ab"/>
    <w:rsid w:val="00F64051"/>
    <w:pPr>
      <w:spacing w:before="100" w:beforeAutospacing="1" w:after="100" w:afterAutospacing="1"/>
      <w:jc w:val="left"/>
    </w:pPr>
    <w:rPr>
      <w:b/>
      <w:bCs/>
      <w:snapToGrid/>
      <w:sz w:val="20"/>
    </w:rPr>
  </w:style>
  <w:style w:type="paragraph" w:customStyle="1" w:styleId="font6">
    <w:name w:val="font6"/>
    <w:basedOn w:val="ab"/>
    <w:rsid w:val="00F64051"/>
    <w:pPr>
      <w:spacing w:before="100" w:beforeAutospacing="1" w:after="100" w:afterAutospacing="1"/>
      <w:jc w:val="left"/>
    </w:pPr>
    <w:rPr>
      <w:b/>
      <w:bCs/>
      <w:snapToGrid/>
      <w:sz w:val="14"/>
      <w:szCs w:val="14"/>
    </w:rPr>
  </w:style>
  <w:style w:type="paragraph" w:customStyle="1" w:styleId="font7">
    <w:name w:val="font7"/>
    <w:basedOn w:val="ab"/>
    <w:rsid w:val="00F64051"/>
    <w:pPr>
      <w:spacing w:before="100" w:beforeAutospacing="1" w:after="100" w:afterAutospacing="1"/>
      <w:jc w:val="left"/>
    </w:pPr>
    <w:rPr>
      <w:snapToGrid/>
      <w:sz w:val="20"/>
    </w:rPr>
  </w:style>
  <w:style w:type="paragraph" w:customStyle="1" w:styleId="font8">
    <w:name w:val="font8"/>
    <w:basedOn w:val="ab"/>
    <w:rsid w:val="00F64051"/>
    <w:pPr>
      <w:spacing w:before="100" w:beforeAutospacing="1" w:after="100" w:afterAutospacing="1"/>
      <w:jc w:val="left"/>
    </w:pPr>
    <w:rPr>
      <w:snapToGrid/>
      <w:sz w:val="14"/>
      <w:szCs w:val="14"/>
    </w:rPr>
  </w:style>
  <w:style w:type="paragraph" w:customStyle="1" w:styleId="font9">
    <w:name w:val="font9"/>
    <w:basedOn w:val="ab"/>
    <w:rsid w:val="00F64051"/>
    <w:pPr>
      <w:spacing w:before="100" w:beforeAutospacing="1" w:after="100" w:afterAutospacing="1"/>
      <w:jc w:val="left"/>
    </w:pPr>
    <w:rPr>
      <w:snapToGrid/>
      <w:sz w:val="14"/>
      <w:szCs w:val="14"/>
    </w:rPr>
  </w:style>
  <w:style w:type="paragraph" w:customStyle="1" w:styleId="font10">
    <w:name w:val="font10"/>
    <w:basedOn w:val="ab"/>
    <w:rsid w:val="00F64051"/>
    <w:pPr>
      <w:spacing w:before="100" w:beforeAutospacing="1" w:after="100" w:afterAutospacing="1"/>
      <w:jc w:val="left"/>
    </w:pPr>
    <w:rPr>
      <w:b/>
      <w:bCs/>
      <w:snapToGrid/>
      <w:sz w:val="20"/>
    </w:rPr>
  </w:style>
  <w:style w:type="character" w:styleId="HTML3">
    <w:name w:val="HTML Code"/>
    <w:basedOn w:val="ad"/>
    <w:uiPriority w:val="99"/>
    <w:semiHidden/>
    <w:unhideWhenUsed/>
    <w:rsid w:val="00E1459D"/>
    <w:rPr>
      <w:rFonts w:ascii="Courier New" w:eastAsia="Times New Roman" w:hAnsi="Courier New" w:cs="Courier New"/>
      <w:sz w:val="20"/>
      <w:szCs w:val="20"/>
    </w:rPr>
  </w:style>
  <w:style w:type="paragraph" w:customStyle="1" w:styleId="OTRListNum">
    <w:name w:val="OTR_List_Num"/>
    <w:basedOn w:val="ab"/>
    <w:link w:val="OTRListNum0"/>
    <w:rsid w:val="00D90944"/>
    <w:pPr>
      <w:numPr>
        <w:numId w:val="79"/>
      </w:numPr>
      <w:tabs>
        <w:tab w:val="left" w:pos="851"/>
      </w:tabs>
      <w:spacing w:before="60" w:after="60"/>
    </w:pPr>
  </w:style>
  <w:style w:type="character" w:customStyle="1" w:styleId="GOSTTablenorm">
    <w:name w:val="_GOST_Table_norm Знак"/>
    <w:link w:val="GOSTTablenorm0"/>
    <w:qFormat/>
    <w:rsid w:val="00D90944"/>
  </w:style>
  <w:style w:type="paragraph" w:customStyle="1" w:styleId="GOSTTablenorm0">
    <w:name w:val="_GOST_Table_norm"/>
    <w:link w:val="GOSTTablenorm"/>
    <w:qFormat/>
    <w:rsid w:val="00D90944"/>
    <w:pPr>
      <w:spacing w:after="0" w:line="240" w:lineRule="auto"/>
      <w:ind w:left="57" w:right="57"/>
      <w:jc w:val="both"/>
    </w:pPr>
  </w:style>
  <w:style w:type="table" w:customStyle="1" w:styleId="1f3">
    <w:name w:val="Сетка таблицы1"/>
    <w:basedOn w:val="ae"/>
    <w:next w:val="affe"/>
    <w:uiPriority w:val="59"/>
    <w:rsid w:val="00D9094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c">
    <w:name w:val="Заголовок 4 (ф)"/>
    <w:basedOn w:val="ab"/>
    <w:rsid w:val="00D90944"/>
    <w:pPr>
      <w:spacing w:before="60" w:after="60"/>
      <w:ind w:firstLine="709"/>
    </w:pPr>
    <w:rPr>
      <w:b/>
      <w:i/>
      <w:snapToGrid/>
      <w:color w:val="auto"/>
      <w:szCs w:val="24"/>
    </w:rPr>
  </w:style>
  <w:style w:type="paragraph" w:customStyle="1" w:styleId="affffff9">
    <w:name w:val="Обычный (ф)"/>
    <w:basedOn w:val="ab"/>
    <w:link w:val="affffffa"/>
    <w:rsid w:val="00D90944"/>
    <w:pPr>
      <w:ind w:firstLine="709"/>
    </w:pPr>
    <w:rPr>
      <w:snapToGrid/>
      <w:color w:val="auto"/>
      <w:szCs w:val="24"/>
    </w:rPr>
  </w:style>
  <w:style w:type="character" w:customStyle="1" w:styleId="affffffa">
    <w:name w:val="Обычный (ф) Знак Знак"/>
    <w:link w:val="affffff9"/>
    <w:rsid w:val="00D90944"/>
    <w:rPr>
      <w:rFonts w:ascii="Times New Roman" w:eastAsia="Times New Roman" w:hAnsi="Times New Roman" w:cs="Times New Roman"/>
      <w:sz w:val="24"/>
      <w:szCs w:val="24"/>
      <w:lang w:eastAsia="ru-RU"/>
    </w:rPr>
  </w:style>
  <w:style w:type="paragraph" w:customStyle="1" w:styleId="affffffb">
    <w:name w:val="Простой"/>
    <w:basedOn w:val="ab"/>
    <w:rsid w:val="00D90944"/>
    <w:pPr>
      <w:ind w:firstLine="709"/>
    </w:pPr>
    <w:rPr>
      <w:snapToGrid/>
      <w:color w:val="auto"/>
      <w:sz w:val="28"/>
    </w:rPr>
  </w:style>
  <w:style w:type="character" w:customStyle="1" w:styleId="affff3">
    <w:name w:val="Обычный для таблиц Знак"/>
    <w:link w:val="affff2"/>
    <w:rsid w:val="00D90944"/>
    <w:rPr>
      <w:rFonts w:ascii="Times New Roman" w:eastAsia="Times New Roman" w:hAnsi="Times New Roman" w:cs="Times New Roman"/>
      <w:sz w:val="28"/>
      <w:szCs w:val="24"/>
      <w:lang w:eastAsia="ru-RU"/>
    </w:rPr>
  </w:style>
  <w:style w:type="paragraph" w:customStyle="1" w:styleId="affffffc">
    <w:name w:val="Главный заголовок"/>
    <w:basedOn w:val="ab"/>
    <w:rsid w:val="00D90944"/>
    <w:pPr>
      <w:jc w:val="center"/>
    </w:pPr>
    <w:rPr>
      <w:smallCaps/>
      <w:sz w:val="36"/>
      <w:szCs w:val="36"/>
    </w:rPr>
  </w:style>
  <w:style w:type="paragraph" w:customStyle="1" w:styleId="affffffd">
    <w:name w:val="Примечание"/>
    <w:basedOn w:val="affffffc"/>
    <w:rsid w:val="00D90944"/>
    <w:pPr>
      <w:jc w:val="both"/>
    </w:pPr>
    <w:rPr>
      <w:b/>
      <w:sz w:val="24"/>
      <w:szCs w:val="24"/>
      <w:lang w:val="en-US"/>
    </w:rPr>
  </w:style>
  <w:style w:type="character" w:customStyle="1" w:styleId="affffffe">
    <w:name w:val="Файл_Путь"/>
    <w:rsid w:val="00D90944"/>
    <w:rPr>
      <w:rFonts w:ascii="Courier New" w:hAnsi="Courier New" w:cs="Courier New"/>
      <w:b/>
    </w:rPr>
  </w:style>
  <w:style w:type="character" w:customStyle="1" w:styleId="afffffff">
    <w:name w:val="Файл_Путь_Выделенный"/>
    <w:rsid w:val="00D90944"/>
    <w:rPr>
      <w:rFonts w:ascii="Courier New" w:hAnsi="Courier New" w:cs="Courier New"/>
      <w:b/>
      <w:i/>
      <w:color w:val="0000FF"/>
    </w:rPr>
  </w:style>
  <w:style w:type="paragraph" w:customStyle="1" w:styleId="3f3">
    <w:name w:val="Подзаголовок_3"/>
    <w:basedOn w:val="35"/>
    <w:rsid w:val="00D90944"/>
    <w:pPr>
      <w:numPr>
        <w:ilvl w:val="0"/>
        <w:numId w:val="0"/>
      </w:numPr>
      <w:ind w:left="4433" w:hanging="180"/>
    </w:pPr>
  </w:style>
  <w:style w:type="character" w:customStyle="1" w:styleId="EBNormal">
    <w:name w:val="_EB_Normal Знак"/>
    <w:link w:val="EBNormal0"/>
    <w:rsid w:val="00D90944"/>
    <w:rPr>
      <w:sz w:val="24"/>
      <w:lang w:eastAsia="ru-RU"/>
    </w:rPr>
  </w:style>
  <w:style w:type="paragraph" w:customStyle="1" w:styleId="EBNormal0">
    <w:name w:val="_EB_Normal"/>
    <w:link w:val="EBNormal"/>
    <w:rsid w:val="00D90944"/>
    <w:pPr>
      <w:spacing w:before="120" w:after="60" w:line="240" w:lineRule="auto"/>
      <w:ind w:firstLine="567"/>
      <w:contextualSpacing/>
      <w:jc w:val="both"/>
    </w:pPr>
    <w:rPr>
      <w:sz w:val="24"/>
      <w:lang w:eastAsia="ru-RU"/>
    </w:rPr>
  </w:style>
  <w:style w:type="character" w:customStyle="1" w:styleId="CommentTextChar">
    <w:name w:val="Comment Text Char"/>
    <w:basedOn w:val="ad"/>
    <w:rsid w:val="00D90944"/>
  </w:style>
  <w:style w:type="paragraph" w:customStyle="1" w:styleId="EBTableListMark">
    <w:name w:val="_EB_Table_List_Mark"/>
    <w:link w:val="EBTableListMark0"/>
    <w:rsid w:val="00D90944"/>
    <w:pPr>
      <w:tabs>
        <w:tab w:val="left" w:pos="170"/>
      </w:tabs>
      <w:spacing w:before="60" w:after="60" w:line="240" w:lineRule="auto"/>
    </w:pPr>
    <w:rPr>
      <w:rFonts w:ascii="Times New Roman" w:eastAsia="Times New Roman" w:hAnsi="Times New Roman" w:cs="Times New Roman"/>
      <w:sz w:val="28"/>
      <w:szCs w:val="20"/>
      <w:lang w:eastAsia="ru-RU"/>
    </w:rPr>
  </w:style>
  <w:style w:type="character" w:customStyle="1" w:styleId="EBTableListMark0">
    <w:name w:val="_EB_Table_List_Mark Знак"/>
    <w:link w:val="EBTableListMark"/>
    <w:rsid w:val="00D90944"/>
    <w:rPr>
      <w:rFonts w:ascii="Times New Roman" w:eastAsia="Times New Roman" w:hAnsi="Times New Roman" w:cs="Times New Roman"/>
      <w:sz w:val="28"/>
      <w:szCs w:val="20"/>
      <w:lang w:eastAsia="ru-RU"/>
    </w:rPr>
  </w:style>
  <w:style w:type="paragraph" w:customStyle="1" w:styleId="a9">
    <w:name w:val="ТребНумСпис"/>
    <w:rsid w:val="00D90944"/>
    <w:pPr>
      <w:numPr>
        <w:numId w:val="80"/>
      </w:numPr>
      <w:spacing w:before="120" w:after="0" w:line="240" w:lineRule="auto"/>
    </w:pPr>
    <w:rPr>
      <w:rFonts w:ascii="Verdana" w:eastAsia="Times New Roman" w:hAnsi="Verdana" w:cs="Times New Roman"/>
      <w:iCs/>
      <w:sz w:val="18"/>
    </w:rPr>
  </w:style>
  <w:style w:type="paragraph" w:customStyle="1" w:styleId="Body1">
    <w:name w:val="Body 1"/>
    <w:rsid w:val="00D90944"/>
    <w:pPr>
      <w:spacing w:after="0" w:line="240" w:lineRule="auto"/>
    </w:pPr>
    <w:rPr>
      <w:rFonts w:ascii="Helvetica" w:eastAsia="Arial Unicode MS" w:hAnsi="Helvetica" w:cs="Times New Roman"/>
      <w:color w:val="000000"/>
      <w:sz w:val="24"/>
      <w:szCs w:val="20"/>
      <w:lang w:eastAsia="ru-RU"/>
    </w:rPr>
  </w:style>
  <w:style w:type="paragraph" w:customStyle="1" w:styleId="TableCellL">
    <w:name w:val="Table Cell L"/>
    <w:basedOn w:val="ab"/>
    <w:rsid w:val="00D90944"/>
    <w:pPr>
      <w:numPr>
        <w:numId w:val="81"/>
      </w:numPr>
      <w:tabs>
        <w:tab w:val="clear" w:pos="360"/>
      </w:tabs>
      <w:ind w:left="0" w:firstLine="0"/>
      <w:jc w:val="left"/>
    </w:pPr>
    <w:rPr>
      <w:lang w:eastAsia="en-US"/>
    </w:rPr>
  </w:style>
  <w:style w:type="paragraph" w:customStyle="1" w:styleId="-8">
    <w:name w:val="Табл-текст"/>
    <w:basedOn w:val="ab"/>
    <w:link w:val="-9"/>
    <w:qFormat/>
    <w:rsid w:val="00D90944"/>
    <w:pPr>
      <w:spacing w:before="40" w:after="40" w:line="360" w:lineRule="exact"/>
      <w:ind w:left="28" w:right="28"/>
      <w:jc w:val="left"/>
    </w:pPr>
    <w:rPr>
      <w:sz w:val="28"/>
    </w:rPr>
  </w:style>
  <w:style w:type="character" w:customStyle="1" w:styleId="-9">
    <w:name w:val="Табл-текст Знак"/>
    <w:link w:val="-8"/>
    <w:locked/>
    <w:rsid w:val="00D90944"/>
    <w:rPr>
      <w:rFonts w:ascii="Times New Roman" w:eastAsia="Times New Roman" w:hAnsi="Times New Roman" w:cs="Times New Roman"/>
      <w:snapToGrid w:val="0"/>
      <w:color w:val="000000"/>
      <w:sz w:val="28"/>
      <w:szCs w:val="20"/>
      <w:lang w:eastAsia="ru-RU"/>
    </w:rPr>
  </w:style>
  <w:style w:type="character" w:customStyle="1" w:styleId="afffffff0">
    <w:name w:val="Гипертекстовая ссылка"/>
    <w:uiPriority w:val="99"/>
    <w:rsid w:val="00D90944"/>
    <w:rPr>
      <w:color w:val="106BBE"/>
    </w:rPr>
  </w:style>
  <w:style w:type="paragraph" w:customStyle="1" w:styleId="1f4">
    <w:name w:val="Обычный1"/>
    <w:rsid w:val="00D90944"/>
    <w:pPr>
      <w:widowControl w:val="0"/>
      <w:spacing w:after="0" w:line="360" w:lineRule="auto"/>
      <w:ind w:firstLine="720"/>
      <w:jc w:val="both"/>
    </w:pPr>
    <w:rPr>
      <w:rFonts w:ascii="Times New Roman" w:eastAsia="Times New Roman" w:hAnsi="Times New Roman" w:cs="Times New Roman"/>
      <w:color w:val="000000"/>
      <w:sz w:val="24"/>
      <w:lang w:eastAsia="ru-RU"/>
    </w:rPr>
  </w:style>
  <w:style w:type="paragraph" w:customStyle="1" w:styleId="afffffff1">
    <w:name w:val="Прижатый влево"/>
    <w:basedOn w:val="ab"/>
    <w:next w:val="ab"/>
    <w:uiPriority w:val="99"/>
    <w:rsid w:val="00D90944"/>
    <w:pPr>
      <w:autoSpaceDE w:val="0"/>
      <w:autoSpaceDN w:val="0"/>
      <w:adjustRightInd w:val="0"/>
      <w:jc w:val="left"/>
    </w:pPr>
    <w:rPr>
      <w:rFonts w:ascii="Arial" w:hAnsi="Arial" w:cs="Arial"/>
    </w:rPr>
  </w:style>
  <w:style w:type="paragraph" w:customStyle="1" w:styleId="afffffff2">
    <w:name w:val="Обычный без отступа"/>
    <w:basedOn w:val="ab"/>
    <w:uiPriority w:val="99"/>
    <w:qFormat/>
    <w:rsid w:val="00D90944"/>
    <w:pPr>
      <w:spacing w:before="120" w:line="276" w:lineRule="auto"/>
    </w:pPr>
    <w:rPr>
      <w:rFonts w:eastAsia="Calibri"/>
      <w:lang w:eastAsia="en-US"/>
    </w:rPr>
  </w:style>
  <w:style w:type="character" w:customStyle="1" w:styleId="OTRListmark10">
    <w:name w:val="_OTR_List_mark1 Знак"/>
    <w:link w:val="OTRListmark1"/>
    <w:rsid w:val="00D90944"/>
    <w:rPr>
      <w:rFonts w:ascii="Times New Roman" w:eastAsia="Times New Roman" w:hAnsi="Times New Roman" w:cs="Times New Roman"/>
      <w:snapToGrid w:val="0"/>
      <w:sz w:val="24"/>
      <w:szCs w:val="20"/>
      <w:lang w:eastAsia="ru-RU"/>
    </w:rPr>
  </w:style>
  <w:style w:type="paragraph" w:customStyle="1" w:styleId="OTRNameFigure">
    <w:name w:val="OTR_Name_Figure"/>
    <w:basedOn w:val="ab"/>
    <w:rsid w:val="00D90944"/>
    <w:pPr>
      <w:numPr>
        <w:numId w:val="82"/>
      </w:numPr>
      <w:tabs>
        <w:tab w:val="clear" w:pos="720"/>
        <w:tab w:val="num" w:pos="360"/>
        <w:tab w:val="num" w:pos="1854"/>
      </w:tabs>
      <w:spacing w:before="120" w:after="120"/>
      <w:ind w:left="1494" w:firstLine="0"/>
      <w:jc w:val="center"/>
    </w:pPr>
    <w:rPr>
      <w:b/>
    </w:rPr>
  </w:style>
  <w:style w:type="character" w:customStyle="1" w:styleId="t10">
    <w:name w:val="t1"/>
    <w:rsid w:val="00D90944"/>
    <w:rPr>
      <w:color w:val="990000"/>
    </w:rPr>
  </w:style>
  <w:style w:type="paragraph" w:customStyle="1" w:styleId="ASFKTablenorm">
    <w:name w:val="_ASFK_Table_norm"/>
    <w:link w:val="ASFKTablenorm0"/>
    <w:uiPriority w:val="99"/>
    <w:rsid w:val="00D90944"/>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uiPriority w:val="99"/>
    <w:rsid w:val="00D90944"/>
    <w:rPr>
      <w:rFonts w:ascii="Calibri" w:eastAsia="Calibri" w:hAnsi="Calibri" w:cs="Times New Roman"/>
      <w:sz w:val="28"/>
      <w:szCs w:val="20"/>
      <w:lang w:eastAsia="ru-RU"/>
    </w:rPr>
  </w:style>
  <w:style w:type="paragraph" w:customStyle="1" w:styleId="02">
    <w:name w:val="0 Список без нумер 2 ур"/>
    <w:qFormat/>
    <w:rsid w:val="00D90944"/>
    <w:pPr>
      <w:tabs>
        <w:tab w:val="num" w:pos="1565"/>
      </w:tabs>
      <w:spacing w:after="0" w:line="360" w:lineRule="auto"/>
      <w:ind w:left="1565" w:hanging="431"/>
      <w:jc w:val="both"/>
    </w:pPr>
    <w:rPr>
      <w:rFonts w:ascii="Times New Roman" w:eastAsia="Times New Roman" w:hAnsi="Times New Roman" w:cs="Times New Roman"/>
      <w:color w:val="000000"/>
      <w:sz w:val="28"/>
      <w:szCs w:val="24"/>
      <w:lang w:eastAsia="ru-RU"/>
    </w:rPr>
  </w:style>
  <w:style w:type="paragraph" w:styleId="afffffff3">
    <w:name w:val="Plain Text"/>
    <w:basedOn w:val="ab"/>
    <w:link w:val="afffffff4"/>
    <w:uiPriority w:val="99"/>
    <w:unhideWhenUsed/>
    <w:rsid w:val="00D90944"/>
    <w:pPr>
      <w:jc w:val="left"/>
    </w:pPr>
    <w:rPr>
      <w:rFonts w:ascii="Consolas" w:eastAsia="Calibri" w:hAnsi="Consolas"/>
      <w:sz w:val="21"/>
      <w:szCs w:val="21"/>
      <w:lang w:eastAsia="en-US"/>
    </w:rPr>
  </w:style>
  <w:style w:type="character" w:customStyle="1" w:styleId="afffffff4">
    <w:name w:val="Текст Знак"/>
    <w:basedOn w:val="ad"/>
    <w:link w:val="afffffff3"/>
    <w:uiPriority w:val="99"/>
    <w:rsid w:val="00D90944"/>
    <w:rPr>
      <w:rFonts w:ascii="Consolas" w:eastAsia="Calibri" w:hAnsi="Consolas" w:cs="Times New Roman"/>
      <w:snapToGrid w:val="0"/>
      <w:color w:val="000000"/>
      <w:sz w:val="21"/>
      <w:szCs w:val="21"/>
    </w:rPr>
  </w:style>
  <w:style w:type="paragraph" w:customStyle="1" w:styleId="Default">
    <w:name w:val="Default"/>
    <w:rsid w:val="00D90944"/>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OTRNameTable">
    <w:name w:val="OTR_Name_Table"/>
    <w:basedOn w:val="ab"/>
    <w:link w:val="OTRNameTable0"/>
    <w:qFormat/>
    <w:rsid w:val="00D90944"/>
    <w:pPr>
      <w:keepNext/>
      <w:spacing w:before="120"/>
    </w:pPr>
    <w:rPr>
      <w:b/>
    </w:rPr>
  </w:style>
  <w:style w:type="character" w:customStyle="1" w:styleId="OTRNameTable0">
    <w:name w:val="OTR_Name_Table Знак"/>
    <w:link w:val="OTRNameTable"/>
    <w:rsid w:val="00D90944"/>
    <w:rPr>
      <w:rFonts w:ascii="Times New Roman" w:eastAsia="Times New Roman" w:hAnsi="Times New Roman" w:cs="Times New Roman"/>
      <w:b/>
      <w:snapToGrid w:val="0"/>
      <w:color w:val="000000"/>
      <w:sz w:val="24"/>
      <w:szCs w:val="20"/>
      <w:lang w:eastAsia="ru-RU"/>
    </w:rPr>
  </w:style>
  <w:style w:type="character" w:customStyle="1" w:styleId="OTRListNum0">
    <w:name w:val="OTR_List_Num Знак Знак"/>
    <w:link w:val="OTRListNum"/>
    <w:rsid w:val="00D90944"/>
    <w:rPr>
      <w:rFonts w:ascii="Times New Roman" w:eastAsia="Times New Roman" w:hAnsi="Times New Roman" w:cs="Times New Roman"/>
      <w:snapToGrid w:val="0"/>
      <w:color w:val="000000"/>
      <w:sz w:val="24"/>
      <w:szCs w:val="20"/>
      <w:lang w:eastAsia="ru-RU"/>
    </w:rPr>
  </w:style>
  <w:style w:type="character" w:customStyle="1" w:styleId="apple-converted-space">
    <w:name w:val="apple-converted-space"/>
    <w:basedOn w:val="ad"/>
    <w:rsid w:val="00D90944"/>
  </w:style>
  <w:style w:type="paragraph" w:customStyle="1" w:styleId="010">
    <w:name w:val="0 Таблица Текст_1"/>
    <w:basedOn w:val="ab"/>
    <w:uiPriority w:val="99"/>
    <w:qFormat/>
    <w:rsid w:val="00D90944"/>
    <w:rPr>
      <w:sz w:val="20"/>
    </w:rPr>
  </w:style>
  <w:style w:type="paragraph" w:customStyle="1" w:styleId="enum1">
    <w:name w:val="e_num1"/>
    <w:basedOn w:val="NewNormal"/>
    <w:link w:val="enum10"/>
    <w:qFormat/>
    <w:rsid w:val="00D90944"/>
    <w:pPr>
      <w:numPr>
        <w:numId w:val="83"/>
      </w:numPr>
      <w:spacing w:before="120" w:after="120" w:line="360" w:lineRule="exact"/>
    </w:pPr>
    <w:rPr>
      <w:szCs w:val="28"/>
    </w:rPr>
  </w:style>
  <w:style w:type="character" w:customStyle="1" w:styleId="enum10">
    <w:name w:val="e_num1 Знак"/>
    <w:link w:val="enum1"/>
    <w:rsid w:val="00D90944"/>
    <w:rPr>
      <w:rFonts w:ascii="Times New Roman" w:eastAsia="Times New Roman" w:hAnsi="Times New Roman" w:cs="Times New Roman"/>
      <w:sz w:val="28"/>
      <w:szCs w:val="28"/>
      <w:lang w:eastAsia="ru-RU"/>
    </w:rPr>
  </w:style>
  <w:style w:type="paragraph" w:customStyle="1" w:styleId="ASFKTableHead">
    <w:name w:val="_ASFK_Table_Head"/>
    <w:basedOn w:val="ASFKTablenorm"/>
    <w:uiPriority w:val="99"/>
    <w:rsid w:val="00D90944"/>
    <w:pPr>
      <w:keepNext/>
      <w:suppressAutoHyphens/>
      <w:jc w:val="center"/>
    </w:pPr>
    <w:rPr>
      <w:rFonts w:ascii="Times New Roman" w:eastAsia="Times New Roman" w:hAnsi="Times New Roman"/>
      <w:b/>
      <w:bCs/>
      <w:sz w:val="22"/>
      <w:szCs w:val="22"/>
    </w:rPr>
  </w:style>
  <w:style w:type="character" w:customStyle="1" w:styleId="1f5">
    <w:name w:val="1 Основной Знак"/>
    <w:link w:val="1f6"/>
    <w:locked/>
    <w:rsid w:val="00D90944"/>
    <w:rPr>
      <w:sz w:val="28"/>
    </w:rPr>
  </w:style>
  <w:style w:type="paragraph" w:customStyle="1" w:styleId="1f6">
    <w:name w:val="1 Основной"/>
    <w:basedOn w:val="ab"/>
    <w:link w:val="1f5"/>
    <w:qFormat/>
    <w:rsid w:val="00D90944"/>
    <w:pPr>
      <w:ind w:firstLine="720"/>
    </w:pPr>
    <w:rPr>
      <w:rFonts w:asciiTheme="minorHAnsi" w:eastAsiaTheme="minorHAnsi" w:hAnsiTheme="minorHAnsi" w:cstheme="minorBidi"/>
      <w:snapToGrid/>
      <w:color w:val="auto"/>
      <w:sz w:val="28"/>
      <w:szCs w:val="22"/>
      <w:lang w:eastAsia="en-US"/>
    </w:rPr>
  </w:style>
  <w:style w:type="paragraph" w:customStyle="1" w:styleId="17">
    <w:name w:val="ГОСТ_Заголовок_1"/>
    <w:basedOn w:val="ab"/>
    <w:next w:val="ab"/>
    <w:rsid w:val="00D90944"/>
    <w:pPr>
      <w:pageBreakBefore/>
      <w:numPr>
        <w:numId w:val="84"/>
      </w:numPr>
      <w:jc w:val="center"/>
      <w:outlineLvl w:val="0"/>
    </w:pPr>
    <w:rPr>
      <w:b/>
      <w:sz w:val="28"/>
    </w:rPr>
  </w:style>
  <w:style w:type="paragraph" w:customStyle="1" w:styleId="2b">
    <w:name w:val="ГОСТ_Заголовок_2"/>
    <w:basedOn w:val="ab"/>
    <w:next w:val="ab"/>
    <w:rsid w:val="00D90944"/>
    <w:pPr>
      <w:numPr>
        <w:ilvl w:val="1"/>
        <w:numId w:val="84"/>
      </w:numPr>
      <w:spacing w:before="360" w:after="240"/>
      <w:outlineLvl w:val="1"/>
    </w:pPr>
    <w:rPr>
      <w:b/>
    </w:rPr>
  </w:style>
  <w:style w:type="paragraph" w:customStyle="1" w:styleId="39">
    <w:name w:val="ГОСТ_Заголовок_3"/>
    <w:basedOn w:val="ab"/>
    <w:next w:val="ab"/>
    <w:rsid w:val="00D90944"/>
    <w:pPr>
      <w:numPr>
        <w:ilvl w:val="2"/>
        <w:numId w:val="84"/>
      </w:numPr>
      <w:spacing w:before="360" w:after="240"/>
      <w:outlineLvl w:val="2"/>
    </w:pPr>
    <w:rPr>
      <w:b/>
    </w:rPr>
  </w:style>
  <w:style w:type="paragraph" w:customStyle="1" w:styleId="45">
    <w:name w:val="ГОСТ_Заголовок_4"/>
    <w:basedOn w:val="ab"/>
    <w:next w:val="ab"/>
    <w:rsid w:val="00D90944"/>
    <w:pPr>
      <w:numPr>
        <w:ilvl w:val="3"/>
        <w:numId w:val="84"/>
      </w:numPr>
      <w:spacing w:before="360" w:after="240"/>
      <w:outlineLvl w:val="3"/>
    </w:pPr>
    <w:rPr>
      <w:b/>
    </w:rPr>
  </w:style>
  <w:style w:type="numbering" w:customStyle="1" w:styleId="ArticleSection7">
    <w:name w:val="Article / Section7"/>
    <w:rsid w:val="00D90944"/>
    <w:pPr>
      <w:numPr>
        <w:numId w:val="84"/>
      </w:numPr>
    </w:pPr>
  </w:style>
  <w:style w:type="character" w:customStyle="1" w:styleId="ASFKNameTable0">
    <w:name w:val="_ASFK_Name_Table Знак Знак"/>
    <w:link w:val="ASFKNameTable"/>
    <w:locked/>
    <w:rsid w:val="00D90944"/>
    <w:rPr>
      <w:rFonts w:ascii="Times New Roman" w:eastAsia="Times New Roman" w:hAnsi="Times New Roman" w:cs="Times New Roman"/>
      <w:b/>
      <w:sz w:val="24"/>
      <w:szCs w:val="20"/>
      <w:lang w:eastAsia="ru-RU"/>
    </w:rPr>
  </w:style>
  <w:style w:type="paragraph" w:customStyle="1" w:styleId="afffffff5">
    <w:name w:val="Абзац нумерация"/>
    <w:basedOn w:val="ab"/>
    <w:qFormat/>
    <w:rsid w:val="00D90944"/>
    <w:pPr>
      <w:spacing w:before="60" w:after="60" w:line="300" w:lineRule="auto"/>
      <w:ind w:firstLine="720"/>
      <w:contextualSpacing/>
    </w:pPr>
    <w:rPr>
      <w:lang w:eastAsia="en-US"/>
    </w:rPr>
  </w:style>
  <w:style w:type="paragraph" w:customStyle="1" w:styleId="GOSTNormalWithout">
    <w:name w:val="_GOST_Normal_Without"/>
    <w:basedOn w:val="GOSTNormal"/>
    <w:next w:val="GOSTNormal"/>
    <w:rsid w:val="00D90944"/>
    <w:pPr>
      <w:keepNext/>
    </w:pPr>
  </w:style>
  <w:style w:type="character" w:customStyle="1" w:styleId="GOSTSymItalic">
    <w:name w:val="_GOST_Sym_Italic"/>
    <w:rsid w:val="00D90944"/>
    <w:rPr>
      <w:i/>
    </w:rPr>
  </w:style>
  <w:style w:type="paragraph" w:customStyle="1" w:styleId="ASFKNormal">
    <w:name w:val="_ASFK_Normal"/>
    <w:link w:val="ASFKNormal0"/>
    <w:rsid w:val="008F708E"/>
    <w:pPr>
      <w:spacing w:before="120" w:after="60" w:line="240" w:lineRule="auto"/>
      <w:ind w:firstLine="567"/>
      <w:contextualSpacing/>
    </w:pPr>
    <w:rPr>
      <w:rFonts w:ascii="Times New Roman" w:eastAsia="Times New Roman" w:hAnsi="Times New Roman" w:cs="Times New Roman"/>
      <w:sz w:val="24"/>
      <w:szCs w:val="20"/>
      <w:lang w:eastAsia="ru-RU"/>
    </w:rPr>
  </w:style>
  <w:style w:type="character" w:customStyle="1" w:styleId="ASFKNormal0">
    <w:name w:val="_ASFK_Normal Знак"/>
    <w:link w:val="ASFKNormal"/>
    <w:rsid w:val="008F708E"/>
    <w:rPr>
      <w:rFonts w:ascii="Times New Roman" w:eastAsia="Times New Roman" w:hAnsi="Times New Roman" w:cs="Times New Roman"/>
      <w:sz w:val="24"/>
      <w:szCs w:val="20"/>
      <w:lang w:eastAsia="ru-RU"/>
    </w:rPr>
  </w:style>
  <w:style w:type="paragraph" w:customStyle="1" w:styleId="1">
    <w:name w:val="Маркир. 1"/>
    <w:basedOn w:val="ab"/>
    <w:link w:val="1f7"/>
    <w:unhideWhenUsed/>
    <w:qFormat/>
    <w:rsid w:val="008F708E"/>
    <w:pPr>
      <w:numPr>
        <w:numId w:val="117"/>
      </w:numPr>
      <w:tabs>
        <w:tab w:val="left" w:pos="170"/>
      </w:tabs>
      <w:spacing w:before="120" w:after="120"/>
      <w:ind w:right="57"/>
      <w:contextualSpacing/>
    </w:pPr>
    <w:rPr>
      <w:snapToGrid/>
      <w:color w:val="auto"/>
      <w:sz w:val="28"/>
      <w:lang w:val="x-none" w:eastAsia="x-none"/>
    </w:rPr>
  </w:style>
  <w:style w:type="character" w:customStyle="1" w:styleId="1f7">
    <w:name w:val="Маркир. 1 Знак"/>
    <w:link w:val="1"/>
    <w:locked/>
    <w:rsid w:val="008F708E"/>
    <w:rPr>
      <w:rFonts w:ascii="Times New Roman" w:eastAsia="Times New Roman" w:hAnsi="Times New Roman" w:cs="Times New Roman"/>
      <w:sz w:val="28"/>
      <w:szCs w:val="20"/>
      <w:lang w:val="x-none" w:eastAsia="x-none"/>
    </w:rPr>
  </w:style>
  <w:style w:type="character" w:customStyle="1" w:styleId="UnresolvedMention">
    <w:name w:val="Unresolved Mention"/>
    <w:basedOn w:val="ad"/>
    <w:uiPriority w:val="99"/>
    <w:semiHidden/>
    <w:unhideWhenUsed/>
    <w:rsid w:val="008F708E"/>
    <w:rPr>
      <w:color w:val="605E5C"/>
      <w:shd w:val="clear" w:color="auto" w:fill="E1DFDD"/>
    </w:rPr>
  </w:style>
  <w:style w:type="paragraph" w:customStyle="1" w:styleId="1f8">
    <w:name w:val="Заголовки без нумирации 1"/>
    <w:basedOn w:val="af6"/>
    <w:qFormat/>
    <w:rsid w:val="000F161A"/>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Bullet 2"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b">
    <w:name w:val="Normal"/>
    <w:qFormat/>
    <w:rsid w:val="00991B9F"/>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4">
    <w:name w:val="heading 1"/>
    <w:aliases w:val="Document Header1,1,h1,H1,app heading 1,ITT t1,II+,I,H11,H12,H13,H14,H15,H16,H17,H18,...,Заголов,Çàãîëîâ,ch,Глава,(раздел),Section 1.0,Part,Heading for Top Section,H111,H121,H131,H141,H151,H161,H171,H19,H112,H122,H132,H142,H152,H162,H172,H181"/>
    <w:basedOn w:val="ab"/>
    <w:next w:val="2c"/>
    <w:link w:val="18"/>
    <w:qFormat/>
    <w:rsid w:val="00991B9F"/>
    <w:pPr>
      <w:keepNext/>
      <w:numPr>
        <w:numId w:val="4"/>
      </w:numPr>
      <w:suppressAutoHyphens/>
      <w:spacing w:before="360" w:after="120"/>
      <w:jc w:val="left"/>
      <w:outlineLvl w:val="0"/>
    </w:pPr>
    <w:rPr>
      <w:rFonts w:ascii="Arial" w:hAnsi="Arial"/>
      <w:b/>
      <w:bCs/>
      <w:sz w:val="36"/>
    </w:rPr>
  </w:style>
  <w:style w:type="paragraph" w:styleId="26">
    <w:name w:val="heading 2"/>
    <w:aliases w:val="H2,h2,2,Heading 2 Hidden,CHS,H2-Heading 2,l2,Header2,22,heading2,li...,Section 1.1,Main Heading,Bold 14,L2,list2,A,A.B.C.,list 2,Heading2,Heading Indent No L2,UNDERRUBRIK 1-2,Fonctionnalité,Titre 21,t2.T2,Table2,ITT t2,H2-Heading 21,Header 2"/>
    <w:basedOn w:val="ab"/>
    <w:next w:val="3a"/>
    <w:link w:val="2d"/>
    <w:qFormat/>
    <w:rsid w:val="00991B9F"/>
    <w:pPr>
      <w:keepNext/>
      <w:numPr>
        <w:ilvl w:val="1"/>
        <w:numId w:val="4"/>
      </w:numPr>
      <w:spacing w:before="360" w:after="120"/>
      <w:outlineLvl w:val="1"/>
    </w:pPr>
    <w:rPr>
      <w:rFonts w:ascii="Arial" w:hAnsi="Arial"/>
      <w:b/>
      <w:bCs/>
      <w:sz w:val="32"/>
    </w:rPr>
  </w:style>
  <w:style w:type="paragraph" w:styleId="35">
    <w:name w:val="heading 3"/>
    <w:aliases w:val="h3,Head 3,l3+toc 3,CT,Sub-section Title,l3,Heading 3 Char,H3,3,H31,H32,H33,H34,H35,H311,H36,H37,H312,H38,H39,H313,H310,H314,H315,H316,H317,H321,H331,H341,H351,H3111,H361,H371,H3121,H381,H391,H3131,H3101,H3141,H3151,H3161,H318,H319,Minor,h:3"/>
    <w:basedOn w:val="ab"/>
    <w:next w:val="46"/>
    <w:link w:val="3b"/>
    <w:qFormat/>
    <w:rsid w:val="00991B9F"/>
    <w:pPr>
      <w:keepNext/>
      <w:numPr>
        <w:ilvl w:val="2"/>
        <w:numId w:val="4"/>
      </w:numPr>
      <w:spacing w:before="360" w:after="120"/>
      <w:outlineLvl w:val="2"/>
    </w:pPr>
    <w:rPr>
      <w:rFonts w:ascii="Arial" w:hAnsi="Arial"/>
      <w:b/>
      <w:bCs/>
      <w:sz w:val="28"/>
    </w:rPr>
  </w:style>
  <w:style w:type="paragraph" w:styleId="42">
    <w:name w:val="heading 4"/>
    <w:aliases w:val="h4,First Subheading,4,I4,l4,heading4,I41,41,l41,heading41,(Shift Ctrl 4),Titre 41,t4.T4,4heading,a.,4 dash,d,4 dash1,d1,31,h41,a.1,4 dash2,d2,32,h42,a.2,4 dash3,d3,33,h43,a.3,4 dash4,d4,34,h44,a.4,Sub sub heading,4 dash5,d5,35,h45,a.5,H4,h:4"/>
    <w:basedOn w:val="ab"/>
    <w:next w:val="ac"/>
    <w:link w:val="47"/>
    <w:qFormat/>
    <w:rsid w:val="00991B9F"/>
    <w:pPr>
      <w:numPr>
        <w:ilvl w:val="3"/>
        <w:numId w:val="4"/>
      </w:numPr>
      <w:spacing w:before="360" w:after="120"/>
      <w:outlineLvl w:val="3"/>
    </w:pPr>
    <w:rPr>
      <w:rFonts w:ascii="Arial" w:hAnsi="Arial"/>
      <w:sz w:val="28"/>
    </w:rPr>
  </w:style>
  <w:style w:type="paragraph" w:styleId="53">
    <w:name w:val="heading 5"/>
    <w:aliases w:val="Заг 2,H5,PIM 5,5,ITT t5,PA Pico Section,Bold/Italics,Roman list,h5,Roman list1,Roman list2,Roman list11,Roman list3,Roman list12,Roman list21,Roman list111,_EB_5,Gliederung5,heading 5,_EB_Заголовок 5,Заголовок oglavlenie,_Подпункт,HT,sb"/>
    <w:basedOn w:val="ab"/>
    <w:next w:val="ab"/>
    <w:link w:val="54"/>
    <w:qFormat/>
    <w:rsid w:val="00991B9F"/>
    <w:pPr>
      <w:spacing w:before="240" w:after="60" w:line="360" w:lineRule="auto"/>
      <w:jc w:val="left"/>
      <w:outlineLvl w:val="4"/>
    </w:pPr>
    <w:rPr>
      <w:rFonts w:ascii="Arial" w:hAnsi="Arial"/>
      <w:snapToGrid/>
      <w:color w:val="auto"/>
      <w:sz w:val="22"/>
      <w:lang w:eastAsia="en-US"/>
    </w:rPr>
  </w:style>
  <w:style w:type="paragraph" w:styleId="60">
    <w:name w:val="heading 6"/>
    <w:basedOn w:val="ab"/>
    <w:next w:val="ab"/>
    <w:link w:val="61"/>
    <w:rsid w:val="00991B9F"/>
    <w:pPr>
      <w:spacing w:before="240" w:after="60" w:line="360" w:lineRule="auto"/>
      <w:jc w:val="left"/>
      <w:outlineLvl w:val="5"/>
    </w:pPr>
    <w:rPr>
      <w:rFonts w:ascii="Arial" w:hAnsi="Arial"/>
      <w:i/>
      <w:snapToGrid/>
      <w:color w:val="auto"/>
      <w:sz w:val="22"/>
      <w:lang w:eastAsia="en-US"/>
    </w:rPr>
  </w:style>
  <w:style w:type="paragraph" w:styleId="7">
    <w:name w:val="heading 7"/>
    <w:basedOn w:val="ab"/>
    <w:next w:val="ab"/>
    <w:link w:val="70"/>
    <w:rsid w:val="00991B9F"/>
    <w:pPr>
      <w:keepNext/>
      <w:spacing w:line="360" w:lineRule="auto"/>
      <w:jc w:val="left"/>
      <w:outlineLvl w:val="6"/>
    </w:pPr>
    <w:rPr>
      <w:rFonts w:ascii="Arial" w:hAnsi="Arial"/>
      <w:i/>
      <w:snapToGrid/>
      <w:color w:val="auto"/>
      <w:sz w:val="22"/>
      <w:lang w:val="en-US" w:eastAsia="en-US"/>
    </w:rPr>
  </w:style>
  <w:style w:type="paragraph" w:styleId="80">
    <w:name w:val="heading 8"/>
    <w:basedOn w:val="ab"/>
    <w:next w:val="ab"/>
    <w:link w:val="81"/>
    <w:uiPriority w:val="9"/>
    <w:unhideWhenUsed/>
    <w:qFormat/>
    <w:rsid w:val="006E482F"/>
    <w:pPr>
      <w:spacing w:before="240" w:after="60"/>
      <w:outlineLvl w:val="7"/>
    </w:pPr>
    <w:rPr>
      <w:rFonts w:ascii="Calibri" w:hAnsi="Calibri"/>
      <w:i/>
      <w:iCs/>
      <w:szCs w:val="24"/>
    </w:rPr>
  </w:style>
  <w:style w:type="paragraph" w:styleId="9">
    <w:name w:val="heading 9"/>
    <w:aliases w:val="ненумерованный"/>
    <w:basedOn w:val="ab"/>
    <w:next w:val="ab"/>
    <w:link w:val="90"/>
    <w:uiPriority w:val="9"/>
    <w:unhideWhenUsed/>
    <w:qFormat/>
    <w:rsid w:val="006E482F"/>
    <w:pPr>
      <w:spacing w:before="240" w:after="60"/>
      <w:outlineLvl w:val="8"/>
    </w:pPr>
    <w:rPr>
      <w:rFonts w:ascii="Calibri Light" w:hAnsi="Calibri Light"/>
      <w:sz w:val="22"/>
      <w:szCs w:val="22"/>
    </w:rPr>
  </w:style>
  <w:style w:type="character" w:default="1" w:styleId="ad">
    <w:name w:val="Default Paragraph Font"/>
    <w:uiPriority w:val="1"/>
    <w:semiHidden/>
    <w:unhideWhenUsed/>
    <w:rsid w:val="00991B9F"/>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991B9F"/>
  </w:style>
  <w:style w:type="character" w:customStyle="1" w:styleId="18">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4"/>
    <w:rsid w:val="00991B9F"/>
    <w:rPr>
      <w:rFonts w:ascii="Arial" w:eastAsia="Times New Roman" w:hAnsi="Arial" w:cs="Times New Roman"/>
      <w:b/>
      <w:bCs/>
      <w:snapToGrid w:val="0"/>
      <w:color w:val="000000"/>
      <w:sz w:val="36"/>
      <w:szCs w:val="20"/>
      <w:lang w:eastAsia="ru-RU"/>
    </w:rPr>
  </w:style>
  <w:style w:type="character" w:customStyle="1" w:styleId="2d">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6"/>
    <w:rsid w:val="00991B9F"/>
    <w:rPr>
      <w:rFonts w:ascii="Arial" w:eastAsia="Times New Roman" w:hAnsi="Arial" w:cs="Times New Roman"/>
      <w:b/>
      <w:bCs/>
      <w:snapToGrid w:val="0"/>
      <w:color w:val="000000"/>
      <w:sz w:val="32"/>
      <w:szCs w:val="20"/>
      <w:lang w:eastAsia="ru-RU"/>
    </w:rPr>
  </w:style>
  <w:style w:type="character" w:customStyle="1" w:styleId="3b">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5"/>
    <w:rsid w:val="00991B9F"/>
    <w:rPr>
      <w:rFonts w:ascii="Arial" w:eastAsia="Times New Roman" w:hAnsi="Arial" w:cs="Times New Roman"/>
      <w:b/>
      <w:bCs/>
      <w:snapToGrid w:val="0"/>
      <w:color w:val="000000"/>
      <w:sz w:val="28"/>
      <w:szCs w:val="20"/>
      <w:lang w:eastAsia="ru-RU"/>
    </w:rPr>
  </w:style>
  <w:style w:type="character" w:customStyle="1" w:styleId="47">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2"/>
    <w:rsid w:val="00991B9F"/>
    <w:rPr>
      <w:rFonts w:ascii="Arial" w:eastAsia="Times New Roman" w:hAnsi="Arial" w:cs="Times New Roman"/>
      <w:snapToGrid w:val="0"/>
      <w:color w:val="000000"/>
      <w:sz w:val="28"/>
      <w:szCs w:val="20"/>
      <w:lang w:eastAsia="ru-RU"/>
    </w:rPr>
  </w:style>
  <w:style w:type="character" w:customStyle="1" w:styleId="54">
    <w:name w:val="Заголовок 5 Знак"/>
    <w:aliases w:val="Заг 2 Знак,H5 Знак,PIM 5 Знак,5 Знак,ITT t5 Знак,PA Pico Section Знак,Bold/Italics Знак,Roman list Знак,h5 Знак,Roman list1 Знак,Roman list2 Знак,Roman list11 Знак,Roman list3 Знак,Roman list12 Знак,Roman list21 Знак,Roman list111 Знак"/>
    <w:basedOn w:val="ad"/>
    <w:link w:val="53"/>
    <w:rsid w:val="00DD4405"/>
    <w:rPr>
      <w:rFonts w:ascii="Arial" w:eastAsia="Times New Roman" w:hAnsi="Arial" w:cs="Times New Roman"/>
      <w:szCs w:val="20"/>
    </w:rPr>
  </w:style>
  <w:style w:type="character" w:customStyle="1" w:styleId="61">
    <w:name w:val="Заголовок 6 Знак"/>
    <w:link w:val="60"/>
    <w:rsid w:val="00991B9F"/>
    <w:rPr>
      <w:rFonts w:ascii="Arial" w:eastAsia="Times New Roman" w:hAnsi="Arial" w:cs="Times New Roman"/>
      <w:i/>
      <w:szCs w:val="20"/>
    </w:rPr>
  </w:style>
  <w:style w:type="character" w:customStyle="1" w:styleId="70">
    <w:name w:val="Заголовок 7 Знак"/>
    <w:basedOn w:val="ad"/>
    <w:link w:val="7"/>
    <w:rsid w:val="00D55811"/>
    <w:rPr>
      <w:rFonts w:ascii="Arial" w:eastAsia="Times New Roman" w:hAnsi="Arial" w:cs="Times New Roman"/>
      <w:i/>
      <w:szCs w:val="20"/>
      <w:lang w:val="en-US"/>
    </w:rPr>
  </w:style>
  <w:style w:type="character" w:customStyle="1" w:styleId="81">
    <w:name w:val="Заголовок 8 Знак"/>
    <w:link w:val="80"/>
    <w:uiPriority w:val="9"/>
    <w:rsid w:val="006E482F"/>
    <w:rPr>
      <w:rFonts w:ascii="Calibri" w:eastAsia="Times New Roman" w:hAnsi="Calibri" w:cs="Times New Roman"/>
      <w:i/>
      <w:iCs/>
      <w:snapToGrid w:val="0"/>
      <w:color w:val="000000"/>
      <w:sz w:val="24"/>
      <w:szCs w:val="24"/>
      <w:lang w:eastAsia="ru-RU"/>
    </w:rPr>
  </w:style>
  <w:style w:type="character" w:customStyle="1" w:styleId="90">
    <w:name w:val="Заголовок 9 Знак"/>
    <w:aliases w:val="ненумерованный Знак"/>
    <w:link w:val="9"/>
    <w:uiPriority w:val="9"/>
    <w:rsid w:val="006E482F"/>
    <w:rPr>
      <w:rFonts w:ascii="Calibri Light" w:eastAsia="Times New Roman" w:hAnsi="Calibri Light" w:cs="Times New Roman"/>
      <w:snapToGrid w:val="0"/>
      <w:color w:val="000000"/>
      <w:lang w:eastAsia="ru-RU"/>
    </w:rPr>
  </w:style>
  <w:style w:type="paragraph" w:styleId="af0">
    <w:name w:val="Body Text"/>
    <w:aliases w:val="body text,Заг1,contents,Corps de texte,bt,body tesx,t,RFQ Text,RFQ,body text1,body text2,bt1,body text3,bt2,body text4,bt3,body text5,bt4,body text6,bt5,body text7,bt6,body text8,bt7,body text11,body text21,bt11,body text31,bt21,ändrad,EH"/>
    <w:basedOn w:val="ab"/>
    <w:link w:val="af1"/>
    <w:rsid w:val="00991B9F"/>
    <w:pPr>
      <w:ind w:firstLine="567"/>
    </w:pPr>
    <w:rPr>
      <w:sz w:val="28"/>
    </w:rPr>
  </w:style>
  <w:style w:type="character" w:customStyle="1" w:styleId="af1">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ink w:val="af0"/>
    <w:rsid w:val="00991B9F"/>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b"/>
    <w:qFormat/>
    <w:rsid w:val="00991B9F"/>
    <w:pPr>
      <w:keepNext/>
      <w:spacing w:before="120"/>
      <w:jc w:val="left"/>
    </w:pPr>
    <w:rPr>
      <w:color w:val="auto"/>
      <w:sz w:val="28"/>
    </w:rPr>
  </w:style>
  <w:style w:type="paragraph" w:customStyle="1" w:styleId="2c">
    <w:name w:val="Пункт 2 уровня"/>
    <w:basedOn w:val="26"/>
    <w:link w:val="2e"/>
    <w:rsid w:val="00991B9F"/>
    <w:pPr>
      <w:keepNext w:val="0"/>
      <w:spacing w:before="120"/>
    </w:pPr>
    <w:rPr>
      <w:rFonts w:ascii="Times New Roman" w:hAnsi="Times New Roman"/>
      <w:b w:val="0"/>
      <w:sz w:val="28"/>
    </w:rPr>
  </w:style>
  <w:style w:type="paragraph" w:customStyle="1" w:styleId="3a">
    <w:name w:val="Пункт 3 уровня"/>
    <w:basedOn w:val="35"/>
    <w:link w:val="3c"/>
    <w:rsid w:val="00991B9F"/>
    <w:pPr>
      <w:keepNext w:val="0"/>
      <w:spacing w:before="120"/>
    </w:pPr>
    <w:rPr>
      <w:rFonts w:ascii="Times New Roman" w:hAnsi="Times New Roman"/>
      <w:b w:val="0"/>
    </w:rPr>
  </w:style>
  <w:style w:type="character" w:customStyle="1" w:styleId="3c">
    <w:name w:val="Пункт 3 уровня Знак"/>
    <w:link w:val="3a"/>
    <w:rsid w:val="00991B9F"/>
    <w:rPr>
      <w:rFonts w:ascii="Times New Roman" w:eastAsia="Times New Roman" w:hAnsi="Times New Roman" w:cs="Times New Roman"/>
      <w:bCs/>
      <w:snapToGrid w:val="0"/>
      <w:color w:val="000000"/>
      <w:sz w:val="28"/>
      <w:szCs w:val="20"/>
      <w:lang w:eastAsia="ru-RU"/>
    </w:rPr>
  </w:style>
  <w:style w:type="paragraph" w:customStyle="1" w:styleId="46">
    <w:name w:val="Пункт 4 уровня"/>
    <w:basedOn w:val="42"/>
    <w:link w:val="48"/>
    <w:rsid w:val="00991B9F"/>
    <w:pPr>
      <w:spacing w:before="120"/>
    </w:pPr>
    <w:rPr>
      <w:rFonts w:ascii="Times New Roman" w:hAnsi="Times New Roman"/>
    </w:rPr>
  </w:style>
  <w:style w:type="character" w:customStyle="1" w:styleId="48">
    <w:name w:val="Пункт 4 уровня Знак"/>
    <w:basedOn w:val="47"/>
    <w:link w:val="46"/>
    <w:rsid w:val="00991B9F"/>
    <w:rPr>
      <w:rFonts w:ascii="Times New Roman" w:eastAsia="Times New Roman" w:hAnsi="Times New Roman" w:cs="Times New Roman"/>
      <w:snapToGrid w:val="0"/>
      <w:color w:val="000000"/>
      <w:sz w:val="28"/>
      <w:szCs w:val="20"/>
      <w:lang w:eastAsia="ru-RU"/>
    </w:rPr>
  </w:style>
  <w:style w:type="character" w:styleId="af2">
    <w:name w:val="FollowedHyperlink"/>
    <w:rsid w:val="00991B9F"/>
    <w:rPr>
      <w:color w:val="800080"/>
      <w:u w:val="single"/>
    </w:rPr>
  </w:style>
  <w:style w:type="paragraph" w:styleId="af3">
    <w:name w:val="header"/>
    <w:basedOn w:val="ab"/>
    <w:link w:val="af4"/>
    <w:rsid w:val="00991B9F"/>
  </w:style>
  <w:style w:type="character" w:customStyle="1" w:styleId="af4">
    <w:name w:val="Верхний колонтитул Знак"/>
    <w:basedOn w:val="ad"/>
    <w:link w:val="af3"/>
    <w:rsid w:val="00D55811"/>
    <w:rPr>
      <w:rFonts w:ascii="Times New Roman" w:eastAsia="Times New Roman" w:hAnsi="Times New Roman" w:cs="Times New Roman"/>
      <w:snapToGrid w:val="0"/>
      <w:color w:val="000000"/>
      <w:sz w:val="24"/>
      <w:szCs w:val="20"/>
      <w:lang w:eastAsia="ru-RU"/>
    </w:rPr>
  </w:style>
  <w:style w:type="character" w:styleId="af5">
    <w:name w:val="Hyperlink"/>
    <w:uiPriority w:val="99"/>
    <w:rsid w:val="00991B9F"/>
    <w:rPr>
      <w:color w:val="0000FF"/>
      <w:u w:val="single"/>
    </w:rPr>
  </w:style>
  <w:style w:type="paragraph" w:customStyle="1" w:styleId="af6">
    <w:name w:val="Заголовки без нумерации"/>
    <w:basedOn w:val="14"/>
    <w:next w:val="af0"/>
    <w:rsid w:val="00991B9F"/>
    <w:pPr>
      <w:numPr>
        <w:numId w:val="0"/>
      </w:numPr>
    </w:pPr>
  </w:style>
  <w:style w:type="paragraph" w:styleId="af7">
    <w:name w:val="footer"/>
    <w:aliases w:val="Не удалять!"/>
    <w:link w:val="af8"/>
    <w:rsid w:val="00991B9F"/>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8">
    <w:name w:val="Нижний колонтитул Знак"/>
    <w:aliases w:val="Не удалять! Знак"/>
    <w:link w:val="af7"/>
    <w:rsid w:val="00991B9F"/>
    <w:rPr>
      <w:rFonts w:ascii="Arial" w:eastAsia="Times New Roman" w:hAnsi="Arial" w:cs="Times New Roman"/>
      <w:i/>
      <w:sz w:val="16"/>
      <w:szCs w:val="20"/>
      <w:lang w:val="en-US" w:eastAsia="ru-RU"/>
    </w:rPr>
  </w:style>
  <w:style w:type="character" w:styleId="af9">
    <w:name w:val="page number"/>
    <w:rsid w:val="00991B9F"/>
    <w:rPr>
      <w:iCs/>
      <w:sz w:val="28"/>
    </w:rPr>
  </w:style>
  <w:style w:type="paragraph" w:styleId="49">
    <w:name w:val="toc 4"/>
    <w:basedOn w:val="ab"/>
    <w:next w:val="ab"/>
    <w:autoRedefine/>
    <w:uiPriority w:val="39"/>
    <w:rsid w:val="00991B9F"/>
    <w:pPr>
      <w:ind w:left="720"/>
    </w:pPr>
  </w:style>
  <w:style w:type="paragraph" w:customStyle="1" w:styleId="10-">
    <w:name w:val="Таблица (10) - осн. текст"/>
    <w:basedOn w:val="ab"/>
    <w:rsid w:val="00991B9F"/>
    <w:pPr>
      <w:spacing w:after="60"/>
      <w:ind w:firstLine="5"/>
      <w:jc w:val="left"/>
    </w:pPr>
    <w:rPr>
      <w:rFonts w:ascii="Arial" w:hAnsi="Arial"/>
      <w:sz w:val="20"/>
    </w:rPr>
  </w:style>
  <w:style w:type="paragraph" w:customStyle="1" w:styleId="10-1">
    <w:name w:val="Таблица (10) - список нум. 1"/>
    <w:basedOn w:val="10-"/>
    <w:rsid w:val="00991B9F"/>
    <w:pPr>
      <w:ind w:left="227" w:hanging="227"/>
    </w:pPr>
    <w:rPr>
      <w:rFonts w:cs="Arial"/>
    </w:rPr>
  </w:style>
  <w:style w:type="paragraph" w:styleId="19">
    <w:name w:val="toc 1"/>
    <w:basedOn w:val="ab"/>
    <w:next w:val="ab"/>
    <w:uiPriority w:val="39"/>
    <w:rsid w:val="00991B9F"/>
    <w:pPr>
      <w:tabs>
        <w:tab w:val="right" w:leader="dot" w:pos="9923"/>
      </w:tabs>
      <w:spacing w:before="120" w:after="120"/>
      <w:jc w:val="left"/>
    </w:pPr>
    <w:rPr>
      <w:rFonts w:ascii="Arial" w:hAnsi="Arial"/>
      <w:b/>
      <w:noProof/>
      <w:snapToGrid/>
      <w:color w:val="auto"/>
      <w:sz w:val="28"/>
      <w:lang w:eastAsia="en-US"/>
    </w:rPr>
  </w:style>
  <w:style w:type="paragraph" w:styleId="2f">
    <w:name w:val="toc 2"/>
    <w:basedOn w:val="ab"/>
    <w:next w:val="ab"/>
    <w:uiPriority w:val="39"/>
    <w:rsid w:val="00991B9F"/>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d">
    <w:name w:val="toc 3"/>
    <w:basedOn w:val="ab"/>
    <w:next w:val="ab"/>
    <w:uiPriority w:val="39"/>
    <w:rsid w:val="00991B9F"/>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a">
    <w:name w:val="Текст примечания Знак"/>
    <w:aliases w:val="12 пт Знак"/>
    <w:link w:val="afb"/>
    <w:rsid w:val="00991B9F"/>
    <w:rPr>
      <w:color w:val="000000"/>
    </w:rPr>
  </w:style>
  <w:style w:type="paragraph" w:styleId="afb">
    <w:name w:val="annotation text"/>
    <w:aliases w:val="12 пт"/>
    <w:basedOn w:val="ab"/>
    <w:link w:val="afa"/>
    <w:rsid w:val="00991B9F"/>
    <w:rPr>
      <w:rFonts w:asciiTheme="minorHAnsi" w:eastAsiaTheme="minorHAnsi" w:hAnsiTheme="minorHAnsi" w:cstheme="minorBidi"/>
      <w:snapToGrid/>
      <w:sz w:val="22"/>
      <w:szCs w:val="22"/>
      <w:lang w:eastAsia="en-US"/>
    </w:rPr>
  </w:style>
  <w:style w:type="character" w:customStyle="1" w:styleId="1a">
    <w:name w:val="Текст примечания Знак1"/>
    <w:basedOn w:val="ad"/>
    <w:uiPriority w:val="99"/>
    <w:semiHidden/>
    <w:rsid w:val="00D55811"/>
    <w:rPr>
      <w:rFonts w:ascii="Times New Roman" w:eastAsia="Times New Roman" w:hAnsi="Times New Roman" w:cs="Times New Roman"/>
      <w:snapToGrid w:val="0"/>
      <w:color w:val="000000"/>
      <w:sz w:val="20"/>
      <w:szCs w:val="20"/>
      <w:lang w:eastAsia="ru-RU"/>
    </w:rPr>
  </w:style>
  <w:style w:type="paragraph" w:customStyle="1" w:styleId="13">
    <w:name w:val="Список маркированный уровень 1"/>
    <w:basedOn w:val="ab"/>
    <w:link w:val="1b"/>
    <w:autoRedefine/>
    <w:rsid w:val="00991B9F"/>
    <w:pPr>
      <w:keepLines/>
      <w:numPr>
        <w:numId w:val="1"/>
      </w:numPr>
      <w:tabs>
        <w:tab w:val="clear" w:pos="284"/>
      </w:tabs>
      <w:spacing w:before="120" w:after="120"/>
      <w:ind w:left="992" w:hanging="425"/>
    </w:pPr>
    <w:rPr>
      <w:color w:val="auto"/>
      <w:sz w:val="28"/>
    </w:rPr>
  </w:style>
  <w:style w:type="paragraph" w:customStyle="1" w:styleId="29">
    <w:name w:val="Список маркированный уровень 2"/>
    <w:basedOn w:val="ab"/>
    <w:rsid w:val="00991B9F"/>
    <w:pPr>
      <w:numPr>
        <w:numId w:val="2"/>
      </w:numPr>
      <w:tabs>
        <w:tab w:val="clear" w:pos="567"/>
        <w:tab w:val="left" w:pos="-2127"/>
      </w:tabs>
      <w:spacing w:before="120" w:after="120"/>
      <w:ind w:left="1276" w:hanging="284"/>
    </w:pPr>
    <w:rPr>
      <w:color w:val="auto"/>
      <w:sz w:val="28"/>
    </w:rPr>
  </w:style>
  <w:style w:type="paragraph" w:styleId="afc">
    <w:name w:val="Normal (Web)"/>
    <w:aliases w:val="Обычный (веб) Знак Знак Знак,Обычный (Web) Знак Знак Знак Знак,Обычный (Web) Знак Знак Знак,Обычный (веб) Знак Знак"/>
    <w:basedOn w:val="ab"/>
    <w:uiPriority w:val="99"/>
    <w:rsid w:val="00991B9F"/>
    <w:rPr>
      <w:szCs w:val="24"/>
    </w:rPr>
  </w:style>
  <w:style w:type="paragraph" w:customStyle="1" w:styleId="afd">
    <w:name w:val="Список нумерованный"/>
    <w:basedOn w:val="ab"/>
    <w:next w:val="ab"/>
    <w:rsid w:val="00991B9F"/>
    <w:pPr>
      <w:spacing w:before="120" w:after="120"/>
      <w:ind w:left="992" w:hanging="425"/>
    </w:pPr>
    <w:rPr>
      <w:sz w:val="28"/>
    </w:rPr>
  </w:style>
  <w:style w:type="paragraph" w:customStyle="1" w:styleId="10-10">
    <w:name w:val="Таблица (10) - сп.марк.ур.1"/>
    <w:basedOn w:val="10-"/>
    <w:rsid w:val="00991B9F"/>
    <w:pPr>
      <w:tabs>
        <w:tab w:val="num" w:pos="171"/>
      </w:tabs>
      <w:ind w:left="170" w:hanging="170"/>
    </w:pPr>
  </w:style>
  <w:style w:type="paragraph" w:styleId="afe">
    <w:name w:val="footnote text"/>
    <w:basedOn w:val="ab"/>
    <w:link w:val="aff"/>
    <w:rsid w:val="00991B9F"/>
    <w:rPr>
      <w:rFonts w:ascii="Arial" w:hAnsi="Arial"/>
      <w:sz w:val="20"/>
    </w:rPr>
  </w:style>
  <w:style w:type="character" w:customStyle="1" w:styleId="aff">
    <w:name w:val="Текст сноски Знак"/>
    <w:basedOn w:val="ad"/>
    <w:link w:val="afe"/>
    <w:rsid w:val="00D55811"/>
    <w:rPr>
      <w:rFonts w:ascii="Arial" w:eastAsia="Times New Roman" w:hAnsi="Arial" w:cs="Times New Roman"/>
      <w:snapToGrid w:val="0"/>
      <w:color w:val="000000"/>
      <w:sz w:val="20"/>
      <w:szCs w:val="20"/>
      <w:lang w:eastAsia="ru-RU"/>
    </w:rPr>
  </w:style>
  <w:style w:type="character" w:styleId="aff0">
    <w:name w:val="footnote reference"/>
    <w:rsid w:val="00991B9F"/>
    <w:rPr>
      <w:vertAlign w:val="superscript"/>
    </w:rPr>
  </w:style>
  <w:style w:type="paragraph" w:customStyle="1" w:styleId="10-2">
    <w:name w:val="Таблица (10) - сп.марк.ур.2"/>
    <w:basedOn w:val="10-"/>
    <w:rsid w:val="00991B9F"/>
    <w:pPr>
      <w:numPr>
        <w:numId w:val="3"/>
      </w:numPr>
    </w:pPr>
    <w:rPr>
      <w:rFonts w:ascii="Times New Roman" w:hAnsi="Times New Roman"/>
      <w:sz w:val="24"/>
    </w:rPr>
  </w:style>
  <w:style w:type="paragraph" w:customStyle="1" w:styleId="aff1">
    <w:name w:val="Заголовок приложения"/>
    <w:basedOn w:val="14"/>
    <w:next w:val="ab"/>
    <w:rsid w:val="00991B9F"/>
    <w:pPr>
      <w:numPr>
        <w:numId w:val="0"/>
      </w:numPr>
      <w:spacing w:before="0"/>
      <w:jc w:val="right"/>
    </w:pPr>
  </w:style>
  <w:style w:type="paragraph" w:styleId="55">
    <w:name w:val="toc 5"/>
    <w:basedOn w:val="ab"/>
    <w:next w:val="ab"/>
    <w:autoRedefine/>
    <w:uiPriority w:val="39"/>
    <w:rsid w:val="00991B9F"/>
    <w:pPr>
      <w:ind w:left="960"/>
    </w:pPr>
  </w:style>
  <w:style w:type="paragraph" w:styleId="62">
    <w:name w:val="toc 6"/>
    <w:basedOn w:val="ab"/>
    <w:next w:val="ab"/>
    <w:autoRedefine/>
    <w:uiPriority w:val="39"/>
    <w:rsid w:val="00991B9F"/>
    <w:pPr>
      <w:ind w:left="1200"/>
    </w:pPr>
  </w:style>
  <w:style w:type="paragraph" w:styleId="71">
    <w:name w:val="toc 7"/>
    <w:basedOn w:val="ab"/>
    <w:next w:val="ab"/>
    <w:autoRedefine/>
    <w:uiPriority w:val="39"/>
    <w:rsid w:val="00991B9F"/>
    <w:pPr>
      <w:ind w:left="1440"/>
    </w:pPr>
  </w:style>
  <w:style w:type="paragraph" w:styleId="82">
    <w:name w:val="toc 8"/>
    <w:basedOn w:val="ab"/>
    <w:next w:val="ab"/>
    <w:autoRedefine/>
    <w:uiPriority w:val="39"/>
    <w:rsid w:val="00991B9F"/>
    <w:pPr>
      <w:ind w:left="1680"/>
    </w:pPr>
  </w:style>
  <w:style w:type="paragraph" w:styleId="91">
    <w:name w:val="toc 9"/>
    <w:basedOn w:val="ab"/>
    <w:next w:val="ab"/>
    <w:autoRedefine/>
    <w:uiPriority w:val="39"/>
    <w:rsid w:val="00991B9F"/>
    <w:pPr>
      <w:ind w:left="1920"/>
    </w:pPr>
  </w:style>
  <w:style w:type="character" w:styleId="aff2">
    <w:name w:val="annotation reference"/>
    <w:uiPriority w:val="99"/>
    <w:rsid w:val="00991B9F"/>
    <w:rPr>
      <w:sz w:val="16"/>
      <w:szCs w:val="16"/>
    </w:rPr>
  </w:style>
  <w:style w:type="paragraph" w:customStyle="1" w:styleId="aff3">
    <w:name w:val="Основной текст (центр/одинарный)"/>
    <w:basedOn w:val="af0"/>
    <w:link w:val="aff4"/>
    <w:rsid w:val="00991B9F"/>
    <w:pPr>
      <w:spacing w:before="120" w:after="120"/>
      <w:ind w:firstLine="0"/>
      <w:jc w:val="center"/>
    </w:pPr>
  </w:style>
  <w:style w:type="character" w:customStyle="1" w:styleId="aff4">
    <w:name w:val="Основной текст (центр/одинарный) Знак"/>
    <w:link w:val="aff3"/>
    <w:rsid w:val="00991B9F"/>
    <w:rPr>
      <w:rFonts w:ascii="Times New Roman" w:eastAsia="Times New Roman" w:hAnsi="Times New Roman" w:cs="Times New Roman"/>
      <w:snapToGrid w:val="0"/>
      <w:color w:val="000000"/>
      <w:sz w:val="28"/>
      <w:szCs w:val="20"/>
      <w:lang w:eastAsia="ru-RU"/>
    </w:rPr>
  </w:style>
  <w:style w:type="paragraph" w:customStyle="1" w:styleId="3e">
    <w:name w:val="Список маркированный уровень 3"/>
    <w:basedOn w:val="ab"/>
    <w:rsid w:val="00991B9F"/>
    <w:pPr>
      <w:ind w:left="1701" w:hanging="397"/>
    </w:pPr>
    <w:rPr>
      <w:sz w:val="28"/>
    </w:rPr>
  </w:style>
  <w:style w:type="paragraph" w:styleId="aff5">
    <w:name w:val="Document Map"/>
    <w:basedOn w:val="ab"/>
    <w:link w:val="aff6"/>
    <w:rsid w:val="00991B9F"/>
    <w:pPr>
      <w:shd w:val="clear" w:color="auto" w:fill="000080"/>
    </w:pPr>
    <w:rPr>
      <w:rFonts w:ascii="Tahoma" w:hAnsi="Tahoma" w:cs="Tahoma"/>
    </w:rPr>
  </w:style>
  <w:style w:type="character" w:customStyle="1" w:styleId="aff6">
    <w:name w:val="Схема документа Знак"/>
    <w:basedOn w:val="ad"/>
    <w:link w:val="aff5"/>
    <w:rsid w:val="00D55811"/>
    <w:rPr>
      <w:rFonts w:ascii="Tahoma" w:eastAsia="Times New Roman" w:hAnsi="Tahoma" w:cs="Tahoma"/>
      <w:snapToGrid w:val="0"/>
      <w:color w:val="000000"/>
      <w:sz w:val="24"/>
      <w:szCs w:val="20"/>
      <w:shd w:val="clear" w:color="auto" w:fill="000080"/>
      <w:lang w:eastAsia="ru-RU"/>
    </w:rPr>
  </w:style>
  <w:style w:type="paragraph" w:customStyle="1" w:styleId="ac">
    <w:name w:val="Основной текст (без отступа)"/>
    <w:basedOn w:val="af0"/>
    <w:rsid w:val="00991B9F"/>
    <w:pPr>
      <w:spacing w:before="120" w:after="120"/>
      <w:ind w:firstLine="0"/>
    </w:pPr>
  </w:style>
  <w:style w:type="paragraph" w:styleId="aff7">
    <w:name w:val="table of figures"/>
    <w:basedOn w:val="af0"/>
    <w:next w:val="ab"/>
    <w:uiPriority w:val="99"/>
    <w:rsid w:val="00991B9F"/>
    <w:pPr>
      <w:tabs>
        <w:tab w:val="right" w:leader="dot" w:pos="9911"/>
      </w:tabs>
      <w:spacing w:before="120" w:after="120"/>
      <w:ind w:left="709" w:hanging="709"/>
      <w:jc w:val="left"/>
    </w:pPr>
    <w:rPr>
      <w:noProof/>
    </w:rPr>
  </w:style>
  <w:style w:type="paragraph" w:customStyle="1" w:styleId="-0">
    <w:name w:val="Рисунок - наименование"/>
    <w:basedOn w:val="ab"/>
    <w:rsid w:val="00991B9F"/>
    <w:pPr>
      <w:spacing w:before="120" w:after="120"/>
      <w:jc w:val="center"/>
    </w:pPr>
    <w:rPr>
      <w:bCs/>
      <w:sz w:val="28"/>
    </w:rPr>
  </w:style>
  <w:style w:type="paragraph" w:customStyle="1" w:styleId="8-">
    <w:name w:val="Таблица (8) - осн. текст"/>
    <w:basedOn w:val="ab"/>
    <w:rsid w:val="00991B9F"/>
    <w:pPr>
      <w:ind w:left="57" w:right="57"/>
      <w:jc w:val="left"/>
    </w:pPr>
    <w:rPr>
      <w:rFonts w:ascii="Arial" w:hAnsi="Arial" w:cs="Arial"/>
      <w:sz w:val="16"/>
    </w:rPr>
  </w:style>
  <w:style w:type="paragraph" w:styleId="aff8">
    <w:name w:val="Balloon Text"/>
    <w:basedOn w:val="ab"/>
    <w:link w:val="aff9"/>
    <w:rsid w:val="00991B9F"/>
    <w:rPr>
      <w:rFonts w:ascii="Tahoma" w:hAnsi="Tahoma" w:cs="Tahoma"/>
      <w:sz w:val="16"/>
      <w:szCs w:val="16"/>
    </w:rPr>
  </w:style>
  <w:style w:type="character" w:customStyle="1" w:styleId="aff9">
    <w:name w:val="Текст выноски Знак"/>
    <w:basedOn w:val="ad"/>
    <w:link w:val="aff8"/>
    <w:rsid w:val="00D5581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991B9F"/>
    <w:pPr>
      <w:spacing w:after="0" w:line="240" w:lineRule="auto"/>
    </w:pPr>
    <w:rPr>
      <w:rFonts w:ascii="Times New Roman" w:eastAsia="Times New Roman" w:hAnsi="Times New Roman" w:cs="Times New Roman"/>
      <w:sz w:val="28"/>
      <w:szCs w:val="20"/>
      <w:lang w:eastAsia="ru-RU"/>
    </w:rPr>
  </w:style>
  <w:style w:type="paragraph" w:customStyle="1" w:styleId="affa">
    <w:name w:val="Список общий (ручная нумерация)"/>
    <w:basedOn w:val="af0"/>
    <w:next w:val="ab"/>
    <w:rsid w:val="00991B9F"/>
    <w:pPr>
      <w:spacing w:before="120" w:after="120"/>
      <w:ind w:left="851" w:hanging="284"/>
    </w:pPr>
  </w:style>
  <w:style w:type="paragraph" w:styleId="affb">
    <w:name w:val="annotation subject"/>
    <w:basedOn w:val="afb"/>
    <w:next w:val="afb"/>
    <w:link w:val="affc"/>
    <w:rsid w:val="00991B9F"/>
    <w:rPr>
      <w:b/>
      <w:bCs/>
    </w:rPr>
  </w:style>
  <w:style w:type="character" w:customStyle="1" w:styleId="affc">
    <w:name w:val="Тема примечания Знак"/>
    <w:basedOn w:val="1a"/>
    <w:link w:val="affb"/>
    <w:rsid w:val="00D55811"/>
    <w:rPr>
      <w:rFonts w:ascii="Times New Roman" w:eastAsia="Times New Roman" w:hAnsi="Times New Roman" w:cs="Times New Roman"/>
      <w:b/>
      <w:bCs/>
      <w:snapToGrid/>
      <w:color w:val="000000"/>
      <w:sz w:val="20"/>
      <w:szCs w:val="20"/>
      <w:lang w:eastAsia="ru-RU"/>
    </w:rPr>
  </w:style>
  <w:style w:type="paragraph" w:customStyle="1" w:styleId="affd">
    <w:name w:val="Нумерация"/>
    <w:basedOn w:val="ab"/>
    <w:autoRedefine/>
    <w:rsid w:val="00991B9F"/>
    <w:pPr>
      <w:tabs>
        <w:tab w:val="num" w:pos="927"/>
        <w:tab w:val="left" w:pos="1134"/>
      </w:tabs>
      <w:spacing w:line="500" w:lineRule="exact"/>
      <w:ind w:left="924" w:hanging="357"/>
      <w:jc w:val="left"/>
    </w:pPr>
    <w:rPr>
      <w:rFonts w:ascii="Arial" w:hAnsi="Arial"/>
      <w:snapToGrid/>
      <w:color w:val="auto"/>
    </w:rPr>
  </w:style>
  <w:style w:type="paragraph" w:customStyle="1" w:styleId="3f">
    <w:name w:val="Пункт 3 уровня без нумерации"/>
    <w:basedOn w:val="3a"/>
    <w:rsid w:val="00991B9F"/>
    <w:pPr>
      <w:numPr>
        <w:ilvl w:val="0"/>
        <w:numId w:val="0"/>
      </w:numPr>
      <w:ind w:firstLine="567"/>
    </w:pPr>
  </w:style>
  <w:style w:type="paragraph" w:styleId="1c">
    <w:name w:val="index 1"/>
    <w:basedOn w:val="ab"/>
    <w:next w:val="ab"/>
    <w:autoRedefine/>
    <w:rsid w:val="00991B9F"/>
    <w:pPr>
      <w:ind w:left="240" w:hanging="240"/>
    </w:pPr>
  </w:style>
  <w:style w:type="table" w:styleId="affe">
    <w:name w:val="Table Grid"/>
    <w:basedOn w:val="ae"/>
    <w:uiPriority w:val="39"/>
    <w:rsid w:val="00991B9F"/>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Титльный лист - заголовок документа"/>
    <w:basedOn w:val="ab"/>
    <w:rsid w:val="00991B9F"/>
    <w:pPr>
      <w:jc w:val="center"/>
    </w:pPr>
    <w:rPr>
      <w:rFonts w:ascii="Arial" w:hAnsi="Arial"/>
      <w:b/>
      <w:sz w:val="36"/>
    </w:rPr>
  </w:style>
  <w:style w:type="paragraph" w:customStyle="1" w:styleId="-4">
    <w:name w:val="Титульный лист - название документа"/>
    <w:basedOn w:val="-3"/>
    <w:link w:val="-5"/>
    <w:rsid w:val="00991B9F"/>
    <w:rPr>
      <w:b w:val="0"/>
    </w:rPr>
  </w:style>
  <w:style w:type="paragraph" w:styleId="afff">
    <w:name w:val="endnote text"/>
    <w:basedOn w:val="ab"/>
    <w:link w:val="afff0"/>
    <w:rsid w:val="00991B9F"/>
    <w:rPr>
      <w:sz w:val="20"/>
    </w:rPr>
  </w:style>
  <w:style w:type="character" w:customStyle="1" w:styleId="afff0">
    <w:name w:val="Текст концевой сноски Знак"/>
    <w:link w:val="afff"/>
    <w:rsid w:val="00991B9F"/>
    <w:rPr>
      <w:rFonts w:ascii="Times New Roman" w:eastAsia="Times New Roman" w:hAnsi="Times New Roman" w:cs="Times New Roman"/>
      <w:snapToGrid w:val="0"/>
      <w:color w:val="000000"/>
      <w:sz w:val="20"/>
      <w:szCs w:val="20"/>
      <w:lang w:eastAsia="ru-RU"/>
    </w:rPr>
  </w:style>
  <w:style w:type="character" w:styleId="afff1">
    <w:name w:val="endnote reference"/>
    <w:rsid w:val="00991B9F"/>
    <w:rPr>
      <w:vertAlign w:val="superscript"/>
    </w:rPr>
  </w:style>
  <w:style w:type="character" w:customStyle="1" w:styleId="-5">
    <w:name w:val="Титульный лист - название документа Знак"/>
    <w:link w:val="-4"/>
    <w:rsid w:val="00991B9F"/>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c"/>
    <w:qFormat/>
    <w:rsid w:val="00991B9F"/>
    <w:pPr>
      <w:spacing w:before="60" w:after="60"/>
      <w:jc w:val="left"/>
    </w:pPr>
    <w:rPr>
      <w:rFonts w:ascii="Arial" w:hAnsi="Arial" w:cs="Arial"/>
      <w:b/>
    </w:rPr>
  </w:style>
  <w:style w:type="paragraph" w:customStyle="1" w:styleId="12-0">
    <w:name w:val="Таблица (12) - осн. текст"/>
    <w:basedOn w:val="ac"/>
    <w:qFormat/>
    <w:rsid w:val="00991B9F"/>
    <w:pPr>
      <w:spacing w:before="60" w:after="60"/>
      <w:jc w:val="left"/>
    </w:pPr>
    <w:rPr>
      <w:sz w:val="24"/>
    </w:rPr>
  </w:style>
  <w:style w:type="table" w:customStyle="1" w:styleId="120">
    <w:name w:val="Таблица (12)"/>
    <w:basedOn w:val="ae"/>
    <w:rsid w:val="00991B9F"/>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2">
    <w:name w:val="Table Elegant"/>
    <w:basedOn w:val="ae"/>
    <w:rsid w:val="00991B9F"/>
    <w:pPr>
      <w:spacing w:after="0" w:line="240" w:lineRule="auto"/>
      <w:jc w:val="both"/>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e"/>
    <w:rsid w:val="00991B9F"/>
    <w:pPr>
      <w:spacing w:after="0" w:line="240" w:lineRule="auto"/>
      <w:jc w:val="both"/>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d">
    <w:name w:val="Светлый список1"/>
    <w:basedOn w:val="ae"/>
    <w:uiPriority w:val="61"/>
    <w:locked/>
    <w:rsid w:val="00991B9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3">
    <w:name w:val="Выделение жирным шрифтом"/>
    <w:qFormat/>
    <w:rsid w:val="00991B9F"/>
    <w:rPr>
      <w:b/>
    </w:rPr>
  </w:style>
  <w:style w:type="character" w:customStyle="1" w:styleId="afff4">
    <w:name w:val="Выделение курсивом"/>
    <w:qFormat/>
    <w:rsid w:val="00991B9F"/>
    <w:rPr>
      <w:i/>
    </w:rPr>
  </w:style>
  <w:style w:type="character" w:customStyle="1" w:styleId="afff5">
    <w:name w:val="Выделение подчеркиванием"/>
    <w:qFormat/>
    <w:rsid w:val="00991B9F"/>
    <w:rPr>
      <w:u w:val="single"/>
    </w:rPr>
  </w:style>
  <w:style w:type="paragraph" w:styleId="afff6">
    <w:name w:val="List Paragraph"/>
    <w:aliases w:val="FooterText,numbered,Paragraphe de liste1,Bulletr List Paragraph,lp1,Абзац маркированнный,Bullet Number,Нумерованый список,МаркированныйЕПБС,Абзац списка5,Bullet 1,Use Case List Paragraph,Абзац списка литеральный,Bullet List,Рис-монограф"/>
    <w:basedOn w:val="ab"/>
    <w:link w:val="afff7"/>
    <w:uiPriority w:val="34"/>
    <w:qFormat/>
    <w:rsid w:val="00991B9F"/>
    <w:pPr>
      <w:ind w:left="708"/>
    </w:pPr>
    <w:rPr>
      <w:sz w:val="28"/>
    </w:rPr>
  </w:style>
  <w:style w:type="paragraph" w:styleId="afff8">
    <w:name w:val="caption"/>
    <w:aliases w:val="Название объекта Знак,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ак,Ви6,&quot;Таблица N&quot;,Рисунок название сти"/>
    <w:basedOn w:val="ab"/>
    <w:next w:val="ab"/>
    <w:link w:val="1e"/>
    <w:rsid w:val="00991B9F"/>
    <w:rPr>
      <w:bCs/>
      <w:sz w:val="28"/>
    </w:rPr>
  </w:style>
  <w:style w:type="character" w:customStyle="1" w:styleId="1f">
    <w:name w:val="я_Технический стиль 1 Знак"/>
    <w:link w:val="1f0"/>
    <w:rsid w:val="00991B9F"/>
    <w:rPr>
      <w:rFonts w:ascii="Arial" w:hAnsi="Arial" w:cs="Arial"/>
      <w:b/>
      <w:bCs/>
      <w:color w:val="000000"/>
      <w:sz w:val="24"/>
      <w:szCs w:val="24"/>
    </w:rPr>
  </w:style>
  <w:style w:type="paragraph" w:customStyle="1" w:styleId="1f0">
    <w:name w:val="я_Технический стиль 1"/>
    <w:basedOn w:val="ab"/>
    <w:link w:val="1f"/>
    <w:qFormat/>
    <w:rsid w:val="00991B9F"/>
    <w:pPr>
      <w:pBdr>
        <w:bottom w:val="single" w:sz="12" w:space="1" w:color="auto"/>
      </w:pBdr>
      <w:suppressAutoHyphens/>
      <w:ind w:left="142" w:right="140"/>
      <w:jc w:val="center"/>
    </w:pPr>
    <w:rPr>
      <w:rFonts w:ascii="Arial" w:eastAsiaTheme="minorHAnsi" w:hAnsi="Arial" w:cs="Arial"/>
      <w:b/>
      <w:bCs/>
      <w:snapToGrid/>
      <w:szCs w:val="24"/>
      <w:lang w:eastAsia="en-US"/>
    </w:rPr>
  </w:style>
  <w:style w:type="paragraph" w:customStyle="1" w:styleId="2f0">
    <w:name w:val="я_Технический стиль 2"/>
    <w:basedOn w:val="-1"/>
    <w:link w:val="2f1"/>
    <w:qFormat/>
    <w:rsid w:val="00991B9F"/>
    <w:pPr>
      <w:suppressAutoHyphens/>
    </w:pPr>
    <w:rPr>
      <w:rFonts w:cs="Arial"/>
      <w:u w:val="single"/>
    </w:rPr>
  </w:style>
  <w:style w:type="paragraph" w:customStyle="1" w:styleId="3f0">
    <w:name w:val="я_Технический стиль 3"/>
    <w:basedOn w:val="-1"/>
    <w:link w:val="3f1"/>
    <w:qFormat/>
    <w:rsid w:val="00991B9F"/>
    <w:rPr>
      <w:rFonts w:ascii="Arial" w:hAnsi="Arial" w:cs="Arial"/>
      <w:b/>
    </w:rPr>
  </w:style>
  <w:style w:type="character" w:customStyle="1" w:styleId="-2">
    <w:name w:val="Титульный лист - текст Знак"/>
    <w:link w:val="-1"/>
    <w:rsid w:val="00991B9F"/>
    <w:rPr>
      <w:rFonts w:ascii="Times New Roman" w:eastAsia="Times New Roman" w:hAnsi="Times New Roman" w:cs="Times New Roman"/>
      <w:sz w:val="28"/>
      <w:szCs w:val="20"/>
      <w:lang w:eastAsia="ru-RU"/>
    </w:rPr>
  </w:style>
  <w:style w:type="character" w:customStyle="1" w:styleId="2f1">
    <w:name w:val="я_Технический стиль 2 Знак"/>
    <w:link w:val="2f0"/>
    <w:rsid w:val="00991B9F"/>
    <w:rPr>
      <w:rFonts w:ascii="Times New Roman" w:eastAsia="Times New Roman" w:hAnsi="Times New Roman" w:cs="Arial"/>
      <w:sz w:val="28"/>
      <w:szCs w:val="20"/>
      <w:u w:val="single"/>
      <w:lang w:eastAsia="ru-RU"/>
    </w:rPr>
  </w:style>
  <w:style w:type="character" w:customStyle="1" w:styleId="3f1">
    <w:name w:val="я_Технический стиль 3 Знак"/>
    <w:link w:val="3f0"/>
    <w:rsid w:val="00991B9F"/>
    <w:rPr>
      <w:rFonts w:ascii="Arial" w:eastAsia="Times New Roman" w:hAnsi="Arial" w:cs="Arial"/>
      <w:b/>
      <w:sz w:val="28"/>
      <w:szCs w:val="20"/>
      <w:lang w:eastAsia="ru-RU"/>
    </w:rPr>
  </w:style>
  <w:style w:type="character" w:customStyle="1" w:styleId="2e">
    <w:name w:val="Пункт 2 уровня Знак"/>
    <w:link w:val="2c"/>
    <w:rsid w:val="00991B9F"/>
    <w:rPr>
      <w:rFonts w:ascii="Times New Roman" w:eastAsia="Times New Roman" w:hAnsi="Times New Roman" w:cs="Times New Roman"/>
      <w:bCs/>
      <w:snapToGrid w:val="0"/>
      <w:color w:val="000000"/>
      <w:sz w:val="28"/>
      <w:szCs w:val="20"/>
      <w:lang w:eastAsia="ru-RU"/>
    </w:rPr>
  </w:style>
  <w:style w:type="character" w:customStyle="1" w:styleId="afff9">
    <w:name w:val="Выделение цветом (желтый)"/>
    <w:qFormat/>
    <w:rsid w:val="00991B9F"/>
    <w:rPr>
      <w:bdr w:val="none" w:sz="0" w:space="0" w:color="auto"/>
      <w:shd w:val="clear" w:color="auto" w:fill="FFFF00"/>
    </w:rPr>
  </w:style>
  <w:style w:type="paragraph" w:customStyle="1" w:styleId="a8">
    <w:name w:val="Список нумерованный (цифра с точкой)"/>
    <w:basedOn w:val="ab"/>
    <w:qFormat/>
    <w:rsid w:val="006E482F"/>
    <w:pPr>
      <w:numPr>
        <w:numId w:val="5"/>
      </w:numPr>
      <w:spacing w:before="120" w:after="120"/>
    </w:pPr>
    <w:rPr>
      <w:sz w:val="28"/>
      <w:szCs w:val="28"/>
    </w:rPr>
  </w:style>
  <w:style w:type="character" w:customStyle="1" w:styleId="afffa">
    <w:name w:val="Выделение надстрочными символами"/>
    <w:qFormat/>
    <w:rsid w:val="006E482F"/>
    <w:rPr>
      <w:vertAlign w:val="superscript"/>
    </w:rPr>
  </w:style>
  <w:style w:type="paragraph" w:customStyle="1" w:styleId="afffb">
    <w:name w:val="я_технический стиль &quot;перечень&quot;"/>
    <w:basedOn w:val="ab"/>
    <w:qFormat/>
    <w:rsid w:val="006E482F"/>
    <w:pPr>
      <w:tabs>
        <w:tab w:val="right" w:leader="dot" w:pos="9627"/>
      </w:tabs>
      <w:spacing w:before="60" w:after="60"/>
    </w:pPr>
    <w:rPr>
      <w:noProof/>
      <w:sz w:val="28"/>
    </w:rPr>
  </w:style>
  <w:style w:type="paragraph" w:customStyle="1" w:styleId="TableText">
    <w:name w:val="TableText"/>
    <w:basedOn w:val="ab"/>
    <w:rsid w:val="00991B9F"/>
    <w:pPr>
      <w:keepLines/>
      <w:spacing w:line="288" w:lineRule="auto"/>
      <w:ind w:firstLine="567"/>
    </w:pPr>
    <w:rPr>
      <w:snapToGrid/>
      <w:color w:val="auto"/>
      <w:sz w:val="28"/>
    </w:rPr>
  </w:style>
  <w:style w:type="paragraph" w:customStyle="1" w:styleId="afffc">
    <w:name w:val="ЕПБС_Обычный"/>
    <w:basedOn w:val="ab"/>
    <w:link w:val="afffd"/>
    <w:qFormat/>
    <w:rsid w:val="00AF6201"/>
    <w:pPr>
      <w:tabs>
        <w:tab w:val="num" w:pos="1561"/>
      </w:tabs>
      <w:spacing w:before="120" w:after="120" w:line="360" w:lineRule="exact"/>
      <w:ind w:firstLine="357"/>
    </w:pPr>
    <w:rPr>
      <w:rFonts w:eastAsia="Calibri"/>
      <w:snapToGrid/>
      <w:color w:val="auto"/>
      <w:sz w:val="28"/>
      <w:szCs w:val="24"/>
    </w:rPr>
  </w:style>
  <w:style w:type="character" w:customStyle="1" w:styleId="afffd">
    <w:name w:val="ЕПБС_Обычный Знак"/>
    <w:link w:val="afffc"/>
    <w:rsid w:val="00AF6201"/>
    <w:rPr>
      <w:rFonts w:ascii="Times New Roman" w:eastAsia="Calibri" w:hAnsi="Times New Roman" w:cs="Times New Roman"/>
      <w:sz w:val="28"/>
      <w:szCs w:val="24"/>
    </w:rPr>
  </w:style>
  <w:style w:type="paragraph" w:customStyle="1" w:styleId="afffe">
    <w:name w:val="ЕПБС_Рисунок"/>
    <w:basedOn w:val="ab"/>
    <w:qFormat/>
    <w:rsid w:val="000B7FBD"/>
    <w:pPr>
      <w:keepNext/>
      <w:spacing w:before="120" w:after="120"/>
      <w:jc w:val="center"/>
    </w:pPr>
    <w:rPr>
      <w:snapToGrid/>
      <w:color w:val="auto"/>
      <w:szCs w:val="24"/>
    </w:rPr>
  </w:style>
  <w:style w:type="paragraph" w:customStyle="1" w:styleId="affff">
    <w:name w:val="ЕПБС_Рисунок_Название"/>
    <w:basedOn w:val="afff8"/>
    <w:autoRedefine/>
    <w:qFormat/>
    <w:rsid w:val="000B7FBD"/>
    <w:pPr>
      <w:spacing w:line="360" w:lineRule="exact"/>
      <w:jc w:val="center"/>
    </w:pPr>
    <w:rPr>
      <w:bCs w:val="0"/>
      <w:szCs w:val="28"/>
    </w:rPr>
  </w:style>
  <w:style w:type="paragraph" w:customStyle="1" w:styleId="aa">
    <w:name w:val="ЕПБС_Список"/>
    <w:basedOn w:val="ab"/>
    <w:qFormat/>
    <w:rsid w:val="000B7FBD"/>
    <w:pPr>
      <w:numPr>
        <w:numId w:val="6"/>
      </w:numPr>
      <w:tabs>
        <w:tab w:val="left" w:pos="737"/>
      </w:tabs>
      <w:spacing w:before="120" w:after="120" w:line="360" w:lineRule="exact"/>
      <w:contextualSpacing/>
    </w:pPr>
    <w:rPr>
      <w:snapToGrid/>
      <w:color w:val="auto"/>
      <w:sz w:val="28"/>
      <w:szCs w:val="28"/>
    </w:rPr>
  </w:style>
  <w:style w:type="character" w:customStyle="1" w:styleId="afff7">
    <w:name w:val="Абзац списка Знак"/>
    <w:aliases w:val="FooterText Знак,numbered Знак,Paragraphe de liste1 Знак,Bulletr List Paragraph Знак,lp1 Знак,Абзац маркированнный Знак,Bullet Number Знак,Нумерованый список Знак,МаркированныйЕПБС Знак,Абзац списка5 Знак,Bullet 1 Знак,Bullet List Знак"/>
    <w:link w:val="afff6"/>
    <w:uiPriority w:val="34"/>
    <w:qFormat/>
    <w:rsid w:val="00971D88"/>
    <w:rPr>
      <w:rFonts w:ascii="Times New Roman" w:eastAsia="Times New Roman" w:hAnsi="Times New Roman" w:cs="Times New Roman"/>
      <w:snapToGrid w:val="0"/>
      <w:color w:val="000000"/>
      <w:sz w:val="28"/>
      <w:szCs w:val="20"/>
      <w:lang w:eastAsia="ru-RU"/>
    </w:rPr>
  </w:style>
  <w:style w:type="character" w:customStyle="1" w:styleId="xw4">
    <w:name w:val="xw4"/>
    <w:rsid w:val="00082337"/>
  </w:style>
  <w:style w:type="character" w:customStyle="1" w:styleId="xj9">
    <w:name w:val="xj9"/>
    <w:rsid w:val="00340C40"/>
  </w:style>
  <w:style w:type="table" w:customStyle="1" w:styleId="2f2">
    <w:name w:val="Светлый список2"/>
    <w:basedOn w:val="ae"/>
    <w:uiPriority w:val="61"/>
    <w:locked/>
    <w:rsid w:val="002403FA"/>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link w:val="EBTablenorm0"/>
    <w:rsid w:val="002403FA"/>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TableNormal">
    <w:name w:val="TableNormal"/>
    <w:basedOn w:val="ab"/>
    <w:rsid w:val="002403FA"/>
    <w:pPr>
      <w:keepLines/>
    </w:pPr>
    <w:rPr>
      <w:snapToGrid/>
      <w:color w:val="auto"/>
      <w:spacing w:val="-5"/>
      <w:sz w:val="28"/>
      <w:lang w:eastAsia="en-US"/>
    </w:rPr>
  </w:style>
  <w:style w:type="paragraph" w:styleId="affff0">
    <w:name w:val="TOC Heading"/>
    <w:basedOn w:val="14"/>
    <w:next w:val="ab"/>
    <w:uiPriority w:val="39"/>
    <w:unhideWhenUsed/>
    <w:qFormat/>
    <w:rsid w:val="002403FA"/>
    <w:pPr>
      <w:keepLines/>
      <w:numPr>
        <w:numId w:val="0"/>
      </w:numPr>
      <w:suppressAutoHyphens w:val="0"/>
      <w:spacing w:before="480" w:after="0" w:line="276" w:lineRule="auto"/>
      <w:outlineLvl w:val="9"/>
    </w:pPr>
    <w:rPr>
      <w:rFonts w:ascii="Cambria" w:hAnsi="Cambria"/>
      <w:snapToGrid/>
      <w:color w:val="365F91"/>
      <w:sz w:val="28"/>
      <w:szCs w:val="28"/>
    </w:rPr>
  </w:style>
  <w:style w:type="paragraph" w:customStyle="1" w:styleId="OTRHeader">
    <w:name w:val="OTR_Header"/>
    <w:semiHidden/>
    <w:rsid w:val="002403FA"/>
    <w:pPr>
      <w:spacing w:after="0" w:line="240" w:lineRule="auto"/>
      <w:ind w:left="21"/>
    </w:pPr>
    <w:rPr>
      <w:rFonts w:ascii="Arial" w:eastAsia="Times New Roman" w:hAnsi="Arial" w:cs="Arial"/>
      <w:b/>
      <w:bCs/>
      <w:sz w:val="20"/>
      <w:szCs w:val="20"/>
      <w:lang w:eastAsia="ru-RU"/>
    </w:rPr>
  </w:style>
  <w:style w:type="paragraph" w:customStyle="1" w:styleId="affff1">
    <w:name w:val="ЕПБС_Название таблицы"/>
    <w:basedOn w:val="afff8"/>
    <w:rsid w:val="002403FA"/>
    <w:pPr>
      <w:keepNext/>
      <w:spacing w:before="120" w:line="360" w:lineRule="exact"/>
      <w:ind w:firstLine="357"/>
      <w:jc w:val="right"/>
    </w:pPr>
    <w:rPr>
      <w:snapToGrid/>
      <w:color w:val="auto"/>
    </w:rPr>
  </w:style>
  <w:style w:type="paragraph" w:customStyle="1" w:styleId="25">
    <w:name w:val="ЕПБС_Список_2"/>
    <w:basedOn w:val="aa"/>
    <w:rsid w:val="002403FA"/>
    <w:pPr>
      <w:numPr>
        <w:numId w:val="7"/>
      </w:numPr>
      <w:tabs>
        <w:tab w:val="clear" w:pos="737"/>
        <w:tab w:val="left" w:pos="1134"/>
        <w:tab w:val="left" w:pos="1701"/>
      </w:tabs>
      <w:spacing w:before="0" w:after="0"/>
      <w:ind w:left="1128" w:hanging="414"/>
    </w:pPr>
  </w:style>
  <w:style w:type="paragraph" w:customStyle="1" w:styleId="affff2">
    <w:name w:val="Обычный для таблиц"/>
    <w:basedOn w:val="ab"/>
    <w:link w:val="affff3"/>
    <w:rsid w:val="002403FA"/>
    <w:rPr>
      <w:snapToGrid/>
      <w:color w:val="auto"/>
      <w:sz w:val="28"/>
      <w:szCs w:val="24"/>
    </w:rPr>
  </w:style>
  <w:style w:type="paragraph" w:customStyle="1" w:styleId="15">
    <w:name w:val="Заголовок_1"/>
    <w:basedOn w:val="ab"/>
    <w:next w:val="ab"/>
    <w:link w:val="1f1"/>
    <w:rsid w:val="002403FA"/>
    <w:pPr>
      <w:pageBreakBefore/>
      <w:numPr>
        <w:numId w:val="8"/>
      </w:numPr>
      <w:spacing w:before="120" w:after="120"/>
      <w:ind w:left="431" w:hanging="431"/>
      <w:jc w:val="left"/>
      <w:outlineLvl w:val="0"/>
    </w:pPr>
    <w:rPr>
      <w:b/>
      <w:caps/>
      <w:snapToGrid/>
      <w:color w:val="auto"/>
      <w:sz w:val="32"/>
      <w:szCs w:val="24"/>
      <w:lang w:eastAsia="en-US"/>
    </w:rPr>
  </w:style>
  <w:style w:type="paragraph" w:customStyle="1" w:styleId="28">
    <w:name w:val="Заголовок_2"/>
    <w:basedOn w:val="15"/>
    <w:next w:val="ab"/>
    <w:link w:val="2f3"/>
    <w:rsid w:val="002403FA"/>
    <w:pPr>
      <w:pageBreakBefore w:val="0"/>
      <w:numPr>
        <w:ilvl w:val="1"/>
      </w:numPr>
      <w:tabs>
        <w:tab w:val="clear" w:pos="576"/>
        <w:tab w:val="num" w:pos="1440"/>
      </w:tabs>
      <w:ind w:left="1440" w:hanging="360"/>
      <w:outlineLvl w:val="1"/>
    </w:pPr>
    <w:rPr>
      <w:caps w:val="0"/>
      <w:sz w:val="28"/>
    </w:rPr>
  </w:style>
  <w:style w:type="paragraph" w:customStyle="1" w:styleId="37">
    <w:name w:val="Заголовок_3"/>
    <w:basedOn w:val="28"/>
    <w:next w:val="ab"/>
    <w:rsid w:val="002403FA"/>
    <w:pPr>
      <w:numPr>
        <w:ilvl w:val="2"/>
      </w:numPr>
      <w:tabs>
        <w:tab w:val="clear" w:pos="720"/>
        <w:tab w:val="num" w:pos="1077"/>
        <w:tab w:val="num" w:pos="2160"/>
      </w:tabs>
      <w:ind w:left="1077" w:hanging="360"/>
      <w:outlineLvl w:val="2"/>
    </w:pPr>
  </w:style>
  <w:style w:type="character" w:customStyle="1" w:styleId="affff4">
    <w:name w:val="Обычный нумерованный Знак"/>
    <w:uiPriority w:val="99"/>
    <w:rsid w:val="002403FA"/>
    <w:rPr>
      <w:rFonts w:eastAsia="Times New Roman"/>
      <w:sz w:val="22"/>
      <w:lang w:eastAsia="en-US"/>
    </w:rPr>
  </w:style>
  <w:style w:type="character" w:styleId="affff5">
    <w:name w:val="Intense Emphasis"/>
    <w:uiPriority w:val="21"/>
    <w:rsid w:val="002403FA"/>
    <w:rPr>
      <w:b/>
      <w:bCs/>
      <w:i/>
      <w:iCs/>
      <w:color w:val="4F81BD"/>
    </w:rPr>
  </w:style>
  <w:style w:type="paragraph" w:customStyle="1" w:styleId="Web">
    <w:name w:val="Обычный (Web)"/>
    <w:basedOn w:val="ab"/>
    <w:rsid w:val="002403FA"/>
    <w:pPr>
      <w:spacing w:before="100" w:after="100"/>
      <w:ind w:firstLine="709"/>
    </w:pPr>
    <w:rPr>
      <w:snapToGrid/>
      <w:color w:val="auto"/>
      <w:sz w:val="28"/>
    </w:rPr>
  </w:style>
  <w:style w:type="paragraph" w:customStyle="1" w:styleId="OTRHeaderCenter">
    <w:name w:val="OTR_Header_Center"/>
    <w:basedOn w:val="OTRHeader"/>
    <w:semiHidden/>
    <w:rsid w:val="002403FA"/>
    <w:pPr>
      <w:jc w:val="center"/>
    </w:pPr>
  </w:style>
  <w:style w:type="paragraph" w:customStyle="1" w:styleId="OTRHeaderRight">
    <w:name w:val="OTR_Header_Right"/>
    <w:basedOn w:val="ab"/>
    <w:semiHidden/>
    <w:rsid w:val="002403FA"/>
    <w:rPr>
      <w:rFonts w:ascii="Arial" w:hAnsi="Arial"/>
      <w:b/>
      <w:snapToGrid/>
      <w:color w:val="auto"/>
      <w:sz w:val="20"/>
    </w:rPr>
  </w:style>
  <w:style w:type="paragraph" w:styleId="HTML">
    <w:name w:val="HTML Preformatted"/>
    <w:basedOn w:val="ab"/>
    <w:link w:val="HTML0"/>
    <w:rsid w:val="00240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napToGrid/>
      <w:color w:val="auto"/>
      <w:sz w:val="20"/>
    </w:rPr>
  </w:style>
  <w:style w:type="character" w:customStyle="1" w:styleId="HTML0">
    <w:name w:val="Стандартный HTML Знак"/>
    <w:basedOn w:val="ad"/>
    <w:link w:val="HTML"/>
    <w:rsid w:val="002403FA"/>
    <w:rPr>
      <w:rFonts w:ascii="Courier New" w:eastAsia="Times New Roman" w:hAnsi="Courier New" w:cs="Times New Roman"/>
      <w:sz w:val="20"/>
      <w:szCs w:val="20"/>
    </w:rPr>
  </w:style>
  <w:style w:type="paragraph" w:customStyle="1" w:styleId="OTRTableHead">
    <w:name w:val="OTR_Table_Head"/>
    <w:basedOn w:val="ab"/>
    <w:link w:val="OTRTableHead0"/>
    <w:rsid w:val="002403FA"/>
    <w:pPr>
      <w:keepNext/>
      <w:spacing w:before="60" w:after="60"/>
      <w:jc w:val="center"/>
    </w:pPr>
    <w:rPr>
      <w:b/>
      <w:snapToGrid/>
      <w:color w:val="auto"/>
    </w:rPr>
  </w:style>
  <w:style w:type="character" w:customStyle="1" w:styleId="OTRTableHead0">
    <w:name w:val="OTR_Table_Head Знак"/>
    <w:link w:val="OTRTableHead"/>
    <w:rsid w:val="002403FA"/>
    <w:rPr>
      <w:rFonts w:ascii="Times New Roman" w:eastAsia="Times New Roman" w:hAnsi="Times New Roman" w:cs="Times New Roman"/>
      <w:b/>
      <w:sz w:val="24"/>
      <w:szCs w:val="20"/>
    </w:rPr>
  </w:style>
  <w:style w:type="numbering" w:styleId="111111">
    <w:name w:val="Outline List 2"/>
    <w:basedOn w:val="af"/>
    <w:rsid w:val="002403FA"/>
    <w:pPr>
      <w:numPr>
        <w:numId w:val="9"/>
      </w:numPr>
    </w:pPr>
  </w:style>
  <w:style w:type="paragraph" w:customStyle="1" w:styleId="OTRreq3">
    <w:name w:val="OTR_req3"/>
    <w:basedOn w:val="OTRHeading3"/>
    <w:rsid w:val="002403FA"/>
    <w:pPr>
      <w:keepNext w:val="0"/>
      <w:spacing w:before="120"/>
      <w:contextualSpacing/>
      <w:outlineLvl w:val="9"/>
    </w:pPr>
    <w:rPr>
      <w:rFonts w:ascii="Times New Roman" w:hAnsi="Times New Roman" w:cs="Times New Roman"/>
      <w:b w:val="0"/>
      <w:bCs w:val="0"/>
      <w:sz w:val="24"/>
      <w:szCs w:val="24"/>
    </w:rPr>
  </w:style>
  <w:style w:type="paragraph" w:customStyle="1" w:styleId="OTRHeading5">
    <w:name w:val="OTR_Heading_5"/>
    <w:rsid w:val="002403FA"/>
    <w:pPr>
      <w:numPr>
        <w:ilvl w:val="4"/>
        <w:numId w:val="10"/>
      </w:numPr>
      <w:spacing w:after="0" w:line="240" w:lineRule="auto"/>
      <w:outlineLvl w:val="4"/>
    </w:pPr>
    <w:rPr>
      <w:rFonts w:ascii="Times New Roman" w:eastAsia="Times New Roman" w:hAnsi="Times New Roman" w:cs="Times New Roman"/>
      <w:sz w:val="24"/>
      <w:szCs w:val="20"/>
      <w:lang w:eastAsia="ru-RU"/>
    </w:rPr>
  </w:style>
  <w:style w:type="paragraph" w:customStyle="1" w:styleId="OTRHeading1">
    <w:name w:val="OTR_Heading_1"/>
    <w:next w:val="ab"/>
    <w:rsid w:val="002403FA"/>
    <w:pPr>
      <w:keepNext/>
      <w:pageBreakBefore/>
      <w:numPr>
        <w:numId w:val="10"/>
      </w:numPr>
      <w:spacing w:before="240" w:after="120" w:line="240" w:lineRule="auto"/>
      <w:jc w:val="both"/>
      <w:outlineLvl w:val="0"/>
    </w:pPr>
    <w:rPr>
      <w:rFonts w:ascii="Arial" w:eastAsia="Times New Roman" w:hAnsi="Arial" w:cs="Times New Roman"/>
      <w:b/>
      <w:kern w:val="32"/>
      <w:sz w:val="32"/>
      <w:szCs w:val="32"/>
      <w:lang w:eastAsia="ru-RU"/>
    </w:rPr>
  </w:style>
  <w:style w:type="paragraph" w:customStyle="1" w:styleId="OTRHeading4">
    <w:name w:val="OTR_Heading_4"/>
    <w:rsid w:val="002403FA"/>
    <w:pPr>
      <w:numPr>
        <w:ilvl w:val="3"/>
        <w:numId w:val="10"/>
      </w:numPr>
      <w:spacing w:before="240" w:after="240" w:line="240" w:lineRule="auto"/>
      <w:contextualSpacing/>
      <w:outlineLvl w:val="3"/>
    </w:pPr>
    <w:rPr>
      <w:rFonts w:ascii="Times New Roman" w:eastAsia="Times New Roman" w:hAnsi="Times New Roman" w:cs="Times New Roman"/>
      <w:b/>
      <w:sz w:val="24"/>
      <w:szCs w:val="24"/>
      <w:lang w:eastAsia="ru-RU"/>
    </w:rPr>
  </w:style>
  <w:style w:type="paragraph" w:customStyle="1" w:styleId="OTRHeading6">
    <w:name w:val="OTR_Heading_6"/>
    <w:rsid w:val="002403FA"/>
    <w:pPr>
      <w:numPr>
        <w:ilvl w:val="5"/>
        <w:numId w:val="10"/>
      </w:numPr>
      <w:spacing w:before="120" w:after="120" w:line="240" w:lineRule="auto"/>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2403FA"/>
    <w:pPr>
      <w:numPr>
        <w:ilvl w:val="6"/>
        <w:numId w:val="10"/>
      </w:numPr>
      <w:tabs>
        <w:tab w:val="clear" w:pos="1562"/>
        <w:tab w:val="num" w:pos="2520"/>
      </w:tabs>
      <w:spacing w:before="120" w:after="120" w:line="240" w:lineRule="auto"/>
      <w:ind w:left="2517" w:hanging="1474"/>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2403FA"/>
    <w:pPr>
      <w:numPr>
        <w:ilvl w:val="7"/>
        <w:numId w:val="10"/>
      </w:numPr>
      <w:tabs>
        <w:tab w:val="clear" w:pos="1706"/>
        <w:tab w:val="num" w:pos="3060"/>
      </w:tabs>
      <w:spacing w:before="120" w:after="120" w:line="240" w:lineRule="auto"/>
      <w:ind w:left="3056" w:hanging="1797"/>
      <w:outlineLvl w:val="7"/>
    </w:pPr>
    <w:rPr>
      <w:rFonts w:ascii="Times New Roman" w:eastAsia="Times New Roman" w:hAnsi="Times New Roman" w:cs="Times New Roman"/>
      <w:sz w:val="24"/>
      <w:szCs w:val="20"/>
      <w:lang w:eastAsia="ru-RU"/>
    </w:rPr>
  </w:style>
  <w:style w:type="paragraph" w:customStyle="1" w:styleId="OTRHeading9">
    <w:name w:val="OTR_Heading_9"/>
    <w:rsid w:val="002403FA"/>
    <w:pPr>
      <w:numPr>
        <w:ilvl w:val="8"/>
        <w:numId w:val="10"/>
      </w:numPr>
      <w:tabs>
        <w:tab w:val="clear" w:pos="1850"/>
        <w:tab w:val="num" w:pos="3240"/>
      </w:tabs>
      <w:spacing w:before="120" w:after="120" w:line="240" w:lineRule="auto"/>
      <w:ind w:left="3237" w:hanging="1797"/>
      <w:contextualSpacing/>
      <w:outlineLvl w:val="8"/>
    </w:pPr>
    <w:rPr>
      <w:rFonts w:ascii="Times New Roman" w:eastAsia="Times New Roman" w:hAnsi="Times New Roman" w:cs="Times New Roman"/>
      <w:sz w:val="24"/>
      <w:szCs w:val="20"/>
      <w:lang w:eastAsia="ru-RU"/>
    </w:rPr>
  </w:style>
  <w:style w:type="paragraph" w:customStyle="1" w:styleId="OTRHeading2">
    <w:name w:val="OTR_Heading_2"/>
    <w:next w:val="ab"/>
    <w:rsid w:val="002403FA"/>
    <w:pPr>
      <w:keepNext/>
      <w:numPr>
        <w:ilvl w:val="1"/>
        <w:numId w:val="10"/>
      </w:numPr>
      <w:spacing w:before="240" w:after="120" w:line="240" w:lineRule="auto"/>
      <w:jc w:val="both"/>
      <w:outlineLvl w:val="1"/>
    </w:pPr>
    <w:rPr>
      <w:rFonts w:ascii="Arial" w:eastAsia="Times New Roman" w:hAnsi="Arial" w:cs="Arial"/>
      <w:b/>
      <w:bCs/>
      <w:iCs/>
      <w:sz w:val="28"/>
      <w:szCs w:val="28"/>
      <w:lang w:eastAsia="ru-RU"/>
    </w:rPr>
  </w:style>
  <w:style w:type="paragraph" w:customStyle="1" w:styleId="OTRHeading3">
    <w:name w:val="OTR_Heading_3"/>
    <w:next w:val="ab"/>
    <w:rsid w:val="002403FA"/>
    <w:pPr>
      <w:keepNext/>
      <w:numPr>
        <w:ilvl w:val="2"/>
        <w:numId w:val="10"/>
      </w:numPr>
      <w:spacing w:before="240" w:after="120" w:line="240" w:lineRule="auto"/>
      <w:jc w:val="both"/>
      <w:outlineLvl w:val="2"/>
    </w:pPr>
    <w:rPr>
      <w:rFonts w:ascii="Arial" w:eastAsia="Times New Roman" w:hAnsi="Arial" w:cs="Arial"/>
      <w:b/>
      <w:bCs/>
      <w:sz w:val="26"/>
      <w:szCs w:val="26"/>
      <w:lang w:eastAsia="ru-RU"/>
    </w:rPr>
  </w:style>
  <w:style w:type="paragraph" w:customStyle="1" w:styleId="affff6">
    <w:name w:val="Таблица"/>
    <w:basedOn w:val="ab"/>
    <w:semiHidden/>
    <w:rsid w:val="002403FA"/>
    <w:pPr>
      <w:widowControl w:val="0"/>
      <w:suppressLineNumbers/>
      <w:suppressAutoHyphens/>
      <w:spacing w:before="80" w:after="40"/>
    </w:pPr>
    <w:rPr>
      <w:snapToGrid/>
      <w:color w:val="auto"/>
      <w:sz w:val="22"/>
      <w:lang w:eastAsia="en-US"/>
    </w:rPr>
  </w:style>
  <w:style w:type="character" w:customStyle="1" w:styleId="x1a">
    <w:name w:val="x1a"/>
    <w:rsid w:val="002403FA"/>
  </w:style>
  <w:style w:type="paragraph" w:customStyle="1" w:styleId="EBTableHead">
    <w:name w:val="_EB_Table_Head"/>
    <w:basedOn w:val="ab"/>
    <w:rsid w:val="002403FA"/>
    <w:pPr>
      <w:keepNext/>
      <w:suppressAutoHyphens/>
      <w:spacing w:before="60" w:after="60" w:line="360" w:lineRule="exact"/>
      <w:contextualSpacing/>
      <w:jc w:val="center"/>
    </w:pPr>
    <w:rPr>
      <w:b/>
      <w:bCs/>
      <w:snapToGrid/>
      <w:color w:val="auto"/>
      <w:sz w:val="28"/>
    </w:rPr>
  </w:style>
  <w:style w:type="paragraph" w:customStyle="1" w:styleId="Sign">
    <w:name w:val="_Sign"/>
    <w:basedOn w:val="ab"/>
    <w:next w:val="ab"/>
    <w:uiPriority w:val="99"/>
    <w:rsid w:val="002403FA"/>
    <w:pPr>
      <w:keepNext/>
      <w:spacing w:line="360" w:lineRule="exact"/>
      <w:contextualSpacing/>
      <w:jc w:val="center"/>
    </w:pPr>
    <w:rPr>
      <w:rFonts w:eastAsia="Calibri"/>
      <w:b/>
      <w:snapToGrid/>
      <w:color w:val="auto"/>
      <w:sz w:val="28"/>
      <w:szCs w:val="24"/>
    </w:rPr>
  </w:style>
  <w:style w:type="paragraph" w:customStyle="1" w:styleId="affff7">
    <w:name w:val="Обычный_табл"/>
    <w:basedOn w:val="affff8"/>
    <w:uiPriority w:val="99"/>
    <w:rsid w:val="002403FA"/>
    <w:pPr>
      <w:spacing w:before="40" w:after="40" w:line="360" w:lineRule="exact"/>
      <w:ind w:left="0"/>
      <w:jc w:val="both"/>
    </w:pPr>
    <w:rPr>
      <w:sz w:val="28"/>
      <w:szCs w:val="20"/>
    </w:rPr>
  </w:style>
  <w:style w:type="paragraph" w:styleId="affff8">
    <w:name w:val="Normal Indent"/>
    <w:basedOn w:val="ab"/>
    <w:rsid w:val="002403FA"/>
    <w:pPr>
      <w:ind w:left="708"/>
      <w:jc w:val="left"/>
    </w:pPr>
    <w:rPr>
      <w:snapToGrid/>
      <w:color w:val="auto"/>
      <w:szCs w:val="24"/>
    </w:rPr>
  </w:style>
  <w:style w:type="paragraph" w:styleId="affff9">
    <w:name w:val="Revision"/>
    <w:hidden/>
    <w:uiPriority w:val="99"/>
    <w:semiHidden/>
    <w:rsid w:val="002403FA"/>
    <w:pPr>
      <w:spacing w:after="0" w:line="240" w:lineRule="auto"/>
    </w:pPr>
    <w:rPr>
      <w:rFonts w:ascii="Times New Roman" w:eastAsia="Times New Roman" w:hAnsi="Times New Roman" w:cs="Times New Roman"/>
      <w:sz w:val="24"/>
      <w:szCs w:val="24"/>
      <w:lang w:eastAsia="ru-RU"/>
    </w:rPr>
  </w:style>
  <w:style w:type="paragraph" w:customStyle="1" w:styleId="a0">
    <w:name w:val="ЕПБС_нумерованный"/>
    <w:basedOn w:val="ab"/>
    <w:uiPriority w:val="99"/>
    <w:rsid w:val="002403FA"/>
    <w:pPr>
      <w:numPr>
        <w:numId w:val="11"/>
      </w:numPr>
      <w:tabs>
        <w:tab w:val="left" w:pos="851"/>
      </w:tabs>
      <w:spacing w:line="360" w:lineRule="exact"/>
    </w:pPr>
    <w:rPr>
      <w:snapToGrid/>
      <w:color w:val="auto"/>
      <w:sz w:val="28"/>
      <w:szCs w:val="24"/>
    </w:rPr>
  </w:style>
  <w:style w:type="paragraph" w:customStyle="1" w:styleId="NewNormal">
    <w:name w:val="_New_Normal"/>
    <w:link w:val="NewNormal0"/>
    <w:rsid w:val="002403FA"/>
    <w:pPr>
      <w:numPr>
        <w:numId w:val="12"/>
      </w:numPr>
      <w:spacing w:after="0" w:line="240" w:lineRule="auto"/>
      <w:ind w:left="414" w:hanging="357"/>
      <w:contextualSpacing/>
      <w:jc w:val="both"/>
    </w:pPr>
    <w:rPr>
      <w:rFonts w:ascii="Times New Roman" w:eastAsia="Times New Roman" w:hAnsi="Times New Roman" w:cs="Times New Roman"/>
      <w:sz w:val="28"/>
      <w:szCs w:val="20"/>
      <w:lang w:eastAsia="ru-RU"/>
    </w:rPr>
  </w:style>
  <w:style w:type="character" w:customStyle="1" w:styleId="NewNormal0">
    <w:name w:val="_New_Normal Знак"/>
    <w:link w:val="NewNormal"/>
    <w:locked/>
    <w:rsid w:val="002403FA"/>
    <w:rPr>
      <w:rFonts w:ascii="Times New Roman" w:eastAsia="Times New Roman" w:hAnsi="Times New Roman" w:cs="Times New Roman"/>
      <w:sz w:val="28"/>
      <w:szCs w:val="20"/>
      <w:lang w:eastAsia="ru-RU"/>
    </w:rPr>
  </w:style>
  <w:style w:type="paragraph" w:customStyle="1" w:styleId="affffa">
    <w:name w:val="Стиль текста документа"/>
    <w:basedOn w:val="ab"/>
    <w:link w:val="affffb"/>
    <w:rsid w:val="002403FA"/>
    <w:pPr>
      <w:ind w:firstLine="720"/>
    </w:pPr>
    <w:rPr>
      <w:snapToGrid/>
      <w:color w:val="auto"/>
      <w:sz w:val="28"/>
    </w:rPr>
  </w:style>
  <w:style w:type="character" w:customStyle="1" w:styleId="2f3">
    <w:name w:val="Заголовок_2 Знак"/>
    <w:link w:val="28"/>
    <w:locked/>
    <w:rsid w:val="002403FA"/>
    <w:rPr>
      <w:rFonts w:ascii="Times New Roman" w:eastAsia="Times New Roman" w:hAnsi="Times New Roman" w:cs="Times New Roman"/>
      <w:b/>
      <w:sz w:val="28"/>
      <w:szCs w:val="24"/>
    </w:rPr>
  </w:style>
  <w:style w:type="character" w:customStyle="1" w:styleId="affffb">
    <w:name w:val="Стиль текста документа Знак"/>
    <w:link w:val="affffa"/>
    <w:locked/>
    <w:rsid w:val="002403FA"/>
    <w:rPr>
      <w:rFonts w:ascii="Times New Roman" w:eastAsia="Times New Roman" w:hAnsi="Times New Roman" w:cs="Times New Roman"/>
      <w:sz w:val="28"/>
      <w:szCs w:val="20"/>
    </w:rPr>
  </w:style>
  <w:style w:type="paragraph" w:customStyle="1" w:styleId="TimesNewRoman14">
    <w:name w:val="Стиль Times New Roman 14 пт Междустр.интервал:  одинарный"/>
    <w:basedOn w:val="ab"/>
    <w:rsid w:val="002403FA"/>
    <w:rPr>
      <w:snapToGrid/>
      <w:color w:val="auto"/>
      <w:sz w:val="28"/>
    </w:rPr>
  </w:style>
  <w:style w:type="character" w:styleId="affffc">
    <w:name w:val="Strong"/>
    <w:uiPriority w:val="22"/>
    <w:qFormat/>
    <w:rsid w:val="002403FA"/>
    <w:rPr>
      <w:b/>
      <w:bCs/>
    </w:rPr>
  </w:style>
  <w:style w:type="paragraph" w:customStyle="1" w:styleId="affffd">
    <w:name w:val="Скрипт_Код_Выделенный"/>
    <w:basedOn w:val="ab"/>
    <w:rsid w:val="002403FA"/>
    <w:pPr>
      <w:ind w:firstLine="357"/>
      <w:jc w:val="left"/>
    </w:pPr>
    <w:rPr>
      <w:rFonts w:ascii="Courier New" w:hAnsi="Courier New" w:cs="Courier New"/>
      <w:i/>
      <w:snapToGrid/>
      <w:color w:val="0000FF"/>
      <w:szCs w:val="24"/>
    </w:rPr>
  </w:style>
  <w:style w:type="paragraph" w:customStyle="1" w:styleId="affffe">
    <w:name w:val="Скрипт_Код"/>
    <w:basedOn w:val="ab"/>
    <w:rsid w:val="002403FA"/>
    <w:pPr>
      <w:ind w:firstLine="357"/>
    </w:pPr>
    <w:rPr>
      <w:rFonts w:ascii="Courier New" w:hAnsi="Courier New" w:cs="Courier New"/>
      <w:snapToGrid/>
      <w:color w:val="auto"/>
      <w:szCs w:val="24"/>
    </w:rPr>
  </w:style>
  <w:style w:type="paragraph" w:customStyle="1" w:styleId="-6">
    <w:name w:val="Табл-заголовок"/>
    <w:basedOn w:val="ab"/>
    <w:next w:val="ab"/>
    <w:link w:val="-7"/>
    <w:rsid w:val="002403FA"/>
    <w:pPr>
      <w:spacing w:before="120" w:after="120" w:line="360" w:lineRule="exact"/>
      <w:ind w:left="28" w:right="28"/>
      <w:jc w:val="center"/>
    </w:pPr>
    <w:rPr>
      <w:b/>
      <w:snapToGrid/>
      <w:color w:val="auto"/>
      <w:sz w:val="28"/>
    </w:rPr>
  </w:style>
  <w:style w:type="character" w:customStyle="1" w:styleId="-7">
    <w:name w:val="Табл-заголовок Знак"/>
    <w:link w:val="-6"/>
    <w:locked/>
    <w:rsid w:val="002403FA"/>
    <w:rPr>
      <w:rFonts w:ascii="Times New Roman" w:eastAsia="Times New Roman" w:hAnsi="Times New Roman" w:cs="Times New Roman"/>
      <w:b/>
      <w:sz w:val="28"/>
      <w:szCs w:val="20"/>
    </w:rPr>
  </w:style>
  <w:style w:type="character" w:customStyle="1" w:styleId="NewNormal1">
    <w:name w:val="_New_Normal Знак Знак"/>
    <w:locked/>
    <w:rsid w:val="002403FA"/>
    <w:rPr>
      <w:sz w:val="22"/>
      <w:lang w:bidi="ar-SA"/>
    </w:rPr>
  </w:style>
  <w:style w:type="character" w:customStyle="1" w:styleId="1e">
    <w:name w:val="Название объекта Знак1"/>
    <w:aliases w:val="Название объекта Знак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Ви6 Знак,&quot;Таблица N&quot; Знак"/>
    <w:link w:val="afff8"/>
    <w:locked/>
    <w:rsid w:val="002403FA"/>
    <w:rPr>
      <w:rFonts w:ascii="Times New Roman" w:eastAsia="Times New Roman" w:hAnsi="Times New Roman" w:cs="Times New Roman"/>
      <w:bCs/>
      <w:snapToGrid w:val="0"/>
      <w:color w:val="000000"/>
      <w:sz w:val="28"/>
      <w:szCs w:val="20"/>
      <w:lang w:eastAsia="ru-RU"/>
    </w:rPr>
  </w:style>
  <w:style w:type="paragraph" w:customStyle="1" w:styleId="TableColumnHeading">
    <w:name w:val="Table_Column_Heading"/>
    <w:basedOn w:val="ab"/>
    <w:rsid w:val="002403FA"/>
    <w:pPr>
      <w:keepNext/>
      <w:keepLines/>
      <w:spacing w:before="120" w:after="120" w:line="360" w:lineRule="auto"/>
      <w:ind w:left="-113" w:right="113"/>
      <w:jc w:val="center"/>
    </w:pPr>
    <w:rPr>
      <w:b/>
      <w:snapToGrid/>
      <w:color w:val="auto"/>
      <w:sz w:val="20"/>
      <w:szCs w:val="24"/>
    </w:rPr>
  </w:style>
  <w:style w:type="character" w:customStyle="1" w:styleId="1f1">
    <w:name w:val="Заголовок_1 Знак"/>
    <w:link w:val="15"/>
    <w:rsid w:val="002403FA"/>
    <w:rPr>
      <w:rFonts w:ascii="Times New Roman" w:eastAsia="Times New Roman" w:hAnsi="Times New Roman" w:cs="Times New Roman"/>
      <w:b/>
      <w:caps/>
      <w:sz w:val="32"/>
      <w:szCs w:val="24"/>
    </w:rPr>
  </w:style>
  <w:style w:type="paragraph" w:customStyle="1" w:styleId="4a">
    <w:name w:val="Заголовок_4"/>
    <w:basedOn w:val="37"/>
    <w:rsid w:val="002403FA"/>
    <w:pPr>
      <w:numPr>
        <w:ilvl w:val="0"/>
        <w:numId w:val="0"/>
      </w:numPr>
      <w:tabs>
        <w:tab w:val="num" w:pos="864"/>
      </w:tabs>
      <w:spacing w:before="360" w:after="240"/>
      <w:ind w:left="864" w:hanging="864"/>
      <w:jc w:val="both"/>
      <w:outlineLvl w:val="3"/>
    </w:pPr>
    <w:rPr>
      <w:b w:val="0"/>
      <w:szCs w:val="28"/>
    </w:rPr>
  </w:style>
  <w:style w:type="paragraph" w:customStyle="1" w:styleId="51">
    <w:name w:val="Заголовок_5"/>
    <w:basedOn w:val="4a"/>
    <w:qFormat/>
    <w:rsid w:val="002403FA"/>
    <w:pPr>
      <w:numPr>
        <w:numId w:val="14"/>
      </w:numPr>
      <w:ind w:left="1287"/>
      <w:outlineLvl w:val="4"/>
    </w:pPr>
  </w:style>
  <w:style w:type="paragraph" w:customStyle="1" w:styleId="315">
    <w:name w:val="Стиль Заголовок_3 + Междустр.интервал:  15 строки"/>
    <w:basedOn w:val="37"/>
    <w:rsid w:val="002403FA"/>
    <w:pPr>
      <w:keepNext/>
      <w:numPr>
        <w:ilvl w:val="0"/>
        <w:numId w:val="0"/>
      </w:numPr>
      <w:spacing w:before="360" w:after="240" w:line="360" w:lineRule="auto"/>
      <w:ind w:left="2160" w:hanging="360"/>
    </w:pPr>
    <w:rPr>
      <w:bCs/>
      <w:szCs w:val="20"/>
    </w:rPr>
  </w:style>
  <w:style w:type="paragraph" w:customStyle="1" w:styleId="afffff">
    <w:name w:val="Обычный текст"/>
    <w:basedOn w:val="ab"/>
    <w:link w:val="afffff0"/>
    <w:qFormat/>
    <w:rsid w:val="002403FA"/>
    <w:pPr>
      <w:spacing w:before="100" w:beforeAutospacing="1" w:after="100" w:afterAutospacing="1" w:line="360" w:lineRule="auto"/>
      <w:ind w:right="-17" w:firstLine="720"/>
    </w:pPr>
    <w:rPr>
      <w:bCs/>
      <w:snapToGrid/>
      <w:color w:val="auto"/>
      <w:sz w:val="28"/>
      <w:szCs w:val="28"/>
    </w:rPr>
  </w:style>
  <w:style w:type="character" w:customStyle="1" w:styleId="afffff0">
    <w:name w:val="Обычный текст Знак"/>
    <w:link w:val="afffff"/>
    <w:locked/>
    <w:rsid w:val="002403FA"/>
    <w:rPr>
      <w:rFonts w:ascii="Times New Roman" w:eastAsia="Times New Roman" w:hAnsi="Times New Roman" w:cs="Times New Roman"/>
      <w:bCs/>
      <w:sz w:val="28"/>
      <w:szCs w:val="28"/>
    </w:rPr>
  </w:style>
  <w:style w:type="paragraph" w:customStyle="1" w:styleId="a5">
    <w:name w:val="Обычный_марк"/>
    <w:basedOn w:val="ab"/>
    <w:rsid w:val="002403FA"/>
    <w:pPr>
      <w:numPr>
        <w:numId w:val="13"/>
      </w:numPr>
      <w:tabs>
        <w:tab w:val="left" w:pos="284"/>
        <w:tab w:val="left" w:pos="1134"/>
      </w:tabs>
      <w:spacing w:line="360" w:lineRule="exact"/>
      <w:ind w:left="0" w:firstLine="709"/>
    </w:pPr>
    <w:rPr>
      <w:snapToGrid/>
      <w:color w:val="auto"/>
      <w:sz w:val="28"/>
      <w:szCs w:val="24"/>
    </w:rPr>
  </w:style>
  <w:style w:type="paragraph" w:customStyle="1" w:styleId="afffff1">
    <w:name w:val="Стиль ЕПБС_Обычный + полужирный"/>
    <w:basedOn w:val="afffc"/>
    <w:autoRedefine/>
    <w:rsid w:val="002403FA"/>
    <w:rPr>
      <w:b/>
      <w:bCs/>
    </w:rPr>
  </w:style>
  <w:style w:type="character" w:styleId="afffff2">
    <w:name w:val="Emphasis"/>
    <w:uiPriority w:val="20"/>
    <w:qFormat/>
    <w:rsid w:val="002403FA"/>
    <w:rPr>
      <w:i/>
      <w:iCs/>
    </w:rPr>
  </w:style>
  <w:style w:type="paragraph" w:customStyle="1" w:styleId="PropertyName">
    <w:name w:val="PropertyName"/>
    <w:next w:val="ab"/>
    <w:link w:val="PropertyName0"/>
    <w:rsid w:val="002403FA"/>
    <w:rPr>
      <w:rFonts w:ascii="Calibri" w:eastAsia="Times New Roman" w:hAnsi="Calibri" w:cs="Times New Roman"/>
      <w:b/>
      <w:sz w:val="26"/>
      <w:szCs w:val="26"/>
      <w:lang w:eastAsia="ru-RU"/>
    </w:rPr>
  </w:style>
  <w:style w:type="character" w:customStyle="1" w:styleId="PropertyName0">
    <w:name w:val="PropertyName Знак"/>
    <w:link w:val="PropertyName"/>
    <w:locked/>
    <w:rsid w:val="002403FA"/>
    <w:rPr>
      <w:rFonts w:ascii="Calibri" w:eastAsia="Times New Roman" w:hAnsi="Calibri" w:cs="Times New Roman"/>
      <w:b/>
      <w:sz w:val="26"/>
      <w:szCs w:val="26"/>
      <w:lang w:eastAsia="ru-RU"/>
    </w:rPr>
  </w:style>
  <w:style w:type="character" w:styleId="afffff3">
    <w:name w:val="line number"/>
    <w:uiPriority w:val="99"/>
    <w:unhideWhenUsed/>
    <w:rsid w:val="002403FA"/>
  </w:style>
  <w:style w:type="character" w:styleId="afffff4">
    <w:name w:val="Intense Reference"/>
    <w:uiPriority w:val="32"/>
    <w:rsid w:val="002403FA"/>
    <w:rPr>
      <w:b/>
      <w:bCs/>
      <w:smallCaps/>
      <w:color w:val="C0504D"/>
      <w:spacing w:val="5"/>
      <w:u w:val="single"/>
    </w:rPr>
  </w:style>
  <w:style w:type="paragraph" w:customStyle="1" w:styleId="1f2">
    <w:name w:val="Стиль1"/>
    <w:basedOn w:val="ab"/>
    <w:rsid w:val="002403FA"/>
    <w:pPr>
      <w:keepNext/>
      <w:keepLines/>
      <w:widowControl w:val="0"/>
      <w:suppressLineNumbers/>
      <w:tabs>
        <w:tab w:val="num" w:pos="432"/>
      </w:tabs>
      <w:suppressAutoHyphens/>
      <w:spacing w:after="60"/>
      <w:ind w:left="432" w:hanging="432"/>
      <w:jc w:val="left"/>
    </w:pPr>
    <w:rPr>
      <w:b/>
      <w:snapToGrid/>
      <w:color w:val="auto"/>
      <w:sz w:val="28"/>
      <w:szCs w:val="24"/>
    </w:rPr>
  </w:style>
  <w:style w:type="paragraph" w:customStyle="1" w:styleId="Head1">
    <w:name w:val="Head 1"/>
    <w:basedOn w:val="14"/>
    <w:next w:val="ab"/>
    <w:link w:val="Head10"/>
    <w:uiPriority w:val="99"/>
    <w:rsid w:val="002403FA"/>
    <w:pPr>
      <w:pageBreakBefore/>
      <w:numPr>
        <w:numId w:val="0"/>
      </w:numPr>
      <w:tabs>
        <w:tab w:val="num" w:pos="284"/>
      </w:tabs>
      <w:suppressAutoHyphens w:val="0"/>
      <w:spacing w:before="240"/>
      <w:ind w:left="717"/>
    </w:pPr>
    <w:rPr>
      <w:snapToGrid/>
      <w:color w:val="auto"/>
      <w:kern w:val="32"/>
      <w:sz w:val="32"/>
      <w:szCs w:val="32"/>
    </w:rPr>
  </w:style>
  <w:style w:type="paragraph" w:customStyle="1" w:styleId="Head2">
    <w:name w:val="Head 2"/>
    <w:basedOn w:val="26"/>
    <w:next w:val="ab"/>
    <w:link w:val="Head20"/>
    <w:uiPriority w:val="99"/>
    <w:rsid w:val="002403FA"/>
    <w:pPr>
      <w:numPr>
        <w:ilvl w:val="0"/>
        <w:numId w:val="0"/>
      </w:numPr>
      <w:tabs>
        <w:tab w:val="num" w:pos="284"/>
      </w:tabs>
      <w:spacing w:before="240"/>
      <w:ind w:left="284"/>
    </w:pPr>
    <w:rPr>
      <w:iCs/>
      <w:snapToGrid/>
      <w:color w:val="auto"/>
      <w:sz w:val="30"/>
      <w:szCs w:val="28"/>
    </w:rPr>
  </w:style>
  <w:style w:type="character" w:customStyle="1" w:styleId="Head10">
    <w:name w:val="Head 1 Знак"/>
    <w:link w:val="Head1"/>
    <w:uiPriority w:val="99"/>
    <w:locked/>
    <w:rsid w:val="002403FA"/>
    <w:rPr>
      <w:rFonts w:ascii="Times New Roman" w:eastAsia="Times New Roman" w:hAnsi="Times New Roman" w:cs="Times New Roman"/>
      <w:b/>
      <w:bCs/>
      <w:kern w:val="32"/>
      <w:sz w:val="32"/>
      <w:szCs w:val="32"/>
      <w:lang w:eastAsia="ru-RU"/>
    </w:rPr>
  </w:style>
  <w:style w:type="character" w:customStyle="1" w:styleId="Head20">
    <w:name w:val="Head 2 Знак"/>
    <w:link w:val="Head2"/>
    <w:uiPriority w:val="99"/>
    <w:locked/>
    <w:rsid w:val="002403FA"/>
    <w:rPr>
      <w:rFonts w:ascii="Times New Roman" w:eastAsia="Times New Roman" w:hAnsi="Times New Roman" w:cs="Times New Roman"/>
      <w:b/>
      <w:bCs/>
      <w:iCs/>
      <w:sz w:val="30"/>
      <w:szCs w:val="28"/>
      <w:lang w:eastAsia="ru-RU"/>
    </w:rPr>
  </w:style>
  <w:style w:type="paragraph" w:customStyle="1" w:styleId="210">
    <w:name w:val="Список 21"/>
    <w:basedOn w:val="ab"/>
    <w:rsid w:val="002403FA"/>
    <w:pPr>
      <w:tabs>
        <w:tab w:val="num" w:pos="2160"/>
      </w:tabs>
      <w:spacing w:before="120" w:after="120" w:line="360" w:lineRule="exact"/>
      <w:ind w:left="2160" w:hanging="360"/>
    </w:pPr>
    <w:rPr>
      <w:snapToGrid/>
      <w:color w:val="auto"/>
      <w:sz w:val="28"/>
      <w:szCs w:val="28"/>
      <w:lang w:val="en-US"/>
    </w:rPr>
  </w:style>
  <w:style w:type="paragraph" w:customStyle="1" w:styleId="TableName">
    <w:name w:val="TableName"/>
    <w:basedOn w:val="afff8"/>
    <w:link w:val="TableName0"/>
    <w:rsid w:val="002403FA"/>
    <w:pPr>
      <w:keepNext/>
      <w:spacing w:before="120" w:after="120"/>
      <w:ind w:firstLine="159"/>
    </w:pPr>
    <w:rPr>
      <w:snapToGrid/>
      <w:color w:val="auto"/>
    </w:rPr>
  </w:style>
  <w:style w:type="character" w:customStyle="1" w:styleId="TableName0">
    <w:name w:val="TableName Знак"/>
    <w:link w:val="TableName"/>
    <w:rsid w:val="002403FA"/>
    <w:rPr>
      <w:rFonts w:ascii="Times New Roman" w:eastAsia="Times New Roman" w:hAnsi="Times New Roman" w:cs="Times New Roman"/>
      <w:bCs/>
      <w:sz w:val="28"/>
      <w:szCs w:val="20"/>
    </w:rPr>
  </w:style>
  <w:style w:type="paragraph" w:styleId="a6">
    <w:name w:val="List Bullet"/>
    <w:aliases w:val="List Bullet 1,UL,НОВ_Маркированный список,Маркированный список 1"/>
    <w:basedOn w:val="ab"/>
    <w:uiPriority w:val="99"/>
    <w:rsid w:val="002403FA"/>
    <w:pPr>
      <w:numPr>
        <w:numId w:val="15"/>
      </w:numPr>
      <w:spacing w:line="480" w:lineRule="auto"/>
    </w:pPr>
    <w:rPr>
      <w:rFonts w:ascii="Arial" w:hAnsi="Arial"/>
      <w:snapToGrid/>
      <w:color w:val="auto"/>
      <w:sz w:val="20"/>
      <w:lang w:val="en-US"/>
    </w:rPr>
  </w:style>
  <w:style w:type="character" w:customStyle="1" w:styleId="HTML1">
    <w:name w:val="Стандартный HTML Знак1"/>
    <w:uiPriority w:val="99"/>
    <w:semiHidden/>
    <w:rsid w:val="002403FA"/>
    <w:rPr>
      <w:rFonts w:ascii="Courier New" w:eastAsia="Times New Roman" w:hAnsi="Courier New" w:cs="Courier New"/>
    </w:rPr>
  </w:style>
  <w:style w:type="paragraph" w:customStyle="1" w:styleId="27">
    <w:name w:val="Стиль2"/>
    <w:basedOn w:val="7"/>
    <w:link w:val="2f4"/>
    <w:rsid w:val="002403FA"/>
    <w:pPr>
      <w:keepNext w:val="0"/>
      <w:numPr>
        <w:numId w:val="16"/>
      </w:numPr>
      <w:spacing w:before="240" w:after="60" w:line="240" w:lineRule="auto"/>
    </w:pPr>
    <w:rPr>
      <w:rFonts w:ascii="Times New Roman" w:hAnsi="Times New Roman"/>
      <w:b/>
      <w:sz w:val="26"/>
    </w:rPr>
  </w:style>
  <w:style w:type="paragraph" w:customStyle="1" w:styleId="8">
    <w:name w:val="Стиль8"/>
    <w:basedOn w:val="53"/>
    <w:link w:val="83"/>
    <w:rsid w:val="002403FA"/>
    <w:pPr>
      <w:numPr>
        <w:numId w:val="17"/>
      </w:numPr>
      <w:spacing w:line="240" w:lineRule="auto"/>
    </w:pPr>
    <w:rPr>
      <w:b/>
      <w:i/>
      <w:sz w:val="26"/>
    </w:rPr>
  </w:style>
  <w:style w:type="character" w:customStyle="1" w:styleId="2f4">
    <w:name w:val="Стиль2 Знак"/>
    <w:basedOn w:val="70"/>
    <w:link w:val="27"/>
    <w:rsid w:val="002403FA"/>
    <w:rPr>
      <w:rFonts w:ascii="Times New Roman" w:eastAsia="Times New Roman" w:hAnsi="Times New Roman" w:cs="Times New Roman"/>
      <w:b/>
      <w:i/>
      <w:sz w:val="26"/>
      <w:szCs w:val="20"/>
      <w:lang w:val="en-US"/>
    </w:rPr>
  </w:style>
  <w:style w:type="paragraph" w:customStyle="1" w:styleId="36">
    <w:name w:val="Стиль3"/>
    <w:basedOn w:val="8"/>
    <w:link w:val="3f2"/>
    <w:rsid w:val="002403FA"/>
    <w:pPr>
      <w:numPr>
        <w:numId w:val="18"/>
      </w:numPr>
    </w:pPr>
  </w:style>
  <w:style w:type="character" w:customStyle="1" w:styleId="83">
    <w:name w:val="Стиль8 Знак"/>
    <w:basedOn w:val="54"/>
    <w:link w:val="8"/>
    <w:rsid w:val="002403FA"/>
    <w:rPr>
      <w:rFonts w:ascii="Arial" w:eastAsia="Times New Roman" w:hAnsi="Arial" w:cs="Times New Roman"/>
      <w:b/>
      <w:i/>
      <w:sz w:val="26"/>
      <w:szCs w:val="20"/>
    </w:rPr>
  </w:style>
  <w:style w:type="paragraph" w:customStyle="1" w:styleId="43">
    <w:name w:val="Стиль4"/>
    <w:basedOn w:val="53"/>
    <w:link w:val="4b"/>
    <w:rsid w:val="002403FA"/>
    <w:pPr>
      <w:numPr>
        <w:numId w:val="19"/>
      </w:numPr>
      <w:spacing w:line="240" w:lineRule="auto"/>
    </w:pPr>
    <w:rPr>
      <w:b/>
      <w:i/>
      <w:sz w:val="26"/>
    </w:rPr>
  </w:style>
  <w:style w:type="character" w:customStyle="1" w:styleId="3f2">
    <w:name w:val="Стиль3 Знак"/>
    <w:basedOn w:val="83"/>
    <w:link w:val="36"/>
    <w:rsid w:val="002403FA"/>
    <w:rPr>
      <w:rFonts w:ascii="Arial" w:eastAsia="Times New Roman" w:hAnsi="Arial" w:cs="Times New Roman"/>
      <w:b/>
      <w:i/>
      <w:sz w:val="26"/>
      <w:szCs w:val="20"/>
    </w:rPr>
  </w:style>
  <w:style w:type="paragraph" w:customStyle="1" w:styleId="50">
    <w:name w:val="Стиль5"/>
    <w:basedOn w:val="53"/>
    <w:link w:val="56"/>
    <w:rsid w:val="002403FA"/>
    <w:pPr>
      <w:numPr>
        <w:numId w:val="20"/>
      </w:numPr>
      <w:spacing w:line="240" w:lineRule="auto"/>
    </w:pPr>
    <w:rPr>
      <w:b/>
      <w:i/>
      <w:sz w:val="26"/>
    </w:rPr>
  </w:style>
  <w:style w:type="character" w:customStyle="1" w:styleId="4b">
    <w:name w:val="Стиль4 Знак"/>
    <w:basedOn w:val="54"/>
    <w:link w:val="43"/>
    <w:rsid w:val="002403FA"/>
    <w:rPr>
      <w:rFonts w:ascii="Arial" w:eastAsia="Times New Roman" w:hAnsi="Arial" w:cs="Times New Roman"/>
      <w:b/>
      <w:i/>
      <w:sz w:val="26"/>
      <w:szCs w:val="20"/>
    </w:rPr>
  </w:style>
  <w:style w:type="paragraph" w:customStyle="1" w:styleId="6">
    <w:name w:val="Стиль6"/>
    <w:basedOn w:val="53"/>
    <w:link w:val="63"/>
    <w:rsid w:val="002403FA"/>
    <w:pPr>
      <w:numPr>
        <w:numId w:val="21"/>
      </w:numPr>
      <w:spacing w:line="240" w:lineRule="auto"/>
    </w:pPr>
    <w:rPr>
      <w:b/>
      <w:i/>
      <w:sz w:val="26"/>
    </w:rPr>
  </w:style>
  <w:style w:type="character" w:customStyle="1" w:styleId="56">
    <w:name w:val="Стиль5 Знак"/>
    <w:basedOn w:val="54"/>
    <w:link w:val="50"/>
    <w:rsid w:val="002403FA"/>
    <w:rPr>
      <w:rFonts w:ascii="Arial" w:eastAsia="Times New Roman" w:hAnsi="Arial" w:cs="Times New Roman"/>
      <w:b/>
      <w:i/>
      <w:sz w:val="26"/>
      <w:szCs w:val="20"/>
    </w:rPr>
  </w:style>
  <w:style w:type="paragraph" w:customStyle="1" w:styleId="AListbullet">
    <w:name w:val="A_List_bullet"/>
    <w:basedOn w:val="ab"/>
    <w:rsid w:val="002403FA"/>
    <w:pPr>
      <w:keepLines/>
      <w:numPr>
        <w:numId w:val="22"/>
      </w:numPr>
      <w:spacing w:before="60" w:after="60" w:line="276" w:lineRule="auto"/>
    </w:pPr>
    <w:rPr>
      <w:rFonts w:ascii="Arial" w:hAnsi="Arial"/>
      <w:color w:val="auto"/>
      <w:lang w:val="en-US"/>
    </w:rPr>
  </w:style>
  <w:style w:type="character" w:customStyle="1" w:styleId="63">
    <w:name w:val="Стиль6 Знак"/>
    <w:basedOn w:val="54"/>
    <w:link w:val="6"/>
    <w:rsid w:val="002403FA"/>
    <w:rPr>
      <w:rFonts w:ascii="Arial" w:eastAsia="Times New Roman" w:hAnsi="Arial" w:cs="Times New Roman"/>
      <w:b/>
      <w:i/>
      <w:sz w:val="26"/>
      <w:szCs w:val="20"/>
    </w:rPr>
  </w:style>
  <w:style w:type="paragraph" w:customStyle="1" w:styleId="AList2bullet">
    <w:name w:val="A_List2_bullet"/>
    <w:basedOn w:val="AListbullet"/>
    <w:qFormat/>
    <w:rsid w:val="002403FA"/>
    <w:pPr>
      <w:numPr>
        <w:ilvl w:val="1"/>
      </w:numPr>
    </w:pPr>
  </w:style>
  <w:style w:type="paragraph" w:customStyle="1" w:styleId="AList3bullet">
    <w:name w:val="A_List3_bullet"/>
    <w:basedOn w:val="AList2bullet"/>
    <w:qFormat/>
    <w:rsid w:val="002403FA"/>
    <w:pPr>
      <w:numPr>
        <w:ilvl w:val="2"/>
      </w:numPr>
    </w:pPr>
  </w:style>
  <w:style w:type="paragraph" w:customStyle="1" w:styleId="AList4bullet">
    <w:name w:val="A_List4_bullet"/>
    <w:basedOn w:val="AList3bullet"/>
    <w:uiPriority w:val="99"/>
    <w:rsid w:val="002403FA"/>
    <w:pPr>
      <w:widowControl w:val="0"/>
      <w:numPr>
        <w:ilvl w:val="3"/>
      </w:numPr>
      <w:autoSpaceDE w:val="0"/>
      <w:autoSpaceDN w:val="0"/>
      <w:adjustRightInd w:val="0"/>
    </w:pPr>
    <w:rPr>
      <w:color w:val="000000"/>
      <w:szCs w:val="24"/>
      <w:lang w:val="ru-RU"/>
    </w:rPr>
  </w:style>
  <w:style w:type="paragraph" w:customStyle="1" w:styleId="code">
    <w:name w:val="code"/>
    <w:basedOn w:val="ab"/>
    <w:link w:val="code0"/>
    <w:qFormat/>
    <w:rsid w:val="002403FA"/>
    <w:pPr>
      <w:ind w:firstLine="709"/>
      <w:jc w:val="left"/>
    </w:pPr>
    <w:rPr>
      <w:rFonts w:ascii="Calibri" w:eastAsia="Calibri" w:hAnsi="Calibri"/>
      <w:i/>
      <w:snapToGrid/>
      <w:color w:val="auto"/>
      <w:sz w:val="22"/>
      <w:szCs w:val="22"/>
      <w:lang w:val="en-US"/>
    </w:rPr>
  </w:style>
  <w:style w:type="character" w:customStyle="1" w:styleId="code0">
    <w:name w:val="code Знак"/>
    <w:link w:val="code"/>
    <w:rsid w:val="002403FA"/>
    <w:rPr>
      <w:rFonts w:ascii="Calibri" w:eastAsia="Calibri" w:hAnsi="Calibri" w:cs="Times New Roman"/>
      <w:i/>
      <w:lang w:val="en-US"/>
    </w:rPr>
  </w:style>
  <w:style w:type="paragraph" w:customStyle="1" w:styleId="31">
    <w:name w:val="заголовок приложение 3"/>
    <w:basedOn w:val="35"/>
    <w:autoRedefine/>
    <w:qFormat/>
    <w:rsid w:val="002403FA"/>
    <w:pPr>
      <w:numPr>
        <w:numId w:val="23"/>
      </w:numPr>
      <w:ind w:left="709" w:firstLine="0"/>
    </w:pPr>
  </w:style>
  <w:style w:type="paragraph" w:customStyle="1" w:styleId="21">
    <w:name w:val="заголовок приложение 2"/>
    <w:basedOn w:val="26"/>
    <w:autoRedefine/>
    <w:qFormat/>
    <w:rsid w:val="002403FA"/>
    <w:pPr>
      <w:numPr>
        <w:numId w:val="23"/>
      </w:numPr>
      <w:ind w:left="0" w:firstLine="0"/>
    </w:pPr>
  </w:style>
  <w:style w:type="paragraph" w:customStyle="1" w:styleId="41">
    <w:name w:val="заголовок приложения 4"/>
    <w:basedOn w:val="31"/>
    <w:qFormat/>
    <w:rsid w:val="002403FA"/>
    <w:pPr>
      <w:numPr>
        <w:ilvl w:val="3"/>
      </w:numPr>
      <w:ind w:left="0" w:firstLine="0"/>
      <w:outlineLvl w:val="3"/>
    </w:pPr>
  </w:style>
  <w:style w:type="paragraph" w:customStyle="1" w:styleId="ConsPlusNormal">
    <w:name w:val="ConsPlusNormal"/>
    <w:rsid w:val="002403FA"/>
    <w:pPr>
      <w:widowControl w:val="0"/>
      <w:autoSpaceDE w:val="0"/>
      <w:autoSpaceDN w:val="0"/>
      <w:spacing w:after="0" w:line="240" w:lineRule="auto"/>
    </w:pPr>
    <w:rPr>
      <w:rFonts w:ascii="Calibri" w:eastAsia="Times New Roman" w:hAnsi="Calibri" w:cs="Calibri"/>
      <w:szCs w:val="20"/>
      <w:lang w:eastAsia="ru-RU"/>
    </w:rPr>
  </w:style>
  <w:style w:type="paragraph" w:customStyle="1" w:styleId="afffff5">
    <w:name w:val="Нумерованный"/>
    <w:basedOn w:val="afff6"/>
    <w:qFormat/>
    <w:rsid w:val="004803AA"/>
  </w:style>
  <w:style w:type="paragraph" w:styleId="a7">
    <w:name w:val="Body Text Indent"/>
    <w:basedOn w:val="ab"/>
    <w:link w:val="afffff6"/>
    <w:uiPriority w:val="99"/>
    <w:rsid w:val="004803AA"/>
    <w:pPr>
      <w:numPr>
        <w:numId w:val="25"/>
      </w:numPr>
      <w:tabs>
        <w:tab w:val="clear" w:pos="360"/>
      </w:tabs>
      <w:spacing w:line="360" w:lineRule="auto"/>
      <w:ind w:firstLine="720"/>
    </w:pPr>
    <w:rPr>
      <w:snapToGrid/>
      <w:color w:val="auto"/>
      <w:sz w:val="28"/>
    </w:rPr>
  </w:style>
  <w:style w:type="character" w:customStyle="1" w:styleId="afffff6">
    <w:name w:val="Основной текст с отступом Знак"/>
    <w:basedOn w:val="ad"/>
    <w:link w:val="a7"/>
    <w:uiPriority w:val="99"/>
    <w:rsid w:val="004803AA"/>
    <w:rPr>
      <w:rFonts w:ascii="Times New Roman" w:eastAsia="Times New Roman" w:hAnsi="Times New Roman" w:cs="Times New Roman"/>
      <w:sz w:val="28"/>
      <w:szCs w:val="20"/>
      <w:lang w:eastAsia="ru-RU"/>
    </w:rPr>
  </w:style>
  <w:style w:type="paragraph" w:customStyle="1" w:styleId="a4">
    <w:name w:val="Список: нумерация"/>
    <w:basedOn w:val="ab"/>
    <w:rsid w:val="004803AA"/>
    <w:pPr>
      <w:numPr>
        <w:numId w:val="24"/>
      </w:numPr>
      <w:tabs>
        <w:tab w:val="num" w:pos="360"/>
        <w:tab w:val="left" w:pos="720"/>
      </w:tabs>
      <w:spacing w:line="360" w:lineRule="auto"/>
      <w:ind w:left="0" w:firstLine="0"/>
    </w:pPr>
    <w:rPr>
      <w:snapToGrid/>
      <w:color w:val="auto"/>
    </w:rPr>
  </w:style>
  <w:style w:type="paragraph" w:customStyle="1" w:styleId="afffff7">
    <w:name w:val="Рисунок"/>
    <w:basedOn w:val="afff6"/>
    <w:qFormat/>
    <w:rsid w:val="004803AA"/>
    <w:pPr>
      <w:spacing w:before="60" w:after="60"/>
      <w:ind w:left="0"/>
      <w:contextualSpacing/>
      <w:jc w:val="center"/>
    </w:pPr>
    <w:rPr>
      <w:rFonts w:eastAsia="Calibri"/>
      <w:snapToGrid/>
      <w:color w:val="auto"/>
      <w:szCs w:val="22"/>
      <w:lang w:eastAsia="en-US"/>
    </w:rPr>
  </w:style>
  <w:style w:type="paragraph" w:customStyle="1" w:styleId="OTRNormal">
    <w:name w:val="OTR_Normal"/>
    <w:basedOn w:val="ab"/>
    <w:link w:val="OTRNormal0"/>
    <w:uiPriority w:val="99"/>
    <w:rsid w:val="00AC0AD5"/>
    <w:pPr>
      <w:spacing w:before="60" w:after="120"/>
      <w:ind w:firstLine="567"/>
    </w:pPr>
    <w:rPr>
      <w:snapToGrid/>
      <w:color w:val="auto"/>
      <w:sz w:val="28"/>
      <w:lang w:val="en-US" w:eastAsia="en-US"/>
    </w:rPr>
  </w:style>
  <w:style w:type="character" w:customStyle="1" w:styleId="OTRNormal0">
    <w:name w:val="OTR_Normal Знак"/>
    <w:link w:val="OTRNormal"/>
    <w:uiPriority w:val="99"/>
    <w:locked/>
    <w:rsid w:val="00AC0AD5"/>
    <w:rPr>
      <w:rFonts w:ascii="Times New Roman" w:eastAsia="Times New Roman" w:hAnsi="Times New Roman" w:cs="Times New Roman"/>
      <w:sz w:val="28"/>
      <w:szCs w:val="20"/>
      <w:lang w:val="en-US"/>
    </w:rPr>
  </w:style>
  <w:style w:type="character" w:customStyle="1" w:styleId="EBTablenorm0">
    <w:name w:val="_EB_Table_norm Знак"/>
    <w:link w:val="EBTablenorm"/>
    <w:rsid w:val="0054143A"/>
    <w:rPr>
      <w:rFonts w:ascii="Times New Roman" w:eastAsia="Times New Roman" w:hAnsi="Times New Roman" w:cs="Times New Roman"/>
      <w:sz w:val="24"/>
      <w:szCs w:val="20"/>
      <w:lang w:eastAsia="ru-RU"/>
    </w:rPr>
  </w:style>
  <w:style w:type="character" w:customStyle="1" w:styleId="x1f1">
    <w:name w:val="x1f1"/>
    <w:basedOn w:val="ad"/>
    <w:rsid w:val="00532A09"/>
  </w:style>
  <w:style w:type="character" w:customStyle="1" w:styleId="EBSymBold">
    <w:name w:val="_EB_Sym_Bold"/>
    <w:uiPriority w:val="99"/>
    <w:rsid w:val="009C09AF"/>
    <w:rPr>
      <w:rFonts w:ascii="Times New Roman" w:hAnsi="Times New Roman"/>
      <w:b/>
      <w:sz w:val="28"/>
    </w:rPr>
  </w:style>
  <w:style w:type="paragraph" w:styleId="afffff8">
    <w:name w:val="Title"/>
    <w:basedOn w:val="ab"/>
    <w:next w:val="ab"/>
    <w:link w:val="afffff9"/>
    <w:uiPriority w:val="10"/>
    <w:qFormat/>
    <w:rsid w:val="00194BEF"/>
    <w:pPr>
      <w:keepLines/>
      <w:spacing w:before="480" w:after="480" w:line="360" w:lineRule="auto"/>
      <w:contextualSpacing/>
      <w:jc w:val="center"/>
    </w:pPr>
    <w:rPr>
      <w:b/>
      <w:snapToGrid/>
      <w:color w:val="auto"/>
      <w:spacing w:val="5"/>
      <w:kern w:val="28"/>
      <w:sz w:val="32"/>
      <w:szCs w:val="52"/>
    </w:rPr>
  </w:style>
  <w:style w:type="character" w:customStyle="1" w:styleId="afffff9">
    <w:name w:val="Название Знак"/>
    <w:basedOn w:val="ad"/>
    <w:link w:val="afffff8"/>
    <w:uiPriority w:val="10"/>
    <w:rsid w:val="00194BEF"/>
    <w:rPr>
      <w:rFonts w:ascii="Times New Roman" w:eastAsia="Times New Roman" w:hAnsi="Times New Roman" w:cs="Times New Roman"/>
      <w:b/>
      <w:spacing w:val="5"/>
      <w:kern w:val="28"/>
      <w:sz w:val="32"/>
      <w:szCs w:val="52"/>
      <w:lang w:eastAsia="ru-RU"/>
    </w:rPr>
  </w:style>
  <w:style w:type="paragraph" w:styleId="2f5">
    <w:name w:val="Body Text 2"/>
    <w:basedOn w:val="ab"/>
    <w:link w:val="2f6"/>
    <w:unhideWhenUsed/>
    <w:rsid w:val="00194BEF"/>
    <w:pPr>
      <w:spacing w:line="360" w:lineRule="auto"/>
    </w:pPr>
    <w:rPr>
      <w:snapToGrid/>
      <w:color w:val="auto"/>
      <w:sz w:val="28"/>
      <w:szCs w:val="28"/>
    </w:rPr>
  </w:style>
  <w:style w:type="character" w:customStyle="1" w:styleId="2f6">
    <w:name w:val="Основной текст 2 Знак"/>
    <w:basedOn w:val="ad"/>
    <w:link w:val="2f5"/>
    <w:rsid w:val="00194BEF"/>
    <w:rPr>
      <w:rFonts w:ascii="Times New Roman" w:eastAsia="Times New Roman" w:hAnsi="Times New Roman" w:cs="Times New Roman"/>
      <w:sz w:val="28"/>
      <w:szCs w:val="28"/>
      <w:lang w:eastAsia="ru-RU"/>
    </w:rPr>
  </w:style>
  <w:style w:type="paragraph" w:customStyle="1" w:styleId="afffffa">
    <w:name w:val="Рисунок_название"/>
    <w:basedOn w:val="ab"/>
    <w:link w:val="afffffb"/>
    <w:qFormat/>
    <w:rsid w:val="00194BEF"/>
    <w:pPr>
      <w:keepLines/>
      <w:spacing w:before="240" w:after="240"/>
      <w:contextualSpacing/>
      <w:jc w:val="center"/>
    </w:pPr>
    <w:rPr>
      <w:bCs/>
      <w:snapToGrid/>
      <w:color w:val="auto"/>
      <w:szCs w:val="24"/>
    </w:rPr>
  </w:style>
  <w:style w:type="character" w:customStyle="1" w:styleId="afffffb">
    <w:name w:val="Рисунок_название Знак"/>
    <w:basedOn w:val="ad"/>
    <w:link w:val="afffffa"/>
    <w:rsid w:val="00194BEF"/>
    <w:rPr>
      <w:rFonts w:ascii="Times New Roman" w:eastAsia="Times New Roman" w:hAnsi="Times New Roman" w:cs="Times New Roman"/>
      <w:bCs/>
      <w:sz w:val="24"/>
      <w:szCs w:val="24"/>
      <w:lang w:eastAsia="ru-RU"/>
    </w:rPr>
  </w:style>
  <w:style w:type="paragraph" w:customStyle="1" w:styleId="afffffc">
    <w:name w:val="Таблица_название"/>
    <w:basedOn w:val="ab"/>
    <w:link w:val="afffffd"/>
    <w:qFormat/>
    <w:rsid w:val="00194BEF"/>
    <w:pPr>
      <w:keepLines/>
      <w:spacing w:before="240" w:after="240"/>
      <w:contextualSpacing/>
    </w:pPr>
    <w:rPr>
      <w:snapToGrid/>
      <w:color w:val="auto"/>
      <w:szCs w:val="24"/>
    </w:rPr>
  </w:style>
  <w:style w:type="paragraph" w:customStyle="1" w:styleId="afffffe">
    <w:name w:val="Таблица_шапка"/>
    <w:basedOn w:val="ab"/>
    <w:link w:val="affffff"/>
    <w:qFormat/>
    <w:rsid w:val="00194BEF"/>
    <w:pPr>
      <w:keepLines/>
      <w:contextualSpacing/>
      <w:jc w:val="center"/>
    </w:pPr>
    <w:rPr>
      <w:b/>
      <w:snapToGrid/>
      <w:color w:val="auto"/>
      <w:szCs w:val="24"/>
    </w:rPr>
  </w:style>
  <w:style w:type="character" w:customStyle="1" w:styleId="afffffd">
    <w:name w:val="Таблица_название Знак"/>
    <w:basedOn w:val="ad"/>
    <w:link w:val="afffffc"/>
    <w:rsid w:val="00194BEF"/>
    <w:rPr>
      <w:rFonts w:ascii="Times New Roman" w:eastAsia="Times New Roman" w:hAnsi="Times New Roman" w:cs="Times New Roman"/>
      <w:sz w:val="24"/>
      <w:szCs w:val="24"/>
      <w:lang w:eastAsia="ru-RU"/>
    </w:rPr>
  </w:style>
  <w:style w:type="paragraph" w:customStyle="1" w:styleId="affffff0">
    <w:name w:val="Таблица_текст"/>
    <w:basedOn w:val="ab"/>
    <w:link w:val="affffff1"/>
    <w:qFormat/>
    <w:rsid w:val="00194BEF"/>
    <w:pPr>
      <w:keepLines/>
      <w:ind w:firstLine="709"/>
      <w:contextualSpacing/>
    </w:pPr>
    <w:rPr>
      <w:snapToGrid/>
      <w:color w:val="auto"/>
      <w:szCs w:val="24"/>
    </w:rPr>
  </w:style>
  <w:style w:type="character" w:customStyle="1" w:styleId="affffff">
    <w:name w:val="Таблица_шапка Знак"/>
    <w:basedOn w:val="ad"/>
    <w:link w:val="afffffe"/>
    <w:rsid w:val="00194BEF"/>
    <w:rPr>
      <w:rFonts w:ascii="Times New Roman" w:eastAsia="Times New Roman" w:hAnsi="Times New Roman" w:cs="Times New Roman"/>
      <w:b/>
      <w:sz w:val="24"/>
      <w:szCs w:val="24"/>
      <w:lang w:eastAsia="ru-RU"/>
    </w:rPr>
  </w:style>
  <w:style w:type="character" w:customStyle="1" w:styleId="affffff1">
    <w:name w:val="Таблица_текст Знак"/>
    <w:basedOn w:val="ad"/>
    <w:link w:val="affffff0"/>
    <w:rsid w:val="00194BEF"/>
    <w:rPr>
      <w:rFonts w:ascii="Times New Roman" w:eastAsia="Times New Roman" w:hAnsi="Times New Roman" w:cs="Times New Roman"/>
      <w:sz w:val="24"/>
      <w:szCs w:val="24"/>
      <w:lang w:eastAsia="ru-RU"/>
    </w:rPr>
  </w:style>
  <w:style w:type="paragraph" w:styleId="a">
    <w:name w:val="List Number"/>
    <w:basedOn w:val="ab"/>
    <w:uiPriority w:val="99"/>
    <w:unhideWhenUsed/>
    <w:rsid w:val="00194BEF"/>
    <w:pPr>
      <w:keepLines/>
      <w:numPr>
        <w:numId w:val="30"/>
      </w:numPr>
      <w:tabs>
        <w:tab w:val="left" w:pos="1066"/>
      </w:tabs>
      <w:spacing w:line="360" w:lineRule="auto"/>
      <w:ind w:left="0" w:firstLine="709"/>
      <w:contextualSpacing/>
    </w:pPr>
    <w:rPr>
      <w:snapToGrid/>
      <w:color w:val="auto"/>
      <w:sz w:val="28"/>
      <w:szCs w:val="28"/>
    </w:rPr>
  </w:style>
  <w:style w:type="numbering" w:customStyle="1" w:styleId="a3">
    <w:name w:val="Многоуровневый _список"/>
    <w:uiPriority w:val="99"/>
    <w:rsid w:val="00194BEF"/>
    <w:pPr>
      <w:numPr>
        <w:numId w:val="34"/>
      </w:numPr>
    </w:pPr>
  </w:style>
  <w:style w:type="paragraph" w:styleId="20">
    <w:name w:val="List Bullet 2"/>
    <w:basedOn w:val="ab"/>
    <w:uiPriority w:val="99"/>
    <w:unhideWhenUsed/>
    <w:qFormat/>
    <w:rsid w:val="00194BEF"/>
    <w:pPr>
      <w:keepLines/>
      <w:numPr>
        <w:numId w:val="26"/>
      </w:numPr>
      <w:tabs>
        <w:tab w:val="left" w:pos="1066"/>
      </w:tabs>
      <w:spacing w:line="360" w:lineRule="auto"/>
      <w:contextualSpacing/>
    </w:pPr>
    <w:rPr>
      <w:snapToGrid/>
      <w:color w:val="auto"/>
      <w:szCs w:val="28"/>
    </w:rPr>
  </w:style>
  <w:style w:type="paragraph" w:styleId="2">
    <w:name w:val="List Number 2"/>
    <w:basedOn w:val="ab"/>
    <w:uiPriority w:val="99"/>
    <w:unhideWhenUsed/>
    <w:rsid w:val="00194BEF"/>
    <w:pPr>
      <w:keepLines/>
      <w:numPr>
        <w:numId w:val="31"/>
      </w:numPr>
      <w:tabs>
        <w:tab w:val="left" w:pos="2268"/>
      </w:tabs>
      <w:spacing w:line="360" w:lineRule="auto"/>
      <w:ind w:left="1066" w:firstLine="0"/>
      <w:contextualSpacing/>
    </w:pPr>
    <w:rPr>
      <w:snapToGrid/>
      <w:color w:val="auto"/>
      <w:sz w:val="28"/>
      <w:szCs w:val="28"/>
    </w:rPr>
  </w:style>
  <w:style w:type="paragraph" w:styleId="3">
    <w:name w:val="List Number 3"/>
    <w:aliases w:val="Нумерованный список 3 для приложений"/>
    <w:basedOn w:val="ab"/>
    <w:uiPriority w:val="99"/>
    <w:unhideWhenUsed/>
    <w:rsid w:val="00194BEF"/>
    <w:pPr>
      <w:keepLines/>
      <w:numPr>
        <w:numId w:val="32"/>
      </w:numPr>
      <w:tabs>
        <w:tab w:val="left" w:pos="1066"/>
      </w:tabs>
      <w:spacing w:line="360" w:lineRule="auto"/>
      <w:ind w:left="0" w:firstLine="709"/>
      <w:contextualSpacing/>
    </w:pPr>
    <w:rPr>
      <w:snapToGrid/>
      <w:color w:val="auto"/>
      <w:szCs w:val="28"/>
    </w:rPr>
  </w:style>
  <w:style w:type="paragraph" w:styleId="4">
    <w:name w:val="List Number 4"/>
    <w:aliases w:val="Нумерованный список 4 для приложений"/>
    <w:basedOn w:val="ab"/>
    <w:uiPriority w:val="99"/>
    <w:unhideWhenUsed/>
    <w:rsid w:val="00194BEF"/>
    <w:pPr>
      <w:keepLines/>
      <w:numPr>
        <w:numId w:val="33"/>
      </w:numPr>
      <w:tabs>
        <w:tab w:val="left" w:pos="1423"/>
      </w:tabs>
      <w:spacing w:line="360" w:lineRule="auto"/>
      <w:ind w:left="1066" w:firstLine="0"/>
      <w:contextualSpacing/>
    </w:pPr>
    <w:rPr>
      <w:snapToGrid/>
      <w:color w:val="auto"/>
      <w:szCs w:val="28"/>
    </w:rPr>
  </w:style>
  <w:style w:type="character" w:styleId="affffff2">
    <w:name w:val="Subtle Reference"/>
    <w:basedOn w:val="ad"/>
    <w:uiPriority w:val="31"/>
    <w:qFormat/>
    <w:rsid w:val="00194BEF"/>
    <w:rPr>
      <w:color w:val="auto"/>
      <w:u w:val="single"/>
    </w:rPr>
  </w:style>
  <w:style w:type="paragraph" w:styleId="affffff3">
    <w:name w:val="Subtitle"/>
    <w:basedOn w:val="ab"/>
    <w:next w:val="ab"/>
    <w:link w:val="affffff4"/>
    <w:uiPriority w:val="11"/>
    <w:qFormat/>
    <w:rsid w:val="00194BEF"/>
    <w:pPr>
      <w:keepLines/>
      <w:numPr>
        <w:ilvl w:val="1"/>
      </w:numPr>
      <w:ind w:firstLine="709"/>
      <w:contextualSpacing/>
      <w:jc w:val="center"/>
    </w:pPr>
    <w:rPr>
      <w:i/>
      <w:iCs/>
      <w:snapToGrid/>
      <w:color w:val="auto"/>
      <w:spacing w:val="15"/>
      <w:szCs w:val="24"/>
    </w:rPr>
  </w:style>
  <w:style w:type="character" w:customStyle="1" w:styleId="affffff4">
    <w:name w:val="Подзаголовок Знак"/>
    <w:basedOn w:val="ad"/>
    <w:link w:val="affffff3"/>
    <w:uiPriority w:val="11"/>
    <w:rsid w:val="00194BEF"/>
    <w:rPr>
      <w:rFonts w:ascii="Times New Roman" w:eastAsia="Times New Roman" w:hAnsi="Times New Roman" w:cs="Times New Roman"/>
      <w:i/>
      <w:iCs/>
      <w:spacing w:val="15"/>
      <w:sz w:val="24"/>
      <w:szCs w:val="24"/>
      <w:lang w:eastAsia="ru-RU"/>
    </w:rPr>
  </w:style>
  <w:style w:type="paragraph" w:styleId="30">
    <w:name w:val="List Bullet 3"/>
    <w:aliases w:val="Маркированный список 3 (для таблиц)"/>
    <w:basedOn w:val="ab"/>
    <w:uiPriority w:val="99"/>
    <w:unhideWhenUsed/>
    <w:rsid w:val="00194BEF"/>
    <w:pPr>
      <w:keepLines/>
      <w:numPr>
        <w:numId w:val="27"/>
      </w:numPr>
      <w:ind w:left="0" w:firstLine="709"/>
      <w:contextualSpacing/>
    </w:pPr>
    <w:rPr>
      <w:snapToGrid/>
      <w:color w:val="auto"/>
      <w:szCs w:val="28"/>
    </w:rPr>
  </w:style>
  <w:style w:type="paragraph" w:customStyle="1" w:styleId="100">
    <w:name w:val="Текст примечания_10 пт_"/>
    <w:basedOn w:val="afb"/>
    <w:qFormat/>
    <w:rsid w:val="00194BEF"/>
    <w:pPr>
      <w:keepLines/>
      <w:ind w:firstLine="709"/>
      <w:contextualSpacing/>
    </w:pPr>
    <w:rPr>
      <w:rFonts w:ascii="Times New Roman" w:eastAsia="Times New Roman" w:hAnsi="Times New Roman" w:cs="Times New Roman"/>
      <w:color w:val="auto"/>
      <w:sz w:val="20"/>
      <w:szCs w:val="20"/>
      <w:lang w:eastAsia="ru-RU"/>
    </w:rPr>
  </w:style>
  <w:style w:type="paragraph" w:styleId="40">
    <w:name w:val="List Bullet 4"/>
    <w:aliases w:val="для таблиц список 1 уровня"/>
    <w:basedOn w:val="ab"/>
    <w:uiPriority w:val="99"/>
    <w:semiHidden/>
    <w:unhideWhenUsed/>
    <w:rsid w:val="00194BEF"/>
    <w:pPr>
      <w:keepLines/>
      <w:numPr>
        <w:numId w:val="28"/>
      </w:numPr>
      <w:ind w:left="0" w:firstLine="709"/>
      <w:contextualSpacing/>
    </w:pPr>
    <w:rPr>
      <w:snapToGrid/>
      <w:color w:val="auto"/>
      <w:szCs w:val="28"/>
    </w:rPr>
  </w:style>
  <w:style w:type="paragraph" w:styleId="5">
    <w:name w:val="List Bullet 5"/>
    <w:aliases w:val="для таблиц список 2 уровня"/>
    <w:basedOn w:val="ab"/>
    <w:uiPriority w:val="99"/>
    <w:semiHidden/>
    <w:unhideWhenUsed/>
    <w:rsid w:val="00194BEF"/>
    <w:pPr>
      <w:keepLines/>
      <w:numPr>
        <w:numId w:val="29"/>
      </w:numPr>
      <w:ind w:left="1066" w:firstLine="0"/>
      <w:contextualSpacing/>
    </w:pPr>
    <w:rPr>
      <w:snapToGrid/>
      <w:color w:val="auto"/>
      <w:szCs w:val="28"/>
    </w:rPr>
  </w:style>
  <w:style w:type="paragraph" w:styleId="52">
    <w:name w:val="List Number 5"/>
    <w:basedOn w:val="ab"/>
    <w:uiPriority w:val="99"/>
    <w:semiHidden/>
    <w:unhideWhenUsed/>
    <w:rsid w:val="00194BEF"/>
    <w:pPr>
      <w:keepLines/>
      <w:numPr>
        <w:numId w:val="35"/>
      </w:numPr>
      <w:spacing w:line="360" w:lineRule="auto"/>
      <w:ind w:left="0" w:firstLine="709"/>
      <w:contextualSpacing/>
    </w:pPr>
    <w:rPr>
      <w:snapToGrid/>
      <w:color w:val="auto"/>
      <w:sz w:val="28"/>
      <w:szCs w:val="28"/>
    </w:rPr>
  </w:style>
  <w:style w:type="paragraph" w:styleId="2f7">
    <w:name w:val="Body Text Indent 2"/>
    <w:basedOn w:val="ab"/>
    <w:link w:val="2f8"/>
    <w:uiPriority w:val="99"/>
    <w:unhideWhenUsed/>
    <w:rsid w:val="00194BEF"/>
    <w:pPr>
      <w:keepLines/>
      <w:spacing w:before="240" w:after="240" w:line="360" w:lineRule="auto"/>
      <w:contextualSpacing/>
      <w:jc w:val="left"/>
    </w:pPr>
    <w:rPr>
      <w:snapToGrid/>
      <w:color w:val="auto"/>
      <w:sz w:val="28"/>
      <w:szCs w:val="28"/>
    </w:rPr>
  </w:style>
  <w:style w:type="character" w:customStyle="1" w:styleId="2f8">
    <w:name w:val="Основной текст с отступом 2 Знак"/>
    <w:basedOn w:val="ad"/>
    <w:link w:val="2f7"/>
    <w:uiPriority w:val="99"/>
    <w:rsid w:val="00194BEF"/>
    <w:rPr>
      <w:rFonts w:ascii="Times New Roman" w:eastAsia="Times New Roman" w:hAnsi="Times New Roman" w:cs="Times New Roman"/>
      <w:sz w:val="28"/>
      <w:szCs w:val="28"/>
      <w:lang w:eastAsia="ru-RU"/>
    </w:rPr>
  </w:style>
  <w:style w:type="paragraph" w:customStyle="1" w:styleId="affffff5">
    <w:name w:val="Обычный_ГОСТ"/>
    <w:basedOn w:val="ab"/>
    <w:link w:val="affffff6"/>
    <w:autoRedefine/>
    <w:rsid w:val="00194BEF"/>
    <w:pPr>
      <w:spacing w:line="276" w:lineRule="auto"/>
      <w:ind w:firstLine="709"/>
    </w:pPr>
    <w:rPr>
      <w:snapToGrid/>
      <w:color w:val="auto"/>
      <w:sz w:val="28"/>
      <w:szCs w:val="28"/>
    </w:rPr>
  </w:style>
  <w:style w:type="character" w:customStyle="1" w:styleId="affffff6">
    <w:name w:val="Обычный_ГОСТ Знак"/>
    <w:link w:val="affffff5"/>
    <w:rsid w:val="00194BEF"/>
    <w:rPr>
      <w:rFonts w:ascii="Times New Roman" w:eastAsia="Times New Roman" w:hAnsi="Times New Roman" w:cs="Times New Roman"/>
      <w:sz w:val="28"/>
      <w:szCs w:val="28"/>
      <w:lang w:eastAsia="ru-RU"/>
    </w:rPr>
  </w:style>
  <w:style w:type="numbering" w:customStyle="1" w:styleId="a2">
    <w:name w:val="Стиль маркированный"/>
    <w:basedOn w:val="af"/>
    <w:rsid w:val="00194BEF"/>
    <w:pPr>
      <w:numPr>
        <w:numId w:val="36"/>
      </w:numPr>
    </w:pPr>
  </w:style>
  <w:style w:type="paragraph" w:customStyle="1" w:styleId="ListTable">
    <w:name w:val="ListTable"/>
    <w:basedOn w:val="ab"/>
    <w:rsid w:val="00194BEF"/>
    <w:pPr>
      <w:keepLines/>
      <w:numPr>
        <w:numId w:val="37"/>
      </w:numPr>
      <w:spacing w:line="360" w:lineRule="auto"/>
      <w:contextualSpacing/>
    </w:pPr>
    <w:rPr>
      <w:snapToGrid/>
      <w:color w:val="auto"/>
      <w:sz w:val="28"/>
      <w:szCs w:val="28"/>
    </w:rPr>
  </w:style>
  <w:style w:type="paragraph" w:customStyle="1" w:styleId="affffff7">
    <w:name w:val="Титул тема"/>
    <w:basedOn w:val="ab"/>
    <w:uiPriority w:val="99"/>
    <w:rsid w:val="00194BEF"/>
    <w:pPr>
      <w:keepLines/>
      <w:contextualSpacing/>
      <w:jc w:val="center"/>
    </w:pPr>
    <w:rPr>
      <w:b/>
      <w:snapToGrid/>
      <w:color w:val="auto"/>
      <w:sz w:val="27"/>
      <w:szCs w:val="27"/>
    </w:rPr>
  </w:style>
  <w:style w:type="paragraph" w:styleId="2f9">
    <w:name w:val="Body Text First Indent 2"/>
    <w:basedOn w:val="a7"/>
    <w:link w:val="2fa"/>
    <w:uiPriority w:val="99"/>
    <w:unhideWhenUsed/>
    <w:rsid w:val="00194BEF"/>
    <w:pPr>
      <w:keepLines/>
      <w:numPr>
        <w:numId w:val="0"/>
      </w:numPr>
      <w:ind w:left="360" w:firstLine="360"/>
      <w:contextualSpacing/>
    </w:pPr>
    <w:rPr>
      <w:szCs w:val="28"/>
    </w:rPr>
  </w:style>
  <w:style w:type="character" w:customStyle="1" w:styleId="2fa">
    <w:name w:val="Красная строка 2 Знак"/>
    <w:basedOn w:val="afffff6"/>
    <w:link w:val="2f9"/>
    <w:uiPriority w:val="99"/>
    <w:rsid w:val="00194BEF"/>
    <w:rPr>
      <w:rFonts w:ascii="Times New Roman" w:eastAsia="Times New Roman" w:hAnsi="Times New Roman" w:cs="Times New Roman"/>
      <w:sz w:val="28"/>
      <w:szCs w:val="28"/>
      <w:lang w:eastAsia="ru-RU"/>
    </w:rPr>
  </w:style>
  <w:style w:type="paragraph" w:customStyle="1" w:styleId="xl63">
    <w:name w:val="xl63"/>
    <w:basedOn w:val="ab"/>
    <w:rsid w:val="00F866C3"/>
    <w:pPr>
      <w:shd w:val="clear" w:color="000000" w:fill="FFFFFF"/>
      <w:spacing w:before="100" w:beforeAutospacing="1" w:after="100" w:afterAutospacing="1"/>
      <w:jc w:val="left"/>
    </w:pPr>
    <w:rPr>
      <w:snapToGrid/>
      <w:color w:val="auto"/>
      <w:szCs w:val="24"/>
    </w:rPr>
  </w:style>
  <w:style w:type="paragraph" w:customStyle="1" w:styleId="xl64">
    <w:name w:val="xl64"/>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65">
    <w:name w:val="xl6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snapToGrid/>
      <w:color w:val="auto"/>
      <w:szCs w:val="24"/>
    </w:rPr>
  </w:style>
  <w:style w:type="paragraph" w:customStyle="1" w:styleId="xl66">
    <w:name w:val="xl66"/>
    <w:basedOn w:val="ab"/>
    <w:rsid w:val="00F866C3"/>
    <w:pPr>
      <w:shd w:val="clear" w:color="000000" w:fill="FFFFFF"/>
      <w:spacing w:before="100" w:beforeAutospacing="1" w:after="100" w:afterAutospacing="1"/>
      <w:jc w:val="left"/>
    </w:pPr>
    <w:rPr>
      <w:snapToGrid/>
      <w:color w:val="auto"/>
      <w:szCs w:val="24"/>
    </w:rPr>
  </w:style>
  <w:style w:type="paragraph" w:customStyle="1" w:styleId="xl67">
    <w:name w:val="xl6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szCs w:val="24"/>
    </w:rPr>
  </w:style>
  <w:style w:type="paragraph" w:customStyle="1" w:styleId="xl68">
    <w:name w:val="xl68"/>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szCs w:val="24"/>
    </w:rPr>
  </w:style>
  <w:style w:type="paragraph" w:customStyle="1" w:styleId="xl69">
    <w:name w:val="xl6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napToGrid/>
      <w:color w:val="auto"/>
      <w:szCs w:val="24"/>
    </w:rPr>
  </w:style>
  <w:style w:type="paragraph" w:customStyle="1" w:styleId="xl70">
    <w:name w:val="xl70"/>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71">
    <w:name w:val="xl71"/>
    <w:basedOn w:val="ab"/>
    <w:rsid w:val="00F866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72">
    <w:name w:val="xl72"/>
    <w:basedOn w:val="ab"/>
    <w:rsid w:val="00F866C3"/>
    <w:pPr>
      <w:shd w:val="clear" w:color="000000" w:fill="FFFFFF"/>
      <w:spacing w:before="100" w:beforeAutospacing="1" w:after="100" w:afterAutospacing="1"/>
      <w:jc w:val="left"/>
    </w:pPr>
    <w:rPr>
      <w:rFonts w:ascii="Arial" w:hAnsi="Arial" w:cs="Arial"/>
      <w:snapToGrid/>
      <w:color w:val="auto"/>
      <w:szCs w:val="24"/>
    </w:rPr>
  </w:style>
  <w:style w:type="paragraph" w:customStyle="1" w:styleId="xl73">
    <w:name w:val="xl7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74">
    <w:name w:val="xl74"/>
    <w:basedOn w:val="ab"/>
    <w:rsid w:val="00F866C3"/>
    <w:pPr>
      <w:shd w:val="clear" w:color="000000" w:fill="FFFFFF"/>
      <w:spacing w:before="100" w:beforeAutospacing="1" w:after="100" w:afterAutospacing="1"/>
      <w:jc w:val="left"/>
      <w:textAlignment w:val="top"/>
    </w:pPr>
    <w:rPr>
      <w:rFonts w:ascii="Arial" w:hAnsi="Arial" w:cs="Arial"/>
      <w:snapToGrid/>
      <w:color w:val="auto"/>
      <w:szCs w:val="24"/>
    </w:rPr>
  </w:style>
  <w:style w:type="paragraph" w:customStyle="1" w:styleId="xl75">
    <w:name w:val="xl75"/>
    <w:basedOn w:val="ab"/>
    <w:rsid w:val="00F866C3"/>
    <w:pPr>
      <w:shd w:val="clear" w:color="000000" w:fill="FFFFFF"/>
      <w:spacing w:before="100" w:beforeAutospacing="1" w:after="100" w:afterAutospacing="1"/>
      <w:jc w:val="left"/>
    </w:pPr>
    <w:rPr>
      <w:rFonts w:ascii="Arial" w:hAnsi="Arial" w:cs="Arial"/>
      <w:snapToGrid/>
      <w:color w:val="auto"/>
      <w:szCs w:val="24"/>
    </w:rPr>
  </w:style>
  <w:style w:type="paragraph" w:customStyle="1" w:styleId="xl76">
    <w:name w:val="xl76"/>
    <w:basedOn w:val="ab"/>
    <w:rsid w:val="00F866C3"/>
    <w:pPr>
      <w:shd w:val="clear" w:color="000000" w:fill="FFFFFF"/>
      <w:spacing w:before="100" w:beforeAutospacing="1" w:after="100" w:afterAutospacing="1"/>
      <w:jc w:val="left"/>
      <w:textAlignment w:val="top"/>
    </w:pPr>
    <w:rPr>
      <w:rFonts w:ascii="Arial" w:hAnsi="Arial" w:cs="Arial"/>
      <w:snapToGrid/>
      <w:color w:val="auto"/>
      <w:szCs w:val="24"/>
    </w:rPr>
  </w:style>
  <w:style w:type="paragraph" w:customStyle="1" w:styleId="xl77">
    <w:name w:val="xl7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78">
    <w:name w:val="xl78"/>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79">
    <w:name w:val="xl7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Arial" w:hAnsi="Arial" w:cs="Arial"/>
      <w:snapToGrid/>
      <w:color w:val="auto"/>
      <w:sz w:val="20"/>
    </w:rPr>
  </w:style>
  <w:style w:type="paragraph" w:customStyle="1" w:styleId="xl80">
    <w:name w:val="xl80"/>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81">
    <w:name w:val="xl8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2">
    <w:name w:val="xl82"/>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83">
    <w:name w:val="xl83"/>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4">
    <w:name w:val="xl84"/>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5">
    <w:name w:val="xl8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6">
    <w:name w:val="xl8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Cs w:val="24"/>
    </w:rPr>
  </w:style>
  <w:style w:type="paragraph" w:customStyle="1" w:styleId="xl87">
    <w:name w:val="xl87"/>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88">
    <w:name w:val="xl8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89">
    <w:name w:val="xl89"/>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90">
    <w:name w:val="xl9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1">
    <w:name w:val="xl91"/>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2">
    <w:name w:val="xl92"/>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3">
    <w:name w:val="xl93"/>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94">
    <w:name w:val="xl9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95">
    <w:name w:val="xl9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96">
    <w:name w:val="xl9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97">
    <w:name w:val="xl9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98">
    <w:name w:val="xl98"/>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napToGrid/>
      <w:color w:val="auto"/>
      <w:szCs w:val="24"/>
    </w:rPr>
  </w:style>
  <w:style w:type="paragraph" w:customStyle="1" w:styleId="xl99">
    <w:name w:val="xl99"/>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0">
    <w:name w:val="xl10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1">
    <w:name w:val="xl101"/>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 w:val="20"/>
    </w:rPr>
  </w:style>
  <w:style w:type="paragraph" w:customStyle="1" w:styleId="xl102">
    <w:name w:val="xl10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3">
    <w:name w:val="xl103"/>
    <w:basedOn w:val="ab"/>
    <w:rsid w:val="00F866C3"/>
    <w:pPr>
      <w:pBdr>
        <w:left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4">
    <w:name w:val="xl10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napToGrid/>
      <w:sz w:val="20"/>
    </w:rPr>
  </w:style>
  <w:style w:type="paragraph" w:customStyle="1" w:styleId="xl105">
    <w:name w:val="xl105"/>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06">
    <w:name w:val="xl106"/>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07">
    <w:name w:val="xl107"/>
    <w:basedOn w:val="ab"/>
    <w:rsid w:val="00F866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08">
    <w:name w:val="xl108"/>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09">
    <w:name w:val="xl109"/>
    <w:basedOn w:val="ab"/>
    <w:rsid w:val="00F866C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0">
    <w:name w:val="xl110"/>
    <w:basedOn w:val="ab"/>
    <w:rsid w:val="00F866C3"/>
    <w:pPr>
      <w:pBdr>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1">
    <w:name w:val="xl111"/>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2">
    <w:name w:val="xl11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3">
    <w:name w:val="xl11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4">
    <w:name w:val="xl114"/>
    <w:basedOn w:val="ab"/>
    <w:rsid w:val="00F866C3"/>
    <w:pPr>
      <w:pBdr>
        <w:left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15">
    <w:name w:val="xl115"/>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16">
    <w:name w:val="xl11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17">
    <w:name w:val="xl117"/>
    <w:basedOn w:val="ab"/>
    <w:rsid w:val="00F866C3"/>
    <w:pPr>
      <w:pBdr>
        <w:left w:val="single" w:sz="4" w:space="0" w:color="auto"/>
        <w:right w:val="single" w:sz="4" w:space="0" w:color="auto"/>
      </w:pBdr>
      <w:spacing w:before="100" w:beforeAutospacing="1" w:after="100" w:afterAutospacing="1"/>
      <w:jc w:val="center"/>
      <w:textAlignment w:val="center"/>
    </w:pPr>
    <w:rPr>
      <w:rFonts w:ascii="Arial" w:hAnsi="Arial" w:cs="Arial"/>
      <w:snapToGrid/>
      <w:color w:val="auto"/>
      <w:szCs w:val="24"/>
    </w:rPr>
  </w:style>
  <w:style w:type="paragraph" w:customStyle="1" w:styleId="xl118">
    <w:name w:val="xl118"/>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napToGrid/>
      <w:sz w:val="20"/>
    </w:rPr>
  </w:style>
  <w:style w:type="paragraph" w:customStyle="1" w:styleId="xl119">
    <w:name w:val="xl119"/>
    <w:basedOn w:val="ab"/>
    <w:rsid w:val="00F866C3"/>
    <w:pPr>
      <w:pBdr>
        <w:left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0">
    <w:name w:val="xl120"/>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1">
    <w:name w:val="xl121"/>
    <w:basedOn w:val="ab"/>
    <w:rsid w:val="00F866C3"/>
    <w:pPr>
      <w:pBdr>
        <w:left w:val="single" w:sz="4" w:space="0" w:color="auto"/>
        <w:right w:val="single" w:sz="4" w:space="0" w:color="auto"/>
      </w:pBdr>
      <w:spacing w:before="100" w:beforeAutospacing="1" w:after="100" w:afterAutospacing="1"/>
      <w:jc w:val="left"/>
    </w:pPr>
    <w:rPr>
      <w:snapToGrid/>
      <w:color w:val="auto"/>
      <w:szCs w:val="24"/>
    </w:rPr>
  </w:style>
  <w:style w:type="paragraph" w:customStyle="1" w:styleId="xl122">
    <w:name w:val="xl122"/>
    <w:basedOn w:val="ab"/>
    <w:rsid w:val="00F866C3"/>
    <w:pPr>
      <w:pBdr>
        <w:left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23">
    <w:name w:val="xl123"/>
    <w:basedOn w:val="ab"/>
    <w:rsid w:val="00F866C3"/>
    <w:pPr>
      <w:pBdr>
        <w:left w:val="single" w:sz="4" w:space="0" w:color="auto"/>
        <w:bottom w:val="single" w:sz="4" w:space="0" w:color="auto"/>
        <w:right w:val="single" w:sz="4" w:space="0" w:color="auto"/>
      </w:pBdr>
      <w:spacing w:before="100" w:beforeAutospacing="1" w:after="100" w:afterAutospacing="1"/>
      <w:jc w:val="center"/>
      <w:textAlignment w:val="center"/>
    </w:pPr>
    <w:rPr>
      <w:snapToGrid/>
      <w:color w:val="auto"/>
      <w:szCs w:val="24"/>
    </w:rPr>
  </w:style>
  <w:style w:type="paragraph" w:customStyle="1" w:styleId="xl124">
    <w:name w:val="xl12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napToGrid/>
      <w:sz w:val="20"/>
    </w:rPr>
  </w:style>
  <w:style w:type="paragraph" w:customStyle="1" w:styleId="xl125">
    <w:name w:val="xl125"/>
    <w:basedOn w:val="ab"/>
    <w:rsid w:val="00F866C3"/>
    <w:pPr>
      <w:pBdr>
        <w:left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6">
    <w:name w:val="xl126"/>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center"/>
    </w:pPr>
    <w:rPr>
      <w:snapToGrid/>
      <w:color w:val="auto"/>
      <w:szCs w:val="24"/>
    </w:rPr>
  </w:style>
  <w:style w:type="paragraph" w:customStyle="1" w:styleId="xl127">
    <w:name w:val="xl127"/>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28">
    <w:name w:val="xl12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29">
    <w:name w:val="xl129"/>
    <w:basedOn w:val="ab"/>
    <w:rsid w:val="00F866C3"/>
    <w:pPr>
      <w:pBdr>
        <w:left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130">
    <w:name w:val="xl130"/>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napToGrid/>
      <w:color w:val="auto"/>
      <w:szCs w:val="24"/>
    </w:rPr>
  </w:style>
  <w:style w:type="paragraph" w:customStyle="1" w:styleId="xl131">
    <w:name w:val="xl13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32">
    <w:name w:val="xl13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3">
    <w:name w:val="xl133"/>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4">
    <w:name w:val="xl13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5">
    <w:name w:val="xl135"/>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36">
    <w:name w:val="xl13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pPr>
    <w:rPr>
      <w:rFonts w:ascii="Arial" w:hAnsi="Arial" w:cs="Arial"/>
      <w:snapToGrid/>
      <w:sz w:val="20"/>
    </w:rPr>
  </w:style>
  <w:style w:type="paragraph" w:customStyle="1" w:styleId="xl137">
    <w:name w:val="xl137"/>
    <w:basedOn w:val="ab"/>
    <w:rsid w:val="00F866C3"/>
    <w:pPr>
      <w:pBdr>
        <w:left w:val="single" w:sz="4" w:space="0" w:color="auto"/>
        <w:bottom w:val="single" w:sz="4" w:space="0" w:color="auto"/>
        <w:right w:val="single" w:sz="4" w:space="0" w:color="auto"/>
      </w:pBdr>
      <w:spacing w:before="100" w:beforeAutospacing="1" w:after="100" w:afterAutospacing="1"/>
      <w:jc w:val="left"/>
    </w:pPr>
    <w:rPr>
      <w:snapToGrid/>
      <w:color w:val="auto"/>
      <w:szCs w:val="24"/>
    </w:rPr>
  </w:style>
  <w:style w:type="paragraph" w:customStyle="1" w:styleId="xl138">
    <w:name w:val="xl138"/>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39">
    <w:name w:val="xl139"/>
    <w:basedOn w:val="ab"/>
    <w:rsid w:val="00F866C3"/>
    <w:pPr>
      <w:pBdr>
        <w:left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0">
    <w:name w:val="xl140"/>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1">
    <w:name w:val="xl14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Arial" w:hAnsi="Arial" w:cs="Arial"/>
      <w:snapToGrid/>
      <w:sz w:val="20"/>
    </w:rPr>
  </w:style>
  <w:style w:type="paragraph" w:customStyle="1" w:styleId="xl142">
    <w:name w:val="xl142"/>
    <w:basedOn w:val="ab"/>
    <w:rsid w:val="00F866C3"/>
    <w:pPr>
      <w:pBdr>
        <w:left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3">
    <w:name w:val="xl143"/>
    <w:basedOn w:val="ab"/>
    <w:rsid w:val="00F866C3"/>
    <w:pPr>
      <w:pBdr>
        <w:left w:val="single" w:sz="4" w:space="0" w:color="auto"/>
        <w:bottom w:val="single" w:sz="4" w:space="0" w:color="auto"/>
        <w:right w:val="single" w:sz="4" w:space="0" w:color="auto"/>
      </w:pBdr>
      <w:spacing w:before="100" w:beforeAutospacing="1" w:after="100" w:afterAutospacing="1"/>
      <w:jc w:val="left"/>
      <w:textAlignment w:val="top"/>
    </w:pPr>
    <w:rPr>
      <w:snapToGrid/>
      <w:color w:val="auto"/>
      <w:szCs w:val="24"/>
    </w:rPr>
  </w:style>
  <w:style w:type="paragraph" w:customStyle="1" w:styleId="xl144">
    <w:name w:val="xl144"/>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5">
    <w:name w:val="xl145"/>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6">
    <w:name w:val="xl146"/>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7">
    <w:name w:val="xl147"/>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48">
    <w:name w:val="xl148"/>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49">
    <w:name w:val="xl149"/>
    <w:basedOn w:val="ab"/>
    <w:rsid w:val="00F866C3"/>
    <w:pPr>
      <w:pBdr>
        <w:left w:val="single" w:sz="4" w:space="0" w:color="auto"/>
        <w:right w:val="single" w:sz="4" w:space="0" w:color="auto"/>
      </w:pBdr>
      <w:spacing w:before="100" w:beforeAutospacing="1" w:after="100" w:afterAutospacing="1"/>
      <w:jc w:val="left"/>
    </w:pPr>
    <w:rPr>
      <w:rFonts w:ascii="Arial" w:hAnsi="Arial" w:cs="Arial"/>
      <w:snapToGrid/>
      <w:color w:val="auto"/>
      <w:szCs w:val="24"/>
    </w:rPr>
  </w:style>
  <w:style w:type="paragraph" w:customStyle="1" w:styleId="xl150">
    <w:name w:val="xl150"/>
    <w:basedOn w:val="ab"/>
    <w:rsid w:val="00F866C3"/>
    <w:pPr>
      <w:pBdr>
        <w:left w:val="single" w:sz="4" w:space="0" w:color="auto"/>
        <w:bottom w:val="single" w:sz="4" w:space="0" w:color="auto"/>
        <w:right w:val="single" w:sz="4" w:space="0" w:color="auto"/>
      </w:pBdr>
      <w:spacing w:before="100" w:beforeAutospacing="1" w:after="100" w:afterAutospacing="1"/>
      <w:jc w:val="left"/>
    </w:pPr>
    <w:rPr>
      <w:rFonts w:ascii="Arial" w:hAnsi="Arial" w:cs="Arial"/>
      <w:snapToGrid/>
      <w:color w:val="auto"/>
      <w:szCs w:val="24"/>
    </w:rPr>
  </w:style>
  <w:style w:type="paragraph" w:customStyle="1" w:styleId="xl151">
    <w:name w:val="xl15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52">
    <w:name w:val="xl15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szCs w:val="24"/>
    </w:rPr>
  </w:style>
  <w:style w:type="paragraph" w:customStyle="1" w:styleId="xl153">
    <w:name w:val="xl153"/>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4">
    <w:name w:val="xl154"/>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5">
    <w:name w:val="xl155"/>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6">
    <w:name w:val="xl156"/>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57">
    <w:name w:val="xl157"/>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58">
    <w:name w:val="xl158"/>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Cs w:val="24"/>
    </w:rPr>
  </w:style>
  <w:style w:type="paragraph" w:customStyle="1" w:styleId="xl159">
    <w:name w:val="xl159"/>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0">
    <w:name w:val="xl160"/>
    <w:basedOn w:val="ab"/>
    <w:rsid w:val="00F866C3"/>
    <w:pPr>
      <w:pBdr>
        <w:left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1">
    <w:name w:val="xl161"/>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napToGrid/>
      <w:color w:val="auto"/>
      <w:szCs w:val="24"/>
    </w:rPr>
  </w:style>
  <w:style w:type="paragraph" w:customStyle="1" w:styleId="xl162">
    <w:name w:val="xl162"/>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snapToGrid/>
      <w:color w:val="auto"/>
      <w:szCs w:val="24"/>
    </w:rPr>
  </w:style>
  <w:style w:type="paragraph" w:customStyle="1" w:styleId="xl163">
    <w:name w:val="xl163"/>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64">
    <w:name w:val="xl16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 w:val="20"/>
    </w:rPr>
  </w:style>
  <w:style w:type="paragraph" w:customStyle="1" w:styleId="xl165">
    <w:name w:val="xl165"/>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66">
    <w:name w:val="xl166"/>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color w:val="auto"/>
      <w:szCs w:val="24"/>
    </w:rPr>
  </w:style>
  <w:style w:type="paragraph" w:customStyle="1" w:styleId="xl167">
    <w:name w:val="xl167"/>
    <w:basedOn w:val="ab"/>
    <w:rsid w:val="00F866C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napToGrid/>
      <w:sz w:val="20"/>
    </w:rPr>
  </w:style>
  <w:style w:type="paragraph" w:customStyle="1" w:styleId="xl168">
    <w:name w:val="xl168"/>
    <w:basedOn w:val="ab"/>
    <w:rsid w:val="00F866C3"/>
    <w:pPr>
      <w:pBdr>
        <w:top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snapToGrid/>
      <w:sz w:val="20"/>
    </w:rPr>
  </w:style>
  <w:style w:type="paragraph" w:customStyle="1" w:styleId="xl169">
    <w:name w:val="xl169"/>
    <w:basedOn w:val="ab"/>
    <w:rsid w:val="00F866C3"/>
    <w:pPr>
      <w:pBdr>
        <w:top w:val="single" w:sz="4" w:space="0" w:color="auto"/>
        <w:bottom w:val="single" w:sz="4" w:space="0" w:color="auto"/>
      </w:pBdr>
      <w:spacing w:before="100" w:beforeAutospacing="1" w:after="100" w:afterAutospacing="1"/>
      <w:jc w:val="center"/>
    </w:pPr>
    <w:rPr>
      <w:snapToGrid/>
      <w:color w:val="auto"/>
      <w:szCs w:val="24"/>
    </w:rPr>
  </w:style>
  <w:style w:type="paragraph" w:customStyle="1" w:styleId="xl170">
    <w:name w:val="xl170"/>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1">
    <w:name w:val="xl171"/>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2">
    <w:name w:val="xl172"/>
    <w:basedOn w:val="ab"/>
    <w:rsid w:val="00F866C3"/>
    <w:pPr>
      <w:pBdr>
        <w:left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3">
    <w:name w:val="xl173"/>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4">
    <w:name w:val="xl174"/>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paragraph" w:customStyle="1" w:styleId="xl175">
    <w:name w:val="xl175"/>
    <w:basedOn w:val="ab"/>
    <w:rsid w:val="00F866C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napToGrid/>
      <w:color w:val="auto"/>
      <w:szCs w:val="24"/>
    </w:rPr>
  </w:style>
  <w:style w:type="paragraph" w:customStyle="1" w:styleId="xl176">
    <w:name w:val="xl176"/>
    <w:basedOn w:val="ab"/>
    <w:rsid w:val="00F866C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napToGrid/>
      <w:sz w:val="20"/>
    </w:rPr>
  </w:style>
  <w:style w:type="character" w:customStyle="1" w:styleId="wrf-portal-dashboard-report-code">
    <w:name w:val="wrf-portal-dashboard-report-code"/>
    <w:basedOn w:val="ad"/>
    <w:rsid w:val="0018618C"/>
  </w:style>
  <w:style w:type="character" w:customStyle="1" w:styleId="tooltip">
    <w:name w:val="tooltip"/>
    <w:basedOn w:val="ad"/>
    <w:rsid w:val="00564BDF"/>
  </w:style>
  <w:style w:type="paragraph" w:customStyle="1" w:styleId="ASFKNameTable">
    <w:name w:val="_ASFK_Name_Table"/>
    <w:link w:val="ASFKNameTable0"/>
    <w:rsid w:val="001F3AD1"/>
    <w:pPr>
      <w:keepNext/>
      <w:numPr>
        <w:numId w:val="38"/>
      </w:numPr>
      <w:spacing w:before="240" w:after="120" w:line="240" w:lineRule="auto"/>
    </w:pPr>
    <w:rPr>
      <w:rFonts w:ascii="Times New Roman" w:eastAsia="Times New Roman" w:hAnsi="Times New Roman" w:cs="Times New Roman"/>
      <w:b/>
      <w:sz w:val="24"/>
      <w:szCs w:val="20"/>
      <w:lang w:eastAsia="ru-RU"/>
    </w:rPr>
  </w:style>
  <w:style w:type="paragraph" w:customStyle="1" w:styleId="16">
    <w:name w:val="Приложение 1"/>
    <w:basedOn w:val="ab"/>
    <w:next w:val="ab"/>
    <w:uiPriority w:val="99"/>
    <w:rsid w:val="006B3682"/>
    <w:pPr>
      <w:numPr>
        <w:numId w:val="39"/>
      </w:numPr>
      <w:tabs>
        <w:tab w:val="left" w:pos="1491"/>
      </w:tabs>
      <w:spacing w:before="240" w:after="60"/>
      <w:jc w:val="left"/>
      <w:outlineLvl w:val="0"/>
    </w:pPr>
    <w:rPr>
      <w:rFonts w:ascii="Arial" w:hAnsi="Arial"/>
      <w:b/>
      <w:sz w:val="32"/>
    </w:rPr>
  </w:style>
  <w:style w:type="paragraph" w:customStyle="1" w:styleId="2a">
    <w:name w:val="Приложение 2"/>
    <w:basedOn w:val="ab"/>
    <w:next w:val="ab"/>
    <w:uiPriority w:val="99"/>
    <w:rsid w:val="006B3682"/>
    <w:pPr>
      <w:numPr>
        <w:ilvl w:val="1"/>
        <w:numId w:val="39"/>
      </w:numPr>
      <w:tabs>
        <w:tab w:val="left" w:pos="1491"/>
      </w:tabs>
      <w:spacing w:before="240" w:after="60"/>
      <w:outlineLvl w:val="1"/>
    </w:pPr>
    <w:rPr>
      <w:rFonts w:ascii="Arial" w:hAnsi="Arial"/>
      <w:b/>
      <w:sz w:val="28"/>
    </w:rPr>
  </w:style>
  <w:style w:type="paragraph" w:customStyle="1" w:styleId="38">
    <w:name w:val="Приложение 3"/>
    <w:basedOn w:val="ab"/>
    <w:next w:val="ab"/>
    <w:uiPriority w:val="99"/>
    <w:rsid w:val="006B3682"/>
    <w:pPr>
      <w:numPr>
        <w:ilvl w:val="2"/>
        <w:numId w:val="39"/>
      </w:numPr>
      <w:tabs>
        <w:tab w:val="left" w:pos="1491"/>
      </w:tabs>
      <w:spacing w:before="240" w:after="60"/>
      <w:outlineLvl w:val="2"/>
    </w:pPr>
    <w:rPr>
      <w:rFonts w:ascii="Arial" w:hAnsi="Arial"/>
      <w:b/>
    </w:rPr>
  </w:style>
  <w:style w:type="paragraph" w:customStyle="1" w:styleId="44">
    <w:name w:val="Приложение 4"/>
    <w:basedOn w:val="ab"/>
    <w:next w:val="ab"/>
    <w:rsid w:val="006B3682"/>
    <w:pPr>
      <w:numPr>
        <w:ilvl w:val="3"/>
        <w:numId w:val="39"/>
      </w:numPr>
      <w:tabs>
        <w:tab w:val="left" w:pos="1491"/>
      </w:tabs>
      <w:spacing w:before="240" w:after="60"/>
      <w:jc w:val="left"/>
      <w:outlineLvl w:val="3"/>
    </w:pPr>
    <w:rPr>
      <w:b/>
      <w:sz w:val="28"/>
    </w:rPr>
  </w:style>
  <w:style w:type="paragraph" w:customStyle="1" w:styleId="GOSTNormal">
    <w:name w:val="_GOST_Normal"/>
    <w:link w:val="GOSTNormal0"/>
    <w:qFormat/>
    <w:rsid w:val="00DB5E04"/>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DB5E04"/>
    <w:rPr>
      <w:rFonts w:ascii="Times New Roman" w:eastAsia="Times New Roman" w:hAnsi="Times New Roman" w:cs="Times New Roman"/>
      <w:sz w:val="24"/>
      <w:szCs w:val="20"/>
      <w:lang w:eastAsia="ru-RU"/>
    </w:rPr>
  </w:style>
  <w:style w:type="paragraph" w:customStyle="1" w:styleId="GOSTListmark2">
    <w:name w:val="_GOST_List_mark2"/>
    <w:rsid w:val="00DB5E04"/>
    <w:pPr>
      <w:numPr>
        <w:numId w:val="40"/>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DB5E04"/>
    <w:pPr>
      <w:numPr>
        <w:numId w:val="41"/>
      </w:numPr>
    </w:pPr>
    <w:rPr>
      <w:color w:val="auto"/>
    </w:rPr>
  </w:style>
  <w:style w:type="paragraph" w:customStyle="1" w:styleId="OTRListmark1">
    <w:name w:val="_OTR_List_mark1"/>
    <w:link w:val="OTRListmark10"/>
    <w:rsid w:val="002C6F93"/>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character" w:customStyle="1" w:styleId="extended-textfull">
    <w:name w:val="extended-text__full"/>
    <w:basedOn w:val="ad"/>
    <w:rsid w:val="00C729B0"/>
  </w:style>
  <w:style w:type="paragraph" w:customStyle="1" w:styleId="10">
    <w:name w:val="_Заг.1"/>
    <w:next w:val="ab"/>
    <w:rsid w:val="002355F0"/>
    <w:pPr>
      <w:pageBreakBefore/>
      <w:numPr>
        <w:numId w:val="42"/>
      </w:numPr>
      <w:suppressAutoHyphens/>
      <w:spacing w:before="360" w:after="240" w:line="240" w:lineRule="auto"/>
      <w:outlineLvl w:val="0"/>
    </w:pPr>
    <w:rPr>
      <w:rFonts w:ascii="Arial" w:eastAsia="Times New Roman" w:hAnsi="Arial" w:cs="Arial"/>
      <w:b/>
      <w:bCs/>
      <w:sz w:val="30"/>
      <w:szCs w:val="32"/>
      <w:lang w:eastAsia="ru-RU"/>
    </w:rPr>
  </w:style>
  <w:style w:type="paragraph" w:customStyle="1" w:styleId="22">
    <w:name w:val="_Заг.2"/>
    <w:next w:val="ab"/>
    <w:rsid w:val="002355F0"/>
    <w:pPr>
      <w:numPr>
        <w:ilvl w:val="1"/>
        <w:numId w:val="42"/>
      </w:numPr>
      <w:suppressAutoHyphens/>
      <w:spacing w:before="360" w:after="240" w:line="240" w:lineRule="auto"/>
      <w:outlineLvl w:val="1"/>
    </w:pPr>
    <w:rPr>
      <w:rFonts w:ascii="Arial" w:eastAsia="Times New Roman" w:hAnsi="Arial" w:cs="Arial"/>
      <w:b/>
      <w:bCs/>
      <w:iCs/>
      <w:sz w:val="26"/>
      <w:szCs w:val="28"/>
      <w:lang w:eastAsia="ru-RU"/>
    </w:rPr>
  </w:style>
  <w:style w:type="paragraph" w:customStyle="1" w:styleId="32">
    <w:name w:val="_Заг.3"/>
    <w:next w:val="ab"/>
    <w:rsid w:val="002355F0"/>
    <w:pPr>
      <w:numPr>
        <w:ilvl w:val="2"/>
        <w:numId w:val="42"/>
      </w:numPr>
      <w:suppressAutoHyphens/>
      <w:spacing w:before="360" w:after="240" w:line="240" w:lineRule="auto"/>
      <w:outlineLvl w:val="2"/>
    </w:pPr>
    <w:rPr>
      <w:rFonts w:ascii="Arial" w:eastAsia="Times New Roman" w:hAnsi="Arial" w:cs="Arial"/>
      <w:b/>
      <w:bCs/>
      <w:i/>
      <w:iCs/>
      <w:sz w:val="24"/>
      <w:szCs w:val="28"/>
      <w:lang w:eastAsia="ru-RU"/>
    </w:rPr>
  </w:style>
  <w:style w:type="paragraph" w:customStyle="1" w:styleId="12">
    <w:name w:val="_Заг1.подПункт"/>
    <w:rsid w:val="002355F0"/>
    <w:pPr>
      <w:numPr>
        <w:ilvl w:val="4"/>
        <w:numId w:val="42"/>
      </w:numPr>
      <w:spacing w:before="120" w:after="0" w:line="240" w:lineRule="auto"/>
      <w:jc w:val="both"/>
    </w:pPr>
    <w:rPr>
      <w:rFonts w:ascii="Arial" w:eastAsia="Times New Roman" w:hAnsi="Arial" w:cs="Times New Roman"/>
      <w:spacing w:val="-2"/>
      <w:szCs w:val="20"/>
      <w:lang w:eastAsia="ru-RU"/>
    </w:rPr>
  </w:style>
  <w:style w:type="paragraph" w:customStyle="1" w:styleId="11">
    <w:name w:val="_Заг1.Пункт"/>
    <w:rsid w:val="002355F0"/>
    <w:pPr>
      <w:numPr>
        <w:ilvl w:val="3"/>
        <w:numId w:val="42"/>
      </w:numPr>
      <w:spacing w:before="120" w:after="0" w:line="240" w:lineRule="auto"/>
      <w:jc w:val="both"/>
    </w:pPr>
    <w:rPr>
      <w:rFonts w:ascii="Arial" w:eastAsia="Times New Roman" w:hAnsi="Arial" w:cs="Times New Roman"/>
      <w:spacing w:val="-2"/>
      <w:szCs w:val="20"/>
      <w:lang w:eastAsia="ru-RU"/>
    </w:rPr>
  </w:style>
  <w:style w:type="paragraph" w:customStyle="1" w:styleId="24">
    <w:name w:val="_Заг2.подПункт"/>
    <w:rsid w:val="002355F0"/>
    <w:pPr>
      <w:numPr>
        <w:ilvl w:val="6"/>
        <w:numId w:val="42"/>
      </w:numPr>
      <w:spacing w:before="120" w:after="0" w:line="240" w:lineRule="auto"/>
      <w:jc w:val="both"/>
    </w:pPr>
    <w:rPr>
      <w:rFonts w:ascii="Arial" w:eastAsia="Times New Roman" w:hAnsi="Arial" w:cs="Times New Roman"/>
      <w:spacing w:val="-2"/>
      <w:szCs w:val="20"/>
      <w:lang w:eastAsia="ru-RU"/>
    </w:rPr>
  </w:style>
  <w:style w:type="paragraph" w:customStyle="1" w:styleId="23">
    <w:name w:val="_Заг2.Пункт"/>
    <w:rsid w:val="002355F0"/>
    <w:pPr>
      <w:numPr>
        <w:ilvl w:val="5"/>
        <w:numId w:val="42"/>
      </w:numPr>
      <w:spacing w:before="120" w:after="0" w:line="240" w:lineRule="auto"/>
      <w:jc w:val="both"/>
    </w:pPr>
    <w:rPr>
      <w:rFonts w:ascii="Arial" w:eastAsia="Times New Roman" w:hAnsi="Arial" w:cs="Times New Roman"/>
      <w:spacing w:val="-2"/>
      <w:szCs w:val="20"/>
      <w:lang w:eastAsia="ru-RU"/>
    </w:rPr>
  </w:style>
  <w:style w:type="paragraph" w:customStyle="1" w:styleId="34">
    <w:name w:val="_Заг3.подПункт"/>
    <w:rsid w:val="002355F0"/>
    <w:pPr>
      <w:numPr>
        <w:ilvl w:val="8"/>
        <w:numId w:val="42"/>
      </w:numPr>
      <w:spacing w:before="120" w:after="0" w:line="240" w:lineRule="auto"/>
      <w:jc w:val="both"/>
    </w:pPr>
    <w:rPr>
      <w:rFonts w:ascii="Arial" w:eastAsia="Times New Roman" w:hAnsi="Arial" w:cs="Times New Roman"/>
      <w:spacing w:val="-2"/>
      <w:szCs w:val="20"/>
      <w:lang w:eastAsia="ru-RU"/>
    </w:rPr>
  </w:style>
  <w:style w:type="paragraph" w:customStyle="1" w:styleId="33">
    <w:name w:val="_Заг3.Пункт"/>
    <w:rsid w:val="002355F0"/>
    <w:pPr>
      <w:numPr>
        <w:ilvl w:val="7"/>
        <w:numId w:val="42"/>
      </w:numPr>
      <w:spacing w:before="120" w:after="0" w:line="240" w:lineRule="auto"/>
      <w:jc w:val="both"/>
    </w:pPr>
    <w:rPr>
      <w:rFonts w:ascii="Arial" w:eastAsia="Times New Roman" w:hAnsi="Arial" w:cs="Times New Roman"/>
      <w:spacing w:val="-2"/>
      <w:szCs w:val="20"/>
      <w:lang w:eastAsia="ru-RU"/>
    </w:rPr>
  </w:style>
  <w:style w:type="paragraph" w:customStyle="1" w:styleId="01">
    <w:name w:val="0 Список без нумер 1 ур"/>
    <w:qFormat/>
    <w:rsid w:val="008A0619"/>
    <w:pPr>
      <w:numPr>
        <w:numId w:val="43"/>
      </w:numPr>
      <w:spacing w:after="0" w:line="360" w:lineRule="auto"/>
      <w:contextualSpacing/>
      <w:jc w:val="both"/>
    </w:pPr>
    <w:rPr>
      <w:rFonts w:ascii="Times New Roman" w:eastAsia="Times New Roman" w:hAnsi="Times New Roman" w:cs="Times New Roman"/>
      <w:color w:val="000000"/>
      <w:sz w:val="28"/>
      <w:szCs w:val="24"/>
      <w:lang w:eastAsia="ru-RU"/>
    </w:rPr>
  </w:style>
  <w:style w:type="character" w:customStyle="1" w:styleId="CommentTextChar4">
    <w:name w:val="Comment Text Char4"/>
    <w:locked/>
    <w:rsid w:val="00F55AEE"/>
    <w:rPr>
      <w:lang w:val="en-US" w:eastAsia="en-US" w:bidi="ar-SA"/>
    </w:rPr>
  </w:style>
  <w:style w:type="character" w:styleId="HTML2">
    <w:name w:val="HTML Typewriter"/>
    <w:basedOn w:val="ad"/>
    <w:uiPriority w:val="99"/>
    <w:semiHidden/>
    <w:unhideWhenUsed/>
    <w:rsid w:val="00290C0E"/>
    <w:rPr>
      <w:rFonts w:ascii="Courier New" w:eastAsiaTheme="minorHAnsi" w:hAnsi="Courier New" w:cs="Courier New" w:hint="default"/>
      <w:sz w:val="20"/>
      <w:szCs w:val="20"/>
    </w:rPr>
  </w:style>
  <w:style w:type="paragraph" w:customStyle="1" w:styleId="T">
    <w:name w:val="T_ОН_Таблица изменений"/>
    <w:basedOn w:val="ab"/>
    <w:link w:val="T0"/>
    <w:uiPriority w:val="99"/>
    <w:rsid w:val="00AD40CA"/>
    <w:pPr>
      <w:spacing w:before="120"/>
      <w:jc w:val="center"/>
    </w:pPr>
    <w:rPr>
      <w:rFonts w:ascii="ISOCPEUR" w:hAnsi="ISOCPEUR"/>
      <w:i/>
      <w:snapToGrid/>
      <w:color w:val="auto"/>
      <w:sz w:val="18"/>
      <w:szCs w:val="14"/>
    </w:rPr>
  </w:style>
  <w:style w:type="character" w:customStyle="1" w:styleId="T0">
    <w:name w:val="T_ОН_Таблица изменений Знак"/>
    <w:link w:val="T"/>
    <w:uiPriority w:val="99"/>
    <w:locked/>
    <w:rsid w:val="00AD40CA"/>
    <w:rPr>
      <w:rFonts w:ascii="ISOCPEUR" w:eastAsia="Times New Roman" w:hAnsi="ISOCPEUR" w:cs="Times New Roman"/>
      <w:i/>
      <w:sz w:val="18"/>
      <w:szCs w:val="14"/>
      <w:lang w:eastAsia="ru-RU"/>
    </w:rPr>
  </w:style>
  <w:style w:type="paragraph" w:customStyle="1" w:styleId="T1">
    <w:name w:val="T_ОН_Заголовки"/>
    <w:basedOn w:val="ab"/>
    <w:uiPriority w:val="99"/>
    <w:rsid w:val="00AD40CA"/>
    <w:pPr>
      <w:widowControl w:val="0"/>
      <w:adjustRightInd w:val="0"/>
      <w:spacing w:before="120"/>
      <w:jc w:val="center"/>
      <w:textAlignment w:val="baseline"/>
    </w:pPr>
    <w:rPr>
      <w:rFonts w:ascii="ISOCPEUR" w:hAnsi="ISOCPEUR" w:cs="Arial"/>
      <w:i/>
      <w:snapToGrid/>
      <w:color w:val="auto"/>
      <w:sz w:val="20"/>
      <w:szCs w:val="18"/>
    </w:rPr>
  </w:style>
  <w:style w:type="paragraph" w:customStyle="1" w:styleId="T2">
    <w:name w:val="T_ОН_Дата"/>
    <w:basedOn w:val="ab"/>
    <w:link w:val="T3"/>
    <w:uiPriority w:val="99"/>
    <w:rsid w:val="00AD40CA"/>
    <w:pPr>
      <w:spacing w:before="120"/>
      <w:jc w:val="center"/>
    </w:pPr>
    <w:rPr>
      <w:rFonts w:ascii="ISOCPEUR" w:hAnsi="ISOCPEUR"/>
      <w:i/>
      <w:snapToGrid/>
      <w:color w:val="auto"/>
      <w:sz w:val="16"/>
      <w:szCs w:val="16"/>
    </w:rPr>
  </w:style>
  <w:style w:type="character" w:customStyle="1" w:styleId="T3">
    <w:name w:val="T_ОН_Дата Знак"/>
    <w:link w:val="T2"/>
    <w:uiPriority w:val="99"/>
    <w:locked/>
    <w:rsid w:val="00AD40CA"/>
    <w:rPr>
      <w:rFonts w:ascii="ISOCPEUR" w:eastAsia="Times New Roman" w:hAnsi="ISOCPEUR" w:cs="Times New Roman"/>
      <w:i/>
      <w:sz w:val="16"/>
      <w:szCs w:val="16"/>
      <w:lang w:eastAsia="ru-RU"/>
    </w:rPr>
  </w:style>
  <w:style w:type="paragraph" w:customStyle="1" w:styleId="T4">
    <w:name w:val="T_Тит_Обозначение"/>
    <w:basedOn w:val="ab"/>
    <w:uiPriority w:val="99"/>
    <w:rsid w:val="00AD40CA"/>
    <w:pPr>
      <w:widowControl w:val="0"/>
      <w:adjustRightInd w:val="0"/>
      <w:spacing w:before="120"/>
      <w:jc w:val="center"/>
      <w:textAlignment w:val="baseline"/>
    </w:pPr>
    <w:rPr>
      <w:rFonts w:ascii="ISOCPEUR" w:hAnsi="ISOCPEUR" w:cs="Arial"/>
      <w:i/>
      <w:snapToGrid/>
      <w:color w:val="auto"/>
      <w:sz w:val="38"/>
      <w:szCs w:val="32"/>
    </w:rPr>
  </w:style>
  <w:style w:type="paragraph" w:customStyle="1" w:styleId="T20">
    <w:name w:val="T_ОН_Лист 2"/>
    <w:basedOn w:val="ab"/>
    <w:uiPriority w:val="99"/>
    <w:rsid w:val="00AD40CA"/>
    <w:pPr>
      <w:spacing w:before="40"/>
      <w:jc w:val="center"/>
    </w:pPr>
    <w:rPr>
      <w:rFonts w:ascii="ISOCPEUR" w:hAnsi="ISOCPEUR"/>
      <w:i/>
      <w:snapToGrid/>
      <w:color w:val="auto"/>
      <w:sz w:val="22"/>
      <w:szCs w:val="24"/>
    </w:rPr>
  </w:style>
  <w:style w:type="paragraph" w:customStyle="1" w:styleId="T5">
    <w:name w:val="T_ОН_Номер листа"/>
    <w:basedOn w:val="ab"/>
    <w:uiPriority w:val="99"/>
    <w:rsid w:val="00AD40CA"/>
    <w:pPr>
      <w:widowControl w:val="0"/>
      <w:adjustRightInd w:val="0"/>
      <w:spacing w:before="60"/>
      <w:jc w:val="center"/>
      <w:textAlignment w:val="baseline"/>
    </w:pPr>
    <w:rPr>
      <w:rFonts w:ascii="ISOCPEUR" w:hAnsi="ISOCPEUR" w:cs="Arial"/>
      <w:i/>
      <w:snapToGrid/>
      <w:color w:val="auto"/>
      <w:sz w:val="28"/>
      <w:szCs w:val="18"/>
      <w:lang w:val="en-US"/>
    </w:rPr>
  </w:style>
  <w:style w:type="paragraph" w:customStyle="1" w:styleId="T6">
    <w:name w:val="T_ОН_Фирма"/>
    <w:basedOn w:val="ab"/>
    <w:link w:val="T7"/>
    <w:uiPriority w:val="99"/>
    <w:rsid w:val="00AD40CA"/>
    <w:pPr>
      <w:spacing w:before="120"/>
      <w:jc w:val="center"/>
    </w:pPr>
    <w:rPr>
      <w:rFonts w:ascii="ISOCPEUR" w:hAnsi="ISOCPEUR"/>
      <w:i/>
      <w:snapToGrid/>
      <w:color w:val="auto"/>
      <w:sz w:val="22"/>
      <w:szCs w:val="21"/>
    </w:rPr>
  </w:style>
  <w:style w:type="character" w:customStyle="1" w:styleId="T7">
    <w:name w:val="T_ОН_Фирма Знак"/>
    <w:link w:val="T6"/>
    <w:uiPriority w:val="99"/>
    <w:locked/>
    <w:rsid w:val="00AD40CA"/>
    <w:rPr>
      <w:rFonts w:ascii="ISOCPEUR" w:eastAsia="Times New Roman" w:hAnsi="ISOCPEUR" w:cs="Times New Roman"/>
      <w:i/>
      <w:szCs w:val="21"/>
      <w:lang w:eastAsia="ru-RU"/>
    </w:rPr>
  </w:style>
  <w:style w:type="character" w:customStyle="1" w:styleId="res-name">
    <w:name w:val="res-name"/>
    <w:basedOn w:val="ad"/>
    <w:rsid w:val="004D1645"/>
  </w:style>
  <w:style w:type="paragraph" w:customStyle="1" w:styleId="a1">
    <w:name w:val="Маркированный абзац"/>
    <w:basedOn w:val="ab"/>
    <w:qFormat/>
    <w:rsid w:val="00592430"/>
    <w:pPr>
      <w:numPr>
        <w:numId w:val="46"/>
      </w:numPr>
      <w:spacing w:after="60" w:line="276" w:lineRule="auto"/>
      <w:contextualSpacing/>
    </w:pPr>
    <w:rPr>
      <w:rFonts w:ascii="Calibri" w:hAnsi="Calibri"/>
      <w:snapToGrid/>
      <w:color w:val="auto"/>
      <w:sz w:val="28"/>
      <w:lang w:val="en-US" w:eastAsia="en-US"/>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locked/>
    <w:rsid w:val="009B56EC"/>
    <w:rPr>
      <w:rFonts w:ascii="Cambria" w:hAnsi="Cambria" w:cs="Cambria"/>
      <w:b/>
      <w:bCs/>
      <w:sz w:val="26"/>
      <w:szCs w:val="26"/>
    </w:rPr>
  </w:style>
  <w:style w:type="character" w:customStyle="1" w:styleId="1b">
    <w:name w:val="Список маркированный уровень 1 Знак"/>
    <w:link w:val="13"/>
    <w:rsid w:val="009A18E6"/>
    <w:rPr>
      <w:rFonts w:ascii="Times New Roman" w:eastAsia="Times New Roman" w:hAnsi="Times New Roman" w:cs="Times New Roman"/>
      <w:snapToGrid w:val="0"/>
      <w:sz w:val="28"/>
      <w:szCs w:val="20"/>
      <w:lang w:eastAsia="ru-RU"/>
    </w:rPr>
  </w:style>
  <w:style w:type="paragraph" w:styleId="affffff8">
    <w:name w:val="No Spacing"/>
    <w:uiPriority w:val="1"/>
    <w:qFormat/>
    <w:rsid w:val="007B2F1B"/>
    <w:pPr>
      <w:spacing w:after="0" w:line="240" w:lineRule="auto"/>
    </w:pPr>
    <w:rPr>
      <w:rFonts w:ascii="Calibri" w:eastAsia="Calibri" w:hAnsi="Calibri" w:cs="Times New Roman"/>
    </w:rPr>
  </w:style>
  <w:style w:type="character" w:customStyle="1" w:styleId="wrf-favorite-tree-cell-text-content">
    <w:name w:val="wrf-favorite-tree-cell-text-content"/>
    <w:basedOn w:val="ad"/>
    <w:rsid w:val="002E3333"/>
  </w:style>
  <w:style w:type="character" w:customStyle="1" w:styleId="wrf-favorite-card-cell-text-content">
    <w:name w:val="wrf-favorite-card-cell-text-content"/>
    <w:basedOn w:val="ad"/>
    <w:rsid w:val="00F16A39"/>
  </w:style>
  <w:style w:type="paragraph" w:customStyle="1" w:styleId="font5">
    <w:name w:val="font5"/>
    <w:basedOn w:val="ab"/>
    <w:rsid w:val="00F64051"/>
    <w:pPr>
      <w:spacing w:before="100" w:beforeAutospacing="1" w:after="100" w:afterAutospacing="1"/>
      <w:jc w:val="left"/>
    </w:pPr>
    <w:rPr>
      <w:b/>
      <w:bCs/>
      <w:snapToGrid/>
      <w:sz w:val="20"/>
    </w:rPr>
  </w:style>
  <w:style w:type="paragraph" w:customStyle="1" w:styleId="font6">
    <w:name w:val="font6"/>
    <w:basedOn w:val="ab"/>
    <w:rsid w:val="00F64051"/>
    <w:pPr>
      <w:spacing w:before="100" w:beforeAutospacing="1" w:after="100" w:afterAutospacing="1"/>
      <w:jc w:val="left"/>
    </w:pPr>
    <w:rPr>
      <w:b/>
      <w:bCs/>
      <w:snapToGrid/>
      <w:sz w:val="14"/>
      <w:szCs w:val="14"/>
    </w:rPr>
  </w:style>
  <w:style w:type="paragraph" w:customStyle="1" w:styleId="font7">
    <w:name w:val="font7"/>
    <w:basedOn w:val="ab"/>
    <w:rsid w:val="00F64051"/>
    <w:pPr>
      <w:spacing w:before="100" w:beforeAutospacing="1" w:after="100" w:afterAutospacing="1"/>
      <w:jc w:val="left"/>
    </w:pPr>
    <w:rPr>
      <w:snapToGrid/>
      <w:sz w:val="20"/>
    </w:rPr>
  </w:style>
  <w:style w:type="paragraph" w:customStyle="1" w:styleId="font8">
    <w:name w:val="font8"/>
    <w:basedOn w:val="ab"/>
    <w:rsid w:val="00F64051"/>
    <w:pPr>
      <w:spacing w:before="100" w:beforeAutospacing="1" w:after="100" w:afterAutospacing="1"/>
      <w:jc w:val="left"/>
    </w:pPr>
    <w:rPr>
      <w:snapToGrid/>
      <w:sz w:val="14"/>
      <w:szCs w:val="14"/>
    </w:rPr>
  </w:style>
  <w:style w:type="paragraph" w:customStyle="1" w:styleId="font9">
    <w:name w:val="font9"/>
    <w:basedOn w:val="ab"/>
    <w:rsid w:val="00F64051"/>
    <w:pPr>
      <w:spacing w:before="100" w:beforeAutospacing="1" w:after="100" w:afterAutospacing="1"/>
      <w:jc w:val="left"/>
    </w:pPr>
    <w:rPr>
      <w:snapToGrid/>
      <w:sz w:val="14"/>
      <w:szCs w:val="14"/>
    </w:rPr>
  </w:style>
  <w:style w:type="paragraph" w:customStyle="1" w:styleId="font10">
    <w:name w:val="font10"/>
    <w:basedOn w:val="ab"/>
    <w:rsid w:val="00F64051"/>
    <w:pPr>
      <w:spacing w:before="100" w:beforeAutospacing="1" w:after="100" w:afterAutospacing="1"/>
      <w:jc w:val="left"/>
    </w:pPr>
    <w:rPr>
      <w:b/>
      <w:bCs/>
      <w:snapToGrid/>
      <w:sz w:val="20"/>
    </w:rPr>
  </w:style>
  <w:style w:type="character" w:styleId="HTML3">
    <w:name w:val="HTML Code"/>
    <w:basedOn w:val="ad"/>
    <w:uiPriority w:val="99"/>
    <w:semiHidden/>
    <w:unhideWhenUsed/>
    <w:rsid w:val="00E1459D"/>
    <w:rPr>
      <w:rFonts w:ascii="Courier New" w:eastAsia="Times New Roman" w:hAnsi="Courier New" w:cs="Courier New"/>
      <w:sz w:val="20"/>
      <w:szCs w:val="20"/>
    </w:rPr>
  </w:style>
  <w:style w:type="paragraph" w:customStyle="1" w:styleId="OTRListNum">
    <w:name w:val="OTR_List_Num"/>
    <w:basedOn w:val="ab"/>
    <w:link w:val="OTRListNum0"/>
    <w:rsid w:val="00D90944"/>
    <w:pPr>
      <w:numPr>
        <w:numId w:val="79"/>
      </w:numPr>
      <w:tabs>
        <w:tab w:val="left" w:pos="851"/>
      </w:tabs>
      <w:spacing w:before="60" w:after="60"/>
    </w:pPr>
  </w:style>
  <w:style w:type="character" w:customStyle="1" w:styleId="GOSTTablenorm">
    <w:name w:val="_GOST_Table_norm Знак"/>
    <w:link w:val="GOSTTablenorm0"/>
    <w:qFormat/>
    <w:rsid w:val="00D90944"/>
  </w:style>
  <w:style w:type="paragraph" w:customStyle="1" w:styleId="GOSTTablenorm0">
    <w:name w:val="_GOST_Table_norm"/>
    <w:link w:val="GOSTTablenorm"/>
    <w:qFormat/>
    <w:rsid w:val="00D90944"/>
    <w:pPr>
      <w:spacing w:after="0" w:line="240" w:lineRule="auto"/>
      <w:ind w:left="57" w:right="57"/>
      <w:jc w:val="both"/>
    </w:pPr>
  </w:style>
  <w:style w:type="table" w:customStyle="1" w:styleId="1f3">
    <w:name w:val="Сетка таблицы1"/>
    <w:basedOn w:val="ae"/>
    <w:next w:val="affe"/>
    <w:uiPriority w:val="59"/>
    <w:rsid w:val="00D9094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c">
    <w:name w:val="Заголовок 4 (ф)"/>
    <w:basedOn w:val="ab"/>
    <w:rsid w:val="00D90944"/>
    <w:pPr>
      <w:spacing w:before="60" w:after="60"/>
      <w:ind w:firstLine="709"/>
    </w:pPr>
    <w:rPr>
      <w:b/>
      <w:i/>
      <w:snapToGrid/>
      <w:color w:val="auto"/>
      <w:szCs w:val="24"/>
    </w:rPr>
  </w:style>
  <w:style w:type="paragraph" w:customStyle="1" w:styleId="affffff9">
    <w:name w:val="Обычный (ф)"/>
    <w:basedOn w:val="ab"/>
    <w:link w:val="affffffa"/>
    <w:rsid w:val="00D90944"/>
    <w:pPr>
      <w:ind w:firstLine="709"/>
    </w:pPr>
    <w:rPr>
      <w:snapToGrid/>
      <w:color w:val="auto"/>
      <w:szCs w:val="24"/>
    </w:rPr>
  </w:style>
  <w:style w:type="character" w:customStyle="1" w:styleId="affffffa">
    <w:name w:val="Обычный (ф) Знак Знак"/>
    <w:link w:val="affffff9"/>
    <w:rsid w:val="00D90944"/>
    <w:rPr>
      <w:rFonts w:ascii="Times New Roman" w:eastAsia="Times New Roman" w:hAnsi="Times New Roman" w:cs="Times New Roman"/>
      <w:sz w:val="24"/>
      <w:szCs w:val="24"/>
      <w:lang w:eastAsia="ru-RU"/>
    </w:rPr>
  </w:style>
  <w:style w:type="paragraph" w:customStyle="1" w:styleId="affffffb">
    <w:name w:val="Простой"/>
    <w:basedOn w:val="ab"/>
    <w:rsid w:val="00D90944"/>
    <w:pPr>
      <w:ind w:firstLine="709"/>
    </w:pPr>
    <w:rPr>
      <w:snapToGrid/>
      <w:color w:val="auto"/>
      <w:sz w:val="28"/>
    </w:rPr>
  </w:style>
  <w:style w:type="character" w:customStyle="1" w:styleId="affff3">
    <w:name w:val="Обычный для таблиц Знак"/>
    <w:link w:val="affff2"/>
    <w:rsid w:val="00D90944"/>
    <w:rPr>
      <w:rFonts w:ascii="Times New Roman" w:eastAsia="Times New Roman" w:hAnsi="Times New Roman" w:cs="Times New Roman"/>
      <w:sz w:val="28"/>
      <w:szCs w:val="24"/>
      <w:lang w:eastAsia="ru-RU"/>
    </w:rPr>
  </w:style>
  <w:style w:type="paragraph" w:customStyle="1" w:styleId="affffffc">
    <w:name w:val="Главный заголовок"/>
    <w:basedOn w:val="ab"/>
    <w:rsid w:val="00D90944"/>
    <w:pPr>
      <w:jc w:val="center"/>
    </w:pPr>
    <w:rPr>
      <w:smallCaps/>
      <w:sz w:val="36"/>
      <w:szCs w:val="36"/>
    </w:rPr>
  </w:style>
  <w:style w:type="paragraph" w:customStyle="1" w:styleId="affffffd">
    <w:name w:val="Примечание"/>
    <w:basedOn w:val="affffffc"/>
    <w:rsid w:val="00D90944"/>
    <w:pPr>
      <w:jc w:val="both"/>
    </w:pPr>
    <w:rPr>
      <w:b/>
      <w:sz w:val="24"/>
      <w:szCs w:val="24"/>
      <w:lang w:val="en-US"/>
    </w:rPr>
  </w:style>
  <w:style w:type="character" w:customStyle="1" w:styleId="affffffe">
    <w:name w:val="Файл_Путь"/>
    <w:rsid w:val="00D90944"/>
    <w:rPr>
      <w:rFonts w:ascii="Courier New" w:hAnsi="Courier New" w:cs="Courier New"/>
      <w:b/>
    </w:rPr>
  </w:style>
  <w:style w:type="character" w:customStyle="1" w:styleId="afffffff">
    <w:name w:val="Файл_Путь_Выделенный"/>
    <w:rsid w:val="00D90944"/>
    <w:rPr>
      <w:rFonts w:ascii="Courier New" w:hAnsi="Courier New" w:cs="Courier New"/>
      <w:b/>
      <w:i/>
      <w:color w:val="0000FF"/>
    </w:rPr>
  </w:style>
  <w:style w:type="paragraph" w:customStyle="1" w:styleId="3f3">
    <w:name w:val="Подзаголовок_3"/>
    <w:basedOn w:val="35"/>
    <w:rsid w:val="00D90944"/>
    <w:pPr>
      <w:numPr>
        <w:ilvl w:val="0"/>
        <w:numId w:val="0"/>
      </w:numPr>
      <w:ind w:left="4433" w:hanging="180"/>
    </w:pPr>
  </w:style>
  <w:style w:type="character" w:customStyle="1" w:styleId="EBNormal">
    <w:name w:val="_EB_Normal Знак"/>
    <w:link w:val="EBNormal0"/>
    <w:rsid w:val="00D90944"/>
    <w:rPr>
      <w:sz w:val="24"/>
      <w:lang w:eastAsia="ru-RU"/>
    </w:rPr>
  </w:style>
  <w:style w:type="paragraph" w:customStyle="1" w:styleId="EBNormal0">
    <w:name w:val="_EB_Normal"/>
    <w:link w:val="EBNormal"/>
    <w:rsid w:val="00D90944"/>
    <w:pPr>
      <w:spacing w:before="120" w:after="60" w:line="240" w:lineRule="auto"/>
      <w:ind w:firstLine="567"/>
      <w:contextualSpacing/>
      <w:jc w:val="both"/>
    </w:pPr>
    <w:rPr>
      <w:sz w:val="24"/>
      <w:lang w:eastAsia="ru-RU"/>
    </w:rPr>
  </w:style>
  <w:style w:type="character" w:customStyle="1" w:styleId="CommentTextChar">
    <w:name w:val="Comment Text Char"/>
    <w:basedOn w:val="ad"/>
    <w:rsid w:val="00D90944"/>
  </w:style>
  <w:style w:type="paragraph" w:customStyle="1" w:styleId="EBTableListMark">
    <w:name w:val="_EB_Table_List_Mark"/>
    <w:link w:val="EBTableListMark0"/>
    <w:rsid w:val="00D90944"/>
    <w:pPr>
      <w:tabs>
        <w:tab w:val="left" w:pos="170"/>
      </w:tabs>
      <w:spacing w:before="60" w:after="60" w:line="240" w:lineRule="auto"/>
    </w:pPr>
    <w:rPr>
      <w:rFonts w:ascii="Times New Roman" w:eastAsia="Times New Roman" w:hAnsi="Times New Roman" w:cs="Times New Roman"/>
      <w:sz w:val="28"/>
      <w:szCs w:val="20"/>
      <w:lang w:eastAsia="ru-RU"/>
    </w:rPr>
  </w:style>
  <w:style w:type="character" w:customStyle="1" w:styleId="EBTableListMark0">
    <w:name w:val="_EB_Table_List_Mark Знак"/>
    <w:link w:val="EBTableListMark"/>
    <w:rsid w:val="00D90944"/>
    <w:rPr>
      <w:rFonts w:ascii="Times New Roman" w:eastAsia="Times New Roman" w:hAnsi="Times New Roman" w:cs="Times New Roman"/>
      <w:sz w:val="28"/>
      <w:szCs w:val="20"/>
      <w:lang w:eastAsia="ru-RU"/>
    </w:rPr>
  </w:style>
  <w:style w:type="paragraph" w:customStyle="1" w:styleId="a9">
    <w:name w:val="ТребНумСпис"/>
    <w:rsid w:val="00D90944"/>
    <w:pPr>
      <w:numPr>
        <w:numId w:val="80"/>
      </w:numPr>
      <w:spacing w:before="120" w:after="0" w:line="240" w:lineRule="auto"/>
    </w:pPr>
    <w:rPr>
      <w:rFonts w:ascii="Verdana" w:eastAsia="Times New Roman" w:hAnsi="Verdana" w:cs="Times New Roman"/>
      <w:iCs/>
      <w:sz w:val="18"/>
    </w:rPr>
  </w:style>
  <w:style w:type="paragraph" w:customStyle="1" w:styleId="Body1">
    <w:name w:val="Body 1"/>
    <w:rsid w:val="00D90944"/>
    <w:pPr>
      <w:spacing w:after="0" w:line="240" w:lineRule="auto"/>
    </w:pPr>
    <w:rPr>
      <w:rFonts w:ascii="Helvetica" w:eastAsia="Arial Unicode MS" w:hAnsi="Helvetica" w:cs="Times New Roman"/>
      <w:color w:val="000000"/>
      <w:sz w:val="24"/>
      <w:szCs w:val="20"/>
      <w:lang w:eastAsia="ru-RU"/>
    </w:rPr>
  </w:style>
  <w:style w:type="paragraph" w:customStyle="1" w:styleId="TableCellL">
    <w:name w:val="Table Cell L"/>
    <w:basedOn w:val="ab"/>
    <w:rsid w:val="00D90944"/>
    <w:pPr>
      <w:numPr>
        <w:numId w:val="81"/>
      </w:numPr>
      <w:tabs>
        <w:tab w:val="clear" w:pos="360"/>
      </w:tabs>
      <w:ind w:left="0" w:firstLine="0"/>
      <w:jc w:val="left"/>
    </w:pPr>
    <w:rPr>
      <w:lang w:eastAsia="en-US"/>
    </w:rPr>
  </w:style>
  <w:style w:type="paragraph" w:customStyle="1" w:styleId="-8">
    <w:name w:val="Табл-текст"/>
    <w:basedOn w:val="ab"/>
    <w:link w:val="-9"/>
    <w:qFormat/>
    <w:rsid w:val="00D90944"/>
    <w:pPr>
      <w:spacing w:before="40" w:after="40" w:line="360" w:lineRule="exact"/>
      <w:ind w:left="28" w:right="28"/>
      <w:jc w:val="left"/>
    </w:pPr>
    <w:rPr>
      <w:sz w:val="28"/>
    </w:rPr>
  </w:style>
  <w:style w:type="character" w:customStyle="1" w:styleId="-9">
    <w:name w:val="Табл-текст Знак"/>
    <w:link w:val="-8"/>
    <w:locked/>
    <w:rsid w:val="00D90944"/>
    <w:rPr>
      <w:rFonts w:ascii="Times New Roman" w:eastAsia="Times New Roman" w:hAnsi="Times New Roman" w:cs="Times New Roman"/>
      <w:snapToGrid w:val="0"/>
      <w:color w:val="000000"/>
      <w:sz w:val="28"/>
      <w:szCs w:val="20"/>
      <w:lang w:eastAsia="ru-RU"/>
    </w:rPr>
  </w:style>
  <w:style w:type="character" w:customStyle="1" w:styleId="afffffff0">
    <w:name w:val="Гипертекстовая ссылка"/>
    <w:uiPriority w:val="99"/>
    <w:rsid w:val="00D90944"/>
    <w:rPr>
      <w:color w:val="106BBE"/>
    </w:rPr>
  </w:style>
  <w:style w:type="paragraph" w:customStyle="1" w:styleId="1f4">
    <w:name w:val="Обычный1"/>
    <w:rsid w:val="00D90944"/>
    <w:pPr>
      <w:widowControl w:val="0"/>
      <w:spacing w:after="0" w:line="360" w:lineRule="auto"/>
      <w:ind w:firstLine="720"/>
      <w:jc w:val="both"/>
    </w:pPr>
    <w:rPr>
      <w:rFonts w:ascii="Times New Roman" w:eastAsia="Times New Roman" w:hAnsi="Times New Roman" w:cs="Times New Roman"/>
      <w:color w:val="000000"/>
      <w:sz w:val="24"/>
      <w:lang w:eastAsia="ru-RU"/>
    </w:rPr>
  </w:style>
  <w:style w:type="paragraph" w:customStyle="1" w:styleId="afffffff1">
    <w:name w:val="Прижатый влево"/>
    <w:basedOn w:val="ab"/>
    <w:next w:val="ab"/>
    <w:uiPriority w:val="99"/>
    <w:rsid w:val="00D90944"/>
    <w:pPr>
      <w:autoSpaceDE w:val="0"/>
      <w:autoSpaceDN w:val="0"/>
      <w:adjustRightInd w:val="0"/>
      <w:jc w:val="left"/>
    </w:pPr>
    <w:rPr>
      <w:rFonts w:ascii="Arial" w:hAnsi="Arial" w:cs="Arial"/>
    </w:rPr>
  </w:style>
  <w:style w:type="paragraph" w:customStyle="1" w:styleId="afffffff2">
    <w:name w:val="Обычный без отступа"/>
    <w:basedOn w:val="ab"/>
    <w:uiPriority w:val="99"/>
    <w:qFormat/>
    <w:rsid w:val="00D90944"/>
    <w:pPr>
      <w:spacing w:before="120" w:line="276" w:lineRule="auto"/>
    </w:pPr>
    <w:rPr>
      <w:rFonts w:eastAsia="Calibri"/>
      <w:lang w:eastAsia="en-US"/>
    </w:rPr>
  </w:style>
  <w:style w:type="character" w:customStyle="1" w:styleId="OTRListmark10">
    <w:name w:val="_OTR_List_mark1 Знак"/>
    <w:link w:val="OTRListmark1"/>
    <w:rsid w:val="00D90944"/>
    <w:rPr>
      <w:rFonts w:ascii="Times New Roman" w:eastAsia="Times New Roman" w:hAnsi="Times New Roman" w:cs="Times New Roman"/>
      <w:snapToGrid w:val="0"/>
      <w:sz w:val="24"/>
      <w:szCs w:val="20"/>
      <w:lang w:eastAsia="ru-RU"/>
    </w:rPr>
  </w:style>
  <w:style w:type="paragraph" w:customStyle="1" w:styleId="OTRNameFigure">
    <w:name w:val="OTR_Name_Figure"/>
    <w:basedOn w:val="ab"/>
    <w:rsid w:val="00D90944"/>
    <w:pPr>
      <w:numPr>
        <w:numId w:val="82"/>
      </w:numPr>
      <w:tabs>
        <w:tab w:val="clear" w:pos="720"/>
        <w:tab w:val="num" w:pos="360"/>
        <w:tab w:val="num" w:pos="1854"/>
      </w:tabs>
      <w:spacing w:before="120" w:after="120"/>
      <w:ind w:left="1494" w:firstLine="0"/>
      <w:jc w:val="center"/>
    </w:pPr>
    <w:rPr>
      <w:b/>
    </w:rPr>
  </w:style>
  <w:style w:type="character" w:customStyle="1" w:styleId="t10">
    <w:name w:val="t1"/>
    <w:rsid w:val="00D90944"/>
    <w:rPr>
      <w:color w:val="990000"/>
    </w:rPr>
  </w:style>
  <w:style w:type="paragraph" w:customStyle="1" w:styleId="ASFKTablenorm">
    <w:name w:val="_ASFK_Table_norm"/>
    <w:link w:val="ASFKTablenorm0"/>
    <w:uiPriority w:val="99"/>
    <w:rsid w:val="00D90944"/>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uiPriority w:val="99"/>
    <w:rsid w:val="00D90944"/>
    <w:rPr>
      <w:rFonts w:ascii="Calibri" w:eastAsia="Calibri" w:hAnsi="Calibri" w:cs="Times New Roman"/>
      <w:sz w:val="28"/>
      <w:szCs w:val="20"/>
      <w:lang w:eastAsia="ru-RU"/>
    </w:rPr>
  </w:style>
  <w:style w:type="paragraph" w:customStyle="1" w:styleId="02">
    <w:name w:val="0 Список без нумер 2 ур"/>
    <w:qFormat/>
    <w:rsid w:val="00D90944"/>
    <w:pPr>
      <w:tabs>
        <w:tab w:val="num" w:pos="1565"/>
      </w:tabs>
      <w:spacing w:after="0" w:line="360" w:lineRule="auto"/>
      <w:ind w:left="1565" w:hanging="431"/>
      <w:jc w:val="both"/>
    </w:pPr>
    <w:rPr>
      <w:rFonts w:ascii="Times New Roman" w:eastAsia="Times New Roman" w:hAnsi="Times New Roman" w:cs="Times New Roman"/>
      <w:color w:val="000000"/>
      <w:sz w:val="28"/>
      <w:szCs w:val="24"/>
      <w:lang w:eastAsia="ru-RU"/>
    </w:rPr>
  </w:style>
  <w:style w:type="paragraph" w:styleId="afffffff3">
    <w:name w:val="Plain Text"/>
    <w:basedOn w:val="ab"/>
    <w:link w:val="afffffff4"/>
    <w:uiPriority w:val="99"/>
    <w:unhideWhenUsed/>
    <w:rsid w:val="00D90944"/>
    <w:pPr>
      <w:jc w:val="left"/>
    </w:pPr>
    <w:rPr>
      <w:rFonts w:ascii="Consolas" w:eastAsia="Calibri" w:hAnsi="Consolas"/>
      <w:sz w:val="21"/>
      <w:szCs w:val="21"/>
      <w:lang w:eastAsia="en-US"/>
    </w:rPr>
  </w:style>
  <w:style w:type="character" w:customStyle="1" w:styleId="afffffff4">
    <w:name w:val="Текст Знак"/>
    <w:basedOn w:val="ad"/>
    <w:link w:val="afffffff3"/>
    <w:uiPriority w:val="99"/>
    <w:rsid w:val="00D90944"/>
    <w:rPr>
      <w:rFonts w:ascii="Consolas" w:eastAsia="Calibri" w:hAnsi="Consolas" w:cs="Times New Roman"/>
      <w:snapToGrid w:val="0"/>
      <w:color w:val="000000"/>
      <w:sz w:val="21"/>
      <w:szCs w:val="21"/>
    </w:rPr>
  </w:style>
  <w:style w:type="paragraph" w:customStyle="1" w:styleId="Default">
    <w:name w:val="Default"/>
    <w:rsid w:val="00D90944"/>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OTRNameTable">
    <w:name w:val="OTR_Name_Table"/>
    <w:basedOn w:val="ab"/>
    <w:link w:val="OTRNameTable0"/>
    <w:qFormat/>
    <w:rsid w:val="00D90944"/>
    <w:pPr>
      <w:keepNext/>
      <w:spacing w:before="120"/>
    </w:pPr>
    <w:rPr>
      <w:b/>
    </w:rPr>
  </w:style>
  <w:style w:type="character" w:customStyle="1" w:styleId="OTRNameTable0">
    <w:name w:val="OTR_Name_Table Знак"/>
    <w:link w:val="OTRNameTable"/>
    <w:rsid w:val="00D90944"/>
    <w:rPr>
      <w:rFonts w:ascii="Times New Roman" w:eastAsia="Times New Roman" w:hAnsi="Times New Roman" w:cs="Times New Roman"/>
      <w:b/>
      <w:snapToGrid w:val="0"/>
      <w:color w:val="000000"/>
      <w:sz w:val="24"/>
      <w:szCs w:val="20"/>
      <w:lang w:eastAsia="ru-RU"/>
    </w:rPr>
  </w:style>
  <w:style w:type="character" w:customStyle="1" w:styleId="OTRListNum0">
    <w:name w:val="OTR_List_Num Знак Знак"/>
    <w:link w:val="OTRListNum"/>
    <w:rsid w:val="00D90944"/>
    <w:rPr>
      <w:rFonts w:ascii="Times New Roman" w:eastAsia="Times New Roman" w:hAnsi="Times New Roman" w:cs="Times New Roman"/>
      <w:snapToGrid w:val="0"/>
      <w:color w:val="000000"/>
      <w:sz w:val="24"/>
      <w:szCs w:val="20"/>
      <w:lang w:eastAsia="ru-RU"/>
    </w:rPr>
  </w:style>
  <w:style w:type="character" w:customStyle="1" w:styleId="apple-converted-space">
    <w:name w:val="apple-converted-space"/>
    <w:basedOn w:val="ad"/>
    <w:rsid w:val="00D90944"/>
  </w:style>
  <w:style w:type="paragraph" w:customStyle="1" w:styleId="010">
    <w:name w:val="0 Таблица Текст_1"/>
    <w:basedOn w:val="ab"/>
    <w:uiPriority w:val="99"/>
    <w:qFormat/>
    <w:rsid w:val="00D90944"/>
    <w:rPr>
      <w:sz w:val="20"/>
    </w:rPr>
  </w:style>
  <w:style w:type="paragraph" w:customStyle="1" w:styleId="enum1">
    <w:name w:val="e_num1"/>
    <w:basedOn w:val="NewNormal"/>
    <w:link w:val="enum10"/>
    <w:qFormat/>
    <w:rsid w:val="00D90944"/>
    <w:pPr>
      <w:numPr>
        <w:numId w:val="83"/>
      </w:numPr>
      <w:spacing w:before="120" w:after="120" w:line="360" w:lineRule="exact"/>
    </w:pPr>
    <w:rPr>
      <w:szCs w:val="28"/>
    </w:rPr>
  </w:style>
  <w:style w:type="character" w:customStyle="1" w:styleId="enum10">
    <w:name w:val="e_num1 Знак"/>
    <w:link w:val="enum1"/>
    <w:rsid w:val="00D90944"/>
    <w:rPr>
      <w:rFonts w:ascii="Times New Roman" w:eastAsia="Times New Roman" w:hAnsi="Times New Roman" w:cs="Times New Roman"/>
      <w:sz w:val="28"/>
      <w:szCs w:val="28"/>
      <w:lang w:eastAsia="ru-RU"/>
    </w:rPr>
  </w:style>
  <w:style w:type="paragraph" w:customStyle="1" w:styleId="ASFKTableHead">
    <w:name w:val="_ASFK_Table_Head"/>
    <w:basedOn w:val="ASFKTablenorm"/>
    <w:uiPriority w:val="99"/>
    <w:rsid w:val="00D90944"/>
    <w:pPr>
      <w:keepNext/>
      <w:suppressAutoHyphens/>
      <w:jc w:val="center"/>
    </w:pPr>
    <w:rPr>
      <w:rFonts w:ascii="Times New Roman" w:eastAsia="Times New Roman" w:hAnsi="Times New Roman"/>
      <w:b/>
      <w:bCs/>
      <w:sz w:val="22"/>
      <w:szCs w:val="22"/>
    </w:rPr>
  </w:style>
  <w:style w:type="character" w:customStyle="1" w:styleId="1f5">
    <w:name w:val="1 Основной Знак"/>
    <w:link w:val="1f6"/>
    <w:locked/>
    <w:rsid w:val="00D90944"/>
    <w:rPr>
      <w:sz w:val="28"/>
    </w:rPr>
  </w:style>
  <w:style w:type="paragraph" w:customStyle="1" w:styleId="1f6">
    <w:name w:val="1 Основной"/>
    <w:basedOn w:val="ab"/>
    <w:link w:val="1f5"/>
    <w:qFormat/>
    <w:rsid w:val="00D90944"/>
    <w:pPr>
      <w:ind w:firstLine="720"/>
    </w:pPr>
    <w:rPr>
      <w:rFonts w:asciiTheme="minorHAnsi" w:eastAsiaTheme="minorHAnsi" w:hAnsiTheme="minorHAnsi" w:cstheme="minorBidi"/>
      <w:snapToGrid/>
      <w:color w:val="auto"/>
      <w:sz w:val="28"/>
      <w:szCs w:val="22"/>
      <w:lang w:eastAsia="en-US"/>
    </w:rPr>
  </w:style>
  <w:style w:type="paragraph" w:customStyle="1" w:styleId="17">
    <w:name w:val="ГОСТ_Заголовок_1"/>
    <w:basedOn w:val="ab"/>
    <w:next w:val="ab"/>
    <w:rsid w:val="00D90944"/>
    <w:pPr>
      <w:pageBreakBefore/>
      <w:numPr>
        <w:numId w:val="84"/>
      </w:numPr>
      <w:jc w:val="center"/>
      <w:outlineLvl w:val="0"/>
    </w:pPr>
    <w:rPr>
      <w:b/>
      <w:sz w:val="28"/>
    </w:rPr>
  </w:style>
  <w:style w:type="paragraph" w:customStyle="1" w:styleId="2b">
    <w:name w:val="ГОСТ_Заголовок_2"/>
    <w:basedOn w:val="ab"/>
    <w:next w:val="ab"/>
    <w:rsid w:val="00D90944"/>
    <w:pPr>
      <w:numPr>
        <w:ilvl w:val="1"/>
        <w:numId w:val="84"/>
      </w:numPr>
      <w:spacing w:before="360" w:after="240"/>
      <w:outlineLvl w:val="1"/>
    </w:pPr>
    <w:rPr>
      <w:b/>
    </w:rPr>
  </w:style>
  <w:style w:type="paragraph" w:customStyle="1" w:styleId="39">
    <w:name w:val="ГОСТ_Заголовок_3"/>
    <w:basedOn w:val="ab"/>
    <w:next w:val="ab"/>
    <w:rsid w:val="00D90944"/>
    <w:pPr>
      <w:numPr>
        <w:ilvl w:val="2"/>
        <w:numId w:val="84"/>
      </w:numPr>
      <w:spacing w:before="360" w:after="240"/>
      <w:outlineLvl w:val="2"/>
    </w:pPr>
    <w:rPr>
      <w:b/>
    </w:rPr>
  </w:style>
  <w:style w:type="paragraph" w:customStyle="1" w:styleId="45">
    <w:name w:val="ГОСТ_Заголовок_4"/>
    <w:basedOn w:val="ab"/>
    <w:next w:val="ab"/>
    <w:rsid w:val="00D90944"/>
    <w:pPr>
      <w:numPr>
        <w:ilvl w:val="3"/>
        <w:numId w:val="84"/>
      </w:numPr>
      <w:spacing w:before="360" w:after="240"/>
      <w:outlineLvl w:val="3"/>
    </w:pPr>
    <w:rPr>
      <w:b/>
    </w:rPr>
  </w:style>
  <w:style w:type="numbering" w:customStyle="1" w:styleId="ArticleSection7">
    <w:name w:val="Article / Section7"/>
    <w:rsid w:val="00D90944"/>
    <w:pPr>
      <w:numPr>
        <w:numId w:val="84"/>
      </w:numPr>
    </w:pPr>
  </w:style>
  <w:style w:type="character" w:customStyle="1" w:styleId="ASFKNameTable0">
    <w:name w:val="_ASFK_Name_Table Знак Знак"/>
    <w:link w:val="ASFKNameTable"/>
    <w:locked/>
    <w:rsid w:val="00D90944"/>
    <w:rPr>
      <w:rFonts w:ascii="Times New Roman" w:eastAsia="Times New Roman" w:hAnsi="Times New Roman" w:cs="Times New Roman"/>
      <w:b/>
      <w:sz w:val="24"/>
      <w:szCs w:val="20"/>
      <w:lang w:eastAsia="ru-RU"/>
    </w:rPr>
  </w:style>
  <w:style w:type="paragraph" w:customStyle="1" w:styleId="afffffff5">
    <w:name w:val="Абзац нумерация"/>
    <w:basedOn w:val="ab"/>
    <w:qFormat/>
    <w:rsid w:val="00D90944"/>
    <w:pPr>
      <w:spacing w:before="60" w:after="60" w:line="300" w:lineRule="auto"/>
      <w:ind w:firstLine="720"/>
      <w:contextualSpacing/>
    </w:pPr>
    <w:rPr>
      <w:lang w:eastAsia="en-US"/>
    </w:rPr>
  </w:style>
  <w:style w:type="paragraph" w:customStyle="1" w:styleId="GOSTNormalWithout">
    <w:name w:val="_GOST_Normal_Without"/>
    <w:basedOn w:val="GOSTNormal"/>
    <w:next w:val="GOSTNormal"/>
    <w:rsid w:val="00D90944"/>
    <w:pPr>
      <w:keepNext/>
    </w:pPr>
  </w:style>
  <w:style w:type="character" w:customStyle="1" w:styleId="GOSTSymItalic">
    <w:name w:val="_GOST_Sym_Italic"/>
    <w:rsid w:val="00D90944"/>
    <w:rPr>
      <w:i/>
    </w:rPr>
  </w:style>
  <w:style w:type="paragraph" w:customStyle="1" w:styleId="ASFKNormal">
    <w:name w:val="_ASFK_Normal"/>
    <w:link w:val="ASFKNormal0"/>
    <w:rsid w:val="008F708E"/>
    <w:pPr>
      <w:spacing w:before="120" w:after="60" w:line="240" w:lineRule="auto"/>
      <w:ind w:firstLine="567"/>
      <w:contextualSpacing/>
    </w:pPr>
    <w:rPr>
      <w:rFonts w:ascii="Times New Roman" w:eastAsia="Times New Roman" w:hAnsi="Times New Roman" w:cs="Times New Roman"/>
      <w:sz w:val="24"/>
      <w:szCs w:val="20"/>
      <w:lang w:eastAsia="ru-RU"/>
    </w:rPr>
  </w:style>
  <w:style w:type="character" w:customStyle="1" w:styleId="ASFKNormal0">
    <w:name w:val="_ASFK_Normal Знак"/>
    <w:link w:val="ASFKNormal"/>
    <w:rsid w:val="008F708E"/>
    <w:rPr>
      <w:rFonts w:ascii="Times New Roman" w:eastAsia="Times New Roman" w:hAnsi="Times New Roman" w:cs="Times New Roman"/>
      <w:sz w:val="24"/>
      <w:szCs w:val="20"/>
      <w:lang w:eastAsia="ru-RU"/>
    </w:rPr>
  </w:style>
  <w:style w:type="paragraph" w:customStyle="1" w:styleId="1">
    <w:name w:val="Маркир. 1"/>
    <w:basedOn w:val="ab"/>
    <w:link w:val="1f7"/>
    <w:unhideWhenUsed/>
    <w:qFormat/>
    <w:rsid w:val="008F708E"/>
    <w:pPr>
      <w:numPr>
        <w:numId w:val="117"/>
      </w:numPr>
      <w:tabs>
        <w:tab w:val="left" w:pos="170"/>
      </w:tabs>
      <w:spacing w:before="120" w:after="120"/>
      <w:ind w:right="57"/>
      <w:contextualSpacing/>
    </w:pPr>
    <w:rPr>
      <w:snapToGrid/>
      <w:color w:val="auto"/>
      <w:sz w:val="28"/>
      <w:lang w:val="x-none" w:eastAsia="x-none"/>
    </w:rPr>
  </w:style>
  <w:style w:type="character" w:customStyle="1" w:styleId="1f7">
    <w:name w:val="Маркир. 1 Знак"/>
    <w:link w:val="1"/>
    <w:locked/>
    <w:rsid w:val="008F708E"/>
    <w:rPr>
      <w:rFonts w:ascii="Times New Roman" w:eastAsia="Times New Roman" w:hAnsi="Times New Roman" w:cs="Times New Roman"/>
      <w:sz w:val="28"/>
      <w:szCs w:val="20"/>
      <w:lang w:val="x-none" w:eastAsia="x-none"/>
    </w:rPr>
  </w:style>
  <w:style w:type="character" w:customStyle="1" w:styleId="UnresolvedMention">
    <w:name w:val="Unresolved Mention"/>
    <w:basedOn w:val="ad"/>
    <w:uiPriority w:val="99"/>
    <w:semiHidden/>
    <w:unhideWhenUsed/>
    <w:rsid w:val="008F708E"/>
    <w:rPr>
      <w:color w:val="605E5C"/>
      <w:shd w:val="clear" w:color="auto" w:fill="E1DFDD"/>
    </w:rPr>
  </w:style>
  <w:style w:type="paragraph" w:customStyle="1" w:styleId="1f8">
    <w:name w:val="Заголовки без нумирации 1"/>
    <w:basedOn w:val="af6"/>
    <w:qFormat/>
    <w:rsid w:val="000F161A"/>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602">
      <w:bodyDiv w:val="1"/>
      <w:marLeft w:val="0"/>
      <w:marRight w:val="0"/>
      <w:marTop w:val="0"/>
      <w:marBottom w:val="0"/>
      <w:divBdr>
        <w:top w:val="none" w:sz="0" w:space="0" w:color="auto"/>
        <w:left w:val="none" w:sz="0" w:space="0" w:color="auto"/>
        <w:bottom w:val="none" w:sz="0" w:space="0" w:color="auto"/>
        <w:right w:val="none" w:sz="0" w:space="0" w:color="auto"/>
      </w:divBdr>
    </w:div>
    <w:div w:id="26490258">
      <w:bodyDiv w:val="1"/>
      <w:marLeft w:val="0"/>
      <w:marRight w:val="0"/>
      <w:marTop w:val="0"/>
      <w:marBottom w:val="0"/>
      <w:divBdr>
        <w:top w:val="none" w:sz="0" w:space="0" w:color="auto"/>
        <w:left w:val="none" w:sz="0" w:space="0" w:color="auto"/>
        <w:bottom w:val="none" w:sz="0" w:space="0" w:color="auto"/>
        <w:right w:val="none" w:sz="0" w:space="0" w:color="auto"/>
      </w:divBdr>
      <w:divsChild>
        <w:div w:id="1316296545">
          <w:marLeft w:val="0"/>
          <w:marRight w:val="0"/>
          <w:marTop w:val="0"/>
          <w:marBottom w:val="0"/>
          <w:divBdr>
            <w:top w:val="none" w:sz="0" w:space="0" w:color="auto"/>
            <w:left w:val="none" w:sz="0" w:space="0" w:color="auto"/>
            <w:bottom w:val="none" w:sz="0" w:space="0" w:color="auto"/>
            <w:right w:val="none" w:sz="0" w:space="0" w:color="auto"/>
          </w:divBdr>
        </w:div>
      </w:divsChild>
    </w:div>
    <w:div w:id="32509873">
      <w:bodyDiv w:val="1"/>
      <w:marLeft w:val="0"/>
      <w:marRight w:val="0"/>
      <w:marTop w:val="0"/>
      <w:marBottom w:val="0"/>
      <w:divBdr>
        <w:top w:val="none" w:sz="0" w:space="0" w:color="auto"/>
        <w:left w:val="none" w:sz="0" w:space="0" w:color="auto"/>
        <w:bottom w:val="none" w:sz="0" w:space="0" w:color="auto"/>
        <w:right w:val="none" w:sz="0" w:space="0" w:color="auto"/>
      </w:divBdr>
      <w:divsChild>
        <w:div w:id="184026085">
          <w:marLeft w:val="0"/>
          <w:marRight w:val="0"/>
          <w:marTop w:val="0"/>
          <w:marBottom w:val="0"/>
          <w:divBdr>
            <w:top w:val="none" w:sz="0" w:space="0" w:color="auto"/>
            <w:left w:val="none" w:sz="0" w:space="0" w:color="auto"/>
            <w:bottom w:val="none" w:sz="0" w:space="0" w:color="auto"/>
            <w:right w:val="none" w:sz="0" w:space="0" w:color="auto"/>
          </w:divBdr>
        </w:div>
      </w:divsChild>
    </w:div>
    <w:div w:id="33045765">
      <w:bodyDiv w:val="1"/>
      <w:marLeft w:val="0"/>
      <w:marRight w:val="0"/>
      <w:marTop w:val="0"/>
      <w:marBottom w:val="0"/>
      <w:divBdr>
        <w:top w:val="none" w:sz="0" w:space="0" w:color="auto"/>
        <w:left w:val="none" w:sz="0" w:space="0" w:color="auto"/>
        <w:bottom w:val="none" w:sz="0" w:space="0" w:color="auto"/>
        <w:right w:val="none" w:sz="0" w:space="0" w:color="auto"/>
      </w:divBdr>
    </w:div>
    <w:div w:id="56518018">
      <w:bodyDiv w:val="1"/>
      <w:marLeft w:val="0"/>
      <w:marRight w:val="0"/>
      <w:marTop w:val="0"/>
      <w:marBottom w:val="0"/>
      <w:divBdr>
        <w:top w:val="none" w:sz="0" w:space="0" w:color="auto"/>
        <w:left w:val="none" w:sz="0" w:space="0" w:color="auto"/>
        <w:bottom w:val="none" w:sz="0" w:space="0" w:color="auto"/>
        <w:right w:val="none" w:sz="0" w:space="0" w:color="auto"/>
      </w:divBdr>
      <w:divsChild>
        <w:div w:id="1208493105">
          <w:marLeft w:val="0"/>
          <w:marRight w:val="0"/>
          <w:marTop w:val="0"/>
          <w:marBottom w:val="0"/>
          <w:divBdr>
            <w:top w:val="none" w:sz="0" w:space="0" w:color="auto"/>
            <w:left w:val="none" w:sz="0" w:space="0" w:color="auto"/>
            <w:bottom w:val="none" w:sz="0" w:space="0" w:color="auto"/>
            <w:right w:val="none" w:sz="0" w:space="0" w:color="auto"/>
          </w:divBdr>
        </w:div>
      </w:divsChild>
    </w:div>
    <w:div w:id="81608430">
      <w:bodyDiv w:val="1"/>
      <w:marLeft w:val="0"/>
      <w:marRight w:val="0"/>
      <w:marTop w:val="0"/>
      <w:marBottom w:val="0"/>
      <w:divBdr>
        <w:top w:val="none" w:sz="0" w:space="0" w:color="auto"/>
        <w:left w:val="none" w:sz="0" w:space="0" w:color="auto"/>
        <w:bottom w:val="none" w:sz="0" w:space="0" w:color="auto"/>
        <w:right w:val="none" w:sz="0" w:space="0" w:color="auto"/>
      </w:divBdr>
      <w:divsChild>
        <w:div w:id="914585608">
          <w:marLeft w:val="0"/>
          <w:marRight w:val="0"/>
          <w:marTop w:val="0"/>
          <w:marBottom w:val="0"/>
          <w:divBdr>
            <w:top w:val="none" w:sz="0" w:space="0" w:color="auto"/>
            <w:left w:val="none" w:sz="0" w:space="0" w:color="auto"/>
            <w:bottom w:val="none" w:sz="0" w:space="0" w:color="auto"/>
            <w:right w:val="none" w:sz="0" w:space="0" w:color="auto"/>
          </w:divBdr>
        </w:div>
      </w:divsChild>
    </w:div>
    <w:div w:id="91634983">
      <w:bodyDiv w:val="1"/>
      <w:marLeft w:val="0"/>
      <w:marRight w:val="0"/>
      <w:marTop w:val="0"/>
      <w:marBottom w:val="0"/>
      <w:divBdr>
        <w:top w:val="none" w:sz="0" w:space="0" w:color="auto"/>
        <w:left w:val="none" w:sz="0" w:space="0" w:color="auto"/>
        <w:bottom w:val="none" w:sz="0" w:space="0" w:color="auto"/>
        <w:right w:val="none" w:sz="0" w:space="0" w:color="auto"/>
      </w:divBdr>
      <w:divsChild>
        <w:div w:id="164980119">
          <w:marLeft w:val="0"/>
          <w:marRight w:val="0"/>
          <w:marTop w:val="0"/>
          <w:marBottom w:val="0"/>
          <w:divBdr>
            <w:top w:val="none" w:sz="0" w:space="0" w:color="auto"/>
            <w:left w:val="none" w:sz="0" w:space="0" w:color="auto"/>
            <w:bottom w:val="none" w:sz="0" w:space="0" w:color="auto"/>
            <w:right w:val="none" w:sz="0" w:space="0" w:color="auto"/>
          </w:divBdr>
        </w:div>
      </w:divsChild>
    </w:div>
    <w:div w:id="93676829">
      <w:bodyDiv w:val="1"/>
      <w:marLeft w:val="0"/>
      <w:marRight w:val="0"/>
      <w:marTop w:val="0"/>
      <w:marBottom w:val="0"/>
      <w:divBdr>
        <w:top w:val="none" w:sz="0" w:space="0" w:color="auto"/>
        <w:left w:val="none" w:sz="0" w:space="0" w:color="auto"/>
        <w:bottom w:val="none" w:sz="0" w:space="0" w:color="auto"/>
        <w:right w:val="none" w:sz="0" w:space="0" w:color="auto"/>
      </w:divBdr>
      <w:divsChild>
        <w:div w:id="254245983">
          <w:marLeft w:val="0"/>
          <w:marRight w:val="0"/>
          <w:marTop w:val="0"/>
          <w:marBottom w:val="0"/>
          <w:divBdr>
            <w:top w:val="none" w:sz="0" w:space="0" w:color="auto"/>
            <w:left w:val="none" w:sz="0" w:space="0" w:color="auto"/>
            <w:bottom w:val="none" w:sz="0" w:space="0" w:color="auto"/>
            <w:right w:val="none" w:sz="0" w:space="0" w:color="auto"/>
          </w:divBdr>
        </w:div>
      </w:divsChild>
    </w:div>
    <w:div w:id="118762184">
      <w:bodyDiv w:val="1"/>
      <w:marLeft w:val="0"/>
      <w:marRight w:val="0"/>
      <w:marTop w:val="0"/>
      <w:marBottom w:val="0"/>
      <w:divBdr>
        <w:top w:val="none" w:sz="0" w:space="0" w:color="auto"/>
        <w:left w:val="none" w:sz="0" w:space="0" w:color="auto"/>
        <w:bottom w:val="none" w:sz="0" w:space="0" w:color="auto"/>
        <w:right w:val="none" w:sz="0" w:space="0" w:color="auto"/>
      </w:divBdr>
      <w:divsChild>
        <w:div w:id="1637561394">
          <w:marLeft w:val="0"/>
          <w:marRight w:val="0"/>
          <w:marTop w:val="0"/>
          <w:marBottom w:val="0"/>
          <w:divBdr>
            <w:top w:val="none" w:sz="0" w:space="0" w:color="auto"/>
            <w:left w:val="none" w:sz="0" w:space="0" w:color="auto"/>
            <w:bottom w:val="none" w:sz="0" w:space="0" w:color="auto"/>
            <w:right w:val="none" w:sz="0" w:space="0" w:color="auto"/>
          </w:divBdr>
        </w:div>
      </w:divsChild>
    </w:div>
    <w:div w:id="122038489">
      <w:bodyDiv w:val="1"/>
      <w:marLeft w:val="0"/>
      <w:marRight w:val="0"/>
      <w:marTop w:val="0"/>
      <w:marBottom w:val="0"/>
      <w:divBdr>
        <w:top w:val="none" w:sz="0" w:space="0" w:color="auto"/>
        <w:left w:val="none" w:sz="0" w:space="0" w:color="auto"/>
        <w:bottom w:val="none" w:sz="0" w:space="0" w:color="auto"/>
        <w:right w:val="none" w:sz="0" w:space="0" w:color="auto"/>
      </w:divBdr>
    </w:div>
    <w:div w:id="126897834">
      <w:bodyDiv w:val="1"/>
      <w:marLeft w:val="0"/>
      <w:marRight w:val="0"/>
      <w:marTop w:val="0"/>
      <w:marBottom w:val="0"/>
      <w:divBdr>
        <w:top w:val="none" w:sz="0" w:space="0" w:color="auto"/>
        <w:left w:val="none" w:sz="0" w:space="0" w:color="auto"/>
        <w:bottom w:val="none" w:sz="0" w:space="0" w:color="auto"/>
        <w:right w:val="none" w:sz="0" w:space="0" w:color="auto"/>
      </w:divBdr>
    </w:div>
    <w:div w:id="129830404">
      <w:bodyDiv w:val="1"/>
      <w:marLeft w:val="0"/>
      <w:marRight w:val="0"/>
      <w:marTop w:val="0"/>
      <w:marBottom w:val="0"/>
      <w:divBdr>
        <w:top w:val="none" w:sz="0" w:space="0" w:color="auto"/>
        <w:left w:val="none" w:sz="0" w:space="0" w:color="auto"/>
        <w:bottom w:val="none" w:sz="0" w:space="0" w:color="auto"/>
        <w:right w:val="none" w:sz="0" w:space="0" w:color="auto"/>
      </w:divBdr>
    </w:div>
    <w:div w:id="158347385">
      <w:bodyDiv w:val="1"/>
      <w:marLeft w:val="0"/>
      <w:marRight w:val="0"/>
      <w:marTop w:val="0"/>
      <w:marBottom w:val="0"/>
      <w:divBdr>
        <w:top w:val="none" w:sz="0" w:space="0" w:color="auto"/>
        <w:left w:val="none" w:sz="0" w:space="0" w:color="auto"/>
        <w:bottom w:val="none" w:sz="0" w:space="0" w:color="auto"/>
        <w:right w:val="none" w:sz="0" w:space="0" w:color="auto"/>
      </w:divBdr>
    </w:div>
    <w:div w:id="171141399">
      <w:bodyDiv w:val="1"/>
      <w:marLeft w:val="0"/>
      <w:marRight w:val="0"/>
      <w:marTop w:val="0"/>
      <w:marBottom w:val="0"/>
      <w:divBdr>
        <w:top w:val="none" w:sz="0" w:space="0" w:color="auto"/>
        <w:left w:val="none" w:sz="0" w:space="0" w:color="auto"/>
        <w:bottom w:val="none" w:sz="0" w:space="0" w:color="auto"/>
        <w:right w:val="none" w:sz="0" w:space="0" w:color="auto"/>
      </w:divBdr>
    </w:div>
    <w:div w:id="174660308">
      <w:bodyDiv w:val="1"/>
      <w:marLeft w:val="0"/>
      <w:marRight w:val="0"/>
      <w:marTop w:val="0"/>
      <w:marBottom w:val="0"/>
      <w:divBdr>
        <w:top w:val="none" w:sz="0" w:space="0" w:color="auto"/>
        <w:left w:val="none" w:sz="0" w:space="0" w:color="auto"/>
        <w:bottom w:val="none" w:sz="0" w:space="0" w:color="auto"/>
        <w:right w:val="none" w:sz="0" w:space="0" w:color="auto"/>
      </w:divBdr>
      <w:divsChild>
        <w:div w:id="1563173784">
          <w:marLeft w:val="0"/>
          <w:marRight w:val="0"/>
          <w:marTop w:val="0"/>
          <w:marBottom w:val="0"/>
          <w:divBdr>
            <w:top w:val="none" w:sz="0" w:space="0" w:color="auto"/>
            <w:left w:val="none" w:sz="0" w:space="0" w:color="auto"/>
            <w:bottom w:val="none" w:sz="0" w:space="0" w:color="auto"/>
            <w:right w:val="none" w:sz="0" w:space="0" w:color="auto"/>
          </w:divBdr>
        </w:div>
      </w:divsChild>
    </w:div>
    <w:div w:id="175312425">
      <w:bodyDiv w:val="1"/>
      <w:marLeft w:val="0"/>
      <w:marRight w:val="0"/>
      <w:marTop w:val="0"/>
      <w:marBottom w:val="0"/>
      <w:divBdr>
        <w:top w:val="none" w:sz="0" w:space="0" w:color="auto"/>
        <w:left w:val="none" w:sz="0" w:space="0" w:color="auto"/>
        <w:bottom w:val="none" w:sz="0" w:space="0" w:color="auto"/>
        <w:right w:val="none" w:sz="0" w:space="0" w:color="auto"/>
      </w:divBdr>
    </w:div>
    <w:div w:id="180315888">
      <w:bodyDiv w:val="1"/>
      <w:marLeft w:val="0"/>
      <w:marRight w:val="0"/>
      <w:marTop w:val="0"/>
      <w:marBottom w:val="0"/>
      <w:divBdr>
        <w:top w:val="none" w:sz="0" w:space="0" w:color="auto"/>
        <w:left w:val="none" w:sz="0" w:space="0" w:color="auto"/>
        <w:bottom w:val="none" w:sz="0" w:space="0" w:color="auto"/>
        <w:right w:val="none" w:sz="0" w:space="0" w:color="auto"/>
      </w:divBdr>
      <w:divsChild>
        <w:div w:id="469203727">
          <w:marLeft w:val="0"/>
          <w:marRight w:val="0"/>
          <w:marTop w:val="0"/>
          <w:marBottom w:val="0"/>
          <w:divBdr>
            <w:top w:val="none" w:sz="0" w:space="0" w:color="auto"/>
            <w:left w:val="none" w:sz="0" w:space="0" w:color="auto"/>
            <w:bottom w:val="none" w:sz="0" w:space="0" w:color="auto"/>
            <w:right w:val="none" w:sz="0" w:space="0" w:color="auto"/>
          </w:divBdr>
        </w:div>
      </w:divsChild>
    </w:div>
    <w:div w:id="187450317">
      <w:bodyDiv w:val="1"/>
      <w:marLeft w:val="0"/>
      <w:marRight w:val="0"/>
      <w:marTop w:val="0"/>
      <w:marBottom w:val="0"/>
      <w:divBdr>
        <w:top w:val="none" w:sz="0" w:space="0" w:color="auto"/>
        <w:left w:val="none" w:sz="0" w:space="0" w:color="auto"/>
        <w:bottom w:val="none" w:sz="0" w:space="0" w:color="auto"/>
        <w:right w:val="none" w:sz="0" w:space="0" w:color="auto"/>
      </w:divBdr>
      <w:divsChild>
        <w:div w:id="1446265130">
          <w:marLeft w:val="0"/>
          <w:marRight w:val="0"/>
          <w:marTop w:val="0"/>
          <w:marBottom w:val="0"/>
          <w:divBdr>
            <w:top w:val="none" w:sz="0" w:space="0" w:color="auto"/>
            <w:left w:val="none" w:sz="0" w:space="0" w:color="auto"/>
            <w:bottom w:val="none" w:sz="0" w:space="0" w:color="auto"/>
            <w:right w:val="none" w:sz="0" w:space="0" w:color="auto"/>
          </w:divBdr>
        </w:div>
      </w:divsChild>
    </w:div>
    <w:div w:id="230652018">
      <w:bodyDiv w:val="1"/>
      <w:marLeft w:val="0"/>
      <w:marRight w:val="0"/>
      <w:marTop w:val="0"/>
      <w:marBottom w:val="0"/>
      <w:divBdr>
        <w:top w:val="none" w:sz="0" w:space="0" w:color="auto"/>
        <w:left w:val="none" w:sz="0" w:space="0" w:color="auto"/>
        <w:bottom w:val="none" w:sz="0" w:space="0" w:color="auto"/>
        <w:right w:val="none" w:sz="0" w:space="0" w:color="auto"/>
      </w:divBdr>
      <w:divsChild>
        <w:div w:id="829175552">
          <w:marLeft w:val="0"/>
          <w:marRight w:val="0"/>
          <w:marTop w:val="0"/>
          <w:marBottom w:val="0"/>
          <w:divBdr>
            <w:top w:val="none" w:sz="0" w:space="0" w:color="auto"/>
            <w:left w:val="none" w:sz="0" w:space="0" w:color="auto"/>
            <w:bottom w:val="none" w:sz="0" w:space="0" w:color="auto"/>
            <w:right w:val="none" w:sz="0" w:space="0" w:color="auto"/>
          </w:divBdr>
        </w:div>
      </w:divsChild>
    </w:div>
    <w:div w:id="240263802">
      <w:bodyDiv w:val="1"/>
      <w:marLeft w:val="0"/>
      <w:marRight w:val="0"/>
      <w:marTop w:val="0"/>
      <w:marBottom w:val="0"/>
      <w:divBdr>
        <w:top w:val="none" w:sz="0" w:space="0" w:color="auto"/>
        <w:left w:val="none" w:sz="0" w:space="0" w:color="auto"/>
        <w:bottom w:val="none" w:sz="0" w:space="0" w:color="auto"/>
        <w:right w:val="none" w:sz="0" w:space="0" w:color="auto"/>
      </w:divBdr>
    </w:div>
    <w:div w:id="268859454">
      <w:bodyDiv w:val="1"/>
      <w:marLeft w:val="0"/>
      <w:marRight w:val="0"/>
      <w:marTop w:val="0"/>
      <w:marBottom w:val="0"/>
      <w:divBdr>
        <w:top w:val="none" w:sz="0" w:space="0" w:color="auto"/>
        <w:left w:val="none" w:sz="0" w:space="0" w:color="auto"/>
        <w:bottom w:val="none" w:sz="0" w:space="0" w:color="auto"/>
        <w:right w:val="none" w:sz="0" w:space="0" w:color="auto"/>
      </w:divBdr>
    </w:div>
    <w:div w:id="269052658">
      <w:bodyDiv w:val="1"/>
      <w:marLeft w:val="0"/>
      <w:marRight w:val="0"/>
      <w:marTop w:val="0"/>
      <w:marBottom w:val="0"/>
      <w:divBdr>
        <w:top w:val="none" w:sz="0" w:space="0" w:color="auto"/>
        <w:left w:val="none" w:sz="0" w:space="0" w:color="auto"/>
        <w:bottom w:val="none" w:sz="0" w:space="0" w:color="auto"/>
        <w:right w:val="none" w:sz="0" w:space="0" w:color="auto"/>
      </w:divBdr>
      <w:divsChild>
        <w:div w:id="695540291">
          <w:marLeft w:val="0"/>
          <w:marRight w:val="0"/>
          <w:marTop w:val="0"/>
          <w:marBottom w:val="0"/>
          <w:divBdr>
            <w:top w:val="none" w:sz="0" w:space="0" w:color="auto"/>
            <w:left w:val="none" w:sz="0" w:space="0" w:color="auto"/>
            <w:bottom w:val="none" w:sz="0" w:space="0" w:color="auto"/>
            <w:right w:val="none" w:sz="0" w:space="0" w:color="auto"/>
          </w:divBdr>
        </w:div>
      </w:divsChild>
    </w:div>
    <w:div w:id="274213089">
      <w:bodyDiv w:val="1"/>
      <w:marLeft w:val="0"/>
      <w:marRight w:val="0"/>
      <w:marTop w:val="0"/>
      <w:marBottom w:val="0"/>
      <w:divBdr>
        <w:top w:val="none" w:sz="0" w:space="0" w:color="auto"/>
        <w:left w:val="none" w:sz="0" w:space="0" w:color="auto"/>
        <w:bottom w:val="none" w:sz="0" w:space="0" w:color="auto"/>
        <w:right w:val="none" w:sz="0" w:space="0" w:color="auto"/>
      </w:divBdr>
      <w:divsChild>
        <w:div w:id="212273326">
          <w:marLeft w:val="0"/>
          <w:marRight w:val="0"/>
          <w:marTop w:val="0"/>
          <w:marBottom w:val="0"/>
          <w:divBdr>
            <w:top w:val="none" w:sz="0" w:space="0" w:color="auto"/>
            <w:left w:val="none" w:sz="0" w:space="0" w:color="auto"/>
            <w:bottom w:val="none" w:sz="0" w:space="0" w:color="auto"/>
            <w:right w:val="none" w:sz="0" w:space="0" w:color="auto"/>
          </w:divBdr>
        </w:div>
      </w:divsChild>
    </w:div>
    <w:div w:id="280498888">
      <w:bodyDiv w:val="1"/>
      <w:marLeft w:val="0"/>
      <w:marRight w:val="0"/>
      <w:marTop w:val="0"/>
      <w:marBottom w:val="0"/>
      <w:divBdr>
        <w:top w:val="none" w:sz="0" w:space="0" w:color="auto"/>
        <w:left w:val="none" w:sz="0" w:space="0" w:color="auto"/>
        <w:bottom w:val="none" w:sz="0" w:space="0" w:color="auto"/>
        <w:right w:val="none" w:sz="0" w:space="0" w:color="auto"/>
      </w:divBdr>
      <w:divsChild>
        <w:div w:id="843664289">
          <w:marLeft w:val="0"/>
          <w:marRight w:val="0"/>
          <w:marTop w:val="0"/>
          <w:marBottom w:val="0"/>
          <w:divBdr>
            <w:top w:val="none" w:sz="0" w:space="0" w:color="auto"/>
            <w:left w:val="none" w:sz="0" w:space="0" w:color="auto"/>
            <w:bottom w:val="none" w:sz="0" w:space="0" w:color="auto"/>
            <w:right w:val="none" w:sz="0" w:space="0" w:color="auto"/>
          </w:divBdr>
        </w:div>
      </w:divsChild>
    </w:div>
    <w:div w:id="286279386">
      <w:bodyDiv w:val="1"/>
      <w:marLeft w:val="0"/>
      <w:marRight w:val="0"/>
      <w:marTop w:val="0"/>
      <w:marBottom w:val="0"/>
      <w:divBdr>
        <w:top w:val="none" w:sz="0" w:space="0" w:color="auto"/>
        <w:left w:val="none" w:sz="0" w:space="0" w:color="auto"/>
        <w:bottom w:val="none" w:sz="0" w:space="0" w:color="auto"/>
        <w:right w:val="none" w:sz="0" w:space="0" w:color="auto"/>
      </w:divBdr>
      <w:divsChild>
        <w:div w:id="244195751">
          <w:marLeft w:val="0"/>
          <w:marRight w:val="0"/>
          <w:marTop w:val="0"/>
          <w:marBottom w:val="0"/>
          <w:divBdr>
            <w:top w:val="none" w:sz="0" w:space="0" w:color="auto"/>
            <w:left w:val="none" w:sz="0" w:space="0" w:color="auto"/>
            <w:bottom w:val="none" w:sz="0" w:space="0" w:color="auto"/>
            <w:right w:val="none" w:sz="0" w:space="0" w:color="auto"/>
          </w:divBdr>
        </w:div>
      </w:divsChild>
    </w:div>
    <w:div w:id="303318427">
      <w:bodyDiv w:val="1"/>
      <w:marLeft w:val="0"/>
      <w:marRight w:val="0"/>
      <w:marTop w:val="0"/>
      <w:marBottom w:val="0"/>
      <w:divBdr>
        <w:top w:val="none" w:sz="0" w:space="0" w:color="auto"/>
        <w:left w:val="none" w:sz="0" w:space="0" w:color="auto"/>
        <w:bottom w:val="none" w:sz="0" w:space="0" w:color="auto"/>
        <w:right w:val="none" w:sz="0" w:space="0" w:color="auto"/>
      </w:divBdr>
      <w:divsChild>
        <w:div w:id="1165630049">
          <w:marLeft w:val="0"/>
          <w:marRight w:val="0"/>
          <w:marTop w:val="0"/>
          <w:marBottom w:val="0"/>
          <w:divBdr>
            <w:top w:val="none" w:sz="0" w:space="0" w:color="auto"/>
            <w:left w:val="none" w:sz="0" w:space="0" w:color="auto"/>
            <w:bottom w:val="none" w:sz="0" w:space="0" w:color="auto"/>
            <w:right w:val="none" w:sz="0" w:space="0" w:color="auto"/>
          </w:divBdr>
        </w:div>
      </w:divsChild>
    </w:div>
    <w:div w:id="308025704">
      <w:bodyDiv w:val="1"/>
      <w:marLeft w:val="0"/>
      <w:marRight w:val="0"/>
      <w:marTop w:val="0"/>
      <w:marBottom w:val="0"/>
      <w:divBdr>
        <w:top w:val="none" w:sz="0" w:space="0" w:color="auto"/>
        <w:left w:val="none" w:sz="0" w:space="0" w:color="auto"/>
        <w:bottom w:val="none" w:sz="0" w:space="0" w:color="auto"/>
        <w:right w:val="none" w:sz="0" w:space="0" w:color="auto"/>
      </w:divBdr>
    </w:div>
    <w:div w:id="380057050">
      <w:bodyDiv w:val="1"/>
      <w:marLeft w:val="0"/>
      <w:marRight w:val="0"/>
      <w:marTop w:val="0"/>
      <w:marBottom w:val="0"/>
      <w:divBdr>
        <w:top w:val="none" w:sz="0" w:space="0" w:color="auto"/>
        <w:left w:val="none" w:sz="0" w:space="0" w:color="auto"/>
        <w:bottom w:val="none" w:sz="0" w:space="0" w:color="auto"/>
        <w:right w:val="none" w:sz="0" w:space="0" w:color="auto"/>
      </w:divBdr>
      <w:divsChild>
        <w:div w:id="723607356">
          <w:marLeft w:val="0"/>
          <w:marRight w:val="0"/>
          <w:marTop w:val="0"/>
          <w:marBottom w:val="0"/>
          <w:divBdr>
            <w:top w:val="none" w:sz="0" w:space="0" w:color="auto"/>
            <w:left w:val="none" w:sz="0" w:space="0" w:color="auto"/>
            <w:bottom w:val="none" w:sz="0" w:space="0" w:color="auto"/>
            <w:right w:val="none" w:sz="0" w:space="0" w:color="auto"/>
          </w:divBdr>
          <w:divsChild>
            <w:div w:id="975184648">
              <w:marLeft w:val="0"/>
              <w:marRight w:val="0"/>
              <w:marTop w:val="0"/>
              <w:marBottom w:val="0"/>
              <w:divBdr>
                <w:top w:val="none" w:sz="0" w:space="0" w:color="auto"/>
                <w:left w:val="none" w:sz="0" w:space="0" w:color="auto"/>
                <w:bottom w:val="none" w:sz="0" w:space="0" w:color="auto"/>
                <w:right w:val="none" w:sz="0" w:space="0" w:color="auto"/>
              </w:divBdr>
              <w:divsChild>
                <w:div w:id="681395747">
                  <w:marLeft w:val="0"/>
                  <w:marRight w:val="0"/>
                  <w:marTop w:val="0"/>
                  <w:marBottom w:val="0"/>
                  <w:divBdr>
                    <w:top w:val="none" w:sz="0" w:space="0" w:color="auto"/>
                    <w:left w:val="none" w:sz="0" w:space="0" w:color="auto"/>
                    <w:bottom w:val="none" w:sz="0" w:space="0" w:color="auto"/>
                    <w:right w:val="none" w:sz="0" w:space="0" w:color="auto"/>
                  </w:divBdr>
                </w:div>
              </w:divsChild>
            </w:div>
            <w:div w:id="1211459903">
              <w:marLeft w:val="0"/>
              <w:marRight w:val="0"/>
              <w:marTop w:val="0"/>
              <w:marBottom w:val="0"/>
              <w:divBdr>
                <w:top w:val="none" w:sz="0" w:space="0" w:color="auto"/>
                <w:left w:val="none" w:sz="0" w:space="0" w:color="auto"/>
                <w:bottom w:val="none" w:sz="0" w:space="0" w:color="auto"/>
                <w:right w:val="none" w:sz="0" w:space="0" w:color="auto"/>
              </w:divBdr>
              <w:divsChild>
                <w:div w:id="207480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130753">
      <w:bodyDiv w:val="1"/>
      <w:marLeft w:val="0"/>
      <w:marRight w:val="0"/>
      <w:marTop w:val="0"/>
      <w:marBottom w:val="0"/>
      <w:divBdr>
        <w:top w:val="none" w:sz="0" w:space="0" w:color="auto"/>
        <w:left w:val="none" w:sz="0" w:space="0" w:color="auto"/>
        <w:bottom w:val="none" w:sz="0" w:space="0" w:color="auto"/>
        <w:right w:val="none" w:sz="0" w:space="0" w:color="auto"/>
      </w:divBdr>
    </w:div>
    <w:div w:id="424688948">
      <w:bodyDiv w:val="1"/>
      <w:marLeft w:val="0"/>
      <w:marRight w:val="0"/>
      <w:marTop w:val="0"/>
      <w:marBottom w:val="0"/>
      <w:divBdr>
        <w:top w:val="none" w:sz="0" w:space="0" w:color="auto"/>
        <w:left w:val="none" w:sz="0" w:space="0" w:color="auto"/>
        <w:bottom w:val="none" w:sz="0" w:space="0" w:color="auto"/>
        <w:right w:val="none" w:sz="0" w:space="0" w:color="auto"/>
      </w:divBdr>
    </w:div>
    <w:div w:id="437601303">
      <w:bodyDiv w:val="1"/>
      <w:marLeft w:val="0"/>
      <w:marRight w:val="0"/>
      <w:marTop w:val="0"/>
      <w:marBottom w:val="0"/>
      <w:divBdr>
        <w:top w:val="none" w:sz="0" w:space="0" w:color="auto"/>
        <w:left w:val="none" w:sz="0" w:space="0" w:color="auto"/>
        <w:bottom w:val="none" w:sz="0" w:space="0" w:color="auto"/>
        <w:right w:val="none" w:sz="0" w:space="0" w:color="auto"/>
      </w:divBdr>
      <w:divsChild>
        <w:div w:id="209419337">
          <w:marLeft w:val="0"/>
          <w:marRight w:val="0"/>
          <w:marTop w:val="0"/>
          <w:marBottom w:val="0"/>
          <w:divBdr>
            <w:top w:val="none" w:sz="0" w:space="0" w:color="auto"/>
            <w:left w:val="none" w:sz="0" w:space="0" w:color="auto"/>
            <w:bottom w:val="none" w:sz="0" w:space="0" w:color="auto"/>
            <w:right w:val="none" w:sz="0" w:space="0" w:color="auto"/>
          </w:divBdr>
        </w:div>
      </w:divsChild>
    </w:div>
    <w:div w:id="442190777">
      <w:bodyDiv w:val="1"/>
      <w:marLeft w:val="0"/>
      <w:marRight w:val="0"/>
      <w:marTop w:val="0"/>
      <w:marBottom w:val="0"/>
      <w:divBdr>
        <w:top w:val="none" w:sz="0" w:space="0" w:color="auto"/>
        <w:left w:val="none" w:sz="0" w:space="0" w:color="auto"/>
        <w:bottom w:val="none" w:sz="0" w:space="0" w:color="auto"/>
        <w:right w:val="none" w:sz="0" w:space="0" w:color="auto"/>
      </w:divBdr>
      <w:divsChild>
        <w:div w:id="301623637">
          <w:marLeft w:val="0"/>
          <w:marRight w:val="0"/>
          <w:marTop w:val="0"/>
          <w:marBottom w:val="0"/>
          <w:divBdr>
            <w:top w:val="none" w:sz="0" w:space="0" w:color="auto"/>
            <w:left w:val="none" w:sz="0" w:space="0" w:color="auto"/>
            <w:bottom w:val="none" w:sz="0" w:space="0" w:color="auto"/>
            <w:right w:val="none" w:sz="0" w:space="0" w:color="auto"/>
          </w:divBdr>
        </w:div>
      </w:divsChild>
    </w:div>
    <w:div w:id="452754269">
      <w:bodyDiv w:val="1"/>
      <w:marLeft w:val="0"/>
      <w:marRight w:val="0"/>
      <w:marTop w:val="0"/>
      <w:marBottom w:val="0"/>
      <w:divBdr>
        <w:top w:val="none" w:sz="0" w:space="0" w:color="auto"/>
        <w:left w:val="none" w:sz="0" w:space="0" w:color="auto"/>
        <w:bottom w:val="none" w:sz="0" w:space="0" w:color="auto"/>
        <w:right w:val="none" w:sz="0" w:space="0" w:color="auto"/>
      </w:divBdr>
    </w:div>
    <w:div w:id="456221630">
      <w:bodyDiv w:val="1"/>
      <w:marLeft w:val="0"/>
      <w:marRight w:val="0"/>
      <w:marTop w:val="0"/>
      <w:marBottom w:val="0"/>
      <w:divBdr>
        <w:top w:val="none" w:sz="0" w:space="0" w:color="auto"/>
        <w:left w:val="none" w:sz="0" w:space="0" w:color="auto"/>
        <w:bottom w:val="none" w:sz="0" w:space="0" w:color="auto"/>
        <w:right w:val="none" w:sz="0" w:space="0" w:color="auto"/>
      </w:divBdr>
    </w:div>
    <w:div w:id="472455781">
      <w:bodyDiv w:val="1"/>
      <w:marLeft w:val="0"/>
      <w:marRight w:val="0"/>
      <w:marTop w:val="0"/>
      <w:marBottom w:val="0"/>
      <w:divBdr>
        <w:top w:val="none" w:sz="0" w:space="0" w:color="auto"/>
        <w:left w:val="none" w:sz="0" w:space="0" w:color="auto"/>
        <w:bottom w:val="none" w:sz="0" w:space="0" w:color="auto"/>
        <w:right w:val="none" w:sz="0" w:space="0" w:color="auto"/>
      </w:divBdr>
      <w:divsChild>
        <w:div w:id="2089309187">
          <w:marLeft w:val="0"/>
          <w:marRight w:val="0"/>
          <w:marTop w:val="0"/>
          <w:marBottom w:val="0"/>
          <w:divBdr>
            <w:top w:val="none" w:sz="0" w:space="0" w:color="auto"/>
            <w:left w:val="none" w:sz="0" w:space="0" w:color="auto"/>
            <w:bottom w:val="none" w:sz="0" w:space="0" w:color="auto"/>
            <w:right w:val="none" w:sz="0" w:space="0" w:color="auto"/>
          </w:divBdr>
        </w:div>
      </w:divsChild>
    </w:div>
    <w:div w:id="473176775">
      <w:bodyDiv w:val="1"/>
      <w:marLeft w:val="0"/>
      <w:marRight w:val="0"/>
      <w:marTop w:val="0"/>
      <w:marBottom w:val="0"/>
      <w:divBdr>
        <w:top w:val="none" w:sz="0" w:space="0" w:color="auto"/>
        <w:left w:val="none" w:sz="0" w:space="0" w:color="auto"/>
        <w:bottom w:val="none" w:sz="0" w:space="0" w:color="auto"/>
        <w:right w:val="none" w:sz="0" w:space="0" w:color="auto"/>
      </w:divBdr>
    </w:div>
    <w:div w:id="494272745">
      <w:bodyDiv w:val="1"/>
      <w:marLeft w:val="0"/>
      <w:marRight w:val="0"/>
      <w:marTop w:val="0"/>
      <w:marBottom w:val="0"/>
      <w:divBdr>
        <w:top w:val="none" w:sz="0" w:space="0" w:color="auto"/>
        <w:left w:val="none" w:sz="0" w:space="0" w:color="auto"/>
        <w:bottom w:val="none" w:sz="0" w:space="0" w:color="auto"/>
        <w:right w:val="none" w:sz="0" w:space="0" w:color="auto"/>
      </w:divBdr>
    </w:div>
    <w:div w:id="516162940">
      <w:bodyDiv w:val="1"/>
      <w:marLeft w:val="0"/>
      <w:marRight w:val="0"/>
      <w:marTop w:val="0"/>
      <w:marBottom w:val="0"/>
      <w:divBdr>
        <w:top w:val="none" w:sz="0" w:space="0" w:color="auto"/>
        <w:left w:val="none" w:sz="0" w:space="0" w:color="auto"/>
        <w:bottom w:val="none" w:sz="0" w:space="0" w:color="auto"/>
        <w:right w:val="none" w:sz="0" w:space="0" w:color="auto"/>
      </w:divBdr>
      <w:divsChild>
        <w:div w:id="975335009">
          <w:marLeft w:val="0"/>
          <w:marRight w:val="0"/>
          <w:marTop w:val="0"/>
          <w:marBottom w:val="0"/>
          <w:divBdr>
            <w:top w:val="none" w:sz="0" w:space="0" w:color="auto"/>
            <w:left w:val="none" w:sz="0" w:space="0" w:color="auto"/>
            <w:bottom w:val="none" w:sz="0" w:space="0" w:color="auto"/>
            <w:right w:val="none" w:sz="0" w:space="0" w:color="auto"/>
          </w:divBdr>
        </w:div>
      </w:divsChild>
    </w:div>
    <w:div w:id="520512429">
      <w:bodyDiv w:val="1"/>
      <w:marLeft w:val="0"/>
      <w:marRight w:val="0"/>
      <w:marTop w:val="0"/>
      <w:marBottom w:val="0"/>
      <w:divBdr>
        <w:top w:val="none" w:sz="0" w:space="0" w:color="auto"/>
        <w:left w:val="none" w:sz="0" w:space="0" w:color="auto"/>
        <w:bottom w:val="none" w:sz="0" w:space="0" w:color="auto"/>
        <w:right w:val="none" w:sz="0" w:space="0" w:color="auto"/>
      </w:divBdr>
      <w:divsChild>
        <w:div w:id="1736663887">
          <w:marLeft w:val="120"/>
          <w:marRight w:val="120"/>
          <w:marTop w:val="0"/>
          <w:marBottom w:val="0"/>
          <w:divBdr>
            <w:top w:val="none" w:sz="0" w:space="0" w:color="auto"/>
            <w:left w:val="none" w:sz="0" w:space="0" w:color="auto"/>
            <w:bottom w:val="none" w:sz="0" w:space="0" w:color="auto"/>
            <w:right w:val="none" w:sz="0" w:space="0" w:color="auto"/>
          </w:divBdr>
          <w:divsChild>
            <w:div w:id="1005207839">
              <w:marLeft w:val="60"/>
              <w:marRight w:val="60"/>
              <w:marTop w:val="0"/>
              <w:marBottom w:val="0"/>
              <w:divBdr>
                <w:top w:val="none" w:sz="0" w:space="0" w:color="auto"/>
                <w:left w:val="none" w:sz="0" w:space="0" w:color="auto"/>
                <w:bottom w:val="none" w:sz="0" w:space="0" w:color="auto"/>
                <w:right w:val="none" w:sz="0" w:space="0" w:color="auto"/>
              </w:divBdr>
              <w:divsChild>
                <w:div w:id="78238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27268">
      <w:bodyDiv w:val="1"/>
      <w:marLeft w:val="0"/>
      <w:marRight w:val="0"/>
      <w:marTop w:val="0"/>
      <w:marBottom w:val="0"/>
      <w:divBdr>
        <w:top w:val="none" w:sz="0" w:space="0" w:color="auto"/>
        <w:left w:val="none" w:sz="0" w:space="0" w:color="auto"/>
        <w:bottom w:val="none" w:sz="0" w:space="0" w:color="auto"/>
        <w:right w:val="none" w:sz="0" w:space="0" w:color="auto"/>
      </w:divBdr>
      <w:divsChild>
        <w:div w:id="416832709">
          <w:marLeft w:val="0"/>
          <w:marRight w:val="0"/>
          <w:marTop w:val="0"/>
          <w:marBottom w:val="0"/>
          <w:divBdr>
            <w:top w:val="none" w:sz="0" w:space="0" w:color="auto"/>
            <w:left w:val="none" w:sz="0" w:space="0" w:color="auto"/>
            <w:bottom w:val="none" w:sz="0" w:space="0" w:color="auto"/>
            <w:right w:val="none" w:sz="0" w:space="0" w:color="auto"/>
          </w:divBdr>
        </w:div>
      </w:divsChild>
    </w:div>
    <w:div w:id="527909872">
      <w:bodyDiv w:val="1"/>
      <w:marLeft w:val="0"/>
      <w:marRight w:val="0"/>
      <w:marTop w:val="0"/>
      <w:marBottom w:val="0"/>
      <w:divBdr>
        <w:top w:val="none" w:sz="0" w:space="0" w:color="auto"/>
        <w:left w:val="none" w:sz="0" w:space="0" w:color="auto"/>
        <w:bottom w:val="none" w:sz="0" w:space="0" w:color="auto"/>
        <w:right w:val="none" w:sz="0" w:space="0" w:color="auto"/>
      </w:divBdr>
      <w:divsChild>
        <w:div w:id="661350712">
          <w:marLeft w:val="0"/>
          <w:marRight w:val="0"/>
          <w:marTop w:val="0"/>
          <w:marBottom w:val="0"/>
          <w:divBdr>
            <w:top w:val="none" w:sz="0" w:space="0" w:color="auto"/>
            <w:left w:val="none" w:sz="0" w:space="0" w:color="auto"/>
            <w:bottom w:val="none" w:sz="0" w:space="0" w:color="auto"/>
            <w:right w:val="none" w:sz="0" w:space="0" w:color="auto"/>
          </w:divBdr>
        </w:div>
      </w:divsChild>
    </w:div>
    <w:div w:id="546181754">
      <w:bodyDiv w:val="1"/>
      <w:marLeft w:val="0"/>
      <w:marRight w:val="0"/>
      <w:marTop w:val="0"/>
      <w:marBottom w:val="0"/>
      <w:divBdr>
        <w:top w:val="none" w:sz="0" w:space="0" w:color="auto"/>
        <w:left w:val="none" w:sz="0" w:space="0" w:color="auto"/>
        <w:bottom w:val="none" w:sz="0" w:space="0" w:color="auto"/>
        <w:right w:val="none" w:sz="0" w:space="0" w:color="auto"/>
      </w:divBdr>
    </w:div>
    <w:div w:id="560749546">
      <w:bodyDiv w:val="1"/>
      <w:marLeft w:val="0"/>
      <w:marRight w:val="0"/>
      <w:marTop w:val="0"/>
      <w:marBottom w:val="0"/>
      <w:divBdr>
        <w:top w:val="none" w:sz="0" w:space="0" w:color="auto"/>
        <w:left w:val="none" w:sz="0" w:space="0" w:color="auto"/>
        <w:bottom w:val="none" w:sz="0" w:space="0" w:color="auto"/>
        <w:right w:val="none" w:sz="0" w:space="0" w:color="auto"/>
      </w:divBdr>
      <w:divsChild>
        <w:div w:id="110132260">
          <w:marLeft w:val="0"/>
          <w:marRight w:val="0"/>
          <w:marTop w:val="0"/>
          <w:marBottom w:val="0"/>
          <w:divBdr>
            <w:top w:val="none" w:sz="0" w:space="0" w:color="auto"/>
            <w:left w:val="none" w:sz="0" w:space="0" w:color="auto"/>
            <w:bottom w:val="none" w:sz="0" w:space="0" w:color="auto"/>
            <w:right w:val="none" w:sz="0" w:space="0" w:color="auto"/>
          </w:divBdr>
        </w:div>
      </w:divsChild>
    </w:div>
    <w:div w:id="582253931">
      <w:bodyDiv w:val="1"/>
      <w:marLeft w:val="0"/>
      <w:marRight w:val="0"/>
      <w:marTop w:val="0"/>
      <w:marBottom w:val="0"/>
      <w:divBdr>
        <w:top w:val="none" w:sz="0" w:space="0" w:color="auto"/>
        <w:left w:val="none" w:sz="0" w:space="0" w:color="auto"/>
        <w:bottom w:val="none" w:sz="0" w:space="0" w:color="auto"/>
        <w:right w:val="none" w:sz="0" w:space="0" w:color="auto"/>
      </w:divBdr>
      <w:divsChild>
        <w:div w:id="173224020">
          <w:marLeft w:val="0"/>
          <w:marRight w:val="0"/>
          <w:marTop w:val="0"/>
          <w:marBottom w:val="0"/>
          <w:divBdr>
            <w:top w:val="none" w:sz="0" w:space="0" w:color="auto"/>
            <w:left w:val="none" w:sz="0" w:space="0" w:color="auto"/>
            <w:bottom w:val="none" w:sz="0" w:space="0" w:color="auto"/>
            <w:right w:val="none" w:sz="0" w:space="0" w:color="auto"/>
          </w:divBdr>
        </w:div>
      </w:divsChild>
    </w:div>
    <w:div w:id="585767109">
      <w:bodyDiv w:val="1"/>
      <w:marLeft w:val="0"/>
      <w:marRight w:val="0"/>
      <w:marTop w:val="0"/>
      <w:marBottom w:val="0"/>
      <w:divBdr>
        <w:top w:val="none" w:sz="0" w:space="0" w:color="auto"/>
        <w:left w:val="none" w:sz="0" w:space="0" w:color="auto"/>
        <w:bottom w:val="none" w:sz="0" w:space="0" w:color="auto"/>
        <w:right w:val="none" w:sz="0" w:space="0" w:color="auto"/>
      </w:divBdr>
    </w:div>
    <w:div w:id="605232697">
      <w:bodyDiv w:val="1"/>
      <w:marLeft w:val="0"/>
      <w:marRight w:val="0"/>
      <w:marTop w:val="0"/>
      <w:marBottom w:val="0"/>
      <w:divBdr>
        <w:top w:val="none" w:sz="0" w:space="0" w:color="auto"/>
        <w:left w:val="none" w:sz="0" w:space="0" w:color="auto"/>
        <w:bottom w:val="none" w:sz="0" w:space="0" w:color="auto"/>
        <w:right w:val="none" w:sz="0" w:space="0" w:color="auto"/>
      </w:divBdr>
      <w:divsChild>
        <w:div w:id="609246209">
          <w:marLeft w:val="0"/>
          <w:marRight w:val="0"/>
          <w:marTop w:val="0"/>
          <w:marBottom w:val="0"/>
          <w:divBdr>
            <w:top w:val="none" w:sz="0" w:space="0" w:color="auto"/>
            <w:left w:val="none" w:sz="0" w:space="0" w:color="auto"/>
            <w:bottom w:val="none" w:sz="0" w:space="0" w:color="auto"/>
            <w:right w:val="none" w:sz="0" w:space="0" w:color="auto"/>
          </w:divBdr>
        </w:div>
      </w:divsChild>
    </w:div>
    <w:div w:id="610599312">
      <w:bodyDiv w:val="1"/>
      <w:marLeft w:val="0"/>
      <w:marRight w:val="0"/>
      <w:marTop w:val="0"/>
      <w:marBottom w:val="0"/>
      <w:divBdr>
        <w:top w:val="none" w:sz="0" w:space="0" w:color="auto"/>
        <w:left w:val="none" w:sz="0" w:space="0" w:color="auto"/>
        <w:bottom w:val="none" w:sz="0" w:space="0" w:color="auto"/>
        <w:right w:val="none" w:sz="0" w:space="0" w:color="auto"/>
      </w:divBdr>
    </w:div>
    <w:div w:id="620839659">
      <w:bodyDiv w:val="1"/>
      <w:marLeft w:val="0"/>
      <w:marRight w:val="0"/>
      <w:marTop w:val="0"/>
      <w:marBottom w:val="0"/>
      <w:divBdr>
        <w:top w:val="none" w:sz="0" w:space="0" w:color="auto"/>
        <w:left w:val="none" w:sz="0" w:space="0" w:color="auto"/>
        <w:bottom w:val="none" w:sz="0" w:space="0" w:color="auto"/>
        <w:right w:val="none" w:sz="0" w:space="0" w:color="auto"/>
      </w:divBdr>
    </w:div>
    <w:div w:id="635840924">
      <w:bodyDiv w:val="1"/>
      <w:marLeft w:val="0"/>
      <w:marRight w:val="0"/>
      <w:marTop w:val="0"/>
      <w:marBottom w:val="0"/>
      <w:divBdr>
        <w:top w:val="none" w:sz="0" w:space="0" w:color="auto"/>
        <w:left w:val="none" w:sz="0" w:space="0" w:color="auto"/>
        <w:bottom w:val="none" w:sz="0" w:space="0" w:color="auto"/>
        <w:right w:val="none" w:sz="0" w:space="0" w:color="auto"/>
      </w:divBdr>
      <w:divsChild>
        <w:div w:id="1799954729">
          <w:marLeft w:val="0"/>
          <w:marRight w:val="0"/>
          <w:marTop w:val="0"/>
          <w:marBottom w:val="0"/>
          <w:divBdr>
            <w:top w:val="none" w:sz="0" w:space="0" w:color="auto"/>
            <w:left w:val="none" w:sz="0" w:space="0" w:color="auto"/>
            <w:bottom w:val="none" w:sz="0" w:space="0" w:color="auto"/>
            <w:right w:val="none" w:sz="0" w:space="0" w:color="auto"/>
          </w:divBdr>
        </w:div>
      </w:divsChild>
    </w:div>
    <w:div w:id="636491102">
      <w:bodyDiv w:val="1"/>
      <w:marLeft w:val="0"/>
      <w:marRight w:val="0"/>
      <w:marTop w:val="0"/>
      <w:marBottom w:val="0"/>
      <w:divBdr>
        <w:top w:val="none" w:sz="0" w:space="0" w:color="auto"/>
        <w:left w:val="none" w:sz="0" w:space="0" w:color="auto"/>
        <w:bottom w:val="none" w:sz="0" w:space="0" w:color="auto"/>
        <w:right w:val="none" w:sz="0" w:space="0" w:color="auto"/>
      </w:divBdr>
      <w:divsChild>
        <w:div w:id="769739342">
          <w:marLeft w:val="0"/>
          <w:marRight w:val="0"/>
          <w:marTop w:val="0"/>
          <w:marBottom w:val="0"/>
          <w:divBdr>
            <w:top w:val="none" w:sz="0" w:space="0" w:color="auto"/>
            <w:left w:val="none" w:sz="0" w:space="0" w:color="auto"/>
            <w:bottom w:val="none" w:sz="0" w:space="0" w:color="auto"/>
            <w:right w:val="none" w:sz="0" w:space="0" w:color="auto"/>
          </w:divBdr>
        </w:div>
      </w:divsChild>
    </w:div>
    <w:div w:id="654842063">
      <w:bodyDiv w:val="1"/>
      <w:marLeft w:val="0"/>
      <w:marRight w:val="0"/>
      <w:marTop w:val="0"/>
      <w:marBottom w:val="0"/>
      <w:divBdr>
        <w:top w:val="none" w:sz="0" w:space="0" w:color="auto"/>
        <w:left w:val="none" w:sz="0" w:space="0" w:color="auto"/>
        <w:bottom w:val="none" w:sz="0" w:space="0" w:color="auto"/>
        <w:right w:val="none" w:sz="0" w:space="0" w:color="auto"/>
      </w:divBdr>
    </w:div>
    <w:div w:id="657466431">
      <w:bodyDiv w:val="1"/>
      <w:marLeft w:val="0"/>
      <w:marRight w:val="0"/>
      <w:marTop w:val="0"/>
      <w:marBottom w:val="0"/>
      <w:divBdr>
        <w:top w:val="none" w:sz="0" w:space="0" w:color="auto"/>
        <w:left w:val="none" w:sz="0" w:space="0" w:color="auto"/>
        <w:bottom w:val="none" w:sz="0" w:space="0" w:color="auto"/>
        <w:right w:val="none" w:sz="0" w:space="0" w:color="auto"/>
      </w:divBdr>
      <w:divsChild>
        <w:div w:id="625742620">
          <w:marLeft w:val="0"/>
          <w:marRight w:val="0"/>
          <w:marTop w:val="0"/>
          <w:marBottom w:val="0"/>
          <w:divBdr>
            <w:top w:val="none" w:sz="0" w:space="0" w:color="auto"/>
            <w:left w:val="none" w:sz="0" w:space="0" w:color="auto"/>
            <w:bottom w:val="none" w:sz="0" w:space="0" w:color="auto"/>
            <w:right w:val="none" w:sz="0" w:space="0" w:color="auto"/>
          </w:divBdr>
        </w:div>
      </w:divsChild>
    </w:div>
    <w:div w:id="661205058">
      <w:bodyDiv w:val="1"/>
      <w:marLeft w:val="0"/>
      <w:marRight w:val="0"/>
      <w:marTop w:val="0"/>
      <w:marBottom w:val="0"/>
      <w:divBdr>
        <w:top w:val="none" w:sz="0" w:space="0" w:color="auto"/>
        <w:left w:val="none" w:sz="0" w:space="0" w:color="auto"/>
        <w:bottom w:val="none" w:sz="0" w:space="0" w:color="auto"/>
        <w:right w:val="none" w:sz="0" w:space="0" w:color="auto"/>
      </w:divBdr>
      <w:divsChild>
        <w:div w:id="114372072">
          <w:marLeft w:val="0"/>
          <w:marRight w:val="0"/>
          <w:marTop w:val="0"/>
          <w:marBottom w:val="0"/>
          <w:divBdr>
            <w:top w:val="none" w:sz="0" w:space="0" w:color="auto"/>
            <w:left w:val="none" w:sz="0" w:space="0" w:color="auto"/>
            <w:bottom w:val="none" w:sz="0" w:space="0" w:color="auto"/>
            <w:right w:val="none" w:sz="0" w:space="0" w:color="auto"/>
          </w:divBdr>
        </w:div>
      </w:divsChild>
    </w:div>
    <w:div w:id="671105312">
      <w:bodyDiv w:val="1"/>
      <w:marLeft w:val="0"/>
      <w:marRight w:val="0"/>
      <w:marTop w:val="0"/>
      <w:marBottom w:val="0"/>
      <w:divBdr>
        <w:top w:val="none" w:sz="0" w:space="0" w:color="auto"/>
        <w:left w:val="none" w:sz="0" w:space="0" w:color="auto"/>
        <w:bottom w:val="none" w:sz="0" w:space="0" w:color="auto"/>
        <w:right w:val="none" w:sz="0" w:space="0" w:color="auto"/>
      </w:divBdr>
      <w:divsChild>
        <w:div w:id="70008420">
          <w:marLeft w:val="0"/>
          <w:marRight w:val="0"/>
          <w:marTop w:val="0"/>
          <w:marBottom w:val="0"/>
          <w:divBdr>
            <w:top w:val="none" w:sz="0" w:space="0" w:color="auto"/>
            <w:left w:val="none" w:sz="0" w:space="0" w:color="auto"/>
            <w:bottom w:val="none" w:sz="0" w:space="0" w:color="auto"/>
            <w:right w:val="none" w:sz="0" w:space="0" w:color="auto"/>
          </w:divBdr>
        </w:div>
      </w:divsChild>
    </w:div>
    <w:div w:id="674261858">
      <w:bodyDiv w:val="1"/>
      <w:marLeft w:val="0"/>
      <w:marRight w:val="0"/>
      <w:marTop w:val="0"/>
      <w:marBottom w:val="0"/>
      <w:divBdr>
        <w:top w:val="none" w:sz="0" w:space="0" w:color="auto"/>
        <w:left w:val="none" w:sz="0" w:space="0" w:color="auto"/>
        <w:bottom w:val="none" w:sz="0" w:space="0" w:color="auto"/>
        <w:right w:val="none" w:sz="0" w:space="0" w:color="auto"/>
      </w:divBdr>
    </w:div>
    <w:div w:id="694310040">
      <w:bodyDiv w:val="1"/>
      <w:marLeft w:val="0"/>
      <w:marRight w:val="0"/>
      <w:marTop w:val="0"/>
      <w:marBottom w:val="0"/>
      <w:divBdr>
        <w:top w:val="none" w:sz="0" w:space="0" w:color="auto"/>
        <w:left w:val="none" w:sz="0" w:space="0" w:color="auto"/>
        <w:bottom w:val="none" w:sz="0" w:space="0" w:color="auto"/>
        <w:right w:val="none" w:sz="0" w:space="0" w:color="auto"/>
      </w:divBdr>
    </w:div>
    <w:div w:id="728769161">
      <w:bodyDiv w:val="1"/>
      <w:marLeft w:val="0"/>
      <w:marRight w:val="0"/>
      <w:marTop w:val="0"/>
      <w:marBottom w:val="0"/>
      <w:divBdr>
        <w:top w:val="none" w:sz="0" w:space="0" w:color="auto"/>
        <w:left w:val="none" w:sz="0" w:space="0" w:color="auto"/>
        <w:bottom w:val="none" w:sz="0" w:space="0" w:color="auto"/>
        <w:right w:val="none" w:sz="0" w:space="0" w:color="auto"/>
      </w:divBdr>
      <w:divsChild>
        <w:div w:id="1566450998">
          <w:marLeft w:val="0"/>
          <w:marRight w:val="0"/>
          <w:marTop w:val="0"/>
          <w:marBottom w:val="0"/>
          <w:divBdr>
            <w:top w:val="none" w:sz="0" w:space="0" w:color="auto"/>
            <w:left w:val="none" w:sz="0" w:space="0" w:color="auto"/>
            <w:bottom w:val="none" w:sz="0" w:space="0" w:color="auto"/>
            <w:right w:val="none" w:sz="0" w:space="0" w:color="auto"/>
          </w:divBdr>
        </w:div>
      </w:divsChild>
    </w:div>
    <w:div w:id="749809136">
      <w:bodyDiv w:val="1"/>
      <w:marLeft w:val="0"/>
      <w:marRight w:val="0"/>
      <w:marTop w:val="0"/>
      <w:marBottom w:val="0"/>
      <w:divBdr>
        <w:top w:val="none" w:sz="0" w:space="0" w:color="auto"/>
        <w:left w:val="none" w:sz="0" w:space="0" w:color="auto"/>
        <w:bottom w:val="none" w:sz="0" w:space="0" w:color="auto"/>
        <w:right w:val="none" w:sz="0" w:space="0" w:color="auto"/>
      </w:divBdr>
      <w:divsChild>
        <w:div w:id="553666122">
          <w:marLeft w:val="0"/>
          <w:marRight w:val="0"/>
          <w:marTop w:val="0"/>
          <w:marBottom w:val="0"/>
          <w:divBdr>
            <w:top w:val="none" w:sz="0" w:space="0" w:color="auto"/>
            <w:left w:val="none" w:sz="0" w:space="0" w:color="auto"/>
            <w:bottom w:val="none" w:sz="0" w:space="0" w:color="auto"/>
            <w:right w:val="none" w:sz="0" w:space="0" w:color="auto"/>
          </w:divBdr>
        </w:div>
      </w:divsChild>
    </w:div>
    <w:div w:id="755177366">
      <w:bodyDiv w:val="1"/>
      <w:marLeft w:val="0"/>
      <w:marRight w:val="0"/>
      <w:marTop w:val="0"/>
      <w:marBottom w:val="0"/>
      <w:divBdr>
        <w:top w:val="none" w:sz="0" w:space="0" w:color="auto"/>
        <w:left w:val="none" w:sz="0" w:space="0" w:color="auto"/>
        <w:bottom w:val="none" w:sz="0" w:space="0" w:color="auto"/>
        <w:right w:val="none" w:sz="0" w:space="0" w:color="auto"/>
      </w:divBdr>
      <w:divsChild>
        <w:div w:id="136798156">
          <w:marLeft w:val="0"/>
          <w:marRight w:val="0"/>
          <w:marTop w:val="0"/>
          <w:marBottom w:val="0"/>
          <w:divBdr>
            <w:top w:val="none" w:sz="0" w:space="0" w:color="auto"/>
            <w:left w:val="none" w:sz="0" w:space="0" w:color="auto"/>
            <w:bottom w:val="none" w:sz="0" w:space="0" w:color="auto"/>
            <w:right w:val="none" w:sz="0" w:space="0" w:color="auto"/>
          </w:divBdr>
        </w:div>
      </w:divsChild>
    </w:div>
    <w:div w:id="757941042">
      <w:bodyDiv w:val="1"/>
      <w:marLeft w:val="0"/>
      <w:marRight w:val="0"/>
      <w:marTop w:val="0"/>
      <w:marBottom w:val="0"/>
      <w:divBdr>
        <w:top w:val="none" w:sz="0" w:space="0" w:color="auto"/>
        <w:left w:val="none" w:sz="0" w:space="0" w:color="auto"/>
        <w:bottom w:val="none" w:sz="0" w:space="0" w:color="auto"/>
        <w:right w:val="none" w:sz="0" w:space="0" w:color="auto"/>
      </w:divBdr>
      <w:divsChild>
        <w:div w:id="1563326597">
          <w:marLeft w:val="0"/>
          <w:marRight w:val="0"/>
          <w:marTop w:val="0"/>
          <w:marBottom w:val="0"/>
          <w:divBdr>
            <w:top w:val="none" w:sz="0" w:space="0" w:color="auto"/>
            <w:left w:val="none" w:sz="0" w:space="0" w:color="auto"/>
            <w:bottom w:val="none" w:sz="0" w:space="0" w:color="auto"/>
            <w:right w:val="none" w:sz="0" w:space="0" w:color="auto"/>
          </w:divBdr>
        </w:div>
      </w:divsChild>
    </w:div>
    <w:div w:id="786048793">
      <w:bodyDiv w:val="1"/>
      <w:marLeft w:val="0"/>
      <w:marRight w:val="0"/>
      <w:marTop w:val="0"/>
      <w:marBottom w:val="0"/>
      <w:divBdr>
        <w:top w:val="none" w:sz="0" w:space="0" w:color="auto"/>
        <w:left w:val="none" w:sz="0" w:space="0" w:color="auto"/>
        <w:bottom w:val="none" w:sz="0" w:space="0" w:color="auto"/>
        <w:right w:val="none" w:sz="0" w:space="0" w:color="auto"/>
      </w:divBdr>
      <w:divsChild>
        <w:div w:id="1400664647">
          <w:marLeft w:val="0"/>
          <w:marRight w:val="0"/>
          <w:marTop w:val="0"/>
          <w:marBottom w:val="0"/>
          <w:divBdr>
            <w:top w:val="none" w:sz="0" w:space="0" w:color="auto"/>
            <w:left w:val="none" w:sz="0" w:space="0" w:color="auto"/>
            <w:bottom w:val="none" w:sz="0" w:space="0" w:color="auto"/>
            <w:right w:val="none" w:sz="0" w:space="0" w:color="auto"/>
          </w:divBdr>
        </w:div>
      </w:divsChild>
    </w:div>
    <w:div w:id="786705989">
      <w:bodyDiv w:val="1"/>
      <w:marLeft w:val="0"/>
      <w:marRight w:val="0"/>
      <w:marTop w:val="0"/>
      <w:marBottom w:val="0"/>
      <w:divBdr>
        <w:top w:val="none" w:sz="0" w:space="0" w:color="auto"/>
        <w:left w:val="none" w:sz="0" w:space="0" w:color="auto"/>
        <w:bottom w:val="none" w:sz="0" w:space="0" w:color="auto"/>
        <w:right w:val="none" w:sz="0" w:space="0" w:color="auto"/>
      </w:divBdr>
    </w:div>
    <w:div w:id="799802671">
      <w:bodyDiv w:val="1"/>
      <w:marLeft w:val="0"/>
      <w:marRight w:val="0"/>
      <w:marTop w:val="0"/>
      <w:marBottom w:val="0"/>
      <w:divBdr>
        <w:top w:val="none" w:sz="0" w:space="0" w:color="auto"/>
        <w:left w:val="none" w:sz="0" w:space="0" w:color="auto"/>
        <w:bottom w:val="none" w:sz="0" w:space="0" w:color="auto"/>
        <w:right w:val="none" w:sz="0" w:space="0" w:color="auto"/>
      </w:divBdr>
    </w:div>
    <w:div w:id="804736142">
      <w:bodyDiv w:val="1"/>
      <w:marLeft w:val="0"/>
      <w:marRight w:val="0"/>
      <w:marTop w:val="0"/>
      <w:marBottom w:val="0"/>
      <w:divBdr>
        <w:top w:val="none" w:sz="0" w:space="0" w:color="auto"/>
        <w:left w:val="none" w:sz="0" w:space="0" w:color="auto"/>
        <w:bottom w:val="none" w:sz="0" w:space="0" w:color="auto"/>
        <w:right w:val="none" w:sz="0" w:space="0" w:color="auto"/>
      </w:divBdr>
      <w:divsChild>
        <w:div w:id="1046755383">
          <w:marLeft w:val="0"/>
          <w:marRight w:val="0"/>
          <w:marTop w:val="0"/>
          <w:marBottom w:val="0"/>
          <w:divBdr>
            <w:top w:val="none" w:sz="0" w:space="0" w:color="auto"/>
            <w:left w:val="none" w:sz="0" w:space="0" w:color="auto"/>
            <w:bottom w:val="none" w:sz="0" w:space="0" w:color="auto"/>
            <w:right w:val="none" w:sz="0" w:space="0" w:color="auto"/>
          </w:divBdr>
        </w:div>
      </w:divsChild>
    </w:div>
    <w:div w:id="809439014">
      <w:bodyDiv w:val="1"/>
      <w:marLeft w:val="0"/>
      <w:marRight w:val="0"/>
      <w:marTop w:val="0"/>
      <w:marBottom w:val="0"/>
      <w:divBdr>
        <w:top w:val="none" w:sz="0" w:space="0" w:color="auto"/>
        <w:left w:val="none" w:sz="0" w:space="0" w:color="auto"/>
        <w:bottom w:val="none" w:sz="0" w:space="0" w:color="auto"/>
        <w:right w:val="none" w:sz="0" w:space="0" w:color="auto"/>
      </w:divBdr>
    </w:div>
    <w:div w:id="817768353">
      <w:bodyDiv w:val="1"/>
      <w:marLeft w:val="0"/>
      <w:marRight w:val="0"/>
      <w:marTop w:val="0"/>
      <w:marBottom w:val="0"/>
      <w:divBdr>
        <w:top w:val="none" w:sz="0" w:space="0" w:color="auto"/>
        <w:left w:val="none" w:sz="0" w:space="0" w:color="auto"/>
        <w:bottom w:val="none" w:sz="0" w:space="0" w:color="auto"/>
        <w:right w:val="none" w:sz="0" w:space="0" w:color="auto"/>
      </w:divBdr>
    </w:div>
    <w:div w:id="839739298">
      <w:bodyDiv w:val="1"/>
      <w:marLeft w:val="0"/>
      <w:marRight w:val="0"/>
      <w:marTop w:val="0"/>
      <w:marBottom w:val="0"/>
      <w:divBdr>
        <w:top w:val="none" w:sz="0" w:space="0" w:color="auto"/>
        <w:left w:val="none" w:sz="0" w:space="0" w:color="auto"/>
        <w:bottom w:val="none" w:sz="0" w:space="0" w:color="auto"/>
        <w:right w:val="none" w:sz="0" w:space="0" w:color="auto"/>
      </w:divBdr>
      <w:divsChild>
        <w:div w:id="324672779">
          <w:marLeft w:val="0"/>
          <w:marRight w:val="0"/>
          <w:marTop w:val="0"/>
          <w:marBottom w:val="0"/>
          <w:divBdr>
            <w:top w:val="none" w:sz="0" w:space="0" w:color="auto"/>
            <w:left w:val="none" w:sz="0" w:space="0" w:color="auto"/>
            <w:bottom w:val="none" w:sz="0" w:space="0" w:color="auto"/>
            <w:right w:val="none" w:sz="0" w:space="0" w:color="auto"/>
          </w:divBdr>
        </w:div>
      </w:divsChild>
    </w:div>
    <w:div w:id="849099500">
      <w:bodyDiv w:val="1"/>
      <w:marLeft w:val="0"/>
      <w:marRight w:val="0"/>
      <w:marTop w:val="0"/>
      <w:marBottom w:val="0"/>
      <w:divBdr>
        <w:top w:val="none" w:sz="0" w:space="0" w:color="auto"/>
        <w:left w:val="none" w:sz="0" w:space="0" w:color="auto"/>
        <w:bottom w:val="none" w:sz="0" w:space="0" w:color="auto"/>
        <w:right w:val="none" w:sz="0" w:space="0" w:color="auto"/>
      </w:divBdr>
      <w:divsChild>
        <w:div w:id="1621376796">
          <w:marLeft w:val="0"/>
          <w:marRight w:val="0"/>
          <w:marTop w:val="0"/>
          <w:marBottom w:val="0"/>
          <w:divBdr>
            <w:top w:val="none" w:sz="0" w:space="0" w:color="auto"/>
            <w:left w:val="none" w:sz="0" w:space="0" w:color="auto"/>
            <w:bottom w:val="none" w:sz="0" w:space="0" w:color="auto"/>
            <w:right w:val="none" w:sz="0" w:space="0" w:color="auto"/>
          </w:divBdr>
        </w:div>
      </w:divsChild>
    </w:div>
    <w:div w:id="879518718">
      <w:bodyDiv w:val="1"/>
      <w:marLeft w:val="0"/>
      <w:marRight w:val="0"/>
      <w:marTop w:val="0"/>
      <w:marBottom w:val="0"/>
      <w:divBdr>
        <w:top w:val="none" w:sz="0" w:space="0" w:color="auto"/>
        <w:left w:val="none" w:sz="0" w:space="0" w:color="auto"/>
        <w:bottom w:val="none" w:sz="0" w:space="0" w:color="auto"/>
        <w:right w:val="none" w:sz="0" w:space="0" w:color="auto"/>
      </w:divBdr>
      <w:divsChild>
        <w:div w:id="1166557673">
          <w:marLeft w:val="0"/>
          <w:marRight w:val="0"/>
          <w:marTop w:val="0"/>
          <w:marBottom w:val="0"/>
          <w:divBdr>
            <w:top w:val="none" w:sz="0" w:space="0" w:color="auto"/>
            <w:left w:val="none" w:sz="0" w:space="0" w:color="auto"/>
            <w:bottom w:val="none" w:sz="0" w:space="0" w:color="auto"/>
            <w:right w:val="none" w:sz="0" w:space="0" w:color="auto"/>
          </w:divBdr>
        </w:div>
      </w:divsChild>
    </w:div>
    <w:div w:id="892037689">
      <w:bodyDiv w:val="1"/>
      <w:marLeft w:val="0"/>
      <w:marRight w:val="0"/>
      <w:marTop w:val="0"/>
      <w:marBottom w:val="0"/>
      <w:divBdr>
        <w:top w:val="none" w:sz="0" w:space="0" w:color="auto"/>
        <w:left w:val="none" w:sz="0" w:space="0" w:color="auto"/>
        <w:bottom w:val="none" w:sz="0" w:space="0" w:color="auto"/>
        <w:right w:val="none" w:sz="0" w:space="0" w:color="auto"/>
      </w:divBdr>
    </w:div>
    <w:div w:id="894045956">
      <w:bodyDiv w:val="1"/>
      <w:marLeft w:val="0"/>
      <w:marRight w:val="0"/>
      <w:marTop w:val="0"/>
      <w:marBottom w:val="0"/>
      <w:divBdr>
        <w:top w:val="none" w:sz="0" w:space="0" w:color="auto"/>
        <w:left w:val="none" w:sz="0" w:space="0" w:color="auto"/>
        <w:bottom w:val="none" w:sz="0" w:space="0" w:color="auto"/>
        <w:right w:val="none" w:sz="0" w:space="0" w:color="auto"/>
      </w:divBdr>
      <w:divsChild>
        <w:div w:id="1631665558">
          <w:marLeft w:val="0"/>
          <w:marRight w:val="0"/>
          <w:marTop w:val="0"/>
          <w:marBottom w:val="0"/>
          <w:divBdr>
            <w:top w:val="none" w:sz="0" w:space="0" w:color="auto"/>
            <w:left w:val="none" w:sz="0" w:space="0" w:color="auto"/>
            <w:bottom w:val="none" w:sz="0" w:space="0" w:color="auto"/>
            <w:right w:val="none" w:sz="0" w:space="0" w:color="auto"/>
          </w:divBdr>
        </w:div>
      </w:divsChild>
    </w:div>
    <w:div w:id="904222188">
      <w:bodyDiv w:val="1"/>
      <w:marLeft w:val="0"/>
      <w:marRight w:val="0"/>
      <w:marTop w:val="0"/>
      <w:marBottom w:val="0"/>
      <w:divBdr>
        <w:top w:val="none" w:sz="0" w:space="0" w:color="auto"/>
        <w:left w:val="none" w:sz="0" w:space="0" w:color="auto"/>
        <w:bottom w:val="none" w:sz="0" w:space="0" w:color="auto"/>
        <w:right w:val="none" w:sz="0" w:space="0" w:color="auto"/>
      </w:divBdr>
      <w:divsChild>
        <w:div w:id="690836110">
          <w:marLeft w:val="0"/>
          <w:marRight w:val="0"/>
          <w:marTop w:val="0"/>
          <w:marBottom w:val="0"/>
          <w:divBdr>
            <w:top w:val="none" w:sz="0" w:space="0" w:color="auto"/>
            <w:left w:val="none" w:sz="0" w:space="0" w:color="auto"/>
            <w:bottom w:val="none" w:sz="0" w:space="0" w:color="auto"/>
            <w:right w:val="none" w:sz="0" w:space="0" w:color="auto"/>
          </w:divBdr>
        </w:div>
      </w:divsChild>
    </w:div>
    <w:div w:id="908928288">
      <w:bodyDiv w:val="1"/>
      <w:marLeft w:val="0"/>
      <w:marRight w:val="0"/>
      <w:marTop w:val="0"/>
      <w:marBottom w:val="0"/>
      <w:divBdr>
        <w:top w:val="none" w:sz="0" w:space="0" w:color="auto"/>
        <w:left w:val="none" w:sz="0" w:space="0" w:color="auto"/>
        <w:bottom w:val="none" w:sz="0" w:space="0" w:color="auto"/>
        <w:right w:val="none" w:sz="0" w:space="0" w:color="auto"/>
      </w:divBdr>
      <w:divsChild>
        <w:div w:id="1056852571">
          <w:marLeft w:val="0"/>
          <w:marRight w:val="0"/>
          <w:marTop w:val="0"/>
          <w:marBottom w:val="0"/>
          <w:divBdr>
            <w:top w:val="none" w:sz="0" w:space="0" w:color="auto"/>
            <w:left w:val="none" w:sz="0" w:space="0" w:color="auto"/>
            <w:bottom w:val="none" w:sz="0" w:space="0" w:color="auto"/>
            <w:right w:val="none" w:sz="0" w:space="0" w:color="auto"/>
          </w:divBdr>
        </w:div>
      </w:divsChild>
    </w:div>
    <w:div w:id="923338421">
      <w:bodyDiv w:val="1"/>
      <w:marLeft w:val="0"/>
      <w:marRight w:val="0"/>
      <w:marTop w:val="0"/>
      <w:marBottom w:val="0"/>
      <w:divBdr>
        <w:top w:val="none" w:sz="0" w:space="0" w:color="auto"/>
        <w:left w:val="none" w:sz="0" w:space="0" w:color="auto"/>
        <w:bottom w:val="none" w:sz="0" w:space="0" w:color="auto"/>
        <w:right w:val="none" w:sz="0" w:space="0" w:color="auto"/>
      </w:divBdr>
    </w:div>
    <w:div w:id="945889291">
      <w:bodyDiv w:val="1"/>
      <w:marLeft w:val="0"/>
      <w:marRight w:val="0"/>
      <w:marTop w:val="0"/>
      <w:marBottom w:val="0"/>
      <w:divBdr>
        <w:top w:val="none" w:sz="0" w:space="0" w:color="auto"/>
        <w:left w:val="none" w:sz="0" w:space="0" w:color="auto"/>
        <w:bottom w:val="none" w:sz="0" w:space="0" w:color="auto"/>
        <w:right w:val="none" w:sz="0" w:space="0" w:color="auto"/>
      </w:divBdr>
    </w:div>
    <w:div w:id="955062312">
      <w:bodyDiv w:val="1"/>
      <w:marLeft w:val="0"/>
      <w:marRight w:val="0"/>
      <w:marTop w:val="0"/>
      <w:marBottom w:val="0"/>
      <w:divBdr>
        <w:top w:val="none" w:sz="0" w:space="0" w:color="auto"/>
        <w:left w:val="none" w:sz="0" w:space="0" w:color="auto"/>
        <w:bottom w:val="none" w:sz="0" w:space="0" w:color="auto"/>
        <w:right w:val="none" w:sz="0" w:space="0" w:color="auto"/>
      </w:divBdr>
      <w:divsChild>
        <w:div w:id="1660501962">
          <w:marLeft w:val="0"/>
          <w:marRight w:val="0"/>
          <w:marTop w:val="0"/>
          <w:marBottom w:val="0"/>
          <w:divBdr>
            <w:top w:val="none" w:sz="0" w:space="0" w:color="auto"/>
            <w:left w:val="none" w:sz="0" w:space="0" w:color="auto"/>
            <w:bottom w:val="none" w:sz="0" w:space="0" w:color="auto"/>
            <w:right w:val="none" w:sz="0" w:space="0" w:color="auto"/>
          </w:divBdr>
        </w:div>
      </w:divsChild>
    </w:div>
    <w:div w:id="956761749">
      <w:bodyDiv w:val="1"/>
      <w:marLeft w:val="0"/>
      <w:marRight w:val="0"/>
      <w:marTop w:val="0"/>
      <w:marBottom w:val="0"/>
      <w:divBdr>
        <w:top w:val="none" w:sz="0" w:space="0" w:color="auto"/>
        <w:left w:val="none" w:sz="0" w:space="0" w:color="auto"/>
        <w:bottom w:val="none" w:sz="0" w:space="0" w:color="auto"/>
        <w:right w:val="none" w:sz="0" w:space="0" w:color="auto"/>
      </w:divBdr>
      <w:divsChild>
        <w:div w:id="475996817">
          <w:marLeft w:val="0"/>
          <w:marRight w:val="0"/>
          <w:marTop w:val="0"/>
          <w:marBottom w:val="0"/>
          <w:divBdr>
            <w:top w:val="none" w:sz="0" w:space="0" w:color="auto"/>
            <w:left w:val="none" w:sz="0" w:space="0" w:color="auto"/>
            <w:bottom w:val="none" w:sz="0" w:space="0" w:color="auto"/>
            <w:right w:val="none" w:sz="0" w:space="0" w:color="auto"/>
          </w:divBdr>
        </w:div>
      </w:divsChild>
    </w:div>
    <w:div w:id="973366955">
      <w:bodyDiv w:val="1"/>
      <w:marLeft w:val="0"/>
      <w:marRight w:val="0"/>
      <w:marTop w:val="0"/>
      <w:marBottom w:val="0"/>
      <w:divBdr>
        <w:top w:val="none" w:sz="0" w:space="0" w:color="auto"/>
        <w:left w:val="none" w:sz="0" w:space="0" w:color="auto"/>
        <w:bottom w:val="none" w:sz="0" w:space="0" w:color="auto"/>
        <w:right w:val="none" w:sz="0" w:space="0" w:color="auto"/>
      </w:divBdr>
      <w:divsChild>
        <w:div w:id="1733776591">
          <w:marLeft w:val="0"/>
          <w:marRight w:val="0"/>
          <w:marTop w:val="0"/>
          <w:marBottom w:val="0"/>
          <w:divBdr>
            <w:top w:val="none" w:sz="0" w:space="0" w:color="auto"/>
            <w:left w:val="none" w:sz="0" w:space="0" w:color="auto"/>
            <w:bottom w:val="none" w:sz="0" w:space="0" w:color="auto"/>
            <w:right w:val="none" w:sz="0" w:space="0" w:color="auto"/>
          </w:divBdr>
        </w:div>
      </w:divsChild>
    </w:div>
    <w:div w:id="993803659">
      <w:bodyDiv w:val="1"/>
      <w:marLeft w:val="0"/>
      <w:marRight w:val="0"/>
      <w:marTop w:val="0"/>
      <w:marBottom w:val="0"/>
      <w:divBdr>
        <w:top w:val="none" w:sz="0" w:space="0" w:color="auto"/>
        <w:left w:val="none" w:sz="0" w:space="0" w:color="auto"/>
        <w:bottom w:val="none" w:sz="0" w:space="0" w:color="auto"/>
        <w:right w:val="none" w:sz="0" w:space="0" w:color="auto"/>
      </w:divBdr>
    </w:div>
    <w:div w:id="1011026921">
      <w:bodyDiv w:val="1"/>
      <w:marLeft w:val="0"/>
      <w:marRight w:val="0"/>
      <w:marTop w:val="0"/>
      <w:marBottom w:val="0"/>
      <w:divBdr>
        <w:top w:val="none" w:sz="0" w:space="0" w:color="auto"/>
        <w:left w:val="none" w:sz="0" w:space="0" w:color="auto"/>
        <w:bottom w:val="none" w:sz="0" w:space="0" w:color="auto"/>
        <w:right w:val="none" w:sz="0" w:space="0" w:color="auto"/>
      </w:divBdr>
      <w:divsChild>
        <w:div w:id="44106093">
          <w:marLeft w:val="0"/>
          <w:marRight w:val="0"/>
          <w:marTop w:val="0"/>
          <w:marBottom w:val="0"/>
          <w:divBdr>
            <w:top w:val="none" w:sz="0" w:space="0" w:color="auto"/>
            <w:left w:val="none" w:sz="0" w:space="0" w:color="auto"/>
            <w:bottom w:val="none" w:sz="0" w:space="0" w:color="auto"/>
            <w:right w:val="none" w:sz="0" w:space="0" w:color="auto"/>
          </w:divBdr>
        </w:div>
      </w:divsChild>
    </w:div>
    <w:div w:id="1019502588">
      <w:bodyDiv w:val="1"/>
      <w:marLeft w:val="0"/>
      <w:marRight w:val="0"/>
      <w:marTop w:val="0"/>
      <w:marBottom w:val="0"/>
      <w:divBdr>
        <w:top w:val="none" w:sz="0" w:space="0" w:color="auto"/>
        <w:left w:val="none" w:sz="0" w:space="0" w:color="auto"/>
        <w:bottom w:val="none" w:sz="0" w:space="0" w:color="auto"/>
        <w:right w:val="none" w:sz="0" w:space="0" w:color="auto"/>
      </w:divBdr>
      <w:divsChild>
        <w:div w:id="669062938">
          <w:marLeft w:val="0"/>
          <w:marRight w:val="0"/>
          <w:marTop w:val="0"/>
          <w:marBottom w:val="0"/>
          <w:divBdr>
            <w:top w:val="none" w:sz="0" w:space="0" w:color="auto"/>
            <w:left w:val="none" w:sz="0" w:space="0" w:color="auto"/>
            <w:bottom w:val="none" w:sz="0" w:space="0" w:color="auto"/>
            <w:right w:val="none" w:sz="0" w:space="0" w:color="auto"/>
          </w:divBdr>
        </w:div>
      </w:divsChild>
    </w:div>
    <w:div w:id="1038627211">
      <w:bodyDiv w:val="1"/>
      <w:marLeft w:val="0"/>
      <w:marRight w:val="0"/>
      <w:marTop w:val="0"/>
      <w:marBottom w:val="0"/>
      <w:divBdr>
        <w:top w:val="none" w:sz="0" w:space="0" w:color="auto"/>
        <w:left w:val="none" w:sz="0" w:space="0" w:color="auto"/>
        <w:bottom w:val="none" w:sz="0" w:space="0" w:color="auto"/>
        <w:right w:val="none" w:sz="0" w:space="0" w:color="auto"/>
      </w:divBdr>
      <w:divsChild>
        <w:div w:id="2071885367">
          <w:marLeft w:val="0"/>
          <w:marRight w:val="0"/>
          <w:marTop w:val="0"/>
          <w:marBottom w:val="0"/>
          <w:divBdr>
            <w:top w:val="none" w:sz="0" w:space="0" w:color="auto"/>
            <w:left w:val="none" w:sz="0" w:space="0" w:color="auto"/>
            <w:bottom w:val="none" w:sz="0" w:space="0" w:color="auto"/>
            <w:right w:val="none" w:sz="0" w:space="0" w:color="auto"/>
          </w:divBdr>
        </w:div>
      </w:divsChild>
    </w:div>
    <w:div w:id="1039087083">
      <w:bodyDiv w:val="1"/>
      <w:marLeft w:val="0"/>
      <w:marRight w:val="0"/>
      <w:marTop w:val="0"/>
      <w:marBottom w:val="0"/>
      <w:divBdr>
        <w:top w:val="none" w:sz="0" w:space="0" w:color="auto"/>
        <w:left w:val="none" w:sz="0" w:space="0" w:color="auto"/>
        <w:bottom w:val="none" w:sz="0" w:space="0" w:color="auto"/>
        <w:right w:val="none" w:sz="0" w:space="0" w:color="auto"/>
      </w:divBdr>
    </w:div>
    <w:div w:id="1069109252">
      <w:bodyDiv w:val="1"/>
      <w:marLeft w:val="0"/>
      <w:marRight w:val="0"/>
      <w:marTop w:val="0"/>
      <w:marBottom w:val="0"/>
      <w:divBdr>
        <w:top w:val="none" w:sz="0" w:space="0" w:color="auto"/>
        <w:left w:val="none" w:sz="0" w:space="0" w:color="auto"/>
        <w:bottom w:val="none" w:sz="0" w:space="0" w:color="auto"/>
        <w:right w:val="none" w:sz="0" w:space="0" w:color="auto"/>
      </w:divBdr>
      <w:divsChild>
        <w:div w:id="430274977">
          <w:marLeft w:val="0"/>
          <w:marRight w:val="0"/>
          <w:marTop w:val="0"/>
          <w:marBottom w:val="0"/>
          <w:divBdr>
            <w:top w:val="none" w:sz="0" w:space="0" w:color="auto"/>
            <w:left w:val="none" w:sz="0" w:space="0" w:color="auto"/>
            <w:bottom w:val="none" w:sz="0" w:space="0" w:color="auto"/>
            <w:right w:val="none" w:sz="0" w:space="0" w:color="auto"/>
          </w:divBdr>
        </w:div>
      </w:divsChild>
    </w:div>
    <w:div w:id="1095788922">
      <w:bodyDiv w:val="1"/>
      <w:marLeft w:val="0"/>
      <w:marRight w:val="0"/>
      <w:marTop w:val="0"/>
      <w:marBottom w:val="0"/>
      <w:divBdr>
        <w:top w:val="none" w:sz="0" w:space="0" w:color="auto"/>
        <w:left w:val="none" w:sz="0" w:space="0" w:color="auto"/>
        <w:bottom w:val="none" w:sz="0" w:space="0" w:color="auto"/>
        <w:right w:val="none" w:sz="0" w:space="0" w:color="auto"/>
      </w:divBdr>
    </w:div>
    <w:div w:id="1112555775">
      <w:bodyDiv w:val="1"/>
      <w:marLeft w:val="0"/>
      <w:marRight w:val="0"/>
      <w:marTop w:val="0"/>
      <w:marBottom w:val="0"/>
      <w:divBdr>
        <w:top w:val="none" w:sz="0" w:space="0" w:color="auto"/>
        <w:left w:val="none" w:sz="0" w:space="0" w:color="auto"/>
        <w:bottom w:val="none" w:sz="0" w:space="0" w:color="auto"/>
        <w:right w:val="none" w:sz="0" w:space="0" w:color="auto"/>
      </w:divBdr>
      <w:divsChild>
        <w:div w:id="533150312">
          <w:marLeft w:val="0"/>
          <w:marRight w:val="0"/>
          <w:marTop w:val="0"/>
          <w:marBottom w:val="0"/>
          <w:divBdr>
            <w:top w:val="none" w:sz="0" w:space="0" w:color="auto"/>
            <w:left w:val="none" w:sz="0" w:space="0" w:color="auto"/>
            <w:bottom w:val="none" w:sz="0" w:space="0" w:color="auto"/>
            <w:right w:val="none" w:sz="0" w:space="0" w:color="auto"/>
          </w:divBdr>
        </w:div>
      </w:divsChild>
    </w:div>
    <w:div w:id="1136603373">
      <w:bodyDiv w:val="1"/>
      <w:marLeft w:val="0"/>
      <w:marRight w:val="0"/>
      <w:marTop w:val="0"/>
      <w:marBottom w:val="0"/>
      <w:divBdr>
        <w:top w:val="none" w:sz="0" w:space="0" w:color="auto"/>
        <w:left w:val="none" w:sz="0" w:space="0" w:color="auto"/>
        <w:bottom w:val="none" w:sz="0" w:space="0" w:color="auto"/>
        <w:right w:val="none" w:sz="0" w:space="0" w:color="auto"/>
      </w:divBdr>
    </w:div>
    <w:div w:id="1155880043">
      <w:bodyDiv w:val="1"/>
      <w:marLeft w:val="0"/>
      <w:marRight w:val="0"/>
      <w:marTop w:val="0"/>
      <w:marBottom w:val="0"/>
      <w:divBdr>
        <w:top w:val="none" w:sz="0" w:space="0" w:color="auto"/>
        <w:left w:val="none" w:sz="0" w:space="0" w:color="auto"/>
        <w:bottom w:val="none" w:sz="0" w:space="0" w:color="auto"/>
        <w:right w:val="none" w:sz="0" w:space="0" w:color="auto"/>
      </w:divBdr>
    </w:div>
    <w:div w:id="1163621528">
      <w:bodyDiv w:val="1"/>
      <w:marLeft w:val="0"/>
      <w:marRight w:val="0"/>
      <w:marTop w:val="0"/>
      <w:marBottom w:val="0"/>
      <w:divBdr>
        <w:top w:val="none" w:sz="0" w:space="0" w:color="auto"/>
        <w:left w:val="none" w:sz="0" w:space="0" w:color="auto"/>
        <w:bottom w:val="none" w:sz="0" w:space="0" w:color="auto"/>
        <w:right w:val="none" w:sz="0" w:space="0" w:color="auto"/>
      </w:divBdr>
    </w:div>
    <w:div w:id="1177697257">
      <w:bodyDiv w:val="1"/>
      <w:marLeft w:val="0"/>
      <w:marRight w:val="0"/>
      <w:marTop w:val="0"/>
      <w:marBottom w:val="0"/>
      <w:divBdr>
        <w:top w:val="none" w:sz="0" w:space="0" w:color="auto"/>
        <w:left w:val="none" w:sz="0" w:space="0" w:color="auto"/>
        <w:bottom w:val="none" w:sz="0" w:space="0" w:color="auto"/>
        <w:right w:val="none" w:sz="0" w:space="0" w:color="auto"/>
      </w:divBdr>
      <w:divsChild>
        <w:div w:id="147329204">
          <w:marLeft w:val="0"/>
          <w:marRight w:val="0"/>
          <w:marTop w:val="0"/>
          <w:marBottom w:val="0"/>
          <w:divBdr>
            <w:top w:val="none" w:sz="0" w:space="0" w:color="auto"/>
            <w:left w:val="none" w:sz="0" w:space="0" w:color="auto"/>
            <w:bottom w:val="none" w:sz="0" w:space="0" w:color="auto"/>
            <w:right w:val="none" w:sz="0" w:space="0" w:color="auto"/>
          </w:divBdr>
        </w:div>
      </w:divsChild>
    </w:div>
    <w:div w:id="1190873093">
      <w:bodyDiv w:val="1"/>
      <w:marLeft w:val="0"/>
      <w:marRight w:val="0"/>
      <w:marTop w:val="0"/>
      <w:marBottom w:val="0"/>
      <w:divBdr>
        <w:top w:val="none" w:sz="0" w:space="0" w:color="auto"/>
        <w:left w:val="none" w:sz="0" w:space="0" w:color="auto"/>
        <w:bottom w:val="none" w:sz="0" w:space="0" w:color="auto"/>
        <w:right w:val="none" w:sz="0" w:space="0" w:color="auto"/>
      </w:divBdr>
    </w:div>
    <w:div w:id="1210655320">
      <w:bodyDiv w:val="1"/>
      <w:marLeft w:val="0"/>
      <w:marRight w:val="0"/>
      <w:marTop w:val="0"/>
      <w:marBottom w:val="0"/>
      <w:divBdr>
        <w:top w:val="none" w:sz="0" w:space="0" w:color="auto"/>
        <w:left w:val="none" w:sz="0" w:space="0" w:color="auto"/>
        <w:bottom w:val="none" w:sz="0" w:space="0" w:color="auto"/>
        <w:right w:val="none" w:sz="0" w:space="0" w:color="auto"/>
      </w:divBdr>
      <w:divsChild>
        <w:div w:id="138814365">
          <w:marLeft w:val="0"/>
          <w:marRight w:val="0"/>
          <w:marTop w:val="0"/>
          <w:marBottom w:val="0"/>
          <w:divBdr>
            <w:top w:val="none" w:sz="0" w:space="0" w:color="auto"/>
            <w:left w:val="none" w:sz="0" w:space="0" w:color="auto"/>
            <w:bottom w:val="none" w:sz="0" w:space="0" w:color="auto"/>
            <w:right w:val="none" w:sz="0" w:space="0" w:color="auto"/>
          </w:divBdr>
        </w:div>
      </w:divsChild>
    </w:div>
    <w:div w:id="1218206725">
      <w:bodyDiv w:val="1"/>
      <w:marLeft w:val="0"/>
      <w:marRight w:val="0"/>
      <w:marTop w:val="0"/>
      <w:marBottom w:val="0"/>
      <w:divBdr>
        <w:top w:val="none" w:sz="0" w:space="0" w:color="auto"/>
        <w:left w:val="none" w:sz="0" w:space="0" w:color="auto"/>
        <w:bottom w:val="none" w:sz="0" w:space="0" w:color="auto"/>
        <w:right w:val="none" w:sz="0" w:space="0" w:color="auto"/>
      </w:divBdr>
    </w:div>
    <w:div w:id="1226455790">
      <w:bodyDiv w:val="1"/>
      <w:marLeft w:val="0"/>
      <w:marRight w:val="0"/>
      <w:marTop w:val="0"/>
      <w:marBottom w:val="0"/>
      <w:divBdr>
        <w:top w:val="none" w:sz="0" w:space="0" w:color="auto"/>
        <w:left w:val="none" w:sz="0" w:space="0" w:color="auto"/>
        <w:bottom w:val="none" w:sz="0" w:space="0" w:color="auto"/>
        <w:right w:val="none" w:sz="0" w:space="0" w:color="auto"/>
      </w:divBdr>
    </w:div>
    <w:div w:id="1246843207">
      <w:bodyDiv w:val="1"/>
      <w:marLeft w:val="0"/>
      <w:marRight w:val="0"/>
      <w:marTop w:val="0"/>
      <w:marBottom w:val="0"/>
      <w:divBdr>
        <w:top w:val="none" w:sz="0" w:space="0" w:color="auto"/>
        <w:left w:val="none" w:sz="0" w:space="0" w:color="auto"/>
        <w:bottom w:val="none" w:sz="0" w:space="0" w:color="auto"/>
        <w:right w:val="none" w:sz="0" w:space="0" w:color="auto"/>
      </w:divBdr>
    </w:div>
    <w:div w:id="1250965357">
      <w:bodyDiv w:val="1"/>
      <w:marLeft w:val="0"/>
      <w:marRight w:val="0"/>
      <w:marTop w:val="0"/>
      <w:marBottom w:val="0"/>
      <w:divBdr>
        <w:top w:val="none" w:sz="0" w:space="0" w:color="auto"/>
        <w:left w:val="none" w:sz="0" w:space="0" w:color="auto"/>
        <w:bottom w:val="none" w:sz="0" w:space="0" w:color="auto"/>
        <w:right w:val="none" w:sz="0" w:space="0" w:color="auto"/>
      </w:divBdr>
      <w:divsChild>
        <w:div w:id="223032362">
          <w:marLeft w:val="0"/>
          <w:marRight w:val="0"/>
          <w:marTop w:val="0"/>
          <w:marBottom w:val="0"/>
          <w:divBdr>
            <w:top w:val="none" w:sz="0" w:space="0" w:color="auto"/>
            <w:left w:val="none" w:sz="0" w:space="0" w:color="auto"/>
            <w:bottom w:val="none" w:sz="0" w:space="0" w:color="auto"/>
            <w:right w:val="none" w:sz="0" w:space="0" w:color="auto"/>
          </w:divBdr>
        </w:div>
      </w:divsChild>
    </w:div>
    <w:div w:id="1253971414">
      <w:bodyDiv w:val="1"/>
      <w:marLeft w:val="0"/>
      <w:marRight w:val="0"/>
      <w:marTop w:val="0"/>
      <w:marBottom w:val="0"/>
      <w:divBdr>
        <w:top w:val="none" w:sz="0" w:space="0" w:color="auto"/>
        <w:left w:val="none" w:sz="0" w:space="0" w:color="auto"/>
        <w:bottom w:val="none" w:sz="0" w:space="0" w:color="auto"/>
        <w:right w:val="none" w:sz="0" w:space="0" w:color="auto"/>
      </w:divBdr>
      <w:divsChild>
        <w:div w:id="1274701780">
          <w:marLeft w:val="0"/>
          <w:marRight w:val="0"/>
          <w:marTop w:val="0"/>
          <w:marBottom w:val="0"/>
          <w:divBdr>
            <w:top w:val="none" w:sz="0" w:space="0" w:color="auto"/>
            <w:left w:val="none" w:sz="0" w:space="0" w:color="auto"/>
            <w:bottom w:val="none" w:sz="0" w:space="0" w:color="auto"/>
            <w:right w:val="none" w:sz="0" w:space="0" w:color="auto"/>
          </w:divBdr>
        </w:div>
      </w:divsChild>
    </w:div>
    <w:div w:id="1284731957">
      <w:bodyDiv w:val="1"/>
      <w:marLeft w:val="0"/>
      <w:marRight w:val="0"/>
      <w:marTop w:val="0"/>
      <w:marBottom w:val="0"/>
      <w:divBdr>
        <w:top w:val="none" w:sz="0" w:space="0" w:color="auto"/>
        <w:left w:val="none" w:sz="0" w:space="0" w:color="auto"/>
        <w:bottom w:val="none" w:sz="0" w:space="0" w:color="auto"/>
        <w:right w:val="none" w:sz="0" w:space="0" w:color="auto"/>
      </w:divBdr>
    </w:div>
    <w:div w:id="1322008368">
      <w:bodyDiv w:val="1"/>
      <w:marLeft w:val="0"/>
      <w:marRight w:val="0"/>
      <w:marTop w:val="0"/>
      <w:marBottom w:val="0"/>
      <w:divBdr>
        <w:top w:val="none" w:sz="0" w:space="0" w:color="auto"/>
        <w:left w:val="none" w:sz="0" w:space="0" w:color="auto"/>
        <w:bottom w:val="none" w:sz="0" w:space="0" w:color="auto"/>
        <w:right w:val="none" w:sz="0" w:space="0" w:color="auto"/>
      </w:divBdr>
      <w:divsChild>
        <w:div w:id="172645194">
          <w:marLeft w:val="0"/>
          <w:marRight w:val="0"/>
          <w:marTop w:val="0"/>
          <w:marBottom w:val="0"/>
          <w:divBdr>
            <w:top w:val="none" w:sz="0" w:space="0" w:color="auto"/>
            <w:left w:val="none" w:sz="0" w:space="0" w:color="auto"/>
            <w:bottom w:val="none" w:sz="0" w:space="0" w:color="auto"/>
            <w:right w:val="none" w:sz="0" w:space="0" w:color="auto"/>
          </w:divBdr>
        </w:div>
      </w:divsChild>
    </w:div>
    <w:div w:id="1348672456">
      <w:bodyDiv w:val="1"/>
      <w:marLeft w:val="0"/>
      <w:marRight w:val="0"/>
      <w:marTop w:val="0"/>
      <w:marBottom w:val="0"/>
      <w:divBdr>
        <w:top w:val="none" w:sz="0" w:space="0" w:color="auto"/>
        <w:left w:val="none" w:sz="0" w:space="0" w:color="auto"/>
        <w:bottom w:val="none" w:sz="0" w:space="0" w:color="auto"/>
        <w:right w:val="none" w:sz="0" w:space="0" w:color="auto"/>
      </w:divBdr>
      <w:divsChild>
        <w:div w:id="686717285">
          <w:marLeft w:val="0"/>
          <w:marRight w:val="0"/>
          <w:marTop w:val="0"/>
          <w:marBottom w:val="0"/>
          <w:divBdr>
            <w:top w:val="none" w:sz="0" w:space="0" w:color="auto"/>
            <w:left w:val="none" w:sz="0" w:space="0" w:color="auto"/>
            <w:bottom w:val="none" w:sz="0" w:space="0" w:color="auto"/>
            <w:right w:val="none" w:sz="0" w:space="0" w:color="auto"/>
          </w:divBdr>
        </w:div>
      </w:divsChild>
    </w:div>
    <w:div w:id="1363363808">
      <w:bodyDiv w:val="1"/>
      <w:marLeft w:val="0"/>
      <w:marRight w:val="0"/>
      <w:marTop w:val="0"/>
      <w:marBottom w:val="0"/>
      <w:divBdr>
        <w:top w:val="none" w:sz="0" w:space="0" w:color="auto"/>
        <w:left w:val="none" w:sz="0" w:space="0" w:color="auto"/>
        <w:bottom w:val="none" w:sz="0" w:space="0" w:color="auto"/>
        <w:right w:val="none" w:sz="0" w:space="0" w:color="auto"/>
      </w:divBdr>
      <w:divsChild>
        <w:div w:id="1638101956">
          <w:marLeft w:val="0"/>
          <w:marRight w:val="0"/>
          <w:marTop w:val="0"/>
          <w:marBottom w:val="0"/>
          <w:divBdr>
            <w:top w:val="none" w:sz="0" w:space="0" w:color="auto"/>
            <w:left w:val="none" w:sz="0" w:space="0" w:color="auto"/>
            <w:bottom w:val="none" w:sz="0" w:space="0" w:color="auto"/>
            <w:right w:val="none" w:sz="0" w:space="0" w:color="auto"/>
          </w:divBdr>
        </w:div>
      </w:divsChild>
    </w:div>
    <w:div w:id="1363365713">
      <w:bodyDiv w:val="1"/>
      <w:marLeft w:val="0"/>
      <w:marRight w:val="0"/>
      <w:marTop w:val="0"/>
      <w:marBottom w:val="0"/>
      <w:divBdr>
        <w:top w:val="none" w:sz="0" w:space="0" w:color="auto"/>
        <w:left w:val="none" w:sz="0" w:space="0" w:color="auto"/>
        <w:bottom w:val="none" w:sz="0" w:space="0" w:color="auto"/>
        <w:right w:val="none" w:sz="0" w:space="0" w:color="auto"/>
      </w:divBdr>
    </w:div>
    <w:div w:id="1376656429">
      <w:bodyDiv w:val="1"/>
      <w:marLeft w:val="0"/>
      <w:marRight w:val="0"/>
      <w:marTop w:val="0"/>
      <w:marBottom w:val="0"/>
      <w:divBdr>
        <w:top w:val="none" w:sz="0" w:space="0" w:color="auto"/>
        <w:left w:val="none" w:sz="0" w:space="0" w:color="auto"/>
        <w:bottom w:val="none" w:sz="0" w:space="0" w:color="auto"/>
        <w:right w:val="none" w:sz="0" w:space="0" w:color="auto"/>
      </w:divBdr>
    </w:div>
    <w:div w:id="1381828236">
      <w:bodyDiv w:val="1"/>
      <w:marLeft w:val="0"/>
      <w:marRight w:val="0"/>
      <w:marTop w:val="0"/>
      <w:marBottom w:val="0"/>
      <w:divBdr>
        <w:top w:val="none" w:sz="0" w:space="0" w:color="auto"/>
        <w:left w:val="none" w:sz="0" w:space="0" w:color="auto"/>
        <w:bottom w:val="none" w:sz="0" w:space="0" w:color="auto"/>
        <w:right w:val="none" w:sz="0" w:space="0" w:color="auto"/>
      </w:divBdr>
      <w:divsChild>
        <w:div w:id="224488704">
          <w:marLeft w:val="0"/>
          <w:marRight w:val="0"/>
          <w:marTop w:val="0"/>
          <w:marBottom w:val="0"/>
          <w:divBdr>
            <w:top w:val="none" w:sz="0" w:space="0" w:color="auto"/>
            <w:left w:val="none" w:sz="0" w:space="0" w:color="auto"/>
            <w:bottom w:val="none" w:sz="0" w:space="0" w:color="auto"/>
            <w:right w:val="none" w:sz="0" w:space="0" w:color="auto"/>
          </w:divBdr>
        </w:div>
      </w:divsChild>
    </w:div>
    <w:div w:id="1398555685">
      <w:bodyDiv w:val="1"/>
      <w:marLeft w:val="0"/>
      <w:marRight w:val="0"/>
      <w:marTop w:val="0"/>
      <w:marBottom w:val="0"/>
      <w:divBdr>
        <w:top w:val="none" w:sz="0" w:space="0" w:color="auto"/>
        <w:left w:val="none" w:sz="0" w:space="0" w:color="auto"/>
        <w:bottom w:val="none" w:sz="0" w:space="0" w:color="auto"/>
        <w:right w:val="none" w:sz="0" w:space="0" w:color="auto"/>
      </w:divBdr>
      <w:divsChild>
        <w:div w:id="2119062816">
          <w:marLeft w:val="0"/>
          <w:marRight w:val="0"/>
          <w:marTop w:val="0"/>
          <w:marBottom w:val="0"/>
          <w:divBdr>
            <w:top w:val="none" w:sz="0" w:space="0" w:color="auto"/>
            <w:left w:val="none" w:sz="0" w:space="0" w:color="auto"/>
            <w:bottom w:val="none" w:sz="0" w:space="0" w:color="auto"/>
            <w:right w:val="none" w:sz="0" w:space="0" w:color="auto"/>
          </w:divBdr>
        </w:div>
      </w:divsChild>
    </w:div>
    <w:div w:id="1400009717">
      <w:bodyDiv w:val="1"/>
      <w:marLeft w:val="0"/>
      <w:marRight w:val="0"/>
      <w:marTop w:val="0"/>
      <w:marBottom w:val="0"/>
      <w:divBdr>
        <w:top w:val="none" w:sz="0" w:space="0" w:color="auto"/>
        <w:left w:val="none" w:sz="0" w:space="0" w:color="auto"/>
        <w:bottom w:val="none" w:sz="0" w:space="0" w:color="auto"/>
        <w:right w:val="none" w:sz="0" w:space="0" w:color="auto"/>
      </w:divBdr>
      <w:divsChild>
        <w:div w:id="81879966">
          <w:marLeft w:val="0"/>
          <w:marRight w:val="0"/>
          <w:marTop w:val="0"/>
          <w:marBottom w:val="0"/>
          <w:divBdr>
            <w:top w:val="none" w:sz="0" w:space="0" w:color="auto"/>
            <w:left w:val="none" w:sz="0" w:space="0" w:color="auto"/>
            <w:bottom w:val="none" w:sz="0" w:space="0" w:color="auto"/>
            <w:right w:val="none" w:sz="0" w:space="0" w:color="auto"/>
          </w:divBdr>
        </w:div>
      </w:divsChild>
    </w:div>
    <w:div w:id="1416591202">
      <w:bodyDiv w:val="1"/>
      <w:marLeft w:val="0"/>
      <w:marRight w:val="0"/>
      <w:marTop w:val="0"/>
      <w:marBottom w:val="0"/>
      <w:divBdr>
        <w:top w:val="none" w:sz="0" w:space="0" w:color="auto"/>
        <w:left w:val="none" w:sz="0" w:space="0" w:color="auto"/>
        <w:bottom w:val="none" w:sz="0" w:space="0" w:color="auto"/>
        <w:right w:val="none" w:sz="0" w:space="0" w:color="auto"/>
      </w:divBdr>
      <w:divsChild>
        <w:div w:id="1156872933">
          <w:marLeft w:val="0"/>
          <w:marRight w:val="0"/>
          <w:marTop w:val="0"/>
          <w:marBottom w:val="0"/>
          <w:divBdr>
            <w:top w:val="none" w:sz="0" w:space="0" w:color="auto"/>
            <w:left w:val="none" w:sz="0" w:space="0" w:color="auto"/>
            <w:bottom w:val="none" w:sz="0" w:space="0" w:color="auto"/>
            <w:right w:val="none" w:sz="0" w:space="0" w:color="auto"/>
          </w:divBdr>
        </w:div>
      </w:divsChild>
    </w:div>
    <w:div w:id="1448624232">
      <w:bodyDiv w:val="1"/>
      <w:marLeft w:val="0"/>
      <w:marRight w:val="0"/>
      <w:marTop w:val="0"/>
      <w:marBottom w:val="0"/>
      <w:divBdr>
        <w:top w:val="none" w:sz="0" w:space="0" w:color="auto"/>
        <w:left w:val="none" w:sz="0" w:space="0" w:color="auto"/>
        <w:bottom w:val="none" w:sz="0" w:space="0" w:color="auto"/>
        <w:right w:val="none" w:sz="0" w:space="0" w:color="auto"/>
      </w:divBdr>
    </w:div>
    <w:div w:id="1527328941">
      <w:bodyDiv w:val="1"/>
      <w:marLeft w:val="0"/>
      <w:marRight w:val="0"/>
      <w:marTop w:val="0"/>
      <w:marBottom w:val="0"/>
      <w:divBdr>
        <w:top w:val="none" w:sz="0" w:space="0" w:color="auto"/>
        <w:left w:val="none" w:sz="0" w:space="0" w:color="auto"/>
        <w:bottom w:val="none" w:sz="0" w:space="0" w:color="auto"/>
        <w:right w:val="none" w:sz="0" w:space="0" w:color="auto"/>
      </w:divBdr>
    </w:div>
    <w:div w:id="1539397079">
      <w:bodyDiv w:val="1"/>
      <w:marLeft w:val="0"/>
      <w:marRight w:val="0"/>
      <w:marTop w:val="0"/>
      <w:marBottom w:val="0"/>
      <w:divBdr>
        <w:top w:val="none" w:sz="0" w:space="0" w:color="auto"/>
        <w:left w:val="none" w:sz="0" w:space="0" w:color="auto"/>
        <w:bottom w:val="none" w:sz="0" w:space="0" w:color="auto"/>
        <w:right w:val="none" w:sz="0" w:space="0" w:color="auto"/>
      </w:divBdr>
    </w:div>
    <w:div w:id="1614900006">
      <w:bodyDiv w:val="1"/>
      <w:marLeft w:val="0"/>
      <w:marRight w:val="0"/>
      <w:marTop w:val="0"/>
      <w:marBottom w:val="0"/>
      <w:divBdr>
        <w:top w:val="none" w:sz="0" w:space="0" w:color="auto"/>
        <w:left w:val="none" w:sz="0" w:space="0" w:color="auto"/>
        <w:bottom w:val="none" w:sz="0" w:space="0" w:color="auto"/>
        <w:right w:val="none" w:sz="0" w:space="0" w:color="auto"/>
      </w:divBdr>
    </w:div>
    <w:div w:id="1625186807">
      <w:bodyDiv w:val="1"/>
      <w:marLeft w:val="0"/>
      <w:marRight w:val="0"/>
      <w:marTop w:val="0"/>
      <w:marBottom w:val="0"/>
      <w:divBdr>
        <w:top w:val="none" w:sz="0" w:space="0" w:color="auto"/>
        <w:left w:val="none" w:sz="0" w:space="0" w:color="auto"/>
        <w:bottom w:val="none" w:sz="0" w:space="0" w:color="auto"/>
        <w:right w:val="none" w:sz="0" w:space="0" w:color="auto"/>
      </w:divBdr>
    </w:div>
    <w:div w:id="1648124758">
      <w:bodyDiv w:val="1"/>
      <w:marLeft w:val="0"/>
      <w:marRight w:val="0"/>
      <w:marTop w:val="0"/>
      <w:marBottom w:val="0"/>
      <w:divBdr>
        <w:top w:val="none" w:sz="0" w:space="0" w:color="auto"/>
        <w:left w:val="none" w:sz="0" w:space="0" w:color="auto"/>
        <w:bottom w:val="none" w:sz="0" w:space="0" w:color="auto"/>
        <w:right w:val="none" w:sz="0" w:space="0" w:color="auto"/>
      </w:divBdr>
    </w:div>
    <w:div w:id="1653563868">
      <w:bodyDiv w:val="1"/>
      <w:marLeft w:val="0"/>
      <w:marRight w:val="0"/>
      <w:marTop w:val="0"/>
      <w:marBottom w:val="0"/>
      <w:divBdr>
        <w:top w:val="none" w:sz="0" w:space="0" w:color="auto"/>
        <w:left w:val="none" w:sz="0" w:space="0" w:color="auto"/>
        <w:bottom w:val="none" w:sz="0" w:space="0" w:color="auto"/>
        <w:right w:val="none" w:sz="0" w:space="0" w:color="auto"/>
      </w:divBdr>
    </w:div>
    <w:div w:id="1685552402">
      <w:bodyDiv w:val="1"/>
      <w:marLeft w:val="0"/>
      <w:marRight w:val="0"/>
      <w:marTop w:val="0"/>
      <w:marBottom w:val="0"/>
      <w:divBdr>
        <w:top w:val="none" w:sz="0" w:space="0" w:color="auto"/>
        <w:left w:val="none" w:sz="0" w:space="0" w:color="auto"/>
        <w:bottom w:val="none" w:sz="0" w:space="0" w:color="auto"/>
        <w:right w:val="none" w:sz="0" w:space="0" w:color="auto"/>
      </w:divBdr>
    </w:div>
    <w:div w:id="1688142939">
      <w:bodyDiv w:val="1"/>
      <w:marLeft w:val="0"/>
      <w:marRight w:val="0"/>
      <w:marTop w:val="0"/>
      <w:marBottom w:val="0"/>
      <w:divBdr>
        <w:top w:val="none" w:sz="0" w:space="0" w:color="auto"/>
        <w:left w:val="none" w:sz="0" w:space="0" w:color="auto"/>
        <w:bottom w:val="none" w:sz="0" w:space="0" w:color="auto"/>
        <w:right w:val="none" w:sz="0" w:space="0" w:color="auto"/>
      </w:divBdr>
    </w:div>
    <w:div w:id="1693412918">
      <w:bodyDiv w:val="1"/>
      <w:marLeft w:val="0"/>
      <w:marRight w:val="0"/>
      <w:marTop w:val="0"/>
      <w:marBottom w:val="0"/>
      <w:divBdr>
        <w:top w:val="none" w:sz="0" w:space="0" w:color="auto"/>
        <w:left w:val="none" w:sz="0" w:space="0" w:color="auto"/>
        <w:bottom w:val="none" w:sz="0" w:space="0" w:color="auto"/>
        <w:right w:val="none" w:sz="0" w:space="0" w:color="auto"/>
      </w:divBdr>
    </w:div>
    <w:div w:id="1699745025">
      <w:bodyDiv w:val="1"/>
      <w:marLeft w:val="0"/>
      <w:marRight w:val="0"/>
      <w:marTop w:val="0"/>
      <w:marBottom w:val="0"/>
      <w:divBdr>
        <w:top w:val="none" w:sz="0" w:space="0" w:color="auto"/>
        <w:left w:val="none" w:sz="0" w:space="0" w:color="auto"/>
        <w:bottom w:val="none" w:sz="0" w:space="0" w:color="auto"/>
        <w:right w:val="none" w:sz="0" w:space="0" w:color="auto"/>
      </w:divBdr>
    </w:div>
    <w:div w:id="1708488719">
      <w:bodyDiv w:val="1"/>
      <w:marLeft w:val="0"/>
      <w:marRight w:val="0"/>
      <w:marTop w:val="0"/>
      <w:marBottom w:val="0"/>
      <w:divBdr>
        <w:top w:val="none" w:sz="0" w:space="0" w:color="auto"/>
        <w:left w:val="none" w:sz="0" w:space="0" w:color="auto"/>
        <w:bottom w:val="none" w:sz="0" w:space="0" w:color="auto"/>
        <w:right w:val="none" w:sz="0" w:space="0" w:color="auto"/>
      </w:divBdr>
    </w:div>
    <w:div w:id="1723627594">
      <w:bodyDiv w:val="1"/>
      <w:marLeft w:val="0"/>
      <w:marRight w:val="0"/>
      <w:marTop w:val="0"/>
      <w:marBottom w:val="0"/>
      <w:divBdr>
        <w:top w:val="none" w:sz="0" w:space="0" w:color="auto"/>
        <w:left w:val="none" w:sz="0" w:space="0" w:color="auto"/>
        <w:bottom w:val="none" w:sz="0" w:space="0" w:color="auto"/>
        <w:right w:val="none" w:sz="0" w:space="0" w:color="auto"/>
      </w:divBdr>
      <w:divsChild>
        <w:div w:id="405347032">
          <w:marLeft w:val="0"/>
          <w:marRight w:val="0"/>
          <w:marTop w:val="0"/>
          <w:marBottom w:val="0"/>
          <w:divBdr>
            <w:top w:val="none" w:sz="0" w:space="0" w:color="auto"/>
            <w:left w:val="none" w:sz="0" w:space="0" w:color="auto"/>
            <w:bottom w:val="none" w:sz="0" w:space="0" w:color="auto"/>
            <w:right w:val="none" w:sz="0" w:space="0" w:color="auto"/>
          </w:divBdr>
        </w:div>
      </w:divsChild>
    </w:div>
    <w:div w:id="1739010990">
      <w:bodyDiv w:val="1"/>
      <w:marLeft w:val="0"/>
      <w:marRight w:val="0"/>
      <w:marTop w:val="0"/>
      <w:marBottom w:val="0"/>
      <w:divBdr>
        <w:top w:val="none" w:sz="0" w:space="0" w:color="auto"/>
        <w:left w:val="none" w:sz="0" w:space="0" w:color="auto"/>
        <w:bottom w:val="none" w:sz="0" w:space="0" w:color="auto"/>
        <w:right w:val="none" w:sz="0" w:space="0" w:color="auto"/>
      </w:divBdr>
    </w:div>
    <w:div w:id="1743984174">
      <w:bodyDiv w:val="1"/>
      <w:marLeft w:val="0"/>
      <w:marRight w:val="0"/>
      <w:marTop w:val="0"/>
      <w:marBottom w:val="0"/>
      <w:divBdr>
        <w:top w:val="none" w:sz="0" w:space="0" w:color="auto"/>
        <w:left w:val="none" w:sz="0" w:space="0" w:color="auto"/>
        <w:bottom w:val="none" w:sz="0" w:space="0" w:color="auto"/>
        <w:right w:val="none" w:sz="0" w:space="0" w:color="auto"/>
      </w:divBdr>
    </w:div>
    <w:div w:id="1783835979">
      <w:bodyDiv w:val="1"/>
      <w:marLeft w:val="0"/>
      <w:marRight w:val="0"/>
      <w:marTop w:val="0"/>
      <w:marBottom w:val="0"/>
      <w:divBdr>
        <w:top w:val="none" w:sz="0" w:space="0" w:color="auto"/>
        <w:left w:val="none" w:sz="0" w:space="0" w:color="auto"/>
        <w:bottom w:val="none" w:sz="0" w:space="0" w:color="auto"/>
        <w:right w:val="none" w:sz="0" w:space="0" w:color="auto"/>
      </w:divBdr>
      <w:divsChild>
        <w:div w:id="1234773064">
          <w:marLeft w:val="0"/>
          <w:marRight w:val="0"/>
          <w:marTop w:val="0"/>
          <w:marBottom w:val="0"/>
          <w:divBdr>
            <w:top w:val="none" w:sz="0" w:space="0" w:color="auto"/>
            <w:left w:val="none" w:sz="0" w:space="0" w:color="auto"/>
            <w:bottom w:val="none" w:sz="0" w:space="0" w:color="auto"/>
            <w:right w:val="none" w:sz="0" w:space="0" w:color="auto"/>
          </w:divBdr>
        </w:div>
      </w:divsChild>
    </w:div>
    <w:div w:id="1796752772">
      <w:bodyDiv w:val="1"/>
      <w:marLeft w:val="0"/>
      <w:marRight w:val="0"/>
      <w:marTop w:val="0"/>
      <w:marBottom w:val="0"/>
      <w:divBdr>
        <w:top w:val="none" w:sz="0" w:space="0" w:color="auto"/>
        <w:left w:val="none" w:sz="0" w:space="0" w:color="auto"/>
        <w:bottom w:val="none" w:sz="0" w:space="0" w:color="auto"/>
        <w:right w:val="none" w:sz="0" w:space="0" w:color="auto"/>
      </w:divBdr>
    </w:div>
    <w:div w:id="1808162342">
      <w:bodyDiv w:val="1"/>
      <w:marLeft w:val="0"/>
      <w:marRight w:val="0"/>
      <w:marTop w:val="0"/>
      <w:marBottom w:val="0"/>
      <w:divBdr>
        <w:top w:val="none" w:sz="0" w:space="0" w:color="auto"/>
        <w:left w:val="none" w:sz="0" w:space="0" w:color="auto"/>
        <w:bottom w:val="none" w:sz="0" w:space="0" w:color="auto"/>
        <w:right w:val="none" w:sz="0" w:space="0" w:color="auto"/>
      </w:divBdr>
    </w:div>
    <w:div w:id="1820926582">
      <w:bodyDiv w:val="1"/>
      <w:marLeft w:val="0"/>
      <w:marRight w:val="0"/>
      <w:marTop w:val="0"/>
      <w:marBottom w:val="0"/>
      <w:divBdr>
        <w:top w:val="none" w:sz="0" w:space="0" w:color="auto"/>
        <w:left w:val="none" w:sz="0" w:space="0" w:color="auto"/>
        <w:bottom w:val="none" w:sz="0" w:space="0" w:color="auto"/>
        <w:right w:val="none" w:sz="0" w:space="0" w:color="auto"/>
      </w:divBdr>
      <w:divsChild>
        <w:div w:id="1531332589">
          <w:marLeft w:val="0"/>
          <w:marRight w:val="0"/>
          <w:marTop w:val="0"/>
          <w:marBottom w:val="0"/>
          <w:divBdr>
            <w:top w:val="none" w:sz="0" w:space="0" w:color="auto"/>
            <w:left w:val="none" w:sz="0" w:space="0" w:color="auto"/>
            <w:bottom w:val="none" w:sz="0" w:space="0" w:color="auto"/>
            <w:right w:val="none" w:sz="0" w:space="0" w:color="auto"/>
          </w:divBdr>
        </w:div>
      </w:divsChild>
    </w:div>
    <w:div w:id="1821581934">
      <w:bodyDiv w:val="1"/>
      <w:marLeft w:val="0"/>
      <w:marRight w:val="0"/>
      <w:marTop w:val="0"/>
      <w:marBottom w:val="0"/>
      <w:divBdr>
        <w:top w:val="none" w:sz="0" w:space="0" w:color="auto"/>
        <w:left w:val="none" w:sz="0" w:space="0" w:color="auto"/>
        <w:bottom w:val="none" w:sz="0" w:space="0" w:color="auto"/>
        <w:right w:val="none" w:sz="0" w:space="0" w:color="auto"/>
      </w:divBdr>
      <w:divsChild>
        <w:div w:id="57216461">
          <w:marLeft w:val="0"/>
          <w:marRight w:val="0"/>
          <w:marTop w:val="0"/>
          <w:marBottom w:val="0"/>
          <w:divBdr>
            <w:top w:val="none" w:sz="0" w:space="0" w:color="auto"/>
            <w:left w:val="none" w:sz="0" w:space="0" w:color="auto"/>
            <w:bottom w:val="none" w:sz="0" w:space="0" w:color="auto"/>
            <w:right w:val="none" w:sz="0" w:space="0" w:color="auto"/>
          </w:divBdr>
        </w:div>
      </w:divsChild>
    </w:div>
    <w:div w:id="1822691662">
      <w:bodyDiv w:val="1"/>
      <w:marLeft w:val="0"/>
      <w:marRight w:val="0"/>
      <w:marTop w:val="0"/>
      <w:marBottom w:val="0"/>
      <w:divBdr>
        <w:top w:val="none" w:sz="0" w:space="0" w:color="auto"/>
        <w:left w:val="none" w:sz="0" w:space="0" w:color="auto"/>
        <w:bottom w:val="none" w:sz="0" w:space="0" w:color="auto"/>
        <w:right w:val="none" w:sz="0" w:space="0" w:color="auto"/>
      </w:divBdr>
      <w:divsChild>
        <w:div w:id="253786817">
          <w:marLeft w:val="0"/>
          <w:marRight w:val="0"/>
          <w:marTop w:val="0"/>
          <w:marBottom w:val="0"/>
          <w:divBdr>
            <w:top w:val="none" w:sz="0" w:space="0" w:color="auto"/>
            <w:left w:val="none" w:sz="0" w:space="0" w:color="auto"/>
            <w:bottom w:val="none" w:sz="0" w:space="0" w:color="auto"/>
            <w:right w:val="none" w:sz="0" w:space="0" w:color="auto"/>
          </w:divBdr>
        </w:div>
      </w:divsChild>
    </w:div>
    <w:div w:id="1838885537">
      <w:bodyDiv w:val="1"/>
      <w:marLeft w:val="0"/>
      <w:marRight w:val="0"/>
      <w:marTop w:val="0"/>
      <w:marBottom w:val="0"/>
      <w:divBdr>
        <w:top w:val="none" w:sz="0" w:space="0" w:color="auto"/>
        <w:left w:val="none" w:sz="0" w:space="0" w:color="auto"/>
        <w:bottom w:val="none" w:sz="0" w:space="0" w:color="auto"/>
        <w:right w:val="none" w:sz="0" w:space="0" w:color="auto"/>
      </w:divBdr>
      <w:divsChild>
        <w:div w:id="919943281">
          <w:marLeft w:val="0"/>
          <w:marRight w:val="0"/>
          <w:marTop w:val="0"/>
          <w:marBottom w:val="0"/>
          <w:divBdr>
            <w:top w:val="none" w:sz="0" w:space="0" w:color="auto"/>
            <w:left w:val="none" w:sz="0" w:space="0" w:color="auto"/>
            <w:bottom w:val="none" w:sz="0" w:space="0" w:color="auto"/>
            <w:right w:val="none" w:sz="0" w:space="0" w:color="auto"/>
          </w:divBdr>
        </w:div>
      </w:divsChild>
    </w:div>
    <w:div w:id="1840071847">
      <w:bodyDiv w:val="1"/>
      <w:marLeft w:val="0"/>
      <w:marRight w:val="0"/>
      <w:marTop w:val="0"/>
      <w:marBottom w:val="0"/>
      <w:divBdr>
        <w:top w:val="none" w:sz="0" w:space="0" w:color="auto"/>
        <w:left w:val="none" w:sz="0" w:space="0" w:color="auto"/>
        <w:bottom w:val="none" w:sz="0" w:space="0" w:color="auto"/>
        <w:right w:val="none" w:sz="0" w:space="0" w:color="auto"/>
      </w:divBdr>
    </w:div>
    <w:div w:id="1848133989">
      <w:bodyDiv w:val="1"/>
      <w:marLeft w:val="0"/>
      <w:marRight w:val="0"/>
      <w:marTop w:val="0"/>
      <w:marBottom w:val="0"/>
      <w:divBdr>
        <w:top w:val="none" w:sz="0" w:space="0" w:color="auto"/>
        <w:left w:val="none" w:sz="0" w:space="0" w:color="auto"/>
        <w:bottom w:val="none" w:sz="0" w:space="0" w:color="auto"/>
        <w:right w:val="none" w:sz="0" w:space="0" w:color="auto"/>
      </w:divBdr>
      <w:divsChild>
        <w:div w:id="1385637083">
          <w:marLeft w:val="0"/>
          <w:marRight w:val="0"/>
          <w:marTop w:val="0"/>
          <w:marBottom w:val="0"/>
          <w:divBdr>
            <w:top w:val="none" w:sz="0" w:space="0" w:color="auto"/>
            <w:left w:val="none" w:sz="0" w:space="0" w:color="auto"/>
            <w:bottom w:val="none" w:sz="0" w:space="0" w:color="auto"/>
            <w:right w:val="none" w:sz="0" w:space="0" w:color="auto"/>
          </w:divBdr>
        </w:div>
      </w:divsChild>
    </w:div>
    <w:div w:id="1898390721">
      <w:bodyDiv w:val="1"/>
      <w:marLeft w:val="0"/>
      <w:marRight w:val="0"/>
      <w:marTop w:val="0"/>
      <w:marBottom w:val="0"/>
      <w:divBdr>
        <w:top w:val="none" w:sz="0" w:space="0" w:color="auto"/>
        <w:left w:val="none" w:sz="0" w:space="0" w:color="auto"/>
        <w:bottom w:val="none" w:sz="0" w:space="0" w:color="auto"/>
        <w:right w:val="none" w:sz="0" w:space="0" w:color="auto"/>
      </w:divBdr>
    </w:div>
    <w:div w:id="1902326989">
      <w:bodyDiv w:val="1"/>
      <w:marLeft w:val="0"/>
      <w:marRight w:val="0"/>
      <w:marTop w:val="0"/>
      <w:marBottom w:val="0"/>
      <w:divBdr>
        <w:top w:val="none" w:sz="0" w:space="0" w:color="auto"/>
        <w:left w:val="none" w:sz="0" w:space="0" w:color="auto"/>
        <w:bottom w:val="none" w:sz="0" w:space="0" w:color="auto"/>
        <w:right w:val="none" w:sz="0" w:space="0" w:color="auto"/>
      </w:divBdr>
    </w:div>
    <w:div w:id="1909418548">
      <w:bodyDiv w:val="1"/>
      <w:marLeft w:val="0"/>
      <w:marRight w:val="0"/>
      <w:marTop w:val="0"/>
      <w:marBottom w:val="0"/>
      <w:divBdr>
        <w:top w:val="none" w:sz="0" w:space="0" w:color="auto"/>
        <w:left w:val="none" w:sz="0" w:space="0" w:color="auto"/>
        <w:bottom w:val="none" w:sz="0" w:space="0" w:color="auto"/>
        <w:right w:val="none" w:sz="0" w:space="0" w:color="auto"/>
      </w:divBdr>
      <w:divsChild>
        <w:div w:id="313805011">
          <w:marLeft w:val="0"/>
          <w:marRight w:val="0"/>
          <w:marTop w:val="0"/>
          <w:marBottom w:val="0"/>
          <w:divBdr>
            <w:top w:val="none" w:sz="0" w:space="0" w:color="auto"/>
            <w:left w:val="none" w:sz="0" w:space="0" w:color="auto"/>
            <w:bottom w:val="none" w:sz="0" w:space="0" w:color="auto"/>
            <w:right w:val="none" w:sz="0" w:space="0" w:color="auto"/>
          </w:divBdr>
        </w:div>
      </w:divsChild>
    </w:div>
    <w:div w:id="1917009161">
      <w:bodyDiv w:val="1"/>
      <w:marLeft w:val="0"/>
      <w:marRight w:val="0"/>
      <w:marTop w:val="0"/>
      <w:marBottom w:val="0"/>
      <w:divBdr>
        <w:top w:val="none" w:sz="0" w:space="0" w:color="auto"/>
        <w:left w:val="none" w:sz="0" w:space="0" w:color="auto"/>
        <w:bottom w:val="none" w:sz="0" w:space="0" w:color="auto"/>
        <w:right w:val="none" w:sz="0" w:space="0" w:color="auto"/>
      </w:divBdr>
      <w:divsChild>
        <w:div w:id="1562208833">
          <w:marLeft w:val="0"/>
          <w:marRight w:val="0"/>
          <w:marTop w:val="0"/>
          <w:marBottom w:val="0"/>
          <w:divBdr>
            <w:top w:val="none" w:sz="0" w:space="0" w:color="auto"/>
            <w:left w:val="none" w:sz="0" w:space="0" w:color="auto"/>
            <w:bottom w:val="none" w:sz="0" w:space="0" w:color="auto"/>
            <w:right w:val="none" w:sz="0" w:space="0" w:color="auto"/>
          </w:divBdr>
          <w:divsChild>
            <w:div w:id="1315914128">
              <w:marLeft w:val="0"/>
              <w:marRight w:val="0"/>
              <w:marTop w:val="0"/>
              <w:marBottom w:val="0"/>
              <w:divBdr>
                <w:top w:val="none" w:sz="0" w:space="0" w:color="auto"/>
                <w:left w:val="none" w:sz="0" w:space="0" w:color="auto"/>
                <w:bottom w:val="none" w:sz="0" w:space="0" w:color="auto"/>
                <w:right w:val="none" w:sz="0" w:space="0" w:color="auto"/>
              </w:divBdr>
              <w:divsChild>
                <w:div w:id="469714502">
                  <w:marLeft w:val="0"/>
                  <w:marRight w:val="0"/>
                  <w:marTop w:val="0"/>
                  <w:marBottom w:val="0"/>
                  <w:divBdr>
                    <w:top w:val="none" w:sz="0" w:space="0" w:color="auto"/>
                    <w:left w:val="none" w:sz="0" w:space="0" w:color="auto"/>
                    <w:bottom w:val="none" w:sz="0" w:space="0" w:color="auto"/>
                    <w:right w:val="none" w:sz="0" w:space="0" w:color="auto"/>
                  </w:divBdr>
                  <w:divsChild>
                    <w:div w:id="1750811320">
                      <w:marLeft w:val="0"/>
                      <w:marRight w:val="0"/>
                      <w:marTop w:val="0"/>
                      <w:marBottom w:val="0"/>
                      <w:divBdr>
                        <w:top w:val="none" w:sz="0" w:space="0" w:color="auto"/>
                        <w:left w:val="none" w:sz="0" w:space="0" w:color="auto"/>
                        <w:bottom w:val="none" w:sz="0" w:space="0" w:color="auto"/>
                        <w:right w:val="none" w:sz="0" w:space="0" w:color="auto"/>
                      </w:divBdr>
                    </w:div>
                  </w:divsChild>
                </w:div>
                <w:div w:id="1236090557">
                  <w:marLeft w:val="0"/>
                  <w:marRight w:val="0"/>
                  <w:marTop w:val="0"/>
                  <w:marBottom w:val="0"/>
                  <w:divBdr>
                    <w:top w:val="none" w:sz="0" w:space="0" w:color="auto"/>
                    <w:left w:val="none" w:sz="0" w:space="0" w:color="auto"/>
                    <w:bottom w:val="none" w:sz="0" w:space="0" w:color="auto"/>
                    <w:right w:val="none" w:sz="0" w:space="0" w:color="auto"/>
                  </w:divBdr>
                </w:div>
                <w:div w:id="1549341258">
                  <w:marLeft w:val="0"/>
                  <w:marRight w:val="0"/>
                  <w:marTop w:val="0"/>
                  <w:marBottom w:val="0"/>
                  <w:divBdr>
                    <w:top w:val="none" w:sz="0" w:space="0" w:color="auto"/>
                    <w:left w:val="none" w:sz="0" w:space="0" w:color="auto"/>
                    <w:bottom w:val="none" w:sz="0" w:space="0" w:color="auto"/>
                    <w:right w:val="none" w:sz="0" w:space="0" w:color="auto"/>
                  </w:divBdr>
                </w:div>
                <w:div w:id="1575820275">
                  <w:marLeft w:val="0"/>
                  <w:marRight w:val="0"/>
                  <w:marTop w:val="0"/>
                  <w:marBottom w:val="0"/>
                  <w:divBdr>
                    <w:top w:val="none" w:sz="0" w:space="0" w:color="auto"/>
                    <w:left w:val="none" w:sz="0" w:space="0" w:color="auto"/>
                    <w:bottom w:val="none" w:sz="0" w:space="0" w:color="auto"/>
                    <w:right w:val="none" w:sz="0" w:space="0" w:color="auto"/>
                  </w:divBdr>
                </w:div>
                <w:div w:id="1933124607">
                  <w:marLeft w:val="0"/>
                  <w:marRight w:val="0"/>
                  <w:marTop w:val="0"/>
                  <w:marBottom w:val="0"/>
                  <w:divBdr>
                    <w:top w:val="none" w:sz="0" w:space="0" w:color="auto"/>
                    <w:left w:val="none" w:sz="0" w:space="0" w:color="auto"/>
                    <w:bottom w:val="none" w:sz="0" w:space="0" w:color="auto"/>
                    <w:right w:val="none" w:sz="0" w:space="0" w:color="auto"/>
                  </w:divBdr>
                  <w:divsChild>
                    <w:div w:id="793333972">
                      <w:marLeft w:val="0"/>
                      <w:marRight w:val="0"/>
                      <w:marTop w:val="0"/>
                      <w:marBottom w:val="0"/>
                      <w:divBdr>
                        <w:top w:val="none" w:sz="0" w:space="0" w:color="auto"/>
                        <w:left w:val="none" w:sz="0" w:space="0" w:color="auto"/>
                        <w:bottom w:val="none" w:sz="0" w:space="0" w:color="auto"/>
                        <w:right w:val="none" w:sz="0" w:space="0" w:color="auto"/>
                      </w:divBdr>
                      <w:divsChild>
                        <w:div w:id="17328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326922">
      <w:bodyDiv w:val="1"/>
      <w:marLeft w:val="0"/>
      <w:marRight w:val="0"/>
      <w:marTop w:val="0"/>
      <w:marBottom w:val="0"/>
      <w:divBdr>
        <w:top w:val="none" w:sz="0" w:space="0" w:color="auto"/>
        <w:left w:val="none" w:sz="0" w:space="0" w:color="auto"/>
        <w:bottom w:val="none" w:sz="0" w:space="0" w:color="auto"/>
        <w:right w:val="none" w:sz="0" w:space="0" w:color="auto"/>
      </w:divBdr>
    </w:div>
    <w:div w:id="1918245072">
      <w:bodyDiv w:val="1"/>
      <w:marLeft w:val="0"/>
      <w:marRight w:val="0"/>
      <w:marTop w:val="0"/>
      <w:marBottom w:val="0"/>
      <w:divBdr>
        <w:top w:val="none" w:sz="0" w:space="0" w:color="auto"/>
        <w:left w:val="none" w:sz="0" w:space="0" w:color="auto"/>
        <w:bottom w:val="none" w:sz="0" w:space="0" w:color="auto"/>
        <w:right w:val="none" w:sz="0" w:space="0" w:color="auto"/>
      </w:divBdr>
      <w:divsChild>
        <w:div w:id="1674722498">
          <w:marLeft w:val="0"/>
          <w:marRight w:val="0"/>
          <w:marTop w:val="0"/>
          <w:marBottom w:val="0"/>
          <w:divBdr>
            <w:top w:val="none" w:sz="0" w:space="0" w:color="auto"/>
            <w:left w:val="none" w:sz="0" w:space="0" w:color="auto"/>
            <w:bottom w:val="none" w:sz="0" w:space="0" w:color="auto"/>
            <w:right w:val="none" w:sz="0" w:space="0" w:color="auto"/>
          </w:divBdr>
        </w:div>
      </w:divsChild>
    </w:div>
    <w:div w:id="1923640878">
      <w:bodyDiv w:val="1"/>
      <w:marLeft w:val="0"/>
      <w:marRight w:val="0"/>
      <w:marTop w:val="0"/>
      <w:marBottom w:val="0"/>
      <w:divBdr>
        <w:top w:val="none" w:sz="0" w:space="0" w:color="auto"/>
        <w:left w:val="none" w:sz="0" w:space="0" w:color="auto"/>
        <w:bottom w:val="none" w:sz="0" w:space="0" w:color="auto"/>
        <w:right w:val="none" w:sz="0" w:space="0" w:color="auto"/>
      </w:divBdr>
    </w:div>
    <w:div w:id="1968971933">
      <w:bodyDiv w:val="1"/>
      <w:marLeft w:val="0"/>
      <w:marRight w:val="0"/>
      <w:marTop w:val="0"/>
      <w:marBottom w:val="0"/>
      <w:divBdr>
        <w:top w:val="none" w:sz="0" w:space="0" w:color="auto"/>
        <w:left w:val="none" w:sz="0" w:space="0" w:color="auto"/>
        <w:bottom w:val="none" w:sz="0" w:space="0" w:color="auto"/>
        <w:right w:val="none" w:sz="0" w:space="0" w:color="auto"/>
      </w:divBdr>
    </w:div>
    <w:div w:id="1975941892">
      <w:bodyDiv w:val="1"/>
      <w:marLeft w:val="0"/>
      <w:marRight w:val="0"/>
      <w:marTop w:val="0"/>
      <w:marBottom w:val="0"/>
      <w:divBdr>
        <w:top w:val="none" w:sz="0" w:space="0" w:color="auto"/>
        <w:left w:val="none" w:sz="0" w:space="0" w:color="auto"/>
        <w:bottom w:val="none" w:sz="0" w:space="0" w:color="auto"/>
        <w:right w:val="none" w:sz="0" w:space="0" w:color="auto"/>
      </w:divBdr>
    </w:div>
    <w:div w:id="2014601084">
      <w:bodyDiv w:val="1"/>
      <w:marLeft w:val="0"/>
      <w:marRight w:val="0"/>
      <w:marTop w:val="0"/>
      <w:marBottom w:val="0"/>
      <w:divBdr>
        <w:top w:val="none" w:sz="0" w:space="0" w:color="auto"/>
        <w:left w:val="none" w:sz="0" w:space="0" w:color="auto"/>
        <w:bottom w:val="none" w:sz="0" w:space="0" w:color="auto"/>
        <w:right w:val="none" w:sz="0" w:space="0" w:color="auto"/>
      </w:divBdr>
      <w:divsChild>
        <w:div w:id="1979649121">
          <w:marLeft w:val="0"/>
          <w:marRight w:val="0"/>
          <w:marTop w:val="0"/>
          <w:marBottom w:val="0"/>
          <w:divBdr>
            <w:top w:val="none" w:sz="0" w:space="0" w:color="auto"/>
            <w:left w:val="none" w:sz="0" w:space="0" w:color="auto"/>
            <w:bottom w:val="none" w:sz="0" w:space="0" w:color="auto"/>
            <w:right w:val="none" w:sz="0" w:space="0" w:color="auto"/>
          </w:divBdr>
        </w:div>
      </w:divsChild>
    </w:div>
    <w:div w:id="2026321701">
      <w:bodyDiv w:val="1"/>
      <w:marLeft w:val="0"/>
      <w:marRight w:val="0"/>
      <w:marTop w:val="0"/>
      <w:marBottom w:val="0"/>
      <w:divBdr>
        <w:top w:val="none" w:sz="0" w:space="0" w:color="auto"/>
        <w:left w:val="none" w:sz="0" w:space="0" w:color="auto"/>
        <w:bottom w:val="none" w:sz="0" w:space="0" w:color="auto"/>
        <w:right w:val="none" w:sz="0" w:space="0" w:color="auto"/>
      </w:divBdr>
    </w:div>
    <w:div w:id="2044088974">
      <w:bodyDiv w:val="1"/>
      <w:marLeft w:val="0"/>
      <w:marRight w:val="0"/>
      <w:marTop w:val="0"/>
      <w:marBottom w:val="0"/>
      <w:divBdr>
        <w:top w:val="none" w:sz="0" w:space="0" w:color="auto"/>
        <w:left w:val="none" w:sz="0" w:space="0" w:color="auto"/>
        <w:bottom w:val="none" w:sz="0" w:space="0" w:color="auto"/>
        <w:right w:val="none" w:sz="0" w:space="0" w:color="auto"/>
      </w:divBdr>
    </w:div>
    <w:div w:id="2052610557">
      <w:bodyDiv w:val="1"/>
      <w:marLeft w:val="0"/>
      <w:marRight w:val="0"/>
      <w:marTop w:val="0"/>
      <w:marBottom w:val="0"/>
      <w:divBdr>
        <w:top w:val="none" w:sz="0" w:space="0" w:color="auto"/>
        <w:left w:val="none" w:sz="0" w:space="0" w:color="auto"/>
        <w:bottom w:val="none" w:sz="0" w:space="0" w:color="auto"/>
        <w:right w:val="none" w:sz="0" w:space="0" w:color="auto"/>
      </w:divBdr>
    </w:div>
    <w:div w:id="2060200025">
      <w:bodyDiv w:val="1"/>
      <w:marLeft w:val="0"/>
      <w:marRight w:val="0"/>
      <w:marTop w:val="0"/>
      <w:marBottom w:val="0"/>
      <w:divBdr>
        <w:top w:val="none" w:sz="0" w:space="0" w:color="auto"/>
        <w:left w:val="none" w:sz="0" w:space="0" w:color="auto"/>
        <w:bottom w:val="none" w:sz="0" w:space="0" w:color="auto"/>
        <w:right w:val="none" w:sz="0" w:space="0" w:color="auto"/>
      </w:divBdr>
      <w:divsChild>
        <w:div w:id="859200348">
          <w:marLeft w:val="0"/>
          <w:marRight w:val="0"/>
          <w:marTop w:val="0"/>
          <w:marBottom w:val="0"/>
          <w:divBdr>
            <w:top w:val="none" w:sz="0" w:space="0" w:color="auto"/>
            <w:left w:val="none" w:sz="0" w:space="0" w:color="auto"/>
            <w:bottom w:val="none" w:sz="0" w:space="0" w:color="auto"/>
            <w:right w:val="none" w:sz="0" w:space="0" w:color="auto"/>
          </w:divBdr>
        </w:div>
      </w:divsChild>
    </w:div>
    <w:div w:id="2069258572">
      <w:bodyDiv w:val="1"/>
      <w:marLeft w:val="0"/>
      <w:marRight w:val="0"/>
      <w:marTop w:val="0"/>
      <w:marBottom w:val="0"/>
      <w:divBdr>
        <w:top w:val="none" w:sz="0" w:space="0" w:color="auto"/>
        <w:left w:val="none" w:sz="0" w:space="0" w:color="auto"/>
        <w:bottom w:val="none" w:sz="0" w:space="0" w:color="auto"/>
        <w:right w:val="none" w:sz="0" w:space="0" w:color="auto"/>
      </w:divBdr>
      <w:divsChild>
        <w:div w:id="1883591312">
          <w:marLeft w:val="0"/>
          <w:marRight w:val="0"/>
          <w:marTop w:val="0"/>
          <w:marBottom w:val="0"/>
          <w:divBdr>
            <w:top w:val="none" w:sz="0" w:space="0" w:color="auto"/>
            <w:left w:val="none" w:sz="0" w:space="0" w:color="auto"/>
            <w:bottom w:val="none" w:sz="0" w:space="0" w:color="auto"/>
            <w:right w:val="none" w:sz="0" w:space="0" w:color="auto"/>
          </w:divBdr>
        </w:div>
      </w:divsChild>
    </w:div>
    <w:div w:id="2082366235">
      <w:bodyDiv w:val="1"/>
      <w:marLeft w:val="0"/>
      <w:marRight w:val="0"/>
      <w:marTop w:val="0"/>
      <w:marBottom w:val="0"/>
      <w:divBdr>
        <w:top w:val="none" w:sz="0" w:space="0" w:color="auto"/>
        <w:left w:val="none" w:sz="0" w:space="0" w:color="auto"/>
        <w:bottom w:val="none" w:sz="0" w:space="0" w:color="auto"/>
        <w:right w:val="none" w:sz="0" w:space="0" w:color="auto"/>
      </w:divBdr>
      <w:divsChild>
        <w:div w:id="469173592">
          <w:marLeft w:val="0"/>
          <w:marRight w:val="0"/>
          <w:marTop w:val="0"/>
          <w:marBottom w:val="0"/>
          <w:divBdr>
            <w:top w:val="none" w:sz="0" w:space="0" w:color="auto"/>
            <w:left w:val="none" w:sz="0" w:space="0" w:color="auto"/>
            <w:bottom w:val="none" w:sz="0" w:space="0" w:color="auto"/>
            <w:right w:val="none" w:sz="0" w:space="0" w:color="auto"/>
          </w:divBdr>
        </w:div>
      </w:divsChild>
    </w:div>
    <w:div w:id="2086755813">
      <w:bodyDiv w:val="1"/>
      <w:marLeft w:val="0"/>
      <w:marRight w:val="0"/>
      <w:marTop w:val="0"/>
      <w:marBottom w:val="0"/>
      <w:divBdr>
        <w:top w:val="none" w:sz="0" w:space="0" w:color="auto"/>
        <w:left w:val="none" w:sz="0" w:space="0" w:color="auto"/>
        <w:bottom w:val="none" w:sz="0" w:space="0" w:color="auto"/>
        <w:right w:val="none" w:sz="0" w:space="0" w:color="auto"/>
      </w:divBdr>
      <w:divsChild>
        <w:div w:id="1339382300">
          <w:marLeft w:val="0"/>
          <w:marRight w:val="0"/>
          <w:marTop w:val="0"/>
          <w:marBottom w:val="0"/>
          <w:divBdr>
            <w:top w:val="none" w:sz="0" w:space="0" w:color="auto"/>
            <w:left w:val="none" w:sz="0" w:space="0" w:color="auto"/>
            <w:bottom w:val="none" w:sz="0" w:space="0" w:color="auto"/>
            <w:right w:val="none" w:sz="0" w:space="0" w:color="auto"/>
          </w:divBdr>
        </w:div>
      </w:divsChild>
    </w:div>
    <w:div w:id="2123843141">
      <w:bodyDiv w:val="1"/>
      <w:marLeft w:val="0"/>
      <w:marRight w:val="0"/>
      <w:marTop w:val="0"/>
      <w:marBottom w:val="0"/>
      <w:divBdr>
        <w:top w:val="none" w:sz="0" w:space="0" w:color="auto"/>
        <w:left w:val="none" w:sz="0" w:space="0" w:color="auto"/>
        <w:bottom w:val="none" w:sz="0" w:space="0" w:color="auto"/>
        <w:right w:val="none" w:sz="0" w:space="0" w:color="auto"/>
      </w:divBdr>
      <w:divsChild>
        <w:div w:id="1095133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1" Type="http://schemas.openxmlformats.org/officeDocument/2006/relationships/hyperlink" Target="https://lk.budget.gov.ru/piao" TargetMode="External"/><Relationship Id="rId324" Type="http://schemas.openxmlformats.org/officeDocument/2006/relationships/image" Target="media/image290.png"/><Relationship Id="rId531" Type="http://schemas.openxmlformats.org/officeDocument/2006/relationships/image" Target="media/image495.png"/><Relationship Id="rId629" Type="http://schemas.openxmlformats.org/officeDocument/2006/relationships/image" Target="media/image593.png"/><Relationship Id="rId170" Type="http://schemas.openxmlformats.org/officeDocument/2006/relationships/image" Target="media/image138.png"/><Relationship Id="rId268" Type="http://schemas.openxmlformats.org/officeDocument/2006/relationships/image" Target="media/image234.png"/><Relationship Id="rId475" Type="http://schemas.openxmlformats.org/officeDocument/2006/relationships/image" Target="media/image439.png"/><Relationship Id="rId32" Type="http://schemas.openxmlformats.org/officeDocument/2006/relationships/hyperlink" Target="https://github.com/deemru/chromium-gost/releases/download/58.0.3029.110/chromium-gost-58.0.3029.110-x64.rpm" TargetMode="External"/><Relationship Id="rId128" Type="http://schemas.openxmlformats.org/officeDocument/2006/relationships/image" Target="media/image98.png"/><Relationship Id="rId335" Type="http://schemas.openxmlformats.org/officeDocument/2006/relationships/image" Target="media/image301.png"/><Relationship Id="rId542" Type="http://schemas.openxmlformats.org/officeDocument/2006/relationships/image" Target="media/image506.png"/><Relationship Id="rId181" Type="http://schemas.openxmlformats.org/officeDocument/2006/relationships/image" Target="media/image149.png"/><Relationship Id="rId402" Type="http://schemas.openxmlformats.org/officeDocument/2006/relationships/image" Target="media/image366.png"/><Relationship Id="rId279" Type="http://schemas.openxmlformats.org/officeDocument/2006/relationships/image" Target="media/image245.png"/><Relationship Id="rId486" Type="http://schemas.openxmlformats.org/officeDocument/2006/relationships/image" Target="media/image450.png"/><Relationship Id="rId43" Type="http://schemas.openxmlformats.org/officeDocument/2006/relationships/image" Target="media/image13.png"/><Relationship Id="rId139" Type="http://schemas.openxmlformats.org/officeDocument/2006/relationships/image" Target="media/image109.png"/><Relationship Id="rId346" Type="http://schemas.openxmlformats.org/officeDocument/2006/relationships/image" Target="media/image312.png"/><Relationship Id="rId553" Type="http://schemas.openxmlformats.org/officeDocument/2006/relationships/image" Target="media/image517.png"/><Relationship Id="rId192" Type="http://schemas.openxmlformats.org/officeDocument/2006/relationships/image" Target="media/image160.png"/><Relationship Id="rId206" Type="http://schemas.openxmlformats.org/officeDocument/2006/relationships/image" Target="media/image172.png"/><Relationship Id="rId413" Type="http://schemas.openxmlformats.org/officeDocument/2006/relationships/image" Target="media/image377.png"/><Relationship Id="rId497" Type="http://schemas.openxmlformats.org/officeDocument/2006/relationships/image" Target="media/image461.png"/><Relationship Id="rId620" Type="http://schemas.openxmlformats.org/officeDocument/2006/relationships/image" Target="media/image584.png"/><Relationship Id="rId357" Type="http://schemas.openxmlformats.org/officeDocument/2006/relationships/hyperlink" Target="https://zakupki.gov.ru" TargetMode="External"/><Relationship Id="rId54" Type="http://schemas.openxmlformats.org/officeDocument/2006/relationships/image" Target="media/image24.png"/><Relationship Id="rId217" Type="http://schemas.openxmlformats.org/officeDocument/2006/relationships/image" Target="media/image183.png"/><Relationship Id="rId564" Type="http://schemas.openxmlformats.org/officeDocument/2006/relationships/image" Target="media/image528.png"/><Relationship Id="rId424" Type="http://schemas.openxmlformats.org/officeDocument/2006/relationships/image" Target="media/image388.png"/><Relationship Id="rId631" Type="http://schemas.openxmlformats.org/officeDocument/2006/relationships/image" Target="media/image595.png"/><Relationship Id="rId270" Type="http://schemas.openxmlformats.org/officeDocument/2006/relationships/image" Target="media/image236.png"/><Relationship Id="rId65" Type="http://schemas.openxmlformats.org/officeDocument/2006/relationships/image" Target="media/image35.png"/><Relationship Id="rId130" Type="http://schemas.openxmlformats.org/officeDocument/2006/relationships/image" Target="media/image100.png"/><Relationship Id="rId368" Type="http://schemas.openxmlformats.org/officeDocument/2006/relationships/image" Target="media/image332.png"/><Relationship Id="rId575" Type="http://schemas.openxmlformats.org/officeDocument/2006/relationships/image" Target="media/image539.png"/><Relationship Id="rId228" Type="http://schemas.openxmlformats.org/officeDocument/2006/relationships/image" Target="media/image194.png"/><Relationship Id="rId435" Type="http://schemas.openxmlformats.org/officeDocument/2006/relationships/image" Target="media/image399.png"/><Relationship Id="rId642" Type="http://schemas.openxmlformats.org/officeDocument/2006/relationships/image" Target="media/image606.png"/><Relationship Id="rId281" Type="http://schemas.openxmlformats.org/officeDocument/2006/relationships/image" Target="media/image247.png"/><Relationship Id="rId502" Type="http://schemas.openxmlformats.org/officeDocument/2006/relationships/image" Target="media/image466.png"/><Relationship Id="rId76" Type="http://schemas.openxmlformats.org/officeDocument/2006/relationships/image" Target="media/image46.png"/><Relationship Id="rId141" Type="http://schemas.openxmlformats.org/officeDocument/2006/relationships/image" Target="media/image111.png"/><Relationship Id="rId379" Type="http://schemas.openxmlformats.org/officeDocument/2006/relationships/image" Target="media/image343.png"/><Relationship Id="rId586" Type="http://schemas.openxmlformats.org/officeDocument/2006/relationships/image" Target="media/image550.png"/><Relationship Id="rId7" Type="http://schemas.openxmlformats.org/officeDocument/2006/relationships/footnotes" Target="footnotes.xml"/><Relationship Id="rId239" Type="http://schemas.openxmlformats.org/officeDocument/2006/relationships/image" Target="media/image205.png"/><Relationship Id="rId446" Type="http://schemas.openxmlformats.org/officeDocument/2006/relationships/image" Target="media/image410.png"/><Relationship Id="rId292" Type="http://schemas.openxmlformats.org/officeDocument/2006/relationships/image" Target="media/image258.png"/><Relationship Id="rId306" Type="http://schemas.openxmlformats.org/officeDocument/2006/relationships/image" Target="media/image272.png"/><Relationship Id="rId87" Type="http://schemas.openxmlformats.org/officeDocument/2006/relationships/image" Target="media/image57.png"/><Relationship Id="rId513" Type="http://schemas.openxmlformats.org/officeDocument/2006/relationships/image" Target="media/image477.png"/><Relationship Id="rId597" Type="http://schemas.openxmlformats.org/officeDocument/2006/relationships/image" Target="media/image561.png"/><Relationship Id="rId152" Type="http://schemas.openxmlformats.org/officeDocument/2006/relationships/image" Target="media/image122.png"/><Relationship Id="rId457" Type="http://schemas.openxmlformats.org/officeDocument/2006/relationships/image" Target="media/image421.png"/><Relationship Id="rId14" Type="http://schemas.openxmlformats.org/officeDocument/2006/relationships/image" Target="media/image2.emf"/><Relationship Id="rId317" Type="http://schemas.openxmlformats.org/officeDocument/2006/relationships/image" Target="media/image283.jpeg"/><Relationship Id="rId524" Type="http://schemas.openxmlformats.org/officeDocument/2006/relationships/image" Target="media/image488.png"/><Relationship Id="rId98" Type="http://schemas.openxmlformats.org/officeDocument/2006/relationships/image" Target="media/image68.png"/><Relationship Id="rId163" Type="http://schemas.openxmlformats.org/officeDocument/2006/relationships/image" Target="media/image131.png"/><Relationship Id="rId370" Type="http://schemas.openxmlformats.org/officeDocument/2006/relationships/image" Target="media/image334.png"/><Relationship Id="rId230" Type="http://schemas.openxmlformats.org/officeDocument/2006/relationships/image" Target="media/image196.png"/><Relationship Id="rId468" Type="http://schemas.openxmlformats.org/officeDocument/2006/relationships/image" Target="media/image432.png"/><Relationship Id="rId25" Type="http://schemas.openxmlformats.org/officeDocument/2006/relationships/oleObject" Target="embeddings/oleObject1.bin"/><Relationship Id="rId328" Type="http://schemas.openxmlformats.org/officeDocument/2006/relationships/image" Target="media/image294.png"/><Relationship Id="rId535" Type="http://schemas.openxmlformats.org/officeDocument/2006/relationships/image" Target="media/image499.png"/><Relationship Id="rId174" Type="http://schemas.openxmlformats.org/officeDocument/2006/relationships/image" Target="media/image142.png"/><Relationship Id="rId381" Type="http://schemas.openxmlformats.org/officeDocument/2006/relationships/image" Target="media/image345.png"/><Relationship Id="rId602" Type="http://schemas.openxmlformats.org/officeDocument/2006/relationships/image" Target="media/image566.png"/><Relationship Id="rId241" Type="http://schemas.openxmlformats.org/officeDocument/2006/relationships/image" Target="media/image207.png"/><Relationship Id="rId479" Type="http://schemas.openxmlformats.org/officeDocument/2006/relationships/image" Target="media/image443.png"/><Relationship Id="rId36" Type="http://schemas.openxmlformats.org/officeDocument/2006/relationships/header" Target="header4.xml"/><Relationship Id="rId339" Type="http://schemas.openxmlformats.org/officeDocument/2006/relationships/image" Target="media/image305.png"/><Relationship Id="rId546" Type="http://schemas.openxmlformats.org/officeDocument/2006/relationships/image" Target="media/image510.png"/><Relationship Id="rId101" Type="http://schemas.openxmlformats.org/officeDocument/2006/relationships/image" Target="media/image71.png"/><Relationship Id="rId185" Type="http://schemas.openxmlformats.org/officeDocument/2006/relationships/image" Target="media/image153.png"/><Relationship Id="rId406" Type="http://schemas.openxmlformats.org/officeDocument/2006/relationships/image" Target="media/image370.png"/><Relationship Id="rId392" Type="http://schemas.openxmlformats.org/officeDocument/2006/relationships/image" Target="media/image356.png"/><Relationship Id="rId613" Type="http://schemas.openxmlformats.org/officeDocument/2006/relationships/image" Target="media/image577.png"/><Relationship Id="rId252" Type="http://schemas.openxmlformats.org/officeDocument/2006/relationships/image" Target="media/image218.png"/><Relationship Id="rId47" Type="http://schemas.openxmlformats.org/officeDocument/2006/relationships/image" Target="media/image17.png"/><Relationship Id="rId112" Type="http://schemas.openxmlformats.org/officeDocument/2006/relationships/image" Target="media/image82.png"/><Relationship Id="rId557" Type="http://schemas.openxmlformats.org/officeDocument/2006/relationships/image" Target="media/image521.png"/><Relationship Id="rId196" Type="http://schemas.openxmlformats.org/officeDocument/2006/relationships/hyperlink" Target="https://www.finam.ru/" TargetMode="External"/><Relationship Id="rId417" Type="http://schemas.openxmlformats.org/officeDocument/2006/relationships/image" Target="media/image381.png"/><Relationship Id="rId624" Type="http://schemas.openxmlformats.org/officeDocument/2006/relationships/image" Target="media/image588.png"/><Relationship Id="rId16" Type="http://schemas.openxmlformats.org/officeDocument/2006/relationships/hyperlink" Target="https://eb.cert.roskazna.ru/udu-webcenter/" TargetMode="External"/><Relationship Id="rId221" Type="http://schemas.openxmlformats.org/officeDocument/2006/relationships/image" Target="media/image187.png"/><Relationship Id="rId263" Type="http://schemas.openxmlformats.org/officeDocument/2006/relationships/image" Target="media/image229.png"/><Relationship Id="rId319" Type="http://schemas.openxmlformats.org/officeDocument/2006/relationships/image" Target="media/image285.jpeg"/><Relationship Id="rId470" Type="http://schemas.openxmlformats.org/officeDocument/2006/relationships/image" Target="media/image434.png"/><Relationship Id="rId526" Type="http://schemas.openxmlformats.org/officeDocument/2006/relationships/image" Target="media/image490.png"/><Relationship Id="rId58" Type="http://schemas.openxmlformats.org/officeDocument/2006/relationships/image" Target="media/image28.png"/><Relationship Id="rId123" Type="http://schemas.openxmlformats.org/officeDocument/2006/relationships/image" Target="media/image93.png"/><Relationship Id="rId330" Type="http://schemas.openxmlformats.org/officeDocument/2006/relationships/image" Target="media/image296.png"/><Relationship Id="rId568" Type="http://schemas.openxmlformats.org/officeDocument/2006/relationships/image" Target="media/image532.png"/><Relationship Id="rId165" Type="http://schemas.openxmlformats.org/officeDocument/2006/relationships/image" Target="media/image133.png"/><Relationship Id="rId372" Type="http://schemas.openxmlformats.org/officeDocument/2006/relationships/image" Target="media/image336.png"/><Relationship Id="rId428" Type="http://schemas.openxmlformats.org/officeDocument/2006/relationships/image" Target="media/image392.png"/><Relationship Id="rId635" Type="http://schemas.openxmlformats.org/officeDocument/2006/relationships/image" Target="media/image599.PNG"/><Relationship Id="rId232" Type="http://schemas.openxmlformats.org/officeDocument/2006/relationships/image" Target="media/image198.png"/><Relationship Id="rId274" Type="http://schemas.openxmlformats.org/officeDocument/2006/relationships/image" Target="media/image240.png"/><Relationship Id="rId481" Type="http://schemas.openxmlformats.org/officeDocument/2006/relationships/image" Target="media/image445.png"/><Relationship Id="rId27" Type="http://schemas.openxmlformats.org/officeDocument/2006/relationships/hyperlink" Target="https://www.elrepo.org/RPM-GPG-KEY-elrepo.org" TargetMode="External"/><Relationship Id="rId69" Type="http://schemas.openxmlformats.org/officeDocument/2006/relationships/image" Target="media/image39.png"/><Relationship Id="rId134" Type="http://schemas.openxmlformats.org/officeDocument/2006/relationships/image" Target="media/image104.png"/><Relationship Id="rId537" Type="http://schemas.openxmlformats.org/officeDocument/2006/relationships/image" Target="media/image501.png"/><Relationship Id="rId579" Type="http://schemas.openxmlformats.org/officeDocument/2006/relationships/image" Target="media/image543.png"/><Relationship Id="rId80" Type="http://schemas.openxmlformats.org/officeDocument/2006/relationships/image" Target="media/image50.png"/><Relationship Id="rId176" Type="http://schemas.openxmlformats.org/officeDocument/2006/relationships/image" Target="media/image144.png"/><Relationship Id="rId341" Type="http://schemas.openxmlformats.org/officeDocument/2006/relationships/image" Target="media/image307.png"/><Relationship Id="rId383" Type="http://schemas.openxmlformats.org/officeDocument/2006/relationships/image" Target="media/image347.png"/><Relationship Id="rId439" Type="http://schemas.openxmlformats.org/officeDocument/2006/relationships/image" Target="media/image403.png"/><Relationship Id="rId590" Type="http://schemas.openxmlformats.org/officeDocument/2006/relationships/image" Target="media/image554.png"/><Relationship Id="rId604" Type="http://schemas.openxmlformats.org/officeDocument/2006/relationships/image" Target="media/image568.png"/><Relationship Id="rId646" Type="http://schemas.openxmlformats.org/officeDocument/2006/relationships/hyperlink" Target="mailto:support_EB@roskazna.ru" TargetMode="External"/><Relationship Id="rId201" Type="http://schemas.openxmlformats.org/officeDocument/2006/relationships/image" Target="media/image167.png"/><Relationship Id="rId243" Type="http://schemas.openxmlformats.org/officeDocument/2006/relationships/image" Target="media/image209.png"/><Relationship Id="rId285" Type="http://schemas.openxmlformats.org/officeDocument/2006/relationships/image" Target="media/image251.png"/><Relationship Id="rId450" Type="http://schemas.openxmlformats.org/officeDocument/2006/relationships/image" Target="media/image414.png"/><Relationship Id="rId506" Type="http://schemas.openxmlformats.org/officeDocument/2006/relationships/image" Target="media/image470.png"/><Relationship Id="rId38" Type="http://schemas.openxmlformats.org/officeDocument/2006/relationships/image" Target="media/image11.emf"/><Relationship Id="rId103" Type="http://schemas.openxmlformats.org/officeDocument/2006/relationships/image" Target="media/image73.png"/><Relationship Id="rId310" Type="http://schemas.openxmlformats.org/officeDocument/2006/relationships/image" Target="media/image276.png"/><Relationship Id="rId492" Type="http://schemas.openxmlformats.org/officeDocument/2006/relationships/image" Target="media/image456.png"/><Relationship Id="rId548" Type="http://schemas.openxmlformats.org/officeDocument/2006/relationships/image" Target="media/image512.png"/><Relationship Id="rId91" Type="http://schemas.openxmlformats.org/officeDocument/2006/relationships/image" Target="media/image61.png"/><Relationship Id="rId145" Type="http://schemas.openxmlformats.org/officeDocument/2006/relationships/image" Target="media/image115.png"/><Relationship Id="rId187" Type="http://schemas.openxmlformats.org/officeDocument/2006/relationships/image" Target="media/image155.png"/><Relationship Id="rId352" Type="http://schemas.openxmlformats.org/officeDocument/2006/relationships/image" Target="media/image318.png"/><Relationship Id="rId394" Type="http://schemas.openxmlformats.org/officeDocument/2006/relationships/image" Target="media/image358.png"/><Relationship Id="rId408" Type="http://schemas.openxmlformats.org/officeDocument/2006/relationships/image" Target="media/image372.png"/><Relationship Id="rId615" Type="http://schemas.openxmlformats.org/officeDocument/2006/relationships/image" Target="media/image579.png"/><Relationship Id="rId212" Type="http://schemas.openxmlformats.org/officeDocument/2006/relationships/image" Target="media/image178.png"/><Relationship Id="rId254" Type="http://schemas.openxmlformats.org/officeDocument/2006/relationships/image" Target="media/image220.png"/><Relationship Id="rId49" Type="http://schemas.openxmlformats.org/officeDocument/2006/relationships/image" Target="media/image19.png"/><Relationship Id="rId114" Type="http://schemas.openxmlformats.org/officeDocument/2006/relationships/image" Target="media/image84.png"/><Relationship Id="rId296" Type="http://schemas.openxmlformats.org/officeDocument/2006/relationships/image" Target="media/image262.png"/><Relationship Id="rId461" Type="http://schemas.openxmlformats.org/officeDocument/2006/relationships/image" Target="media/image425.png"/><Relationship Id="rId517" Type="http://schemas.openxmlformats.org/officeDocument/2006/relationships/image" Target="media/image481.png"/><Relationship Id="rId559" Type="http://schemas.openxmlformats.org/officeDocument/2006/relationships/image" Target="media/image523.png"/><Relationship Id="rId60" Type="http://schemas.openxmlformats.org/officeDocument/2006/relationships/image" Target="media/image30.png"/><Relationship Id="rId156" Type="http://schemas.openxmlformats.org/officeDocument/2006/relationships/image" Target="media/image126.png"/><Relationship Id="rId198" Type="http://schemas.openxmlformats.org/officeDocument/2006/relationships/image" Target="media/image164.png"/><Relationship Id="rId321" Type="http://schemas.openxmlformats.org/officeDocument/2006/relationships/image" Target="media/image287.png"/><Relationship Id="rId363" Type="http://schemas.openxmlformats.org/officeDocument/2006/relationships/image" Target="media/image327.png"/><Relationship Id="rId419" Type="http://schemas.openxmlformats.org/officeDocument/2006/relationships/image" Target="media/image383.png"/><Relationship Id="rId570" Type="http://schemas.openxmlformats.org/officeDocument/2006/relationships/image" Target="media/image534.png"/><Relationship Id="rId626" Type="http://schemas.openxmlformats.org/officeDocument/2006/relationships/image" Target="media/image590.png"/><Relationship Id="rId223" Type="http://schemas.openxmlformats.org/officeDocument/2006/relationships/image" Target="media/image189.png"/><Relationship Id="rId430" Type="http://schemas.openxmlformats.org/officeDocument/2006/relationships/image" Target="media/image394.png"/><Relationship Id="rId18" Type="http://schemas.openxmlformats.org/officeDocument/2006/relationships/image" Target="media/image4.png"/><Relationship Id="rId265" Type="http://schemas.openxmlformats.org/officeDocument/2006/relationships/image" Target="media/image231.png"/><Relationship Id="rId472" Type="http://schemas.openxmlformats.org/officeDocument/2006/relationships/image" Target="media/image436.png"/><Relationship Id="rId528" Type="http://schemas.openxmlformats.org/officeDocument/2006/relationships/image" Target="media/image492.png"/><Relationship Id="rId125" Type="http://schemas.openxmlformats.org/officeDocument/2006/relationships/image" Target="media/image95.png"/><Relationship Id="rId167" Type="http://schemas.openxmlformats.org/officeDocument/2006/relationships/image" Target="media/image135.png"/><Relationship Id="rId332" Type="http://schemas.openxmlformats.org/officeDocument/2006/relationships/image" Target="media/image298.png"/><Relationship Id="rId374" Type="http://schemas.openxmlformats.org/officeDocument/2006/relationships/image" Target="media/image338.png"/><Relationship Id="rId581" Type="http://schemas.openxmlformats.org/officeDocument/2006/relationships/image" Target="media/image545.png"/><Relationship Id="rId71" Type="http://schemas.openxmlformats.org/officeDocument/2006/relationships/image" Target="media/image41.png"/><Relationship Id="rId234" Type="http://schemas.openxmlformats.org/officeDocument/2006/relationships/image" Target="media/image200.png"/><Relationship Id="rId637" Type="http://schemas.openxmlformats.org/officeDocument/2006/relationships/image" Target="media/image601.png"/><Relationship Id="rId2" Type="http://schemas.openxmlformats.org/officeDocument/2006/relationships/numbering" Target="numbering.xml"/><Relationship Id="rId29" Type="http://schemas.openxmlformats.org/officeDocument/2006/relationships/oleObject" Target="embeddings/oleObject2.bin"/><Relationship Id="rId276" Type="http://schemas.openxmlformats.org/officeDocument/2006/relationships/image" Target="media/image242.png"/><Relationship Id="rId441" Type="http://schemas.openxmlformats.org/officeDocument/2006/relationships/image" Target="media/image405.png"/><Relationship Id="rId483" Type="http://schemas.openxmlformats.org/officeDocument/2006/relationships/image" Target="media/image447.png"/><Relationship Id="rId539" Type="http://schemas.openxmlformats.org/officeDocument/2006/relationships/image" Target="media/image503.png"/><Relationship Id="rId40" Type="http://schemas.openxmlformats.org/officeDocument/2006/relationships/header" Target="header6.xml"/><Relationship Id="rId136" Type="http://schemas.openxmlformats.org/officeDocument/2006/relationships/image" Target="media/image106.png"/><Relationship Id="rId178" Type="http://schemas.openxmlformats.org/officeDocument/2006/relationships/image" Target="media/image146.png"/><Relationship Id="rId301" Type="http://schemas.openxmlformats.org/officeDocument/2006/relationships/image" Target="media/image267.png"/><Relationship Id="rId343" Type="http://schemas.openxmlformats.org/officeDocument/2006/relationships/image" Target="media/image309.png"/><Relationship Id="rId550" Type="http://schemas.openxmlformats.org/officeDocument/2006/relationships/image" Target="media/image514.png"/><Relationship Id="rId82" Type="http://schemas.openxmlformats.org/officeDocument/2006/relationships/image" Target="media/image52.png"/><Relationship Id="rId203" Type="http://schemas.openxmlformats.org/officeDocument/2006/relationships/image" Target="media/image169.png"/><Relationship Id="rId385" Type="http://schemas.openxmlformats.org/officeDocument/2006/relationships/image" Target="media/image349.png"/><Relationship Id="rId592" Type="http://schemas.openxmlformats.org/officeDocument/2006/relationships/image" Target="media/image556.png"/><Relationship Id="rId606" Type="http://schemas.openxmlformats.org/officeDocument/2006/relationships/image" Target="media/image570.png"/><Relationship Id="rId648" Type="http://schemas.openxmlformats.org/officeDocument/2006/relationships/fontTable" Target="fontTable.xml"/><Relationship Id="rId245" Type="http://schemas.openxmlformats.org/officeDocument/2006/relationships/image" Target="media/image211.png"/><Relationship Id="rId287" Type="http://schemas.openxmlformats.org/officeDocument/2006/relationships/image" Target="media/image253.png"/><Relationship Id="rId410" Type="http://schemas.openxmlformats.org/officeDocument/2006/relationships/image" Target="media/image374.png"/><Relationship Id="rId452" Type="http://schemas.openxmlformats.org/officeDocument/2006/relationships/image" Target="media/image416.png"/><Relationship Id="rId494" Type="http://schemas.openxmlformats.org/officeDocument/2006/relationships/image" Target="media/image458.png"/><Relationship Id="rId508" Type="http://schemas.openxmlformats.org/officeDocument/2006/relationships/image" Target="media/image472.png"/><Relationship Id="rId105" Type="http://schemas.openxmlformats.org/officeDocument/2006/relationships/image" Target="media/image75.png"/><Relationship Id="rId147" Type="http://schemas.openxmlformats.org/officeDocument/2006/relationships/image" Target="media/image117.png"/><Relationship Id="rId312" Type="http://schemas.openxmlformats.org/officeDocument/2006/relationships/image" Target="media/image278.png"/><Relationship Id="rId354" Type="http://schemas.openxmlformats.org/officeDocument/2006/relationships/image" Target="media/image320.png"/><Relationship Id="rId51" Type="http://schemas.openxmlformats.org/officeDocument/2006/relationships/image" Target="media/image21.png"/><Relationship Id="rId93" Type="http://schemas.openxmlformats.org/officeDocument/2006/relationships/image" Target="media/image63.png"/><Relationship Id="rId189" Type="http://schemas.openxmlformats.org/officeDocument/2006/relationships/image" Target="media/image157.png"/><Relationship Id="rId396" Type="http://schemas.openxmlformats.org/officeDocument/2006/relationships/image" Target="media/image360.png"/><Relationship Id="rId561" Type="http://schemas.openxmlformats.org/officeDocument/2006/relationships/image" Target="media/image525.png"/><Relationship Id="rId617" Type="http://schemas.openxmlformats.org/officeDocument/2006/relationships/image" Target="media/image581.png"/><Relationship Id="rId214" Type="http://schemas.openxmlformats.org/officeDocument/2006/relationships/image" Target="media/image180.png"/><Relationship Id="rId256" Type="http://schemas.openxmlformats.org/officeDocument/2006/relationships/image" Target="media/image222.png"/><Relationship Id="rId298" Type="http://schemas.openxmlformats.org/officeDocument/2006/relationships/image" Target="media/image264.png"/><Relationship Id="rId421" Type="http://schemas.openxmlformats.org/officeDocument/2006/relationships/image" Target="media/image385.png"/><Relationship Id="rId463" Type="http://schemas.openxmlformats.org/officeDocument/2006/relationships/image" Target="media/image427.png"/><Relationship Id="rId519" Type="http://schemas.openxmlformats.org/officeDocument/2006/relationships/image" Target="media/image483.png"/><Relationship Id="rId116" Type="http://schemas.openxmlformats.org/officeDocument/2006/relationships/image" Target="media/image86.png"/><Relationship Id="rId158" Type="http://schemas.openxmlformats.org/officeDocument/2006/relationships/image" Target="media/image128.png"/><Relationship Id="rId323" Type="http://schemas.openxmlformats.org/officeDocument/2006/relationships/image" Target="media/image289.png"/><Relationship Id="rId530" Type="http://schemas.openxmlformats.org/officeDocument/2006/relationships/image" Target="media/image494.png"/><Relationship Id="rId20" Type="http://schemas.openxmlformats.org/officeDocument/2006/relationships/image" Target="media/image6.png"/><Relationship Id="rId62" Type="http://schemas.openxmlformats.org/officeDocument/2006/relationships/image" Target="media/image32.png"/><Relationship Id="rId365" Type="http://schemas.openxmlformats.org/officeDocument/2006/relationships/image" Target="media/image329.png"/><Relationship Id="rId572" Type="http://schemas.openxmlformats.org/officeDocument/2006/relationships/image" Target="media/image536.png"/><Relationship Id="rId628" Type="http://schemas.openxmlformats.org/officeDocument/2006/relationships/image" Target="media/image592.png"/><Relationship Id="rId225" Type="http://schemas.openxmlformats.org/officeDocument/2006/relationships/image" Target="media/image191.png"/><Relationship Id="rId267" Type="http://schemas.openxmlformats.org/officeDocument/2006/relationships/image" Target="media/image233.png"/><Relationship Id="rId432" Type="http://schemas.openxmlformats.org/officeDocument/2006/relationships/image" Target="media/image396.png"/><Relationship Id="rId474" Type="http://schemas.openxmlformats.org/officeDocument/2006/relationships/image" Target="media/image438.png"/><Relationship Id="rId127" Type="http://schemas.openxmlformats.org/officeDocument/2006/relationships/image" Target="media/image97.png"/><Relationship Id="rId31" Type="http://schemas.openxmlformats.org/officeDocument/2006/relationships/hyperlink" Target="http://mirror.centos.org/centos/7/os/x86_64/Packages/openssl-1.0.2k-19.el7.x86_64.rpm" TargetMode="External"/><Relationship Id="rId73" Type="http://schemas.openxmlformats.org/officeDocument/2006/relationships/image" Target="media/image43.png"/><Relationship Id="rId169" Type="http://schemas.openxmlformats.org/officeDocument/2006/relationships/image" Target="media/image137.png"/><Relationship Id="rId334" Type="http://schemas.openxmlformats.org/officeDocument/2006/relationships/image" Target="media/image300.png"/><Relationship Id="rId376" Type="http://schemas.openxmlformats.org/officeDocument/2006/relationships/image" Target="media/image340.png"/><Relationship Id="rId541" Type="http://schemas.openxmlformats.org/officeDocument/2006/relationships/image" Target="media/image505.png"/><Relationship Id="rId583" Type="http://schemas.openxmlformats.org/officeDocument/2006/relationships/image" Target="media/image547.png"/><Relationship Id="rId639" Type="http://schemas.openxmlformats.org/officeDocument/2006/relationships/image" Target="media/image603.png"/><Relationship Id="rId4" Type="http://schemas.microsoft.com/office/2007/relationships/stylesWithEffects" Target="stylesWithEffects.xml"/><Relationship Id="rId180" Type="http://schemas.openxmlformats.org/officeDocument/2006/relationships/image" Target="media/image148.png"/><Relationship Id="rId236" Type="http://schemas.openxmlformats.org/officeDocument/2006/relationships/image" Target="media/image202.png"/><Relationship Id="rId278" Type="http://schemas.openxmlformats.org/officeDocument/2006/relationships/image" Target="media/image244.png"/><Relationship Id="rId401" Type="http://schemas.openxmlformats.org/officeDocument/2006/relationships/image" Target="media/image365.png"/><Relationship Id="rId443" Type="http://schemas.openxmlformats.org/officeDocument/2006/relationships/image" Target="media/image407.png"/><Relationship Id="rId303" Type="http://schemas.openxmlformats.org/officeDocument/2006/relationships/image" Target="media/image269.png"/><Relationship Id="rId485" Type="http://schemas.openxmlformats.org/officeDocument/2006/relationships/image" Target="media/image449.png"/><Relationship Id="rId42" Type="http://schemas.openxmlformats.org/officeDocument/2006/relationships/oleObject" Target="embeddings/oleObject5.bin"/><Relationship Id="rId84" Type="http://schemas.openxmlformats.org/officeDocument/2006/relationships/image" Target="media/image54.png"/><Relationship Id="rId138" Type="http://schemas.openxmlformats.org/officeDocument/2006/relationships/image" Target="media/image108.png"/><Relationship Id="rId345" Type="http://schemas.openxmlformats.org/officeDocument/2006/relationships/image" Target="media/image311.png"/><Relationship Id="rId387" Type="http://schemas.openxmlformats.org/officeDocument/2006/relationships/image" Target="media/image351.png"/><Relationship Id="rId510" Type="http://schemas.openxmlformats.org/officeDocument/2006/relationships/image" Target="media/image474.png"/><Relationship Id="rId552" Type="http://schemas.openxmlformats.org/officeDocument/2006/relationships/image" Target="media/image516.png"/><Relationship Id="rId594" Type="http://schemas.openxmlformats.org/officeDocument/2006/relationships/image" Target="media/image558.png"/><Relationship Id="rId608" Type="http://schemas.openxmlformats.org/officeDocument/2006/relationships/image" Target="media/image572.png"/><Relationship Id="rId191" Type="http://schemas.openxmlformats.org/officeDocument/2006/relationships/image" Target="media/image159.png"/><Relationship Id="rId205" Type="http://schemas.openxmlformats.org/officeDocument/2006/relationships/image" Target="media/image171.png"/><Relationship Id="rId247" Type="http://schemas.openxmlformats.org/officeDocument/2006/relationships/image" Target="media/image213.png"/><Relationship Id="rId412" Type="http://schemas.openxmlformats.org/officeDocument/2006/relationships/image" Target="media/image376.png"/><Relationship Id="rId107" Type="http://schemas.openxmlformats.org/officeDocument/2006/relationships/image" Target="media/image77.png"/><Relationship Id="rId289" Type="http://schemas.openxmlformats.org/officeDocument/2006/relationships/image" Target="media/image255.png"/><Relationship Id="rId454" Type="http://schemas.openxmlformats.org/officeDocument/2006/relationships/image" Target="media/image418.png"/><Relationship Id="rId496" Type="http://schemas.openxmlformats.org/officeDocument/2006/relationships/image" Target="media/image460.png"/><Relationship Id="rId11" Type="http://schemas.openxmlformats.org/officeDocument/2006/relationships/header" Target="header3.xml"/><Relationship Id="rId53" Type="http://schemas.openxmlformats.org/officeDocument/2006/relationships/image" Target="media/image23.png"/><Relationship Id="rId149" Type="http://schemas.openxmlformats.org/officeDocument/2006/relationships/image" Target="media/image119.png"/><Relationship Id="rId314" Type="http://schemas.openxmlformats.org/officeDocument/2006/relationships/image" Target="media/image280.jpeg"/><Relationship Id="rId356" Type="http://schemas.openxmlformats.org/officeDocument/2006/relationships/image" Target="media/image321.png"/><Relationship Id="rId398" Type="http://schemas.openxmlformats.org/officeDocument/2006/relationships/image" Target="media/image362.png"/><Relationship Id="rId521" Type="http://schemas.openxmlformats.org/officeDocument/2006/relationships/image" Target="media/image485.png"/><Relationship Id="rId563" Type="http://schemas.openxmlformats.org/officeDocument/2006/relationships/image" Target="media/image527.png"/><Relationship Id="rId619" Type="http://schemas.openxmlformats.org/officeDocument/2006/relationships/image" Target="media/image583.png"/><Relationship Id="rId95" Type="http://schemas.openxmlformats.org/officeDocument/2006/relationships/image" Target="media/image65.png"/><Relationship Id="rId160" Type="http://schemas.openxmlformats.org/officeDocument/2006/relationships/image" Target="media/image130.png"/><Relationship Id="rId216" Type="http://schemas.openxmlformats.org/officeDocument/2006/relationships/image" Target="media/image182.png"/><Relationship Id="rId423" Type="http://schemas.openxmlformats.org/officeDocument/2006/relationships/image" Target="media/image387.png"/><Relationship Id="rId258" Type="http://schemas.openxmlformats.org/officeDocument/2006/relationships/image" Target="media/image224.png"/><Relationship Id="rId465" Type="http://schemas.openxmlformats.org/officeDocument/2006/relationships/image" Target="media/image429.png"/><Relationship Id="rId630" Type="http://schemas.openxmlformats.org/officeDocument/2006/relationships/image" Target="media/image594.png"/><Relationship Id="rId22" Type="http://schemas.openxmlformats.org/officeDocument/2006/relationships/hyperlink" Target="https://eb.cert.roskazna.ru/" TargetMode="External"/><Relationship Id="rId64" Type="http://schemas.openxmlformats.org/officeDocument/2006/relationships/image" Target="media/image34.png"/><Relationship Id="rId118" Type="http://schemas.openxmlformats.org/officeDocument/2006/relationships/image" Target="media/image88.png"/><Relationship Id="rId325" Type="http://schemas.openxmlformats.org/officeDocument/2006/relationships/image" Target="media/image291.png"/><Relationship Id="rId367" Type="http://schemas.openxmlformats.org/officeDocument/2006/relationships/image" Target="media/image331.png"/><Relationship Id="rId532" Type="http://schemas.openxmlformats.org/officeDocument/2006/relationships/image" Target="media/image496.png"/><Relationship Id="rId574" Type="http://schemas.openxmlformats.org/officeDocument/2006/relationships/image" Target="media/image538.png"/><Relationship Id="rId171" Type="http://schemas.openxmlformats.org/officeDocument/2006/relationships/image" Target="media/image139.png"/><Relationship Id="rId227" Type="http://schemas.openxmlformats.org/officeDocument/2006/relationships/image" Target="media/image193.png"/><Relationship Id="rId269" Type="http://schemas.openxmlformats.org/officeDocument/2006/relationships/image" Target="media/image235.png"/><Relationship Id="rId434" Type="http://schemas.openxmlformats.org/officeDocument/2006/relationships/image" Target="media/image398.png"/><Relationship Id="rId476" Type="http://schemas.openxmlformats.org/officeDocument/2006/relationships/image" Target="media/image440.png"/><Relationship Id="rId641" Type="http://schemas.openxmlformats.org/officeDocument/2006/relationships/image" Target="media/image605.png"/><Relationship Id="rId33" Type="http://schemas.openxmlformats.org/officeDocument/2006/relationships/image" Target="media/image10.emf"/><Relationship Id="rId129" Type="http://schemas.openxmlformats.org/officeDocument/2006/relationships/image" Target="media/image99.png"/><Relationship Id="rId280" Type="http://schemas.openxmlformats.org/officeDocument/2006/relationships/image" Target="media/image246.png"/><Relationship Id="rId336" Type="http://schemas.openxmlformats.org/officeDocument/2006/relationships/image" Target="media/image302.png"/><Relationship Id="rId501" Type="http://schemas.openxmlformats.org/officeDocument/2006/relationships/image" Target="media/image465.png"/><Relationship Id="rId543" Type="http://schemas.openxmlformats.org/officeDocument/2006/relationships/image" Target="media/image507.png"/><Relationship Id="rId75" Type="http://schemas.openxmlformats.org/officeDocument/2006/relationships/image" Target="media/image45.png"/><Relationship Id="rId140" Type="http://schemas.openxmlformats.org/officeDocument/2006/relationships/image" Target="media/image110.png"/><Relationship Id="rId182" Type="http://schemas.openxmlformats.org/officeDocument/2006/relationships/image" Target="media/image150.png"/><Relationship Id="rId378" Type="http://schemas.openxmlformats.org/officeDocument/2006/relationships/image" Target="media/image342.png"/><Relationship Id="rId403" Type="http://schemas.openxmlformats.org/officeDocument/2006/relationships/image" Target="media/image367.png"/><Relationship Id="rId585" Type="http://schemas.openxmlformats.org/officeDocument/2006/relationships/image" Target="media/image549.png"/><Relationship Id="rId6" Type="http://schemas.openxmlformats.org/officeDocument/2006/relationships/webSettings" Target="webSettings.xml"/><Relationship Id="rId238" Type="http://schemas.openxmlformats.org/officeDocument/2006/relationships/image" Target="media/image204.png"/><Relationship Id="rId445" Type="http://schemas.openxmlformats.org/officeDocument/2006/relationships/image" Target="media/image409.png"/><Relationship Id="rId487" Type="http://schemas.openxmlformats.org/officeDocument/2006/relationships/image" Target="media/image451.png"/><Relationship Id="rId610" Type="http://schemas.openxmlformats.org/officeDocument/2006/relationships/image" Target="media/image574.png"/><Relationship Id="rId291" Type="http://schemas.openxmlformats.org/officeDocument/2006/relationships/image" Target="media/image257.png"/><Relationship Id="rId305" Type="http://schemas.openxmlformats.org/officeDocument/2006/relationships/image" Target="media/image271.png"/><Relationship Id="rId347" Type="http://schemas.openxmlformats.org/officeDocument/2006/relationships/image" Target="media/image313.png"/><Relationship Id="rId512" Type="http://schemas.openxmlformats.org/officeDocument/2006/relationships/image" Target="media/image476.png"/><Relationship Id="rId44" Type="http://schemas.openxmlformats.org/officeDocument/2006/relationships/image" Target="media/image14.png"/><Relationship Id="rId86" Type="http://schemas.openxmlformats.org/officeDocument/2006/relationships/image" Target="media/image56.png"/><Relationship Id="rId151" Type="http://schemas.openxmlformats.org/officeDocument/2006/relationships/image" Target="media/image121.png"/><Relationship Id="rId389" Type="http://schemas.openxmlformats.org/officeDocument/2006/relationships/image" Target="media/image353.png"/><Relationship Id="rId554" Type="http://schemas.openxmlformats.org/officeDocument/2006/relationships/image" Target="media/image518.png"/><Relationship Id="rId596" Type="http://schemas.openxmlformats.org/officeDocument/2006/relationships/image" Target="media/image560.png"/><Relationship Id="rId193" Type="http://schemas.openxmlformats.org/officeDocument/2006/relationships/image" Target="media/image161.png"/><Relationship Id="rId207" Type="http://schemas.openxmlformats.org/officeDocument/2006/relationships/image" Target="media/image173.png"/><Relationship Id="rId249" Type="http://schemas.openxmlformats.org/officeDocument/2006/relationships/image" Target="media/image215.png"/><Relationship Id="rId414" Type="http://schemas.openxmlformats.org/officeDocument/2006/relationships/image" Target="media/image378.png"/><Relationship Id="rId456" Type="http://schemas.openxmlformats.org/officeDocument/2006/relationships/image" Target="media/image420.png"/><Relationship Id="rId498" Type="http://schemas.openxmlformats.org/officeDocument/2006/relationships/image" Target="media/image462.png"/><Relationship Id="rId621" Type="http://schemas.openxmlformats.org/officeDocument/2006/relationships/image" Target="media/image585.png"/><Relationship Id="rId13" Type="http://schemas.openxmlformats.org/officeDocument/2006/relationships/hyperlink" Target="https://roskazna.ru/gis/ehlektronnyj-byudzhet/podklyuchenie-k-sisteme/" TargetMode="External"/><Relationship Id="rId109" Type="http://schemas.openxmlformats.org/officeDocument/2006/relationships/image" Target="media/image79.png"/><Relationship Id="rId260" Type="http://schemas.openxmlformats.org/officeDocument/2006/relationships/image" Target="media/image226.png"/><Relationship Id="rId316" Type="http://schemas.openxmlformats.org/officeDocument/2006/relationships/image" Target="media/image282.jpeg"/><Relationship Id="rId523" Type="http://schemas.openxmlformats.org/officeDocument/2006/relationships/image" Target="media/image487.png"/><Relationship Id="rId55" Type="http://schemas.openxmlformats.org/officeDocument/2006/relationships/image" Target="media/image25.png"/><Relationship Id="rId97" Type="http://schemas.openxmlformats.org/officeDocument/2006/relationships/image" Target="media/image67.png"/><Relationship Id="rId120" Type="http://schemas.openxmlformats.org/officeDocument/2006/relationships/image" Target="media/image90.png"/><Relationship Id="rId358" Type="http://schemas.openxmlformats.org/officeDocument/2006/relationships/image" Target="media/image322.png"/><Relationship Id="rId565" Type="http://schemas.openxmlformats.org/officeDocument/2006/relationships/image" Target="media/image529.png"/><Relationship Id="rId162" Type="http://schemas.openxmlformats.org/officeDocument/2006/relationships/header" Target="header8.xml"/><Relationship Id="rId218" Type="http://schemas.openxmlformats.org/officeDocument/2006/relationships/image" Target="media/image184.png"/><Relationship Id="rId425" Type="http://schemas.openxmlformats.org/officeDocument/2006/relationships/image" Target="media/image389.png"/><Relationship Id="rId467" Type="http://schemas.openxmlformats.org/officeDocument/2006/relationships/image" Target="media/image431.png"/><Relationship Id="rId632" Type="http://schemas.openxmlformats.org/officeDocument/2006/relationships/image" Target="media/image596.png"/><Relationship Id="rId271" Type="http://schemas.openxmlformats.org/officeDocument/2006/relationships/image" Target="media/image237.png"/><Relationship Id="rId24" Type="http://schemas.openxmlformats.org/officeDocument/2006/relationships/image" Target="media/image8.emf"/><Relationship Id="rId66" Type="http://schemas.openxmlformats.org/officeDocument/2006/relationships/image" Target="media/image36.png"/><Relationship Id="rId131" Type="http://schemas.openxmlformats.org/officeDocument/2006/relationships/image" Target="media/image101.png"/><Relationship Id="rId327" Type="http://schemas.openxmlformats.org/officeDocument/2006/relationships/image" Target="media/image293.png"/><Relationship Id="rId369" Type="http://schemas.openxmlformats.org/officeDocument/2006/relationships/image" Target="media/image333.png"/><Relationship Id="rId534" Type="http://schemas.openxmlformats.org/officeDocument/2006/relationships/image" Target="media/image498.png"/><Relationship Id="rId576" Type="http://schemas.openxmlformats.org/officeDocument/2006/relationships/image" Target="media/image540.png"/><Relationship Id="rId173" Type="http://schemas.openxmlformats.org/officeDocument/2006/relationships/image" Target="media/image141.png"/><Relationship Id="rId229" Type="http://schemas.openxmlformats.org/officeDocument/2006/relationships/image" Target="media/image195.png"/><Relationship Id="rId380" Type="http://schemas.openxmlformats.org/officeDocument/2006/relationships/image" Target="media/image344.png"/><Relationship Id="rId436" Type="http://schemas.openxmlformats.org/officeDocument/2006/relationships/image" Target="media/image400.png"/><Relationship Id="rId601" Type="http://schemas.openxmlformats.org/officeDocument/2006/relationships/image" Target="media/image565.png"/><Relationship Id="rId643" Type="http://schemas.openxmlformats.org/officeDocument/2006/relationships/image" Target="media/image607.png"/><Relationship Id="rId240" Type="http://schemas.openxmlformats.org/officeDocument/2006/relationships/image" Target="media/image206.png"/><Relationship Id="rId478" Type="http://schemas.openxmlformats.org/officeDocument/2006/relationships/image" Target="media/image442.png"/><Relationship Id="rId35" Type="http://schemas.openxmlformats.org/officeDocument/2006/relationships/hyperlink" Target="https://www.cryptopro.ru/" TargetMode="External"/><Relationship Id="rId77" Type="http://schemas.openxmlformats.org/officeDocument/2006/relationships/image" Target="media/image47.png"/><Relationship Id="rId100" Type="http://schemas.openxmlformats.org/officeDocument/2006/relationships/image" Target="media/image70.png"/><Relationship Id="rId282" Type="http://schemas.openxmlformats.org/officeDocument/2006/relationships/image" Target="media/image248.png"/><Relationship Id="rId338" Type="http://schemas.openxmlformats.org/officeDocument/2006/relationships/image" Target="media/image304.png"/><Relationship Id="rId503" Type="http://schemas.openxmlformats.org/officeDocument/2006/relationships/image" Target="media/image467.png"/><Relationship Id="rId545" Type="http://schemas.openxmlformats.org/officeDocument/2006/relationships/image" Target="media/image509.png"/><Relationship Id="rId587" Type="http://schemas.openxmlformats.org/officeDocument/2006/relationships/image" Target="media/image551.png"/><Relationship Id="rId8" Type="http://schemas.openxmlformats.org/officeDocument/2006/relationships/endnotes" Target="endnotes.xml"/><Relationship Id="rId142" Type="http://schemas.openxmlformats.org/officeDocument/2006/relationships/image" Target="media/image112.png"/><Relationship Id="rId184" Type="http://schemas.openxmlformats.org/officeDocument/2006/relationships/image" Target="media/image152.png"/><Relationship Id="rId391" Type="http://schemas.openxmlformats.org/officeDocument/2006/relationships/image" Target="media/image355.png"/><Relationship Id="rId405" Type="http://schemas.openxmlformats.org/officeDocument/2006/relationships/image" Target="media/image369.png"/><Relationship Id="rId447" Type="http://schemas.openxmlformats.org/officeDocument/2006/relationships/image" Target="media/image411.png"/><Relationship Id="rId612" Type="http://schemas.openxmlformats.org/officeDocument/2006/relationships/image" Target="media/image576.png"/><Relationship Id="rId251" Type="http://schemas.openxmlformats.org/officeDocument/2006/relationships/image" Target="media/image217.png"/><Relationship Id="rId489" Type="http://schemas.openxmlformats.org/officeDocument/2006/relationships/image" Target="media/image453.png"/><Relationship Id="rId46" Type="http://schemas.openxmlformats.org/officeDocument/2006/relationships/image" Target="media/image16.png"/><Relationship Id="rId293" Type="http://schemas.openxmlformats.org/officeDocument/2006/relationships/image" Target="media/image259.png"/><Relationship Id="rId307" Type="http://schemas.openxmlformats.org/officeDocument/2006/relationships/image" Target="media/image273.png"/><Relationship Id="rId349" Type="http://schemas.openxmlformats.org/officeDocument/2006/relationships/image" Target="media/image315.png"/><Relationship Id="rId514" Type="http://schemas.openxmlformats.org/officeDocument/2006/relationships/image" Target="media/image478.png"/><Relationship Id="rId556" Type="http://schemas.openxmlformats.org/officeDocument/2006/relationships/image" Target="media/image520.png"/><Relationship Id="rId88" Type="http://schemas.openxmlformats.org/officeDocument/2006/relationships/image" Target="media/image58.png"/><Relationship Id="rId111" Type="http://schemas.openxmlformats.org/officeDocument/2006/relationships/image" Target="media/image81.png"/><Relationship Id="rId153" Type="http://schemas.openxmlformats.org/officeDocument/2006/relationships/image" Target="media/image123.png"/><Relationship Id="rId195" Type="http://schemas.openxmlformats.org/officeDocument/2006/relationships/hyperlink" Target="http://www.cbr.ru/" TargetMode="External"/><Relationship Id="rId209" Type="http://schemas.openxmlformats.org/officeDocument/2006/relationships/image" Target="media/image175.png"/><Relationship Id="rId360" Type="http://schemas.openxmlformats.org/officeDocument/2006/relationships/image" Target="media/image324.png"/><Relationship Id="rId416" Type="http://schemas.openxmlformats.org/officeDocument/2006/relationships/image" Target="media/image380.png"/><Relationship Id="rId598" Type="http://schemas.openxmlformats.org/officeDocument/2006/relationships/image" Target="media/image562.png"/><Relationship Id="rId220" Type="http://schemas.openxmlformats.org/officeDocument/2006/relationships/image" Target="media/image186.png"/><Relationship Id="rId458" Type="http://schemas.openxmlformats.org/officeDocument/2006/relationships/image" Target="media/image422.png"/><Relationship Id="rId623" Type="http://schemas.openxmlformats.org/officeDocument/2006/relationships/image" Target="media/image587.png"/><Relationship Id="rId15" Type="http://schemas.openxmlformats.org/officeDocument/2006/relationships/package" Target="embeddings/_____Microsoft_Excel1.xlsx"/><Relationship Id="rId57" Type="http://schemas.openxmlformats.org/officeDocument/2006/relationships/image" Target="media/image27.png"/><Relationship Id="rId262" Type="http://schemas.openxmlformats.org/officeDocument/2006/relationships/image" Target="media/image228.png"/><Relationship Id="rId318" Type="http://schemas.openxmlformats.org/officeDocument/2006/relationships/image" Target="media/image284.jpeg"/><Relationship Id="rId525" Type="http://schemas.openxmlformats.org/officeDocument/2006/relationships/image" Target="media/image489.png"/><Relationship Id="rId567" Type="http://schemas.openxmlformats.org/officeDocument/2006/relationships/image" Target="media/image531.png"/><Relationship Id="rId99" Type="http://schemas.openxmlformats.org/officeDocument/2006/relationships/image" Target="media/image69.png"/><Relationship Id="rId122" Type="http://schemas.openxmlformats.org/officeDocument/2006/relationships/image" Target="media/image92.png"/><Relationship Id="rId164" Type="http://schemas.openxmlformats.org/officeDocument/2006/relationships/image" Target="media/image132.png"/><Relationship Id="rId371" Type="http://schemas.openxmlformats.org/officeDocument/2006/relationships/image" Target="media/image335.png"/><Relationship Id="rId427" Type="http://schemas.openxmlformats.org/officeDocument/2006/relationships/image" Target="media/image391.png"/><Relationship Id="rId469" Type="http://schemas.openxmlformats.org/officeDocument/2006/relationships/image" Target="media/image433.png"/><Relationship Id="rId634" Type="http://schemas.openxmlformats.org/officeDocument/2006/relationships/image" Target="media/image598.PNG"/><Relationship Id="rId26" Type="http://schemas.openxmlformats.org/officeDocument/2006/relationships/hyperlink" Target="http://mirror.centos.org/centos/RPM-GPG-KEY-CentOS-6%20-P%20/etc/pki/rpm-gpg/" TargetMode="External"/><Relationship Id="rId231" Type="http://schemas.openxmlformats.org/officeDocument/2006/relationships/image" Target="media/image197.png"/><Relationship Id="rId273" Type="http://schemas.openxmlformats.org/officeDocument/2006/relationships/image" Target="media/image239.png"/><Relationship Id="rId329" Type="http://schemas.openxmlformats.org/officeDocument/2006/relationships/image" Target="media/image295.png"/><Relationship Id="rId480" Type="http://schemas.openxmlformats.org/officeDocument/2006/relationships/image" Target="media/image444.png"/><Relationship Id="rId536" Type="http://schemas.openxmlformats.org/officeDocument/2006/relationships/image" Target="media/image500.png"/><Relationship Id="rId68" Type="http://schemas.openxmlformats.org/officeDocument/2006/relationships/image" Target="media/image38.png"/><Relationship Id="rId133" Type="http://schemas.openxmlformats.org/officeDocument/2006/relationships/image" Target="media/image103.png"/><Relationship Id="rId175" Type="http://schemas.openxmlformats.org/officeDocument/2006/relationships/image" Target="media/image143.png"/><Relationship Id="rId340" Type="http://schemas.openxmlformats.org/officeDocument/2006/relationships/image" Target="media/image306.png"/><Relationship Id="rId578" Type="http://schemas.openxmlformats.org/officeDocument/2006/relationships/image" Target="media/image542.png"/><Relationship Id="rId200" Type="http://schemas.openxmlformats.org/officeDocument/2006/relationships/image" Target="media/image166.png"/><Relationship Id="rId382" Type="http://schemas.openxmlformats.org/officeDocument/2006/relationships/image" Target="media/image346.png"/><Relationship Id="rId438" Type="http://schemas.openxmlformats.org/officeDocument/2006/relationships/image" Target="media/image402.png"/><Relationship Id="rId603" Type="http://schemas.openxmlformats.org/officeDocument/2006/relationships/image" Target="media/image567.png"/><Relationship Id="rId645" Type="http://schemas.openxmlformats.org/officeDocument/2006/relationships/image" Target="media/image609.png"/><Relationship Id="rId242" Type="http://schemas.openxmlformats.org/officeDocument/2006/relationships/image" Target="media/image208.png"/><Relationship Id="rId284" Type="http://schemas.openxmlformats.org/officeDocument/2006/relationships/image" Target="media/image250.png"/><Relationship Id="rId491" Type="http://schemas.openxmlformats.org/officeDocument/2006/relationships/image" Target="media/image455.png"/><Relationship Id="rId505" Type="http://schemas.openxmlformats.org/officeDocument/2006/relationships/image" Target="media/image469.png"/><Relationship Id="rId37" Type="http://schemas.openxmlformats.org/officeDocument/2006/relationships/header" Target="header5.xml"/><Relationship Id="rId79" Type="http://schemas.openxmlformats.org/officeDocument/2006/relationships/image" Target="media/image49.png"/><Relationship Id="rId102" Type="http://schemas.openxmlformats.org/officeDocument/2006/relationships/image" Target="media/image72.png"/><Relationship Id="rId144" Type="http://schemas.openxmlformats.org/officeDocument/2006/relationships/image" Target="media/image114.png"/><Relationship Id="rId547" Type="http://schemas.openxmlformats.org/officeDocument/2006/relationships/image" Target="media/image511.png"/><Relationship Id="rId589" Type="http://schemas.openxmlformats.org/officeDocument/2006/relationships/image" Target="media/image553.png"/><Relationship Id="rId90" Type="http://schemas.openxmlformats.org/officeDocument/2006/relationships/image" Target="media/image60.png"/><Relationship Id="rId186" Type="http://schemas.openxmlformats.org/officeDocument/2006/relationships/image" Target="media/image154.png"/><Relationship Id="rId351" Type="http://schemas.openxmlformats.org/officeDocument/2006/relationships/image" Target="media/image317.png"/><Relationship Id="rId393" Type="http://schemas.openxmlformats.org/officeDocument/2006/relationships/image" Target="media/image357.png"/><Relationship Id="rId407" Type="http://schemas.openxmlformats.org/officeDocument/2006/relationships/image" Target="media/image371.png"/><Relationship Id="rId449" Type="http://schemas.openxmlformats.org/officeDocument/2006/relationships/image" Target="media/image413.png"/><Relationship Id="rId614" Type="http://schemas.openxmlformats.org/officeDocument/2006/relationships/image" Target="media/image578.png"/><Relationship Id="rId211" Type="http://schemas.openxmlformats.org/officeDocument/2006/relationships/image" Target="media/image177.png"/><Relationship Id="rId253" Type="http://schemas.openxmlformats.org/officeDocument/2006/relationships/image" Target="media/image219.png"/><Relationship Id="rId295" Type="http://schemas.openxmlformats.org/officeDocument/2006/relationships/image" Target="media/image261.png"/><Relationship Id="rId309" Type="http://schemas.openxmlformats.org/officeDocument/2006/relationships/image" Target="media/image275.png"/><Relationship Id="rId460" Type="http://schemas.openxmlformats.org/officeDocument/2006/relationships/image" Target="media/image424.png"/><Relationship Id="rId516" Type="http://schemas.openxmlformats.org/officeDocument/2006/relationships/image" Target="media/image480.png"/><Relationship Id="rId48" Type="http://schemas.openxmlformats.org/officeDocument/2006/relationships/image" Target="media/image18.png"/><Relationship Id="rId113" Type="http://schemas.openxmlformats.org/officeDocument/2006/relationships/image" Target="media/image83.png"/><Relationship Id="rId320" Type="http://schemas.openxmlformats.org/officeDocument/2006/relationships/image" Target="media/image286.jpeg"/><Relationship Id="rId558" Type="http://schemas.openxmlformats.org/officeDocument/2006/relationships/image" Target="media/image522.png"/><Relationship Id="rId155" Type="http://schemas.openxmlformats.org/officeDocument/2006/relationships/image" Target="media/image125.png"/><Relationship Id="rId197" Type="http://schemas.openxmlformats.org/officeDocument/2006/relationships/image" Target="media/image163.png"/><Relationship Id="rId362" Type="http://schemas.openxmlformats.org/officeDocument/2006/relationships/image" Target="media/image326.png"/><Relationship Id="rId418" Type="http://schemas.openxmlformats.org/officeDocument/2006/relationships/image" Target="media/image382.png"/><Relationship Id="rId625" Type="http://schemas.openxmlformats.org/officeDocument/2006/relationships/image" Target="media/image589.png"/><Relationship Id="rId222" Type="http://schemas.openxmlformats.org/officeDocument/2006/relationships/image" Target="media/image188.png"/><Relationship Id="rId264" Type="http://schemas.openxmlformats.org/officeDocument/2006/relationships/image" Target="media/image230.png"/><Relationship Id="rId471" Type="http://schemas.openxmlformats.org/officeDocument/2006/relationships/image" Target="media/image435.png"/><Relationship Id="rId17" Type="http://schemas.openxmlformats.org/officeDocument/2006/relationships/image" Target="media/image3.png"/><Relationship Id="rId59" Type="http://schemas.openxmlformats.org/officeDocument/2006/relationships/image" Target="media/image29.png"/><Relationship Id="rId124" Type="http://schemas.openxmlformats.org/officeDocument/2006/relationships/image" Target="media/image94.png"/><Relationship Id="rId527" Type="http://schemas.openxmlformats.org/officeDocument/2006/relationships/image" Target="media/image491.png"/><Relationship Id="rId569" Type="http://schemas.openxmlformats.org/officeDocument/2006/relationships/image" Target="media/image533.png"/><Relationship Id="rId70" Type="http://schemas.openxmlformats.org/officeDocument/2006/relationships/image" Target="media/image40.png"/><Relationship Id="rId166" Type="http://schemas.openxmlformats.org/officeDocument/2006/relationships/image" Target="media/image134.png"/><Relationship Id="rId331" Type="http://schemas.openxmlformats.org/officeDocument/2006/relationships/image" Target="media/image297.png"/><Relationship Id="rId373" Type="http://schemas.openxmlformats.org/officeDocument/2006/relationships/image" Target="media/image337.png"/><Relationship Id="rId429" Type="http://schemas.openxmlformats.org/officeDocument/2006/relationships/image" Target="media/image393.png"/><Relationship Id="rId580" Type="http://schemas.openxmlformats.org/officeDocument/2006/relationships/image" Target="media/image544.png"/><Relationship Id="rId636" Type="http://schemas.openxmlformats.org/officeDocument/2006/relationships/image" Target="media/image600.png"/><Relationship Id="rId1" Type="http://schemas.openxmlformats.org/officeDocument/2006/relationships/customXml" Target="../customXml/item1.xml"/><Relationship Id="rId233" Type="http://schemas.openxmlformats.org/officeDocument/2006/relationships/image" Target="media/image199.png"/><Relationship Id="rId440" Type="http://schemas.openxmlformats.org/officeDocument/2006/relationships/image" Target="media/image404.png"/><Relationship Id="rId28" Type="http://schemas.openxmlformats.org/officeDocument/2006/relationships/image" Target="media/image9.emf"/><Relationship Id="rId275" Type="http://schemas.openxmlformats.org/officeDocument/2006/relationships/image" Target="media/image241.png"/><Relationship Id="rId300" Type="http://schemas.openxmlformats.org/officeDocument/2006/relationships/image" Target="media/image266.png"/><Relationship Id="rId482" Type="http://schemas.openxmlformats.org/officeDocument/2006/relationships/image" Target="media/image446.png"/><Relationship Id="rId538" Type="http://schemas.openxmlformats.org/officeDocument/2006/relationships/image" Target="media/image502.png"/><Relationship Id="rId81" Type="http://schemas.openxmlformats.org/officeDocument/2006/relationships/image" Target="media/image51.png"/><Relationship Id="rId135" Type="http://schemas.openxmlformats.org/officeDocument/2006/relationships/image" Target="media/image105.png"/><Relationship Id="rId177" Type="http://schemas.openxmlformats.org/officeDocument/2006/relationships/image" Target="media/image145.png"/><Relationship Id="rId342" Type="http://schemas.openxmlformats.org/officeDocument/2006/relationships/image" Target="media/image308.png"/><Relationship Id="rId384" Type="http://schemas.openxmlformats.org/officeDocument/2006/relationships/image" Target="media/image348.png"/><Relationship Id="rId591" Type="http://schemas.openxmlformats.org/officeDocument/2006/relationships/image" Target="media/image555.png"/><Relationship Id="rId605" Type="http://schemas.openxmlformats.org/officeDocument/2006/relationships/image" Target="media/image569.png"/><Relationship Id="rId202" Type="http://schemas.openxmlformats.org/officeDocument/2006/relationships/image" Target="media/image168.png"/><Relationship Id="rId244" Type="http://schemas.openxmlformats.org/officeDocument/2006/relationships/image" Target="media/image210.png"/><Relationship Id="rId647" Type="http://schemas.openxmlformats.org/officeDocument/2006/relationships/header" Target="header9.xml"/><Relationship Id="rId39" Type="http://schemas.openxmlformats.org/officeDocument/2006/relationships/oleObject" Target="embeddings/oleObject4.bin"/><Relationship Id="rId286" Type="http://schemas.openxmlformats.org/officeDocument/2006/relationships/image" Target="media/image252.png"/><Relationship Id="rId451" Type="http://schemas.openxmlformats.org/officeDocument/2006/relationships/image" Target="media/image415.png"/><Relationship Id="rId493" Type="http://schemas.openxmlformats.org/officeDocument/2006/relationships/image" Target="media/image457.png"/><Relationship Id="rId507" Type="http://schemas.openxmlformats.org/officeDocument/2006/relationships/image" Target="media/image471.png"/><Relationship Id="rId549" Type="http://schemas.openxmlformats.org/officeDocument/2006/relationships/image" Target="media/image513.png"/><Relationship Id="rId50" Type="http://schemas.openxmlformats.org/officeDocument/2006/relationships/image" Target="media/image20.png"/><Relationship Id="rId104" Type="http://schemas.openxmlformats.org/officeDocument/2006/relationships/image" Target="media/image74.png"/><Relationship Id="rId146" Type="http://schemas.openxmlformats.org/officeDocument/2006/relationships/image" Target="media/image116.png"/><Relationship Id="rId188" Type="http://schemas.openxmlformats.org/officeDocument/2006/relationships/image" Target="media/image156.png"/><Relationship Id="rId311" Type="http://schemas.openxmlformats.org/officeDocument/2006/relationships/image" Target="media/image277.png"/><Relationship Id="rId353" Type="http://schemas.openxmlformats.org/officeDocument/2006/relationships/image" Target="media/image319.png"/><Relationship Id="rId395" Type="http://schemas.openxmlformats.org/officeDocument/2006/relationships/image" Target="media/image359.png"/><Relationship Id="rId409" Type="http://schemas.openxmlformats.org/officeDocument/2006/relationships/image" Target="media/image373.png"/><Relationship Id="rId560" Type="http://schemas.openxmlformats.org/officeDocument/2006/relationships/image" Target="media/image524.png"/><Relationship Id="rId92" Type="http://schemas.openxmlformats.org/officeDocument/2006/relationships/image" Target="media/image62.png"/><Relationship Id="rId213" Type="http://schemas.openxmlformats.org/officeDocument/2006/relationships/image" Target="media/image179.png"/><Relationship Id="rId420" Type="http://schemas.openxmlformats.org/officeDocument/2006/relationships/image" Target="media/image384.png"/><Relationship Id="rId616" Type="http://schemas.openxmlformats.org/officeDocument/2006/relationships/image" Target="media/image580.png"/><Relationship Id="rId255" Type="http://schemas.openxmlformats.org/officeDocument/2006/relationships/image" Target="media/image221.png"/><Relationship Id="rId297" Type="http://schemas.openxmlformats.org/officeDocument/2006/relationships/image" Target="media/image263.png"/><Relationship Id="rId462" Type="http://schemas.openxmlformats.org/officeDocument/2006/relationships/image" Target="media/image426.png"/><Relationship Id="rId518" Type="http://schemas.openxmlformats.org/officeDocument/2006/relationships/image" Target="media/image482.png"/><Relationship Id="rId115" Type="http://schemas.openxmlformats.org/officeDocument/2006/relationships/image" Target="media/image85.png"/><Relationship Id="rId157" Type="http://schemas.openxmlformats.org/officeDocument/2006/relationships/image" Target="media/image127.png"/><Relationship Id="rId322" Type="http://schemas.openxmlformats.org/officeDocument/2006/relationships/image" Target="media/image288.png"/><Relationship Id="rId364" Type="http://schemas.openxmlformats.org/officeDocument/2006/relationships/image" Target="media/image328.png"/><Relationship Id="rId61" Type="http://schemas.openxmlformats.org/officeDocument/2006/relationships/image" Target="media/image31.png"/><Relationship Id="rId199" Type="http://schemas.openxmlformats.org/officeDocument/2006/relationships/image" Target="media/image165.png"/><Relationship Id="rId571" Type="http://schemas.openxmlformats.org/officeDocument/2006/relationships/image" Target="media/image535.png"/><Relationship Id="rId627" Type="http://schemas.openxmlformats.org/officeDocument/2006/relationships/image" Target="media/image591.png"/><Relationship Id="rId19" Type="http://schemas.openxmlformats.org/officeDocument/2006/relationships/image" Target="media/image5.png"/><Relationship Id="rId224" Type="http://schemas.openxmlformats.org/officeDocument/2006/relationships/image" Target="media/image190.png"/><Relationship Id="rId266" Type="http://schemas.openxmlformats.org/officeDocument/2006/relationships/image" Target="media/image232.png"/><Relationship Id="rId431" Type="http://schemas.openxmlformats.org/officeDocument/2006/relationships/image" Target="media/image395.png"/><Relationship Id="rId473" Type="http://schemas.openxmlformats.org/officeDocument/2006/relationships/image" Target="media/image437.png"/><Relationship Id="rId529" Type="http://schemas.openxmlformats.org/officeDocument/2006/relationships/image" Target="media/image493.png"/><Relationship Id="rId30" Type="http://schemas.openxmlformats.org/officeDocument/2006/relationships/hyperlink" Target="http://mirror.centos.org/centos/7/os/x86_64/Packages/openssl-libs-1.0.2k-19.el7.x86_64.rpm" TargetMode="External"/><Relationship Id="rId126" Type="http://schemas.openxmlformats.org/officeDocument/2006/relationships/image" Target="media/image96.png"/><Relationship Id="rId168" Type="http://schemas.openxmlformats.org/officeDocument/2006/relationships/image" Target="media/image136.png"/><Relationship Id="rId333" Type="http://schemas.openxmlformats.org/officeDocument/2006/relationships/image" Target="media/image299.png"/><Relationship Id="rId540" Type="http://schemas.openxmlformats.org/officeDocument/2006/relationships/image" Target="media/image504.png"/><Relationship Id="rId72" Type="http://schemas.openxmlformats.org/officeDocument/2006/relationships/image" Target="media/image42.png"/><Relationship Id="rId375" Type="http://schemas.openxmlformats.org/officeDocument/2006/relationships/image" Target="media/image339.png"/><Relationship Id="rId582" Type="http://schemas.openxmlformats.org/officeDocument/2006/relationships/image" Target="media/image546.png"/><Relationship Id="rId638" Type="http://schemas.openxmlformats.org/officeDocument/2006/relationships/image" Target="media/image602.png"/><Relationship Id="rId3" Type="http://schemas.openxmlformats.org/officeDocument/2006/relationships/styles" Target="styles.xml"/><Relationship Id="rId235" Type="http://schemas.openxmlformats.org/officeDocument/2006/relationships/image" Target="media/image201.png"/><Relationship Id="rId277" Type="http://schemas.openxmlformats.org/officeDocument/2006/relationships/image" Target="media/image243.png"/><Relationship Id="rId400" Type="http://schemas.openxmlformats.org/officeDocument/2006/relationships/image" Target="media/image364.png"/><Relationship Id="rId442" Type="http://schemas.openxmlformats.org/officeDocument/2006/relationships/image" Target="media/image406.png"/><Relationship Id="rId484" Type="http://schemas.openxmlformats.org/officeDocument/2006/relationships/image" Target="media/image448.png"/><Relationship Id="rId137" Type="http://schemas.openxmlformats.org/officeDocument/2006/relationships/image" Target="media/image107.png"/><Relationship Id="rId302" Type="http://schemas.openxmlformats.org/officeDocument/2006/relationships/image" Target="media/image268.png"/><Relationship Id="rId344" Type="http://schemas.openxmlformats.org/officeDocument/2006/relationships/image" Target="media/image310.png"/><Relationship Id="rId41" Type="http://schemas.openxmlformats.org/officeDocument/2006/relationships/image" Target="media/image12.emf"/><Relationship Id="rId83" Type="http://schemas.openxmlformats.org/officeDocument/2006/relationships/image" Target="media/image53.png"/><Relationship Id="rId179" Type="http://schemas.openxmlformats.org/officeDocument/2006/relationships/image" Target="media/image147.png"/><Relationship Id="rId386" Type="http://schemas.openxmlformats.org/officeDocument/2006/relationships/image" Target="media/image350.png"/><Relationship Id="rId551" Type="http://schemas.openxmlformats.org/officeDocument/2006/relationships/image" Target="media/image515.png"/><Relationship Id="rId593" Type="http://schemas.openxmlformats.org/officeDocument/2006/relationships/image" Target="media/image557.png"/><Relationship Id="rId607" Type="http://schemas.openxmlformats.org/officeDocument/2006/relationships/image" Target="media/image571.png"/><Relationship Id="rId649" Type="http://schemas.openxmlformats.org/officeDocument/2006/relationships/theme" Target="theme/theme1.xml"/><Relationship Id="rId190" Type="http://schemas.openxmlformats.org/officeDocument/2006/relationships/image" Target="media/image158.png"/><Relationship Id="rId204" Type="http://schemas.openxmlformats.org/officeDocument/2006/relationships/image" Target="media/image170.png"/><Relationship Id="rId246" Type="http://schemas.openxmlformats.org/officeDocument/2006/relationships/image" Target="media/image212.png"/><Relationship Id="rId288" Type="http://schemas.openxmlformats.org/officeDocument/2006/relationships/image" Target="media/image254.png"/><Relationship Id="rId411" Type="http://schemas.openxmlformats.org/officeDocument/2006/relationships/image" Target="media/image375.png"/><Relationship Id="rId453" Type="http://schemas.openxmlformats.org/officeDocument/2006/relationships/image" Target="media/image417.png"/><Relationship Id="rId509" Type="http://schemas.openxmlformats.org/officeDocument/2006/relationships/image" Target="media/image473.png"/><Relationship Id="rId106" Type="http://schemas.openxmlformats.org/officeDocument/2006/relationships/image" Target="media/image76.png"/><Relationship Id="rId313" Type="http://schemas.openxmlformats.org/officeDocument/2006/relationships/image" Target="media/image279.png"/><Relationship Id="rId495" Type="http://schemas.openxmlformats.org/officeDocument/2006/relationships/image" Target="media/image459.png"/><Relationship Id="rId10" Type="http://schemas.openxmlformats.org/officeDocument/2006/relationships/header" Target="header2.xml"/><Relationship Id="rId52" Type="http://schemas.openxmlformats.org/officeDocument/2006/relationships/image" Target="media/image22.png"/><Relationship Id="rId94" Type="http://schemas.openxmlformats.org/officeDocument/2006/relationships/image" Target="media/image64.png"/><Relationship Id="rId148" Type="http://schemas.openxmlformats.org/officeDocument/2006/relationships/image" Target="media/image118.png"/><Relationship Id="rId355" Type="http://schemas.openxmlformats.org/officeDocument/2006/relationships/hyperlink" Target="https://zakupki.gov.ru" TargetMode="External"/><Relationship Id="rId397" Type="http://schemas.openxmlformats.org/officeDocument/2006/relationships/image" Target="media/image361.png"/><Relationship Id="rId520" Type="http://schemas.openxmlformats.org/officeDocument/2006/relationships/image" Target="media/image484.png"/><Relationship Id="rId562" Type="http://schemas.openxmlformats.org/officeDocument/2006/relationships/image" Target="media/image526.png"/><Relationship Id="rId618" Type="http://schemas.openxmlformats.org/officeDocument/2006/relationships/image" Target="media/image582.png"/><Relationship Id="rId215" Type="http://schemas.openxmlformats.org/officeDocument/2006/relationships/image" Target="media/image181.png"/><Relationship Id="rId257" Type="http://schemas.openxmlformats.org/officeDocument/2006/relationships/image" Target="media/image223.png"/><Relationship Id="rId422" Type="http://schemas.openxmlformats.org/officeDocument/2006/relationships/image" Target="media/image386.png"/><Relationship Id="rId464" Type="http://schemas.openxmlformats.org/officeDocument/2006/relationships/image" Target="media/image428.png"/><Relationship Id="rId299" Type="http://schemas.openxmlformats.org/officeDocument/2006/relationships/image" Target="media/image265.png"/><Relationship Id="rId63" Type="http://schemas.openxmlformats.org/officeDocument/2006/relationships/image" Target="media/image33.png"/><Relationship Id="rId159" Type="http://schemas.openxmlformats.org/officeDocument/2006/relationships/image" Target="media/image129.png"/><Relationship Id="rId366" Type="http://schemas.openxmlformats.org/officeDocument/2006/relationships/image" Target="media/image330.png"/><Relationship Id="rId573" Type="http://schemas.openxmlformats.org/officeDocument/2006/relationships/image" Target="media/image537.png"/><Relationship Id="rId226" Type="http://schemas.openxmlformats.org/officeDocument/2006/relationships/image" Target="media/image192.png"/><Relationship Id="rId433" Type="http://schemas.openxmlformats.org/officeDocument/2006/relationships/image" Target="media/image397.png"/><Relationship Id="rId640" Type="http://schemas.openxmlformats.org/officeDocument/2006/relationships/image" Target="media/image604.png"/><Relationship Id="rId74" Type="http://schemas.openxmlformats.org/officeDocument/2006/relationships/image" Target="media/image44.png"/><Relationship Id="rId377" Type="http://schemas.openxmlformats.org/officeDocument/2006/relationships/image" Target="media/image341.png"/><Relationship Id="rId500" Type="http://schemas.openxmlformats.org/officeDocument/2006/relationships/image" Target="media/image464.png"/><Relationship Id="rId584" Type="http://schemas.openxmlformats.org/officeDocument/2006/relationships/image" Target="media/image548.png"/><Relationship Id="rId5" Type="http://schemas.openxmlformats.org/officeDocument/2006/relationships/settings" Target="settings.xml"/><Relationship Id="rId237" Type="http://schemas.openxmlformats.org/officeDocument/2006/relationships/image" Target="media/image203.png"/><Relationship Id="rId444" Type="http://schemas.openxmlformats.org/officeDocument/2006/relationships/image" Target="media/image408.png"/><Relationship Id="rId290" Type="http://schemas.openxmlformats.org/officeDocument/2006/relationships/image" Target="media/image256.png"/><Relationship Id="rId304" Type="http://schemas.openxmlformats.org/officeDocument/2006/relationships/image" Target="media/image270.png"/><Relationship Id="rId388" Type="http://schemas.openxmlformats.org/officeDocument/2006/relationships/image" Target="media/image352.png"/><Relationship Id="rId511" Type="http://schemas.openxmlformats.org/officeDocument/2006/relationships/image" Target="media/image475.png"/><Relationship Id="rId609" Type="http://schemas.openxmlformats.org/officeDocument/2006/relationships/image" Target="media/image573.png"/><Relationship Id="rId85" Type="http://schemas.openxmlformats.org/officeDocument/2006/relationships/image" Target="media/image55.png"/><Relationship Id="rId150" Type="http://schemas.openxmlformats.org/officeDocument/2006/relationships/image" Target="media/image120.png"/><Relationship Id="rId595" Type="http://schemas.openxmlformats.org/officeDocument/2006/relationships/image" Target="media/image559.png"/><Relationship Id="rId248" Type="http://schemas.openxmlformats.org/officeDocument/2006/relationships/image" Target="media/image214.png"/><Relationship Id="rId455" Type="http://schemas.openxmlformats.org/officeDocument/2006/relationships/image" Target="media/image419.png"/><Relationship Id="rId12" Type="http://schemas.openxmlformats.org/officeDocument/2006/relationships/hyperlink" Target="https://roskazna.gov.ru/upload/iblock/ae6/Rukovodstvo-rabotnikov-KRKS.DOCX" TargetMode="External"/><Relationship Id="rId108" Type="http://schemas.openxmlformats.org/officeDocument/2006/relationships/image" Target="media/image78.png"/><Relationship Id="rId315" Type="http://schemas.openxmlformats.org/officeDocument/2006/relationships/image" Target="media/image281.jpeg"/><Relationship Id="rId522" Type="http://schemas.openxmlformats.org/officeDocument/2006/relationships/image" Target="media/image486.png"/><Relationship Id="rId96" Type="http://schemas.openxmlformats.org/officeDocument/2006/relationships/image" Target="media/image66.png"/><Relationship Id="rId161" Type="http://schemas.openxmlformats.org/officeDocument/2006/relationships/header" Target="header7.xml"/><Relationship Id="rId399" Type="http://schemas.openxmlformats.org/officeDocument/2006/relationships/image" Target="media/image363.png"/><Relationship Id="rId259" Type="http://schemas.openxmlformats.org/officeDocument/2006/relationships/image" Target="media/image225.png"/><Relationship Id="rId466" Type="http://schemas.openxmlformats.org/officeDocument/2006/relationships/image" Target="media/image430.png"/><Relationship Id="rId23" Type="http://schemas.openxmlformats.org/officeDocument/2006/relationships/image" Target="media/image7.png"/><Relationship Id="rId119" Type="http://schemas.openxmlformats.org/officeDocument/2006/relationships/image" Target="media/image89.png"/><Relationship Id="rId326" Type="http://schemas.openxmlformats.org/officeDocument/2006/relationships/image" Target="media/image292.png"/><Relationship Id="rId533" Type="http://schemas.openxmlformats.org/officeDocument/2006/relationships/image" Target="media/image497.png"/><Relationship Id="rId172" Type="http://schemas.openxmlformats.org/officeDocument/2006/relationships/image" Target="media/image140.png"/><Relationship Id="rId477" Type="http://schemas.openxmlformats.org/officeDocument/2006/relationships/image" Target="media/image441.png"/><Relationship Id="rId600" Type="http://schemas.openxmlformats.org/officeDocument/2006/relationships/image" Target="media/image564.png"/><Relationship Id="rId337" Type="http://schemas.openxmlformats.org/officeDocument/2006/relationships/image" Target="media/image303.png"/><Relationship Id="rId34" Type="http://schemas.openxmlformats.org/officeDocument/2006/relationships/oleObject" Target="embeddings/oleObject3.bin"/><Relationship Id="rId544" Type="http://schemas.openxmlformats.org/officeDocument/2006/relationships/image" Target="media/image508.png"/><Relationship Id="rId183" Type="http://schemas.openxmlformats.org/officeDocument/2006/relationships/image" Target="media/image151.png"/><Relationship Id="rId390" Type="http://schemas.openxmlformats.org/officeDocument/2006/relationships/image" Target="media/image354.png"/><Relationship Id="rId404" Type="http://schemas.openxmlformats.org/officeDocument/2006/relationships/image" Target="media/image368.png"/><Relationship Id="rId611" Type="http://schemas.openxmlformats.org/officeDocument/2006/relationships/image" Target="media/image575.png"/><Relationship Id="rId250" Type="http://schemas.openxmlformats.org/officeDocument/2006/relationships/image" Target="media/image216.png"/><Relationship Id="rId488" Type="http://schemas.openxmlformats.org/officeDocument/2006/relationships/image" Target="media/image452.png"/><Relationship Id="rId45" Type="http://schemas.openxmlformats.org/officeDocument/2006/relationships/image" Target="media/image15.png"/><Relationship Id="rId110" Type="http://schemas.openxmlformats.org/officeDocument/2006/relationships/image" Target="media/image80.png"/><Relationship Id="rId348" Type="http://schemas.openxmlformats.org/officeDocument/2006/relationships/image" Target="media/image314.png"/><Relationship Id="rId555" Type="http://schemas.openxmlformats.org/officeDocument/2006/relationships/image" Target="media/image519.png"/><Relationship Id="rId194" Type="http://schemas.openxmlformats.org/officeDocument/2006/relationships/image" Target="media/image162.png"/><Relationship Id="rId208" Type="http://schemas.openxmlformats.org/officeDocument/2006/relationships/image" Target="media/image174.png"/><Relationship Id="rId415" Type="http://schemas.openxmlformats.org/officeDocument/2006/relationships/image" Target="media/image379.png"/><Relationship Id="rId622" Type="http://schemas.openxmlformats.org/officeDocument/2006/relationships/image" Target="media/image586.png"/><Relationship Id="rId261" Type="http://schemas.openxmlformats.org/officeDocument/2006/relationships/image" Target="media/image227.png"/><Relationship Id="rId499" Type="http://schemas.openxmlformats.org/officeDocument/2006/relationships/image" Target="media/image463.png"/><Relationship Id="rId56" Type="http://schemas.openxmlformats.org/officeDocument/2006/relationships/image" Target="media/image26.png"/><Relationship Id="rId359" Type="http://schemas.openxmlformats.org/officeDocument/2006/relationships/image" Target="media/image323.png"/><Relationship Id="rId566" Type="http://schemas.openxmlformats.org/officeDocument/2006/relationships/image" Target="media/image530.png"/><Relationship Id="rId121" Type="http://schemas.openxmlformats.org/officeDocument/2006/relationships/image" Target="media/image91.png"/><Relationship Id="rId219" Type="http://schemas.openxmlformats.org/officeDocument/2006/relationships/image" Target="media/image185.png"/><Relationship Id="rId426" Type="http://schemas.openxmlformats.org/officeDocument/2006/relationships/image" Target="media/image390.png"/><Relationship Id="rId633" Type="http://schemas.openxmlformats.org/officeDocument/2006/relationships/image" Target="media/image597.png"/><Relationship Id="rId67" Type="http://schemas.openxmlformats.org/officeDocument/2006/relationships/image" Target="media/image37.png"/><Relationship Id="rId272" Type="http://schemas.openxmlformats.org/officeDocument/2006/relationships/image" Target="media/image238.png"/><Relationship Id="rId577" Type="http://schemas.openxmlformats.org/officeDocument/2006/relationships/image" Target="media/image541.png"/><Relationship Id="rId132" Type="http://schemas.openxmlformats.org/officeDocument/2006/relationships/image" Target="media/image102.png"/><Relationship Id="rId437" Type="http://schemas.openxmlformats.org/officeDocument/2006/relationships/image" Target="media/image401.png"/><Relationship Id="rId644" Type="http://schemas.openxmlformats.org/officeDocument/2006/relationships/image" Target="media/image608.png"/><Relationship Id="rId283" Type="http://schemas.openxmlformats.org/officeDocument/2006/relationships/image" Target="media/image249.png"/><Relationship Id="rId490" Type="http://schemas.openxmlformats.org/officeDocument/2006/relationships/image" Target="media/image454.png"/><Relationship Id="rId504" Type="http://schemas.openxmlformats.org/officeDocument/2006/relationships/image" Target="media/image468.png"/><Relationship Id="rId78" Type="http://schemas.openxmlformats.org/officeDocument/2006/relationships/image" Target="media/image48.png"/><Relationship Id="rId143" Type="http://schemas.openxmlformats.org/officeDocument/2006/relationships/image" Target="media/image113.png"/><Relationship Id="rId350" Type="http://schemas.openxmlformats.org/officeDocument/2006/relationships/image" Target="media/image316.png"/><Relationship Id="rId588" Type="http://schemas.openxmlformats.org/officeDocument/2006/relationships/image" Target="media/image552.png"/><Relationship Id="rId9" Type="http://schemas.openxmlformats.org/officeDocument/2006/relationships/header" Target="header1.xml"/><Relationship Id="rId210" Type="http://schemas.openxmlformats.org/officeDocument/2006/relationships/image" Target="media/image176.png"/><Relationship Id="rId448" Type="http://schemas.openxmlformats.org/officeDocument/2006/relationships/image" Target="media/image412.png"/><Relationship Id="rId294" Type="http://schemas.openxmlformats.org/officeDocument/2006/relationships/image" Target="media/image260.png"/><Relationship Id="rId308" Type="http://schemas.openxmlformats.org/officeDocument/2006/relationships/image" Target="media/image274.png"/><Relationship Id="rId515" Type="http://schemas.openxmlformats.org/officeDocument/2006/relationships/image" Target="media/image479.png"/><Relationship Id="rId89" Type="http://schemas.openxmlformats.org/officeDocument/2006/relationships/image" Target="media/image59.png"/><Relationship Id="rId154" Type="http://schemas.openxmlformats.org/officeDocument/2006/relationships/image" Target="media/image124.png"/><Relationship Id="rId361" Type="http://schemas.openxmlformats.org/officeDocument/2006/relationships/image" Target="media/image325.png"/><Relationship Id="rId599" Type="http://schemas.openxmlformats.org/officeDocument/2006/relationships/image" Target="media/image563.png"/><Relationship Id="rId459" Type="http://schemas.openxmlformats.org/officeDocument/2006/relationships/image" Target="media/image42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054;&#1071;.&#1096;&#1072;&#1073;&#1083;&#1086;&#1085;.&#1054;&#1087;&#1080;&#1089;&#1072;&#1085;&#1080;&#1077;%20&#1103;&#1079;&#1099;&#1082;&#1072;%20&#1088;&#1077;&#1076;.%20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49DC2-1A0E-4F68-BBC9-A62C43DE9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ОЯ.шаблон.Описание языка ред. 1,0.dotx</Template>
  <TotalTime>11</TotalTime>
  <Pages>909</Pages>
  <Words>171249</Words>
  <Characters>976120</Characters>
  <Application>Microsoft Office Word</Application>
  <DocSecurity>0</DocSecurity>
  <Lines>8134</Lines>
  <Paragraphs>2290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gromovaov</dc:creator>
  <cp:lastModifiedBy>gromovaov</cp:lastModifiedBy>
  <cp:revision>8</cp:revision>
  <cp:lastPrinted>2017-11-01T08:48:00Z</cp:lastPrinted>
  <dcterms:created xsi:type="dcterms:W3CDTF">2022-11-14T07:24:00Z</dcterms:created>
  <dcterms:modified xsi:type="dcterms:W3CDTF">2022-11-17T10:28:00Z</dcterms:modified>
</cp:coreProperties>
</file>