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28.09.2018</w:t>
            </w:r>
          </w:p>
        </w:tc>
      </w:tr>
      <w:tr w:rsidR="00323E66" w:rsidRPr="00CC5818" w:rsidTr="00AF31A4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2018273</w:t>
            </w:r>
          </w:p>
        </w:tc>
      </w:tr>
      <w:tr w:rsidR="00323E66" w:rsidRPr="00CC5818" w:rsidTr="00AF31A4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F31A4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F31A4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F31A4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AF31A4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42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01.10.2018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12.11.2018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F31A4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F31A4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F31A4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F31A4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AF31A4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AF31A4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AF31A4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F31A4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F31A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F31A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F31A4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AF31A4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</w:t>
      </w:r>
      <w:r>
        <w:lastRenderedPageBreak/>
        <w:t>значения ставки RUONIA, в расчет принимается последнее из опубликованных значений ставки RUONIA.</w:t>
      </w:r>
    </w:p>
    <w:p w:rsidR="00A52B20" w:rsidRPr="00401125" w:rsidRDefault="00AF31A4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1A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AF31A4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2018-09-28T14:05:00Z</dcterms:created>
  <dcterms:modified xsi:type="dcterms:W3CDTF">2018-09-28T14:05:00Z</dcterms:modified>
</cp:coreProperties>
</file>