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44AD" w:rsidRPr="00AC44AD" w:rsidRDefault="00AC44AD" w:rsidP="00AC44AD">
      <w:pPr>
        <w:autoSpaceDE w:val="0"/>
        <w:autoSpaceDN w:val="0"/>
        <w:adjustRightInd w:val="0"/>
        <w:spacing w:after="0" w:line="240" w:lineRule="auto"/>
        <w:contextualSpacing/>
        <w:jc w:val="center"/>
        <w:outlineLvl w:val="0"/>
        <w:rPr>
          <w:rFonts w:ascii="Times New Roman" w:hAnsi="Times New Roman" w:cs="Times New Roman"/>
          <w:b/>
          <w:bCs/>
          <w:sz w:val="28"/>
          <w:szCs w:val="28"/>
        </w:rPr>
      </w:pPr>
      <w:r w:rsidRPr="00AC44AD">
        <w:rPr>
          <w:rFonts w:ascii="Times New Roman" w:hAnsi="Times New Roman" w:cs="Times New Roman"/>
          <w:b/>
          <w:bCs/>
          <w:sz w:val="28"/>
          <w:szCs w:val="28"/>
        </w:rPr>
        <w:t>ПРАВИТЕЛЬСТВО РОССИЙСКОЙ ФЕДЕРАЦИИ</w:t>
      </w:r>
    </w:p>
    <w:p w:rsidR="00AC44AD" w:rsidRPr="00AC44AD" w:rsidRDefault="00AC44AD" w:rsidP="00AC44AD">
      <w:pPr>
        <w:autoSpaceDE w:val="0"/>
        <w:autoSpaceDN w:val="0"/>
        <w:adjustRightInd w:val="0"/>
        <w:spacing w:after="0" w:line="240" w:lineRule="auto"/>
        <w:contextualSpacing/>
        <w:jc w:val="center"/>
        <w:rPr>
          <w:rFonts w:ascii="Times New Roman" w:hAnsi="Times New Roman" w:cs="Times New Roman"/>
          <w:b/>
          <w:bCs/>
          <w:sz w:val="28"/>
          <w:szCs w:val="28"/>
        </w:rPr>
      </w:pPr>
    </w:p>
    <w:p w:rsidR="00AC44AD" w:rsidRPr="00AC44AD" w:rsidRDefault="00AC44AD" w:rsidP="00AC44AD">
      <w:pPr>
        <w:autoSpaceDE w:val="0"/>
        <w:autoSpaceDN w:val="0"/>
        <w:adjustRightInd w:val="0"/>
        <w:spacing w:after="0" w:line="240" w:lineRule="auto"/>
        <w:contextualSpacing/>
        <w:jc w:val="center"/>
        <w:rPr>
          <w:rFonts w:ascii="Times New Roman" w:hAnsi="Times New Roman" w:cs="Times New Roman"/>
          <w:b/>
          <w:bCs/>
          <w:sz w:val="28"/>
          <w:szCs w:val="28"/>
        </w:rPr>
      </w:pPr>
      <w:r w:rsidRPr="00AC44AD">
        <w:rPr>
          <w:rFonts w:ascii="Times New Roman" w:hAnsi="Times New Roman" w:cs="Times New Roman"/>
          <w:b/>
          <w:bCs/>
          <w:sz w:val="28"/>
          <w:szCs w:val="28"/>
        </w:rPr>
        <w:t>ПОСТАНОВЛЕНИЕ</w:t>
      </w:r>
    </w:p>
    <w:p w:rsidR="00AC44AD" w:rsidRPr="00AC44AD" w:rsidRDefault="00AC44AD" w:rsidP="00AC44AD">
      <w:pPr>
        <w:autoSpaceDE w:val="0"/>
        <w:autoSpaceDN w:val="0"/>
        <w:adjustRightInd w:val="0"/>
        <w:spacing w:after="0" w:line="240" w:lineRule="auto"/>
        <w:contextualSpacing/>
        <w:jc w:val="center"/>
        <w:rPr>
          <w:rFonts w:ascii="Times New Roman" w:hAnsi="Times New Roman" w:cs="Times New Roman"/>
          <w:b/>
          <w:bCs/>
          <w:sz w:val="28"/>
          <w:szCs w:val="28"/>
        </w:rPr>
      </w:pPr>
      <w:r w:rsidRPr="00AC44AD">
        <w:rPr>
          <w:rFonts w:ascii="Times New Roman" w:hAnsi="Times New Roman" w:cs="Times New Roman"/>
          <w:b/>
          <w:bCs/>
          <w:sz w:val="28"/>
          <w:szCs w:val="28"/>
        </w:rPr>
        <w:t>от 25 декабря 2021 г. N 2479</w:t>
      </w:r>
    </w:p>
    <w:p w:rsidR="00AC44AD" w:rsidRPr="00AC44AD" w:rsidRDefault="00AC44AD" w:rsidP="00AC44AD">
      <w:pPr>
        <w:autoSpaceDE w:val="0"/>
        <w:autoSpaceDN w:val="0"/>
        <w:adjustRightInd w:val="0"/>
        <w:spacing w:after="0" w:line="240" w:lineRule="auto"/>
        <w:contextualSpacing/>
        <w:jc w:val="center"/>
        <w:rPr>
          <w:rFonts w:ascii="Times New Roman" w:hAnsi="Times New Roman" w:cs="Times New Roman"/>
          <w:b/>
          <w:bCs/>
          <w:sz w:val="28"/>
          <w:szCs w:val="28"/>
        </w:rPr>
      </w:pPr>
    </w:p>
    <w:p w:rsidR="00AC44AD" w:rsidRPr="00AC44AD" w:rsidRDefault="00AC44AD" w:rsidP="00AC44AD">
      <w:pPr>
        <w:autoSpaceDE w:val="0"/>
        <w:autoSpaceDN w:val="0"/>
        <w:adjustRightInd w:val="0"/>
        <w:spacing w:after="0" w:line="240" w:lineRule="auto"/>
        <w:contextualSpacing/>
        <w:jc w:val="center"/>
        <w:rPr>
          <w:rFonts w:ascii="Times New Roman" w:hAnsi="Times New Roman" w:cs="Times New Roman"/>
          <w:b/>
          <w:bCs/>
          <w:sz w:val="28"/>
          <w:szCs w:val="28"/>
        </w:rPr>
      </w:pPr>
      <w:r w:rsidRPr="00AC44AD">
        <w:rPr>
          <w:rFonts w:ascii="Times New Roman" w:hAnsi="Times New Roman" w:cs="Times New Roman"/>
          <w:b/>
          <w:bCs/>
          <w:sz w:val="28"/>
          <w:szCs w:val="28"/>
        </w:rPr>
        <w:t>ОБ УТВЕРЖДЕНИИ ПРАВИЛ</w:t>
      </w:r>
    </w:p>
    <w:p w:rsidR="00AC44AD" w:rsidRPr="00AC44AD" w:rsidRDefault="00AC44AD" w:rsidP="00AC44AD">
      <w:pPr>
        <w:autoSpaceDE w:val="0"/>
        <w:autoSpaceDN w:val="0"/>
        <w:adjustRightInd w:val="0"/>
        <w:spacing w:after="0" w:line="240" w:lineRule="auto"/>
        <w:contextualSpacing/>
        <w:jc w:val="center"/>
        <w:rPr>
          <w:rFonts w:ascii="Times New Roman" w:hAnsi="Times New Roman" w:cs="Times New Roman"/>
          <w:b/>
          <w:bCs/>
          <w:sz w:val="28"/>
          <w:szCs w:val="28"/>
        </w:rPr>
      </w:pPr>
      <w:r w:rsidRPr="00AC44AD">
        <w:rPr>
          <w:rFonts w:ascii="Times New Roman" w:hAnsi="Times New Roman" w:cs="Times New Roman"/>
          <w:b/>
          <w:bCs/>
          <w:sz w:val="28"/>
          <w:szCs w:val="28"/>
        </w:rPr>
        <w:t>ВЫДАЧИ (ПЕРЕВОДА, ОТЗЫВА) КАЗНАЧЕЙСКОГО ОБЕСПЕЧЕНИЯ</w:t>
      </w:r>
    </w:p>
    <w:p w:rsidR="00AC44AD" w:rsidRPr="00AC44AD" w:rsidRDefault="00AC44AD" w:rsidP="00AC44AD">
      <w:pPr>
        <w:autoSpaceDE w:val="0"/>
        <w:autoSpaceDN w:val="0"/>
        <w:adjustRightInd w:val="0"/>
        <w:spacing w:after="0" w:line="240" w:lineRule="auto"/>
        <w:contextualSpacing/>
        <w:jc w:val="center"/>
        <w:rPr>
          <w:rFonts w:ascii="Times New Roman" w:hAnsi="Times New Roman" w:cs="Times New Roman"/>
          <w:b/>
          <w:bCs/>
          <w:sz w:val="28"/>
          <w:szCs w:val="28"/>
        </w:rPr>
      </w:pPr>
      <w:r w:rsidRPr="00AC44AD">
        <w:rPr>
          <w:rFonts w:ascii="Times New Roman" w:hAnsi="Times New Roman" w:cs="Times New Roman"/>
          <w:b/>
          <w:bCs/>
          <w:sz w:val="28"/>
          <w:szCs w:val="28"/>
        </w:rPr>
        <w:t>ОБЯЗАТЕЛЬСТВ И СРОКОВ ПРОВЕДЕНИЯ ОРГАНАМИ ФЕДЕРАЛЬНОГО</w:t>
      </w:r>
    </w:p>
    <w:p w:rsidR="00AC44AD" w:rsidRPr="00AC44AD" w:rsidRDefault="00AC44AD" w:rsidP="00AC44AD">
      <w:pPr>
        <w:autoSpaceDE w:val="0"/>
        <w:autoSpaceDN w:val="0"/>
        <w:adjustRightInd w:val="0"/>
        <w:spacing w:after="0" w:line="240" w:lineRule="auto"/>
        <w:contextualSpacing/>
        <w:jc w:val="center"/>
        <w:rPr>
          <w:rFonts w:ascii="Times New Roman" w:hAnsi="Times New Roman" w:cs="Times New Roman"/>
          <w:b/>
          <w:bCs/>
          <w:sz w:val="28"/>
          <w:szCs w:val="28"/>
        </w:rPr>
      </w:pPr>
      <w:r w:rsidRPr="00AC44AD">
        <w:rPr>
          <w:rFonts w:ascii="Times New Roman" w:hAnsi="Times New Roman" w:cs="Times New Roman"/>
          <w:b/>
          <w:bCs/>
          <w:sz w:val="28"/>
          <w:szCs w:val="28"/>
        </w:rPr>
        <w:t>КАЗНАЧЕЙСТВА ОПЕРАЦИЙ С КАЗНАЧЕЙСКИМ</w:t>
      </w:r>
    </w:p>
    <w:p w:rsidR="00AC44AD" w:rsidRPr="00AC44AD" w:rsidRDefault="00AC44AD" w:rsidP="00AC44AD">
      <w:pPr>
        <w:autoSpaceDE w:val="0"/>
        <w:autoSpaceDN w:val="0"/>
        <w:adjustRightInd w:val="0"/>
        <w:spacing w:after="0" w:line="240" w:lineRule="auto"/>
        <w:contextualSpacing/>
        <w:jc w:val="center"/>
        <w:rPr>
          <w:rFonts w:ascii="Times New Roman" w:hAnsi="Times New Roman" w:cs="Times New Roman"/>
          <w:b/>
          <w:bCs/>
          <w:sz w:val="28"/>
          <w:szCs w:val="28"/>
        </w:rPr>
      </w:pPr>
      <w:r w:rsidRPr="00AC44AD">
        <w:rPr>
          <w:rFonts w:ascii="Times New Roman" w:hAnsi="Times New Roman" w:cs="Times New Roman"/>
          <w:b/>
          <w:bCs/>
          <w:sz w:val="28"/>
          <w:szCs w:val="28"/>
        </w:rPr>
        <w:t>ОБЕСПЕЧЕНИЕМ ОБЯЗАТЕЛЬСТВ</w:t>
      </w:r>
    </w:p>
    <w:p w:rsidR="00AC44AD" w:rsidRPr="00AC44AD" w:rsidRDefault="00AC44AD" w:rsidP="00AC44AD">
      <w:pPr>
        <w:autoSpaceDE w:val="0"/>
        <w:autoSpaceDN w:val="0"/>
        <w:adjustRightInd w:val="0"/>
        <w:spacing w:after="0" w:line="240" w:lineRule="auto"/>
        <w:contextualSpacing/>
        <w:rPr>
          <w:rFonts w:ascii="Times New Roman" w:hAnsi="Times New Roman" w:cs="Times New Roman"/>
          <w:sz w:val="28"/>
          <w:szCs w:val="28"/>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AC44AD" w:rsidRPr="00AC44AD">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C44AD" w:rsidRPr="00AC44AD" w:rsidRDefault="00AC44AD" w:rsidP="00AC44AD">
            <w:pPr>
              <w:autoSpaceDE w:val="0"/>
              <w:autoSpaceDN w:val="0"/>
              <w:adjustRightInd w:val="0"/>
              <w:spacing w:after="0" w:line="240" w:lineRule="auto"/>
              <w:contextualSpacing/>
              <w:rPr>
                <w:rFonts w:ascii="Times New Roman" w:hAnsi="Times New Roman" w:cs="Times New Roman"/>
                <w:sz w:val="28"/>
                <w:szCs w:val="28"/>
              </w:rPr>
            </w:pPr>
          </w:p>
        </w:tc>
        <w:tc>
          <w:tcPr>
            <w:tcW w:w="113" w:type="dxa"/>
            <w:shd w:val="clear" w:color="auto" w:fill="F4F3F8"/>
            <w:tcMar>
              <w:top w:w="0" w:type="dxa"/>
              <w:left w:w="0" w:type="dxa"/>
              <w:bottom w:w="0" w:type="dxa"/>
              <w:right w:w="0" w:type="dxa"/>
            </w:tcMar>
          </w:tcPr>
          <w:p w:rsidR="00AC44AD" w:rsidRPr="00AC44AD" w:rsidRDefault="00AC44AD" w:rsidP="00AC44AD">
            <w:pPr>
              <w:autoSpaceDE w:val="0"/>
              <w:autoSpaceDN w:val="0"/>
              <w:adjustRightInd w:val="0"/>
              <w:spacing w:after="0" w:line="240" w:lineRule="auto"/>
              <w:contextualSpacing/>
              <w:rPr>
                <w:rFonts w:ascii="Times New Roman" w:hAnsi="Times New Roman" w:cs="Times New Roman"/>
                <w:sz w:val="28"/>
                <w:szCs w:val="28"/>
              </w:rPr>
            </w:pPr>
          </w:p>
        </w:tc>
        <w:tc>
          <w:tcPr>
            <w:tcW w:w="0" w:type="auto"/>
            <w:shd w:val="clear" w:color="auto" w:fill="F4F3F8"/>
            <w:tcMar>
              <w:top w:w="113" w:type="dxa"/>
              <w:left w:w="0" w:type="dxa"/>
              <w:bottom w:w="113" w:type="dxa"/>
              <w:right w:w="0" w:type="dxa"/>
            </w:tcMar>
          </w:tcPr>
          <w:p w:rsidR="00AC44AD" w:rsidRPr="00AC44AD" w:rsidRDefault="00AC44AD" w:rsidP="00AC44AD">
            <w:pPr>
              <w:autoSpaceDE w:val="0"/>
              <w:autoSpaceDN w:val="0"/>
              <w:adjustRightInd w:val="0"/>
              <w:spacing w:after="0" w:line="240" w:lineRule="auto"/>
              <w:contextualSpacing/>
              <w:jc w:val="center"/>
              <w:rPr>
                <w:rFonts w:ascii="Times New Roman" w:hAnsi="Times New Roman" w:cs="Times New Roman"/>
                <w:sz w:val="28"/>
                <w:szCs w:val="28"/>
              </w:rPr>
            </w:pPr>
            <w:r w:rsidRPr="00AC44AD">
              <w:rPr>
                <w:rFonts w:ascii="Times New Roman" w:hAnsi="Times New Roman" w:cs="Times New Roman"/>
                <w:sz w:val="28"/>
                <w:szCs w:val="28"/>
              </w:rPr>
              <w:t>Список изменяющих документов</w:t>
            </w:r>
          </w:p>
          <w:p w:rsidR="00AC44AD" w:rsidRPr="00AC44AD" w:rsidRDefault="00AC44AD" w:rsidP="00AC44AD">
            <w:pPr>
              <w:autoSpaceDE w:val="0"/>
              <w:autoSpaceDN w:val="0"/>
              <w:adjustRightInd w:val="0"/>
              <w:spacing w:after="0" w:line="240" w:lineRule="auto"/>
              <w:contextualSpacing/>
              <w:jc w:val="center"/>
              <w:rPr>
                <w:rFonts w:ascii="Times New Roman" w:hAnsi="Times New Roman" w:cs="Times New Roman"/>
                <w:sz w:val="28"/>
                <w:szCs w:val="28"/>
              </w:rPr>
            </w:pPr>
            <w:r w:rsidRPr="00AC44AD">
              <w:rPr>
                <w:rFonts w:ascii="Times New Roman" w:hAnsi="Times New Roman" w:cs="Times New Roman"/>
                <w:sz w:val="28"/>
                <w:szCs w:val="28"/>
              </w:rPr>
              <w:t xml:space="preserve">(в ред. </w:t>
            </w:r>
            <w:hyperlink r:id="rId4" w:history="1">
              <w:r w:rsidRPr="00AC44AD">
                <w:rPr>
                  <w:rFonts w:ascii="Times New Roman" w:hAnsi="Times New Roman" w:cs="Times New Roman"/>
                  <w:sz w:val="28"/>
                  <w:szCs w:val="28"/>
                </w:rPr>
                <w:t>Постановления</w:t>
              </w:r>
            </w:hyperlink>
            <w:r w:rsidRPr="00AC44AD">
              <w:rPr>
                <w:rFonts w:ascii="Times New Roman" w:hAnsi="Times New Roman" w:cs="Times New Roman"/>
                <w:sz w:val="28"/>
                <w:szCs w:val="28"/>
              </w:rPr>
              <w:t xml:space="preserve"> Правительства РФ от 26.03.2022 N 481)</w:t>
            </w:r>
          </w:p>
        </w:tc>
        <w:tc>
          <w:tcPr>
            <w:tcW w:w="113" w:type="dxa"/>
            <w:shd w:val="clear" w:color="auto" w:fill="F4F3F8"/>
            <w:tcMar>
              <w:top w:w="0" w:type="dxa"/>
              <w:left w:w="0" w:type="dxa"/>
              <w:bottom w:w="0" w:type="dxa"/>
              <w:right w:w="0" w:type="dxa"/>
            </w:tcMar>
          </w:tcPr>
          <w:p w:rsidR="00AC44AD" w:rsidRPr="00AC44AD" w:rsidRDefault="00AC44AD" w:rsidP="00AC44AD">
            <w:pPr>
              <w:autoSpaceDE w:val="0"/>
              <w:autoSpaceDN w:val="0"/>
              <w:adjustRightInd w:val="0"/>
              <w:spacing w:after="0" w:line="240" w:lineRule="auto"/>
              <w:contextualSpacing/>
              <w:jc w:val="center"/>
              <w:rPr>
                <w:rFonts w:ascii="Times New Roman" w:hAnsi="Times New Roman" w:cs="Times New Roman"/>
                <w:sz w:val="28"/>
                <w:szCs w:val="28"/>
              </w:rPr>
            </w:pPr>
          </w:p>
        </w:tc>
      </w:tr>
    </w:tbl>
    <w:p w:rsidR="00AC44AD" w:rsidRPr="00AC44AD" w:rsidRDefault="00AC44AD" w:rsidP="00AC44AD">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AC44AD" w:rsidRPr="00AC44AD" w:rsidRDefault="00AC44AD" w:rsidP="00AC44AD">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t xml:space="preserve">В соответствии со </w:t>
      </w:r>
      <w:hyperlink r:id="rId5" w:history="1">
        <w:r w:rsidRPr="00AC44AD">
          <w:rPr>
            <w:rFonts w:ascii="Times New Roman" w:hAnsi="Times New Roman" w:cs="Times New Roman"/>
            <w:sz w:val="28"/>
            <w:szCs w:val="28"/>
          </w:rPr>
          <w:t>статьей 242.22</w:t>
        </w:r>
      </w:hyperlink>
      <w:r w:rsidRPr="00AC44AD">
        <w:rPr>
          <w:rFonts w:ascii="Times New Roman" w:hAnsi="Times New Roman" w:cs="Times New Roman"/>
          <w:sz w:val="28"/>
          <w:szCs w:val="28"/>
        </w:rPr>
        <w:t xml:space="preserve"> Бюджетного кодекса Российской Федерации Правительство Российской Федерации постановляет:</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t xml:space="preserve">1. Утвердить прилагаемые </w:t>
      </w:r>
      <w:hyperlink w:anchor="Par30" w:history="1">
        <w:r w:rsidRPr="00AC44AD">
          <w:rPr>
            <w:rFonts w:ascii="Times New Roman" w:hAnsi="Times New Roman" w:cs="Times New Roman"/>
            <w:sz w:val="28"/>
            <w:szCs w:val="28"/>
          </w:rPr>
          <w:t>Правила</w:t>
        </w:r>
      </w:hyperlink>
      <w:r w:rsidRPr="00AC44AD">
        <w:rPr>
          <w:rFonts w:ascii="Times New Roman" w:hAnsi="Times New Roman" w:cs="Times New Roman"/>
          <w:sz w:val="28"/>
          <w:szCs w:val="28"/>
        </w:rPr>
        <w:t xml:space="preserve"> выдачи (перевода, отзыва) казначейского обеспечения обязательств и сроки проведения органами Федерального казначейства операций с казначейским обеспечением обязательств.</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t>2. Настоящее постановление вступает в силу с 1 января 2022 г.</w:t>
      </w:r>
    </w:p>
    <w:p w:rsidR="00AC44AD" w:rsidRPr="00AC44AD" w:rsidRDefault="00AC44AD" w:rsidP="00AC44AD">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AC44AD" w:rsidRPr="00AC44AD" w:rsidRDefault="00AC44AD" w:rsidP="00AC44AD">
      <w:pPr>
        <w:autoSpaceDE w:val="0"/>
        <w:autoSpaceDN w:val="0"/>
        <w:adjustRightInd w:val="0"/>
        <w:spacing w:after="0" w:line="240" w:lineRule="auto"/>
        <w:contextualSpacing/>
        <w:jc w:val="right"/>
        <w:rPr>
          <w:rFonts w:ascii="Times New Roman" w:hAnsi="Times New Roman" w:cs="Times New Roman"/>
          <w:sz w:val="28"/>
          <w:szCs w:val="28"/>
        </w:rPr>
      </w:pPr>
      <w:r w:rsidRPr="00AC44AD">
        <w:rPr>
          <w:rFonts w:ascii="Times New Roman" w:hAnsi="Times New Roman" w:cs="Times New Roman"/>
          <w:sz w:val="28"/>
          <w:szCs w:val="28"/>
        </w:rPr>
        <w:t>Председатель Правительства</w:t>
      </w:r>
    </w:p>
    <w:p w:rsidR="00AC44AD" w:rsidRPr="00AC44AD" w:rsidRDefault="00AC44AD" w:rsidP="00AC44AD">
      <w:pPr>
        <w:autoSpaceDE w:val="0"/>
        <w:autoSpaceDN w:val="0"/>
        <w:adjustRightInd w:val="0"/>
        <w:spacing w:after="0" w:line="240" w:lineRule="auto"/>
        <w:contextualSpacing/>
        <w:jc w:val="right"/>
        <w:rPr>
          <w:rFonts w:ascii="Times New Roman" w:hAnsi="Times New Roman" w:cs="Times New Roman"/>
          <w:sz w:val="28"/>
          <w:szCs w:val="28"/>
        </w:rPr>
      </w:pPr>
      <w:r w:rsidRPr="00AC44AD">
        <w:rPr>
          <w:rFonts w:ascii="Times New Roman" w:hAnsi="Times New Roman" w:cs="Times New Roman"/>
          <w:sz w:val="28"/>
          <w:szCs w:val="28"/>
        </w:rPr>
        <w:t>Российской Федерации</w:t>
      </w:r>
    </w:p>
    <w:p w:rsidR="00AC44AD" w:rsidRPr="00AC44AD" w:rsidRDefault="00AC44AD" w:rsidP="00AC44AD">
      <w:pPr>
        <w:autoSpaceDE w:val="0"/>
        <w:autoSpaceDN w:val="0"/>
        <w:adjustRightInd w:val="0"/>
        <w:spacing w:after="0" w:line="240" w:lineRule="auto"/>
        <w:contextualSpacing/>
        <w:jc w:val="right"/>
        <w:rPr>
          <w:rFonts w:ascii="Times New Roman" w:hAnsi="Times New Roman" w:cs="Times New Roman"/>
          <w:sz w:val="28"/>
          <w:szCs w:val="28"/>
        </w:rPr>
      </w:pPr>
      <w:r w:rsidRPr="00AC44AD">
        <w:rPr>
          <w:rFonts w:ascii="Times New Roman" w:hAnsi="Times New Roman" w:cs="Times New Roman"/>
          <w:sz w:val="28"/>
          <w:szCs w:val="28"/>
        </w:rPr>
        <w:t>М.МИШУСТИН</w:t>
      </w:r>
    </w:p>
    <w:p w:rsidR="00AC44AD" w:rsidRPr="00AC44AD" w:rsidRDefault="00AC44AD" w:rsidP="00AC44AD">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AC44AD" w:rsidRPr="00AC44AD" w:rsidRDefault="00AC44AD" w:rsidP="00AC44AD">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AC44AD" w:rsidRPr="00AC44AD" w:rsidRDefault="00AC44AD" w:rsidP="00AC44AD">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AC44AD" w:rsidRPr="00AC44AD" w:rsidRDefault="00AC44AD" w:rsidP="00AC44AD">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AC44AD" w:rsidRPr="00AC44AD" w:rsidRDefault="00AC44AD" w:rsidP="00AC44AD">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AC44AD" w:rsidRPr="00AC44AD" w:rsidRDefault="00AC44AD" w:rsidP="00AC44AD">
      <w:pPr>
        <w:autoSpaceDE w:val="0"/>
        <w:autoSpaceDN w:val="0"/>
        <w:adjustRightInd w:val="0"/>
        <w:spacing w:after="0" w:line="240" w:lineRule="auto"/>
        <w:contextualSpacing/>
        <w:jc w:val="right"/>
        <w:outlineLvl w:val="0"/>
        <w:rPr>
          <w:rFonts w:ascii="Times New Roman" w:hAnsi="Times New Roman" w:cs="Times New Roman"/>
          <w:sz w:val="28"/>
          <w:szCs w:val="28"/>
        </w:rPr>
      </w:pPr>
      <w:r w:rsidRPr="00AC44AD">
        <w:rPr>
          <w:rFonts w:ascii="Times New Roman" w:hAnsi="Times New Roman" w:cs="Times New Roman"/>
          <w:sz w:val="28"/>
          <w:szCs w:val="28"/>
        </w:rPr>
        <w:t>Утверждены</w:t>
      </w:r>
    </w:p>
    <w:p w:rsidR="00AC44AD" w:rsidRPr="00AC44AD" w:rsidRDefault="00AC44AD" w:rsidP="00AC44AD">
      <w:pPr>
        <w:autoSpaceDE w:val="0"/>
        <w:autoSpaceDN w:val="0"/>
        <w:adjustRightInd w:val="0"/>
        <w:spacing w:after="0" w:line="240" w:lineRule="auto"/>
        <w:contextualSpacing/>
        <w:jc w:val="right"/>
        <w:rPr>
          <w:rFonts w:ascii="Times New Roman" w:hAnsi="Times New Roman" w:cs="Times New Roman"/>
          <w:sz w:val="28"/>
          <w:szCs w:val="28"/>
        </w:rPr>
      </w:pPr>
      <w:r w:rsidRPr="00AC44AD">
        <w:rPr>
          <w:rFonts w:ascii="Times New Roman" w:hAnsi="Times New Roman" w:cs="Times New Roman"/>
          <w:sz w:val="28"/>
          <w:szCs w:val="28"/>
        </w:rPr>
        <w:t>постановлением Правительства</w:t>
      </w:r>
    </w:p>
    <w:p w:rsidR="00AC44AD" w:rsidRPr="00AC44AD" w:rsidRDefault="00AC44AD" w:rsidP="00AC44AD">
      <w:pPr>
        <w:autoSpaceDE w:val="0"/>
        <w:autoSpaceDN w:val="0"/>
        <w:adjustRightInd w:val="0"/>
        <w:spacing w:after="0" w:line="240" w:lineRule="auto"/>
        <w:contextualSpacing/>
        <w:jc w:val="right"/>
        <w:rPr>
          <w:rFonts w:ascii="Times New Roman" w:hAnsi="Times New Roman" w:cs="Times New Roman"/>
          <w:sz w:val="28"/>
          <w:szCs w:val="28"/>
        </w:rPr>
      </w:pPr>
      <w:r w:rsidRPr="00AC44AD">
        <w:rPr>
          <w:rFonts w:ascii="Times New Roman" w:hAnsi="Times New Roman" w:cs="Times New Roman"/>
          <w:sz w:val="28"/>
          <w:szCs w:val="28"/>
        </w:rPr>
        <w:t>Российской Федерации</w:t>
      </w:r>
    </w:p>
    <w:p w:rsidR="00AC44AD" w:rsidRPr="00AC44AD" w:rsidRDefault="00AC44AD" w:rsidP="00AC44AD">
      <w:pPr>
        <w:autoSpaceDE w:val="0"/>
        <w:autoSpaceDN w:val="0"/>
        <w:adjustRightInd w:val="0"/>
        <w:spacing w:after="0" w:line="240" w:lineRule="auto"/>
        <w:contextualSpacing/>
        <w:jc w:val="right"/>
        <w:rPr>
          <w:rFonts w:ascii="Times New Roman" w:hAnsi="Times New Roman" w:cs="Times New Roman"/>
          <w:sz w:val="28"/>
          <w:szCs w:val="28"/>
        </w:rPr>
      </w:pPr>
      <w:r w:rsidRPr="00AC44AD">
        <w:rPr>
          <w:rFonts w:ascii="Times New Roman" w:hAnsi="Times New Roman" w:cs="Times New Roman"/>
          <w:sz w:val="28"/>
          <w:szCs w:val="28"/>
        </w:rPr>
        <w:t>от 25 декабря 2021 г. N 2479</w:t>
      </w:r>
    </w:p>
    <w:p w:rsidR="00AC44AD" w:rsidRPr="00AC44AD" w:rsidRDefault="00AC44AD" w:rsidP="00AC44AD">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AC44AD" w:rsidRPr="00AC44AD" w:rsidRDefault="00AC44AD" w:rsidP="00AC44AD">
      <w:pPr>
        <w:autoSpaceDE w:val="0"/>
        <w:autoSpaceDN w:val="0"/>
        <w:adjustRightInd w:val="0"/>
        <w:spacing w:after="0" w:line="240" w:lineRule="auto"/>
        <w:contextualSpacing/>
        <w:jc w:val="center"/>
        <w:rPr>
          <w:rFonts w:ascii="Times New Roman" w:hAnsi="Times New Roman" w:cs="Times New Roman"/>
          <w:b/>
          <w:bCs/>
          <w:sz w:val="28"/>
          <w:szCs w:val="28"/>
        </w:rPr>
      </w:pPr>
      <w:bookmarkStart w:id="0" w:name="Par30"/>
      <w:bookmarkEnd w:id="0"/>
      <w:r w:rsidRPr="00AC44AD">
        <w:rPr>
          <w:rFonts w:ascii="Times New Roman" w:hAnsi="Times New Roman" w:cs="Times New Roman"/>
          <w:b/>
          <w:bCs/>
          <w:sz w:val="28"/>
          <w:szCs w:val="28"/>
        </w:rPr>
        <w:t>ПРАВИЛА</w:t>
      </w:r>
    </w:p>
    <w:p w:rsidR="00AC44AD" w:rsidRPr="00AC44AD" w:rsidRDefault="00AC44AD" w:rsidP="00AC44AD">
      <w:pPr>
        <w:autoSpaceDE w:val="0"/>
        <w:autoSpaceDN w:val="0"/>
        <w:adjustRightInd w:val="0"/>
        <w:spacing w:after="0" w:line="240" w:lineRule="auto"/>
        <w:contextualSpacing/>
        <w:jc w:val="center"/>
        <w:rPr>
          <w:rFonts w:ascii="Times New Roman" w:hAnsi="Times New Roman" w:cs="Times New Roman"/>
          <w:b/>
          <w:bCs/>
          <w:sz w:val="28"/>
          <w:szCs w:val="28"/>
        </w:rPr>
      </w:pPr>
      <w:r w:rsidRPr="00AC44AD">
        <w:rPr>
          <w:rFonts w:ascii="Times New Roman" w:hAnsi="Times New Roman" w:cs="Times New Roman"/>
          <w:b/>
          <w:bCs/>
          <w:sz w:val="28"/>
          <w:szCs w:val="28"/>
        </w:rPr>
        <w:t>ВЫДАЧИ (ПЕРЕВОДА, ОТЗЫВА) КАЗНАЧЕЙСКОГО ОБЕСПЕЧЕНИЯ</w:t>
      </w:r>
    </w:p>
    <w:p w:rsidR="00AC44AD" w:rsidRPr="00AC44AD" w:rsidRDefault="00AC44AD" w:rsidP="00AC44AD">
      <w:pPr>
        <w:autoSpaceDE w:val="0"/>
        <w:autoSpaceDN w:val="0"/>
        <w:adjustRightInd w:val="0"/>
        <w:spacing w:after="0" w:line="240" w:lineRule="auto"/>
        <w:contextualSpacing/>
        <w:jc w:val="center"/>
        <w:rPr>
          <w:rFonts w:ascii="Times New Roman" w:hAnsi="Times New Roman" w:cs="Times New Roman"/>
          <w:b/>
          <w:bCs/>
          <w:sz w:val="28"/>
          <w:szCs w:val="28"/>
        </w:rPr>
      </w:pPr>
      <w:r w:rsidRPr="00AC44AD">
        <w:rPr>
          <w:rFonts w:ascii="Times New Roman" w:hAnsi="Times New Roman" w:cs="Times New Roman"/>
          <w:b/>
          <w:bCs/>
          <w:sz w:val="28"/>
          <w:szCs w:val="28"/>
        </w:rPr>
        <w:t>ОБЯЗАТЕЛЬСТВ И СРОКИ ПРОВЕДЕНИЯ ОРГАНАМИ ФЕДЕРАЛЬНОГО</w:t>
      </w:r>
    </w:p>
    <w:p w:rsidR="00AC44AD" w:rsidRPr="00AC44AD" w:rsidRDefault="00AC44AD" w:rsidP="00AC44AD">
      <w:pPr>
        <w:autoSpaceDE w:val="0"/>
        <w:autoSpaceDN w:val="0"/>
        <w:adjustRightInd w:val="0"/>
        <w:spacing w:after="0" w:line="240" w:lineRule="auto"/>
        <w:contextualSpacing/>
        <w:jc w:val="center"/>
        <w:rPr>
          <w:rFonts w:ascii="Times New Roman" w:hAnsi="Times New Roman" w:cs="Times New Roman"/>
          <w:b/>
          <w:bCs/>
          <w:sz w:val="28"/>
          <w:szCs w:val="28"/>
        </w:rPr>
      </w:pPr>
      <w:r w:rsidRPr="00AC44AD">
        <w:rPr>
          <w:rFonts w:ascii="Times New Roman" w:hAnsi="Times New Roman" w:cs="Times New Roman"/>
          <w:b/>
          <w:bCs/>
          <w:sz w:val="28"/>
          <w:szCs w:val="28"/>
        </w:rPr>
        <w:t>КАЗНАЧЕЙСТВА ОПЕРАЦИЙ С КАЗНАЧЕЙСКИМ</w:t>
      </w:r>
    </w:p>
    <w:p w:rsidR="00AC44AD" w:rsidRPr="00AC44AD" w:rsidRDefault="00AC44AD" w:rsidP="00AC44AD">
      <w:pPr>
        <w:autoSpaceDE w:val="0"/>
        <w:autoSpaceDN w:val="0"/>
        <w:adjustRightInd w:val="0"/>
        <w:spacing w:after="0" w:line="240" w:lineRule="auto"/>
        <w:contextualSpacing/>
        <w:jc w:val="center"/>
        <w:rPr>
          <w:rFonts w:ascii="Times New Roman" w:hAnsi="Times New Roman" w:cs="Times New Roman"/>
          <w:b/>
          <w:bCs/>
          <w:sz w:val="28"/>
          <w:szCs w:val="28"/>
        </w:rPr>
      </w:pPr>
      <w:r w:rsidRPr="00AC44AD">
        <w:rPr>
          <w:rFonts w:ascii="Times New Roman" w:hAnsi="Times New Roman" w:cs="Times New Roman"/>
          <w:b/>
          <w:bCs/>
          <w:sz w:val="28"/>
          <w:szCs w:val="28"/>
        </w:rPr>
        <w:t>ОБЕСПЕЧЕНИЕМ ОБЯЗАТЕЛЬСТВ</w:t>
      </w:r>
    </w:p>
    <w:p w:rsidR="00AC44AD" w:rsidRPr="00AC44AD" w:rsidRDefault="00AC44AD" w:rsidP="00AC44AD">
      <w:pPr>
        <w:autoSpaceDE w:val="0"/>
        <w:autoSpaceDN w:val="0"/>
        <w:adjustRightInd w:val="0"/>
        <w:spacing w:after="0" w:line="240" w:lineRule="auto"/>
        <w:contextualSpacing/>
        <w:rPr>
          <w:rFonts w:ascii="Times New Roman" w:hAnsi="Times New Roman" w:cs="Times New Roman"/>
          <w:sz w:val="28"/>
          <w:szCs w:val="28"/>
        </w:rPr>
      </w:pPr>
    </w:p>
    <w:tbl>
      <w:tblPr>
        <w:tblW w:w="5000" w:type="pct"/>
        <w:tblCellMar>
          <w:left w:w="0" w:type="dxa"/>
          <w:right w:w="0" w:type="dxa"/>
        </w:tblCellMar>
        <w:tblLook w:val="0000" w:firstRow="0" w:lastRow="0" w:firstColumn="0" w:lastColumn="0" w:noHBand="0" w:noVBand="0"/>
      </w:tblPr>
      <w:tblGrid>
        <w:gridCol w:w="60"/>
        <w:gridCol w:w="113"/>
        <w:gridCol w:w="9068"/>
        <w:gridCol w:w="113"/>
      </w:tblGrid>
      <w:tr w:rsidR="00AC44AD" w:rsidRPr="00AC44AD">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C44AD" w:rsidRPr="00AC44AD" w:rsidRDefault="00AC44AD" w:rsidP="00AC44AD">
            <w:pPr>
              <w:autoSpaceDE w:val="0"/>
              <w:autoSpaceDN w:val="0"/>
              <w:adjustRightInd w:val="0"/>
              <w:spacing w:after="0" w:line="240" w:lineRule="auto"/>
              <w:contextualSpacing/>
              <w:rPr>
                <w:rFonts w:ascii="Times New Roman" w:hAnsi="Times New Roman" w:cs="Times New Roman"/>
                <w:sz w:val="28"/>
                <w:szCs w:val="28"/>
              </w:rPr>
            </w:pPr>
          </w:p>
        </w:tc>
        <w:tc>
          <w:tcPr>
            <w:tcW w:w="113" w:type="dxa"/>
            <w:shd w:val="clear" w:color="auto" w:fill="F4F3F8"/>
            <w:tcMar>
              <w:top w:w="0" w:type="dxa"/>
              <w:left w:w="0" w:type="dxa"/>
              <w:bottom w:w="0" w:type="dxa"/>
              <w:right w:w="0" w:type="dxa"/>
            </w:tcMar>
          </w:tcPr>
          <w:p w:rsidR="00AC44AD" w:rsidRPr="00AC44AD" w:rsidRDefault="00AC44AD" w:rsidP="00AC44AD">
            <w:pPr>
              <w:autoSpaceDE w:val="0"/>
              <w:autoSpaceDN w:val="0"/>
              <w:adjustRightInd w:val="0"/>
              <w:spacing w:after="0" w:line="240" w:lineRule="auto"/>
              <w:contextualSpacing/>
              <w:rPr>
                <w:rFonts w:ascii="Times New Roman" w:hAnsi="Times New Roman" w:cs="Times New Roman"/>
                <w:sz w:val="28"/>
                <w:szCs w:val="28"/>
              </w:rPr>
            </w:pPr>
          </w:p>
        </w:tc>
        <w:tc>
          <w:tcPr>
            <w:tcW w:w="0" w:type="auto"/>
            <w:shd w:val="clear" w:color="auto" w:fill="F4F3F8"/>
            <w:tcMar>
              <w:top w:w="113" w:type="dxa"/>
              <w:left w:w="0" w:type="dxa"/>
              <w:bottom w:w="113" w:type="dxa"/>
              <w:right w:w="0" w:type="dxa"/>
            </w:tcMar>
          </w:tcPr>
          <w:p w:rsidR="00AC44AD" w:rsidRPr="00AC44AD" w:rsidRDefault="00AC44AD" w:rsidP="00AC44AD">
            <w:pPr>
              <w:autoSpaceDE w:val="0"/>
              <w:autoSpaceDN w:val="0"/>
              <w:adjustRightInd w:val="0"/>
              <w:spacing w:after="0" w:line="240" w:lineRule="auto"/>
              <w:contextualSpacing/>
              <w:jc w:val="center"/>
              <w:rPr>
                <w:rFonts w:ascii="Times New Roman" w:hAnsi="Times New Roman" w:cs="Times New Roman"/>
                <w:sz w:val="28"/>
                <w:szCs w:val="28"/>
              </w:rPr>
            </w:pPr>
            <w:r w:rsidRPr="00AC44AD">
              <w:rPr>
                <w:rFonts w:ascii="Times New Roman" w:hAnsi="Times New Roman" w:cs="Times New Roman"/>
                <w:sz w:val="28"/>
                <w:szCs w:val="28"/>
              </w:rPr>
              <w:t>Список изменяющих документов</w:t>
            </w:r>
          </w:p>
          <w:p w:rsidR="00AC44AD" w:rsidRPr="00AC44AD" w:rsidRDefault="00AC44AD" w:rsidP="00AC44AD">
            <w:pPr>
              <w:autoSpaceDE w:val="0"/>
              <w:autoSpaceDN w:val="0"/>
              <w:adjustRightInd w:val="0"/>
              <w:spacing w:after="0" w:line="240" w:lineRule="auto"/>
              <w:contextualSpacing/>
              <w:jc w:val="center"/>
              <w:rPr>
                <w:rFonts w:ascii="Times New Roman" w:hAnsi="Times New Roman" w:cs="Times New Roman"/>
                <w:sz w:val="28"/>
                <w:szCs w:val="28"/>
              </w:rPr>
            </w:pPr>
            <w:r w:rsidRPr="00AC44AD">
              <w:rPr>
                <w:rFonts w:ascii="Times New Roman" w:hAnsi="Times New Roman" w:cs="Times New Roman"/>
                <w:sz w:val="28"/>
                <w:szCs w:val="28"/>
              </w:rPr>
              <w:t xml:space="preserve">(в ред. </w:t>
            </w:r>
            <w:hyperlink r:id="rId6" w:history="1">
              <w:r w:rsidRPr="00AC44AD">
                <w:rPr>
                  <w:rFonts w:ascii="Times New Roman" w:hAnsi="Times New Roman" w:cs="Times New Roman"/>
                  <w:sz w:val="28"/>
                  <w:szCs w:val="28"/>
                </w:rPr>
                <w:t>Постановления</w:t>
              </w:r>
            </w:hyperlink>
            <w:r w:rsidRPr="00AC44AD">
              <w:rPr>
                <w:rFonts w:ascii="Times New Roman" w:hAnsi="Times New Roman" w:cs="Times New Roman"/>
                <w:sz w:val="28"/>
                <w:szCs w:val="28"/>
              </w:rPr>
              <w:t xml:space="preserve"> Правительства РФ от 26.03.2022 N 481)</w:t>
            </w:r>
          </w:p>
        </w:tc>
        <w:tc>
          <w:tcPr>
            <w:tcW w:w="113" w:type="dxa"/>
            <w:shd w:val="clear" w:color="auto" w:fill="F4F3F8"/>
            <w:tcMar>
              <w:top w:w="0" w:type="dxa"/>
              <w:left w:w="0" w:type="dxa"/>
              <w:bottom w:w="0" w:type="dxa"/>
              <w:right w:w="0" w:type="dxa"/>
            </w:tcMar>
          </w:tcPr>
          <w:p w:rsidR="00AC44AD" w:rsidRPr="00AC44AD" w:rsidRDefault="00AC44AD" w:rsidP="00AC44AD">
            <w:pPr>
              <w:autoSpaceDE w:val="0"/>
              <w:autoSpaceDN w:val="0"/>
              <w:adjustRightInd w:val="0"/>
              <w:spacing w:after="0" w:line="240" w:lineRule="auto"/>
              <w:contextualSpacing/>
              <w:jc w:val="center"/>
              <w:rPr>
                <w:rFonts w:ascii="Times New Roman" w:hAnsi="Times New Roman" w:cs="Times New Roman"/>
                <w:sz w:val="28"/>
                <w:szCs w:val="28"/>
              </w:rPr>
            </w:pPr>
          </w:p>
        </w:tc>
      </w:tr>
    </w:tbl>
    <w:p w:rsidR="00AC44AD" w:rsidRPr="00AC44AD" w:rsidRDefault="00AC44AD" w:rsidP="00AC44AD">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AC44AD" w:rsidRPr="00AC44AD" w:rsidRDefault="00AC44AD" w:rsidP="00AC44AD">
      <w:pPr>
        <w:autoSpaceDE w:val="0"/>
        <w:autoSpaceDN w:val="0"/>
        <w:adjustRightInd w:val="0"/>
        <w:spacing w:after="0" w:line="240" w:lineRule="auto"/>
        <w:ind w:firstLine="540"/>
        <w:contextualSpacing/>
        <w:jc w:val="both"/>
        <w:rPr>
          <w:rFonts w:ascii="Times New Roman" w:hAnsi="Times New Roman" w:cs="Times New Roman"/>
          <w:sz w:val="28"/>
          <w:szCs w:val="28"/>
        </w:rPr>
      </w:pPr>
      <w:bookmarkStart w:id="1" w:name="Par38"/>
      <w:bookmarkEnd w:id="1"/>
      <w:r w:rsidRPr="00AC44AD">
        <w:rPr>
          <w:rFonts w:ascii="Times New Roman" w:hAnsi="Times New Roman" w:cs="Times New Roman"/>
          <w:sz w:val="28"/>
          <w:szCs w:val="28"/>
        </w:rPr>
        <w:t xml:space="preserve">1. Настоящие Правила устанавливают порядок выдачи (перевода, отзыва) казначейского обеспечения обязательств, предусмотренного </w:t>
      </w:r>
      <w:hyperlink r:id="rId7" w:history="1">
        <w:r w:rsidRPr="00AC44AD">
          <w:rPr>
            <w:rFonts w:ascii="Times New Roman" w:hAnsi="Times New Roman" w:cs="Times New Roman"/>
            <w:sz w:val="28"/>
            <w:szCs w:val="28"/>
          </w:rPr>
          <w:t>статьей 242.22</w:t>
        </w:r>
      </w:hyperlink>
      <w:r w:rsidRPr="00AC44AD">
        <w:rPr>
          <w:rFonts w:ascii="Times New Roman" w:hAnsi="Times New Roman" w:cs="Times New Roman"/>
          <w:sz w:val="28"/>
          <w:szCs w:val="28"/>
        </w:rPr>
        <w:t xml:space="preserve"> Бюджетного кодекса Российской Федерации, а также сроки проведения операций с казначейским обеспечением обязательств, выдаваемым Федеральным казначейством для подтверждения обязанности Федерального казначейства обеспечить оплату обязательств получателя бюджетных средств в пределах суммы, необходимой для оплаты указанных обязательств, возникающих в случаях, определенных федеральным законом о федеральном бюджете, а также в иных случаях, определенных Бюджетным </w:t>
      </w:r>
      <w:hyperlink r:id="rId8" w:history="1">
        <w:r w:rsidRPr="00AC44AD">
          <w:rPr>
            <w:rFonts w:ascii="Times New Roman" w:hAnsi="Times New Roman" w:cs="Times New Roman"/>
            <w:sz w:val="28"/>
            <w:szCs w:val="28"/>
          </w:rPr>
          <w:t>кодексом</w:t>
        </w:r>
      </w:hyperlink>
      <w:r w:rsidRPr="00AC44AD">
        <w:rPr>
          <w:rFonts w:ascii="Times New Roman" w:hAnsi="Times New Roman" w:cs="Times New Roman"/>
          <w:sz w:val="28"/>
          <w:szCs w:val="28"/>
        </w:rPr>
        <w:t xml:space="preserve"> Российской Федерации, при исполнении предусматривающих условие о применении казначейского обеспечения обязательств:</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t xml:space="preserve">а) государственных (муниципальных) контрактов о поставке товаров, выполнении работ, оказании услуг (за исключением государственных контрактов в рамках исполнения государственного оборонного заказа, предусмотренных </w:t>
      </w:r>
      <w:hyperlink r:id="rId9" w:history="1">
        <w:r w:rsidRPr="00AC44AD">
          <w:rPr>
            <w:rFonts w:ascii="Times New Roman" w:hAnsi="Times New Roman" w:cs="Times New Roman"/>
            <w:sz w:val="28"/>
            <w:szCs w:val="28"/>
          </w:rPr>
          <w:t>подпунктом 5 статьи 242.27</w:t>
        </w:r>
      </w:hyperlink>
      <w:r w:rsidRPr="00AC44AD">
        <w:rPr>
          <w:rFonts w:ascii="Times New Roman" w:hAnsi="Times New Roman" w:cs="Times New Roman"/>
          <w:sz w:val="28"/>
          <w:szCs w:val="28"/>
        </w:rPr>
        <w:t xml:space="preserve"> Бюджетного кодекса Российской Федерации) (далее - государственный (муниципальный) контракт);</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t xml:space="preserve">б) иных договоров (соглашений), источником финансового обеспечения </w:t>
      </w:r>
      <w:proofErr w:type="gramStart"/>
      <w:r w:rsidRPr="00AC44AD">
        <w:rPr>
          <w:rFonts w:ascii="Times New Roman" w:hAnsi="Times New Roman" w:cs="Times New Roman"/>
          <w:sz w:val="28"/>
          <w:szCs w:val="28"/>
        </w:rPr>
        <w:t>исполнения</w:t>
      </w:r>
      <w:proofErr w:type="gramEnd"/>
      <w:r w:rsidRPr="00AC44AD">
        <w:rPr>
          <w:rFonts w:ascii="Times New Roman" w:hAnsi="Times New Roman" w:cs="Times New Roman"/>
          <w:sz w:val="28"/>
          <w:szCs w:val="28"/>
        </w:rPr>
        <w:t xml:space="preserve"> которых являются средства соответствующего бюджета бюджетной системы Российской Федерации (далее - договор (соглашение).</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t xml:space="preserve">1(1). Настоящие Правила не распространяются на отношения, возникающие при выдаче (переводе, отзыве) казначейского обеспечения обязательств при банковском сопровождении, случаи применения которого определяются федеральным законом о федеральном бюджете, а также Бюджетным </w:t>
      </w:r>
      <w:hyperlink r:id="rId10" w:history="1">
        <w:r w:rsidRPr="00AC44AD">
          <w:rPr>
            <w:rFonts w:ascii="Times New Roman" w:hAnsi="Times New Roman" w:cs="Times New Roman"/>
            <w:sz w:val="28"/>
            <w:szCs w:val="28"/>
          </w:rPr>
          <w:t>кодексом</w:t>
        </w:r>
      </w:hyperlink>
      <w:r w:rsidRPr="00AC44AD">
        <w:rPr>
          <w:rFonts w:ascii="Times New Roman" w:hAnsi="Times New Roman" w:cs="Times New Roman"/>
          <w:sz w:val="28"/>
          <w:szCs w:val="28"/>
        </w:rPr>
        <w:t xml:space="preserve"> Российской Федерации.</w:t>
      </w:r>
    </w:p>
    <w:p w:rsidR="00AC44AD" w:rsidRPr="00AC44AD" w:rsidRDefault="00AC44AD" w:rsidP="00AC44AD">
      <w:pPr>
        <w:autoSpaceDE w:val="0"/>
        <w:autoSpaceDN w:val="0"/>
        <w:adjustRightInd w:val="0"/>
        <w:spacing w:after="0" w:line="240" w:lineRule="auto"/>
        <w:contextualSpacing/>
        <w:jc w:val="both"/>
        <w:rPr>
          <w:rFonts w:ascii="Times New Roman" w:hAnsi="Times New Roman" w:cs="Times New Roman"/>
          <w:sz w:val="28"/>
          <w:szCs w:val="28"/>
        </w:rPr>
      </w:pPr>
      <w:r w:rsidRPr="00AC44AD">
        <w:rPr>
          <w:rFonts w:ascii="Times New Roman" w:hAnsi="Times New Roman" w:cs="Times New Roman"/>
          <w:sz w:val="28"/>
          <w:szCs w:val="28"/>
        </w:rPr>
        <w:t xml:space="preserve">(п. 1(1) введен </w:t>
      </w:r>
      <w:hyperlink r:id="rId11" w:history="1">
        <w:r w:rsidRPr="00AC44AD">
          <w:rPr>
            <w:rFonts w:ascii="Times New Roman" w:hAnsi="Times New Roman" w:cs="Times New Roman"/>
            <w:sz w:val="28"/>
            <w:szCs w:val="28"/>
          </w:rPr>
          <w:t>Постановлением</w:t>
        </w:r>
      </w:hyperlink>
      <w:r w:rsidRPr="00AC44AD">
        <w:rPr>
          <w:rFonts w:ascii="Times New Roman" w:hAnsi="Times New Roman" w:cs="Times New Roman"/>
          <w:sz w:val="28"/>
          <w:szCs w:val="28"/>
        </w:rPr>
        <w:t xml:space="preserve"> Правительства РФ от 26.03.2022 N 481)</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t xml:space="preserve">2. Территориальный орган Федерального казначейства (далее - территориальный орган) осуществляет выдачу (перевод, отзыв) казначейского обеспечения обязательств при использовании средств, указанных в </w:t>
      </w:r>
      <w:hyperlink w:anchor="Par38" w:history="1">
        <w:r w:rsidRPr="00AC44AD">
          <w:rPr>
            <w:rFonts w:ascii="Times New Roman" w:hAnsi="Times New Roman" w:cs="Times New Roman"/>
            <w:sz w:val="28"/>
            <w:szCs w:val="28"/>
          </w:rPr>
          <w:t>пункте 1</w:t>
        </w:r>
      </w:hyperlink>
      <w:r w:rsidRPr="00AC44AD">
        <w:rPr>
          <w:rFonts w:ascii="Times New Roman" w:hAnsi="Times New Roman" w:cs="Times New Roman"/>
          <w:sz w:val="28"/>
          <w:szCs w:val="28"/>
        </w:rPr>
        <w:t xml:space="preserve"> настоящих Правил (далее - целевые средства), на основании заявлений, предусмотренных настоящим пунктом.</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t>Выдача казначейского обеспечения обязательств осуществляется на основании заявления о выдаче казначейского обеспечения обязательств (далее - заявление о выдаче) юридическому лицу, являющемуся получателем целевых средств (далее - получатель казначейского обеспечения обязательств), представленного получателем бюджетных средств, обязательства которого подлежат исполнению с применением казначейского обеспечения обязательств, в территориальный орган по месту открытия ему лицевого счета получателя бюджетных средств.</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lastRenderedPageBreak/>
        <w:t xml:space="preserve">Перевод казначейского обеспечения обязательств осуществляется в рамках исполнения договора (контракта), заключенного в целях исполнения государственного (муниципального) контракта и договора (соглашения), условиями которого предусмотрено исполнение этого договора (контракта) с применением казначейского обеспечения обязательств (далее соответственно - контракт, переведенное казначейское обеспечение обязательств), на основании заявления о переводе казначейского обеспечения обязательств, представленного в территориальный орган получателем казначейского обеспечения обязательств по месту открытия ему в территориальном органе лицевого счета, определенного </w:t>
      </w:r>
      <w:hyperlink r:id="rId12" w:history="1">
        <w:r w:rsidRPr="00AC44AD">
          <w:rPr>
            <w:rFonts w:ascii="Times New Roman" w:hAnsi="Times New Roman" w:cs="Times New Roman"/>
            <w:sz w:val="28"/>
            <w:szCs w:val="28"/>
          </w:rPr>
          <w:t>пунктом 6</w:t>
        </w:r>
      </w:hyperlink>
      <w:r w:rsidRPr="00AC44AD">
        <w:rPr>
          <w:rFonts w:ascii="Times New Roman" w:hAnsi="Times New Roman" w:cs="Times New Roman"/>
          <w:sz w:val="28"/>
          <w:szCs w:val="28"/>
        </w:rPr>
        <w:t xml:space="preserve"> или </w:t>
      </w:r>
      <w:hyperlink r:id="rId13" w:history="1">
        <w:r w:rsidRPr="00AC44AD">
          <w:rPr>
            <w:rFonts w:ascii="Times New Roman" w:hAnsi="Times New Roman" w:cs="Times New Roman"/>
            <w:sz w:val="28"/>
            <w:szCs w:val="28"/>
          </w:rPr>
          <w:t>7.1 статьи 220.1</w:t>
        </w:r>
      </w:hyperlink>
      <w:r w:rsidRPr="00AC44AD">
        <w:rPr>
          <w:rFonts w:ascii="Times New Roman" w:hAnsi="Times New Roman" w:cs="Times New Roman"/>
          <w:sz w:val="28"/>
          <w:szCs w:val="28"/>
        </w:rPr>
        <w:t xml:space="preserve"> Бюджетного кодекса Российской Федерации (далее соответственно - лицевой счет, заявление о переводе).</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t>Отзыв казначейского обеспечения обязательств (переведенного казначейского обеспечения обязательств) осуществляется на основании заявления об отзыве казначейского обеспечения обязательств (заявления об отзыве переведенного казначейского обеспечения обязательств), представленного получателем бюджетных средств (получателем казначейского обеспечения обязательств) в территориальный орган по месту открытия лицевого счета получателя бюджетных средств (лицевого счета) (далее - заявление об отзыве).</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2" w:name="Par47"/>
      <w:bookmarkEnd w:id="2"/>
      <w:r w:rsidRPr="00AC44AD">
        <w:rPr>
          <w:rFonts w:ascii="Times New Roman" w:hAnsi="Times New Roman" w:cs="Times New Roman"/>
          <w:sz w:val="28"/>
          <w:szCs w:val="28"/>
        </w:rPr>
        <w:t>3. Условием выдачи (перевода, отзыва) казначейского обеспечения обязательств является наличие в государственном (муниципальном) контракте, договоре (соглашении) и контракте положений о применении казначейского обеспечения обязательств (в случае выдачи или перевода казначейского обеспечения обязательств), а также соответствие:</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t>а) заявления о выдаче - следующим требованиям:</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t xml:space="preserve">соответствие формы заявления о выдаче форме, утвержденной Федеральным казначейством в соответствии с </w:t>
      </w:r>
      <w:hyperlink w:anchor="Par92" w:history="1">
        <w:r w:rsidRPr="00AC44AD">
          <w:rPr>
            <w:rFonts w:ascii="Times New Roman" w:hAnsi="Times New Roman" w:cs="Times New Roman"/>
            <w:sz w:val="28"/>
            <w:szCs w:val="28"/>
          </w:rPr>
          <w:t>пунктом 10</w:t>
        </w:r>
      </w:hyperlink>
      <w:r w:rsidRPr="00AC44AD">
        <w:rPr>
          <w:rFonts w:ascii="Times New Roman" w:hAnsi="Times New Roman" w:cs="Times New Roman"/>
          <w:sz w:val="28"/>
          <w:szCs w:val="28"/>
        </w:rPr>
        <w:t xml:space="preserve"> настоящих Правил;</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t>наличие открытого получателю казначейского обеспечения обязательств лицевого счета, указанного в заявлении о выдаче;</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t>наличие в заявлении о выдаче идентификатора государственного (муниципального) контракта и договора (соглашения), сформированного в установленном порядке в соответствии с бюджетным законодательством Российской Федерации (далее - идентификатор);</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t>соответствие реквизитов (номер и дата) государственного (муниципального) контракта и договора (соглашения) реквизитам, указанным в заявлении о выдаче;</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proofErr w:type="spellStart"/>
      <w:r w:rsidRPr="00AC44AD">
        <w:rPr>
          <w:rFonts w:ascii="Times New Roman" w:hAnsi="Times New Roman" w:cs="Times New Roman"/>
          <w:sz w:val="28"/>
          <w:szCs w:val="28"/>
        </w:rPr>
        <w:t>непревышение</w:t>
      </w:r>
      <w:proofErr w:type="spellEnd"/>
      <w:r w:rsidRPr="00AC44AD">
        <w:rPr>
          <w:rFonts w:ascii="Times New Roman" w:hAnsi="Times New Roman" w:cs="Times New Roman"/>
          <w:sz w:val="28"/>
          <w:szCs w:val="28"/>
        </w:rPr>
        <w:t xml:space="preserve"> суммы, указанной в заявлении о выдаче, над суммой операций по казначейскому обеспечению обязательств, предусмотренной условиями государственного (муниципального) контракта, договора (соглашения) и контракта с учетом ранее осуществленных в соответствии с государственным (муниципальным) контрактом, договором (соглашением) или контрактом операций с казначейским обеспечением обязательств;</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proofErr w:type="spellStart"/>
      <w:r w:rsidRPr="00AC44AD">
        <w:rPr>
          <w:rFonts w:ascii="Times New Roman" w:hAnsi="Times New Roman" w:cs="Times New Roman"/>
          <w:sz w:val="28"/>
          <w:szCs w:val="28"/>
        </w:rPr>
        <w:t>непревышение</w:t>
      </w:r>
      <w:proofErr w:type="spellEnd"/>
      <w:r w:rsidRPr="00AC44AD">
        <w:rPr>
          <w:rFonts w:ascii="Times New Roman" w:hAnsi="Times New Roman" w:cs="Times New Roman"/>
          <w:sz w:val="28"/>
          <w:szCs w:val="28"/>
        </w:rPr>
        <w:t xml:space="preserve"> суммы, указанной в заявлении о выдаче, над суммой неиспользованных остатков лимитов бюджетных обязательств по </w:t>
      </w:r>
      <w:r w:rsidRPr="00AC44AD">
        <w:rPr>
          <w:rFonts w:ascii="Times New Roman" w:hAnsi="Times New Roman" w:cs="Times New Roman"/>
          <w:sz w:val="28"/>
          <w:szCs w:val="28"/>
        </w:rPr>
        <w:lastRenderedPageBreak/>
        <w:t>соответствующим бюджетному обязательству и объекту капитального строительства, объекту недвижимого имущества или мероприятию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 отраженных на лицевом счете получателя бюджетных средств, с учетом ранее выданных казначейских обеспечений обязательств;</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t>б) заявления о переводе - следующим требованиям:</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t xml:space="preserve">соответствие формы заявления о переводе форме, утвержденной Федеральным казначейством в соответствии с </w:t>
      </w:r>
      <w:hyperlink w:anchor="Par92" w:history="1">
        <w:r w:rsidRPr="00AC44AD">
          <w:rPr>
            <w:rFonts w:ascii="Times New Roman" w:hAnsi="Times New Roman" w:cs="Times New Roman"/>
            <w:sz w:val="28"/>
            <w:szCs w:val="28"/>
          </w:rPr>
          <w:t>пунктом 10</w:t>
        </w:r>
      </w:hyperlink>
      <w:r w:rsidRPr="00AC44AD">
        <w:rPr>
          <w:rFonts w:ascii="Times New Roman" w:hAnsi="Times New Roman" w:cs="Times New Roman"/>
          <w:sz w:val="28"/>
          <w:szCs w:val="28"/>
        </w:rPr>
        <w:t xml:space="preserve"> настоящих Правил;</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t>наличие открытого получателю казначейского обеспечения обязательств лицевого счета, указанного в заявлении о переводе;</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t>наличие в заявлении о переводе идентификатора;</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t>соответствие реквизитов (номер и дата) контракта реквизитам, указанным в заявлении о переводе;</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t>соответствие указанных в заявлении о переводе реквизитов (номер и дата) казначейского обеспечения обязательств, по которому осуществляется перевод, реквизитам имеющегося казначейского обеспечения обязательств, срок действия которого не истек;</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proofErr w:type="spellStart"/>
      <w:r w:rsidRPr="00AC44AD">
        <w:rPr>
          <w:rFonts w:ascii="Times New Roman" w:hAnsi="Times New Roman" w:cs="Times New Roman"/>
          <w:sz w:val="28"/>
          <w:szCs w:val="28"/>
        </w:rPr>
        <w:t>непревышение</w:t>
      </w:r>
      <w:proofErr w:type="spellEnd"/>
      <w:r w:rsidRPr="00AC44AD">
        <w:rPr>
          <w:rFonts w:ascii="Times New Roman" w:hAnsi="Times New Roman" w:cs="Times New Roman"/>
          <w:sz w:val="28"/>
          <w:szCs w:val="28"/>
        </w:rPr>
        <w:t xml:space="preserve"> суммы, указанной в заявлении о переводе, над суммой операций по казначейскому обеспечению обязательств, предусмотренных условиями контракта, с учетом ранее осуществленных по этому контракту операций по казначейскому обеспечению обязательств;</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proofErr w:type="spellStart"/>
      <w:r w:rsidRPr="00AC44AD">
        <w:rPr>
          <w:rFonts w:ascii="Times New Roman" w:hAnsi="Times New Roman" w:cs="Times New Roman"/>
          <w:sz w:val="28"/>
          <w:szCs w:val="28"/>
        </w:rPr>
        <w:t>непревышение</w:t>
      </w:r>
      <w:proofErr w:type="spellEnd"/>
      <w:r w:rsidRPr="00AC44AD">
        <w:rPr>
          <w:rFonts w:ascii="Times New Roman" w:hAnsi="Times New Roman" w:cs="Times New Roman"/>
          <w:sz w:val="28"/>
          <w:szCs w:val="28"/>
        </w:rPr>
        <w:t xml:space="preserve"> суммы, указанной в заявлении о переводе, над суммой остатка средств по укрупненному коду направления расходования целевых средств, указанному в соответствии со сведениями об операциях с целевыми средствами, сформированными и утвержденными в соответствии с положениями порядка казначейского сопровождения, предусмотренного </w:t>
      </w:r>
      <w:hyperlink r:id="rId14" w:history="1">
        <w:r w:rsidRPr="00AC44AD">
          <w:rPr>
            <w:rFonts w:ascii="Times New Roman" w:hAnsi="Times New Roman" w:cs="Times New Roman"/>
            <w:sz w:val="28"/>
            <w:szCs w:val="28"/>
          </w:rPr>
          <w:t>пунктом 3 статьи 242.23</w:t>
        </w:r>
      </w:hyperlink>
      <w:r w:rsidRPr="00AC44AD">
        <w:rPr>
          <w:rFonts w:ascii="Times New Roman" w:hAnsi="Times New Roman" w:cs="Times New Roman"/>
          <w:sz w:val="28"/>
          <w:szCs w:val="28"/>
        </w:rPr>
        <w:t xml:space="preserve"> Бюджетного кодекса Российской Федерации (далее соответственно - правила казначейского сопровождения, сведения);</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proofErr w:type="spellStart"/>
      <w:r w:rsidRPr="00AC44AD">
        <w:rPr>
          <w:rFonts w:ascii="Times New Roman" w:hAnsi="Times New Roman" w:cs="Times New Roman"/>
          <w:sz w:val="28"/>
          <w:szCs w:val="28"/>
        </w:rPr>
        <w:t>непревышение</w:t>
      </w:r>
      <w:proofErr w:type="spellEnd"/>
      <w:r w:rsidRPr="00AC44AD">
        <w:rPr>
          <w:rFonts w:ascii="Times New Roman" w:hAnsi="Times New Roman" w:cs="Times New Roman"/>
          <w:sz w:val="28"/>
          <w:szCs w:val="28"/>
        </w:rPr>
        <w:t xml:space="preserve"> суммы, указанной в заявлении о переводе, над суммой неисполненного остатка казначейского обеспечения обязательств (переведенного казначейского обеспечения обязательств) с учетом ранее переведенных казначейских обеспечений обязательств;</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proofErr w:type="spellStart"/>
      <w:r w:rsidRPr="00AC44AD">
        <w:rPr>
          <w:rFonts w:ascii="Times New Roman" w:hAnsi="Times New Roman" w:cs="Times New Roman"/>
          <w:sz w:val="28"/>
          <w:szCs w:val="28"/>
        </w:rPr>
        <w:t>непревышение</w:t>
      </w:r>
      <w:proofErr w:type="spellEnd"/>
      <w:r w:rsidRPr="00AC44AD">
        <w:rPr>
          <w:rFonts w:ascii="Times New Roman" w:hAnsi="Times New Roman" w:cs="Times New Roman"/>
          <w:sz w:val="28"/>
          <w:szCs w:val="28"/>
        </w:rPr>
        <w:t xml:space="preserve"> указанного в заявлении срока действия переведенного казначейского обеспечения обязательств над сроком действия казначейского обеспечения обязательств, по которому осуществляется перевод;</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t>в) заявления об отзыве - следующим требованиям:</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t xml:space="preserve">соответствие формы заявления об отзыве форме, утвержденной Федеральным казначейством в соответствии с </w:t>
      </w:r>
      <w:hyperlink w:anchor="Par92" w:history="1">
        <w:r w:rsidRPr="00AC44AD">
          <w:rPr>
            <w:rFonts w:ascii="Times New Roman" w:hAnsi="Times New Roman" w:cs="Times New Roman"/>
            <w:sz w:val="28"/>
            <w:szCs w:val="28"/>
          </w:rPr>
          <w:t>пунктом 10</w:t>
        </w:r>
      </w:hyperlink>
      <w:r w:rsidRPr="00AC44AD">
        <w:rPr>
          <w:rFonts w:ascii="Times New Roman" w:hAnsi="Times New Roman" w:cs="Times New Roman"/>
          <w:sz w:val="28"/>
          <w:szCs w:val="28"/>
        </w:rPr>
        <w:t xml:space="preserve"> настоящих Правил;</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t>наличие в заявлении об отзыве идентификатора;</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lastRenderedPageBreak/>
        <w:t>реквизиты казначейского обеспечения обязательств (переведенного казначейского обеспечения обязательств), указанные в заявлении об отзыве, соответствуют реквизитам ранее выданного казначейского обеспечения обязательств (переведенного казначейского обеспечения обязательств), полностью или частично неисполненного на дату представления заявления об отзыве.</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3" w:name="Par69"/>
      <w:bookmarkEnd w:id="3"/>
      <w:r w:rsidRPr="00AC44AD">
        <w:rPr>
          <w:rFonts w:ascii="Times New Roman" w:hAnsi="Times New Roman" w:cs="Times New Roman"/>
          <w:sz w:val="28"/>
          <w:szCs w:val="28"/>
        </w:rPr>
        <w:t xml:space="preserve">4. Территориальный орган осуществляет проверку информации о государственных (муниципальных) контрактах, договорах (соглашениях) и контрактах в соответствии с </w:t>
      </w:r>
      <w:hyperlink w:anchor="Par47" w:history="1">
        <w:r w:rsidRPr="00AC44AD">
          <w:rPr>
            <w:rFonts w:ascii="Times New Roman" w:hAnsi="Times New Roman" w:cs="Times New Roman"/>
            <w:sz w:val="28"/>
            <w:szCs w:val="28"/>
          </w:rPr>
          <w:t>пунктом 3</w:t>
        </w:r>
      </w:hyperlink>
      <w:r w:rsidRPr="00AC44AD">
        <w:rPr>
          <w:rFonts w:ascii="Times New Roman" w:hAnsi="Times New Roman" w:cs="Times New Roman"/>
          <w:sz w:val="28"/>
          <w:szCs w:val="28"/>
        </w:rPr>
        <w:t xml:space="preserve"> настоящих Правил на основании данных, содержащихся в государственной интегрированной информационной системе управления общественными финансами "Электронный бюджет".</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t xml:space="preserve">5. Территориальный орган в случае несоответствия заявления о выдаче, заявления о переводе и заявления об отзыве требованиям, указанным в </w:t>
      </w:r>
      <w:hyperlink w:anchor="Par47" w:history="1">
        <w:r w:rsidRPr="00AC44AD">
          <w:rPr>
            <w:rFonts w:ascii="Times New Roman" w:hAnsi="Times New Roman" w:cs="Times New Roman"/>
            <w:sz w:val="28"/>
            <w:szCs w:val="28"/>
          </w:rPr>
          <w:t>пункте 3</w:t>
        </w:r>
      </w:hyperlink>
      <w:r w:rsidRPr="00AC44AD">
        <w:rPr>
          <w:rFonts w:ascii="Times New Roman" w:hAnsi="Times New Roman" w:cs="Times New Roman"/>
          <w:sz w:val="28"/>
          <w:szCs w:val="28"/>
        </w:rPr>
        <w:t xml:space="preserve"> настоящих Правил, не позднее 2-го рабочего дня после дня получения соответствующего заявления возвращает его без исполнения соответственно получателю бюджетных средств, получателю казначейского обеспечения обязательств (юридическому лицу, являющемуся исполнителем по контракту (далее - получатель переведенного казначейского обеспечения обязательств), представившему указанное заявление.</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t xml:space="preserve">6. В случае положительных результатов проверок, предусмотренных </w:t>
      </w:r>
      <w:hyperlink w:anchor="Par69" w:history="1">
        <w:r w:rsidRPr="00AC44AD">
          <w:rPr>
            <w:rFonts w:ascii="Times New Roman" w:hAnsi="Times New Roman" w:cs="Times New Roman"/>
            <w:sz w:val="28"/>
            <w:szCs w:val="28"/>
          </w:rPr>
          <w:t>пунктом 4</w:t>
        </w:r>
      </w:hyperlink>
      <w:r w:rsidRPr="00AC44AD">
        <w:rPr>
          <w:rFonts w:ascii="Times New Roman" w:hAnsi="Times New Roman" w:cs="Times New Roman"/>
          <w:sz w:val="28"/>
          <w:szCs w:val="28"/>
        </w:rPr>
        <w:t xml:space="preserve"> настоящих Правил, территориальный орган не позднее 2-го рабочего дня после дня получения:</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t>а) заявления о выдаче:</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t>формирует казначейское обеспечение обязательств на указанную в нем сумму;</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t>осуществляет блокировку лимитов бюджетных обязательств по соответствующему бюджетному обязательству и уникальному коду объекта капитального строительства, объекта недвижимого имущества (далее - уникальный код объекта), коду мероприятия по информатизации, отраженных на лицевом счете получателя бюджетных средств, на сумму казначейского обеспечения обязательств;</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t>направляет казначейское обеспечение обязательств в территориальный орган по месту открытия получателю казначейского обеспечения обязательств лицевого счета;</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t>б) заявления о переводе:</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t>формирует переведенное казначейское обеспечение обязательств на указанную в нем сумму;</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t>осуществляет блокировку остатка средств по укрупненному коду направления расходования целевых средств, указанному в сведениях;</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t>направляет переведенное казначейское обеспечение обязательств в территориальный орган по месту открытия лицевого счета получателю переведенного казначейского обеспечения обязательств, указанного в заявлении о переводе;</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lastRenderedPageBreak/>
        <w:t>направляет копию переведенного казначейского обеспечения обязательств в территориальный орган по месту открытия лицевого счета получателя бюджетных средств;</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t>в) заявления об отзыве:</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t>осуществляет отмену блокировки лимитов бюджетных обязательств по соответствующим бюджетному обязательству и уникальному коду объекта (коду мероприятия по информатизации) на лицевом счете получателя бюджетных средств на сумму остатка отозванного казначейского обеспечения обязательств (переведенного казначейского обеспечения обязательств);</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t>осуществляет отзыв всех неисполненных переведенных казначейских обеспечений обязательств, перевод которых осуществлялся в рамках отзываемого казначейского обеспечения обязательств (переведенного казначейского обеспечения обязательств);</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t>возвращает получателям казначейского обеспечения обязательств (получателям переведенного казначейского обеспечения обязательств) ранее принятые, но не исполненные заявления о переводе;</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t>возвращает получателям казначейского обеспечения обязательства (получателям переведенного казначейского обеспечения обязательств) распоряжения о совершении казначейского платежа (далее - распоряжение) на оплату обязательств, исполнение которых обеспечивается отзываемым казначейским обеспечением обязательств (переведенным казначейским обеспечением обязательств);</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t>направляет копию заявления об отзыве в территориальный орган по месту открытия лицевого счета получателя бюджетных средств.</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t>7. При выдаче казначейского обеспечения обязательств ведение и использование лицевого счета (режим лицевого счета) в дополнение к условиям, установленным правилами казначейского сопровождения, предусматривают следующие условия, содержащиеся в государственных (муниципальных) контрактах, договорах (соглашениях) и контрактах:</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t>проведение операций с целевыми средствами в пределах суммы неисполненного остатка казначейского обеспечения обязательства (переведенного казначейского обеспечения обязательств), отраженного на лицевом счете получателя бюджетных средств (лицевом счете);</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t>проведение операций с целевыми средствами до истечения срока действия казначейского обеспечения обязательств (переведенного казначейского обеспечения обязательств), исполнение которого осуществляется на момент представления распоряжения.</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t xml:space="preserve">8. Территориальный орган не позднее рабочего дня, следующего за днем приема распоряжения, формирует заявление об исполнении казначейского обеспечения обязательств по форме, утвержденной Федеральным казначейством в соответствии с </w:t>
      </w:r>
      <w:hyperlink w:anchor="Par92" w:history="1">
        <w:r w:rsidRPr="00AC44AD">
          <w:rPr>
            <w:rFonts w:ascii="Times New Roman" w:hAnsi="Times New Roman" w:cs="Times New Roman"/>
            <w:sz w:val="28"/>
            <w:szCs w:val="28"/>
          </w:rPr>
          <w:t>пунктом 10</w:t>
        </w:r>
      </w:hyperlink>
      <w:r w:rsidRPr="00AC44AD">
        <w:rPr>
          <w:rFonts w:ascii="Times New Roman" w:hAnsi="Times New Roman" w:cs="Times New Roman"/>
          <w:sz w:val="28"/>
          <w:szCs w:val="28"/>
        </w:rPr>
        <w:t xml:space="preserve"> настоящих Правил (далее - заявление об исполнении), на сумму распоряжения и направляет заявление об исполнении в территориальный орган, осуществивший выдачу казначейского обеспечения обязательств.</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lastRenderedPageBreak/>
        <w:t>9. Отзыв казначейского обеспечения обязательств по истечении срока его действия осуществляется территориальным органом без наличия заявления об отзыве получателя бюджетных средств, получателя казначейского обеспечения обязательств (получателя переведенного казначейского обеспечения обязательств).</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bookmarkStart w:id="4" w:name="Par92"/>
      <w:bookmarkEnd w:id="4"/>
      <w:r w:rsidRPr="00AC44AD">
        <w:rPr>
          <w:rFonts w:ascii="Times New Roman" w:hAnsi="Times New Roman" w:cs="Times New Roman"/>
          <w:sz w:val="28"/>
          <w:szCs w:val="28"/>
        </w:rPr>
        <w:t>10. Формы казначейского обеспечения обязательств, заявления о выдаче, заявления о переводе, заявления об отзыве, заявления об исполнении и иных документов, применяемые при выдаче (переводе, отзыве) и иных операциях с казначейским обеспечением обязательств, а также порядок их заполнения устанавливаются Федеральным казначейством.</w:t>
      </w:r>
    </w:p>
    <w:p w:rsidR="00AC44AD" w:rsidRPr="00AC44AD" w:rsidRDefault="00AC44AD" w:rsidP="00AC44AD">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AC44AD">
        <w:rPr>
          <w:rFonts w:ascii="Times New Roman" w:hAnsi="Times New Roman" w:cs="Times New Roman"/>
          <w:sz w:val="28"/>
          <w:szCs w:val="28"/>
        </w:rPr>
        <w:t xml:space="preserve">11. При выдаче (переводе, отзыве) и иных операциях с казначейским обеспечением обязательств взаимодействие и обмен информацией между территориальным органом, получателем бюджетных средств и получателем казначейского обеспечения обязательств определяются </w:t>
      </w:r>
      <w:hyperlink r:id="rId15" w:history="1">
        <w:r w:rsidRPr="00AC44AD">
          <w:rPr>
            <w:rFonts w:ascii="Times New Roman" w:hAnsi="Times New Roman" w:cs="Times New Roman"/>
            <w:sz w:val="28"/>
            <w:szCs w:val="28"/>
          </w:rPr>
          <w:t>порядком</w:t>
        </w:r>
      </w:hyperlink>
      <w:r w:rsidRPr="00AC44AD">
        <w:rPr>
          <w:rFonts w:ascii="Times New Roman" w:hAnsi="Times New Roman" w:cs="Times New Roman"/>
          <w:sz w:val="28"/>
          <w:szCs w:val="28"/>
        </w:rPr>
        <w:t>, установленным Федеральным казначейством.</w:t>
      </w:r>
    </w:p>
    <w:p w:rsidR="00067313" w:rsidRDefault="00067313">
      <w:bookmarkStart w:id="5" w:name="_GoBack"/>
      <w:bookmarkEnd w:id="5"/>
    </w:p>
    <w:sectPr w:rsidR="00067313" w:rsidSect="00455C0D">
      <w:pgSz w:w="11905" w:h="16838"/>
      <w:pgMar w:top="1134" w:right="850" w:bottom="1134"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B82"/>
    <w:rsid w:val="00067313"/>
    <w:rsid w:val="00AC44AD"/>
    <w:rsid w:val="00D12B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D4419B52-ACC2-439E-9673-322CBE6D9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CC5517DB351F6CDECCA0D81475A257375AE946A2D4A4035F26939661CC0981626A7A0EEE9B8C4C9684DEB6838lCH6J" TargetMode="External"/><Relationship Id="rId13" Type="http://schemas.openxmlformats.org/officeDocument/2006/relationships/hyperlink" Target="consultantplus://offline/ref=2CC5517DB351F6CDECCA0D81475A257375AE946A2D4A4035F26939661CC0981634A7F8E5EEB8DBC23402AD3D37C4DCE12E1850B8C1F1lAH2J" TargetMode="External"/><Relationship Id="rId3" Type="http://schemas.openxmlformats.org/officeDocument/2006/relationships/webSettings" Target="webSettings.xml"/><Relationship Id="rId7" Type="http://schemas.openxmlformats.org/officeDocument/2006/relationships/hyperlink" Target="consultantplus://offline/ref=2CC5517DB351F6CDECCA0D81475A257375AE946A2D4A4035F26939661CC0981634A7F8E5EFBFDCC23402AD3D37C4DCE12E1850B8C1F1lAH2J" TargetMode="External"/><Relationship Id="rId12" Type="http://schemas.openxmlformats.org/officeDocument/2006/relationships/hyperlink" Target="consultantplus://offline/ref=2CC5517DB351F6CDECCA0D81475A257375AE946A2D4A4035F26939661CC0981634A7F8E5E8BED8C23402AD3D37C4DCE12E1850B8C1F1lAH2J"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2CC5517DB351F6CDECCA0D81475A257375AC9460274D4035F26939661CC0981634A7F8E2E8BCDAC96658BD397E90D5FE2A0E4EB2DFF1A168l1H0J" TargetMode="External"/><Relationship Id="rId11" Type="http://schemas.openxmlformats.org/officeDocument/2006/relationships/hyperlink" Target="consultantplus://offline/ref=2CC5517DB351F6CDECCA0D81475A257375AC9460274D4035F26939661CC0981634A7F8E2E8BCDAC96658BD397E90D5FE2A0E4EB2DFF1A168l1H0J" TargetMode="External"/><Relationship Id="rId5" Type="http://schemas.openxmlformats.org/officeDocument/2006/relationships/hyperlink" Target="consultantplus://offline/ref=2CC5517DB351F6CDECCA0D81475A257375AE946A2D4A4035F26939661CC0981634A7F8E5EFBFDCC23402AD3D37C4DCE12E1850B8C1F1lAH2J" TargetMode="External"/><Relationship Id="rId15" Type="http://schemas.openxmlformats.org/officeDocument/2006/relationships/hyperlink" Target="consultantplus://offline/ref=2CC5517DB351F6CDECCA0D81475A257375AE9E612F4B4035F26939661CC0981634A7F8E2E8BCDFCF6858BD397E90D5FE2A0E4EB2DFF1A168l1H0J" TargetMode="External"/><Relationship Id="rId10" Type="http://schemas.openxmlformats.org/officeDocument/2006/relationships/hyperlink" Target="consultantplus://offline/ref=2CC5517DB351F6CDECCA0D81475A257375AE946A2D4A4035F26939661CC0981626A7A0EEE9B8C4C9684DEB6838lCH6J" TargetMode="External"/><Relationship Id="rId4" Type="http://schemas.openxmlformats.org/officeDocument/2006/relationships/hyperlink" Target="consultantplus://offline/ref=2CC5517DB351F6CDECCA0D81475A257375AC9460274D4035F26939661CC0981634A7F8E2E8BCDAC96658BD397E90D5FE2A0E4EB2DFF1A168l1H0J" TargetMode="External"/><Relationship Id="rId9" Type="http://schemas.openxmlformats.org/officeDocument/2006/relationships/hyperlink" Target="consultantplus://offline/ref=2CC5517DB351F6CDECCA0D81475A257375AE946A2D4A4035F26939661CC0981634A7F8E5EFB5DBC23402AD3D37C4DCE12E1850B8C1F1lAH2J" TargetMode="External"/><Relationship Id="rId14" Type="http://schemas.openxmlformats.org/officeDocument/2006/relationships/hyperlink" Target="consultantplus://offline/ref=2CC5517DB351F6CDECCA0D81475A257375AE946A2D4A4035F26939661CC0981634A7F8E5EFB9DBC23402AD3D37C4DCE12E1850B8C1F1lAH2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2583</Words>
  <Characters>14725</Characters>
  <Application>Microsoft Office Word</Application>
  <DocSecurity>0</DocSecurity>
  <Lines>122</Lines>
  <Paragraphs>34</Paragraphs>
  <ScaleCrop>false</ScaleCrop>
  <Company/>
  <LinksUpToDate>false</LinksUpToDate>
  <CharactersWithSpaces>17274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Деева Юлия Юрьевна</dc:creator>
  <cp:keywords/>
  <dc:description/>
  <cp:lastModifiedBy>Деева Юлия Юрьевна</cp:lastModifiedBy>
  <cp:revision>2</cp:revision>
  <dcterms:created xsi:type="dcterms:W3CDTF">2023-08-14T09:07:00Z</dcterms:created>
  <dcterms:modified xsi:type="dcterms:W3CDTF">2023-08-14T09:08:00Z</dcterms:modified>
</cp:coreProperties>
</file>