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4320A2"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0A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0A2">
        <w:rPr>
          <w:rFonts w:ascii="Times New Roman" w:hAnsi="Times New Roman" w:cs="Times New Roman"/>
          <w:b/>
          <w:bCs/>
          <w:sz w:val="28"/>
          <w:szCs w:val="28"/>
        </w:rPr>
        <w:t>от 13 декабря 2021 г. N 2271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0A2">
        <w:rPr>
          <w:rFonts w:ascii="Times New Roman" w:hAnsi="Times New Roman" w:cs="Times New Roman"/>
          <w:b/>
          <w:bCs/>
          <w:sz w:val="28"/>
          <w:szCs w:val="28"/>
        </w:rPr>
        <w:t>ОБ УТВЕРЖДЕНИИ ПРАВИЛ ЭКОНОМИЧЕСКОГО ОБОСНОВАНИЯ ЗАТРАТ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5"/>
        <w:gridCol w:w="113"/>
      </w:tblGrid>
      <w:tr w:rsidR="004320A2" w:rsidRPr="00432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2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4" w:history="1">
              <w:r w:rsidRPr="004320A2">
                <w:rPr>
                  <w:rFonts w:ascii="Times New Roman" w:hAnsi="Times New Roman" w:cs="Times New Roman"/>
                  <w:sz w:val="28"/>
                  <w:szCs w:val="28"/>
                </w:rPr>
                <w:t>Постановления</w:t>
              </w:r>
            </w:hyperlink>
            <w:r w:rsidRPr="004320A2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14.12.2022 N 2301,</w:t>
            </w:r>
          </w:p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2">
              <w:rPr>
                <w:rFonts w:ascii="Times New Roman" w:hAnsi="Times New Roman" w:cs="Times New Roman"/>
                <w:sz w:val="28"/>
                <w:szCs w:val="28"/>
              </w:rPr>
              <w:t xml:space="preserve">с изм., внесенными Постановлениями Правительства РФ от 18.02.2022 </w:t>
            </w:r>
            <w:hyperlink r:id="rId5" w:history="1">
              <w:r w:rsidRPr="004320A2">
                <w:rPr>
                  <w:rFonts w:ascii="Times New Roman" w:hAnsi="Times New Roman" w:cs="Times New Roman"/>
                  <w:sz w:val="28"/>
                  <w:szCs w:val="28"/>
                </w:rPr>
                <w:t>N 216</w:t>
              </w:r>
            </w:hyperlink>
            <w:r w:rsidRPr="004320A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2">
              <w:rPr>
                <w:rFonts w:ascii="Times New Roman" w:hAnsi="Times New Roman" w:cs="Times New Roman"/>
                <w:sz w:val="28"/>
                <w:szCs w:val="28"/>
              </w:rPr>
              <w:t xml:space="preserve">от 26.03.2022 </w:t>
            </w:r>
            <w:hyperlink r:id="rId6" w:history="1">
              <w:r w:rsidRPr="004320A2">
                <w:rPr>
                  <w:rFonts w:ascii="Times New Roman" w:hAnsi="Times New Roman" w:cs="Times New Roman"/>
                  <w:sz w:val="28"/>
                  <w:szCs w:val="28"/>
                </w:rPr>
                <w:t>N 482</w:t>
              </w:r>
            </w:hyperlink>
            <w:r w:rsidRPr="004320A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4320A2">
          <w:rPr>
            <w:rFonts w:ascii="Times New Roman" w:hAnsi="Times New Roman" w:cs="Times New Roman"/>
            <w:sz w:val="28"/>
            <w:szCs w:val="28"/>
          </w:rPr>
          <w:t>подпунктом 1 пункта 2 статьи 242.24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Правительство Российской Федерации постановляет: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w:anchor="Par28" w:history="1">
        <w:r w:rsidRPr="004320A2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экономического обоснования затрат.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1 января 2022 г.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М.МИШУСТИН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Утверждены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от 13 декабря 2021 г. N 2271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8"/>
      <w:bookmarkEnd w:id="1"/>
      <w:r w:rsidRPr="004320A2">
        <w:rPr>
          <w:rFonts w:ascii="Times New Roman" w:hAnsi="Times New Roman" w:cs="Times New Roman"/>
          <w:b/>
          <w:bCs/>
          <w:sz w:val="28"/>
          <w:szCs w:val="28"/>
        </w:rPr>
        <w:t>ПРАВИЛА ЭКОНОМИЧЕСКОГО ОБОСНОВАНИЯ ЗАТРАТ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8785"/>
        <w:gridCol w:w="113"/>
      </w:tblGrid>
      <w:tr w:rsidR="004320A2" w:rsidRPr="004320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2">
              <w:rPr>
                <w:rFonts w:ascii="Times New Roman" w:hAnsi="Times New Roman" w:cs="Times New Roman"/>
                <w:sz w:val="28"/>
                <w:szCs w:val="28"/>
              </w:rPr>
              <w:t>Список изменяющих документов</w:t>
            </w:r>
          </w:p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0A2">
              <w:rPr>
                <w:rFonts w:ascii="Times New Roman" w:hAnsi="Times New Roman" w:cs="Times New Roman"/>
                <w:sz w:val="28"/>
                <w:szCs w:val="28"/>
              </w:rPr>
              <w:t xml:space="preserve">(в ред. </w:t>
            </w:r>
            <w:hyperlink r:id="rId8" w:history="1">
              <w:r w:rsidRPr="004320A2">
                <w:rPr>
                  <w:rFonts w:ascii="Times New Roman" w:hAnsi="Times New Roman" w:cs="Times New Roman"/>
                  <w:sz w:val="28"/>
                  <w:szCs w:val="28"/>
                </w:rPr>
                <w:t>Постановления</w:t>
              </w:r>
            </w:hyperlink>
            <w:r w:rsidRPr="004320A2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РФ от 14.12.2022 N 2301)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320A2" w:rsidRPr="004320A2" w:rsidRDefault="004320A2" w:rsidP="004320A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1. Настоящие Правила определяют порядок экономического обоснования затрат, подлежащих экономическому обоснованию в соответствии с настоящими Правилами, при осуществлении расширенного казначейского сопровождения средств, предоставляемых в целях </w:t>
      </w:r>
      <w:proofErr w:type="gramStart"/>
      <w:r w:rsidRPr="004320A2">
        <w:rPr>
          <w:rFonts w:ascii="Times New Roman" w:hAnsi="Times New Roman" w:cs="Times New Roman"/>
          <w:sz w:val="28"/>
          <w:szCs w:val="28"/>
        </w:rPr>
        <w:lastRenderedPageBreak/>
        <w:t>исполнения</w:t>
      </w:r>
      <w:proofErr w:type="gramEnd"/>
      <w:r w:rsidRPr="004320A2">
        <w:rPr>
          <w:rFonts w:ascii="Times New Roman" w:hAnsi="Times New Roman" w:cs="Times New Roman"/>
          <w:sz w:val="28"/>
          <w:szCs w:val="28"/>
        </w:rPr>
        <w:t xml:space="preserve"> определенных правовым актом Правительства Российской Федерации (далее - целевые средства):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" w:history="1">
        <w:r w:rsidRPr="004320A2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2301)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а) государственных контрактов, заключаемых с единственным поставщиком (подрядчиком, исполнителем), определенным в соответствии с </w:t>
      </w:r>
      <w:hyperlink r:id="rId10" w:history="1">
        <w:r w:rsidRPr="004320A2"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нужд", предметом которых является строительство (реконструкция, в том числе с элементами реставрации, технического перевооружения) объектов капитального строительства (за исключением государственных контрактов, заключаемых в целях выполнения государственного оборонного заказа) (далее соответственно - государственный контракт, строительство, объект капитальных вложений);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" w:history="1">
        <w:r w:rsidRPr="004320A2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2301)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б) договоров (соглашений) о предоставлении субсидий юридическим лицам в соответствии с </w:t>
      </w:r>
      <w:hyperlink r:id="rId12" w:history="1">
        <w:r w:rsidRPr="004320A2">
          <w:rPr>
            <w:rFonts w:ascii="Times New Roman" w:hAnsi="Times New Roman" w:cs="Times New Roman"/>
            <w:sz w:val="28"/>
            <w:szCs w:val="28"/>
          </w:rPr>
          <w:t>пунктами 8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4320A2">
          <w:rPr>
            <w:rFonts w:ascii="Times New Roman" w:hAnsi="Times New Roman" w:cs="Times New Roman"/>
            <w:sz w:val="28"/>
            <w:szCs w:val="28"/>
          </w:rPr>
          <w:t>8.1 статьи 78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4320A2">
          <w:rPr>
            <w:rFonts w:ascii="Times New Roman" w:hAnsi="Times New Roman" w:cs="Times New Roman"/>
            <w:sz w:val="28"/>
            <w:szCs w:val="28"/>
          </w:rPr>
          <w:t>статьями 78.2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4320A2">
          <w:rPr>
            <w:rFonts w:ascii="Times New Roman" w:hAnsi="Times New Roman" w:cs="Times New Roman"/>
            <w:sz w:val="28"/>
            <w:szCs w:val="28"/>
          </w:rPr>
          <w:t>78.3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договоров о предоставлении бюджетных инвестиций юридическим лицам в соответствии со </w:t>
      </w:r>
      <w:hyperlink r:id="rId16" w:history="1">
        <w:r w:rsidRPr="004320A2"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соглашения (договоры) о предоставлении субсидий (бюджетных инвестиций) на осуществление капитальных вложений в отдельный объект капитальных вложений;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7" w:history="1">
        <w:r w:rsidRPr="004320A2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2301)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в) контрактов (договоров) о поставке товаров, выполнении работ и оказании услуг, заключенных в рамках исполнения государственных контрактов и соглашений (договоров) о предоставлении субсидий (бюджетных инвестиций),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</w:t>
      </w:r>
      <w:proofErr w:type="gramStart"/>
      <w:r w:rsidRPr="004320A2">
        <w:rPr>
          <w:rFonts w:ascii="Times New Roman" w:hAnsi="Times New Roman" w:cs="Times New Roman"/>
          <w:sz w:val="28"/>
          <w:szCs w:val="28"/>
        </w:rPr>
        <w:t>исполнения</w:t>
      </w:r>
      <w:proofErr w:type="gramEnd"/>
      <w:r w:rsidRPr="004320A2">
        <w:rPr>
          <w:rFonts w:ascii="Times New Roman" w:hAnsi="Times New Roman" w:cs="Times New Roman"/>
          <w:sz w:val="28"/>
          <w:szCs w:val="28"/>
        </w:rPr>
        <w:t xml:space="preserve"> которых являются субсидии (бюджетные инвестиции) (далее - контракт (договор).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г) утратил силу. - </w:t>
      </w:r>
      <w:hyperlink r:id="rId18" w:history="1">
        <w:r w:rsidRPr="004320A2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Правительства РФ от 14.12.2022 N 2301.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2. Государственные заказчики и главные распорядители бюджетных средств, до которых как получателей бюджетных средств доведены лимиты бюджетных обязательств на предоставление субсидий (бюджетных инвестиций) (далее - главный распорядитель бюджетных средств) и получатели целевых средств обеспечивают применение настоящих Правил при исполнении государственных контрактов и соглашений (договоров) о предоставлении субсидий (бюджетных инвестиций) и контрактов (договоров).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3. В настоящих Правилах используются следующие понятия: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а) "сведения" - документ, утверждающий сведения об операциях с целевыми средствами, определенный порядком санкционирования операций со средствами участников казначейского сопровождения, </w:t>
      </w:r>
      <w:r w:rsidRPr="004320A2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установленным Министерством финансов Российской Федерации в соответствии с </w:t>
      </w:r>
      <w:hyperlink r:id="rId19" w:history="1">
        <w:r w:rsidRPr="004320A2">
          <w:rPr>
            <w:rFonts w:ascii="Times New Roman" w:hAnsi="Times New Roman" w:cs="Times New Roman"/>
            <w:sz w:val="28"/>
            <w:szCs w:val="28"/>
          </w:rPr>
          <w:t>пунктом 4 статьи 242.23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б) "предельные затраты" - затраты на строительство объекта капитальных вложений, определенные в соответствии с </w:t>
      </w:r>
      <w:hyperlink w:anchor="Par49" w:history="1">
        <w:r w:rsidRPr="004320A2">
          <w:rPr>
            <w:rFonts w:ascii="Times New Roman" w:hAnsi="Times New Roman" w:cs="Times New Roman"/>
            <w:sz w:val="28"/>
            <w:szCs w:val="28"/>
          </w:rPr>
          <w:t>пунктами 4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54" w:history="1">
        <w:r w:rsidRPr="004320A2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настоящих Правил на основании проектной документации, утвержденной в установленном законодательством Российской Федерации о градостроительной деятельности порядке;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в) "затраты по данным раздельного учета получателя целевых средств" - затраты, фактически начисленные получателем целевых средств по данным раздельного учета результатов финансово-хозяйственной деятельности по государственному контракту, соглашению (договору) о предоставлении субсидии (бюджетных инвестиций) и контракту (договору), произведенные получателем целевых средств без привлечения иных юридических лиц;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г) "экономически обоснованные затраты" - затраты по данным раздельного учета получателя целевых средств, подлежащие экономическому обоснованию в соответствии с настоящими Правилами, подтвержденные результатами анализа экономической обоснованности затрат, проведенного Федеральным казначейством в установленном им на основании </w:t>
      </w:r>
      <w:hyperlink r:id="rId20" w:history="1">
        <w:r w:rsidRPr="004320A2">
          <w:rPr>
            <w:rFonts w:ascii="Times New Roman" w:hAnsi="Times New Roman" w:cs="Times New Roman"/>
            <w:sz w:val="28"/>
            <w:szCs w:val="28"/>
          </w:rPr>
          <w:t>абзаца третьего подпункта 1 пункта 2 статьи 242.24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порядке с учетом положений настоящих Правил;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д) "лицевой счет, кассовые затраты (выплаты)" - показатели выплат по соответствующим видам затрат, указанные в сведениях, а также показатели фактических кассовых расходов по ним, отраженные на лицевом счете участника казначейского сопровождения, определенном </w:t>
      </w:r>
      <w:hyperlink r:id="rId21" w:history="1">
        <w:r w:rsidRPr="004320A2">
          <w:rPr>
            <w:rFonts w:ascii="Times New Roman" w:hAnsi="Times New Roman" w:cs="Times New Roman"/>
            <w:sz w:val="28"/>
            <w:szCs w:val="28"/>
          </w:rPr>
          <w:t>пунктом 7.1 статьи 220.1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е) "расходная декларация" - документ о формировании в установленных Правительством Российской Федерации случаях информации о структуре цены государственного контракта и контракта (договора), суммы средств, предусмотренной договором (соглашением), в порядке и по форме, которые установлены Министерством финансов Российской Федерации, в соответствии с </w:t>
      </w:r>
      <w:hyperlink r:id="rId22" w:history="1">
        <w:r w:rsidRPr="004320A2">
          <w:rPr>
            <w:rFonts w:ascii="Times New Roman" w:hAnsi="Times New Roman" w:cs="Times New Roman"/>
            <w:sz w:val="28"/>
            <w:szCs w:val="28"/>
          </w:rPr>
          <w:t>подпунктом 5 пункта 2 статьи 242.23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ж) "ресурсная расходная декларация" - документ, порядок формирования и внесения изменений в который устанавливается Министерством финансов Российской Федерации, в котором отражаются значения предельных затрат, экономически обоснованных затрат по государственному контракту и соглашению (договору) о предоставлении субсидии (бюджетных инвестиций), общие значения кассовых затрат (выплат), затрат по данным раздельного учета получателя целевых средств, по всем контрактам (договорам), заключенным в рамках исполнения государственного контракта, соглашения (договора) о предоставлении субсидии (бюджетных инвестиций), в том числе общие значения кассовых </w:t>
      </w:r>
      <w:r w:rsidRPr="004320A2">
        <w:rPr>
          <w:rFonts w:ascii="Times New Roman" w:hAnsi="Times New Roman" w:cs="Times New Roman"/>
          <w:sz w:val="28"/>
          <w:szCs w:val="28"/>
        </w:rPr>
        <w:lastRenderedPageBreak/>
        <w:t>затрат (выплат), затрат по данным раздельного учета получателя целевых средств по государственному контракту и соглашению (договору) о предоставлении субсидии (бюджетных инвестиций), произведенных без привлечения иных юридических лиц.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9"/>
      <w:bookmarkEnd w:id="2"/>
      <w:r w:rsidRPr="004320A2">
        <w:rPr>
          <w:rFonts w:ascii="Times New Roman" w:hAnsi="Times New Roman" w:cs="Times New Roman"/>
          <w:sz w:val="28"/>
          <w:szCs w:val="28"/>
        </w:rPr>
        <w:t>4. Экономическому обоснованию в соответствии с настоящими Правилами подлежат следующие виды затрат по государственным контрактам, соглашениям (договорам) о предоставлении субсидий (бюджетных инвестиций) и контрактам (договорам):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а) заработная плата;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б) налоги, сборы и иные обязательные платежи в бюджеты бюджетной системы Российской Федерации;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в) страховые взносы на обязательное социальное страхование.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5. Правительство Российской Федерации вправе установить дополнительные виды затрат, подлежащие экономическому обоснованию в соответствии с настоящими Правилами, в том числе в целях определения предельного уровня доходности, при исполнении государственного контракта и соглашения (договора) о предоставлении субсидии (бюджетных инвестиций).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4"/>
      <w:bookmarkEnd w:id="3"/>
      <w:r w:rsidRPr="004320A2">
        <w:rPr>
          <w:rFonts w:ascii="Times New Roman" w:hAnsi="Times New Roman" w:cs="Times New Roman"/>
          <w:sz w:val="28"/>
          <w:szCs w:val="28"/>
        </w:rPr>
        <w:t>6. Предельные затраты определяются: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а) государственным заказчиком по государственному контракту в пределах цены государственного контракта;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б) главным распорядителем бюджетных средств либо в соответствии с принятым им решением заказчиком по контракту (договору), являющемуся получателем субсидии (бюджетных инвестиций), по согласованию с главным распорядителем бюджетных средств - в пределах суммы соглашения (договора) о предоставлении субсидии (бюджетных инвестиций).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57"/>
      <w:bookmarkEnd w:id="4"/>
      <w:r w:rsidRPr="004320A2">
        <w:rPr>
          <w:rFonts w:ascii="Times New Roman" w:hAnsi="Times New Roman" w:cs="Times New Roman"/>
          <w:sz w:val="28"/>
          <w:szCs w:val="28"/>
        </w:rPr>
        <w:t xml:space="preserve">7. Территориальный орган Федерального казначейства для определения экономически обоснованных затрат в целом по государственному контракту, соглашению (договору) о предоставлении субсидии (бюджетных инвестиций) при приеме сведений по государственному контракту и соглашению (договору) о предоставлении субсидии (бюджетных инвестиций), а также по каждому контракту (договору) осуществляет проверку на предмет </w:t>
      </w:r>
      <w:proofErr w:type="spellStart"/>
      <w:r w:rsidRPr="004320A2">
        <w:rPr>
          <w:rFonts w:ascii="Times New Roman" w:hAnsi="Times New Roman" w:cs="Times New Roman"/>
          <w:sz w:val="28"/>
          <w:szCs w:val="28"/>
        </w:rPr>
        <w:t>непревышения</w:t>
      </w:r>
      <w:proofErr w:type="spellEnd"/>
      <w:r w:rsidRPr="004320A2">
        <w:rPr>
          <w:rFonts w:ascii="Times New Roman" w:hAnsi="Times New Roman" w:cs="Times New Roman"/>
          <w:sz w:val="28"/>
          <w:szCs w:val="28"/>
        </w:rPr>
        <w:t xml:space="preserve"> значений затрат по каждому виду затрат, подлежащих экономическому обоснованию, и общей суммы целевых средств, указанных в сведениях, с учетом значений затрат, включенных во все ранее представленные сведения по государственному контракту, соглашению (договору) о предоставлении субсидии (бюджетных инвестиций) и контрактам (договорам), над значениями соответствующих предельных затрат и цены (суммы) государственного контракта, соглашения (договора) о предоставлении субсидии (бюджетных инвестиций), указанных в ресурсной расходной декларации.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58"/>
      <w:bookmarkEnd w:id="5"/>
      <w:r w:rsidRPr="004320A2">
        <w:rPr>
          <w:rFonts w:ascii="Times New Roman" w:hAnsi="Times New Roman" w:cs="Times New Roman"/>
          <w:sz w:val="28"/>
          <w:szCs w:val="28"/>
        </w:rPr>
        <w:t xml:space="preserve">В случае если в процессе исполнения государственного контракта, соглашения (договора) о предоставлении субсидии (бюджетных инвестиций) и контракта (договора) возникает необходимость изменения </w:t>
      </w:r>
      <w:r w:rsidRPr="004320A2">
        <w:rPr>
          <w:rFonts w:ascii="Times New Roman" w:hAnsi="Times New Roman" w:cs="Times New Roman"/>
          <w:sz w:val="28"/>
          <w:szCs w:val="28"/>
        </w:rPr>
        <w:lastRenderedPageBreak/>
        <w:t xml:space="preserve">объема выплат по видам подлежащих экономическому обоснованию затрат, указанным в </w:t>
      </w:r>
      <w:hyperlink w:anchor="Par49" w:history="1">
        <w:r w:rsidRPr="004320A2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настоящих Правил, государственный заказчик, главный распорядитель бюджетных средств, получатель субсидии (бюджетных инвестиций) и исполнитель по государственному контракту и контракту (договору), осуществляющий функции заказчика по соответствующему контракту (договору), заключенному им с иным получателем целевых средств (далее - заказчик), вправе внести соответствующие изменения в сведения в пределах цены (суммы) государственного контракта, соглашения (договора) о предоставлении субсидии (бюджетных инвестиций) и контракта (договора).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В случае если изменения, указанные в </w:t>
      </w:r>
      <w:hyperlink w:anchor="Par58" w:history="1">
        <w:r w:rsidRPr="004320A2">
          <w:rPr>
            <w:rFonts w:ascii="Times New Roman" w:hAnsi="Times New Roman" w:cs="Times New Roman"/>
            <w:sz w:val="28"/>
            <w:szCs w:val="28"/>
          </w:rPr>
          <w:t>абзаце втором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настоящего пункта, приводят к превышению значений предельных затрат, указанных в </w:t>
      </w:r>
      <w:hyperlink w:anchor="Par57" w:history="1">
        <w:r w:rsidRPr="004320A2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настоящего пункта, в территориальный орган Федерального казначейства представляются обоснования таких изменений.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8. Для определения экономически обоснованных затрат при проведении платежа при окончательном расчете по государственному контракту, соглашению (договору) о предоставлении субсидии (бюджетных инвестиций) и контракту (договору), а также при оплате этапа по государственному контракту и соглашению (договору) о предоставлении субсидии (бюджетных инвестиций) (в случае если условиями государственного контракта и соглашения (договора) о предоставлении субсидии (бюджетных инвестиций) предусмотрены этапы его исполнения) затраты по данным раздельного учета получателя целевых средств, отраженные в расходной декларации, проверяются территориальным органом Федерального казначейства с проведением анализа экономического обоснования затрат на соответствие фактическим затратам, а также на соответствие: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а) информации, содержащейся в расходной декларации, данным, отраженным в информационных системах участников казначейского сопровождения - получателей целевых средств, в которых осуществляется ведение бухгалтерского и управленческого учета;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б) данным, отраженным в информационных системах участников казначейского сопровождения - получателей целевых средств, информации, содержащейся в первичных учетных документах;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в) информации, содержащейся в первичных учетных документах, информации, указанной в государственном контракте, соглашении (договоре) о предоставлении субсидии (бюджетных инвестиций) и контракте (договоре).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4"/>
      <w:bookmarkEnd w:id="6"/>
      <w:r w:rsidRPr="004320A2">
        <w:rPr>
          <w:rFonts w:ascii="Times New Roman" w:hAnsi="Times New Roman" w:cs="Times New Roman"/>
          <w:sz w:val="28"/>
          <w:szCs w:val="28"/>
        </w:rPr>
        <w:t>9. Затраты по государственному контракту и соглашению (договору) о предоставлении субсидии (бюджетных инвестиций) с учетом ранее проведенных окончательных расчетов по всем контрактам (договорам), заключенным в рамках исполнения государственного контракта и соглашения (договора) о предоставлении субсидии (бюджетных инвестиций), не должны превышать предельные затраты, указанные в ресурсной расходной декларации.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lastRenderedPageBreak/>
        <w:t xml:space="preserve">10. При казначейском сопровождении с проведением анализа экономического обоснования затрат условия ведения и использования лицевого счета (режим лицевого счета) в дополнение к положениям, определенным порядком расширенного казначейского сопровождения, установленным Правительством Российской Федерации в соответствии с </w:t>
      </w:r>
      <w:hyperlink r:id="rId23" w:history="1">
        <w:r w:rsidRPr="004320A2">
          <w:rPr>
            <w:rFonts w:ascii="Times New Roman" w:hAnsi="Times New Roman" w:cs="Times New Roman"/>
            <w:sz w:val="28"/>
            <w:szCs w:val="28"/>
          </w:rPr>
          <w:t>пунктом 2 статьи 242.24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включают положения: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а) о санкционировании расходов, источником финансового обеспечения которых являются целевые средства, на основании сведений, полномочия по утверждению которых не подлежат передаче от заказчика;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 xml:space="preserve">б) о проведении операций по списанию целевых средств с лицевого счета после осуществления проверок, предусмотренных </w:t>
      </w:r>
      <w:hyperlink w:anchor="Par57" w:history="1">
        <w:r w:rsidRPr="004320A2">
          <w:rPr>
            <w:rFonts w:ascii="Times New Roman" w:hAnsi="Times New Roman" w:cs="Times New Roman"/>
            <w:sz w:val="28"/>
            <w:szCs w:val="28"/>
          </w:rPr>
          <w:t>пунктами 7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64" w:history="1">
        <w:r w:rsidRPr="004320A2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4320A2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4320A2" w:rsidRPr="004320A2" w:rsidRDefault="004320A2" w:rsidP="004320A2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20A2">
        <w:rPr>
          <w:rFonts w:ascii="Times New Roman" w:hAnsi="Times New Roman" w:cs="Times New Roman"/>
          <w:sz w:val="28"/>
          <w:szCs w:val="28"/>
        </w:rPr>
        <w:t>11. Экономическое обоснование затрат при исполнении государственных контрактов, соглашений (договоров) о предоставлении субсидий (бюджетных инвестиций) и контрактов (договоров), содержащих сведения, составляющие государственную тайну или относимые к охраняемой законодательством Российской Федерации иной информации ограниченного доступа, осуществляется с соблюдением требований, установленных законодательством Российской Федерации о государственной тайне.</w:t>
      </w:r>
    </w:p>
    <w:p w:rsidR="004320A2" w:rsidRPr="004320A2" w:rsidRDefault="004320A2" w:rsidP="004320A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067313" w:rsidRDefault="00067313"/>
    <w:sectPr w:rsidR="00067313" w:rsidSect="00455C0D">
      <w:pgSz w:w="11905" w:h="16838"/>
      <w:pgMar w:top="1134" w:right="1133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CB7"/>
    <w:rsid w:val="00067313"/>
    <w:rsid w:val="004320A2"/>
    <w:rsid w:val="00C4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E1EEF-CC83-42B9-9DAA-72DD25E7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E024F263B8B1A3194197E82C3EC1D74FABF041F98ED117AB943DB9A178F23826759C6579C9514F3DFD7A76CA070D90969F6C6F7F7E4B9Cm1ECJ" TargetMode="External"/><Relationship Id="rId13" Type="http://schemas.openxmlformats.org/officeDocument/2006/relationships/hyperlink" Target="consultantplus://offline/ref=51E024F263B8B1A3194197E82C3EC1D748AFF241FF8AD117AB943DB9A178F23826759C6171C851456DA76A728353048F92897265617Em4E8J" TargetMode="External"/><Relationship Id="rId18" Type="http://schemas.openxmlformats.org/officeDocument/2006/relationships/hyperlink" Target="consultantplus://offline/ref=51E024F263B8B1A3194197E82C3EC1D74FABF041F98ED117AB943DB9A178F23826759C6579C9514F30FD7A76CA070D90969F6C6F7F7E4B9Cm1EC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1E024F263B8B1A3194197E82C3EC1D748AFF241FF8AD117AB943DB9A178F23826759C627FCD50456DA76A728353048F92897265617Em4E8J" TargetMode="External"/><Relationship Id="rId7" Type="http://schemas.openxmlformats.org/officeDocument/2006/relationships/hyperlink" Target="consultantplus://offline/ref=51E024F263B8B1A3194197E82C3EC1D748AFF241FF8AD117AB943DB9A178F23826759C627ECF58456DA76A728353048F92897265617Em4E8J" TargetMode="External"/><Relationship Id="rId12" Type="http://schemas.openxmlformats.org/officeDocument/2006/relationships/hyperlink" Target="consultantplus://offline/ref=51E024F263B8B1A3194197E82C3EC1D748AFF241FF8AD117AB943DB9A178F23826759C6171C956456DA76A728353048F92897265617Em4E8J" TargetMode="External"/><Relationship Id="rId17" Type="http://schemas.openxmlformats.org/officeDocument/2006/relationships/hyperlink" Target="consultantplus://offline/ref=51E024F263B8B1A3194197E82C3EC1D74FABF041F98ED117AB943DB9A178F23826759C6579C9514F31FD7A76CA070D90969F6C6F7F7E4B9Cm1ECJ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1E024F263B8B1A3194197E82C3EC1D748AFF241FF8AD117AB943DB9A178F23826759C6579CA504A3BFD7A76CA070D90969F6C6F7F7E4B9Cm1ECJ" TargetMode="External"/><Relationship Id="rId20" Type="http://schemas.openxmlformats.org/officeDocument/2006/relationships/hyperlink" Target="consultantplus://offline/ref=51E024F263B8B1A3194197E82C3EC1D748AFF241FF8AD117AB943DB9A178F23826759C627ECF58456DA76A728353048F92897265617Em4E8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E024F263B8B1A3194197E82C3EC1D74FA9F749F484D117AB943DB9A178F23826759C6579C9514E3EFD7A76CA070D90969F6C6F7F7E4B9Cm1ECJ" TargetMode="External"/><Relationship Id="rId11" Type="http://schemas.openxmlformats.org/officeDocument/2006/relationships/hyperlink" Target="consultantplus://offline/ref=51E024F263B8B1A3194197E82C3EC1D74FABF041F98ED117AB943DB9A178F23826759C6579C9514F3EFD7A76CA070D90969F6C6F7F7E4B9Cm1ECJ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51E024F263B8B1A3194197E82C3EC1D74FA9F541F98CD117AB943DB9A178F23826759C6579C9514E31FD7A76CA070D90969F6C6F7F7E4B9Cm1ECJ" TargetMode="External"/><Relationship Id="rId15" Type="http://schemas.openxmlformats.org/officeDocument/2006/relationships/hyperlink" Target="consultantplus://offline/ref=51E024F263B8B1A3194197E82C3EC1D748AFF241FF8AD117AB943DB9A178F23826759C6579CA54493EFD7A76CA070D90969F6C6F7F7E4B9Cm1ECJ" TargetMode="External"/><Relationship Id="rId23" Type="http://schemas.openxmlformats.org/officeDocument/2006/relationships/hyperlink" Target="consultantplus://offline/ref=51E024F263B8B1A3194197E82C3EC1D748AFF241FF8AD117AB943DB9A178F23826759C627ECF57456DA76A728353048F92897265617Em4E8J" TargetMode="External"/><Relationship Id="rId10" Type="http://schemas.openxmlformats.org/officeDocument/2006/relationships/hyperlink" Target="consultantplus://offline/ref=51E024F263B8B1A3194197E82C3EC1D748A0FD48FF8AD117AB943DB9A178F23826759C6578C953456DA76A728353048F92897265617Em4E8J" TargetMode="External"/><Relationship Id="rId19" Type="http://schemas.openxmlformats.org/officeDocument/2006/relationships/hyperlink" Target="consultantplus://offline/ref=51E024F263B8B1A3194197E82C3EC1D748AFF241FF8AD117AB943DB9A178F23826759C627ECF51456DA76A728353048F92897265617Em4E8J" TargetMode="External"/><Relationship Id="rId4" Type="http://schemas.openxmlformats.org/officeDocument/2006/relationships/hyperlink" Target="consultantplus://offline/ref=51E024F263B8B1A3194197E82C3EC1D74FABF041F98ED117AB943DB9A178F23826759C6579C9514F3DFD7A76CA070D90969F6C6F7F7E4B9Cm1ECJ" TargetMode="External"/><Relationship Id="rId9" Type="http://schemas.openxmlformats.org/officeDocument/2006/relationships/hyperlink" Target="consultantplus://offline/ref=51E024F263B8B1A3194197E82C3EC1D74FABF041F98ED117AB943DB9A178F23826759C6579C9514F3CFD7A76CA070D90969F6C6F7F7E4B9Cm1ECJ" TargetMode="External"/><Relationship Id="rId14" Type="http://schemas.openxmlformats.org/officeDocument/2006/relationships/hyperlink" Target="consultantplus://offline/ref=51E024F263B8B1A3194197E82C3EC1D748AFF241FF8AD117AB943DB9A178F23826759C6579CA554D3AFD7A76CA070D90969F6C6F7F7E4B9Cm1ECJ" TargetMode="External"/><Relationship Id="rId22" Type="http://schemas.openxmlformats.org/officeDocument/2006/relationships/hyperlink" Target="consultantplus://offline/ref=51E024F263B8B1A3194197E82C3EC1D748AFF241FF8AD117AB943DB9A178F23826759C627ECD59456DA76A728353048F92897265617Em4E8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2450</Words>
  <Characters>13967</Characters>
  <Application>Microsoft Office Word</Application>
  <DocSecurity>0</DocSecurity>
  <Lines>116</Lines>
  <Paragraphs>32</Paragraphs>
  <ScaleCrop>false</ScaleCrop>
  <Company/>
  <LinksUpToDate>false</LinksUpToDate>
  <CharactersWithSpaces>16385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Деева Юлия Юрьевна</dc:creator>
  <cp:keywords/>
  <dc:description/>
  <cp:lastModifiedBy>Деева Юлия Юрьевна</cp:lastModifiedBy>
  <cp:revision>2</cp:revision>
  <dcterms:created xsi:type="dcterms:W3CDTF">2023-08-14T09:05:00Z</dcterms:created>
  <dcterms:modified xsi:type="dcterms:W3CDTF">2023-08-14T09:06:00Z</dcterms:modified>
</cp:coreProperties>
</file>