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F2F39" w14:textId="77777777" w:rsidR="009E034C" w:rsidRPr="00377E5B" w:rsidRDefault="009E034C" w:rsidP="00377E5B">
      <w:pPr>
        <w:shd w:val="clear" w:color="auto" w:fill="FFFFFF"/>
        <w:spacing w:after="96" w:line="240" w:lineRule="auto"/>
        <w:jc w:val="center"/>
        <w:outlineLvl w:val="0"/>
        <w:rPr>
          <w:rFonts w:ascii="Times New Roman" w:eastAsia="Times New Roman" w:hAnsi="Times New Roman" w:cs="Times New Roman"/>
          <w:b/>
          <w:bCs/>
          <w:kern w:val="36"/>
          <w:sz w:val="32"/>
          <w:szCs w:val="32"/>
          <w:lang w:eastAsia="ru-RU"/>
        </w:rPr>
      </w:pPr>
      <w:r w:rsidRPr="00377E5B">
        <w:rPr>
          <w:rFonts w:ascii="Times New Roman" w:eastAsia="Times New Roman" w:hAnsi="Times New Roman" w:cs="Times New Roman"/>
          <w:b/>
          <w:bCs/>
          <w:kern w:val="36"/>
          <w:sz w:val="32"/>
          <w:szCs w:val="32"/>
          <w:lang w:eastAsia="ru-RU"/>
        </w:rPr>
        <w:t>Переход на применение приказа 198н</w:t>
      </w:r>
    </w:p>
    <w:p w14:paraId="0CE33FE1" w14:textId="77777777" w:rsidR="00377E5B" w:rsidRDefault="00377E5B" w:rsidP="00377E5B">
      <w:pPr>
        <w:pStyle w:val="1"/>
        <w:shd w:val="clear" w:color="auto" w:fill="FFFFFF"/>
        <w:spacing w:before="0" w:beforeAutospacing="0" w:after="96" w:afterAutospacing="0"/>
        <w:ind w:firstLine="567"/>
        <w:jc w:val="both"/>
        <w:rPr>
          <w:b w:val="0"/>
          <w:sz w:val="28"/>
          <w:szCs w:val="28"/>
          <w:shd w:val="clear" w:color="auto" w:fill="FFFFFF"/>
        </w:rPr>
      </w:pPr>
    </w:p>
    <w:p w14:paraId="313D6492" w14:textId="1EE86148" w:rsidR="00B60F48" w:rsidRPr="00B60F48" w:rsidRDefault="00B60F48" w:rsidP="00377E5B">
      <w:pPr>
        <w:pStyle w:val="1"/>
        <w:shd w:val="clear" w:color="auto" w:fill="FFFFFF"/>
        <w:spacing w:before="0" w:beforeAutospacing="0" w:after="96" w:afterAutospacing="0"/>
        <w:ind w:firstLine="567"/>
        <w:jc w:val="both"/>
        <w:rPr>
          <w:sz w:val="28"/>
          <w:szCs w:val="28"/>
          <w:shd w:val="clear" w:color="auto" w:fill="FFFFFF"/>
        </w:rPr>
      </w:pPr>
      <w:proofErr w:type="gramStart"/>
      <w:r w:rsidRPr="00B60F48">
        <w:rPr>
          <w:sz w:val="28"/>
          <w:szCs w:val="28"/>
          <w:shd w:val="clear" w:color="auto" w:fill="FFFFFF"/>
        </w:rPr>
        <w:t>!Внимание</w:t>
      </w:r>
      <w:proofErr w:type="gramEnd"/>
      <w:r w:rsidRPr="00B60F48">
        <w:rPr>
          <w:sz w:val="28"/>
          <w:szCs w:val="28"/>
          <w:shd w:val="clear" w:color="auto" w:fill="FFFFFF"/>
        </w:rPr>
        <w:t>! Перенос остатков с устаревших счетов на новые счета с датой начала действия 01.01.2021 года необходимо проводить после завершения всех операций за 2020 год, по крайней мере – по переносимым счетам.</w:t>
      </w:r>
    </w:p>
    <w:p w14:paraId="4A45B78C" w14:textId="779420BB" w:rsidR="00E60A96" w:rsidRDefault="00E60A96" w:rsidP="00377E5B">
      <w:pPr>
        <w:pStyle w:val="1"/>
        <w:shd w:val="clear" w:color="auto" w:fill="FFFFFF"/>
        <w:spacing w:before="0" w:beforeAutospacing="0" w:after="96" w:afterAutospacing="0"/>
        <w:ind w:firstLine="567"/>
        <w:jc w:val="both"/>
        <w:rPr>
          <w:b w:val="0"/>
          <w:sz w:val="28"/>
          <w:szCs w:val="28"/>
          <w:shd w:val="clear" w:color="auto" w:fill="FFFFFF"/>
        </w:rPr>
      </w:pPr>
      <w:r>
        <w:rPr>
          <w:b w:val="0"/>
          <w:sz w:val="28"/>
          <w:szCs w:val="28"/>
          <w:shd w:val="clear" w:color="auto" w:fill="FFFFFF"/>
        </w:rPr>
        <w:t xml:space="preserve">Для перехода на применение приказа Минфина </w:t>
      </w:r>
      <w:r w:rsidR="005F3745">
        <w:rPr>
          <w:b w:val="0"/>
          <w:sz w:val="28"/>
          <w:szCs w:val="28"/>
          <w:shd w:val="clear" w:color="auto" w:fill="FFFFFF"/>
        </w:rPr>
        <w:t xml:space="preserve">России </w:t>
      </w:r>
      <w:r>
        <w:rPr>
          <w:b w:val="0"/>
          <w:sz w:val="28"/>
          <w:szCs w:val="28"/>
          <w:shd w:val="clear" w:color="auto" w:fill="FFFFFF"/>
        </w:rPr>
        <w:t xml:space="preserve">от </w:t>
      </w:r>
      <w:r w:rsidR="00B30FFE">
        <w:rPr>
          <w:b w:val="0"/>
          <w:sz w:val="28"/>
          <w:szCs w:val="28"/>
          <w:shd w:val="clear" w:color="auto" w:fill="FFFFFF"/>
        </w:rPr>
        <w:t>14.09.2020 г.</w:t>
      </w:r>
      <w:r>
        <w:rPr>
          <w:b w:val="0"/>
          <w:sz w:val="28"/>
          <w:szCs w:val="28"/>
          <w:shd w:val="clear" w:color="auto" w:fill="FFFFFF"/>
        </w:rPr>
        <w:t xml:space="preserve"> </w:t>
      </w:r>
      <w:r w:rsidR="005F3745">
        <w:rPr>
          <w:b w:val="0"/>
          <w:sz w:val="28"/>
          <w:szCs w:val="28"/>
          <w:shd w:val="clear" w:color="auto" w:fill="FFFFFF"/>
        </w:rPr>
        <w:t xml:space="preserve">           </w:t>
      </w:r>
      <w:r>
        <w:rPr>
          <w:b w:val="0"/>
          <w:sz w:val="28"/>
          <w:szCs w:val="28"/>
          <w:shd w:val="clear" w:color="auto" w:fill="FFFFFF"/>
        </w:rPr>
        <w:t xml:space="preserve">№ 198н (далее – Приказ 198н) в программе используются две обработки: документ «Переход на применение приказа 198н (НФА)» и «Помощник переноса остатков с устаревших счетов». </w:t>
      </w:r>
    </w:p>
    <w:p w14:paraId="051647A0" w14:textId="5C64198F" w:rsidR="00DA4805" w:rsidRPr="00377E5B" w:rsidRDefault="00E60A96" w:rsidP="00377E5B">
      <w:pPr>
        <w:pStyle w:val="1"/>
        <w:shd w:val="clear" w:color="auto" w:fill="FFFFFF"/>
        <w:spacing w:before="0" w:beforeAutospacing="0" w:after="96" w:afterAutospacing="0"/>
        <w:ind w:firstLine="567"/>
        <w:jc w:val="both"/>
        <w:rPr>
          <w:b w:val="0"/>
          <w:sz w:val="28"/>
          <w:szCs w:val="28"/>
          <w:shd w:val="clear" w:color="auto" w:fill="FFFFFF"/>
        </w:rPr>
      </w:pPr>
      <w:r>
        <w:rPr>
          <w:b w:val="0"/>
          <w:sz w:val="28"/>
          <w:szCs w:val="28"/>
          <w:shd w:val="clear" w:color="auto" w:fill="FFFFFF"/>
        </w:rPr>
        <w:t xml:space="preserve">1. </w:t>
      </w:r>
      <w:r w:rsidRPr="00377E5B">
        <w:rPr>
          <w:b w:val="0"/>
          <w:sz w:val="28"/>
          <w:szCs w:val="28"/>
          <w:shd w:val="clear" w:color="auto" w:fill="FFFFFF"/>
        </w:rPr>
        <w:t>Документ «</w:t>
      </w:r>
      <w:r w:rsidRPr="00377E5B">
        <w:rPr>
          <w:b w:val="0"/>
          <w:sz w:val="28"/>
          <w:szCs w:val="28"/>
        </w:rPr>
        <w:t>Переход на применение приказа 198н (НФА)</w:t>
      </w:r>
      <w:r w:rsidRPr="00377E5B">
        <w:rPr>
          <w:b w:val="0"/>
          <w:sz w:val="28"/>
          <w:szCs w:val="28"/>
          <w:shd w:val="clear" w:color="auto" w:fill="FFFFFF"/>
        </w:rPr>
        <w:t>»</w:t>
      </w:r>
      <w:r>
        <w:rPr>
          <w:b w:val="0"/>
          <w:sz w:val="28"/>
          <w:szCs w:val="28"/>
          <w:shd w:val="clear" w:color="auto" w:fill="FFFFFF"/>
        </w:rPr>
        <w:t xml:space="preserve"> предназначен д</w:t>
      </w:r>
      <w:r w:rsidR="009E034C" w:rsidRPr="00377E5B">
        <w:rPr>
          <w:b w:val="0"/>
          <w:sz w:val="28"/>
          <w:szCs w:val="28"/>
          <w:shd w:val="clear" w:color="auto" w:fill="FFFFFF"/>
        </w:rPr>
        <w:t xml:space="preserve">ля переноса </w:t>
      </w:r>
      <w:r w:rsidR="009E034C" w:rsidRPr="00377E5B">
        <w:rPr>
          <w:sz w:val="28"/>
          <w:szCs w:val="28"/>
          <w:shd w:val="clear" w:color="auto" w:fill="FFFFFF"/>
        </w:rPr>
        <w:t xml:space="preserve">остатков по счетам 100 00 «Нефинансовые активы» и </w:t>
      </w:r>
      <w:proofErr w:type="spellStart"/>
      <w:r w:rsidR="009E034C" w:rsidRPr="00377E5B">
        <w:rPr>
          <w:sz w:val="28"/>
          <w:szCs w:val="28"/>
          <w:shd w:val="clear" w:color="auto" w:fill="FFFFFF"/>
        </w:rPr>
        <w:t>забалансовым</w:t>
      </w:r>
      <w:proofErr w:type="spellEnd"/>
      <w:r w:rsidR="009E034C" w:rsidRPr="00377E5B">
        <w:rPr>
          <w:sz w:val="28"/>
          <w:szCs w:val="28"/>
          <w:shd w:val="clear" w:color="auto" w:fill="FFFFFF"/>
        </w:rPr>
        <w:t xml:space="preserve"> счетам 01, 02, 22, 24, 25, 26, 27</w:t>
      </w:r>
      <w:r w:rsidR="009E034C" w:rsidRPr="00377E5B">
        <w:rPr>
          <w:b w:val="0"/>
          <w:sz w:val="28"/>
          <w:szCs w:val="28"/>
          <w:shd w:val="clear" w:color="auto" w:fill="FFFFFF"/>
        </w:rPr>
        <w:t xml:space="preserve"> в связи с</w:t>
      </w:r>
      <w:r>
        <w:rPr>
          <w:b w:val="0"/>
          <w:sz w:val="28"/>
          <w:szCs w:val="28"/>
          <w:shd w:val="clear" w:color="auto" w:fill="FFFFFF"/>
        </w:rPr>
        <w:t xml:space="preserve"> переходом на новый план счетов. Документ</w:t>
      </w:r>
      <w:r w:rsidR="009E034C" w:rsidRPr="00377E5B">
        <w:rPr>
          <w:b w:val="0"/>
          <w:sz w:val="28"/>
          <w:szCs w:val="28"/>
          <w:shd w:val="clear" w:color="auto" w:fill="FFFFFF"/>
        </w:rPr>
        <w:t xml:space="preserve"> находится в разделе Учет и отчетность и доступен для пользователей с ролью Бухгалтер, Главный бухгалтер.</w:t>
      </w:r>
    </w:p>
    <w:p w14:paraId="42C67108" w14:textId="77777777" w:rsidR="00BB32B9" w:rsidRPr="00377E5B" w:rsidRDefault="00BB32B9" w:rsidP="00377E5B">
      <w:pPr>
        <w:pStyle w:val="1"/>
        <w:shd w:val="clear" w:color="auto" w:fill="FFFFFF"/>
        <w:spacing w:before="0" w:beforeAutospacing="0" w:after="96" w:afterAutospacing="0"/>
        <w:ind w:firstLine="567"/>
        <w:jc w:val="both"/>
        <w:rPr>
          <w:b w:val="0"/>
          <w:sz w:val="28"/>
          <w:szCs w:val="28"/>
          <w:shd w:val="clear" w:color="auto" w:fill="FFFFFF"/>
        </w:rPr>
      </w:pPr>
    </w:p>
    <w:p w14:paraId="51EB2AAE" w14:textId="77777777" w:rsidR="00C954CA" w:rsidRPr="00377E5B" w:rsidRDefault="00C954CA" w:rsidP="00377E5B">
      <w:pPr>
        <w:pStyle w:val="1"/>
        <w:shd w:val="clear" w:color="auto" w:fill="FFFFFF"/>
        <w:spacing w:before="0" w:beforeAutospacing="0" w:after="96" w:afterAutospacing="0"/>
        <w:jc w:val="both"/>
        <w:rPr>
          <w:b w:val="0"/>
          <w:sz w:val="28"/>
          <w:szCs w:val="28"/>
          <w:shd w:val="clear" w:color="auto" w:fill="FFFFFF"/>
        </w:rPr>
      </w:pPr>
      <w:r w:rsidRPr="00377E5B">
        <w:rPr>
          <w:noProof/>
        </w:rPr>
        <w:drawing>
          <wp:inline distT="0" distB="0" distL="0" distR="0" wp14:anchorId="2EA37630" wp14:editId="260479BF">
            <wp:extent cx="6210300" cy="2178685"/>
            <wp:effectExtent l="19050" t="19050" r="19050" b="1206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10300" cy="2178685"/>
                    </a:xfrm>
                    <a:prstGeom prst="rect">
                      <a:avLst/>
                    </a:prstGeom>
                    <a:ln>
                      <a:solidFill>
                        <a:schemeClr val="accent1"/>
                      </a:solidFill>
                    </a:ln>
                  </pic:spPr>
                </pic:pic>
              </a:graphicData>
            </a:graphic>
          </wp:inline>
        </w:drawing>
      </w:r>
    </w:p>
    <w:p w14:paraId="45D128D5" w14:textId="4039D2BB" w:rsidR="00BB32B9" w:rsidRPr="00E60A96" w:rsidRDefault="00E60A96" w:rsidP="00801955">
      <w:pPr>
        <w:pStyle w:val="a3"/>
        <w:tabs>
          <w:tab w:val="left" w:pos="8080"/>
        </w:tabs>
        <w:spacing w:before="0" w:beforeAutospacing="0"/>
        <w:ind w:firstLine="567"/>
        <w:jc w:val="center"/>
        <w:rPr>
          <w:bCs/>
          <w:sz w:val="28"/>
          <w:szCs w:val="28"/>
        </w:rPr>
      </w:pPr>
      <w:r w:rsidRPr="00E60A96">
        <w:rPr>
          <w:bCs/>
          <w:sz w:val="28"/>
          <w:szCs w:val="28"/>
        </w:rPr>
        <w:t xml:space="preserve">Рис. 1. </w:t>
      </w:r>
      <w:r w:rsidR="00DD62C8">
        <w:rPr>
          <w:bCs/>
          <w:sz w:val="28"/>
          <w:szCs w:val="28"/>
        </w:rPr>
        <w:t xml:space="preserve">Документ </w:t>
      </w:r>
      <w:r w:rsidRPr="00E60A96">
        <w:rPr>
          <w:sz w:val="28"/>
          <w:szCs w:val="28"/>
          <w:shd w:val="clear" w:color="auto" w:fill="FFFFFF"/>
        </w:rPr>
        <w:t>«</w:t>
      </w:r>
      <w:r w:rsidRPr="00E60A96">
        <w:rPr>
          <w:sz w:val="28"/>
          <w:szCs w:val="28"/>
        </w:rPr>
        <w:t>Переход на применение приказа 198н (НФА)</w:t>
      </w:r>
      <w:r w:rsidRPr="00E60A96">
        <w:rPr>
          <w:sz w:val="28"/>
          <w:szCs w:val="28"/>
          <w:shd w:val="clear" w:color="auto" w:fill="FFFFFF"/>
        </w:rPr>
        <w:t>».</w:t>
      </w:r>
    </w:p>
    <w:p w14:paraId="04184222" w14:textId="77777777" w:rsidR="009E034C" w:rsidRPr="00377E5B" w:rsidRDefault="009E034C" w:rsidP="00377E5B">
      <w:pPr>
        <w:pStyle w:val="a3"/>
        <w:spacing w:before="0" w:beforeAutospacing="0"/>
        <w:ind w:firstLine="567"/>
        <w:jc w:val="both"/>
        <w:rPr>
          <w:sz w:val="28"/>
          <w:szCs w:val="28"/>
        </w:rPr>
      </w:pPr>
      <w:r w:rsidRPr="00377E5B">
        <w:rPr>
          <w:b/>
          <w:bCs/>
          <w:sz w:val="28"/>
          <w:szCs w:val="28"/>
        </w:rPr>
        <w:t>Внимание</w:t>
      </w:r>
      <w:r w:rsidRPr="00377E5B">
        <w:rPr>
          <w:bCs/>
          <w:sz w:val="28"/>
          <w:szCs w:val="28"/>
        </w:rPr>
        <w:t>!</w:t>
      </w:r>
      <w:r w:rsidR="001E3A65" w:rsidRPr="00377E5B">
        <w:rPr>
          <w:bCs/>
          <w:sz w:val="28"/>
          <w:szCs w:val="28"/>
        </w:rPr>
        <w:t xml:space="preserve"> </w:t>
      </w:r>
      <w:r w:rsidRPr="00377E5B">
        <w:rPr>
          <w:sz w:val="28"/>
          <w:szCs w:val="28"/>
        </w:rPr>
        <w:t>Независимо от даты документа</w:t>
      </w:r>
      <w:r w:rsidRPr="00377E5B">
        <w:rPr>
          <w:rStyle w:val="apple-converted-space"/>
          <w:rFonts w:eastAsiaTheme="majorEastAsia"/>
          <w:bCs/>
          <w:sz w:val="28"/>
          <w:szCs w:val="28"/>
        </w:rPr>
        <w:t> </w:t>
      </w:r>
      <w:r w:rsidRPr="00377E5B">
        <w:rPr>
          <w:bCs/>
          <w:sz w:val="28"/>
          <w:szCs w:val="28"/>
        </w:rPr>
        <w:t>Переход на применение приказа 198н (НФА)</w:t>
      </w:r>
      <w:r w:rsidRPr="00377E5B">
        <w:rPr>
          <w:rStyle w:val="apple-converted-space"/>
          <w:rFonts w:eastAsiaTheme="majorEastAsia"/>
          <w:bCs/>
          <w:sz w:val="28"/>
          <w:szCs w:val="28"/>
        </w:rPr>
        <w:t> </w:t>
      </w:r>
      <w:r w:rsidRPr="00377E5B">
        <w:rPr>
          <w:sz w:val="28"/>
          <w:szCs w:val="28"/>
        </w:rPr>
        <w:t xml:space="preserve">проводки по переносу остатков формируются в </w:t>
      </w:r>
      <w:proofErr w:type="spellStart"/>
      <w:r w:rsidRPr="00377E5B">
        <w:rPr>
          <w:sz w:val="28"/>
          <w:szCs w:val="28"/>
        </w:rPr>
        <w:t>межотчетный</w:t>
      </w:r>
      <w:proofErr w:type="spellEnd"/>
      <w:r w:rsidRPr="00377E5B">
        <w:rPr>
          <w:sz w:val="28"/>
          <w:szCs w:val="28"/>
        </w:rPr>
        <w:t xml:space="preserve"> период (31.12.2020 23.59.59). При этом в документе дата начала применения плана счетов по приказу 198н устанавливается автоматически 01.01.2021.</w:t>
      </w:r>
      <w:r w:rsidRPr="00377E5B">
        <w:rPr>
          <w:rStyle w:val="apple-converted-space"/>
          <w:rFonts w:eastAsiaTheme="majorEastAsia"/>
          <w:sz w:val="28"/>
          <w:szCs w:val="28"/>
        </w:rPr>
        <w:t> </w:t>
      </w:r>
    </w:p>
    <w:p w14:paraId="31ADC228" w14:textId="7A9046D4" w:rsidR="009E034C" w:rsidRDefault="009E034C" w:rsidP="00377E5B">
      <w:pPr>
        <w:pStyle w:val="a3"/>
        <w:spacing w:before="0" w:beforeAutospacing="0"/>
        <w:ind w:firstLine="567"/>
        <w:jc w:val="both"/>
        <w:rPr>
          <w:sz w:val="28"/>
          <w:szCs w:val="28"/>
        </w:rPr>
      </w:pPr>
      <w:r w:rsidRPr="00377E5B">
        <w:rPr>
          <w:sz w:val="28"/>
          <w:szCs w:val="28"/>
        </w:rPr>
        <w:t>Перенос остатков по счетам разбит на операции. Для каждой операции необходимо создать отдельный документ. После выбора операции необходимо нажать кнопку</w:t>
      </w:r>
      <w:r w:rsidRPr="00377E5B">
        <w:rPr>
          <w:rStyle w:val="apple-converted-space"/>
          <w:rFonts w:eastAsiaTheme="majorEastAsia"/>
          <w:sz w:val="28"/>
          <w:szCs w:val="28"/>
        </w:rPr>
        <w:t> </w:t>
      </w:r>
      <w:r w:rsidRPr="00377E5B">
        <w:rPr>
          <w:bCs/>
          <w:sz w:val="28"/>
          <w:szCs w:val="28"/>
        </w:rPr>
        <w:t>Заполнить</w:t>
      </w:r>
      <w:r w:rsidRPr="00377E5B">
        <w:rPr>
          <w:sz w:val="28"/>
          <w:szCs w:val="28"/>
        </w:rPr>
        <w:t>. Табличная часть документа будет заполнена объектами, остатки по которым нужно перенести.</w:t>
      </w:r>
      <w:r w:rsidR="00D61EE3">
        <w:rPr>
          <w:sz w:val="28"/>
          <w:szCs w:val="28"/>
        </w:rPr>
        <w:t xml:space="preserve"> Например:</w:t>
      </w:r>
    </w:p>
    <w:p w14:paraId="0BFA1E04" w14:textId="26597AA2" w:rsidR="00C517B6" w:rsidRPr="00377E5B" w:rsidRDefault="00C517B6" w:rsidP="00BB30F3">
      <w:pPr>
        <w:pStyle w:val="a3"/>
        <w:spacing w:before="0" w:beforeAutospacing="0"/>
        <w:jc w:val="both"/>
        <w:rPr>
          <w:sz w:val="28"/>
          <w:szCs w:val="28"/>
        </w:rPr>
      </w:pPr>
      <w:r>
        <w:rPr>
          <w:noProof/>
        </w:rPr>
        <w:lastRenderedPageBreak/>
        <w:drawing>
          <wp:inline distT="0" distB="0" distL="0" distR="0" wp14:anchorId="51C25C23" wp14:editId="53543C35">
            <wp:extent cx="6210300" cy="1815465"/>
            <wp:effectExtent l="19050" t="19050" r="19050" b="133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210300" cy="1815465"/>
                    </a:xfrm>
                    <a:prstGeom prst="rect">
                      <a:avLst/>
                    </a:prstGeom>
                    <a:ln>
                      <a:solidFill>
                        <a:schemeClr val="accent1"/>
                      </a:solidFill>
                    </a:ln>
                  </pic:spPr>
                </pic:pic>
              </a:graphicData>
            </a:graphic>
          </wp:inline>
        </w:drawing>
      </w:r>
    </w:p>
    <w:p w14:paraId="5898D498" w14:textId="449F415F" w:rsidR="00DD62C8" w:rsidRPr="00E60A96" w:rsidRDefault="00DD62C8" w:rsidP="00DD62C8">
      <w:pPr>
        <w:pStyle w:val="a3"/>
        <w:tabs>
          <w:tab w:val="left" w:pos="8080"/>
        </w:tabs>
        <w:spacing w:before="0" w:beforeAutospacing="0"/>
        <w:ind w:firstLine="567"/>
        <w:jc w:val="center"/>
        <w:rPr>
          <w:bCs/>
          <w:sz w:val="28"/>
          <w:szCs w:val="28"/>
        </w:rPr>
      </w:pPr>
      <w:r>
        <w:rPr>
          <w:bCs/>
          <w:sz w:val="28"/>
          <w:szCs w:val="28"/>
        </w:rPr>
        <w:t>Рис. 2</w:t>
      </w:r>
      <w:r w:rsidRPr="00E60A96">
        <w:rPr>
          <w:bCs/>
          <w:sz w:val="28"/>
          <w:szCs w:val="28"/>
        </w:rPr>
        <w:t xml:space="preserve">. </w:t>
      </w:r>
      <w:r>
        <w:rPr>
          <w:bCs/>
          <w:sz w:val="28"/>
          <w:szCs w:val="28"/>
        </w:rPr>
        <w:t xml:space="preserve">Кнопка «Заполнить» документа </w:t>
      </w:r>
      <w:r w:rsidRPr="00E60A96">
        <w:rPr>
          <w:sz w:val="28"/>
          <w:szCs w:val="28"/>
          <w:shd w:val="clear" w:color="auto" w:fill="FFFFFF"/>
        </w:rPr>
        <w:t>«</w:t>
      </w:r>
      <w:r w:rsidRPr="00E60A96">
        <w:rPr>
          <w:sz w:val="28"/>
          <w:szCs w:val="28"/>
        </w:rPr>
        <w:t>Переход на применение приказа 198н (НФА)</w:t>
      </w:r>
      <w:r w:rsidRPr="00E60A96">
        <w:rPr>
          <w:sz w:val="28"/>
          <w:szCs w:val="28"/>
          <w:shd w:val="clear" w:color="auto" w:fill="FFFFFF"/>
        </w:rPr>
        <w:t>».</w:t>
      </w:r>
    </w:p>
    <w:p w14:paraId="71FE4E06" w14:textId="495B3C1A" w:rsidR="001E3A65" w:rsidRDefault="009E034C" w:rsidP="00377E5B">
      <w:pPr>
        <w:pStyle w:val="a3"/>
        <w:spacing w:before="0" w:beforeAutospacing="0"/>
        <w:ind w:firstLine="567"/>
        <w:jc w:val="both"/>
        <w:rPr>
          <w:sz w:val="28"/>
          <w:szCs w:val="28"/>
        </w:rPr>
      </w:pPr>
      <w:r w:rsidRPr="00377E5B">
        <w:rPr>
          <w:sz w:val="28"/>
          <w:szCs w:val="28"/>
        </w:rPr>
        <w:t>По одной операции может быть несколько документов. Например, если в документе установлен отбор по одному из доступных полей отбора (ИФО, Подразделение, КФО, Счет), и в разных документах отбор различается.</w:t>
      </w:r>
      <w:r w:rsidRPr="00377E5B">
        <w:rPr>
          <w:sz w:val="28"/>
          <w:szCs w:val="28"/>
        </w:rPr>
        <w:br/>
        <w:t>После заполнения документа объектами учета для каждого объекта в колонке</w:t>
      </w:r>
      <w:r w:rsidRPr="00377E5B">
        <w:rPr>
          <w:rStyle w:val="apple-converted-space"/>
          <w:rFonts w:eastAsiaTheme="majorEastAsia"/>
          <w:sz w:val="28"/>
          <w:szCs w:val="28"/>
        </w:rPr>
        <w:t> </w:t>
      </w:r>
      <w:r w:rsidRPr="00377E5B">
        <w:rPr>
          <w:bCs/>
          <w:sz w:val="28"/>
          <w:szCs w:val="28"/>
        </w:rPr>
        <w:t>Новый счет</w:t>
      </w:r>
      <w:r w:rsidRPr="00377E5B">
        <w:rPr>
          <w:rStyle w:val="apple-converted-space"/>
          <w:rFonts w:eastAsiaTheme="majorEastAsia"/>
          <w:sz w:val="28"/>
          <w:szCs w:val="28"/>
        </w:rPr>
        <w:t> </w:t>
      </w:r>
      <w:r w:rsidRPr="00377E5B">
        <w:rPr>
          <w:sz w:val="28"/>
          <w:szCs w:val="28"/>
        </w:rPr>
        <w:t>необходимо указать счет, на который будет выполнен перенос остатков. Счет необходимо выбрать из списка выбора. Если для старого счета доступен перенос только на 1 новый счет, то этот счет будет поставлен в колонку</w:t>
      </w:r>
      <w:r w:rsidRPr="00377E5B">
        <w:rPr>
          <w:rStyle w:val="apple-converted-space"/>
          <w:rFonts w:eastAsiaTheme="majorEastAsia"/>
          <w:sz w:val="28"/>
          <w:szCs w:val="28"/>
        </w:rPr>
        <w:t> </w:t>
      </w:r>
      <w:r w:rsidRPr="00377E5B">
        <w:rPr>
          <w:bCs/>
          <w:sz w:val="28"/>
          <w:szCs w:val="28"/>
        </w:rPr>
        <w:t>Новый счет</w:t>
      </w:r>
      <w:r w:rsidRPr="00377E5B">
        <w:rPr>
          <w:rStyle w:val="apple-converted-space"/>
          <w:rFonts w:eastAsiaTheme="majorEastAsia"/>
          <w:sz w:val="28"/>
          <w:szCs w:val="28"/>
        </w:rPr>
        <w:t> </w:t>
      </w:r>
      <w:r w:rsidRPr="00377E5B">
        <w:rPr>
          <w:sz w:val="28"/>
          <w:szCs w:val="28"/>
        </w:rPr>
        <w:t>автоматически.</w:t>
      </w:r>
    </w:p>
    <w:p w14:paraId="7DD586ED" w14:textId="630E87CB" w:rsidR="00C517B6" w:rsidRDefault="00477757" w:rsidP="00BB30F3">
      <w:pPr>
        <w:pStyle w:val="a3"/>
        <w:spacing w:before="0" w:beforeAutospacing="0"/>
        <w:jc w:val="both"/>
        <w:rPr>
          <w:sz w:val="28"/>
          <w:szCs w:val="28"/>
        </w:rPr>
      </w:pPr>
      <w:r>
        <w:rPr>
          <w:noProof/>
        </w:rPr>
        <w:drawing>
          <wp:inline distT="0" distB="0" distL="0" distR="0" wp14:anchorId="5C08FEC5" wp14:editId="6C5BF3F1">
            <wp:extent cx="6210300" cy="2411730"/>
            <wp:effectExtent l="19050" t="19050" r="19050" b="266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10300" cy="2411730"/>
                    </a:xfrm>
                    <a:prstGeom prst="rect">
                      <a:avLst/>
                    </a:prstGeom>
                    <a:ln>
                      <a:solidFill>
                        <a:schemeClr val="accent1"/>
                      </a:solidFill>
                    </a:ln>
                  </pic:spPr>
                </pic:pic>
              </a:graphicData>
            </a:graphic>
          </wp:inline>
        </w:drawing>
      </w:r>
    </w:p>
    <w:p w14:paraId="5EC7F74B" w14:textId="218B819D" w:rsidR="00DD62C8" w:rsidRPr="00E60A96" w:rsidRDefault="00DD62C8" w:rsidP="00DD62C8">
      <w:pPr>
        <w:pStyle w:val="a3"/>
        <w:tabs>
          <w:tab w:val="left" w:pos="8080"/>
        </w:tabs>
        <w:spacing w:before="0" w:beforeAutospacing="0"/>
        <w:ind w:firstLine="567"/>
        <w:jc w:val="center"/>
        <w:rPr>
          <w:bCs/>
          <w:sz w:val="28"/>
          <w:szCs w:val="28"/>
        </w:rPr>
      </w:pPr>
      <w:r>
        <w:rPr>
          <w:bCs/>
          <w:sz w:val="28"/>
          <w:szCs w:val="28"/>
        </w:rPr>
        <w:t>Рис. 3</w:t>
      </w:r>
      <w:r w:rsidRPr="00E60A96">
        <w:rPr>
          <w:bCs/>
          <w:sz w:val="28"/>
          <w:szCs w:val="28"/>
        </w:rPr>
        <w:t xml:space="preserve">. </w:t>
      </w:r>
      <w:r>
        <w:rPr>
          <w:bCs/>
          <w:sz w:val="28"/>
          <w:szCs w:val="28"/>
        </w:rPr>
        <w:t xml:space="preserve">Выбор нового счета в документе </w:t>
      </w:r>
      <w:r w:rsidRPr="00E60A96">
        <w:rPr>
          <w:sz w:val="28"/>
          <w:szCs w:val="28"/>
          <w:shd w:val="clear" w:color="auto" w:fill="FFFFFF"/>
        </w:rPr>
        <w:t>«</w:t>
      </w:r>
      <w:r w:rsidRPr="00E60A96">
        <w:rPr>
          <w:sz w:val="28"/>
          <w:szCs w:val="28"/>
        </w:rPr>
        <w:t>Переход на применение приказа 198н (НФА)</w:t>
      </w:r>
      <w:r w:rsidRPr="00E60A96">
        <w:rPr>
          <w:sz w:val="28"/>
          <w:szCs w:val="28"/>
          <w:shd w:val="clear" w:color="auto" w:fill="FFFFFF"/>
        </w:rPr>
        <w:t>».</w:t>
      </w:r>
    </w:p>
    <w:p w14:paraId="707A4679" w14:textId="7AB1C9A7" w:rsidR="00477757" w:rsidRDefault="00840ECA" w:rsidP="00840ECA">
      <w:pPr>
        <w:pStyle w:val="a3"/>
        <w:spacing w:before="0" w:beforeAutospacing="0"/>
        <w:jc w:val="both"/>
        <w:rPr>
          <w:sz w:val="28"/>
          <w:szCs w:val="28"/>
        </w:rPr>
      </w:pPr>
      <w:r>
        <w:rPr>
          <w:noProof/>
        </w:rPr>
        <w:lastRenderedPageBreak/>
        <w:drawing>
          <wp:inline distT="0" distB="0" distL="0" distR="0" wp14:anchorId="154CE731" wp14:editId="384834D1">
            <wp:extent cx="6210300" cy="2390140"/>
            <wp:effectExtent l="19050" t="19050" r="19050" b="1016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10300" cy="2390140"/>
                    </a:xfrm>
                    <a:prstGeom prst="rect">
                      <a:avLst/>
                    </a:prstGeom>
                    <a:ln>
                      <a:solidFill>
                        <a:schemeClr val="accent1"/>
                      </a:solidFill>
                    </a:ln>
                  </pic:spPr>
                </pic:pic>
              </a:graphicData>
            </a:graphic>
          </wp:inline>
        </w:drawing>
      </w:r>
    </w:p>
    <w:p w14:paraId="33A8706D" w14:textId="41A74129" w:rsidR="00DD62C8" w:rsidRPr="00E60A96" w:rsidRDefault="00DD62C8" w:rsidP="00DD62C8">
      <w:pPr>
        <w:pStyle w:val="a3"/>
        <w:tabs>
          <w:tab w:val="left" w:pos="8080"/>
        </w:tabs>
        <w:spacing w:before="0" w:beforeAutospacing="0"/>
        <w:ind w:firstLine="567"/>
        <w:jc w:val="center"/>
        <w:rPr>
          <w:bCs/>
          <w:sz w:val="28"/>
          <w:szCs w:val="28"/>
        </w:rPr>
      </w:pPr>
      <w:r>
        <w:rPr>
          <w:bCs/>
          <w:sz w:val="28"/>
          <w:szCs w:val="28"/>
        </w:rPr>
        <w:t>Рис. 4</w:t>
      </w:r>
      <w:r w:rsidRPr="00E60A96">
        <w:rPr>
          <w:bCs/>
          <w:sz w:val="28"/>
          <w:szCs w:val="28"/>
        </w:rPr>
        <w:t xml:space="preserve">. </w:t>
      </w:r>
      <w:r>
        <w:rPr>
          <w:bCs/>
          <w:sz w:val="28"/>
          <w:szCs w:val="28"/>
        </w:rPr>
        <w:t>Новые счета, установленные после выбора</w:t>
      </w:r>
      <w:r w:rsidRPr="00E60A96">
        <w:rPr>
          <w:sz w:val="28"/>
          <w:szCs w:val="28"/>
          <w:shd w:val="clear" w:color="auto" w:fill="FFFFFF"/>
        </w:rPr>
        <w:t>.</w:t>
      </w:r>
    </w:p>
    <w:p w14:paraId="44041FAF" w14:textId="375BA2C0" w:rsidR="009E034C" w:rsidRDefault="009E034C" w:rsidP="00377E5B">
      <w:pPr>
        <w:pStyle w:val="a3"/>
        <w:spacing w:before="0" w:beforeAutospacing="0"/>
        <w:ind w:firstLine="567"/>
        <w:jc w:val="both"/>
        <w:rPr>
          <w:sz w:val="28"/>
          <w:szCs w:val="28"/>
        </w:rPr>
      </w:pPr>
      <w:r w:rsidRPr="00377E5B">
        <w:rPr>
          <w:sz w:val="28"/>
          <w:szCs w:val="28"/>
        </w:rPr>
        <w:t>В случае переноса остатков со счета учета вместе с остатками по амортизации и обесценению в табличной части указываются только счета учета. При проведении документа формируются проводки по переносу остатков по амортизации и обесценению, где старые счета определяются из остатков, а новые счета амортизации и обесценения определяются по новому счету учета в соответствии с данными регистра сведений</w:t>
      </w:r>
      <w:r w:rsidRPr="00377E5B">
        <w:rPr>
          <w:rStyle w:val="apple-converted-space"/>
          <w:rFonts w:eastAsiaTheme="majorEastAsia"/>
          <w:sz w:val="28"/>
          <w:szCs w:val="28"/>
        </w:rPr>
        <w:t> </w:t>
      </w:r>
      <w:r w:rsidRPr="00377E5B">
        <w:rPr>
          <w:bCs/>
          <w:sz w:val="28"/>
          <w:szCs w:val="28"/>
        </w:rPr>
        <w:t>Соответствие счетов ОС</w:t>
      </w:r>
      <w:r w:rsidRPr="00377E5B">
        <w:rPr>
          <w:sz w:val="28"/>
          <w:szCs w:val="28"/>
        </w:rPr>
        <w:t>.</w:t>
      </w:r>
      <w:r w:rsidRPr="00377E5B">
        <w:rPr>
          <w:sz w:val="28"/>
          <w:szCs w:val="28"/>
        </w:rPr>
        <w:br/>
        <w:t>На закладке</w:t>
      </w:r>
      <w:r w:rsidRPr="00377E5B">
        <w:rPr>
          <w:rStyle w:val="apple-converted-space"/>
          <w:rFonts w:eastAsiaTheme="majorEastAsia"/>
          <w:sz w:val="28"/>
          <w:szCs w:val="28"/>
        </w:rPr>
        <w:t> </w:t>
      </w:r>
      <w:r w:rsidRPr="00377E5B">
        <w:rPr>
          <w:bCs/>
          <w:sz w:val="28"/>
          <w:szCs w:val="28"/>
        </w:rPr>
        <w:t>Бухгалтерская операция</w:t>
      </w:r>
      <w:r w:rsidRPr="00377E5B">
        <w:rPr>
          <w:rStyle w:val="apple-converted-space"/>
          <w:rFonts w:eastAsiaTheme="majorEastAsia"/>
          <w:sz w:val="28"/>
          <w:szCs w:val="28"/>
        </w:rPr>
        <w:t> </w:t>
      </w:r>
      <w:r w:rsidRPr="00377E5B">
        <w:rPr>
          <w:sz w:val="28"/>
          <w:szCs w:val="28"/>
        </w:rPr>
        <w:t>необходимо выбрать типовую операцию, и для операций по балансовым счетам указать счет переноса (401.30).</w:t>
      </w:r>
    </w:p>
    <w:p w14:paraId="517F7C5C" w14:textId="6212C8DE" w:rsidR="00A057E1" w:rsidRPr="00377E5B" w:rsidRDefault="00A057E1" w:rsidP="00A057E1">
      <w:pPr>
        <w:pStyle w:val="a3"/>
        <w:spacing w:before="0" w:beforeAutospacing="0"/>
        <w:jc w:val="both"/>
        <w:rPr>
          <w:sz w:val="28"/>
          <w:szCs w:val="28"/>
        </w:rPr>
      </w:pPr>
      <w:r>
        <w:rPr>
          <w:noProof/>
        </w:rPr>
        <w:drawing>
          <wp:inline distT="0" distB="0" distL="0" distR="0" wp14:anchorId="05B0C5E4" wp14:editId="571F0C0C">
            <wp:extent cx="6210300" cy="2472690"/>
            <wp:effectExtent l="19050" t="19050" r="19050" b="2286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0300" cy="2472690"/>
                    </a:xfrm>
                    <a:prstGeom prst="rect">
                      <a:avLst/>
                    </a:prstGeom>
                    <a:ln>
                      <a:solidFill>
                        <a:schemeClr val="accent1"/>
                      </a:solidFill>
                    </a:ln>
                  </pic:spPr>
                </pic:pic>
              </a:graphicData>
            </a:graphic>
          </wp:inline>
        </w:drawing>
      </w:r>
    </w:p>
    <w:p w14:paraId="1695C276" w14:textId="1565B1CB" w:rsidR="002D6AEE" w:rsidRPr="00E60A96" w:rsidRDefault="002D6AEE" w:rsidP="002D6AEE">
      <w:pPr>
        <w:pStyle w:val="a3"/>
        <w:tabs>
          <w:tab w:val="left" w:pos="8080"/>
        </w:tabs>
        <w:spacing w:before="0" w:beforeAutospacing="0"/>
        <w:ind w:firstLine="567"/>
        <w:jc w:val="center"/>
        <w:rPr>
          <w:bCs/>
          <w:sz w:val="28"/>
          <w:szCs w:val="28"/>
        </w:rPr>
      </w:pPr>
      <w:r>
        <w:rPr>
          <w:bCs/>
          <w:sz w:val="28"/>
          <w:szCs w:val="28"/>
        </w:rPr>
        <w:t>Рис. 5</w:t>
      </w:r>
      <w:r w:rsidRPr="00E60A96">
        <w:rPr>
          <w:bCs/>
          <w:sz w:val="28"/>
          <w:szCs w:val="28"/>
        </w:rPr>
        <w:t xml:space="preserve">. </w:t>
      </w:r>
      <w:r>
        <w:rPr>
          <w:bCs/>
          <w:sz w:val="28"/>
          <w:szCs w:val="28"/>
        </w:rPr>
        <w:t>Выбор типовой операции</w:t>
      </w:r>
      <w:r w:rsidRPr="00E60A96">
        <w:rPr>
          <w:sz w:val="28"/>
          <w:szCs w:val="28"/>
          <w:shd w:val="clear" w:color="auto" w:fill="FFFFFF"/>
        </w:rPr>
        <w:t>.</w:t>
      </w:r>
    </w:p>
    <w:p w14:paraId="6D405ECE" w14:textId="77777777" w:rsidR="009E034C" w:rsidRPr="00377E5B" w:rsidRDefault="009E034C" w:rsidP="00377E5B">
      <w:pPr>
        <w:pStyle w:val="3"/>
        <w:spacing w:before="240"/>
        <w:ind w:firstLine="567"/>
        <w:jc w:val="both"/>
        <w:rPr>
          <w:rFonts w:ascii="Times New Roman" w:hAnsi="Times New Roman" w:cs="Times New Roman"/>
          <w:color w:val="auto"/>
          <w:sz w:val="28"/>
          <w:szCs w:val="28"/>
        </w:rPr>
      </w:pPr>
      <w:r w:rsidRPr="00377E5B">
        <w:rPr>
          <w:rFonts w:ascii="Times New Roman" w:hAnsi="Times New Roman" w:cs="Times New Roman"/>
          <w:color w:val="auto"/>
          <w:sz w:val="28"/>
          <w:szCs w:val="28"/>
        </w:rPr>
        <w:t>В документе предусмотрены следующие виды операций для переноса с балансовых счетов:</w:t>
      </w:r>
    </w:p>
    <w:p w14:paraId="5981E3B2"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Нематериальные активы (102.00)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НМА, в том числе амортизации и обесценения с устаревших счетов учета:</w:t>
      </w:r>
    </w:p>
    <w:p w14:paraId="6708FC0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102.20 / 104.29 / 114.29</w:t>
      </w:r>
    </w:p>
    <w:p w14:paraId="5EB8921F"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lastRenderedPageBreak/>
        <w:t>102.30 / 104.39 / 114.39</w:t>
      </w:r>
    </w:p>
    <w:p w14:paraId="69CA8E58" w14:textId="77777777" w:rsidR="009E034C" w:rsidRPr="00377E5B" w:rsidRDefault="009E034C" w:rsidP="00377E5B">
      <w:pPr>
        <w:spacing w:beforeAutospacing="1" w:after="0"/>
        <w:ind w:firstLine="567"/>
        <w:jc w:val="both"/>
        <w:rPr>
          <w:rFonts w:ascii="Times New Roman" w:hAnsi="Times New Roman" w:cs="Times New Roman"/>
          <w:sz w:val="28"/>
          <w:szCs w:val="28"/>
        </w:rPr>
      </w:pPr>
      <w:r w:rsidRPr="00377E5B">
        <w:rPr>
          <w:rFonts w:ascii="Times New Roman" w:hAnsi="Times New Roman" w:cs="Times New Roman"/>
          <w:sz w:val="28"/>
          <w:szCs w:val="28"/>
        </w:rPr>
        <w:t>на соответствующие новые счета:</w:t>
      </w:r>
    </w:p>
    <w:p w14:paraId="1AC3B31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102.хN / 104.хN / 114.хN</w:t>
      </w:r>
    </w:p>
    <w:p w14:paraId="60B958A2"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102.хR / 104.хR / 114.хR</w:t>
      </w:r>
    </w:p>
    <w:p w14:paraId="418A274D"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102.хI / 104.хI / 114.хI</w:t>
      </w:r>
    </w:p>
    <w:p w14:paraId="6C1296C0"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102.хD / 104.хD / 114.хD</w:t>
      </w:r>
    </w:p>
    <w:p w14:paraId="202E4587"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запасы (105.00)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w:t>
      </w:r>
      <w:proofErr w:type="spellStart"/>
      <w:r w:rsidRPr="00377E5B">
        <w:rPr>
          <w:rFonts w:ascii="Times New Roman" w:hAnsi="Times New Roman" w:cs="Times New Roman"/>
          <w:sz w:val="28"/>
          <w:szCs w:val="28"/>
        </w:rPr>
        <w:t>реклассификации</w:t>
      </w:r>
      <w:proofErr w:type="spellEnd"/>
      <w:r w:rsidRPr="00377E5B">
        <w:rPr>
          <w:rFonts w:ascii="Times New Roman" w:hAnsi="Times New Roman" w:cs="Times New Roman"/>
          <w:sz w:val="28"/>
          <w:szCs w:val="28"/>
        </w:rPr>
        <w:t>) лекарственных препаратов и медицинских материалов с соответствующих счетов 105.25, 105.26, 105.35, 105.36 на счета 105.21, 105.31.</w:t>
      </w:r>
    </w:p>
    <w:p w14:paraId="2A2E1699"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xml:space="preserve">После заполнения в табличной части необходимо оставить только «Лекарственные препараты и медицинские материалы», путем удаления прочих материальных запасов. Либо подобрать </w:t>
      </w:r>
      <w:r w:rsidR="001E3A65" w:rsidRPr="00377E5B">
        <w:rPr>
          <w:rFonts w:ascii="Times New Roman" w:hAnsi="Times New Roman" w:cs="Times New Roman"/>
          <w:sz w:val="28"/>
          <w:szCs w:val="28"/>
        </w:rPr>
        <w:t>необходимые</w:t>
      </w:r>
      <w:r w:rsidRPr="00377E5B">
        <w:rPr>
          <w:rFonts w:ascii="Times New Roman" w:hAnsi="Times New Roman" w:cs="Times New Roman"/>
          <w:sz w:val="28"/>
          <w:szCs w:val="28"/>
        </w:rPr>
        <w:t xml:space="preserve"> </w:t>
      </w:r>
      <w:r w:rsidR="001E3A65" w:rsidRPr="00377E5B">
        <w:rPr>
          <w:rFonts w:ascii="Times New Roman" w:hAnsi="Times New Roman" w:cs="Times New Roman"/>
          <w:sz w:val="28"/>
          <w:szCs w:val="28"/>
        </w:rPr>
        <w:t>материальные</w:t>
      </w:r>
      <w:r w:rsidRPr="00377E5B">
        <w:rPr>
          <w:rFonts w:ascii="Times New Roman" w:hAnsi="Times New Roman" w:cs="Times New Roman"/>
          <w:sz w:val="28"/>
          <w:szCs w:val="28"/>
        </w:rPr>
        <w:t xml:space="preserve"> запасы по кнопке</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Подбор</w:t>
      </w:r>
      <w:r w:rsidRPr="00377E5B">
        <w:rPr>
          <w:rFonts w:ascii="Times New Roman" w:hAnsi="Times New Roman" w:cs="Times New Roman"/>
          <w:sz w:val="28"/>
          <w:szCs w:val="28"/>
        </w:rPr>
        <w:t>.</w:t>
      </w:r>
    </w:p>
    <w:p w14:paraId="4525BB28"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НМА (106.22, 106.32)</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НМА, в том числе амортизации и обесценения с устаревших счетов учета:</w:t>
      </w:r>
    </w:p>
    <w:p w14:paraId="5389C39F"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106.22 / 104.29 / 114.29</w:t>
      </w:r>
    </w:p>
    <w:p w14:paraId="67229FA6"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106.32 / 104.39 / 114.39</w:t>
      </w:r>
    </w:p>
    <w:p w14:paraId="36538AEE" w14:textId="77777777" w:rsidR="009E034C" w:rsidRPr="00377E5B" w:rsidRDefault="009E034C" w:rsidP="00377E5B">
      <w:pPr>
        <w:spacing w:beforeAutospacing="1" w:after="0"/>
        <w:ind w:firstLine="567"/>
        <w:jc w:val="both"/>
        <w:rPr>
          <w:rFonts w:ascii="Times New Roman" w:hAnsi="Times New Roman" w:cs="Times New Roman"/>
          <w:sz w:val="28"/>
          <w:szCs w:val="28"/>
        </w:rPr>
      </w:pPr>
      <w:r w:rsidRPr="00377E5B">
        <w:rPr>
          <w:rFonts w:ascii="Times New Roman" w:hAnsi="Times New Roman" w:cs="Times New Roman"/>
          <w:sz w:val="28"/>
          <w:szCs w:val="28"/>
        </w:rPr>
        <w:t>на соответствующие новые счета:</w:t>
      </w:r>
    </w:p>
    <w:p w14:paraId="3E05AE5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106.хN / 104.хN / 114.хN</w:t>
      </w:r>
    </w:p>
    <w:p w14:paraId="7AFD3BCE"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106.хR / 104.хR / 114.хR</w:t>
      </w:r>
    </w:p>
    <w:p w14:paraId="5FEC3AA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106.хI / 104.хI / 114.хI</w:t>
      </w:r>
    </w:p>
    <w:p w14:paraId="049228CE"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106.хD / 104.хD / 114.хD</w:t>
      </w:r>
    </w:p>
    <w:p w14:paraId="7634130A" w14:textId="47DD57D7" w:rsidR="009E034C" w:rsidRDefault="009E034C" w:rsidP="00377E5B">
      <w:pPr>
        <w:shd w:val="clear" w:color="auto" w:fill="EEFFEE"/>
        <w:spacing w:beforeAutospacing="1"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капвложений следует указать соответствующий ЦМО.</w:t>
      </w:r>
    </w:p>
    <w:p w14:paraId="117FB0D8" w14:textId="0D8FB650" w:rsidR="00D83BAE" w:rsidRPr="00377E5B" w:rsidRDefault="00D83BAE" w:rsidP="00D83BAE">
      <w:pPr>
        <w:shd w:val="clear" w:color="auto" w:fill="EEFFEE"/>
        <w:spacing w:beforeAutospacing="1" w:after="0"/>
        <w:jc w:val="both"/>
        <w:rPr>
          <w:rFonts w:ascii="Times New Roman" w:hAnsi="Times New Roman" w:cs="Times New Roman"/>
          <w:sz w:val="28"/>
          <w:szCs w:val="28"/>
        </w:rPr>
      </w:pPr>
      <w:r>
        <w:rPr>
          <w:noProof/>
          <w:lang w:eastAsia="ru-RU"/>
        </w:rPr>
        <w:lastRenderedPageBreak/>
        <w:drawing>
          <wp:inline distT="0" distB="0" distL="0" distR="0" wp14:anchorId="5D51D6EE" wp14:editId="3DB8C049">
            <wp:extent cx="6210300" cy="2235835"/>
            <wp:effectExtent l="19050" t="19050" r="19050" b="1206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10300" cy="2235835"/>
                    </a:xfrm>
                    <a:prstGeom prst="rect">
                      <a:avLst/>
                    </a:prstGeom>
                    <a:ln>
                      <a:solidFill>
                        <a:schemeClr val="accent1"/>
                      </a:solidFill>
                    </a:ln>
                  </pic:spPr>
                </pic:pic>
              </a:graphicData>
            </a:graphic>
          </wp:inline>
        </w:drawing>
      </w:r>
    </w:p>
    <w:p w14:paraId="374B3221" w14:textId="306C261A" w:rsidR="00B30FFE" w:rsidRPr="00E60A96" w:rsidRDefault="00B30FFE" w:rsidP="00B30FFE">
      <w:pPr>
        <w:pStyle w:val="a3"/>
        <w:tabs>
          <w:tab w:val="left" w:pos="8080"/>
        </w:tabs>
        <w:spacing w:before="0" w:beforeAutospacing="0"/>
        <w:ind w:firstLine="567"/>
        <w:jc w:val="center"/>
        <w:rPr>
          <w:bCs/>
          <w:sz w:val="28"/>
          <w:szCs w:val="28"/>
        </w:rPr>
      </w:pPr>
      <w:r>
        <w:rPr>
          <w:bCs/>
          <w:sz w:val="28"/>
          <w:szCs w:val="28"/>
        </w:rPr>
        <w:t>Рис. 6</w:t>
      </w:r>
      <w:r w:rsidRPr="00E60A96">
        <w:rPr>
          <w:bCs/>
          <w:sz w:val="28"/>
          <w:szCs w:val="28"/>
        </w:rPr>
        <w:t xml:space="preserve">. </w:t>
      </w:r>
      <w:r>
        <w:rPr>
          <w:bCs/>
          <w:sz w:val="28"/>
          <w:szCs w:val="28"/>
        </w:rPr>
        <w:t>Указание новой аналитики ЦМО</w:t>
      </w:r>
      <w:r w:rsidRPr="00E60A96">
        <w:rPr>
          <w:sz w:val="28"/>
          <w:szCs w:val="28"/>
          <w:shd w:val="clear" w:color="auto" w:fill="FFFFFF"/>
        </w:rPr>
        <w:t>.</w:t>
      </w:r>
    </w:p>
    <w:p w14:paraId="46CB6D47"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МЗ (106.0И, 106.0П)</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изготовление и покупку со счетов 106.2И, 106.2П, 106.3И, 106.3П на новые счета с теми же кодами.</w:t>
      </w:r>
    </w:p>
    <w:p w14:paraId="052C265F"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С 01.01.2021 на 106.00 счете аналитический учет ведется в том числе в разрезе ответственных лиц (п. 128 Инструкции № 157н, в ред. Приказа № 198н). На счетах 106.2И, 106.2П, 106.3И вместо субконто «Партии» установлено субконто «Центры материальной ответственности». После заполнения документа остатками следует указать соответствующий ЦМО.</w:t>
      </w:r>
    </w:p>
    <w:p w14:paraId="09C8BB5E"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В концессии (106.91, 106.93)</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концессии с устаревших счетов 106.91 и 106.93 на соответствующие новые счета 106.91, 106.92, 106.95.</w:t>
      </w:r>
    </w:p>
    <w:p w14:paraId="74C8C91B"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капвложений в концессии следует указать соответствующий ЦМО и Договор.</w:t>
      </w:r>
    </w:p>
    <w:p w14:paraId="55D80758"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ИК (106.50)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в имущество казны на новые счета:</w:t>
      </w:r>
    </w:p>
    <w:p w14:paraId="5B9EA298"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106.11 на 106.51</w:t>
      </w:r>
    </w:p>
    <w:p w14:paraId="6FD08313"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106.31 на 106.52</w:t>
      </w:r>
    </w:p>
    <w:p w14:paraId="2D415249"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106.32 на 106.54</w:t>
      </w:r>
    </w:p>
    <w:p w14:paraId="3DFE8107"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 106.13, 106.33 на 106.55</w:t>
      </w:r>
    </w:p>
    <w:p w14:paraId="67A8C075" w14:textId="77777777" w:rsidR="009E034C" w:rsidRPr="00377E5B" w:rsidRDefault="009E034C" w:rsidP="00377E5B">
      <w:pPr>
        <w:spacing w:beforeAutospacing="1" w:after="0"/>
        <w:ind w:firstLine="567"/>
        <w:jc w:val="both"/>
        <w:rPr>
          <w:rFonts w:ascii="Times New Roman" w:hAnsi="Times New Roman" w:cs="Times New Roman"/>
          <w:sz w:val="28"/>
          <w:szCs w:val="28"/>
        </w:rPr>
      </w:pPr>
      <w:r w:rsidRPr="00377E5B">
        <w:rPr>
          <w:rFonts w:ascii="Times New Roman" w:hAnsi="Times New Roman" w:cs="Times New Roman"/>
          <w:sz w:val="28"/>
          <w:szCs w:val="28"/>
        </w:rPr>
        <w:t>а также одновременно накопленной амортизации:</w:t>
      </w:r>
    </w:p>
    <w:p w14:paraId="4FEC3D51"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со счетов 104.1х, 104.3х на счета 104.51, 104.52</w:t>
      </w:r>
    </w:p>
    <w:p w14:paraId="34F92D16" w14:textId="77777777" w:rsidR="009E034C" w:rsidRPr="00377E5B" w:rsidRDefault="009E034C" w:rsidP="00377E5B">
      <w:pPr>
        <w:numPr>
          <w:ilvl w:val="1"/>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sz w:val="28"/>
          <w:szCs w:val="28"/>
        </w:rPr>
        <w:t>со счетов 104.29, 104.39 на счета 104.54</w:t>
      </w:r>
    </w:p>
    <w:p w14:paraId="5643649B" w14:textId="77777777" w:rsidR="009E034C" w:rsidRPr="00377E5B" w:rsidRDefault="009E034C" w:rsidP="00377E5B">
      <w:pPr>
        <w:shd w:val="clear" w:color="auto" w:fill="EEFFEE"/>
        <w:spacing w:beforeAutospacing="1"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lastRenderedPageBreak/>
        <w:t>Примечание. </w:t>
      </w:r>
      <w:r w:rsidRPr="00377E5B">
        <w:rPr>
          <w:rFonts w:ascii="Times New Roman" w:hAnsi="Times New Roman" w:cs="Times New Roman"/>
          <w:sz w:val="28"/>
          <w:szCs w:val="28"/>
        </w:rPr>
        <w:t>У объектов в карточке должен быть установлен флажок</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Имущество казны</w:t>
      </w:r>
      <w:r w:rsidRPr="00377E5B">
        <w:rPr>
          <w:rFonts w:ascii="Times New Roman" w:hAnsi="Times New Roman" w:cs="Times New Roman"/>
          <w:sz w:val="28"/>
          <w:szCs w:val="28"/>
        </w:rPr>
        <w:t>. После заполнения документа остатками капвложений в имущество казны следует указать соответствующий ЦМО.</w:t>
      </w:r>
    </w:p>
    <w:p w14:paraId="72777050"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Капитальные вложения | Прочие (106.00)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капитальных вложений со счетов 106.11, 106.13, 106.21, 106.31, 106.33, 106.41, 106.КС на новые счета с теми же кодами.</w:t>
      </w:r>
    </w:p>
    <w:p w14:paraId="6B1C9D61"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следует указать соответствующий ЦМО.</w:t>
      </w:r>
    </w:p>
    <w:p w14:paraId="43CE76DE"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казны прочие (108.57)</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основных средств, составляющих казну со счета 108.57 на счет 108.52 «Движимое имущество, составляющее казну».</w:t>
      </w:r>
    </w:p>
    <w:p w14:paraId="62B2FA63"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В дальнейшем на счете 108.57 «Прочие активы, составляющие казну» будут учитываться</w:t>
      </w:r>
      <w:r w:rsidRPr="00377E5B">
        <w:rPr>
          <w:rStyle w:val="apple-converted-space"/>
          <w:rFonts w:ascii="Times New Roman" w:hAnsi="Times New Roman" w:cs="Times New Roman"/>
          <w:sz w:val="28"/>
          <w:szCs w:val="28"/>
        </w:rPr>
        <w:t> </w:t>
      </w:r>
      <w:r w:rsidRPr="00377E5B">
        <w:rPr>
          <w:rFonts w:ascii="Times New Roman" w:hAnsi="Times New Roman" w:cs="Times New Roman"/>
          <w:i/>
          <w:iCs/>
          <w:sz w:val="28"/>
          <w:szCs w:val="28"/>
        </w:rPr>
        <w:t>материальные запасы</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имущества казны однократного применения.</w:t>
      </w:r>
    </w:p>
    <w:p w14:paraId="073C9CB5"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казны в концессии (108.90)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остатков имущества казны в концессии со счетов 108.91, 108.92, 108.95 на новые счета с теми же кодами.</w:t>
      </w:r>
    </w:p>
    <w:p w14:paraId="3B547F15"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 </w:t>
      </w:r>
      <w:r w:rsidRPr="00377E5B">
        <w:rPr>
          <w:rFonts w:ascii="Times New Roman" w:hAnsi="Times New Roman" w:cs="Times New Roman"/>
          <w:sz w:val="28"/>
          <w:szCs w:val="28"/>
        </w:rPr>
        <w:t>После заполнения документа остатками имущества казны в концессии следует указать соответствующий Договор.</w:t>
      </w:r>
    </w:p>
    <w:p w14:paraId="339C0C5D" w14:textId="77777777" w:rsidR="009E034C" w:rsidRPr="00377E5B" w:rsidRDefault="009E034C" w:rsidP="00377E5B">
      <w:pPr>
        <w:numPr>
          <w:ilvl w:val="0"/>
          <w:numId w:val="1"/>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Обесценение НПА (114.60)</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 применяется для переноса обесценения НПА с устаревшего счета 114.6х на счет 114.7х.</w:t>
      </w:r>
    </w:p>
    <w:p w14:paraId="04932D6C" w14:textId="77777777" w:rsidR="009E034C" w:rsidRPr="00377E5B" w:rsidRDefault="009E034C" w:rsidP="00377E5B">
      <w:pPr>
        <w:spacing w:after="100" w:afterAutospacing="1"/>
        <w:ind w:firstLine="567"/>
        <w:jc w:val="both"/>
        <w:rPr>
          <w:rFonts w:ascii="Times New Roman" w:hAnsi="Times New Roman" w:cs="Times New Roman"/>
          <w:sz w:val="28"/>
          <w:szCs w:val="28"/>
        </w:rPr>
      </w:pPr>
    </w:p>
    <w:p w14:paraId="1D422F59" w14:textId="77777777" w:rsidR="009E034C" w:rsidRPr="00377E5B" w:rsidRDefault="009E034C" w:rsidP="00377E5B">
      <w:pPr>
        <w:pStyle w:val="3"/>
        <w:spacing w:before="240"/>
        <w:ind w:firstLine="567"/>
        <w:jc w:val="both"/>
        <w:rPr>
          <w:rFonts w:ascii="Times New Roman" w:hAnsi="Times New Roman" w:cs="Times New Roman"/>
          <w:color w:val="auto"/>
          <w:sz w:val="28"/>
          <w:szCs w:val="28"/>
        </w:rPr>
      </w:pPr>
      <w:r w:rsidRPr="00377E5B">
        <w:rPr>
          <w:rFonts w:ascii="Times New Roman" w:hAnsi="Times New Roman" w:cs="Times New Roman"/>
          <w:color w:val="auto"/>
          <w:sz w:val="28"/>
          <w:szCs w:val="28"/>
        </w:rPr>
        <w:t xml:space="preserve">Чтобы перенести остатки с устаревших </w:t>
      </w:r>
      <w:proofErr w:type="spellStart"/>
      <w:r w:rsidRPr="00377E5B">
        <w:rPr>
          <w:rFonts w:ascii="Times New Roman" w:hAnsi="Times New Roman" w:cs="Times New Roman"/>
          <w:color w:val="auto"/>
          <w:sz w:val="28"/>
          <w:szCs w:val="28"/>
        </w:rPr>
        <w:t>забалансовых</w:t>
      </w:r>
      <w:proofErr w:type="spellEnd"/>
      <w:r w:rsidRPr="00377E5B">
        <w:rPr>
          <w:rFonts w:ascii="Times New Roman" w:hAnsi="Times New Roman" w:cs="Times New Roman"/>
          <w:color w:val="auto"/>
          <w:sz w:val="28"/>
          <w:szCs w:val="28"/>
        </w:rPr>
        <w:t xml:space="preserve"> счетов в документе выбираются виды операций:</w:t>
      </w:r>
    </w:p>
    <w:p w14:paraId="0F1F3C22" w14:textId="77777777" w:rsidR="009E034C" w:rsidRPr="00377E5B" w:rsidRDefault="009E034C" w:rsidP="00377E5B">
      <w:pPr>
        <w:ind w:firstLine="567"/>
        <w:jc w:val="both"/>
        <w:rPr>
          <w:rFonts w:ascii="Times New Roman" w:hAnsi="Times New Roman" w:cs="Times New Roman"/>
          <w:sz w:val="28"/>
          <w:szCs w:val="28"/>
        </w:rPr>
      </w:pPr>
    </w:p>
    <w:p w14:paraId="3C528CD0"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shd w:val="clear" w:color="auto" w:fill="FFFFFF"/>
        </w:rPr>
        <w:t>для переноса имущества, полученного в пользование, и имущества казны, полученного в пользование:</w:t>
      </w:r>
    </w:p>
    <w:p w14:paraId="45F0E4B3" w14:textId="77777777" w:rsidR="009E034C" w:rsidRPr="00377E5B" w:rsidRDefault="009E034C" w:rsidP="00377E5B">
      <w:pPr>
        <w:numPr>
          <w:ilvl w:val="0"/>
          <w:numId w:val="2"/>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полученное в пользование (01)</w:t>
      </w:r>
    </w:p>
    <w:p w14:paraId="45827866" w14:textId="77777777" w:rsidR="009E034C" w:rsidRPr="00377E5B" w:rsidRDefault="009E034C" w:rsidP="00377E5B">
      <w:pPr>
        <w:numPr>
          <w:ilvl w:val="0"/>
          <w:numId w:val="2"/>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Имущество, полученное в пользование |ИК (01)</w:t>
      </w:r>
    </w:p>
    <w:p w14:paraId="3951C4EF" w14:textId="77777777"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w:t>
      </w:r>
      <w:r w:rsidRPr="00377E5B">
        <w:rPr>
          <w:rStyle w:val="apple-converted-space"/>
          <w:rFonts w:ascii="Times New Roman" w:hAnsi="Times New Roman" w:cs="Times New Roman"/>
          <w:sz w:val="28"/>
          <w:szCs w:val="28"/>
        </w:rPr>
        <w:t> </w:t>
      </w:r>
      <w:r w:rsidRPr="00377E5B">
        <w:rPr>
          <w:rFonts w:ascii="Times New Roman" w:hAnsi="Times New Roman" w:cs="Times New Roman"/>
          <w:sz w:val="28"/>
          <w:szCs w:val="28"/>
        </w:rPr>
        <w:t>У объектов имущества казны в карточке должен быть установлен флажок</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Имущество казны</w:t>
      </w:r>
      <w:r w:rsidRPr="00377E5B">
        <w:rPr>
          <w:rFonts w:ascii="Times New Roman" w:hAnsi="Times New Roman" w:cs="Times New Roman"/>
          <w:sz w:val="28"/>
          <w:szCs w:val="28"/>
        </w:rPr>
        <w:t>. При заполнении документа остатками имущества, полученного в пользование, автоматически заполнится Контрагент, передавший имущество. Вручную следует указать соответствующий Договор.</w:t>
      </w:r>
    </w:p>
    <w:p w14:paraId="10FCE389" w14:textId="77777777" w:rsidR="00F62302" w:rsidRPr="00377E5B" w:rsidRDefault="00F62302" w:rsidP="00377E5B">
      <w:pPr>
        <w:shd w:val="clear" w:color="auto" w:fill="EEFFEE"/>
        <w:spacing w:after="0"/>
        <w:ind w:firstLine="567"/>
        <w:jc w:val="both"/>
        <w:rPr>
          <w:rFonts w:ascii="Times New Roman" w:hAnsi="Times New Roman" w:cs="Times New Roman"/>
          <w:sz w:val="28"/>
          <w:szCs w:val="28"/>
        </w:rPr>
      </w:pPr>
    </w:p>
    <w:p w14:paraId="50B1C906"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shd w:val="clear" w:color="auto" w:fill="FFFFFF"/>
        </w:rPr>
        <w:lastRenderedPageBreak/>
        <w:t>для переноса основных средств и материальных запасов на хранении и основных средств, материальных запасов, включенных в состав имущества казны на хранении:</w:t>
      </w:r>
    </w:p>
    <w:p w14:paraId="4F79C53E"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ОС (02)</w:t>
      </w:r>
    </w:p>
    <w:p w14:paraId="0D90C21B"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МЗ (02)</w:t>
      </w:r>
    </w:p>
    <w:p w14:paraId="05732C7A"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ОС ИК (02)</w:t>
      </w:r>
    </w:p>
    <w:p w14:paraId="2E7DED4F" w14:textId="77777777" w:rsidR="009E034C" w:rsidRPr="00377E5B" w:rsidRDefault="009E034C" w:rsidP="00377E5B">
      <w:pPr>
        <w:numPr>
          <w:ilvl w:val="0"/>
          <w:numId w:val="3"/>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Материальные ценности на хранении | МЗ ИК (02)</w:t>
      </w:r>
    </w:p>
    <w:p w14:paraId="3005B0E3" w14:textId="6079C6D6" w:rsidR="009E034C" w:rsidRPr="00377E5B" w:rsidRDefault="009E034C" w:rsidP="00377E5B">
      <w:pPr>
        <w:shd w:val="clear" w:color="auto" w:fill="EEFFEE"/>
        <w:spacing w:after="0"/>
        <w:ind w:firstLine="567"/>
        <w:jc w:val="both"/>
        <w:rPr>
          <w:rFonts w:ascii="Times New Roman" w:hAnsi="Times New Roman" w:cs="Times New Roman"/>
          <w:sz w:val="28"/>
          <w:szCs w:val="28"/>
        </w:rPr>
      </w:pPr>
      <w:r w:rsidRPr="00377E5B">
        <w:rPr>
          <w:rStyle w:val="a4"/>
          <w:rFonts w:ascii="Times New Roman" w:hAnsi="Times New Roman" w:cs="Times New Roman"/>
          <w:b w:val="0"/>
          <w:sz w:val="28"/>
          <w:szCs w:val="28"/>
        </w:rPr>
        <w:t>Примечание.</w:t>
      </w:r>
      <w:r w:rsidR="001E0D71">
        <w:rPr>
          <w:rStyle w:val="a4"/>
          <w:rFonts w:ascii="Times New Roman" w:hAnsi="Times New Roman" w:cs="Times New Roman"/>
          <w:b w:val="0"/>
          <w:sz w:val="28"/>
          <w:szCs w:val="28"/>
        </w:rPr>
        <w:t xml:space="preserve"> </w:t>
      </w:r>
      <w:r w:rsidRPr="00377E5B">
        <w:rPr>
          <w:rFonts w:ascii="Times New Roman" w:hAnsi="Times New Roman" w:cs="Times New Roman"/>
          <w:sz w:val="28"/>
          <w:szCs w:val="28"/>
        </w:rPr>
        <w:t>У объектов имущества казны в карточке должен быть установлен флажок</w:t>
      </w:r>
      <w:r w:rsidRPr="00377E5B">
        <w:rPr>
          <w:rStyle w:val="apple-converted-space"/>
          <w:rFonts w:ascii="Times New Roman" w:hAnsi="Times New Roman" w:cs="Times New Roman"/>
          <w:sz w:val="28"/>
          <w:szCs w:val="28"/>
        </w:rPr>
        <w:t> </w:t>
      </w:r>
      <w:r w:rsidRPr="00377E5B">
        <w:rPr>
          <w:rFonts w:ascii="Times New Roman" w:hAnsi="Times New Roman" w:cs="Times New Roman"/>
          <w:bCs/>
          <w:sz w:val="28"/>
          <w:szCs w:val="28"/>
        </w:rPr>
        <w:t>Имущество казны</w:t>
      </w:r>
      <w:r w:rsidRPr="00377E5B">
        <w:rPr>
          <w:rFonts w:ascii="Times New Roman" w:hAnsi="Times New Roman" w:cs="Times New Roman"/>
          <w:sz w:val="28"/>
          <w:szCs w:val="28"/>
        </w:rPr>
        <w:t>. При заполнении документа остатками имущества, полученного на хранение, автоматически заполнится Контрагент, передавший имущество. Вручную следует указать соответствующий Договор.</w:t>
      </w:r>
    </w:p>
    <w:p w14:paraId="655FCF5A" w14:textId="77777777" w:rsidR="00F62302" w:rsidRPr="00377E5B" w:rsidRDefault="00F62302" w:rsidP="00377E5B">
      <w:pPr>
        <w:shd w:val="clear" w:color="auto" w:fill="EEFFEE"/>
        <w:spacing w:after="0"/>
        <w:ind w:firstLine="567"/>
        <w:jc w:val="both"/>
        <w:rPr>
          <w:rFonts w:ascii="Times New Roman" w:hAnsi="Times New Roman" w:cs="Times New Roman"/>
          <w:sz w:val="28"/>
          <w:szCs w:val="28"/>
        </w:rPr>
      </w:pPr>
    </w:p>
    <w:p w14:paraId="27A29633"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shd w:val="clear" w:color="auto" w:fill="FFFFFF"/>
        </w:rPr>
        <w:t>для переноса основных средств и материальных запасов по централизованному снабжению:</w:t>
      </w:r>
    </w:p>
    <w:p w14:paraId="2368E896" w14:textId="77777777" w:rsidR="009E034C" w:rsidRPr="00377E5B" w:rsidRDefault="009E034C" w:rsidP="00377E5B">
      <w:pPr>
        <w:numPr>
          <w:ilvl w:val="0"/>
          <w:numId w:val="4"/>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Полученные по централизованному снабжению | ОС (22)</w:t>
      </w:r>
    </w:p>
    <w:p w14:paraId="0AAF95F7" w14:textId="77777777" w:rsidR="009E034C" w:rsidRPr="00377E5B" w:rsidRDefault="009E034C" w:rsidP="00377E5B">
      <w:pPr>
        <w:numPr>
          <w:ilvl w:val="0"/>
          <w:numId w:val="4"/>
        </w:numPr>
        <w:spacing w:before="100" w:beforeAutospacing="1" w:after="120" w:line="240" w:lineRule="auto"/>
        <w:ind w:left="0" w:firstLine="567"/>
        <w:jc w:val="both"/>
        <w:rPr>
          <w:rFonts w:ascii="Times New Roman" w:hAnsi="Times New Roman" w:cs="Times New Roman"/>
          <w:sz w:val="28"/>
          <w:szCs w:val="28"/>
        </w:rPr>
      </w:pPr>
      <w:r w:rsidRPr="00377E5B">
        <w:rPr>
          <w:rFonts w:ascii="Times New Roman" w:hAnsi="Times New Roman" w:cs="Times New Roman"/>
          <w:bCs/>
          <w:sz w:val="28"/>
          <w:szCs w:val="28"/>
        </w:rPr>
        <w:t>Полученные по централизованному снабжению | МЗ (22)</w:t>
      </w:r>
    </w:p>
    <w:p w14:paraId="0D18E58C" w14:textId="77777777" w:rsidR="009E034C" w:rsidRPr="00377E5B" w:rsidRDefault="009E034C" w:rsidP="00377E5B">
      <w:pPr>
        <w:spacing w:after="0"/>
        <w:ind w:firstLine="567"/>
        <w:jc w:val="both"/>
        <w:rPr>
          <w:rFonts w:ascii="Times New Roman" w:hAnsi="Times New Roman" w:cs="Times New Roman"/>
          <w:sz w:val="28"/>
          <w:szCs w:val="28"/>
        </w:rPr>
      </w:pPr>
    </w:p>
    <w:p w14:paraId="0F2AE3E9" w14:textId="77777777" w:rsidR="009E034C" w:rsidRPr="00377E5B" w:rsidRDefault="009E034C" w:rsidP="00377E5B">
      <w:pPr>
        <w:ind w:firstLine="567"/>
        <w:jc w:val="both"/>
        <w:rPr>
          <w:rFonts w:ascii="Times New Roman" w:hAnsi="Times New Roman" w:cs="Times New Roman"/>
          <w:sz w:val="28"/>
          <w:szCs w:val="28"/>
        </w:rPr>
      </w:pPr>
      <w:r w:rsidRPr="00377E5B">
        <w:rPr>
          <w:rFonts w:ascii="Times New Roman" w:hAnsi="Times New Roman" w:cs="Times New Roman"/>
          <w:sz w:val="28"/>
          <w:szCs w:val="28"/>
        </w:rPr>
        <w:t>для переноса со счетов 02.3, 02.4, 24, 25, 26, 27:</w:t>
      </w:r>
    </w:p>
    <w:p w14:paraId="7B761006" w14:textId="77777777" w:rsidR="009E034C" w:rsidRPr="00377E5B" w:rsidRDefault="009E034C" w:rsidP="00377E5B">
      <w:pPr>
        <w:numPr>
          <w:ilvl w:val="0"/>
          <w:numId w:val="5"/>
        </w:numPr>
        <w:spacing w:before="100" w:beforeAutospacing="1" w:after="120" w:line="240" w:lineRule="auto"/>
        <w:ind w:left="0" w:firstLine="567"/>
        <w:jc w:val="both"/>
        <w:rPr>
          <w:rFonts w:ascii="Times New Roman" w:hAnsi="Times New Roman" w:cs="Times New Roman"/>
          <w:sz w:val="28"/>
          <w:szCs w:val="28"/>
        </w:rPr>
      </w:pPr>
      <w:proofErr w:type="spellStart"/>
      <w:r w:rsidRPr="00377E5B">
        <w:rPr>
          <w:rFonts w:ascii="Times New Roman" w:hAnsi="Times New Roman" w:cs="Times New Roman"/>
          <w:bCs/>
          <w:sz w:val="28"/>
          <w:szCs w:val="28"/>
        </w:rPr>
        <w:t>Забалансовые</w:t>
      </w:r>
      <w:proofErr w:type="spellEnd"/>
      <w:r w:rsidRPr="00377E5B">
        <w:rPr>
          <w:rFonts w:ascii="Times New Roman" w:hAnsi="Times New Roman" w:cs="Times New Roman"/>
          <w:bCs/>
          <w:sz w:val="28"/>
          <w:szCs w:val="28"/>
        </w:rPr>
        <w:t xml:space="preserve"> счета прочие | ОС</w:t>
      </w:r>
    </w:p>
    <w:p w14:paraId="7B51A0B9" w14:textId="77777777" w:rsidR="009E034C" w:rsidRPr="00377E5B" w:rsidRDefault="009E034C" w:rsidP="00377E5B">
      <w:pPr>
        <w:numPr>
          <w:ilvl w:val="0"/>
          <w:numId w:val="5"/>
        </w:numPr>
        <w:spacing w:before="100" w:beforeAutospacing="1" w:after="120" w:line="240" w:lineRule="auto"/>
        <w:ind w:left="0" w:firstLine="567"/>
        <w:jc w:val="both"/>
        <w:rPr>
          <w:rFonts w:ascii="Times New Roman" w:hAnsi="Times New Roman" w:cs="Times New Roman"/>
          <w:sz w:val="28"/>
          <w:szCs w:val="28"/>
        </w:rPr>
      </w:pPr>
      <w:proofErr w:type="spellStart"/>
      <w:r w:rsidRPr="00377E5B">
        <w:rPr>
          <w:rFonts w:ascii="Times New Roman" w:hAnsi="Times New Roman" w:cs="Times New Roman"/>
          <w:bCs/>
          <w:sz w:val="28"/>
          <w:szCs w:val="28"/>
        </w:rPr>
        <w:t>Забалансовые</w:t>
      </w:r>
      <w:proofErr w:type="spellEnd"/>
      <w:r w:rsidRPr="00377E5B">
        <w:rPr>
          <w:rFonts w:ascii="Times New Roman" w:hAnsi="Times New Roman" w:cs="Times New Roman"/>
          <w:bCs/>
          <w:sz w:val="28"/>
          <w:szCs w:val="28"/>
        </w:rPr>
        <w:t xml:space="preserve"> счета прочие | МЗ</w:t>
      </w:r>
    </w:p>
    <w:p w14:paraId="058FE4CD" w14:textId="77777777" w:rsidR="009E034C" w:rsidRPr="00377E5B" w:rsidRDefault="009E034C" w:rsidP="00377E5B">
      <w:pPr>
        <w:spacing w:after="0"/>
        <w:ind w:firstLine="567"/>
        <w:jc w:val="both"/>
        <w:rPr>
          <w:rFonts w:ascii="Times New Roman" w:hAnsi="Times New Roman" w:cs="Times New Roman"/>
          <w:bCs/>
          <w:sz w:val="28"/>
          <w:szCs w:val="28"/>
        </w:rPr>
      </w:pPr>
    </w:p>
    <w:p w14:paraId="7C494F3B" w14:textId="77777777" w:rsidR="009E034C" w:rsidRPr="00377E5B" w:rsidRDefault="009E034C" w:rsidP="00377E5B">
      <w:pPr>
        <w:pStyle w:val="1"/>
        <w:shd w:val="clear" w:color="auto" w:fill="FFFFFF"/>
        <w:spacing w:before="0" w:beforeAutospacing="0" w:after="96" w:afterAutospacing="0"/>
        <w:ind w:firstLine="567"/>
        <w:jc w:val="both"/>
        <w:rPr>
          <w:b w:val="0"/>
          <w:sz w:val="28"/>
          <w:szCs w:val="28"/>
          <w:shd w:val="clear" w:color="auto" w:fill="FFFFFF"/>
        </w:rPr>
      </w:pPr>
      <w:r w:rsidRPr="00377E5B">
        <w:rPr>
          <w:bCs w:val="0"/>
          <w:sz w:val="28"/>
          <w:szCs w:val="28"/>
        </w:rPr>
        <w:t>Внимание</w:t>
      </w:r>
      <w:r w:rsidRPr="00377E5B">
        <w:rPr>
          <w:b w:val="0"/>
          <w:bCs w:val="0"/>
          <w:sz w:val="28"/>
          <w:szCs w:val="28"/>
        </w:rPr>
        <w:t>!</w:t>
      </w:r>
      <w:r w:rsidR="001E3A65" w:rsidRPr="00377E5B">
        <w:rPr>
          <w:b w:val="0"/>
          <w:bCs w:val="0"/>
          <w:sz w:val="28"/>
          <w:szCs w:val="28"/>
        </w:rPr>
        <w:t xml:space="preserve"> </w:t>
      </w:r>
      <w:r w:rsidRPr="00377E5B">
        <w:rPr>
          <w:b w:val="0"/>
          <w:sz w:val="28"/>
          <w:szCs w:val="28"/>
          <w:shd w:val="clear" w:color="auto" w:fill="FFFFFF"/>
        </w:rPr>
        <w:t>Схему переноса данных – соответствие старых счетов новым для каждой операции можно увидеть в подсказке к реквизиту</w:t>
      </w:r>
      <w:r w:rsidRPr="00377E5B">
        <w:rPr>
          <w:rStyle w:val="apple-converted-space"/>
          <w:rFonts w:eastAsiaTheme="majorEastAsia"/>
          <w:b w:val="0"/>
          <w:sz w:val="28"/>
          <w:szCs w:val="28"/>
          <w:shd w:val="clear" w:color="auto" w:fill="FFFFFF"/>
        </w:rPr>
        <w:t> </w:t>
      </w:r>
      <w:r w:rsidRPr="00377E5B">
        <w:rPr>
          <w:b w:val="0"/>
          <w:bCs w:val="0"/>
          <w:sz w:val="28"/>
          <w:szCs w:val="28"/>
        </w:rPr>
        <w:t>Вид операции</w:t>
      </w:r>
      <w:r w:rsidRPr="00377E5B">
        <w:rPr>
          <w:rStyle w:val="apple-converted-space"/>
          <w:rFonts w:eastAsiaTheme="majorEastAsia"/>
          <w:b w:val="0"/>
          <w:sz w:val="28"/>
          <w:szCs w:val="28"/>
          <w:shd w:val="clear" w:color="auto" w:fill="FFFFFF"/>
        </w:rPr>
        <w:t> </w:t>
      </w:r>
      <w:r w:rsidRPr="00377E5B">
        <w:rPr>
          <w:b w:val="0"/>
          <w:sz w:val="28"/>
          <w:szCs w:val="28"/>
          <w:shd w:val="clear" w:color="auto" w:fill="FFFFFF"/>
        </w:rPr>
        <w:t>(при нажатии кнопки с изображением знака вопроса, расположенной справа от</w:t>
      </w:r>
      <w:r w:rsidRPr="00377E5B">
        <w:rPr>
          <w:rStyle w:val="apple-converted-space"/>
          <w:rFonts w:eastAsiaTheme="majorEastAsia"/>
          <w:b w:val="0"/>
          <w:sz w:val="28"/>
          <w:szCs w:val="28"/>
          <w:shd w:val="clear" w:color="auto" w:fill="FFFFFF"/>
        </w:rPr>
        <w:t> </w:t>
      </w:r>
      <w:r w:rsidRPr="00377E5B">
        <w:rPr>
          <w:b w:val="0"/>
          <w:bCs w:val="0"/>
          <w:sz w:val="28"/>
          <w:szCs w:val="28"/>
        </w:rPr>
        <w:t>Вида операции</w:t>
      </w:r>
      <w:r w:rsidRPr="00377E5B">
        <w:rPr>
          <w:b w:val="0"/>
          <w:sz w:val="28"/>
          <w:szCs w:val="28"/>
          <w:shd w:val="clear" w:color="auto" w:fill="FFFFFF"/>
        </w:rPr>
        <w:t>)</w:t>
      </w:r>
      <w:r w:rsidR="005D1D0E" w:rsidRPr="00377E5B">
        <w:rPr>
          <w:b w:val="0"/>
          <w:sz w:val="28"/>
          <w:szCs w:val="28"/>
          <w:shd w:val="clear" w:color="auto" w:fill="FFFFFF"/>
        </w:rPr>
        <w:t>.</w:t>
      </w:r>
    </w:p>
    <w:p w14:paraId="23718492" w14:textId="77777777" w:rsidR="00BB32B9" w:rsidRPr="00377E5B" w:rsidRDefault="00BB32B9" w:rsidP="00377E5B">
      <w:pPr>
        <w:pStyle w:val="1"/>
        <w:shd w:val="clear" w:color="auto" w:fill="FFFFFF"/>
        <w:spacing w:before="0" w:beforeAutospacing="0" w:after="96" w:afterAutospacing="0"/>
        <w:ind w:firstLine="567"/>
        <w:jc w:val="both"/>
        <w:rPr>
          <w:b w:val="0"/>
          <w:sz w:val="28"/>
          <w:szCs w:val="28"/>
          <w:shd w:val="clear" w:color="auto" w:fill="FFFFFF"/>
        </w:rPr>
      </w:pPr>
    </w:p>
    <w:p w14:paraId="54F78B83" w14:textId="6F0F9EE1" w:rsidR="005D1D0E" w:rsidRDefault="00B30FFE" w:rsidP="00377E5B">
      <w:pPr>
        <w:pStyle w:val="1"/>
        <w:shd w:val="clear" w:color="auto" w:fill="FFFFFF"/>
        <w:spacing w:before="0" w:beforeAutospacing="0" w:after="96" w:afterAutospacing="0"/>
        <w:ind w:firstLine="567"/>
        <w:jc w:val="both"/>
        <w:rPr>
          <w:b w:val="0"/>
          <w:sz w:val="28"/>
          <w:szCs w:val="28"/>
          <w:shd w:val="clear" w:color="auto" w:fill="FFFFFF"/>
        </w:rPr>
      </w:pPr>
      <w:r>
        <w:rPr>
          <w:b w:val="0"/>
          <w:sz w:val="28"/>
          <w:szCs w:val="28"/>
          <w:shd w:val="clear" w:color="auto" w:fill="FFFFFF"/>
        </w:rPr>
        <w:t xml:space="preserve">2. </w:t>
      </w:r>
      <w:r w:rsidR="005D1D0E" w:rsidRPr="00377E5B">
        <w:rPr>
          <w:b w:val="0"/>
          <w:sz w:val="28"/>
          <w:szCs w:val="28"/>
          <w:shd w:val="clear" w:color="auto" w:fill="FFFFFF"/>
        </w:rPr>
        <w:t xml:space="preserve">Для переноса остатков </w:t>
      </w:r>
      <w:r w:rsidR="005D1D0E" w:rsidRPr="00377E5B">
        <w:rPr>
          <w:sz w:val="28"/>
          <w:szCs w:val="28"/>
          <w:shd w:val="clear" w:color="auto" w:fill="FFFFFF"/>
        </w:rPr>
        <w:t>по</w:t>
      </w:r>
      <w:r>
        <w:rPr>
          <w:sz w:val="28"/>
          <w:szCs w:val="28"/>
          <w:shd w:val="clear" w:color="auto" w:fill="FFFFFF"/>
        </w:rPr>
        <w:t xml:space="preserve"> другим</w:t>
      </w:r>
      <w:r w:rsidR="005D1D0E" w:rsidRPr="00377E5B">
        <w:rPr>
          <w:sz w:val="28"/>
          <w:szCs w:val="28"/>
          <w:shd w:val="clear" w:color="auto" w:fill="FFFFFF"/>
        </w:rPr>
        <w:t xml:space="preserve"> </w:t>
      </w:r>
      <w:r w:rsidR="00BB32B9" w:rsidRPr="00377E5B">
        <w:rPr>
          <w:sz w:val="28"/>
          <w:szCs w:val="28"/>
          <w:shd w:val="clear" w:color="auto" w:fill="FFFFFF"/>
        </w:rPr>
        <w:t xml:space="preserve">устаревшим </w:t>
      </w:r>
      <w:r w:rsidR="005D1D0E" w:rsidRPr="00377E5B">
        <w:rPr>
          <w:sz w:val="28"/>
          <w:szCs w:val="28"/>
          <w:shd w:val="clear" w:color="auto" w:fill="FFFFFF"/>
        </w:rPr>
        <w:t>счетам</w:t>
      </w:r>
      <w:r>
        <w:rPr>
          <w:sz w:val="28"/>
          <w:szCs w:val="28"/>
          <w:shd w:val="clear" w:color="auto" w:fill="FFFFFF"/>
        </w:rPr>
        <w:t xml:space="preserve">, </w:t>
      </w:r>
      <w:r w:rsidRPr="00B30FFE">
        <w:rPr>
          <w:b w:val="0"/>
          <w:sz w:val="28"/>
          <w:szCs w:val="28"/>
          <w:shd w:val="clear" w:color="auto" w:fill="FFFFFF"/>
        </w:rPr>
        <w:t>не относящимся к группе счетов учета НФА</w:t>
      </w:r>
      <w:r w:rsidR="005D1D0E" w:rsidRPr="00B30FFE">
        <w:rPr>
          <w:b w:val="0"/>
          <w:sz w:val="28"/>
          <w:szCs w:val="28"/>
          <w:shd w:val="clear" w:color="auto" w:fill="FFFFFF"/>
        </w:rPr>
        <w:t xml:space="preserve">, </w:t>
      </w:r>
      <w:r w:rsidR="00BB32B9" w:rsidRPr="00377E5B">
        <w:rPr>
          <w:b w:val="0"/>
          <w:sz w:val="28"/>
          <w:szCs w:val="28"/>
          <w:shd w:val="clear" w:color="auto" w:fill="FFFFFF"/>
        </w:rPr>
        <w:t xml:space="preserve">можно </w:t>
      </w:r>
      <w:r w:rsidR="005D1D0E" w:rsidRPr="00377E5B">
        <w:rPr>
          <w:b w:val="0"/>
          <w:sz w:val="28"/>
          <w:szCs w:val="28"/>
          <w:shd w:val="clear" w:color="auto" w:fill="FFFFFF"/>
        </w:rPr>
        <w:t>использовать обработку Помощник переноса остатков с устаревших счетов, которая находится в разделе Учет и отчетность – Прочее и доступна пользователям с р</w:t>
      </w:r>
      <w:r w:rsidR="001750B8" w:rsidRPr="00377E5B">
        <w:rPr>
          <w:b w:val="0"/>
          <w:sz w:val="28"/>
          <w:szCs w:val="28"/>
          <w:shd w:val="clear" w:color="auto" w:fill="FFFFFF"/>
        </w:rPr>
        <w:t>олью</w:t>
      </w:r>
      <w:r w:rsidR="005D1D0E" w:rsidRPr="00377E5B">
        <w:rPr>
          <w:b w:val="0"/>
          <w:sz w:val="28"/>
          <w:szCs w:val="28"/>
          <w:shd w:val="clear" w:color="auto" w:fill="FFFFFF"/>
        </w:rPr>
        <w:t xml:space="preserve"> Бухгалтер, Главный бухгалтер.</w:t>
      </w:r>
      <w:r>
        <w:rPr>
          <w:b w:val="0"/>
          <w:sz w:val="28"/>
          <w:szCs w:val="28"/>
          <w:shd w:val="clear" w:color="auto" w:fill="FFFFFF"/>
        </w:rPr>
        <w:t xml:space="preserve"> С помощью этой обработки возможно осуществить перенос остатков с устаревших счетов 30401, 30403, 30301, 30303, 30312 и 30313 на новые счета с дополнительной аналитикой.</w:t>
      </w:r>
    </w:p>
    <w:p w14:paraId="37AFFC74" w14:textId="77777777" w:rsidR="00BB32B9" w:rsidRPr="00377E5B" w:rsidRDefault="00BB32B9" w:rsidP="00377E5B">
      <w:pPr>
        <w:pStyle w:val="1"/>
        <w:shd w:val="clear" w:color="auto" w:fill="FFFFFF"/>
        <w:spacing w:before="0" w:beforeAutospacing="0" w:after="96" w:afterAutospacing="0"/>
        <w:ind w:firstLine="567"/>
        <w:jc w:val="both"/>
        <w:rPr>
          <w:b w:val="0"/>
          <w:sz w:val="28"/>
          <w:szCs w:val="28"/>
          <w:shd w:val="clear" w:color="auto" w:fill="FFFFFF"/>
        </w:rPr>
      </w:pPr>
    </w:p>
    <w:p w14:paraId="7574BC23" w14:textId="77777777" w:rsidR="005D1D0E" w:rsidRDefault="005D1D0E" w:rsidP="009E034C">
      <w:pPr>
        <w:pStyle w:val="1"/>
        <w:shd w:val="clear" w:color="auto" w:fill="FFFFFF"/>
        <w:spacing w:before="0" w:beforeAutospacing="0" w:after="96" w:afterAutospacing="0"/>
        <w:ind w:firstLine="567"/>
        <w:rPr>
          <w:b w:val="0"/>
          <w:sz w:val="28"/>
          <w:szCs w:val="28"/>
        </w:rPr>
      </w:pPr>
      <w:r>
        <w:rPr>
          <w:noProof/>
        </w:rPr>
        <w:lastRenderedPageBreak/>
        <w:drawing>
          <wp:inline distT="0" distB="0" distL="0" distR="0" wp14:anchorId="6C78BB77" wp14:editId="5441CC6D">
            <wp:extent cx="6210300" cy="2870200"/>
            <wp:effectExtent l="19050" t="19050" r="19050" b="254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10300" cy="2870200"/>
                    </a:xfrm>
                    <a:prstGeom prst="rect">
                      <a:avLst/>
                    </a:prstGeom>
                    <a:ln>
                      <a:solidFill>
                        <a:schemeClr val="accent1"/>
                      </a:solidFill>
                    </a:ln>
                  </pic:spPr>
                </pic:pic>
              </a:graphicData>
            </a:graphic>
          </wp:inline>
        </w:drawing>
      </w:r>
    </w:p>
    <w:p w14:paraId="5AFAEC7F" w14:textId="303C4D7C" w:rsidR="00B30FFE" w:rsidRPr="00E60A96" w:rsidRDefault="00B30FFE" w:rsidP="00B30FFE">
      <w:pPr>
        <w:pStyle w:val="a3"/>
        <w:tabs>
          <w:tab w:val="left" w:pos="8080"/>
        </w:tabs>
        <w:spacing w:before="0" w:beforeAutospacing="0"/>
        <w:ind w:firstLine="567"/>
        <w:jc w:val="center"/>
        <w:rPr>
          <w:bCs/>
          <w:sz w:val="28"/>
          <w:szCs w:val="28"/>
        </w:rPr>
      </w:pPr>
      <w:r>
        <w:rPr>
          <w:bCs/>
          <w:sz w:val="28"/>
          <w:szCs w:val="28"/>
        </w:rPr>
        <w:t>Рис. 7</w:t>
      </w:r>
      <w:r w:rsidRPr="00E60A96">
        <w:rPr>
          <w:bCs/>
          <w:sz w:val="28"/>
          <w:szCs w:val="28"/>
        </w:rPr>
        <w:t xml:space="preserve">. </w:t>
      </w:r>
      <w:r>
        <w:rPr>
          <w:bCs/>
          <w:sz w:val="28"/>
          <w:szCs w:val="28"/>
        </w:rPr>
        <w:t>Запуск помощника переноса остатков с устаревших счетов</w:t>
      </w:r>
      <w:r w:rsidRPr="00E60A96">
        <w:rPr>
          <w:sz w:val="28"/>
          <w:szCs w:val="28"/>
          <w:shd w:val="clear" w:color="auto" w:fill="FFFFFF"/>
        </w:rPr>
        <w:t>.</w:t>
      </w:r>
    </w:p>
    <w:p w14:paraId="4FFA938A" w14:textId="14FFFA26" w:rsidR="00B30FFE" w:rsidRDefault="00A1545E" w:rsidP="009E034C">
      <w:pPr>
        <w:pStyle w:val="1"/>
        <w:shd w:val="clear" w:color="auto" w:fill="FFFFFF"/>
        <w:spacing w:before="0" w:beforeAutospacing="0" w:after="96" w:afterAutospacing="0"/>
        <w:ind w:firstLine="567"/>
        <w:rPr>
          <w:b w:val="0"/>
          <w:sz w:val="28"/>
          <w:szCs w:val="28"/>
        </w:rPr>
      </w:pPr>
      <w:r>
        <w:rPr>
          <w:b w:val="0"/>
          <w:sz w:val="28"/>
          <w:szCs w:val="28"/>
        </w:rPr>
        <w:tab/>
        <w:t>После запуска обработки откроется форма помощника переноса между счетами. В шапке формы необходимо указать дату переноса 31.12.2020 и организацию.</w:t>
      </w:r>
    </w:p>
    <w:p w14:paraId="444E2123" w14:textId="3DCFAC2A" w:rsidR="00A1545E" w:rsidRDefault="00A1545E" w:rsidP="00A1545E">
      <w:pPr>
        <w:pStyle w:val="1"/>
        <w:shd w:val="clear" w:color="auto" w:fill="FFFFFF"/>
        <w:spacing w:before="0" w:beforeAutospacing="0" w:after="96" w:afterAutospacing="0"/>
        <w:rPr>
          <w:b w:val="0"/>
          <w:sz w:val="28"/>
          <w:szCs w:val="28"/>
        </w:rPr>
      </w:pPr>
      <w:r>
        <w:rPr>
          <w:noProof/>
        </w:rPr>
        <w:drawing>
          <wp:inline distT="0" distB="0" distL="0" distR="0" wp14:anchorId="630C982E" wp14:editId="16286859">
            <wp:extent cx="6210300" cy="3328670"/>
            <wp:effectExtent l="19050" t="19050" r="19050" b="2413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10300" cy="3328670"/>
                    </a:xfrm>
                    <a:prstGeom prst="rect">
                      <a:avLst/>
                    </a:prstGeom>
                    <a:ln>
                      <a:solidFill>
                        <a:schemeClr val="tx1"/>
                      </a:solidFill>
                    </a:ln>
                  </pic:spPr>
                </pic:pic>
              </a:graphicData>
            </a:graphic>
          </wp:inline>
        </w:drawing>
      </w:r>
    </w:p>
    <w:p w14:paraId="68C3D48E" w14:textId="47CB4F22" w:rsidR="00A1545E" w:rsidRPr="00E60A96" w:rsidRDefault="00A1545E" w:rsidP="00A1545E">
      <w:pPr>
        <w:pStyle w:val="a3"/>
        <w:tabs>
          <w:tab w:val="left" w:pos="8080"/>
        </w:tabs>
        <w:spacing w:before="0" w:beforeAutospacing="0"/>
        <w:ind w:firstLine="567"/>
        <w:jc w:val="center"/>
        <w:rPr>
          <w:bCs/>
          <w:sz w:val="28"/>
          <w:szCs w:val="28"/>
        </w:rPr>
      </w:pPr>
      <w:r>
        <w:rPr>
          <w:bCs/>
          <w:sz w:val="28"/>
          <w:szCs w:val="28"/>
        </w:rPr>
        <w:t>Рис. 8</w:t>
      </w:r>
      <w:r w:rsidRPr="00E60A96">
        <w:rPr>
          <w:bCs/>
          <w:sz w:val="28"/>
          <w:szCs w:val="28"/>
        </w:rPr>
        <w:t xml:space="preserve">. </w:t>
      </w:r>
      <w:r>
        <w:rPr>
          <w:bCs/>
          <w:sz w:val="28"/>
          <w:szCs w:val="28"/>
        </w:rPr>
        <w:t>Ввод даты переноса и организации</w:t>
      </w:r>
      <w:r w:rsidRPr="00E60A96">
        <w:rPr>
          <w:sz w:val="28"/>
          <w:szCs w:val="28"/>
          <w:shd w:val="clear" w:color="auto" w:fill="FFFFFF"/>
        </w:rPr>
        <w:t>.</w:t>
      </w:r>
    </w:p>
    <w:p w14:paraId="2737E105" w14:textId="264492BA" w:rsidR="00A1545E" w:rsidRDefault="00922FC2" w:rsidP="00922FC2">
      <w:pPr>
        <w:pStyle w:val="1"/>
        <w:shd w:val="clear" w:color="auto" w:fill="FFFFFF"/>
        <w:spacing w:before="0" w:beforeAutospacing="0" w:after="96" w:afterAutospacing="0"/>
        <w:jc w:val="both"/>
        <w:rPr>
          <w:b w:val="0"/>
          <w:sz w:val="28"/>
          <w:szCs w:val="28"/>
        </w:rPr>
      </w:pPr>
      <w:r>
        <w:rPr>
          <w:b w:val="0"/>
          <w:sz w:val="28"/>
          <w:szCs w:val="28"/>
        </w:rPr>
        <w:tab/>
        <w:t>В группе реквизитов «Источник остатков» необходимо указать устаревший счет, с которого переносятся остатки. Для выбора устаревшего счета необходимо начать набирать номер счета в поле «Счет» и появившемся списке выбрать счет, у которого указана дата окончания действия «до 01.01.2021». Для переноса остатков по всей аналитике устаревшего счета другие реквизиты в группе «Источник остатков» указывать не нужно.</w:t>
      </w:r>
    </w:p>
    <w:p w14:paraId="6FD74794" w14:textId="77777777" w:rsidR="00922FC2" w:rsidRDefault="00922FC2" w:rsidP="00A1545E">
      <w:pPr>
        <w:pStyle w:val="1"/>
        <w:shd w:val="clear" w:color="auto" w:fill="FFFFFF"/>
        <w:spacing w:before="0" w:beforeAutospacing="0" w:after="96" w:afterAutospacing="0"/>
        <w:rPr>
          <w:b w:val="0"/>
          <w:sz w:val="28"/>
          <w:szCs w:val="28"/>
        </w:rPr>
      </w:pPr>
    </w:p>
    <w:p w14:paraId="30E1E005" w14:textId="51BA07A3" w:rsidR="00922FC2" w:rsidRDefault="00922FC2" w:rsidP="00A1545E">
      <w:pPr>
        <w:pStyle w:val="1"/>
        <w:shd w:val="clear" w:color="auto" w:fill="FFFFFF"/>
        <w:spacing w:before="0" w:beforeAutospacing="0" w:after="96" w:afterAutospacing="0"/>
        <w:rPr>
          <w:b w:val="0"/>
          <w:sz w:val="28"/>
          <w:szCs w:val="28"/>
        </w:rPr>
      </w:pPr>
      <w:r>
        <w:rPr>
          <w:noProof/>
        </w:rPr>
        <w:drawing>
          <wp:inline distT="0" distB="0" distL="0" distR="0" wp14:anchorId="68C3D6EC" wp14:editId="0B28B5A8">
            <wp:extent cx="6210300" cy="3267075"/>
            <wp:effectExtent l="19050" t="19050" r="19050" b="285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10300" cy="3267075"/>
                    </a:xfrm>
                    <a:prstGeom prst="rect">
                      <a:avLst/>
                    </a:prstGeom>
                    <a:ln>
                      <a:solidFill>
                        <a:schemeClr val="tx1"/>
                      </a:solidFill>
                    </a:ln>
                  </pic:spPr>
                </pic:pic>
              </a:graphicData>
            </a:graphic>
          </wp:inline>
        </w:drawing>
      </w:r>
    </w:p>
    <w:p w14:paraId="671CC38A" w14:textId="04ECDBD9" w:rsidR="00922FC2" w:rsidRPr="00E60A96" w:rsidRDefault="00922FC2" w:rsidP="00922FC2">
      <w:pPr>
        <w:pStyle w:val="a3"/>
        <w:tabs>
          <w:tab w:val="left" w:pos="8080"/>
        </w:tabs>
        <w:spacing w:before="0" w:beforeAutospacing="0"/>
        <w:ind w:firstLine="567"/>
        <w:jc w:val="center"/>
        <w:rPr>
          <w:bCs/>
          <w:sz w:val="28"/>
          <w:szCs w:val="28"/>
        </w:rPr>
      </w:pPr>
      <w:r>
        <w:rPr>
          <w:bCs/>
          <w:sz w:val="28"/>
          <w:szCs w:val="28"/>
        </w:rPr>
        <w:t>Рис. 9</w:t>
      </w:r>
      <w:r w:rsidRPr="00E60A96">
        <w:rPr>
          <w:bCs/>
          <w:sz w:val="28"/>
          <w:szCs w:val="28"/>
        </w:rPr>
        <w:t xml:space="preserve">. </w:t>
      </w:r>
      <w:r>
        <w:rPr>
          <w:bCs/>
          <w:sz w:val="28"/>
          <w:szCs w:val="28"/>
        </w:rPr>
        <w:t>Указание устаревшего счета-источника</w:t>
      </w:r>
      <w:r w:rsidRPr="00E60A96">
        <w:rPr>
          <w:sz w:val="28"/>
          <w:szCs w:val="28"/>
          <w:shd w:val="clear" w:color="auto" w:fill="FFFFFF"/>
        </w:rPr>
        <w:t>.</w:t>
      </w:r>
    </w:p>
    <w:p w14:paraId="2FBDC150" w14:textId="4853977C" w:rsidR="00922FC2" w:rsidRDefault="00922FC2" w:rsidP="00922FC2">
      <w:pPr>
        <w:pStyle w:val="1"/>
        <w:shd w:val="clear" w:color="auto" w:fill="FFFFFF"/>
        <w:spacing w:before="0" w:beforeAutospacing="0" w:after="96" w:afterAutospacing="0"/>
        <w:jc w:val="both"/>
        <w:rPr>
          <w:b w:val="0"/>
          <w:sz w:val="28"/>
          <w:szCs w:val="28"/>
        </w:rPr>
      </w:pPr>
      <w:r>
        <w:rPr>
          <w:b w:val="0"/>
          <w:sz w:val="28"/>
          <w:szCs w:val="28"/>
        </w:rPr>
        <w:tab/>
        <w:t>После выбора устаревшего счета необходимо нажать кнопку «Заполнить остатки». В таблице будут заполнены остатки устаревшего счета на дату переноса.</w:t>
      </w:r>
      <w:r w:rsidR="00E8427F">
        <w:rPr>
          <w:b w:val="0"/>
          <w:sz w:val="28"/>
          <w:szCs w:val="28"/>
        </w:rPr>
        <w:t xml:space="preserve"> Дебетовые остатки будут заполнены со знаком «плюс», кредитовые – со знаком «минус».</w:t>
      </w:r>
    </w:p>
    <w:p w14:paraId="191C5C57" w14:textId="5BC580A3" w:rsidR="00922FC2" w:rsidRDefault="00922FC2" w:rsidP="00922FC2">
      <w:pPr>
        <w:pStyle w:val="1"/>
        <w:shd w:val="clear" w:color="auto" w:fill="FFFFFF"/>
        <w:spacing w:before="0" w:beforeAutospacing="0" w:after="96" w:afterAutospacing="0"/>
        <w:jc w:val="both"/>
        <w:rPr>
          <w:b w:val="0"/>
          <w:sz w:val="28"/>
          <w:szCs w:val="28"/>
        </w:rPr>
      </w:pPr>
      <w:r>
        <w:rPr>
          <w:noProof/>
        </w:rPr>
        <w:drawing>
          <wp:inline distT="0" distB="0" distL="0" distR="0" wp14:anchorId="42E4C541" wp14:editId="1E39D4E8">
            <wp:extent cx="6210300" cy="3353435"/>
            <wp:effectExtent l="19050" t="19050" r="19050" b="184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10300" cy="3353435"/>
                    </a:xfrm>
                    <a:prstGeom prst="rect">
                      <a:avLst/>
                    </a:prstGeom>
                    <a:ln>
                      <a:solidFill>
                        <a:schemeClr val="tx1"/>
                      </a:solidFill>
                    </a:ln>
                  </pic:spPr>
                </pic:pic>
              </a:graphicData>
            </a:graphic>
          </wp:inline>
        </w:drawing>
      </w:r>
    </w:p>
    <w:p w14:paraId="4729A60A" w14:textId="30F528E8" w:rsidR="00922FC2" w:rsidRDefault="00922FC2" w:rsidP="00922FC2">
      <w:pPr>
        <w:pStyle w:val="a3"/>
        <w:tabs>
          <w:tab w:val="left" w:pos="8080"/>
        </w:tabs>
        <w:spacing w:before="0" w:beforeAutospacing="0"/>
        <w:ind w:firstLine="567"/>
        <w:jc w:val="center"/>
        <w:rPr>
          <w:sz w:val="28"/>
          <w:szCs w:val="28"/>
          <w:shd w:val="clear" w:color="auto" w:fill="FFFFFF"/>
        </w:rPr>
      </w:pPr>
      <w:r>
        <w:rPr>
          <w:bCs/>
          <w:sz w:val="28"/>
          <w:szCs w:val="28"/>
        </w:rPr>
        <w:t>Рис. 10</w:t>
      </w:r>
      <w:r w:rsidRPr="00E60A96">
        <w:rPr>
          <w:bCs/>
          <w:sz w:val="28"/>
          <w:szCs w:val="28"/>
        </w:rPr>
        <w:t xml:space="preserve">. </w:t>
      </w:r>
      <w:r>
        <w:rPr>
          <w:bCs/>
          <w:sz w:val="28"/>
          <w:szCs w:val="28"/>
        </w:rPr>
        <w:t>Заполнение остатков по устаревшему счету</w:t>
      </w:r>
      <w:r w:rsidRPr="00E60A96">
        <w:rPr>
          <w:sz w:val="28"/>
          <w:szCs w:val="28"/>
          <w:shd w:val="clear" w:color="auto" w:fill="FFFFFF"/>
        </w:rPr>
        <w:t>.</w:t>
      </w:r>
    </w:p>
    <w:p w14:paraId="03A727EF" w14:textId="3ACDE379" w:rsidR="00E8427F" w:rsidRDefault="00E8427F" w:rsidP="00E8427F">
      <w:pPr>
        <w:pStyle w:val="1"/>
        <w:shd w:val="clear" w:color="auto" w:fill="FFFFFF"/>
        <w:spacing w:before="0" w:beforeAutospacing="0" w:after="96" w:afterAutospacing="0"/>
        <w:jc w:val="both"/>
        <w:rPr>
          <w:b w:val="0"/>
          <w:sz w:val="28"/>
          <w:szCs w:val="28"/>
        </w:rPr>
      </w:pPr>
      <w:r>
        <w:rPr>
          <w:b w:val="0"/>
          <w:sz w:val="28"/>
          <w:szCs w:val="28"/>
        </w:rPr>
        <w:tab/>
        <w:t>В группе реквизитов «Приемник остатков» необходимо указать новый счет, на который переносятся остатки. Это счет с тем же номером</w:t>
      </w:r>
      <w:r w:rsidR="001E0D71">
        <w:rPr>
          <w:b w:val="0"/>
          <w:sz w:val="28"/>
          <w:szCs w:val="28"/>
        </w:rPr>
        <w:t>,</w:t>
      </w:r>
      <w:bookmarkStart w:id="0" w:name="_GoBack"/>
      <w:bookmarkEnd w:id="0"/>
      <w:r>
        <w:rPr>
          <w:b w:val="0"/>
          <w:sz w:val="28"/>
          <w:szCs w:val="28"/>
        </w:rPr>
        <w:t xml:space="preserve"> но без даты </w:t>
      </w:r>
      <w:r>
        <w:rPr>
          <w:b w:val="0"/>
          <w:sz w:val="28"/>
          <w:szCs w:val="28"/>
        </w:rPr>
        <w:lastRenderedPageBreak/>
        <w:t>окончания действия. Для выбора счета также можно начать выбирать счет и в появившемся списке выбрать тот же счет, что и в источнике остатков, но без даты окончания действия.</w:t>
      </w:r>
    </w:p>
    <w:p w14:paraId="2F044F94" w14:textId="51D92643" w:rsidR="00E8427F" w:rsidRDefault="00E8427F" w:rsidP="00E8427F">
      <w:pPr>
        <w:pStyle w:val="1"/>
        <w:shd w:val="clear" w:color="auto" w:fill="FFFFFF"/>
        <w:spacing w:before="0" w:beforeAutospacing="0" w:after="96" w:afterAutospacing="0"/>
        <w:jc w:val="both"/>
        <w:rPr>
          <w:b w:val="0"/>
          <w:sz w:val="28"/>
          <w:szCs w:val="28"/>
        </w:rPr>
      </w:pPr>
      <w:r>
        <w:rPr>
          <w:noProof/>
        </w:rPr>
        <w:drawing>
          <wp:inline distT="0" distB="0" distL="0" distR="0" wp14:anchorId="129DAEAA" wp14:editId="11B7C3C2">
            <wp:extent cx="6210300" cy="3280410"/>
            <wp:effectExtent l="19050" t="19050" r="19050" b="152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10300" cy="3280410"/>
                    </a:xfrm>
                    <a:prstGeom prst="rect">
                      <a:avLst/>
                    </a:prstGeom>
                    <a:ln>
                      <a:solidFill>
                        <a:schemeClr val="tx1"/>
                      </a:solidFill>
                    </a:ln>
                  </pic:spPr>
                </pic:pic>
              </a:graphicData>
            </a:graphic>
          </wp:inline>
        </w:drawing>
      </w:r>
    </w:p>
    <w:p w14:paraId="09587D98" w14:textId="480C3DFF" w:rsidR="00E8427F" w:rsidRPr="00E60A96" w:rsidRDefault="00E8427F" w:rsidP="00E8427F">
      <w:pPr>
        <w:pStyle w:val="a3"/>
        <w:tabs>
          <w:tab w:val="left" w:pos="8080"/>
        </w:tabs>
        <w:spacing w:before="0" w:beforeAutospacing="0"/>
        <w:ind w:firstLine="567"/>
        <w:jc w:val="center"/>
        <w:rPr>
          <w:bCs/>
          <w:sz w:val="28"/>
          <w:szCs w:val="28"/>
        </w:rPr>
      </w:pPr>
      <w:r>
        <w:rPr>
          <w:bCs/>
          <w:sz w:val="28"/>
          <w:szCs w:val="28"/>
        </w:rPr>
        <w:t>Рис. 11</w:t>
      </w:r>
      <w:r w:rsidRPr="00E60A96">
        <w:rPr>
          <w:bCs/>
          <w:sz w:val="28"/>
          <w:szCs w:val="28"/>
        </w:rPr>
        <w:t xml:space="preserve">. </w:t>
      </w:r>
      <w:r>
        <w:rPr>
          <w:bCs/>
          <w:sz w:val="28"/>
          <w:szCs w:val="28"/>
        </w:rPr>
        <w:t>Указание нового счета-приемника</w:t>
      </w:r>
      <w:r w:rsidRPr="00E60A96">
        <w:rPr>
          <w:sz w:val="28"/>
          <w:szCs w:val="28"/>
          <w:shd w:val="clear" w:color="auto" w:fill="FFFFFF"/>
        </w:rPr>
        <w:t>.</w:t>
      </w:r>
    </w:p>
    <w:p w14:paraId="2E89CFE1" w14:textId="77777777" w:rsidR="00776029" w:rsidRDefault="00776029" w:rsidP="00E8427F">
      <w:pPr>
        <w:pStyle w:val="1"/>
        <w:shd w:val="clear" w:color="auto" w:fill="FFFFFF"/>
        <w:spacing w:before="0" w:beforeAutospacing="0" w:after="96" w:afterAutospacing="0"/>
        <w:jc w:val="both"/>
        <w:rPr>
          <w:b w:val="0"/>
          <w:sz w:val="28"/>
          <w:szCs w:val="28"/>
        </w:rPr>
      </w:pPr>
      <w:r>
        <w:rPr>
          <w:b w:val="0"/>
          <w:sz w:val="28"/>
          <w:szCs w:val="28"/>
        </w:rPr>
        <w:tab/>
      </w:r>
    </w:p>
    <w:p w14:paraId="51DDAD36" w14:textId="77F8B716" w:rsidR="00E8427F" w:rsidRDefault="00776029" w:rsidP="00A705C0">
      <w:pPr>
        <w:pStyle w:val="1"/>
        <w:shd w:val="clear" w:color="auto" w:fill="FFFFFF"/>
        <w:spacing w:before="0" w:beforeAutospacing="0" w:after="96" w:afterAutospacing="0"/>
        <w:ind w:firstLine="567"/>
        <w:jc w:val="both"/>
        <w:rPr>
          <w:b w:val="0"/>
          <w:sz w:val="28"/>
          <w:szCs w:val="28"/>
        </w:rPr>
      </w:pPr>
      <w:r>
        <w:rPr>
          <w:b w:val="0"/>
          <w:sz w:val="28"/>
          <w:szCs w:val="28"/>
        </w:rPr>
        <w:t>Далее возможно выполнить следующие действия:</w:t>
      </w:r>
    </w:p>
    <w:p w14:paraId="6E60BF02" w14:textId="3FCD54EB" w:rsidR="00776029" w:rsidRDefault="00776029" w:rsidP="00E8427F">
      <w:pPr>
        <w:pStyle w:val="1"/>
        <w:shd w:val="clear" w:color="auto" w:fill="FFFFFF"/>
        <w:spacing w:before="0" w:beforeAutospacing="0" w:after="96" w:afterAutospacing="0"/>
        <w:jc w:val="both"/>
        <w:rPr>
          <w:b w:val="0"/>
          <w:sz w:val="28"/>
          <w:szCs w:val="28"/>
        </w:rPr>
      </w:pPr>
      <w:r>
        <w:rPr>
          <w:b w:val="0"/>
          <w:sz w:val="28"/>
          <w:szCs w:val="28"/>
        </w:rPr>
        <w:t>- нажать кнопку «Перенести остатки». Будет сформирована бухгалтерская справка с датой 31.12.2020 года и с проводками</w:t>
      </w:r>
      <w:r w:rsidR="00F51979">
        <w:rPr>
          <w:b w:val="0"/>
          <w:sz w:val="28"/>
          <w:szCs w:val="28"/>
        </w:rPr>
        <w:t xml:space="preserve"> в дебет нового счета с кредита устаревшего счета если сальдо по устаревшему счету дебетовой и в кредит нового счета с дебета устаревшего счета если сальдо по счету кредитовое. Т.е. перенос осуществляется со счета на счет прямыми проводками (положительными суммами). При этом будут перенесены совпадающие субконто (например, для счета 30401 это субконто «Контрагент», а новые субконто у новых счетов останутся пустыми и их нужно будет проставить в сформированной бухгалтерской справке вручную.</w:t>
      </w:r>
    </w:p>
    <w:p w14:paraId="30657885" w14:textId="7C38BEC8" w:rsidR="00F51979" w:rsidRDefault="00F51979" w:rsidP="00E8427F">
      <w:pPr>
        <w:pStyle w:val="1"/>
        <w:shd w:val="clear" w:color="auto" w:fill="FFFFFF"/>
        <w:spacing w:before="0" w:beforeAutospacing="0" w:after="96" w:afterAutospacing="0"/>
        <w:jc w:val="both"/>
        <w:rPr>
          <w:b w:val="0"/>
          <w:sz w:val="28"/>
          <w:szCs w:val="28"/>
        </w:rPr>
      </w:pPr>
      <w:r>
        <w:rPr>
          <w:noProof/>
        </w:rPr>
        <w:lastRenderedPageBreak/>
        <w:drawing>
          <wp:inline distT="0" distB="0" distL="0" distR="0" wp14:anchorId="27FBEC81" wp14:editId="50BE4BB3">
            <wp:extent cx="6210300" cy="3347720"/>
            <wp:effectExtent l="19050" t="19050" r="19050" b="2413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10300" cy="3347720"/>
                    </a:xfrm>
                    <a:prstGeom prst="rect">
                      <a:avLst/>
                    </a:prstGeom>
                    <a:ln>
                      <a:solidFill>
                        <a:schemeClr val="tx1"/>
                      </a:solidFill>
                    </a:ln>
                  </pic:spPr>
                </pic:pic>
              </a:graphicData>
            </a:graphic>
          </wp:inline>
        </w:drawing>
      </w:r>
    </w:p>
    <w:p w14:paraId="474F8138" w14:textId="4C5AE278" w:rsidR="00F51979" w:rsidRPr="00E60A96" w:rsidRDefault="00F51979" w:rsidP="00F51979">
      <w:pPr>
        <w:pStyle w:val="a3"/>
        <w:tabs>
          <w:tab w:val="left" w:pos="8080"/>
        </w:tabs>
        <w:spacing w:before="0" w:beforeAutospacing="0"/>
        <w:ind w:firstLine="567"/>
        <w:jc w:val="center"/>
        <w:rPr>
          <w:bCs/>
          <w:sz w:val="28"/>
          <w:szCs w:val="28"/>
        </w:rPr>
      </w:pPr>
      <w:r>
        <w:rPr>
          <w:bCs/>
          <w:sz w:val="28"/>
          <w:szCs w:val="28"/>
        </w:rPr>
        <w:t>Рис. 12</w:t>
      </w:r>
      <w:r w:rsidRPr="00E60A96">
        <w:rPr>
          <w:bCs/>
          <w:sz w:val="28"/>
          <w:szCs w:val="28"/>
        </w:rPr>
        <w:t xml:space="preserve">. </w:t>
      </w:r>
      <w:r>
        <w:rPr>
          <w:bCs/>
          <w:sz w:val="28"/>
          <w:szCs w:val="28"/>
        </w:rPr>
        <w:t>Формирование бухгалтерской справки</w:t>
      </w:r>
      <w:r w:rsidRPr="00E60A96">
        <w:rPr>
          <w:sz w:val="28"/>
          <w:szCs w:val="28"/>
          <w:shd w:val="clear" w:color="auto" w:fill="FFFFFF"/>
        </w:rPr>
        <w:t>.</w:t>
      </w:r>
    </w:p>
    <w:p w14:paraId="32B70BE9" w14:textId="53C7F40F" w:rsidR="00F51979" w:rsidRDefault="00F51979" w:rsidP="00F51979">
      <w:pPr>
        <w:pStyle w:val="1"/>
        <w:shd w:val="clear" w:color="auto" w:fill="FFFFFF"/>
        <w:spacing w:before="0" w:beforeAutospacing="0" w:after="96" w:afterAutospacing="0"/>
        <w:jc w:val="both"/>
        <w:rPr>
          <w:b w:val="0"/>
          <w:sz w:val="28"/>
          <w:szCs w:val="28"/>
        </w:rPr>
      </w:pPr>
      <w:r>
        <w:rPr>
          <w:b w:val="0"/>
          <w:sz w:val="28"/>
          <w:szCs w:val="28"/>
        </w:rPr>
        <w:t>- сначала заполнить таблицу детализации остатков для тех строк, у которых необходимо детализировать остаток по аналитике (например, для счета 30401 разбить остаток контрагента на несколько оснований расчетов (договров).</w:t>
      </w:r>
      <w:r w:rsidR="00A705C0">
        <w:rPr>
          <w:b w:val="0"/>
          <w:sz w:val="28"/>
          <w:szCs w:val="28"/>
        </w:rPr>
        <w:t xml:space="preserve"> </w:t>
      </w:r>
      <w:r w:rsidR="00A705C0" w:rsidRPr="00A705C0">
        <w:rPr>
          <w:b w:val="0"/>
          <w:color w:val="000000"/>
          <w:sz w:val="28"/>
          <w:szCs w:val="28"/>
          <w:shd w:val="clear" w:color="auto" w:fill="FFFFFF"/>
        </w:rPr>
        <w:t>Строки таблицы остатков, для которых в таблице-приемнике задана детализация, выделяются синим цветом шрифта. Если общая сумма или количество в таблице-приемнике не равно сумме строки таблицы остатков, соответствующая ячейка строки остатков выделяется желтым цветом фона.</w:t>
      </w:r>
      <w:r w:rsidRPr="00A705C0">
        <w:rPr>
          <w:b w:val="0"/>
          <w:sz w:val="28"/>
          <w:szCs w:val="28"/>
        </w:rPr>
        <w:t xml:space="preserve"> </w:t>
      </w:r>
      <w:r w:rsidR="00A705C0">
        <w:rPr>
          <w:b w:val="0"/>
          <w:sz w:val="28"/>
          <w:szCs w:val="28"/>
        </w:rPr>
        <w:t>Обращаем внимание, что счет в таблице детализации должен быть новым, поэтому пользоваться кнопкой «Скопировать строку в приемник» нельзя, необходимо добавлять строки в таблицу детализации с помощью кнопки «Добавить». После заполнения таблицы детализации для тех строк, по которым необходима детализация остатков можно нажать кнопку «Перенести остатки» и будет сформирована бухгалтерская справка.</w:t>
      </w:r>
    </w:p>
    <w:p w14:paraId="2B5751D6" w14:textId="5F96A050" w:rsidR="00A705C0" w:rsidRPr="00A705C0" w:rsidRDefault="00A705C0" w:rsidP="00F51979">
      <w:pPr>
        <w:pStyle w:val="1"/>
        <w:shd w:val="clear" w:color="auto" w:fill="FFFFFF"/>
        <w:spacing w:before="0" w:beforeAutospacing="0" w:after="96" w:afterAutospacing="0"/>
        <w:jc w:val="both"/>
        <w:rPr>
          <w:b w:val="0"/>
          <w:sz w:val="28"/>
          <w:szCs w:val="28"/>
        </w:rPr>
      </w:pPr>
      <w:r>
        <w:rPr>
          <w:noProof/>
        </w:rPr>
        <w:lastRenderedPageBreak/>
        <w:drawing>
          <wp:inline distT="0" distB="0" distL="0" distR="0" wp14:anchorId="30911360" wp14:editId="69F09033">
            <wp:extent cx="6210300" cy="3303905"/>
            <wp:effectExtent l="19050" t="19050" r="19050" b="1079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10300" cy="3303905"/>
                    </a:xfrm>
                    <a:prstGeom prst="rect">
                      <a:avLst/>
                    </a:prstGeom>
                    <a:ln>
                      <a:solidFill>
                        <a:schemeClr val="tx1"/>
                      </a:solidFill>
                    </a:ln>
                  </pic:spPr>
                </pic:pic>
              </a:graphicData>
            </a:graphic>
          </wp:inline>
        </w:drawing>
      </w:r>
    </w:p>
    <w:p w14:paraId="74C6623A" w14:textId="0A97B1AD" w:rsidR="00A705C0" w:rsidRPr="00E60A96" w:rsidRDefault="00A705C0" w:rsidP="00A705C0">
      <w:pPr>
        <w:pStyle w:val="a3"/>
        <w:tabs>
          <w:tab w:val="left" w:pos="8080"/>
        </w:tabs>
        <w:spacing w:before="0" w:beforeAutospacing="0"/>
        <w:ind w:firstLine="567"/>
        <w:jc w:val="center"/>
        <w:rPr>
          <w:bCs/>
          <w:sz w:val="28"/>
          <w:szCs w:val="28"/>
        </w:rPr>
      </w:pPr>
      <w:r>
        <w:rPr>
          <w:bCs/>
          <w:sz w:val="28"/>
          <w:szCs w:val="28"/>
        </w:rPr>
        <w:t>Рис. 13</w:t>
      </w:r>
      <w:r w:rsidRPr="00E60A96">
        <w:rPr>
          <w:bCs/>
          <w:sz w:val="28"/>
          <w:szCs w:val="28"/>
        </w:rPr>
        <w:t xml:space="preserve">. </w:t>
      </w:r>
      <w:r>
        <w:rPr>
          <w:bCs/>
          <w:sz w:val="28"/>
          <w:szCs w:val="28"/>
        </w:rPr>
        <w:t>Детализация некоторых строк</w:t>
      </w:r>
      <w:r w:rsidRPr="00E60A96">
        <w:rPr>
          <w:sz w:val="28"/>
          <w:szCs w:val="28"/>
          <w:shd w:val="clear" w:color="auto" w:fill="FFFFFF"/>
        </w:rPr>
        <w:t>.</w:t>
      </w:r>
    </w:p>
    <w:p w14:paraId="2FC71103" w14:textId="275BEAA9" w:rsidR="00A705C0" w:rsidRDefault="009F0542" w:rsidP="00A705C0">
      <w:pPr>
        <w:pStyle w:val="1"/>
        <w:shd w:val="clear" w:color="auto" w:fill="FFFFFF"/>
        <w:spacing w:before="0" w:beforeAutospacing="0" w:after="96" w:afterAutospacing="0"/>
        <w:ind w:firstLine="567"/>
        <w:jc w:val="both"/>
        <w:rPr>
          <w:b w:val="0"/>
          <w:sz w:val="28"/>
          <w:szCs w:val="28"/>
        </w:rPr>
      </w:pPr>
      <w:r>
        <w:rPr>
          <w:b w:val="0"/>
          <w:sz w:val="28"/>
          <w:szCs w:val="28"/>
        </w:rPr>
        <w:t xml:space="preserve">В сформированной бухгалтерской справке помимо указания дополнительной аналитики нового счета необходимо поставить галочку «Отразить в </w:t>
      </w:r>
      <w:proofErr w:type="spellStart"/>
      <w:r>
        <w:rPr>
          <w:b w:val="0"/>
          <w:sz w:val="28"/>
          <w:szCs w:val="28"/>
        </w:rPr>
        <w:t>межотчетном</w:t>
      </w:r>
      <w:proofErr w:type="spellEnd"/>
      <w:r>
        <w:rPr>
          <w:b w:val="0"/>
          <w:sz w:val="28"/>
          <w:szCs w:val="28"/>
        </w:rPr>
        <w:t xml:space="preserve"> периоде» и выбрать вид </w:t>
      </w:r>
      <w:proofErr w:type="spellStart"/>
      <w:r>
        <w:rPr>
          <w:b w:val="0"/>
          <w:sz w:val="28"/>
          <w:szCs w:val="28"/>
        </w:rPr>
        <w:t>межотчетного</w:t>
      </w:r>
      <w:proofErr w:type="spellEnd"/>
      <w:r>
        <w:rPr>
          <w:b w:val="0"/>
          <w:sz w:val="28"/>
          <w:szCs w:val="28"/>
        </w:rPr>
        <w:t xml:space="preserve"> периода «Технологические операции». </w:t>
      </w:r>
    </w:p>
    <w:p w14:paraId="25BF894D" w14:textId="2A0DE702" w:rsidR="009F0542" w:rsidRPr="009F0542" w:rsidRDefault="009F0542" w:rsidP="009F0542">
      <w:pPr>
        <w:pStyle w:val="1"/>
        <w:shd w:val="clear" w:color="auto" w:fill="FFFFFF"/>
        <w:spacing w:before="0" w:beforeAutospacing="0" w:after="96" w:afterAutospacing="0"/>
        <w:jc w:val="both"/>
        <w:rPr>
          <w:b w:val="0"/>
          <w:sz w:val="28"/>
          <w:szCs w:val="28"/>
          <w14:textOutline w14:w="9525" w14:cap="rnd" w14:cmpd="sng" w14:algn="ctr">
            <w14:solidFill>
              <w14:schemeClr w14:val="tx1"/>
            </w14:solidFill>
            <w14:prstDash w14:val="solid"/>
            <w14:bevel/>
          </w14:textOutline>
        </w:rPr>
      </w:pPr>
      <w:r>
        <w:rPr>
          <w:noProof/>
        </w:rPr>
        <w:drawing>
          <wp:inline distT="0" distB="0" distL="0" distR="0" wp14:anchorId="7264050D" wp14:editId="7C0A2C54">
            <wp:extent cx="6210300" cy="1685290"/>
            <wp:effectExtent l="19050" t="19050" r="19050" b="1016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10300" cy="1685290"/>
                    </a:xfrm>
                    <a:prstGeom prst="rect">
                      <a:avLst/>
                    </a:prstGeom>
                    <a:ln>
                      <a:solidFill>
                        <a:schemeClr val="tx1"/>
                      </a:solidFill>
                    </a:ln>
                  </pic:spPr>
                </pic:pic>
              </a:graphicData>
            </a:graphic>
          </wp:inline>
        </w:drawing>
      </w:r>
    </w:p>
    <w:p w14:paraId="79A19ACC" w14:textId="1EB336F8" w:rsidR="009F0542" w:rsidRPr="00E60A96" w:rsidRDefault="009F0542" w:rsidP="009F0542">
      <w:pPr>
        <w:pStyle w:val="a3"/>
        <w:tabs>
          <w:tab w:val="left" w:pos="8080"/>
        </w:tabs>
        <w:spacing w:before="0" w:beforeAutospacing="0"/>
        <w:ind w:firstLine="567"/>
        <w:jc w:val="center"/>
        <w:rPr>
          <w:bCs/>
          <w:sz w:val="28"/>
          <w:szCs w:val="28"/>
        </w:rPr>
      </w:pPr>
      <w:r>
        <w:rPr>
          <w:bCs/>
          <w:sz w:val="28"/>
          <w:szCs w:val="28"/>
        </w:rPr>
        <w:t>Рис. 14</w:t>
      </w:r>
      <w:r w:rsidRPr="00E60A96">
        <w:rPr>
          <w:bCs/>
          <w:sz w:val="28"/>
          <w:szCs w:val="28"/>
        </w:rPr>
        <w:t xml:space="preserve">. </w:t>
      </w:r>
      <w:r>
        <w:rPr>
          <w:bCs/>
          <w:sz w:val="28"/>
          <w:szCs w:val="28"/>
        </w:rPr>
        <w:t xml:space="preserve">Указание отражения сформированной бухгалтерской справки в </w:t>
      </w:r>
      <w:proofErr w:type="spellStart"/>
      <w:r>
        <w:rPr>
          <w:bCs/>
          <w:sz w:val="28"/>
          <w:szCs w:val="28"/>
        </w:rPr>
        <w:t>межотчетном</w:t>
      </w:r>
      <w:proofErr w:type="spellEnd"/>
      <w:r>
        <w:rPr>
          <w:bCs/>
          <w:sz w:val="28"/>
          <w:szCs w:val="28"/>
        </w:rPr>
        <w:t xml:space="preserve"> периоде</w:t>
      </w:r>
      <w:r w:rsidRPr="00E60A96">
        <w:rPr>
          <w:sz w:val="28"/>
          <w:szCs w:val="28"/>
          <w:shd w:val="clear" w:color="auto" w:fill="FFFFFF"/>
        </w:rPr>
        <w:t>.</w:t>
      </w:r>
    </w:p>
    <w:p w14:paraId="1ECE4374" w14:textId="7AE59A8C" w:rsidR="009F0542" w:rsidRPr="009F0542" w:rsidRDefault="009F0542" w:rsidP="009F0542">
      <w:pPr>
        <w:pStyle w:val="1"/>
        <w:shd w:val="clear" w:color="auto" w:fill="FFFFFF"/>
        <w:spacing w:before="0" w:beforeAutospacing="0" w:after="96" w:afterAutospacing="0"/>
        <w:ind w:firstLine="567"/>
        <w:jc w:val="both"/>
        <w:rPr>
          <w:b w:val="0"/>
          <w:i/>
          <w:sz w:val="28"/>
          <w:szCs w:val="28"/>
        </w:rPr>
      </w:pPr>
      <w:r w:rsidRPr="009F0542">
        <w:rPr>
          <w:b w:val="0"/>
          <w:i/>
          <w:sz w:val="28"/>
          <w:szCs w:val="28"/>
        </w:rPr>
        <w:t xml:space="preserve">Обращаем внимание, что поскольку данные операции переноса являются техническими операциями и не приводят к изменению валюты баланса, допустимо осуществлять перенос проводками с устаревшего счета на новый счет без использования счета 40130. </w:t>
      </w:r>
    </w:p>
    <w:p w14:paraId="56B8437F" w14:textId="58B62C24" w:rsidR="00E8427F" w:rsidRPr="00E60A96" w:rsidRDefault="009F0542" w:rsidP="00E8427F">
      <w:pPr>
        <w:pStyle w:val="a3"/>
        <w:tabs>
          <w:tab w:val="left" w:pos="8080"/>
        </w:tabs>
        <w:spacing w:before="0" w:beforeAutospacing="0"/>
        <w:rPr>
          <w:bCs/>
          <w:sz w:val="28"/>
          <w:szCs w:val="28"/>
        </w:rPr>
      </w:pPr>
      <w:r>
        <w:rPr>
          <w:bCs/>
          <w:sz w:val="28"/>
          <w:szCs w:val="28"/>
        </w:rPr>
        <w:tab/>
      </w:r>
    </w:p>
    <w:p w14:paraId="6523A63A" w14:textId="77777777" w:rsidR="00922FC2" w:rsidRPr="009E034C" w:rsidRDefault="00922FC2" w:rsidP="00922FC2">
      <w:pPr>
        <w:pStyle w:val="1"/>
        <w:shd w:val="clear" w:color="auto" w:fill="FFFFFF"/>
        <w:spacing w:before="0" w:beforeAutospacing="0" w:after="96" w:afterAutospacing="0"/>
        <w:jc w:val="both"/>
        <w:rPr>
          <w:b w:val="0"/>
          <w:sz w:val="28"/>
          <w:szCs w:val="28"/>
        </w:rPr>
      </w:pPr>
    </w:p>
    <w:sectPr w:rsidR="00922FC2" w:rsidRPr="009E034C" w:rsidSect="009E034C">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A083A"/>
    <w:multiLevelType w:val="multilevel"/>
    <w:tmpl w:val="9478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A7675"/>
    <w:multiLevelType w:val="multilevel"/>
    <w:tmpl w:val="5C103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F2667D"/>
    <w:multiLevelType w:val="multilevel"/>
    <w:tmpl w:val="1886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287409"/>
    <w:multiLevelType w:val="multilevel"/>
    <w:tmpl w:val="A2808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E45E58"/>
    <w:multiLevelType w:val="multilevel"/>
    <w:tmpl w:val="3E0C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34C"/>
    <w:rsid w:val="001750B8"/>
    <w:rsid w:val="001E0D71"/>
    <w:rsid w:val="001E3A65"/>
    <w:rsid w:val="002D6AEE"/>
    <w:rsid w:val="00377E5B"/>
    <w:rsid w:val="00477757"/>
    <w:rsid w:val="004C32FD"/>
    <w:rsid w:val="00541ABD"/>
    <w:rsid w:val="005D1D0E"/>
    <w:rsid w:val="005F3745"/>
    <w:rsid w:val="00696A93"/>
    <w:rsid w:val="00776029"/>
    <w:rsid w:val="00801955"/>
    <w:rsid w:val="00840ECA"/>
    <w:rsid w:val="008D1C38"/>
    <w:rsid w:val="00922FC2"/>
    <w:rsid w:val="009E034C"/>
    <w:rsid w:val="009F0542"/>
    <w:rsid w:val="00A057E1"/>
    <w:rsid w:val="00A1545E"/>
    <w:rsid w:val="00A705C0"/>
    <w:rsid w:val="00A76C4C"/>
    <w:rsid w:val="00B30FFE"/>
    <w:rsid w:val="00B60F48"/>
    <w:rsid w:val="00BB30F3"/>
    <w:rsid w:val="00BB32B9"/>
    <w:rsid w:val="00C517B6"/>
    <w:rsid w:val="00C954CA"/>
    <w:rsid w:val="00D12304"/>
    <w:rsid w:val="00D542DE"/>
    <w:rsid w:val="00D61EE3"/>
    <w:rsid w:val="00D83BAE"/>
    <w:rsid w:val="00D85FAB"/>
    <w:rsid w:val="00D92278"/>
    <w:rsid w:val="00DD62C8"/>
    <w:rsid w:val="00E60A96"/>
    <w:rsid w:val="00E8427F"/>
    <w:rsid w:val="00F51979"/>
    <w:rsid w:val="00F62302"/>
    <w:rsid w:val="00F67A6B"/>
    <w:rsid w:val="00FF3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4235"/>
  <w15:chartTrackingRefBased/>
  <w15:docId w15:val="{09EA7AA2-E93F-435D-9FD0-E3FEAF7C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E03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E034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34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E034C"/>
    <w:rPr>
      <w:rFonts w:asciiTheme="majorHAnsi" w:eastAsiaTheme="majorEastAsia" w:hAnsiTheme="majorHAnsi" w:cstheme="majorBidi"/>
      <w:color w:val="1F4D78" w:themeColor="accent1" w:themeShade="7F"/>
      <w:sz w:val="24"/>
      <w:szCs w:val="24"/>
    </w:rPr>
  </w:style>
  <w:style w:type="character" w:customStyle="1" w:styleId="apple-converted-space">
    <w:name w:val="apple-converted-space"/>
    <w:basedOn w:val="a0"/>
    <w:rsid w:val="009E034C"/>
  </w:style>
  <w:style w:type="paragraph" w:styleId="a3">
    <w:name w:val="Normal (Web)"/>
    <w:basedOn w:val="a"/>
    <w:uiPriority w:val="99"/>
    <w:semiHidden/>
    <w:unhideWhenUsed/>
    <w:rsid w:val="009E0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E034C"/>
    <w:rPr>
      <w:b/>
      <w:bCs/>
    </w:rPr>
  </w:style>
  <w:style w:type="paragraph" w:styleId="a5">
    <w:name w:val="Balloon Text"/>
    <w:basedOn w:val="a"/>
    <w:link w:val="a6"/>
    <w:uiPriority w:val="99"/>
    <w:semiHidden/>
    <w:unhideWhenUsed/>
    <w:rsid w:val="004C32F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C32FD"/>
    <w:rPr>
      <w:rFonts w:ascii="Segoe UI" w:hAnsi="Segoe UI" w:cs="Segoe UI"/>
      <w:sz w:val="18"/>
      <w:szCs w:val="18"/>
    </w:rPr>
  </w:style>
  <w:style w:type="character" w:styleId="a7">
    <w:name w:val="annotation reference"/>
    <w:basedOn w:val="a0"/>
    <w:uiPriority w:val="99"/>
    <w:semiHidden/>
    <w:unhideWhenUsed/>
    <w:rsid w:val="00D61EE3"/>
    <w:rPr>
      <w:sz w:val="16"/>
      <w:szCs w:val="16"/>
    </w:rPr>
  </w:style>
  <w:style w:type="paragraph" w:styleId="a8">
    <w:name w:val="annotation text"/>
    <w:basedOn w:val="a"/>
    <w:link w:val="a9"/>
    <w:uiPriority w:val="99"/>
    <w:semiHidden/>
    <w:unhideWhenUsed/>
    <w:rsid w:val="00D61EE3"/>
    <w:pPr>
      <w:spacing w:line="240" w:lineRule="auto"/>
    </w:pPr>
    <w:rPr>
      <w:sz w:val="20"/>
      <w:szCs w:val="20"/>
    </w:rPr>
  </w:style>
  <w:style w:type="character" w:customStyle="1" w:styleId="a9">
    <w:name w:val="Текст примечания Знак"/>
    <w:basedOn w:val="a0"/>
    <w:link w:val="a8"/>
    <w:uiPriority w:val="99"/>
    <w:semiHidden/>
    <w:rsid w:val="00D61EE3"/>
    <w:rPr>
      <w:sz w:val="20"/>
      <w:szCs w:val="20"/>
    </w:rPr>
  </w:style>
  <w:style w:type="paragraph" w:styleId="aa">
    <w:name w:val="annotation subject"/>
    <w:basedOn w:val="a8"/>
    <w:next w:val="a8"/>
    <w:link w:val="ab"/>
    <w:uiPriority w:val="99"/>
    <w:semiHidden/>
    <w:unhideWhenUsed/>
    <w:rsid w:val="00D61EE3"/>
    <w:rPr>
      <w:b/>
      <w:bCs/>
    </w:rPr>
  </w:style>
  <w:style w:type="character" w:customStyle="1" w:styleId="ab">
    <w:name w:val="Тема примечания Знак"/>
    <w:basedOn w:val="a9"/>
    <w:link w:val="aa"/>
    <w:uiPriority w:val="99"/>
    <w:semiHidden/>
    <w:rsid w:val="00D61E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883524">
      <w:bodyDiv w:val="1"/>
      <w:marLeft w:val="0"/>
      <w:marRight w:val="0"/>
      <w:marTop w:val="0"/>
      <w:marBottom w:val="0"/>
      <w:divBdr>
        <w:top w:val="none" w:sz="0" w:space="0" w:color="auto"/>
        <w:left w:val="none" w:sz="0" w:space="0" w:color="auto"/>
        <w:bottom w:val="none" w:sz="0" w:space="0" w:color="auto"/>
        <w:right w:val="none" w:sz="0" w:space="0" w:color="auto"/>
      </w:divBdr>
    </w:div>
    <w:div w:id="1570463659">
      <w:bodyDiv w:val="1"/>
      <w:marLeft w:val="0"/>
      <w:marRight w:val="0"/>
      <w:marTop w:val="0"/>
      <w:marBottom w:val="0"/>
      <w:divBdr>
        <w:top w:val="none" w:sz="0" w:space="0" w:color="auto"/>
        <w:left w:val="none" w:sz="0" w:space="0" w:color="auto"/>
        <w:bottom w:val="none" w:sz="0" w:space="0" w:color="auto"/>
        <w:right w:val="none" w:sz="0" w:space="0" w:color="auto"/>
      </w:divBdr>
      <w:divsChild>
        <w:div w:id="532157874">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76293208">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154033395">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374421237">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134448377">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342512274">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385644334">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340037939">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671329486">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980645182">
          <w:marLeft w:val="0"/>
          <w:marRight w:val="0"/>
          <w:marTop w:val="0"/>
          <w:marBottom w:val="0"/>
          <w:divBdr>
            <w:top w:val="none" w:sz="0" w:space="0" w:color="auto"/>
            <w:left w:val="none" w:sz="0" w:space="0" w:color="auto"/>
            <w:bottom w:val="none" w:sz="0" w:space="0" w:color="auto"/>
            <w:right w:val="none" w:sz="0" w:space="0" w:color="auto"/>
          </w:divBdr>
        </w:div>
        <w:div w:id="1844782459">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571768150">
          <w:blockQuote w:val="1"/>
          <w:marLeft w:val="720"/>
          <w:marRight w:val="720"/>
          <w:marTop w:val="100"/>
          <w:marBottom w:val="100"/>
          <w:divBdr>
            <w:top w:val="single" w:sz="6" w:space="4" w:color="BEBECF"/>
            <w:left w:val="single" w:sz="6" w:space="4" w:color="BEBECF"/>
            <w:bottom w:val="single" w:sz="6" w:space="4" w:color="BEBECF"/>
            <w:right w:val="single" w:sz="6" w:space="4" w:color="BEBECF"/>
          </w:divBdr>
        </w:div>
        <w:div w:id="1852182462">
          <w:marLeft w:val="0"/>
          <w:marRight w:val="0"/>
          <w:marTop w:val="0"/>
          <w:marBottom w:val="0"/>
          <w:divBdr>
            <w:top w:val="none" w:sz="0" w:space="0" w:color="auto"/>
            <w:left w:val="none" w:sz="0" w:space="0" w:color="auto"/>
            <w:bottom w:val="none" w:sz="0" w:space="0" w:color="auto"/>
            <w:right w:val="none" w:sz="0" w:space="0" w:color="auto"/>
          </w:divBdr>
        </w:div>
        <w:div w:id="146628638">
          <w:marLeft w:val="0"/>
          <w:marRight w:val="0"/>
          <w:marTop w:val="0"/>
          <w:marBottom w:val="0"/>
          <w:divBdr>
            <w:top w:val="none" w:sz="0" w:space="0" w:color="auto"/>
            <w:left w:val="none" w:sz="0" w:space="0" w:color="auto"/>
            <w:bottom w:val="none" w:sz="0" w:space="0" w:color="auto"/>
            <w:right w:val="none" w:sz="0" w:space="0" w:color="auto"/>
          </w:divBdr>
        </w:div>
        <w:div w:id="1057359458">
          <w:marLeft w:val="0"/>
          <w:marRight w:val="0"/>
          <w:marTop w:val="0"/>
          <w:marBottom w:val="0"/>
          <w:divBdr>
            <w:top w:val="none" w:sz="0" w:space="0" w:color="auto"/>
            <w:left w:val="none" w:sz="0" w:space="0" w:color="auto"/>
            <w:bottom w:val="none" w:sz="0" w:space="0" w:color="auto"/>
            <w:right w:val="none" w:sz="0" w:space="0" w:color="auto"/>
          </w:divBdr>
        </w:div>
      </w:divsChild>
    </w:div>
    <w:div w:id="175303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12</Pages>
  <Words>1828</Words>
  <Characters>10420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Lika</dc:creator>
  <cp:keywords/>
  <dc:description/>
  <cp:lastModifiedBy>Нападий Наталья Владимировна</cp:lastModifiedBy>
  <cp:revision>15</cp:revision>
  <dcterms:created xsi:type="dcterms:W3CDTF">2020-12-27T11:38:00Z</dcterms:created>
  <dcterms:modified xsi:type="dcterms:W3CDTF">2021-01-12T17:11:00Z</dcterms:modified>
</cp:coreProperties>
</file>